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15.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6.xml" ContentType="application/vnd.openxmlformats-officedocument.wordprocessingml.header+xml"/>
  <Override PartName="/word/footer21.xml" ContentType="application/vnd.openxmlformats-officedocument.wordprocessingml.footer+xml"/>
  <Override PartName="/word/header17.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8.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1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header20.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header21.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22.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23.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42.xml" ContentType="application/vnd.openxmlformats-officedocument.wordprocessingml.footer+xml"/>
  <Override PartName="/word/header2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AFA52DA" w14:textId="77777777" w:rsidR="00914AA5" w:rsidRDefault="00914AA5" w:rsidP="00242262"/>
    <w:p w14:paraId="5960C1A6" w14:textId="77777777" w:rsidR="00914AA5" w:rsidRDefault="00914AA5" w:rsidP="00242262"/>
    <w:p w14:paraId="4E405908" w14:textId="77777777" w:rsidR="00914AA5" w:rsidRDefault="00914AA5" w:rsidP="00242262"/>
    <w:p w14:paraId="62AE54B1" w14:textId="77777777" w:rsidR="00914AA5" w:rsidRDefault="00914AA5" w:rsidP="00242262"/>
    <w:p w14:paraId="0B38D166" w14:textId="77777777" w:rsidR="00914AA5" w:rsidRDefault="00914AA5" w:rsidP="00242262"/>
    <w:p w14:paraId="0CAE3CDD" w14:textId="77777777" w:rsidR="00914AA5" w:rsidRDefault="00914AA5" w:rsidP="00242262"/>
    <w:p w14:paraId="589D2FC2" w14:textId="77777777" w:rsidR="00316F8D" w:rsidRDefault="00316F8D" w:rsidP="00242262">
      <w:pPr>
        <w:sectPr w:rsidR="00316F8D" w:rsidSect="003737D8">
          <w:headerReference w:type="default" r:id="rId12"/>
          <w:footerReference w:type="default" r:id="rId13"/>
          <w:pgSz w:w="11907" w:h="16839" w:code="9"/>
          <w:pgMar w:top="1134" w:right="850" w:bottom="851" w:left="964" w:header="142" w:footer="502" w:gutter="0"/>
          <w:pgNumType w:start="1"/>
          <w:cols w:space="708"/>
          <w:docGrid w:linePitch="360"/>
        </w:sectPr>
      </w:pPr>
      <w:r w:rsidRPr="006821CB">
        <w:rPr>
          <w:noProof/>
        </w:rPr>
        <mc:AlternateContent>
          <mc:Choice Requires="wps">
            <w:drawing>
              <wp:anchor distT="0" distB="0" distL="114300" distR="114300" simplePos="0" relativeHeight="251658240" behindDoc="0" locked="0" layoutInCell="1" allowOverlap="1" wp14:anchorId="5F9C3733" wp14:editId="576D2A63">
                <wp:simplePos x="0" y="0"/>
                <wp:positionH relativeFrom="margin">
                  <wp:align>center</wp:align>
                </wp:positionH>
                <wp:positionV relativeFrom="margin">
                  <wp:posOffset>2937510</wp:posOffset>
                </wp:positionV>
                <wp:extent cx="5429250" cy="5012690"/>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0" cy="5012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9274EB" w14:textId="77777777" w:rsidR="00583873" w:rsidRDefault="00583873" w:rsidP="009A77BC">
                            <w:pPr>
                              <w:pStyle w:val="Title"/>
                              <w:jc w:val="left"/>
                              <w:rPr>
                                <w:color w:val="808080" w:themeColor="background1" w:themeShade="80"/>
                                <w:sz w:val="44"/>
                                <w:szCs w:val="44"/>
                                <w:lang w:eastAsia="en-US"/>
                              </w:rPr>
                            </w:pPr>
                            <w:r w:rsidRPr="009A77BC">
                              <w:rPr>
                                <w:color w:val="808080" w:themeColor="background1" w:themeShade="80"/>
                                <w:sz w:val="44"/>
                                <w:szCs w:val="44"/>
                                <w:lang w:eastAsia="en-US"/>
                              </w:rPr>
                              <w:t>Commonwealth Environmental Water</w:t>
                            </w:r>
                            <w:r>
                              <w:rPr>
                                <w:color w:val="808080" w:themeColor="background1" w:themeShade="80"/>
                                <w:sz w:val="44"/>
                                <w:szCs w:val="44"/>
                                <w:lang w:eastAsia="en-US"/>
                              </w:rPr>
                              <w:t xml:space="preserve"> Office</w:t>
                            </w:r>
                          </w:p>
                          <w:p w14:paraId="789C3E15" w14:textId="77777777" w:rsidR="00583873" w:rsidRPr="0033384E" w:rsidRDefault="00583873" w:rsidP="0033384E">
                            <w:pPr>
                              <w:rPr>
                                <w:lang w:val="en-GB" w:eastAsia="en-US"/>
                              </w:rPr>
                            </w:pPr>
                          </w:p>
                          <w:p w14:paraId="1D069CFF" w14:textId="77777777" w:rsidR="00583873" w:rsidRPr="002A2D9C" w:rsidRDefault="00583873" w:rsidP="002A2D9C">
                            <w:pPr>
                              <w:pStyle w:val="Title"/>
                              <w:jc w:val="left"/>
                              <w:rPr>
                                <w:lang w:eastAsia="en-US"/>
                              </w:rPr>
                            </w:pPr>
                          </w:p>
                          <w:p w14:paraId="21C1B5BC" w14:textId="77777777" w:rsidR="00583873" w:rsidRPr="002A2D9C" w:rsidRDefault="00583873" w:rsidP="002A2D9C">
                            <w:pPr>
                              <w:pStyle w:val="Title"/>
                              <w:jc w:val="left"/>
                              <w:rPr>
                                <w:lang w:eastAsia="en-US"/>
                              </w:rPr>
                            </w:pPr>
                          </w:p>
                          <w:p w14:paraId="1F65B1A2" w14:textId="77777777" w:rsidR="00583873" w:rsidRPr="002A2D9C" w:rsidRDefault="00583873" w:rsidP="002A2D9C">
                            <w:pPr>
                              <w:pStyle w:val="Title"/>
                              <w:jc w:val="left"/>
                              <w:rPr>
                                <w:lang w:eastAsia="en-US"/>
                              </w:rPr>
                            </w:pPr>
                          </w:p>
                          <w:p w14:paraId="1B5C6081" w14:textId="77777777" w:rsidR="00583873" w:rsidRPr="00BC3A2B" w:rsidRDefault="00583873" w:rsidP="009A77BC">
                            <w:pPr>
                              <w:pStyle w:val="Title"/>
                              <w:jc w:val="left"/>
                              <w:rPr>
                                <w:lang w:eastAsia="en-US"/>
                              </w:rPr>
                            </w:pPr>
                            <w:r>
                              <w:rPr>
                                <w:lang w:eastAsia="en-US"/>
                              </w:rPr>
                              <w:t xml:space="preserve">Water Management </w:t>
                            </w:r>
                            <w:r w:rsidRPr="00BC3A2B">
                              <w:rPr>
                                <w:lang w:eastAsia="en-US"/>
                              </w:rPr>
                              <w:t>Plan</w:t>
                            </w:r>
                          </w:p>
                          <w:p w14:paraId="41EF07BC" w14:textId="77777777" w:rsidR="00583873" w:rsidRDefault="00583873" w:rsidP="009A77BC">
                            <w:pPr>
                              <w:pStyle w:val="Title"/>
                              <w:jc w:val="left"/>
                              <w:rPr>
                                <w:lang w:eastAsia="en-US"/>
                              </w:rPr>
                            </w:pPr>
                          </w:p>
                          <w:p w14:paraId="05198460" w14:textId="77777777" w:rsidR="00583873" w:rsidRDefault="00583873" w:rsidP="009A77BC">
                            <w:pPr>
                              <w:rPr>
                                <w:lang w:val="en-GB" w:eastAsia="en-US"/>
                              </w:rPr>
                            </w:pPr>
                          </w:p>
                          <w:p w14:paraId="3EF80242" w14:textId="77777777" w:rsidR="00583873" w:rsidRDefault="00583873" w:rsidP="009A77BC">
                            <w:pPr>
                              <w:rPr>
                                <w:lang w:val="en-GB" w:eastAsia="en-US"/>
                              </w:rPr>
                            </w:pPr>
                          </w:p>
                          <w:p w14:paraId="4B7B7E55" w14:textId="77777777" w:rsidR="00583873" w:rsidRDefault="00583873" w:rsidP="009A77BC">
                            <w:pPr>
                              <w:rPr>
                                <w:lang w:val="en-GB" w:eastAsia="en-US"/>
                              </w:rPr>
                            </w:pPr>
                          </w:p>
                          <w:p w14:paraId="5BAA7358" w14:textId="77777777" w:rsidR="00583873" w:rsidRDefault="00583873" w:rsidP="009A77BC">
                            <w:pPr>
                              <w:rPr>
                                <w:lang w:val="en-GB" w:eastAsia="en-US"/>
                              </w:rPr>
                            </w:pPr>
                          </w:p>
                          <w:p w14:paraId="3517E976" w14:textId="77777777" w:rsidR="00583873" w:rsidRDefault="00583873" w:rsidP="009A77BC">
                            <w:pPr>
                              <w:rPr>
                                <w:lang w:val="en-GB" w:eastAsia="en-US"/>
                              </w:rPr>
                            </w:pPr>
                          </w:p>
                          <w:p w14:paraId="71641C52" w14:textId="77777777" w:rsidR="00583873" w:rsidRDefault="00583873" w:rsidP="009A77BC">
                            <w:pPr>
                              <w:rPr>
                                <w:lang w:val="en-GB" w:eastAsia="en-US"/>
                              </w:rPr>
                            </w:pPr>
                          </w:p>
                          <w:p w14:paraId="289F686E" w14:textId="77777777" w:rsidR="00583873" w:rsidRDefault="00583873" w:rsidP="009A77BC">
                            <w:pPr>
                              <w:rPr>
                                <w:lang w:val="en-GB" w:eastAsia="en-US"/>
                              </w:rPr>
                            </w:pPr>
                          </w:p>
                          <w:p w14:paraId="06761A82" w14:textId="77777777" w:rsidR="00583873" w:rsidRPr="009A77BC" w:rsidRDefault="00583873" w:rsidP="009A77BC">
                            <w:pPr>
                              <w:rPr>
                                <w:lang w:val="en-GB" w:eastAsia="en-US"/>
                              </w:rPr>
                            </w:pPr>
                          </w:p>
                          <w:p w14:paraId="7BE398D5" w14:textId="77777777" w:rsidR="00583873" w:rsidRPr="009A77BC" w:rsidRDefault="00583873" w:rsidP="009A77BC">
                            <w:pPr>
                              <w:pStyle w:val="Title"/>
                              <w:jc w:val="right"/>
                              <w:rPr>
                                <w:color w:val="808080" w:themeColor="background1" w:themeShade="80"/>
                                <w:sz w:val="36"/>
                                <w:szCs w:val="36"/>
                                <w:lang w:eastAsia="en-US"/>
                              </w:rPr>
                            </w:pPr>
                            <w:r w:rsidRPr="009A77BC">
                              <w:rPr>
                                <w:color w:val="808080" w:themeColor="background1" w:themeShade="80"/>
                                <w:sz w:val="36"/>
                                <w:szCs w:val="36"/>
                                <w:lang w:eastAsia="en-US"/>
                              </w:rPr>
                              <w:t>2020–21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9C3733" id="_x0000_t202" coordsize="21600,21600" o:spt="202" path="m,l,21600r21600,l21600,xe">
                <v:stroke joinstyle="miter"/>
                <v:path gradientshapeok="t" o:connecttype="rect"/>
              </v:shapetype>
              <v:shape id="Text Box 5" o:spid="_x0000_s1026" type="#_x0000_t202" style="position:absolute;margin-left:0;margin-top:231.3pt;width:427.5pt;height:394.7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" stroked="f">
                <v:textbox>
                  <w:txbxContent>
                    <w:p w14:paraId="679274EB" w14:textId="77777777" w:rsidR="00583873" w:rsidRDefault="00583873" w:rsidP="009A77BC">
                      <w:pPr>
                        <w:pStyle w:val="Title"/>
                        <w:jc w:val="left"/>
                        <w:rPr>
                          <w:color w:val="808080" w:themeColor="background1" w:themeShade="80"/>
                          <w:sz w:val="44"/>
                          <w:szCs w:val="44"/>
                          <w:lang w:eastAsia="en-US"/>
                        </w:rPr>
                      </w:pPr>
                      <w:r w:rsidRPr="009A77BC">
                        <w:rPr>
                          <w:color w:val="808080" w:themeColor="background1" w:themeShade="80"/>
                          <w:sz w:val="44"/>
                          <w:szCs w:val="44"/>
                          <w:lang w:eastAsia="en-US"/>
                        </w:rPr>
                        <w:t>Commonwealth Environmental Water</w:t>
                      </w:r>
                      <w:r>
                        <w:rPr>
                          <w:color w:val="808080" w:themeColor="background1" w:themeShade="80"/>
                          <w:sz w:val="44"/>
                          <w:szCs w:val="44"/>
                          <w:lang w:eastAsia="en-US"/>
                        </w:rPr>
                        <w:t xml:space="preserve"> Office</w:t>
                      </w:r>
                    </w:p>
                    <w:p w14:paraId="789C3E15" w14:textId="77777777" w:rsidR="00583873" w:rsidRPr="0033384E" w:rsidRDefault="00583873" w:rsidP="0033384E">
                      <w:pPr>
                        <w:rPr>
                          <w:lang w:val="en-GB" w:eastAsia="en-US"/>
                        </w:rPr>
                      </w:pPr>
                    </w:p>
                    <w:p w14:paraId="1D069CFF" w14:textId="77777777" w:rsidR="00583873" w:rsidRPr="002A2D9C" w:rsidRDefault="00583873" w:rsidP="002A2D9C">
                      <w:pPr>
                        <w:pStyle w:val="Title"/>
                        <w:jc w:val="left"/>
                        <w:rPr>
                          <w:lang w:eastAsia="en-US"/>
                        </w:rPr>
                      </w:pPr>
                    </w:p>
                    <w:p w14:paraId="21C1B5BC" w14:textId="77777777" w:rsidR="00583873" w:rsidRPr="002A2D9C" w:rsidRDefault="00583873" w:rsidP="002A2D9C">
                      <w:pPr>
                        <w:pStyle w:val="Title"/>
                        <w:jc w:val="left"/>
                        <w:rPr>
                          <w:lang w:eastAsia="en-US"/>
                        </w:rPr>
                      </w:pPr>
                    </w:p>
                    <w:p w14:paraId="1F65B1A2" w14:textId="77777777" w:rsidR="00583873" w:rsidRPr="002A2D9C" w:rsidRDefault="00583873" w:rsidP="002A2D9C">
                      <w:pPr>
                        <w:pStyle w:val="Title"/>
                        <w:jc w:val="left"/>
                        <w:rPr>
                          <w:lang w:eastAsia="en-US"/>
                        </w:rPr>
                      </w:pPr>
                    </w:p>
                    <w:p w14:paraId="1B5C6081" w14:textId="77777777" w:rsidR="00583873" w:rsidRPr="00BC3A2B" w:rsidRDefault="00583873" w:rsidP="009A77BC">
                      <w:pPr>
                        <w:pStyle w:val="Title"/>
                        <w:jc w:val="left"/>
                        <w:rPr>
                          <w:lang w:eastAsia="en-US"/>
                        </w:rPr>
                      </w:pPr>
                      <w:r>
                        <w:rPr>
                          <w:lang w:eastAsia="en-US"/>
                        </w:rPr>
                        <w:t xml:space="preserve">Water Management </w:t>
                      </w:r>
                      <w:r w:rsidRPr="00BC3A2B">
                        <w:rPr>
                          <w:lang w:eastAsia="en-US"/>
                        </w:rPr>
                        <w:t>Plan</w:t>
                      </w:r>
                    </w:p>
                    <w:p w14:paraId="41EF07BC" w14:textId="77777777" w:rsidR="00583873" w:rsidRDefault="00583873" w:rsidP="009A77BC">
                      <w:pPr>
                        <w:pStyle w:val="Title"/>
                        <w:jc w:val="left"/>
                        <w:rPr>
                          <w:lang w:eastAsia="en-US"/>
                        </w:rPr>
                      </w:pPr>
                    </w:p>
                    <w:p w14:paraId="05198460" w14:textId="77777777" w:rsidR="00583873" w:rsidRDefault="00583873" w:rsidP="009A77BC">
                      <w:pPr>
                        <w:rPr>
                          <w:lang w:val="en-GB" w:eastAsia="en-US"/>
                        </w:rPr>
                      </w:pPr>
                    </w:p>
                    <w:p w14:paraId="3EF80242" w14:textId="77777777" w:rsidR="00583873" w:rsidRDefault="00583873" w:rsidP="009A77BC">
                      <w:pPr>
                        <w:rPr>
                          <w:lang w:val="en-GB" w:eastAsia="en-US"/>
                        </w:rPr>
                      </w:pPr>
                    </w:p>
                    <w:p w14:paraId="4B7B7E55" w14:textId="77777777" w:rsidR="00583873" w:rsidRDefault="00583873" w:rsidP="009A77BC">
                      <w:pPr>
                        <w:rPr>
                          <w:lang w:val="en-GB" w:eastAsia="en-US"/>
                        </w:rPr>
                      </w:pPr>
                    </w:p>
                    <w:p w14:paraId="5BAA7358" w14:textId="77777777" w:rsidR="00583873" w:rsidRDefault="00583873" w:rsidP="009A77BC">
                      <w:pPr>
                        <w:rPr>
                          <w:lang w:val="en-GB" w:eastAsia="en-US"/>
                        </w:rPr>
                      </w:pPr>
                    </w:p>
                    <w:p w14:paraId="3517E976" w14:textId="77777777" w:rsidR="00583873" w:rsidRDefault="00583873" w:rsidP="009A77BC">
                      <w:pPr>
                        <w:rPr>
                          <w:lang w:val="en-GB" w:eastAsia="en-US"/>
                        </w:rPr>
                      </w:pPr>
                    </w:p>
                    <w:p w14:paraId="71641C52" w14:textId="77777777" w:rsidR="00583873" w:rsidRDefault="00583873" w:rsidP="009A77BC">
                      <w:pPr>
                        <w:rPr>
                          <w:lang w:val="en-GB" w:eastAsia="en-US"/>
                        </w:rPr>
                      </w:pPr>
                    </w:p>
                    <w:p w14:paraId="289F686E" w14:textId="77777777" w:rsidR="00583873" w:rsidRDefault="00583873" w:rsidP="009A77BC">
                      <w:pPr>
                        <w:rPr>
                          <w:lang w:val="en-GB" w:eastAsia="en-US"/>
                        </w:rPr>
                      </w:pPr>
                    </w:p>
                    <w:p w14:paraId="06761A82" w14:textId="77777777" w:rsidR="00583873" w:rsidRPr="009A77BC" w:rsidRDefault="00583873" w:rsidP="009A77BC">
                      <w:pPr>
                        <w:rPr>
                          <w:lang w:val="en-GB" w:eastAsia="en-US"/>
                        </w:rPr>
                      </w:pPr>
                    </w:p>
                    <w:p w14:paraId="7BE398D5" w14:textId="77777777" w:rsidR="00583873" w:rsidRPr="009A77BC" w:rsidRDefault="00583873" w:rsidP="009A77BC">
                      <w:pPr>
                        <w:pStyle w:val="Title"/>
                        <w:jc w:val="right"/>
                        <w:rPr>
                          <w:color w:val="808080" w:themeColor="background1" w:themeShade="80"/>
                          <w:sz w:val="36"/>
                          <w:szCs w:val="36"/>
                          <w:lang w:eastAsia="en-US"/>
                        </w:rPr>
                      </w:pPr>
                      <w:r w:rsidRPr="009A77BC">
                        <w:rPr>
                          <w:color w:val="808080" w:themeColor="background1" w:themeShade="80"/>
                          <w:sz w:val="36"/>
                          <w:szCs w:val="36"/>
                          <w:lang w:eastAsia="en-US"/>
                        </w:rPr>
                        <w:t>2020–21</w:t>
                      </w:r>
                    </w:p>
                  </w:txbxContent>
                </v:textbox>
                <w10:wrap anchorx="margin" anchory="margin"/>
              </v:shape>
            </w:pict>
          </mc:Fallback>
        </mc:AlternateContent>
      </w:r>
      <w:r w:rsidRPr="006821CB">
        <w:tab/>
      </w:r>
      <w:r w:rsidRPr="006821CB">
        <w:br w:type="page"/>
      </w:r>
    </w:p>
    <w:p w14:paraId="213DF9B3" w14:textId="77777777" w:rsidR="00316F8D" w:rsidRPr="006821CB" w:rsidRDefault="00316F8D" w:rsidP="00242262"/>
    <w:p w14:paraId="61A101CC" w14:textId="77777777" w:rsidR="00316F8D" w:rsidRPr="006821CB" w:rsidRDefault="00316F8D" w:rsidP="00242262"/>
    <w:p w14:paraId="78CECAAB" w14:textId="77777777" w:rsidR="00316F8D" w:rsidRPr="006821CB" w:rsidRDefault="00316F8D" w:rsidP="00242262">
      <w:r w:rsidRPr="006821CB">
        <w:t>Acknowledgement of the Traditional Owners of the Murray–Darling Basin</w:t>
      </w:r>
    </w:p>
    <w:p w14:paraId="304200FA" w14:textId="77777777" w:rsidR="00316F8D" w:rsidRPr="006821CB" w:rsidRDefault="00316F8D" w:rsidP="00242262">
      <w:r w:rsidRPr="006821CB">
        <w:t>The Commonwealth Environmental Water Office respectfully acknowledges the Traditional Owners, their Elders past and present, their Nations of the Murray–Darling Basin, and their cultural, social, environmental, spiritual and economic connection to their lands and waters.</w:t>
      </w:r>
    </w:p>
    <w:p w14:paraId="6F2C3E39" w14:textId="77777777" w:rsidR="00316F8D" w:rsidRPr="006821CB" w:rsidRDefault="00316F8D" w:rsidP="00242262"/>
    <w:p w14:paraId="0F5C14E2" w14:textId="77777777" w:rsidR="00316F8D" w:rsidRPr="006821CB" w:rsidRDefault="00316F8D" w:rsidP="00242262">
      <w:r w:rsidRPr="006821CB">
        <w:t>© Copyright Commonwealth of Australia, 2020.</w:t>
      </w:r>
    </w:p>
    <w:p w14:paraId="5A99E576" w14:textId="77777777" w:rsidR="00316F8D" w:rsidRPr="006821CB" w:rsidRDefault="00316F8D" w:rsidP="00242262"/>
    <w:p w14:paraId="5D04C505" w14:textId="77777777" w:rsidR="00316F8D" w:rsidRPr="006821CB" w:rsidRDefault="00316F8D" w:rsidP="00242262">
      <w:r w:rsidRPr="006821CB">
        <w:rPr>
          <w:noProof/>
        </w:rPr>
        <w:drawing>
          <wp:inline distT="0" distB="0" distL="0" distR="0" wp14:anchorId="6DCD426F" wp14:editId="767A9F5F">
            <wp:extent cx="1821180" cy="525780"/>
            <wp:effectExtent l="0" t="0" r="7620" b="7620"/>
            <wp:docPr id="10" name="Picture 10" descr="creative_commons_lic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_commons_licenc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1180" cy="525780"/>
                    </a:xfrm>
                    <a:prstGeom prst="rect">
                      <a:avLst/>
                    </a:prstGeom>
                    <a:noFill/>
                    <a:ln>
                      <a:noFill/>
                    </a:ln>
                  </pic:spPr>
                </pic:pic>
              </a:graphicData>
            </a:graphic>
          </wp:inline>
        </w:drawing>
      </w:r>
    </w:p>
    <w:p w14:paraId="1B0732E6" w14:textId="6B946F9E" w:rsidR="00316F8D" w:rsidRPr="00BC3A2B" w:rsidRDefault="00D84FD2" w:rsidP="00DC42B8">
      <w:r w:rsidRPr="00D84FD2">
        <w:t>Commonwealth Environmental Water Office Water Management Plan 2020-21</w:t>
      </w:r>
      <w:r w:rsidR="00316F8D" w:rsidRPr="00D84FD2">
        <w:rPr>
          <w:i/>
        </w:rPr>
        <w:t xml:space="preserve"> </w:t>
      </w:r>
      <w:r w:rsidR="00316F8D" w:rsidRPr="00D84FD2">
        <w:t>is licensed by the</w:t>
      </w:r>
      <w:r w:rsidR="00316F8D" w:rsidRPr="00BC3A2B">
        <w:t xml:space="preserve"> Commonwealth of Australia for use under a Creative Commons Attribution 4.0 International licence with the exception of the Coat of Arms of the Commonwealth of Australia, the logo of the agency responsible for publishing the report, content supplied by third parties, and any images </w:t>
      </w:r>
      <w:r w:rsidR="00316F8D" w:rsidRPr="00DC42B8">
        <w:t>depicting</w:t>
      </w:r>
      <w:r w:rsidR="00316F8D" w:rsidRPr="00BC3A2B">
        <w:t xml:space="preserve"> people. For licence conditions see: https://creativecommons.org/licenses/by/4.0/ </w:t>
      </w:r>
    </w:p>
    <w:p w14:paraId="7E387279" w14:textId="5D1317F3" w:rsidR="00316F8D" w:rsidRPr="00BC3A2B" w:rsidRDefault="00316F8D" w:rsidP="00242262">
      <w:pPr>
        <w:rPr>
          <w:rFonts w:ascii="Century Gothic" w:hAnsi="Century Gothic"/>
          <w:szCs w:val="22"/>
        </w:rPr>
      </w:pPr>
      <w:r w:rsidRPr="006821CB">
        <w:t>This report should be attributed as ‘</w:t>
      </w:r>
      <w:r w:rsidR="00D84FD2">
        <w:t>Commonwealth Environmental Water Office Water Management Plan 2020-21, Commonwealth of Australia, 2020</w:t>
      </w:r>
      <w:r w:rsidRPr="00BC3A2B">
        <w:rPr>
          <w:rFonts w:ascii="Century Gothic" w:hAnsi="Century Gothic"/>
          <w:szCs w:val="22"/>
        </w:rPr>
        <w:t>’.</w:t>
      </w:r>
    </w:p>
    <w:p w14:paraId="568C92C1" w14:textId="77777777" w:rsidR="00316F8D" w:rsidRPr="00BC3A2B" w:rsidRDefault="00316F8D" w:rsidP="00242262">
      <w:pPr>
        <w:rPr>
          <w:rFonts w:ascii="Century Gothic" w:hAnsi="Century Gothic"/>
          <w:szCs w:val="22"/>
        </w:rPr>
      </w:pPr>
      <w:r w:rsidRPr="006821CB">
        <w:t>The Commonwealth of Australia has made all reasonable efforts to identify content supplied by third parties using the following format ‘© Copyright’ noting the third party.</w:t>
      </w:r>
    </w:p>
    <w:p w14:paraId="69E6C742" w14:textId="18E18B58" w:rsidR="00316F8D" w:rsidRPr="00BC3A2B" w:rsidRDefault="00316F8D" w:rsidP="00242262">
      <w:pPr>
        <w:rPr>
          <w:rFonts w:ascii="Century Gothic" w:hAnsi="Century Gothic"/>
          <w:szCs w:val="22"/>
        </w:rPr>
      </w:pPr>
      <w:r w:rsidRPr="006821CB">
        <w:t xml:space="preserve">The views and opinions expressed in this publication are those of the authors and do not necessarily reflect those of the Australian Government or the Minister for the Environment. </w:t>
      </w:r>
    </w:p>
    <w:p w14:paraId="55772450" w14:textId="77777777" w:rsidR="00316F8D" w:rsidRPr="006821CB" w:rsidRDefault="00316F8D" w:rsidP="00242262"/>
    <w:p w14:paraId="56B8FC22" w14:textId="77777777" w:rsidR="00316F8D" w:rsidRPr="006821CB" w:rsidRDefault="00316F8D" w:rsidP="00242262">
      <w:r w:rsidRPr="006821CB">
        <w:t xml:space="preserve">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by, or reliance on, the contents of this publication. </w:t>
      </w:r>
    </w:p>
    <w:p w14:paraId="11AD93D9" w14:textId="77777777" w:rsidR="00316F8D" w:rsidRPr="006821CB" w:rsidRDefault="00316F8D" w:rsidP="00242262"/>
    <w:p w14:paraId="4B0DAA19" w14:textId="77777777" w:rsidR="00316F8D" w:rsidRPr="006821CB" w:rsidRDefault="00316F8D" w:rsidP="00242262">
      <w:r w:rsidRPr="006821CB">
        <w:t>For more information about Commonwealth environmental water, please contact us at:</w:t>
      </w:r>
    </w:p>
    <w:p w14:paraId="664358BF" w14:textId="77777777" w:rsidR="00316F8D" w:rsidRPr="006821CB" w:rsidRDefault="00316F8D" w:rsidP="00242262">
      <w:r w:rsidRPr="006821CB">
        <w:t>1800 803 772</w:t>
      </w:r>
    </w:p>
    <w:p w14:paraId="40B08528" w14:textId="65356A10" w:rsidR="00316F8D" w:rsidRPr="006821CB" w:rsidRDefault="00030BA8" w:rsidP="00242262">
      <w:hyperlink r:id="rId15" w:history="1">
        <w:r w:rsidR="00EF4AAE" w:rsidRPr="00B9455C">
          <w:rPr>
            <w:rStyle w:val="Hyperlink"/>
          </w:rPr>
          <w:t>ewater@awe.gov.au</w:t>
        </w:r>
      </w:hyperlink>
    </w:p>
    <w:p w14:paraId="4EF12D57" w14:textId="77777777" w:rsidR="00316F8D" w:rsidRPr="006821CB" w:rsidRDefault="00030BA8" w:rsidP="00242262">
      <w:hyperlink r:id="rId16" w:history="1">
        <w:r w:rsidR="00316F8D" w:rsidRPr="006821CB">
          <w:rPr>
            <w:rStyle w:val="Hyperlink"/>
          </w:rPr>
          <w:t>www.environment.gov.au/water/cewo</w:t>
        </w:r>
      </w:hyperlink>
    </w:p>
    <w:p w14:paraId="15654C55" w14:textId="77777777" w:rsidR="00316F8D" w:rsidRPr="006821CB" w:rsidRDefault="00316F8D" w:rsidP="00242262">
      <w:r w:rsidRPr="006821CB">
        <w:t>@theCEWH</w:t>
      </w:r>
    </w:p>
    <w:p w14:paraId="0B2EA51C" w14:textId="0B035E69" w:rsidR="00B22545" w:rsidRDefault="00316F8D" w:rsidP="00B22545">
      <w:r w:rsidRPr="006821CB">
        <w:t xml:space="preserve">GPO Box </w:t>
      </w:r>
      <w:r w:rsidR="00E05609">
        <w:t>858</w:t>
      </w:r>
      <w:r w:rsidRPr="006821CB">
        <w:t>, Canberra ACT 2601</w:t>
      </w:r>
    </w:p>
    <w:p w14:paraId="42C3467B" w14:textId="77777777" w:rsidR="00B22545" w:rsidRDefault="00B22545" w:rsidP="00B22545">
      <w:pPr>
        <w:sectPr w:rsidR="00B22545" w:rsidSect="003737D8">
          <w:headerReference w:type="even" r:id="rId17"/>
          <w:headerReference w:type="default" r:id="rId18"/>
          <w:footerReference w:type="default" r:id="rId19"/>
          <w:headerReference w:type="first" r:id="rId20"/>
          <w:footerReference w:type="first" r:id="rId21"/>
          <w:type w:val="continuous"/>
          <w:pgSz w:w="11907" w:h="16839" w:code="9"/>
          <w:pgMar w:top="1134" w:right="1134" w:bottom="851" w:left="964" w:header="425" w:footer="502" w:gutter="0"/>
          <w:pgNumType w:fmt="lowerRoman" w:start="1"/>
          <w:cols w:space="708"/>
          <w:titlePg/>
          <w:docGrid w:linePitch="360"/>
        </w:sectPr>
      </w:pPr>
    </w:p>
    <w:p w14:paraId="457E85CD" w14:textId="422B26FE" w:rsidR="00CA7EDB" w:rsidRDefault="00CA7EDB" w:rsidP="00533FC3">
      <w:pPr>
        <w:pStyle w:val="Heading1"/>
        <w:numPr>
          <w:ilvl w:val="0"/>
          <w:numId w:val="0"/>
        </w:numPr>
      </w:pPr>
      <w:bookmarkStart w:id="0" w:name="_Toc44942497"/>
      <w:bookmarkStart w:id="1" w:name="_Hlk41423759"/>
      <w:r>
        <w:lastRenderedPageBreak/>
        <w:t>Foreword</w:t>
      </w:r>
      <w:bookmarkEnd w:id="0"/>
    </w:p>
    <w:bookmarkEnd w:id="1"/>
    <w:p w14:paraId="665D0236" w14:textId="41E1FE3D" w:rsidR="00694458" w:rsidRPr="004F41A8" w:rsidRDefault="00694458" w:rsidP="00694458">
      <w:r>
        <w:t>It is a pleasure to present the</w:t>
      </w:r>
      <w:r w:rsidRPr="004F41A8">
        <w:t xml:space="preserve"> </w:t>
      </w:r>
      <w:r w:rsidRPr="004F41A8">
        <w:rPr>
          <w:i/>
          <w:iCs/>
        </w:rPr>
        <w:t>Commonwealth Environmental</w:t>
      </w:r>
      <w:r w:rsidRPr="006628A1">
        <w:rPr>
          <w:i/>
          <w:iCs/>
        </w:rPr>
        <w:t xml:space="preserve"> </w:t>
      </w:r>
      <w:r w:rsidRPr="004F41A8">
        <w:rPr>
          <w:i/>
          <w:iCs/>
        </w:rPr>
        <w:t>Water Management Plan for 2020-21</w:t>
      </w:r>
      <w:r w:rsidR="00B010D8">
        <w:t>.  Using</w:t>
      </w:r>
      <w:r w:rsidR="00ED659C">
        <w:t xml:space="preserve"> a new, more accessible</w:t>
      </w:r>
      <w:r w:rsidR="00B010D8">
        <w:t xml:space="preserve"> format</w:t>
      </w:r>
      <w:r w:rsidR="004D6883">
        <w:t>,</w:t>
      </w:r>
      <w:r w:rsidRPr="004F41A8">
        <w:t xml:space="preserve"> the </w:t>
      </w:r>
      <w:r>
        <w:t>P</w:t>
      </w:r>
      <w:r w:rsidRPr="004F41A8">
        <w:t xml:space="preserve">lan scopes </w:t>
      </w:r>
      <w:r>
        <w:t xml:space="preserve">options for </w:t>
      </w:r>
      <w:r w:rsidRPr="004F41A8">
        <w:t xml:space="preserve">where and when </w:t>
      </w:r>
      <w:r>
        <w:t xml:space="preserve">Commonwealth </w:t>
      </w:r>
      <w:r w:rsidRPr="004F41A8">
        <w:t xml:space="preserve">water for the environment may </w:t>
      </w:r>
      <w:r>
        <w:t xml:space="preserve">best </w:t>
      </w:r>
      <w:r w:rsidRPr="004F41A8">
        <w:t xml:space="preserve">be used across the Basin </w:t>
      </w:r>
      <w:r w:rsidR="00B010D8">
        <w:t>this</w:t>
      </w:r>
      <w:r w:rsidRPr="004F41A8">
        <w:t xml:space="preserve"> year.</w:t>
      </w:r>
    </w:p>
    <w:p w14:paraId="2F2E0204" w14:textId="68FCE696" w:rsidR="00C45FA8" w:rsidRDefault="00C45FA8" w:rsidP="00C45FA8">
      <w:r>
        <w:t>Our planning for 2020–21 is against the backdrop of thr</w:t>
      </w:r>
      <w:r w:rsidR="00ED659C">
        <w:t>ee very dry years that have seen</w:t>
      </w:r>
      <w:r>
        <w:t xml:space="preserve"> the environment and communities suffer. While the Bureau of Meteorology’s outlook for winter and early spring rainfall is cause for optimism,</w:t>
      </w:r>
      <w:r w:rsidDel="00BD2DC4">
        <w:t xml:space="preserve"> </w:t>
      </w:r>
      <w:r>
        <w:t>we plan for all scenarios – from dry to wet -</w:t>
      </w:r>
      <w:r w:rsidRPr="00895E41">
        <w:t xml:space="preserve"> </w:t>
      </w:r>
      <w:r>
        <w:t>so we are prepared and can adapt to deliver the best we can for the environment.</w:t>
      </w:r>
    </w:p>
    <w:p w14:paraId="6A849782" w14:textId="77777777" w:rsidR="00C45FA8" w:rsidRDefault="00C45FA8" w:rsidP="00C45FA8">
      <w:r>
        <w:t>For the first time, the Plan includes formal input from the Murray Lower Darling River Indigenous Nations and the Northern Basin Aboriginal Nations on First Nations’ environmental objectives and outcomes across the Basin. This is a significant step in our on-going efforts to better integrate cultural objectives into the management of water for the environment and complements the work we do locally with First Nations people.</w:t>
      </w:r>
    </w:p>
    <w:p w14:paraId="7BB543FE" w14:textId="77777777" w:rsidR="00C45FA8" w:rsidRDefault="00C45FA8" w:rsidP="00C45FA8">
      <w:r>
        <w:t xml:space="preserve">We have worked closely with local communities, including water managers, scientists, delivery partners, river operators, landholders, and First Nations peoples to plan our water use. </w:t>
      </w:r>
      <w:r w:rsidRPr="00D31E64">
        <w:t xml:space="preserve"> </w:t>
      </w:r>
      <w:r>
        <w:t xml:space="preserve">Local knowledge is key to getting the best possible results for our environment – helping to prioritise and carefully plan what needs to be watered this year, river by river, wetland by wetland. </w:t>
      </w:r>
    </w:p>
    <w:p w14:paraId="73FE6B72" w14:textId="410215CB" w:rsidR="00C45FA8" w:rsidRDefault="00C45FA8" w:rsidP="00C45FA8">
      <w:pPr>
        <w:rPr>
          <w:rFonts w:cstheme="minorBidi"/>
          <w:color w:val="auto"/>
        </w:rPr>
      </w:pPr>
      <w:bookmarkStart w:id="2" w:name="_Hlk43295145"/>
      <w:bookmarkEnd w:id="2"/>
      <w:r>
        <w:t>Central to our planning is matching supply with demand – comparing how much water we are likely to have with what the environment needs.  W</w:t>
      </w:r>
      <w:r>
        <w:rPr>
          <w:lang w:val="en-US"/>
        </w:rPr>
        <w:t xml:space="preserve">hat </w:t>
      </w:r>
      <w:r w:rsidR="00154D84">
        <w:rPr>
          <w:lang w:val="en-US"/>
        </w:rPr>
        <w:t xml:space="preserve">we aim to achieve is scaled to the seasonal conditions and </w:t>
      </w:r>
      <w:r w:rsidR="00FC5530">
        <w:rPr>
          <w:lang w:val="en-US"/>
        </w:rPr>
        <w:t xml:space="preserve">depends on </w:t>
      </w:r>
      <w:r>
        <w:rPr>
          <w:lang w:val="en-US"/>
        </w:rPr>
        <w:t>how much water is allocated to</w:t>
      </w:r>
      <w:r w:rsidR="00154D84">
        <w:rPr>
          <w:lang w:val="en-US"/>
        </w:rPr>
        <w:t xml:space="preserve"> us. E</w:t>
      </w:r>
      <w:r>
        <w:t>very year is different.</w:t>
      </w:r>
    </w:p>
    <w:p w14:paraId="026CDE24" w14:textId="5DF1B7F4" w:rsidR="00C45FA8" w:rsidRDefault="00C45FA8" w:rsidP="00C45FA8">
      <w:r>
        <w:t xml:space="preserve">In dry years, water is delivered to sites that provide drought refuge, helping native plants and animals survive so they can bounce back when the drought breaks. Sites in critical condition or supporting threatened plants and animals are prioritised over sites that can do without water for another year or two. In wetter years, </w:t>
      </w:r>
      <w:r w:rsidR="00154D84">
        <w:t>we can</w:t>
      </w:r>
      <w:r>
        <w:t xml:space="preserve"> piggyback on higher r</w:t>
      </w:r>
      <w:r w:rsidR="00154D84">
        <w:t>iver flows to give wetland</w:t>
      </w:r>
      <w:r>
        <w:t xml:space="preserve">s a drink and reconnect billabongs </w:t>
      </w:r>
      <w:r w:rsidR="00154D84">
        <w:t>and lagoons to the river</w:t>
      </w:r>
      <w:r>
        <w:t xml:space="preserve"> so native fish can move and breed.</w:t>
      </w:r>
    </w:p>
    <w:p w14:paraId="2592C9F2" w14:textId="59A82C4D" w:rsidR="00C45FA8" w:rsidRDefault="00C45FA8" w:rsidP="00C45FA8">
      <w:r>
        <w:t xml:space="preserve">We begin 2020-21 with access to water carried over from the previous year.  Through careful planning we set this water aside so we can </w:t>
      </w:r>
      <w:r w:rsidRPr="004F41A8">
        <w:t xml:space="preserve">deliver </w:t>
      </w:r>
      <w:r>
        <w:t>flows</w:t>
      </w:r>
      <w:r w:rsidRPr="004F41A8">
        <w:t xml:space="preserve"> </w:t>
      </w:r>
      <w:r w:rsidR="007E5892">
        <w:t xml:space="preserve">in winter and </w:t>
      </w:r>
      <w:r w:rsidR="000E230F">
        <w:t xml:space="preserve">early </w:t>
      </w:r>
      <w:r w:rsidR="00FC5530">
        <w:t>s</w:t>
      </w:r>
      <w:r w:rsidR="00FC5530" w:rsidRPr="006628A1">
        <w:t xml:space="preserve">pring </w:t>
      </w:r>
      <w:r w:rsidRPr="006628A1">
        <w:t xml:space="preserve">when the environment most needs it.  </w:t>
      </w:r>
      <w:r>
        <w:t>This year</w:t>
      </w:r>
      <w:r w:rsidRPr="004F41A8">
        <w:t xml:space="preserve"> we have carried over </w:t>
      </w:r>
      <w:r w:rsidRPr="006628A1">
        <w:t xml:space="preserve">267 gigalitres in the </w:t>
      </w:r>
      <w:r w:rsidR="006345D0">
        <w:t>S</w:t>
      </w:r>
      <w:r w:rsidRPr="006628A1">
        <w:t>outhern</w:t>
      </w:r>
      <w:r w:rsidRPr="006628A1">
        <w:noBreakHyphen/>
        <w:t xml:space="preserve">connected </w:t>
      </w:r>
      <w:r w:rsidRPr="006345D0">
        <w:t>Basin and </w:t>
      </w:r>
      <w:r w:rsidR="006345D0">
        <w:t xml:space="preserve">51 </w:t>
      </w:r>
      <w:r w:rsidRPr="006345D0">
        <w:t>gigalitres</w:t>
      </w:r>
      <w:r w:rsidRPr="006628A1">
        <w:t xml:space="preserve"> in the Lachlan and northern valleys. This is the lowest volume of carryover of Commonwealth environmental water in a decade.  </w:t>
      </w:r>
    </w:p>
    <w:p w14:paraId="0B5A0B9B" w14:textId="06E1EAF3" w:rsidR="00C45FA8" w:rsidRPr="006628A1" w:rsidRDefault="00C45FA8" w:rsidP="00C45FA8">
      <w:pPr>
        <w:rPr>
          <w:rFonts w:ascii="Calibri" w:hAnsi="Calibri" w:cs="Calibri"/>
          <w:color w:val="auto"/>
        </w:rPr>
      </w:pPr>
      <w:r w:rsidRPr="0017749D">
        <w:t xml:space="preserve">With </w:t>
      </w:r>
      <w:r w:rsidRPr="00176F24">
        <w:t>storages across the Basin remaining low, ea</w:t>
      </w:r>
      <w:r w:rsidR="007E5892">
        <w:t xml:space="preserve">rly season allocations are </w:t>
      </w:r>
      <w:r w:rsidRPr="00176F24">
        <w:t>expected to be low. I</w:t>
      </w:r>
      <w:r w:rsidRPr="006628A1">
        <w:t>n the southern Basin, our winter water use wi</w:t>
      </w:r>
      <w:r w:rsidR="007E5892">
        <w:t xml:space="preserve">ll likely be limited to </w:t>
      </w:r>
      <w:r w:rsidRPr="006628A1">
        <w:t>maintain</w:t>
      </w:r>
      <w:r w:rsidR="007E5892">
        <w:t xml:space="preserve">ing </w:t>
      </w:r>
      <w:r w:rsidR="000E230F">
        <w:t xml:space="preserve">river </w:t>
      </w:r>
      <w:r w:rsidR="007E5892">
        <w:t>flow patterns</w:t>
      </w:r>
      <w:r w:rsidRPr="006628A1">
        <w:t xml:space="preserve"> to help native fish. We will scale our </w:t>
      </w:r>
      <w:r>
        <w:t xml:space="preserve">water </w:t>
      </w:r>
      <w:r w:rsidRPr="006628A1">
        <w:t xml:space="preserve">use </w:t>
      </w:r>
      <w:r w:rsidR="007E5892">
        <w:t>as</w:t>
      </w:r>
      <w:r w:rsidR="000E230F">
        <w:t xml:space="preserve"> the season unfolds. </w:t>
      </w:r>
      <w:r w:rsidRPr="006628A1">
        <w:t xml:space="preserve">We hope </w:t>
      </w:r>
      <w:r>
        <w:t>prudent</w:t>
      </w:r>
      <w:r w:rsidRPr="006628A1">
        <w:t xml:space="preserve"> early</w:t>
      </w:r>
      <w:r w:rsidR="007E5892">
        <w:noBreakHyphen/>
      </w:r>
      <w:r w:rsidRPr="006628A1">
        <w:t xml:space="preserve">season use, </w:t>
      </w:r>
      <w:r w:rsidR="007E5892">
        <w:t>with</w:t>
      </w:r>
      <w:r w:rsidR="000E230F">
        <w:t xml:space="preserve"> increased water availability </w:t>
      </w:r>
      <w:r w:rsidRPr="006628A1">
        <w:t xml:space="preserve">will allow us to deliver larger </w:t>
      </w:r>
      <w:r w:rsidR="000E230F">
        <w:t xml:space="preserve">late </w:t>
      </w:r>
      <w:r w:rsidR="00FC5530">
        <w:t xml:space="preserve">spring </w:t>
      </w:r>
      <w:r w:rsidRPr="006628A1">
        <w:t xml:space="preserve">flows across northern Victorian tributaries, the River Murray, the Baaka/Lower Darling and the creeks and rivers in the Edward/ Kolety-Wakool. </w:t>
      </w:r>
    </w:p>
    <w:p w14:paraId="187BF6C1" w14:textId="3A54643A" w:rsidR="00C45FA8" w:rsidRDefault="00C45FA8" w:rsidP="00C45FA8">
      <w:r>
        <w:t>In the northern Basin, u</w:t>
      </w:r>
      <w:r w:rsidR="0010423D">
        <w:t xml:space="preserve">nregulated flows </w:t>
      </w:r>
      <w:r w:rsidR="000E230F">
        <w:t xml:space="preserve">helped to </w:t>
      </w:r>
      <w:r w:rsidR="0010423D">
        <w:t>connect</w:t>
      </w:r>
      <w:r w:rsidR="000E230F">
        <w:t xml:space="preserve"> some</w:t>
      </w:r>
      <w:r w:rsidRPr="004F41A8">
        <w:t xml:space="preserve"> rivers during</w:t>
      </w:r>
      <w:r w:rsidR="001909DC">
        <w:t xml:space="preserve"> late summer and autumn, h</w:t>
      </w:r>
      <w:r w:rsidR="0010423D">
        <w:t xml:space="preserve">owever inflows </w:t>
      </w:r>
      <w:r w:rsidRPr="005604D7">
        <w:t xml:space="preserve">to storages have been modest. Without further </w:t>
      </w:r>
      <w:r>
        <w:t>major</w:t>
      </w:r>
      <w:r w:rsidRPr="005604D7">
        <w:t xml:space="preserve"> </w:t>
      </w:r>
      <w:r>
        <w:t>rainfall</w:t>
      </w:r>
      <w:r w:rsidRPr="005604D7">
        <w:t xml:space="preserve">, our water use will be limited to topping up refuges for native fish and possibly some small flows to internationally </w:t>
      </w:r>
      <w:r>
        <w:t>important</w:t>
      </w:r>
      <w:r w:rsidRPr="005604D7">
        <w:t xml:space="preserve"> wetlands</w:t>
      </w:r>
      <w:r>
        <w:t xml:space="preserve"> </w:t>
      </w:r>
      <w:r w:rsidRPr="00A46902">
        <w:t>such as the Macquarie Marshes, Gwydir Wetlands and Narran Lakes</w:t>
      </w:r>
      <w:r>
        <w:t>.</w:t>
      </w:r>
    </w:p>
    <w:p w14:paraId="66B5FB7D" w14:textId="5F9B8749" w:rsidR="00C45FA8" w:rsidRDefault="001909DC" w:rsidP="00C45FA8">
      <w:r>
        <w:t>Our water use will</w:t>
      </w:r>
      <w:r w:rsidR="00A014D7">
        <w:t xml:space="preserve"> continue to use the best science to</w:t>
      </w:r>
      <w:r>
        <w:t xml:space="preserve"> build on </w:t>
      </w:r>
      <w:r w:rsidR="00C45FA8">
        <w:t>successes and lessons learnt as we attempt to reverse the decline in the environmental health of the Ba</w:t>
      </w:r>
      <w:r>
        <w:t>sin over the past decades. T</w:t>
      </w:r>
      <w:r w:rsidR="00C45FA8">
        <w:t xml:space="preserve">he science is showing </w:t>
      </w:r>
      <w:r w:rsidR="00A014D7">
        <w:t xml:space="preserve">us </w:t>
      </w:r>
      <w:r w:rsidR="00C45FA8">
        <w:t>water for the environment is achieving p</w:t>
      </w:r>
      <w:r>
        <w:t xml:space="preserve">ositive environmental </w:t>
      </w:r>
      <w:r w:rsidR="00316D31">
        <w:t>outcomes,</w:t>
      </w:r>
      <w:r>
        <w:t xml:space="preserve"> but recovery will take time.</w:t>
      </w:r>
    </w:p>
    <w:p w14:paraId="6E7DDF25" w14:textId="0CA8C9D7" w:rsidR="00C45FA8" w:rsidRDefault="00C45FA8" w:rsidP="00C45FA8">
      <w:r>
        <w:t xml:space="preserve">In the last year, water for the environment contributed to the first major flows into the internationally important Narran Lakes in seven years; helped native fish survive in the Gwydir and Mehi rivers and Carole Creek; improved vegetation in Barmah-Millewa, Gunbower and Koondrook-Pericoota Forests, </w:t>
      </w:r>
      <w:r w:rsidR="001909DC">
        <w:t>saw</w:t>
      </w:r>
      <w:r>
        <w:t xml:space="preserve"> </w:t>
      </w:r>
      <w:r w:rsidR="00FC5530">
        <w:t xml:space="preserve">congolli </w:t>
      </w:r>
      <w:r w:rsidR="001909DC">
        <w:t xml:space="preserve">abundant again </w:t>
      </w:r>
      <w:r>
        <w:t xml:space="preserve">in the Lower Lakes and </w:t>
      </w:r>
      <w:r w:rsidRPr="00D55AA9">
        <w:t>reduc</w:t>
      </w:r>
      <w:r>
        <w:t>ed</w:t>
      </w:r>
      <w:r w:rsidR="001909DC">
        <w:t xml:space="preserve"> salt levels</w:t>
      </w:r>
      <w:r>
        <w:t xml:space="preserve"> in the Coorong. </w:t>
      </w:r>
    </w:p>
    <w:p w14:paraId="6DE68E7E" w14:textId="5640A653" w:rsidR="00C45FA8" w:rsidRDefault="00C45FA8" w:rsidP="00C45FA8">
      <w:r>
        <w:t xml:space="preserve">At the same time, and not </w:t>
      </w:r>
      <w:r w:rsidRPr="007D5A15">
        <w:t>unexpected during severe drought, we have seen no improvement in waterbird numbers; little recruitment in golden perch in the Edward/Kolety-Wakool</w:t>
      </w:r>
      <w:r>
        <w:t xml:space="preserve"> </w:t>
      </w:r>
      <w:r w:rsidRPr="007D5A15">
        <w:t>and Lower River Murray, a decline in</w:t>
      </w:r>
      <w:r>
        <w:t xml:space="preserve"> floodplain</w:t>
      </w:r>
      <w:r w:rsidRPr="007D5A15">
        <w:t xml:space="preserve"> </w:t>
      </w:r>
      <w:r w:rsidRPr="005604D7">
        <w:t xml:space="preserve">vegetation health </w:t>
      </w:r>
      <w:r w:rsidRPr="007D5A15">
        <w:t>and d</w:t>
      </w:r>
      <w:r w:rsidRPr="005604D7">
        <w:t xml:space="preserve">evastating fish deaths in the </w:t>
      </w:r>
      <w:r w:rsidR="007E5892">
        <w:t>Baaka/Darling</w:t>
      </w:r>
      <w:r>
        <w:t xml:space="preserve"> </w:t>
      </w:r>
      <w:r w:rsidRPr="005604D7">
        <w:t>River</w:t>
      </w:r>
      <w:r w:rsidRPr="007D5A15">
        <w:t xml:space="preserve">.  </w:t>
      </w:r>
    </w:p>
    <w:p w14:paraId="50CE962E" w14:textId="6A29C228" w:rsidR="00C45FA8" w:rsidRDefault="00C45FA8" w:rsidP="00C45FA8">
      <w:r>
        <w:lastRenderedPageBreak/>
        <w:t>Throughout 2020-21 we</w:t>
      </w:r>
      <w:r w:rsidR="00176174">
        <w:t xml:space="preserve"> will continue </w:t>
      </w:r>
      <w:r w:rsidRPr="005604D7">
        <w:t>work</w:t>
      </w:r>
      <w:r w:rsidR="00176174">
        <w:t>ing</w:t>
      </w:r>
      <w:r w:rsidRPr="005604D7">
        <w:t xml:space="preserve"> with communities</w:t>
      </w:r>
      <w:r w:rsidR="00176174">
        <w:t xml:space="preserve"> across the Basin to </w:t>
      </w:r>
      <w:r w:rsidRPr="005604D7">
        <w:t xml:space="preserve">understand </w:t>
      </w:r>
      <w:r>
        <w:t xml:space="preserve">local priorities and </w:t>
      </w:r>
      <w:r w:rsidRPr="006F6CDE">
        <w:t>support community</w:t>
      </w:r>
      <w:r w:rsidRPr="005604D7">
        <w:t xml:space="preserve"> involvement in the planning and use of water for the environment.</w:t>
      </w:r>
      <w:r>
        <w:t xml:space="preserve"> </w:t>
      </w:r>
      <w:r w:rsidRPr="00D826FB">
        <w:t xml:space="preserve">Individuals and groups are encouraged to </w:t>
      </w:r>
      <w:r>
        <w:t xml:space="preserve">get in touch with their nearest </w:t>
      </w:r>
      <w:r w:rsidRPr="005604D7">
        <w:t>Local Engagement Officer</w:t>
      </w:r>
      <w:r>
        <w:t xml:space="preserve"> to</w:t>
      </w:r>
      <w:r w:rsidRPr="005604D7">
        <w:t xml:space="preserve"> </w:t>
      </w:r>
      <w:r w:rsidR="00176174">
        <w:t>provide</w:t>
      </w:r>
      <w:r w:rsidRPr="00D826FB">
        <w:t xml:space="preserve"> suggestions for </w:t>
      </w:r>
      <w:r>
        <w:t xml:space="preserve">how we </w:t>
      </w:r>
      <w:r w:rsidR="00176174">
        <w:t xml:space="preserve">can best </w:t>
      </w:r>
      <w:r>
        <w:t>use</w:t>
      </w:r>
      <w:r w:rsidRPr="00D826FB">
        <w:t xml:space="preserve"> Commonwealth environmental water.</w:t>
      </w:r>
      <w:r>
        <w:t xml:space="preserve"> </w:t>
      </w:r>
    </w:p>
    <w:p w14:paraId="51E11449" w14:textId="1AB17E7D" w:rsidR="00621DEA" w:rsidRPr="00621DEA" w:rsidRDefault="00621DEA" w:rsidP="00C45FA8">
      <w:pPr>
        <w:rPr>
          <w:rFonts w:ascii="Calibri" w:hAnsi="Calibri" w:cs="Times New Roman"/>
          <w:color w:val="auto"/>
        </w:rPr>
      </w:pPr>
      <w:bookmarkStart w:id="3" w:name="_Hlk44520645"/>
      <w:r w:rsidRPr="00B26AD4">
        <w:rPr>
          <w:color w:val="auto"/>
        </w:rPr>
        <w:t xml:space="preserve">We will </w:t>
      </w:r>
      <w:r>
        <w:rPr>
          <w:color w:val="auto"/>
        </w:rPr>
        <w:t xml:space="preserve">also </w:t>
      </w:r>
      <w:r w:rsidRPr="00B26AD4">
        <w:rPr>
          <w:color w:val="auto"/>
        </w:rPr>
        <w:t xml:space="preserve">consider all available options </w:t>
      </w:r>
      <w:r>
        <w:rPr>
          <w:color w:val="auto"/>
        </w:rPr>
        <w:t>as we manage</w:t>
      </w:r>
      <w:r w:rsidRPr="00B26AD4">
        <w:rPr>
          <w:color w:val="auto"/>
        </w:rPr>
        <w:t xml:space="preserve"> </w:t>
      </w:r>
      <w:r>
        <w:rPr>
          <w:color w:val="auto"/>
        </w:rPr>
        <w:t xml:space="preserve">our </w:t>
      </w:r>
      <w:r w:rsidRPr="00B26AD4">
        <w:rPr>
          <w:color w:val="auto"/>
        </w:rPr>
        <w:t xml:space="preserve">water to maximise environmental outcomes, including the use of carryover and trade.  </w:t>
      </w:r>
      <w:r>
        <w:t xml:space="preserve">The opportunity to trade water will continue to be evaluated throughout the </w:t>
      </w:r>
      <w:r w:rsidRPr="00B26AD4">
        <w:rPr>
          <w:color w:val="auto"/>
        </w:rPr>
        <w:t>year</w:t>
      </w:r>
      <w:r w:rsidR="0032736B">
        <w:rPr>
          <w:color w:val="auto"/>
        </w:rPr>
        <w:t xml:space="preserve">, however water can only be traded if our objectives have been met and there is no risk </w:t>
      </w:r>
      <w:r w:rsidR="00C36BF0">
        <w:rPr>
          <w:color w:val="auto"/>
        </w:rPr>
        <w:t xml:space="preserve">of harm </w:t>
      </w:r>
      <w:r w:rsidR="0032736B">
        <w:rPr>
          <w:color w:val="auto"/>
        </w:rPr>
        <w:t>to the e</w:t>
      </w:r>
      <w:r w:rsidR="00C36BF0">
        <w:rPr>
          <w:color w:val="auto"/>
        </w:rPr>
        <w:t>cosystems</w:t>
      </w:r>
      <w:r w:rsidR="001F135F">
        <w:rPr>
          <w:color w:val="auto"/>
        </w:rPr>
        <w:t xml:space="preserve"> if environmental water is not provided in the near term</w:t>
      </w:r>
      <w:r w:rsidRPr="00B26AD4">
        <w:rPr>
          <w:color w:val="auto"/>
        </w:rPr>
        <w:t xml:space="preserve">. </w:t>
      </w:r>
    </w:p>
    <w:bookmarkEnd w:id="3"/>
    <w:p w14:paraId="206431C3" w14:textId="77777777" w:rsidR="00C45FA8" w:rsidRDefault="00C45FA8" w:rsidP="00C45FA8">
      <w:r>
        <w:t xml:space="preserve">Together we can work to deliver </w:t>
      </w:r>
      <w:r w:rsidRPr="005604D7">
        <w:t>water for the environment</w:t>
      </w:r>
      <w:r>
        <w:t xml:space="preserve"> to keep our rivers flowing and healthy, so they continue to sustain healthy communities. </w:t>
      </w:r>
    </w:p>
    <w:p w14:paraId="52F40115" w14:textId="5E825B27" w:rsidR="006345D0" w:rsidRDefault="006345D0" w:rsidP="00C45FA8"/>
    <w:p w14:paraId="49EFBF49" w14:textId="77777777" w:rsidR="00531040" w:rsidRDefault="00531040" w:rsidP="00C45FA8"/>
    <w:p w14:paraId="7E70A848" w14:textId="0BDAE487" w:rsidR="006345D0" w:rsidRDefault="00531040" w:rsidP="00C45FA8">
      <w:r>
        <w:rPr>
          <w:noProof/>
        </w:rPr>
        <w:drawing>
          <wp:inline distT="0" distB="0" distL="0" distR="0" wp14:anchorId="6F328B26" wp14:editId="0C6F4172">
            <wp:extent cx="1663700" cy="6159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ody Swirepik Signature.jpg"/>
                    <pic:cNvPicPr/>
                  </pic:nvPicPr>
                  <pic:blipFill>
                    <a:blip r:embed="rId22">
                      <a:extLst>
                        <a:ext uri="{28A0092B-C50C-407E-A947-70E740481C1C}">
                          <a14:useLocalDpi xmlns:a14="http://schemas.microsoft.com/office/drawing/2010/main" val="0"/>
                        </a:ext>
                      </a:extLst>
                    </a:blip>
                    <a:stretch>
                      <a:fillRect/>
                    </a:stretch>
                  </pic:blipFill>
                  <pic:spPr>
                    <a:xfrm>
                      <a:off x="0" y="0"/>
                      <a:ext cx="1663700" cy="615950"/>
                    </a:xfrm>
                    <a:prstGeom prst="rect">
                      <a:avLst/>
                    </a:prstGeom>
                  </pic:spPr>
                </pic:pic>
              </a:graphicData>
            </a:graphic>
          </wp:inline>
        </w:drawing>
      </w:r>
    </w:p>
    <w:p w14:paraId="677DC1D8" w14:textId="77777777" w:rsidR="00531040" w:rsidRDefault="00531040" w:rsidP="00C45FA8"/>
    <w:p w14:paraId="58F9F81C" w14:textId="6209E288" w:rsidR="006345D0" w:rsidRPr="006345D0" w:rsidRDefault="006345D0" w:rsidP="00C45FA8">
      <w:pPr>
        <w:rPr>
          <w:b/>
        </w:rPr>
      </w:pPr>
      <w:r w:rsidRPr="006345D0">
        <w:rPr>
          <w:b/>
        </w:rPr>
        <w:t>JODY SWIREPIK</w:t>
      </w:r>
    </w:p>
    <w:p w14:paraId="30446EB9" w14:textId="1053AA4E" w:rsidR="006345D0" w:rsidRDefault="006345D0" w:rsidP="00C45FA8">
      <w:r>
        <w:t>Commonwealth Environmental Water Holder</w:t>
      </w:r>
    </w:p>
    <w:p w14:paraId="2008E083" w14:textId="20C58229" w:rsidR="00CA7EDB" w:rsidRDefault="00CA7EDB" w:rsidP="00C5644B">
      <w:r>
        <w:br w:type="page"/>
      </w:r>
    </w:p>
    <w:p w14:paraId="51551352" w14:textId="77777777" w:rsidR="00316F8D" w:rsidRDefault="00316F8D" w:rsidP="00242262">
      <w:pPr>
        <w:sectPr w:rsidR="00316F8D" w:rsidSect="003737D8">
          <w:headerReference w:type="default" r:id="rId23"/>
          <w:footerReference w:type="default" r:id="rId24"/>
          <w:pgSz w:w="11907" w:h="16839" w:code="9"/>
          <w:pgMar w:top="1134" w:right="1134" w:bottom="851" w:left="964" w:header="425" w:footer="502" w:gutter="0"/>
          <w:pgNumType w:fmt="lowerRoman" w:start="1"/>
          <w:cols w:space="708"/>
          <w:docGrid w:linePitch="360"/>
        </w:sectPr>
      </w:pPr>
    </w:p>
    <w:sdt>
      <w:sdtPr>
        <w:rPr>
          <w:rFonts w:eastAsia="Times New Roman" w:cs="Century Gothic"/>
          <w:b w:val="0"/>
          <w:color w:val="000000"/>
          <w:sz w:val="22"/>
          <w:szCs w:val="20"/>
          <w:lang w:val="en-AU" w:eastAsia="en-AU"/>
        </w:rPr>
        <w:id w:val="-152221085"/>
        <w:docPartObj>
          <w:docPartGallery w:val="Table of Contents"/>
          <w:docPartUnique/>
        </w:docPartObj>
      </w:sdtPr>
      <w:sdtEndPr>
        <w:rPr>
          <w:bCs/>
          <w:noProof/>
        </w:rPr>
      </w:sdtEndPr>
      <w:sdtContent>
        <w:p w14:paraId="3D88E4D0" w14:textId="77777777" w:rsidR="00316F8D" w:rsidRPr="00E31CF6" w:rsidRDefault="00316F8D" w:rsidP="00533FC3">
          <w:pPr>
            <w:pStyle w:val="TOCHeading"/>
          </w:pPr>
          <w:r w:rsidRPr="00E31CF6">
            <w:t>Contents</w:t>
          </w:r>
        </w:p>
        <w:p w14:paraId="3CFA5412" w14:textId="7A276468" w:rsidR="00DE38AE" w:rsidRDefault="00316F8D">
          <w:pPr>
            <w:pStyle w:val="TOC1"/>
            <w:tabs>
              <w:tab w:val="right" w:leader="dot" w:pos="9202"/>
            </w:tabs>
            <w:rPr>
              <w:rFonts w:eastAsiaTheme="minorEastAsia" w:cstheme="minorBidi"/>
              <w:noProof/>
              <w:color w:val="auto"/>
              <w:szCs w:val="22"/>
            </w:rPr>
          </w:pPr>
          <w:r>
            <w:rPr>
              <w:b/>
            </w:rPr>
            <w:fldChar w:fldCharType="begin"/>
          </w:r>
          <w:r>
            <w:instrText xml:space="preserve"> TOC \o "1-3" \h \z \u </w:instrText>
          </w:r>
          <w:r>
            <w:rPr>
              <w:b/>
            </w:rPr>
            <w:fldChar w:fldCharType="separate"/>
          </w:r>
          <w:hyperlink w:anchor="_Toc44942497" w:history="1">
            <w:r w:rsidR="00DE38AE" w:rsidRPr="00834DF7">
              <w:rPr>
                <w:rStyle w:val="Hyperlink"/>
                <w:noProof/>
              </w:rPr>
              <w:t>Foreword</w:t>
            </w:r>
            <w:r w:rsidR="00DE38AE">
              <w:rPr>
                <w:noProof/>
                <w:webHidden/>
              </w:rPr>
              <w:tab/>
            </w:r>
            <w:r w:rsidR="00DE38AE">
              <w:rPr>
                <w:noProof/>
                <w:webHidden/>
              </w:rPr>
              <w:fldChar w:fldCharType="begin"/>
            </w:r>
            <w:r w:rsidR="00DE38AE">
              <w:rPr>
                <w:noProof/>
                <w:webHidden/>
              </w:rPr>
              <w:instrText xml:space="preserve"> PAGEREF _Toc44942497 \h </w:instrText>
            </w:r>
            <w:r w:rsidR="00DE38AE">
              <w:rPr>
                <w:noProof/>
                <w:webHidden/>
              </w:rPr>
            </w:r>
            <w:r w:rsidR="00DE38AE">
              <w:rPr>
                <w:noProof/>
                <w:webHidden/>
              </w:rPr>
              <w:fldChar w:fldCharType="separate"/>
            </w:r>
            <w:r w:rsidR="001B2852">
              <w:rPr>
                <w:noProof/>
                <w:webHidden/>
              </w:rPr>
              <w:t>i</w:t>
            </w:r>
            <w:r w:rsidR="00DE38AE">
              <w:rPr>
                <w:noProof/>
                <w:webHidden/>
              </w:rPr>
              <w:fldChar w:fldCharType="end"/>
            </w:r>
          </w:hyperlink>
        </w:p>
        <w:p w14:paraId="6A77FA7F" w14:textId="29202145" w:rsidR="00DE38AE" w:rsidRDefault="00030BA8">
          <w:pPr>
            <w:pStyle w:val="TOC1"/>
            <w:tabs>
              <w:tab w:val="left" w:pos="440"/>
              <w:tab w:val="right" w:leader="dot" w:pos="9202"/>
            </w:tabs>
            <w:rPr>
              <w:rFonts w:eastAsiaTheme="minorEastAsia" w:cstheme="minorBidi"/>
              <w:noProof/>
              <w:color w:val="auto"/>
              <w:szCs w:val="22"/>
            </w:rPr>
          </w:pPr>
          <w:hyperlink w:anchor="_Toc44942498" w:history="1">
            <w:r w:rsidR="00DE38AE" w:rsidRPr="00834DF7">
              <w:rPr>
                <w:rStyle w:val="Hyperlink"/>
                <w:noProof/>
              </w:rPr>
              <w:t>1</w:t>
            </w:r>
            <w:r w:rsidR="00DE38AE">
              <w:rPr>
                <w:rFonts w:eastAsiaTheme="minorEastAsia" w:cstheme="minorBidi"/>
                <w:noProof/>
                <w:color w:val="auto"/>
                <w:szCs w:val="22"/>
              </w:rPr>
              <w:tab/>
            </w:r>
            <w:r w:rsidR="00DE38AE" w:rsidRPr="00834DF7">
              <w:rPr>
                <w:rStyle w:val="Hyperlink"/>
                <w:noProof/>
              </w:rPr>
              <w:t>How we plan and make decisions</w:t>
            </w:r>
            <w:r w:rsidR="00DE38AE">
              <w:rPr>
                <w:noProof/>
                <w:webHidden/>
              </w:rPr>
              <w:tab/>
            </w:r>
            <w:r w:rsidR="00DE38AE">
              <w:rPr>
                <w:noProof/>
                <w:webHidden/>
              </w:rPr>
              <w:fldChar w:fldCharType="begin"/>
            </w:r>
            <w:r w:rsidR="00DE38AE">
              <w:rPr>
                <w:noProof/>
                <w:webHidden/>
              </w:rPr>
              <w:instrText xml:space="preserve"> PAGEREF _Toc44942498 \h </w:instrText>
            </w:r>
            <w:r w:rsidR="00DE38AE">
              <w:rPr>
                <w:noProof/>
                <w:webHidden/>
              </w:rPr>
            </w:r>
            <w:r w:rsidR="00DE38AE">
              <w:rPr>
                <w:noProof/>
                <w:webHidden/>
              </w:rPr>
              <w:fldChar w:fldCharType="separate"/>
            </w:r>
            <w:r w:rsidR="001B2852">
              <w:rPr>
                <w:noProof/>
                <w:webHidden/>
              </w:rPr>
              <w:t>2</w:t>
            </w:r>
            <w:r w:rsidR="00DE38AE">
              <w:rPr>
                <w:noProof/>
                <w:webHidden/>
              </w:rPr>
              <w:fldChar w:fldCharType="end"/>
            </w:r>
          </w:hyperlink>
        </w:p>
        <w:p w14:paraId="17D1D0AD" w14:textId="05728D89" w:rsidR="00DE38AE" w:rsidRDefault="00030BA8">
          <w:pPr>
            <w:pStyle w:val="TOC2"/>
            <w:rPr>
              <w:rFonts w:eastAsiaTheme="minorEastAsia" w:cstheme="minorBidi"/>
              <w:noProof/>
              <w:color w:val="auto"/>
              <w:szCs w:val="22"/>
            </w:rPr>
          </w:pPr>
          <w:hyperlink w:anchor="_Toc44942499" w:history="1">
            <w:r w:rsidR="00DE38AE" w:rsidRPr="00834DF7">
              <w:rPr>
                <w:rStyle w:val="Hyperlink"/>
                <w:rFonts w:cstheme="minorHAnsi"/>
                <w:noProof/>
              </w:rPr>
              <w:t>1.1</w:t>
            </w:r>
            <w:r w:rsidR="00DE38AE">
              <w:rPr>
                <w:rFonts w:eastAsiaTheme="minorEastAsia" w:cstheme="minorBidi"/>
                <w:noProof/>
                <w:color w:val="auto"/>
                <w:szCs w:val="22"/>
              </w:rPr>
              <w:tab/>
            </w:r>
            <w:r w:rsidR="00DE38AE" w:rsidRPr="00834DF7">
              <w:rPr>
                <w:rStyle w:val="Hyperlink"/>
                <w:noProof/>
              </w:rPr>
              <w:t>Introduction</w:t>
            </w:r>
            <w:r w:rsidR="00DE38AE">
              <w:rPr>
                <w:noProof/>
                <w:webHidden/>
              </w:rPr>
              <w:tab/>
            </w:r>
            <w:r w:rsidR="00DE38AE">
              <w:rPr>
                <w:noProof/>
                <w:webHidden/>
              </w:rPr>
              <w:fldChar w:fldCharType="begin"/>
            </w:r>
            <w:r w:rsidR="00DE38AE">
              <w:rPr>
                <w:noProof/>
                <w:webHidden/>
              </w:rPr>
              <w:instrText xml:space="preserve"> PAGEREF _Toc44942499 \h </w:instrText>
            </w:r>
            <w:r w:rsidR="00DE38AE">
              <w:rPr>
                <w:noProof/>
                <w:webHidden/>
              </w:rPr>
            </w:r>
            <w:r w:rsidR="00DE38AE">
              <w:rPr>
                <w:noProof/>
                <w:webHidden/>
              </w:rPr>
              <w:fldChar w:fldCharType="separate"/>
            </w:r>
            <w:r w:rsidR="001B2852">
              <w:rPr>
                <w:noProof/>
                <w:webHidden/>
              </w:rPr>
              <w:t>2</w:t>
            </w:r>
            <w:r w:rsidR="00DE38AE">
              <w:rPr>
                <w:noProof/>
                <w:webHidden/>
              </w:rPr>
              <w:fldChar w:fldCharType="end"/>
            </w:r>
          </w:hyperlink>
        </w:p>
        <w:p w14:paraId="673F3DF5" w14:textId="6FD7D35C" w:rsidR="00DE38AE" w:rsidRDefault="00030BA8">
          <w:pPr>
            <w:pStyle w:val="TOC3"/>
            <w:tabs>
              <w:tab w:val="left" w:pos="1320"/>
              <w:tab w:val="right" w:leader="dot" w:pos="9202"/>
            </w:tabs>
            <w:rPr>
              <w:rFonts w:cstheme="minorBidi"/>
              <w:noProof/>
              <w:lang w:val="en-AU" w:eastAsia="en-AU"/>
            </w:rPr>
          </w:pPr>
          <w:hyperlink w:anchor="_Toc44942500" w:history="1">
            <w:r w:rsidR="00DE38AE" w:rsidRPr="00834DF7">
              <w:rPr>
                <w:rStyle w:val="Hyperlink"/>
                <w:noProof/>
              </w:rPr>
              <w:t>1.1.1</w:t>
            </w:r>
            <w:r w:rsidR="00DE38AE">
              <w:rPr>
                <w:rFonts w:cstheme="minorBidi"/>
                <w:noProof/>
                <w:lang w:val="en-AU" w:eastAsia="en-AU"/>
              </w:rPr>
              <w:tab/>
            </w:r>
            <w:r w:rsidR="00DE38AE" w:rsidRPr="00834DF7">
              <w:rPr>
                <w:rStyle w:val="Hyperlink"/>
                <w:noProof/>
              </w:rPr>
              <w:t>Water for the Environment</w:t>
            </w:r>
            <w:r w:rsidR="00DE38AE">
              <w:rPr>
                <w:noProof/>
                <w:webHidden/>
              </w:rPr>
              <w:tab/>
            </w:r>
            <w:r w:rsidR="00DE38AE">
              <w:rPr>
                <w:noProof/>
                <w:webHidden/>
              </w:rPr>
              <w:fldChar w:fldCharType="begin"/>
            </w:r>
            <w:r w:rsidR="00DE38AE">
              <w:rPr>
                <w:noProof/>
                <w:webHidden/>
              </w:rPr>
              <w:instrText xml:space="preserve"> PAGEREF _Toc44942500 \h </w:instrText>
            </w:r>
            <w:r w:rsidR="00DE38AE">
              <w:rPr>
                <w:noProof/>
                <w:webHidden/>
              </w:rPr>
            </w:r>
            <w:r w:rsidR="00DE38AE">
              <w:rPr>
                <w:noProof/>
                <w:webHidden/>
              </w:rPr>
              <w:fldChar w:fldCharType="separate"/>
            </w:r>
            <w:r w:rsidR="001B2852">
              <w:rPr>
                <w:noProof/>
                <w:webHidden/>
              </w:rPr>
              <w:t>2</w:t>
            </w:r>
            <w:r w:rsidR="00DE38AE">
              <w:rPr>
                <w:noProof/>
                <w:webHidden/>
              </w:rPr>
              <w:fldChar w:fldCharType="end"/>
            </w:r>
          </w:hyperlink>
        </w:p>
        <w:p w14:paraId="0038DA4B" w14:textId="7FC6B4E7" w:rsidR="00DE38AE" w:rsidRDefault="00030BA8">
          <w:pPr>
            <w:pStyle w:val="TOC3"/>
            <w:tabs>
              <w:tab w:val="left" w:pos="1320"/>
              <w:tab w:val="right" w:leader="dot" w:pos="9202"/>
            </w:tabs>
            <w:rPr>
              <w:rFonts w:cstheme="minorBidi"/>
              <w:noProof/>
              <w:lang w:val="en-AU" w:eastAsia="en-AU"/>
            </w:rPr>
          </w:pPr>
          <w:hyperlink w:anchor="_Toc44942501" w:history="1">
            <w:r w:rsidR="00DE38AE" w:rsidRPr="00834DF7">
              <w:rPr>
                <w:rStyle w:val="Hyperlink"/>
                <w:noProof/>
              </w:rPr>
              <w:t>1.1.2</w:t>
            </w:r>
            <w:r w:rsidR="00DE38AE">
              <w:rPr>
                <w:rFonts w:cstheme="minorBidi"/>
                <w:noProof/>
                <w:lang w:val="en-AU" w:eastAsia="en-AU"/>
              </w:rPr>
              <w:tab/>
            </w:r>
            <w:r w:rsidR="00DE38AE" w:rsidRPr="00834DF7">
              <w:rPr>
                <w:rStyle w:val="Hyperlink"/>
                <w:noProof/>
              </w:rPr>
              <w:t>Commonwealth Environmental Water Holder</w:t>
            </w:r>
            <w:r w:rsidR="00DE38AE">
              <w:rPr>
                <w:noProof/>
                <w:webHidden/>
              </w:rPr>
              <w:tab/>
            </w:r>
            <w:r w:rsidR="00DE38AE">
              <w:rPr>
                <w:noProof/>
                <w:webHidden/>
              </w:rPr>
              <w:fldChar w:fldCharType="begin"/>
            </w:r>
            <w:r w:rsidR="00DE38AE">
              <w:rPr>
                <w:noProof/>
                <w:webHidden/>
              </w:rPr>
              <w:instrText xml:space="preserve"> PAGEREF _Toc44942501 \h </w:instrText>
            </w:r>
            <w:r w:rsidR="00DE38AE">
              <w:rPr>
                <w:noProof/>
                <w:webHidden/>
              </w:rPr>
            </w:r>
            <w:r w:rsidR="00DE38AE">
              <w:rPr>
                <w:noProof/>
                <w:webHidden/>
              </w:rPr>
              <w:fldChar w:fldCharType="separate"/>
            </w:r>
            <w:r w:rsidR="001B2852">
              <w:rPr>
                <w:noProof/>
                <w:webHidden/>
              </w:rPr>
              <w:t>2</w:t>
            </w:r>
            <w:r w:rsidR="00DE38AE">
              <w:rPr>
                <w:noProof/>
                <w:webHidden/>
              </w:rPr>
              <w:fldChar w:fldCharType="end"/>
            </w:r>
          </w:hyperlink>
        </w:p>
        <w:p w14:paraId="201B0D25" w14:textId="5F34CB85" w:rsidR="00DE38AE" w:rsidRDefault="00030BA8">
          <w:pPr>
            <w:pStyle w:val="TOC3"/>
            <w:tabs>
              <w:tab w:val="left" w:pos="1320"/>
              <w:tab w:val="right" w:leader="dot" w:pos="9202"/>
            </w:tabs>
            <w:rPr>
              <w:rFonts w:cstheme="minorBidi"/>
              <w:noProof/>
              <w:lang w:val="en-AU" w:eastAsia="en-AU"/>
            </w:rPr>
          </w:pPr>
          <w:hyperlink w:anchor="_Toc44942502" w:history="1">
            <w:r w:rsidR="00DE38AE" w:rsidRPr="00834DF7">
              <w:rPr>
                <w:rStyle w:val="Hyperlink"/>
                <w:noProof/>
              </w:rPr>
              <w:t>1.1.3</w:t>
            </w:r>
            <w:r w:rsidR="00DE38AE">
              <w:rPr>
                <w:rFonts w:cstheme="minorBidi"/>
                <w:noProof/>
                <w:lang w:val="en-AU" w:eastAsia="en-AU"/>
              </w:rPr>
              <w:tab/>
            </w:r>
            <w:r w:rsidR="00DE38AE" w:rsidRPr="00834DF7">
              <w:rPr>
                <w:rStyle w:val="Hyperlink"/>
                <w:noProof/>
              </w:rPr>
              <w:t>What are the options for managing water for the environment?</w:t>
            </w:r>
            <w:r w:rsidR="00DE38AE">
              <w:rPr>
                <w:noProof/>
                <w:webHidden/>
              </w:rPr>
              <w:tab/>
            </w:r>
            <w:r w:rsidR="00DE38AE">
              <w:rPr>
                <w:noProof/>
                <w:webHidden/>
              </w:rPr>
              <w:fldChar w:fldCharType="begin"/>
            </w:r>
            <w:r w:rsidR="00DE38AE">
              <w:rPr>
                <w:noProof/>
                <w:webHidden/>
              </w:rPr>
              <w:instrText xml:space="preserve"> PAGEREF _Toc44942502 \h </w:instrText>
            </w:r>
            <w:r w:rsidR="00DE38AE">
              <w:rPr>
                <w:noProof/>
                <w:webHidden/>
              </w:rPr>
            </w:r>
            <w:r w:rsidR="00DE38AE">
              <w:rPr>
                <w:noProof/>
                <w:webHidden/>
              </w:rPr>
              <w:fldChar w:fldCharType="separate"/>
            </w:r>
            <w:r w:rsidR="001B2852">
              <w:rPr>
                <w:noProof/>
                <w:webHidden/>
              </w:rPr>
              <w:t>2</w:t>
            </w:r>
            <w:r w:rsidR="00DE38AE">
              <w:rPr>
                <w:noProof/>
                <w:webHidden/>
              </w:rPr>
              <w:fldChar w:fldCharType="end"/>
            </w:r>
          </w:hyperlink>
        </w:p>
        <w:p w14:paraId="48D40A20" w14:textId="0733CAB6" w:rsidR="00DE38AE" w:rsidRDefault="00030BA8">
          <w:pPr>
            <w:pStyle w:val="TOC3"/>
            <w:tabs>
              <w:tab w:val="left" w:pos="1320"/>
              <w:tab w:val="right" w:leader="dot" w:pos="9202"/>
            </w:tabs>
            <w:rPr>
              <w:rFonts w:cstheme="minorBidi"/>
              <w:noProof/>
              <w:lang w:val="en-AU" w:eastAsia="en-AU"/>
            </w:rPr>
          </w:pPr>
          <w:hyperlink w:anchor="_Toc44942503" w:history="1">
            <w:r w:rsidR="00DE38AE" w:rsidRPr="00834DF7">
              <w:rPr>
                <w:rStyle w:val="Hyperlink"/>
                <w:noProof/>
              </w:rPr>
              <w:t>1.1.4</w:t>
            </w:r>
            <w:r w:rsidR="00DE38AE">
              <w:rPr>
                <w:rFonts w:cstheme="minorBidi"/>
                <w:noProof/>
                <w:lang w:val="en-AU" w:eastAsia="en-AU"/>
              </w:rPr>
              <w:tab/>
            </w:r>
            <w:r w:rsidR="00DE38AE" w:rsidRPr="00834DF7">
              <w:rPr>
                <w:rStyle w:val="Hyperlink"/>
                <w:noProof/>
              </w:rPr>
              <w:t>Providing feedback</w:t>
            </w:r>
            <w:r w:rsidR="00DE38AE">
              <w:rPr>
                <w:noProof/>
                <w:webHidden/>
              </w:rPr>
              <w:tab/>
            </w:r>
            <w:r w:rsidR="00DE38AE">
              <w:rPr>
                <w:noProof/>
                <w:webHidden/>
              </w:rPr>
              <w:fldChar w:fldCharType="begin"/>
            </w:r>
            <w:r w:rsidR="00DE38AE">
              <w:rPr>
                <w:noProof/>
                <w:webHidden/>
              </w:rPr>
              <w:instrText xml:space="preserve"> PAGEREF _Toc44942503 \h </w:instrText>
            </w:r>
            <w:r w:rsidR="00DE38AE">
              <w:rPr>
                <w:noProof/>
                <w:webHidden/>
              </w:rPr>
            </w:r>
            <w:r w:rsidR="00DE38AE">
              <w:rPr>
                <w:noProof/>
                <w:webHidden/>
              </w:rPr>
              <w:fldChar w:fldCharType="separate"/>
            </w:r>
            <w:r w:rsidR="001B2852">
              <w:rPr>
                <w:noProof/>
                <w:webHidden/>
              </w:rPr>
              <w:t>3</w:t>
            </w:r>
            <w:r w:rsidR="00DE38AE">
              <w:rPr>
                <w:noProof/>
                <w:webHidden/>
              </w:rPr>
              <w:fldChar w:fldCharType="end"/>
            </w:r>
          </w:hyperlink>
        </w:p>
        <w:p w14:paraId="09955302" w14:textId="7FB89B6A" w:rsidR="00DE38AE" w:rsidRDefault="00030BA8">
          <w:pPr>
            <w:pStyle w:val="TOC2"/>
            <w:rPr>
              <w:rFonts w:eastAsiaTheme="minorEastAsia" w:cstheme="minorBidi"/>
              <w:noProof/>
              <w:color w:val="auto"/>
              <w:szCs w:val="22"/>
            </w:rPr>
          </w:pPr>
          <w:hyperlink w:anchor="_Toc44942504" w:history="1">
            <w:r w:rsidR="00DE38AE" w:rsidRPr="00834DF7">
              <w:rPr>
                <w:rStyle w:val="Hyperlink"/>
                <w:rFonts w:cstheme="minorHAnsi"/>
                <w:noProof/>
              </w:rPr>
              <w:t>1.2</w:t>
            </w:r>
            <w:r w:rsidR="00DE38AE">
              <w:rPr>
                <w:rFonts w:eastAsiaTheme="minorEastAsia" w:cstheme="minorBidi"/>
                <w:noProof/>
                <w:color w:val="auto"/>
                <w:szCs w:val="22"/>
              </w:rPr>
              <w:tab/>
            </w:r>
            <w:r w:rsidR="00DE38AE" w:rsidRPr="00834DF7">
              <w:rPr>
                <w:rStyle w:val="Hyperlink"/>
                <w:noProof/>
              </w:rPr>
              <w:t>Planning Commonwealth environmental water use</w:t>
            </w:r>
            <w:r w:rsidR="00DE38AE">
              <w:rPr>
                <w:noProof/>
                <w:webHidden/>
              </w:rPr>
              <w:tab/>
            </w:r>
            <w:r w:rsidR="00DE38AE">
              <w:rPr>
                <w:noProof/>
                <w:webHidden/>
              </w:rPr>
              <w:fldChar w:fldCharType="begin"/>
            </w:r>
            <w:r w:rsidR="00DE38AE">
              <w:rPr>
                <w:noProof/>
                <w:webHidden/>
              </w:rPr>
              <w:instrText xml:space="preserve"> PAGEREF _Toc44942504 \h </w:instrText>
            </w:r>
            <w:r w:rsidR="00DE38AE">
              <w:rPr>
                <w:noProof/>
                <w:webHidden/>
              </w:rPr>
            </w:r>
            <w:r w:rsidR="00DE38AE">
              <w:rPr>
                <w:noProof/>
                <w:webHidden/>
              </w:rPr>
              <w:fldChar w:fldCharType="separate"/>
            </w:r>
            <w:r w:rsidR="001B2852">
              <w:rPr>
                <w:noProof/>
                <w:webHidden/>
              </w:rPr>
              <w:t>3</w:t>
            </w:r>
            <w:r w:rsidR="00DE38AE">
              <w:rPr>
                <w:noProof/>
                <w:webHidden/>
              </w:rPr>
              <w:fldChar w:fldCharType="end"/>
            </w:r>
          </w:hyperlink>
        </w:p>
        <w:p w14:paraId="409E1DFD" w14:textId="76C67719" w:rsidR="00DE38AE" w:rsidRDefault="00030BA8">
          <w:pPr>
            <w:pStyle w:val="TOC3"/>
            <w:tabs>
              <w:tab w:val="left" w:pos="1320"/>
              <w:tab w:val="right" w:leader="dot" w:pos="9202"/>
            </w:tabs>
            <w:rPr>
              <w:rFonts w:cstheme="minorBidi"/>
              <w:noProof/>
              <w:lang w:val="en-AU" w:eastAsia="en-AU"/>
            </w:rPr>
          </w:pPr>
          <w:hyperlink w:anchor="_Toc44942505" w:history="1">
            <w:r w:rsidR="00DE38AE" w:rsidRPr="00834DF7">
              <w:rPr>
                <w:rStyle w:val="Hyperlink"/>
                <w:noProof/>
              </w:rPr>
              <w:t>1.2.1</w:t>
            </w:r>
            <w:r w:rsidR="00DE38AE">
              <w:rPr>
                <w:rFonts w:cstheme="minorBidi"/>
                <w:noProof/>
                <w:lang w:val="en-AU" w:eastAsia="en-AU"/>
              </w:rPr>
              <w:tab/>
            </w:r>
            <w:r w:rsidR="00DE38AE" w:rsidRPr="00834DF7">
              <w:rPr>
                <w:rStyle w:val="Hyperlink"/>
                <w:noProof/>
              </w:rPr>
              <w:t>What we are trying to achieve for the environment</w:t>
            </w:r>
            <w:r w:rsidR="00DE38AE">
              <w:rPr>
                <w:noProof/>
                <w:webHidden/>
              </w:rPr>
              <w:tab/>
            </w:r>
            <w:r w:rsidR="00DE38AE">
              <w:rPr>
                <w:noProof/>
                <w:webHidden/>
              </w:rPr>
              <w:fldChar w:fldCharType="begin"/>
            </w:r>
            <w:r w:rsidR="00DE38AE">
              <w:rPr>
                <w:noProof/>
                <w:webHidden/>
              </w:rPr>
              <w:instrText xml:space="preserve"> PAGEREF _Toc44942505 \h </w:instrText>
            </w:r>
            <w:r w:rsidR="00DE38AE">
              <w:rPr>
                <w:noProof/>
                <w:webHidden/>
              </w:rPr>
            </w:r>
            <w:r w:rsidR="00DE38AE">
              <w:rPr>
                <w:noProof/>
                <w:webHidden/>
              </w:rPr>
              <w:fldChar w:fldCharType="separate"/>
            </w:r>
            <w:r w:rsidR="001B2852">
              <w:rPr>
                <w:noProof/>
                <w:webHidden/>
              </w:rPr>
              <w:t>3</w:t>
            </w:r>
            <w:r w:rsidR="00DE38AE">
              <w:rPr>
                <w:noProof/>
                <w:webHidden/>
              </w:rPr>
              <w:fldChar w:fldCharType="end"/>
            </w:r>
          </w:hyperlink>
        </w:p>
        <w:p w14:paraId="0CF13779" w14:textId="7C63BDC7" w:rsidR="00DE38AE" w:rsidRDefault="00030BA8">
          <w:pPr>
            <w:pStyle w:val="TOC3"/>
            <w:tabs>
              <w:tab w:val="left" w:pos="1320"/>
              <w:tab w:val="right" w:leader="dot" w:pos="9202"/>
            </w:tabs>
            <w:rPr>
              <w:rFonts w:cstheme="minorBidi"/>
              <w:noProof/>
              <w:lang w:val="en-AU" w:eastAsia="en-AU"/>
            </w:rPr>
          </w:pPr>
          <w:hyperlink w:anchor="_Toc44942506" w:history="1">
            <w:r w:rsidR="00DE38AE" w:rsidRPr="00834DF7">
              <w:rPr>
                <w:rStyle w:val="Hyperlink"/>
                <w:noProof/>
              </w:rPr>
              <w:t>1.2.2</w:t>
            </w:r>
            <w:r w:rsidR="00DE38AE">
              <w:rPr>
                <w:rFonts w:cstheme="minorBidi"/>
                <w:noProof/>
                <w:lang w:val="en-AU" w:eastAsia="en-AU"/>
              </w:rPr>
              <w:tab/>
            </w:r>
            <w:r w:rsidR="00DE38AE" w:rsidRPr="00834DF7">
              <w:rPr>
                <w:rStyle w:val="Hyperlink"/>
                <w:noProof/>
              </w:rPr>
              <w:t>Providing water to meet environmental demands</w:t>
            </w:r>
            <w:r w:rsidR="00DE38AE">
              <w:rPr>
                <w:noProof/>
                <w:webHidden/>
              </w:rPr>
              <w:tab/>
            </w:r>
            <w:r w:rsidR="00DE38AE">
              <w:rPr>
                <w:noProof/>
                <w:webHidden/>
              </w:rPr>
              <w:fldChar w:fldCharType="begin"/>
            </w:r>
            <w:r w:rsidR="00DE38AE">
              <w:rPr>
                <w:noProof/>
                <w:webHidden/>
              </w:rPr>
              <w:instrText xml:space="preserve"> PAGEREF _Toc44942506 \h </w:instrText>
            </w:r>
            <w:r w:rsidR="00DE38AE">
              <w:rPr>
                <w:noProof/>
                <w:webHidden/>
              </w:rPr>
            </w:r>
            <w:r w:rsidR="00DE38AE">
              <w:rPr>
                <w:noProof/>
                <w:webHidden/>
              </w:rPr>
              <w:fldChar w:fldCharType="separate"/>
            </w:r>
            <w:r w:rsidR="001B2852">
              <w:rPr>
                <w:noProof/>
                <w:webHidden/>
              </w:rPr>
              <w:t>5</w:t>
            </w:r>
            <w:r w:rsidR="00DE38AE">
              <w:rPr>
                <w:noProof/>
                <w:webHidden/>
              </w:rPr>
              <w:fldChar w:fldCharType="end"/>
            </w:r>
          </w:hyperlink>
        </w:p>
        <w:p w14:paraId="1CE9D827" w14:textId="25CF1C28" w:rsidR="00DE38AE" w:rsidRDefault="00030BA8">
          <w:pPr>
            <w:pStyle w:val="TOC2"/>
            <w:rPr>
              <w:rFonts w:eastAsiaTheme="minorEastAsia" w:cstheme="minorBidi"/>
              <w:noProof/>
              <w:color w:val="auto"/>
              <w:szCs w:val="22"/>
            </w:rPr>
          </w:pPr>
          <w:hyperlink w:anchor="_Toc44942507" w:history="1">
            <w:r w:rsidR="00DE38AE" w:rsidRPr="00834DF7">
              <w:rPr>
                <w:rStyle w:val="Hyperlink"/>
                <w:rFonts w:cstheme="minorHAnsi"/>
                <w:noProof/>
              </w:rPr>
              <w:t>1.3</w:t>
            </w:r>
            <w:r w:rsidR="00DE38AE">
              <w:rPr>
                <w:rFonts w:eastAsiaTheme="minorEastAsia" w:cstheme="minorBidi"/>
                <w:noProof/>
                <w:color w:val="auto"/>
                <w:szCs w:val="22"/>
              </w:rPr>
              <w:tab/>
            </w:r>
            <w:r w:rsidR="00DE38AE" w:rsidRPr="00834DF7">
              <w:rPr>
                <w:rStyle w:val="Hyperlink"/>
                <w:noProof/>
              </w:rPr>
              <w:t>From planning to decision making</w:t>
            </w:r>
            <w:r w:rsidR="00DE38AE">
              <w:rPr>
                <w:noProof/>
                <w:webHidden/>
              </w:rPr>
              <w:tab/>
            </w:r>
            <w:r w:rsidR="00DE38AE">
              <w:rPr>
                <w:noProof/>
                <w:webHidden/>
              </w:rPr>
              <w:fldChar w:fldCharType="begin"/>
            </w:r>
            <w:r w:rsidR="00DE38AE">
              <w:rPr>
                <w:noProof/>
                <w:webHidden/>
              </w:rPr>
              <w:instrText xml:space="preserve"> PAGEREF _Toc44942507 \h </w:instrText>
            </w:r>
            <w:r w:rsidR="00DE38AE">
              <w:rPr>
                <w:noProof/>
                <w:webHidden/>
              </w:rPr>
            </w:r>
            <w:r w:rsidR="00DE38AE">
              <w:rPr>
                <w:noProof/>
                <w:webHidden/>
              </w:rPr>
              <w:fldChar w:fldCharType="separate"/>
            </w:r>
            <w:r w:rsidR="001B2852">
              <w:rPr>
                <w:noProof/>
                <w:webHidden/>
              </w:rPr>
              <w:t>7</w:t>
            </w:r>
            <w:r w:rsidR="00DE38AE">
              <w:rPr>
                <w:noProof/>
                <w:webHidden/>
              </w:rPr>
              <w:fldChar w:fldCharType="end"/>
            </w:r>
          </w:hyperlink>
        </w:p>
        <w:p w14:paraId="521616AD" w14:textId="36ABB4F0" w:rsidR="00DE38AE" w:rsidRDefault="00030BA8">
          <w:pPr>
            <w:pStyle w:val="TOC3"/>
            <w:tabs>
              <w:tab w:val="left" w:pos="1320"/>
              <w:tab w:val="right" w:leader="dot" w:pos="9202"/>
            </w:tabs>
            <w:rPr>
              <w:rFonts w:cstheme="minorBidi"/>
              <w:noProof/>
              <w:lang w:val="en-AU" w:eastAsia="en-AU"/>
            </w:rPr>
          </w:pPr>
          <w:hyperlink w:anchor="_Toc44942508" w:history="1">
            <w:r w:rsidR="00DE38AE" w:rsidRPr="00834DF7">
              <w:rPr>
                <w:rStyle w:val="Hyperlink"/>
                <w:noProof/>
              </w:rPr>
              <w:t>1.3.1</w:t>
            </w:r>
            <w:r w:rsidR="00DE38AE">
              <w:rPr>
                <w:rFonts w:cstheme="minorBidi"/>
                <w:noProof/>
                <w:lang w:val="en-AU" w:eastAsia="en-AU"/>
              </w:rPr>
              <w:tab/>
            </w:r>
            <w:r w:rsidR="00DE38AE" w:rsidRPr="00834DF7">
              <w:rPr>
                <w:rStyle w:val="Hyperlink"/>
                <w:noProof/>
              </w:rPr>
              <w:t>Making Commonwealth environmental watering decisions</w:t>
            </w:r>
            <w:r w:rsidR="00DE38AE">
              <w:rPr>
                <w:noProof/>
                <w:webHidden/>
              </w:rPr>
              <w:tab/>
            </w:r>
            <w:r w:rsidR="00DE38AE">
              <w:rPr>
                <w:noProof/>
                <w:webHidden/>
              </w:rPr>
              <w:fldChar w:fldCharType="begin"/>
            </w:r>
            <w:r w:rsidR="00DE38AE">
              <w:rPr>
                <w:noProof/>
                <w:webHidden/>
              </w:rPr>
              <w:instrText xml:space="preserve"> PAGEREF _Toc44942508 \h </w:instrText>
            </w:r>
            <w:r w:rsidR="00DE38AE">
              <w:rPr>
                <w:noProof/>
                <w:webHidden/>
              </w:rPr>
            </w:r>
            <w:r w:rsidR="00DE38AE">
              <w:rPr>
                <w:noProof/>
                <w:webHidden/>
              </w:rPr>
              <w:fldChar w:fldCharType="separate"/>
            </w:r>
            <w:r w:rsidR="001B2852">
              <w:rPr>
                <w:noProof/>
                <w:webHidden/>
              </w:rPr>
              <w:t>7</w:t>
            </w:r>
            <w:r w:rsidR="00DE38AE">
              <w:rPr>
                <w:noProof/>
                <w:webHidden/>
              </w:rPr>
              <w:fldChar w:fldCharType="end"/>
            </w:r>
          </w:hyperlink>
        </w:p>
        <w:p w14:paraId="3470C1C4" w14:textId="35031C0E" w:rsidR="00DE38AE" w:rsidRDefault="00030BA8">
          <w:pPr>
            <w:pStyle w:val="TOC3"/>
            <w:tabs>
              <w:tab w:val="left" w:pos="1320"/>
              <w:tab w:val="right" w:leader="dot" w:pos="9202"/>
            </w:tabs>
            <w:rPr>
              <w:rFonts w:cstheme="minorBidi"/>
              <w:noProof/>
              <w:lang w:val="en-AU" w:eastAsia="en-AU"/>
            </w:rPr>
          </w:pPr>
          <w:hyperlink w:anchor="_Toc44942509" w:history="1">
            <w:r w:rsidR="00DE38AE" w:rsidRPr="00834DF7">
              <w:rPr>
                <w:rStyle w:val="Hyperlink"/>
                <w:noProof/>
              </w:rPr>
              <w:t>1.3.2</w:t>
            </w:r>
            <w:r w:rsidR="00DE38AE">
              <w:rPr>
                <w:rFonts w:cstheme="minorBidi"/>
                <w:noProof/>
                <w:lang w:val="en-AU" w:eastAsia="en-AU"/>
              </w:rPr>
              <w:tab/>
            </w:r>
            <w:r w:rsidR="00DE38AE" w:rsidRPr="00834DF7">
              <w:rPr>
                <w:rStyle w:val="Hyperlink"/>
                <w:noProof/>
              </w:rPr>
              <w:t>Carryover</w:t>
            </w:r>
            <w:r w:rsidR="00DE38AE">
              <w:rPr>
                <w:noProof/>
                <w:webHidden/>
              </w:rPr>
              <w:tab/>
            </w:r>
            <w:r w:rsidR="00DE38AE">
              <w:rPr>
                <w:noProof/>
                <w:webHidden/>
              </w:rPr>
              <w:fldChar w:fldCharType="begin"/>
            </w:r>
            <w:r w:rsidR="00DE38AE">
              <w:rPr>
                <w:noProof/>
                <w:webHidden/>
              </w:rPr>
              <w:instrText xml:space="preserve"> PAGEREF _Toc44942509 \h </w:instrText>
            </w:r>
            <w:r w:rsidR="00DE38AE">
              <w:rPr>
                <w:noProof/>
                <w:webHidden/>
              </w:rPr>
            </w:r>
            <w:r w:rsidR="00DE38AE">
              <w:rPr>
                <w:noProof/>
                <w:webHidden/>
              </w:rPr>
              <w:fldChar w:fldCharType="separate"/>
            </w:r>
            <w:r w:rsidR="001B2852">
              <w:rPr>
                <w:noProof/>
                <w:webHidden/>
              </w:rPr>
              <w:t>8</w:t>
            </w:r>
            <w:r w:rsidR="00DE38AE">
              <w:rPr>
                <w:noProof/>
                <w:webHidden/>
              </w:rPr>
              <w:fldChar w:fldCharType="end"/>
            </w:r>
          </w:hyperlink>
        </w:p>
        <w:p w14:paraId="64C64AA7" w14:textId="7656BF63" w:rsidR="00DE38AE" w:rsidRDefault="00030BA8">
          <w:pPr>
            <w:pStyle w:val="TOC3"/>
            <w:tabs>
              <w:tab w:val="left" w:pos="1320"/>
              <w:tab w:val="right" w:leader="dot" w:pos="9202"/>
            </w:tabs>
            <w:rPr>
              <w:rFonts w:cstheme="minorBidi"/>
              <w:noProof/>
              <w:lang w:val="en-AU" w:eastAsia="en-AU"/>
            </w:rPr>
          </w:pPr>
          <w:hyperlink w:anchor="_Toc44942510" w:history="1">
            <w:r w:rsidR="00DE38AE" w:rsidRPr="00834DF7">
              <w:rPr>
                <w:rStyle w:val="Hyperlink"/>
                <w:noProof/>
              </w:rPr>
              <w:t>1.3.3</w:t>
            </w:r>
            <w:r w:rsidR="00DE38AE">
              <w:rPr>
                <w:rFonts w:cstheme="minorBidi"/>
                <w:noProof/>
                <w:lang w:val="en-AU" w:eastAsia="en-AU"/>
              </w:rPr>
              <w:tab/>
            </w:r>
            <w:r w:rsidR="00DE38AE" w:rsidRPr="00834DF7">
              <w:rPr>
                <w:rStyle w:val="Hyperlink"/>
                <w:noProof/>
              </w:rPr>
              <w:t>Trade</w:t>
            </w:r>
            <w:r w:rsidR="00DE38AE">
              <w:rPr>
                <w:noProof/>
                <w:webHidden/>
              </w:rPr>
              <w:tab/>
            </w:r>
            <w:r w:rsidR="00DE38AE">
              <w:rPr>
                <w:noProof/>
                <w:webHidden/>
              </w:rPr>
              <w:fldChar w:fldCharType="begin"/>
            </w:r>
            <w:r w:rsidR="00DE38AE">
              <w:rPr>
                <w:noProof/>
                <w:webHidden/>
              </w:rPr>
              <w:instrText xml:space="preserve"> PAGEREF _Toc44942510 \h </w:instrText>
            </w:r>
            <w:r w:rsidR="00DE38AE">
              <w:rPr>
                <w:noProof/>
                <w:webHidden/>
              </w:rPr>
            </w:r>
            <w:r w:rsidR="00DE38AE">
              <w:rPr>
                <w:noProof/>
                <w:webHidden/>
              </w:rPr>
              <w:fldChar w:fldCharType="separate"/>
            </w:r>
            <w:r w:rsidR="001B2852">
              <w:rPr>
                <w:noProof/>
                <w:webHidden/>
              </w:rPr>
              <w:t>8</w:t>
            </w:r>
            <w:r w:rsidR="00DE38AE">
              <w:rPr>
                <w:noProof/>
                <w:webHidden/>
              </w:rPr>
              <w:fldChar w:fldCharType="end"/>
            </w:r>
          </w:hyperlink>
        </w:p>
        <w:p w14:paraId="262AC954" w14:textId="0C0D38A1" w:rsidR="00DE38AE" w:rsidRDefault="00030BA8">
          <w:pPr>
            <w:pStyle w:val="TOC2"/>
            <w:rPr>
              <w:rFonts w:eastAsiaTheme="minorEastAsia" w:cstheme="minorBidi"/>
              <w:noProof/>
              <w:color w:val="auto"/>
              <w:szCs w:val="22"/>
            </w:rPr>
          </w:pPr>
          <w:hyperlink w:anchor="_Toc44942511" w:history="1">
            <w:r w:rsidR="00DE38AE" w:rsidRPr="00834DF7">
              <w:rPr>
                <w:rStyle w:val="Hyperlink"/>
                <w:rFonts w:cstheme="minorHAnsi"/>
                <w:noProof/>
              </w:rPr>
              <w:t>1.4</w:t>
            </w:r>
            <w:r w:rsidR="00DE38AE">
              <w:rPr>
                <w:rFonts w:eastAsiaTheme="minorEastAsia" w:cstheme="minorBidi"/>
                <w:noProof/>
                <w:color w:val="auto"/>
                <w:szCs w:val="22"/>
              </w:rPr>
              <w:tab/>
            </w:r>
            <w:r w:rsidR="00DE38AE" w:rsidRPr="00834DF7">
              <w:rPr>
                <w:rStyle w:val="Hyperlink"/>
                <w:noProof/>
              </w:rPr>
              <w:t>How we consult and engage</w:t>
            </w:r>
            <w:r w:rsidR="00DE38AE">
              <w:rPr>
                <w:noProof/>
                <w:webHidden/>
              </w:rPr>
              <w:tab/>
            </w:r>
            <w:r w:rsidR="00DE38AE">
              <w:rPr>
                <w:noProof/>
                <w:webHidden/>
              </w:rPr>
              <w:fldChar w:fldCharType="begin"/>
            </w:r>
            <w:r w:rsidR="00DE38AE">
              <w:rPr>
                <w:noProof/>
                <w:webHidden/>
              </w:rPr>
              <w:instrText xml:space="preserve"> PAGEREF _Toc44942511 \h </w:instrText>
            </w:r>
            <w:r w:rsidR="00DE38AE">
              <w:rPr>
                <w:noProof/>
                <w:webHidden/>
              </w:rPr>
            </w:r>
            <w:r w:rsidR="00DE38AE">
              <w:rPr>
                <w:noProof/>
                <w:webHidden/>
              </w:rPr>
              <w:fldChar w:fldCharType="separate"/>
            </w:r>
            <w:r w:rsidR="001B2852">
              <w:rPr>
                <w:noProof/>
                <w:webHidden/>
              </w:rPr>
              <w:t>9</w:t>
            </w:r>
            <w:r w:rsidR="00DE38AE">
              <w:rPr>
                <w:noProof/>
                <w:webHidden/>
              </w:rPr>
              <w:fldChar w:fldCharType="end"/>
            </w:r>
          </w:hyperlink>
        </w:p>
        <w:p w14:paraId="527A5B21" w14:textId="71D69ACB" w:rsidR="00DE38AE" w:rsidRDefault="00030BA8">
          <w:pPr>
            <w:pStyle w:val="TOC3"/>
            <w:tabs>
              <w:tab w:val="left" w:pos="1320"/>
              <w:tab w:val="right" w:leader="dot" w:pos="9202"/>
            </w:tabs>
            <w:rPr>
              <w:rFonts w:cstheme="minorBidi"/>
              <w:noProof/>
              <w:lang w:val="en-AU" w:eastAsia="en-AU"/>
            </w:rPr>
          </w:pPr>
          <w:hyperlink w:anchor="_Toc44942512" w:history="1">
            <w:r w:rsidR="00DE38AE" w:rsidRPr="00834DF7">
              <w:rPr>
                <w:rStyle w:val="Hyperlink"/>
                <w:noProof/>
              </w:rPr>
              <w:t>1.4.1</w:t>
            </w:r>
            <w:r w:rsidR="00DE38AE">
              <w:rPr>
                <w:rFonts w:cstheme="minorBidi"/>
                <w:noProof/>
                <w:lang w:val="en-AU" w:eastAsia="en-AU"/>
              </w:rPr>
              <w:tab/>
            </w:r>
            <w:r w:rsidR="00DE38AE" w:rsidRPr="00834DF7">
              <w:rPr>
                <w:rStyle w:val="Hyperlink"/>
                <w:noProof/>
              </w:rPr>
              <w:t>Delivery partners</w:t>
            </w:r>
            <w:r w:rsidR="00DE38AE">
              <w:rPr>
                <w:noProof/>
                <w:webHidden/>
              </w:rPr>
              <w:tab/>
            </w:r>
            <w:r w:rsidR="00DE38AE">
              <w:rPr>
                <w:noProof/>
                <w:webHidden/>
              </w:rPr>
              <w:fldChar w:fldCharType="begin"/>
            </w:r>
            <w:r w:rsidR="00DE38AE">
              <w:rPr>
                <w:noProof/>
                <w:webHidden/>
              </w:rPr>
              <w:instrText xml:space="preserve"> PAGEREF _Toc44942512 \h </w:instrText>
            </w:r>
            <w:r w:rsidR="00DE38AE">
              <w:rPr>
                <w:noProof/>
                <w:webHidden/>
              </w:rPr>
            </w:r>
            <w:r w:rsidR="00DE38AE">
              <w:rPr>
                <w:noProof/>
                <w:webHidden/>
              </w:rPr>
              <w:fldChar w:fldCharType="separate"/>
            </w:r>
            <w:r w:rsidR="001B2852">
              <w:rPr>
                <w:noProof/>
                <w:webHidden/>
              </w:rPr>
              <w:t>9</w:t>
            </w:r>
            <w:r w:rsidR="00DE38AE">
              <w:rPr>
                <w:noProof/>
                <w:webHidden/>
              </w:rPr>
              <w:fldChar w:fldCharType="end"/>
            </w:r>
          </w:hyperlink>
        </w:p>
        <w:p w14:paraId="3B06E2FF" w14:textId="216C17A6" w:rsidR="00DE38AE" w:rsidRDefault="00030BA8">
          <w:pPr>
            <w:pStyle w:val="TOC3"/>
            <w:tabs>
              <w:tab w:val="left" w:pos="1320"/>
              <w:tab w:val="right" w:leader="dot" w:pos="9202"/>
            </w:tabs>
            <w:rPr>
              <w:rFonts w:cstheme="minorBidi"/>
              <w:noProof/>
              <w:lang w:val="en-AU" w:eastAsia="en-AU"/>
            </w:rPr>
          </w:pPr>
          <w:hyperlink w:anchor="_Toc44942513" w:history="1">
            <w:r w:rsidR="00DE38AE" w:rsidRPr="00834DF7">
              <w:rPr>
                <w:rStyle w:val="Hyperlink"/>
                <w:noProof/>
              </w:rPr>
              <w:t>1.4.2</w:t>
            </w:r>
            <w:r w:rsidR="00DE38AE">
              <w:rPr>
                <w:rFonts w:cstheme="minorBidi"/>
                <w:noProof/>
                <w:lang w:val="en-AU" w:eastAsia="en-AU"/>
              </w:rPr>
              <w:tab/>
            </w:r>
            <w:r w:rsidR="00DE38AE" w:rsidRPr="00834DF7">
              <w:rPr>
                <w:rStyle w:val="Hyperlink"/>
                <w:noProof/>
              </w:rPr>
              <w:t>Working with First Nations</w:t>
            </w:r>
            <w:r w:rsidR="00DE38AE">
              <w:rPr>
                <w:noProof/>
                <w:webHidden/>
              </w:rPr>
              <w:tab/>
            </w:r>
            <w:r w:rsidR="00DE38AE">
              <w:rPr>
                <w:noProof/>
                <w:webHidden/>
              </w:rPr>
              <w:fldChar w:fldCharType="begin"/>
            </w:r>
            <w:r w:rsidR="00DE38AE">
              <w:rPr>
                <w:noProof/>
                <w:webHidden/>
              </w:rPr>
              <w:instrText xml:space="preserve"> PAGEREF _Toc44942513 \h </w:instrText>
            </w:r>
            <w:r w:rsidR="00DE38AE">
              <w:rPr>
                <w:noProof/>
                <w:webHidden/>
              </w:rPr>
            </w:r>
            <w:r w:rsidR="00DE38AE">
              <w:rPr>
                <w:noProof/>
                <w:webHidden/>
              </w:rPr>
              <w:fldChar w:fldCharType="separate"/>
            </w:r>
            <w:r w:rsidR="001B2852">
              <w:rPr>
                <w:noProof/>
                <w:webHidden/>
              </w:rPr>
              <w:t>9</w:t>
            </w:r>
            <w:r w:rsidR="00DE38AE">
              <w:rPr>
                <w:noProof/>
                <w:webHidden/>
              </w:rPr>
              <w:fldChar w:fldCharType="end"/>
            </w:r>
          </w:hyperlink>
        </w:p>
        <w:p w14:paraId="123F1A98" w14:textId="4328360A" w:rsidR="00DE38AE" w:rsidRDefault="00030BA8">
          <w:pPr>
            <w:pStyle w:val="TOC3"/>
            <w:tabs>
              <w:tab w:val="left" w:pos="1320"/>
              <w:tab w:val="right" w:leader="dot" w:pos="9202"/>
            </w:tabs>
            <w:rPr>
              <w:rFonts w:cstheme="minorBidi"/>
              <w:noProof/>
              <w:lang w:val="en-AU" w:eastAsia="en-AU"/>
            </w:rPr>
          </w:pPr>
          <w:hyperlink w:anchor="_Toc44942514" w:history="1">
            <w:r w:rsidR="00DE38AE" w:rsidRPr="00834DF7">
              <w:rPr>
                <w:rStyle w:val="Hyperlink"/>
                <w:noProof/>
              </w:rPr>
              <w:t>1.4.3</w:t>
            </w:r>
            <w:r w:rsidR="00DE38AE">
              <w:rPr>
                <w:rFonts w:cstheme="minorBidi"/>
                <w:noProof/>
                <w:lang w:val="en-AU" w:eastAsia="en-AU"/>
              </w:rPr>
              <w:tab/>
            </w:r>
            <w:r w:rsidR="00DE38AE" w:rsidRPr="00834DF7">
              <w:rPr>
                <w:rStyle w:val="Hyperlink"/>
                <w:noProof/>
              </w:rPr>
              <w:t>Community engagement</w:t>
            </w:r>
            <w:r w:rsidR="00DE38AE">
              <w:rPr>
                <w:noProof/>
                <w:webHidden/>
              </w:rPr>
              <w:tab/>
            </w:r>
            <w:r w:rsidR="00DE38AE">
              <w:rPr>
                <w:noProof/>
                <w:webHidden/>
              </w:rPr>
              <w:fldChar w:fldCharType="begin"/>
            </w:r>
            <w:r w:rsidR="00DE38AE">
              <w:rPr>
                <w:noProof/>
                <w:webHidden/>
              </w:rPr>
              <w:instrText xml:space="preserve"> PAGEREF _Toc44942514 \h </w:instrText>
            </w:r>
            <w:r w:rsidR="00DE38AE">
              <w:rPr>
                <w:noProof/>
                <w:webHidden/>
              </w:rPr>
            </w:r>
            <w:r w:rsidR="00DE38AE">
              <w:rPr>
                <w:noProof/>
                <w:webHidden/>
              </w:rPr>
              <w:fldChar w:fldCharType="separate"/>
            </w:r>
            <w:r w:rsidR="001B2852">
              <w:rPr>
                <w:noProof/>
                <w:webHidden/>
              </w:rPr>
              <w:t>9</w:t>
            </w:r>
            <w:r w:rsidR="00DE38AE">
              <w:rPr>
                <w:noProof/>
                <w:webHidden/>
              </w:rPr>
              <w:fldChar w:fldCharType="end"/>
            </w:r>
          </w:hyperlink>
        </w:p>
        <w:p w14:paraId="19EBF769" w14:textId="442F97D0" w:rsidR="00DE38AE" w:rsidRDefault="00030BA8">
          <w:pPr>
            <w:pStyle w:val="TOC2"/>
            <w:rPr>
              <w:rFonts w:eastAsiaTheme="minorEastAsia" w:cstheme="minorBidi"/>
              <w:noProof/>
              <w:color w:val="auto"/>
              <w:szCs w:val="22"/>
            </w:rPr>
          </w:pPr>
          <w:hyperlink w:anchor="_Toc44942515" w:history="1">
            <w:r w:rsidR="00DE38AE" w:rsidRPr="00834DF7">
              <w:rPr>
                <w:rStyle w:val="Hyperlink"/>
                <w:rFonts w:cstheme="minorHAnsi"/>
                <w:noProof/>
              </w:rPr>
              <w:t>1.5</w:t>
            </w:r>
            <w:r w:rsidR="00DE38AE">
              <w:rPr>
                <w:rFonts w:eastAsiaTheme="minorEastAsia" w:cstheme="minorBidi"/>
                <w:noProof/>
                <w:color w:val="auto"/>
                <w:szCs w:val="22"/>
              </w:rPr>
              <w:tab/>
            </w:r>
            <w:r w:rsidR="00DE38AE" w:rsidRPr="00834DF7">
              <w:rPr>
                <w:rStyle w:val="Hyperlink"/>
                <w:noProof/>
              </w:rPr>
              <w:t>Monitoring, Evaluation, Reporting and Improvement</w:t>
            </w:r>
            <w:r w:rsidR="00DE38AE">
              <w:rPr>
                <w:noProof/>
                <w:webHidden/>
              </w:rPr>
              <w:tab/>
            </w:r>
            <w:r w:rsidR="00DE38AE">
              <w:rPr>
                <w:noProof/>
                <w:webHidden/>
              </w:rPr>
              <w:fldChar w:fldCharType="begin"/>
            </w:r>
            <w:r w:rsidR="00DE38AE">
              <w:rPr>
                <w:noProof/>
                <w:webHidden/>
              </w:rPr>
              <w:instrText xml:space="preserve"> PAGEREF _Toc44942515 \h </w:instrText>
            </w:r>
            <w:r w:rsidR="00DE38AE">
              <w:rPr>
                <w:noProof/>
                <w:webHidden/>
              </w:rPr>
            </w:r>
            <w:r w:rsidR="00DE38AE">
              <w:rPr>
                <w:noProof/>
                <w:webHidden/>
              </w:rPr>
              <w:fldChar w:fldCharType="separate"/>
            </w:r>
            <w:r w:rsidR="001B2852">
              <w:rPr>
                <w:noProof/>
                <w:webHidden/>
              </w:rPr>
              <w:t>10</w:t>
            </w:r>
            <w:r w:rsidR="00DE38AE">
              <w:rPr>
                <w:noProof/>
                <w:webHidden/>
              </w:rPr>
              <w:fldChar w:fldCharType="end"/>
            </w:r>
          </w:hyperlink>
        </w:p>
        <w:p w14:paraId="0C7F47D9" w14:textId="557D3A70" w:rsidR="00DE38AE" w:rsidRDefault="00030BA8">
          <w:pPr>
            <w:pStyle w:val="TOC1"/>
            <w:tabs>
              <w:tab w:val="left" w:pos="440"/>
              <w:tab w:val="right" w:leader="dot" w:pos="9202"/>
            </w:tabs>
            <w:rPr>
              <w:rFonts w:eastAsiaTheme="minorEastAsia" w:cstheme="minorBidi"/>
              <w:noProof/>
              <w:color w:val="auto"/>
              <w:szCs w:val="22"/>
            </w:rPr>
          </w:pPr>
          <w:hyperlink w:anchor="_Toc44942516" w:history="1">
            <w:r w:rsidR="00DE38AE" w:rsidRPr="00834DF7">
              <w:rPr>
                <w:rStyle w:val="Hyperlink"/>
                <w:noProof/>
              </w:rPr>
              <w:t>2</w:t>
            </w:r>
            <w:r w:rsidR="00DE38AE">
              <w:rPr>
                <w:rFonts w:eastAsiaTheme="minorEastAsia" w:cstheme="minorBidi"/>
                <w:noProof/>
                <w:color w:val="auto"/>
                <w:szCs w:val="22"/>
              </w:rPr>
              <w:tab/>
            </w:r>
            <w:r w:rsidR="00DE38AE" w:rsidRPr="00834DF7">
              <w:rPr>
                <w:rStyle w:val="Hyperlink"/>
                <w:noProof/>
              </w:rPr>
              <w:t>Managing Commonwealth water for the environment in 2020-21</w:t>
            </w:r>
            <w:r w:rsidR="00DE38AE">
              <w:rPr>
                <w:noProof/>
                <w:webHidden/>
              </w:rPr>
              <w:tab/>
            </w:r>
            <w:r w:rsidR="00DE38AE">
              <w:rPr>
                <w:noProof/>
                <w:webHidden/>
              </w:rPr>
              <w:fldChar w:fldCharType="begin"/>
            </w:r>
            <w:r w:rsidR="00DE38AE">
              <w:rPr>
                <w:noProof/>
                <w:webHidden/>
              </w:rPr>
              <w:instrText xml:space="preserve"> PAGEREF _Toc44942516 \h </w:instrText>
            </w:r>
            <w:r w:rsidR="00DE38AE">
              <w:rPr>
                <w:noProof/>
                <w:webHidden/>
              </w:rPr>
            </w:r>
            <w:r w:rsidR="00DE38AE">
              <w:rPr>
                <w:noProof/>
                <w:webHidden/>
              </w:rPr>
              <w:fldChar w:fldCharType="separate"/>
            </w:r>
            <w:r w:rsidR="001B2852">
              <w:rPr>
                <w:noProof/>
                <w:webHidden/>
              </w:rPr>
              <w:t>11</w:t>
            </w:r>
            <w:r w:rsidR="00DE38AE">
              <w:rPr>
                <w:noProof/>
                <w:webHidden/>
              </w:rPr>
              <w:fldChar w:fldCharType="end"/>
            </w:r>
          </w:hyperlink>
        </w:p>
        <w:p w14:paraId="09F3F500" w14:textId="345A6D9D" w:rsidR="00DE38AE" w:rsidRDefault="00030BA8">
          <w:pPr>
            <w:pStyle w:val="TOC2"/>
            <w:rPr>
              <w:rFonts w:eastAsiaTheme="minorEastAsia" w:cstheme="minorBidi"/>
              <w:noProof/>
              <w:color w:val="auto"/>
              <w:szCs w:val="22"/>
            </w:rPr>
          </w:pPr>
          <w:hyperlink w:anchor="_Toc44942517" w:history="1">
            <w:r w:rsidR="00DE38AE" w:rsidRPr="00834DF7">
              <w:rPr>
                <w:rStyle w:val="Hyperlink"/>
                <w:rFonts w:cstheme="minorHAnsi"/>
                <w:noProof/>
              </w:rPr>
              <w:t>2.1</w:t>
            </w:r>
            <w:r w:rsidR="00DE38AE">
              <w:rPr>
                <w:rFonts w:eastAsiaTheme="minorEastAsia" w:cstheme="minorBidi"/>
                <w:noProof/>
                <w:color w:val="auto"/>
                <w:szCs w:val="22"/>
              </w:rPr>
              <w:tab/>
            </w:r>
            <w:r w:rsidR="00DE38AE" w:rsidRPr="00834DF7">
              <w:rPr>
                <w:rStyle w:val="Hyperlink"/>
                <w:noProof/>
              </w:rPr>
              <w:t>Adaptive Management – ‘Learning by Doing’</w:t>
            </w:r>
            <w:r w:rsidR="00DE38AE">
              <w:rPr>
                <w:noProof/>
                <w:webHidden/>
              </w:rPr>
              <w:tab/>
            </w:r>
            <w:r w:rsidR="00DE38AE">
              <w:rPr>
                <w:noProof/>
                <w:webHidden/>
              </w:rPr>
              <w:fldChar w:fldCharType="begin"/>
            </w:r>
            <w:r w:rsidR="00DE38AE">
              <w:rPr>
                <w:noProof/>
                <w:webHidden/>
              </w:rPr>
              <w:instrText xml:space="preserve"> PAGEREF _Toc44942517 \h </w:instrText>
            </w:r>
            <w:r w:rsidR="00DE38AE">
              <w:rPr>
                <w:noProof/>
                <w:webHidden/>
              </w:rPr>
            </w:r>
            <w:r w:rsidR="00DE38AE">
              <w:rPr>
                <w:noProof/>
                <w:webHidden/>
              </w:rPr>
              <w:fldChar w:fldCharType="separate"/>
            </w:r>
            <w:r w:rsidR="001B2852">
              <w:rPr>
                <w:noProof/>
                <w:webHidden/>
              </w:rPr>
              <w:t>11</w:t>
            </w:r>
            <w:r w:rsidR="00DE38AE">
              <w:rPr>
                <w:noProof/>
                <w:webHidden/>
              </w:rPr>
              <w:fldChar w:fldCharType="end"/>
            </w:r>
          </w:hyperlink>
        </w:p>
        <w:p w14:paraId="6F0AB812" w14:textId="0AB9BF1B" w:rsidR="00DE38AE" w:rsidRDefault="00030BA8">
          <w:pPr>
            <w:pStyle w:val="TOC2"/>
            <w:rPr>
              <w:rFonts w:eastAsiaTheme="minorEastAsia" w:cstheme="minorBidi"/>
              <w:noProof/>
              <w:color w:val="auto"/>
              <w:szCs w:val="22"/>
            </w:rPr>
          </w:pPr>
          <w:hyperlink w:anchor="_Toc44942518" w:history="1">
            <w:r w:rsidR="00DE38AE" w:rsidRPr="00834DF7">
              <w:rPr>
                <w:rStyle w:val="Hyperlink"/>
                <w:rFonts w:cstheme="minorHAnsi"/>
                <w:noProof/>
              </w:rPr>
              <w:t>2.2</w:t>
            </w:r>
            <w:r w:rsidR="00DE38AE">
              <w:rPr>
                <w:rFonts w:eastAsiaTheme="minorEastAsia" w:cstheme="minorBidi"/>
                <w:noProof/>
                <w:color w:val="auto"/>
                <w:szCs w:val="22"/>
              </w:rPr>
              <w:tab/>
            </w:r>
            <w:r w:rsidR="00DE38AE" w:rsidRPr="00834DF7">
              <w:rPr>
                <w:rStyle w:val="Hyperlink"/>
                <w:noProof/>
              </w:rPr>
              <w:t>Current conditions and seasonal outlook</w:t>
            </w:r>
            <w:r w:rsidR="00DE38AE">
              <w:rPr>
                <w:noProof/>
                <w:webHidden/>
              </w:rPr>
              <w:tab/>
            </w:r>
            <w:r w:rsidR="00DE38AE">
              <w:rPr>
                <w:noProof/>
                <w:webHidden/>
              </w:rPr>
              <w:fldChar w:fldCharType="begin"/>
            </w:r>
            <w:r w:rsidR="00DE38AE">
              <w:rPr>
                <w:noProof/>
                <w:webHidden/>
              </w:rPr>
              <w:instrText xml:space="preserve"> PAGEREF _Toc44942518 \h </w:instrText>
            </w:r>
            <w:r w:rsidR="00DE38AE">
              <w:rPr>
                <w:noProof/>
                <w:webHidden/>
              </w:rPr>
            </w:r>
            <w:r w:rsidR="00DE38AE">
              <w:rPr>
                <w:noProof/>
                <w:webHidden/>
              </w:rPr>
              <w:fldChar w:fldCharType="separate"/>
            </w:r>
            <w:r w:rsidR="001B2852">
              <w:rPr>
                <w:noProof/>
                <w:webHidden/>
              </w:rPr>
              <w:t>13</w:t>
            </w:r>
            <w:r w:rsidR="00DE38AE">
              <w:rPr>
                <w:noProof/>
                <w:webHidden/>
              </w:rPr>
              <w:fldChar w:fldCharType="end"/>
            </w:r>
          </w:hyperlink>
        </w:p>
        <w:p w14:paraId="094477CA" w14:textId="7DD97FBC" w:rsidR="00DE38AE" w:rsidRDefault="00030BA8">
          <w:pPr>
            <w:pStyle w:val="TOC2"/>
            <w:rPr>
              <w:rFonts w:eastAsiaTheme="minorEastAsia" w:cstheme="minorBidi"/>
              <w:noProof/>
              <w:color w:val="auto"/>
              <w:szCs w:val="22"/>
            </w:rPr>
          </w:pPr>
          <w:hyperlink w:anchor="_Toc44942519" w:history="1">
            <w:r w:rsidR="00DE38AE" w:rsidRPr="00834DF7">
              <w:rPr>
                <w:rStyle w:val="Hyperlink"/>
                <w:rFonts w:cstheme="minorHAnsi"/>
                <w:noProof/>
              </w:rPr>
              <w:t>2.3</w:t>
            </w:r>
            <w:r w:rsidR="00DE38AE">
              <w:rPr>
                <w:rFonts w:eastAsiaTheme="minorEastAsia" w:cstheme="minorBidi"/>
                <w:noProof/>
                <w:color w:val="auto"/>
                <w:szCs w:val="22"/>
              </w:rPr>
              <w:tab/>
            </w:r>
            <w:r w:rsidR="00DE38AE" w:rsidRPr="00834DF7">
              <w:rPr>
                <w:rStyle w:val="Hyperlink"/>
                <w:noProof/>
              </w:rPr>
              <w:t>Basin Annual Environmental Watering Priorities</w:t>
            </w:r>
            <w:r w:rsidR="00DE38AE">
              <w:rPr>
                <w:noProof/>
                <w:webHidden/>
              </w:rPr>
              <w:tab/>
            </w:r>
            <w:r w:rsidR="00DE38AE">
              <w:rPr>
                <w:noProof/>
                <w:webHidden/>
              </w:rPr>
              <w:fldChar w:fldCharType="begin"/>
            </w:r>
            <w:r w:rsidR="00DE38AE">
              <w:rPr>
                <w:noProof/>
                <w:webHidden/>
              </w:rPr>
              <w:instrText xml:space="preserve"> PAGEREF _Toc44942519 \h </w:instrText>
            </w:r>
            <w:r w:rsidR="00DE38AE">
              <w:rPr>
                <w:noProof/>
                <w:webHidden/>
              </w:rPr>
            </w:r>
            <w:r w:rsidR="00DE38AE">
              <w:rPr>
                <w:noProof/>
                <w:webHidden/>
              </w:rPr>
              <w:fldChar w:fldCharType="separate"/>
            </w:r>
            <w:r w:rsidR="001B2852">
              <w:rPr>
                <w:noProof/>
                <w:webHidden/>
              </w:rPr>
              <w:t>14</w:t>
            </w:r>
            <w:r w:rsidR="00DE38AE">
              <w:rPr>
                <w:noProof/>
                <w:webHidden/>
              </w:rPr>
              <w:fldChar w:fldCharType="end"/>
            </w:r>
          </w:hyperlink>
        </w:p>
        <w:p w14:paraId="22B42D91" w14:textId="3B2FDBB6" w:rsidR="00DE38AE" w:rsidRDefault="00030BA8">
          <w:pPr>
            <w:pStyle w:val="TOC2"/>
            <w:rPr>
              <w:rFonts w:eastAsiaTheme="minorEastAsia" w:cstheme="minorBidi"/>
              <w:noProof/>
              <w:color w:val="auto"/>
              <w:szCs w:val="22"/>
            </w:rPr>
          </w:pPr>
          <w:hyperlink w:anchor="_Toc44942520" w:history="1">
            <w:r w:rsidR="00DE38AE" w:rsidRPr="00834DF7">
              <w:rPr>
                <w:rStyle w:val="Hyperlink"/>
                <w:rFonts w:cstheme="minorHAnsi"/>
                <w:noProof/>
              </w:rPr>
              <w:t>2.4</w:t>
            </w:r>
            <w:r w:rsidR="00DE38AE">
              <w:rPr>
                <w:rFonts w:eastAsiaTheme="minorEastAsia" w:cstheme="minorBidi"/>
                <w:noProof/>
                <w:color w:val="auto"/>
                <w:szCs w:val="22"/>
              </w:rPr>
              <w:tab/>
            </w:r>
            <w:r w:rsidR="00DE38AE" w:rsidRPr="00834DF7">
              <w:rPr>
                <w:rStyle w:val="Hyperlink"/>
                <w:noProof/>
              </w:rPr>
              <w:t>First Nations environmental water objectives and outcomes</w:t>
            </w:r>
            <w:r w:rsidR="00DE38AE">
              <w:rPr>
                <w:noProof/>
                <w:webHidden/>
              </w:rPr>
              <w:tab/>
            </w:r>
            <w:r w:rsidR="00DE38AE">
              <w:rPr>
                <w:noProof/>
                <w:webHidden/>
              </w:rPr>
              <w:fldChar w:fldCharType="begin"/>
            </w:r>
            <w:r w:rsidR="00DE38AE">
              <w:rPr>
                <w:noProof/>
                <w:webHidden/>
              </w:rPr>
              <w:instrText xml:space="preserve"> PAGEREF _Toc44942520 \h </w:instrText>
            </w:r>
            <w:r w:rsidR="00DE38AE">
              <w:rPr>
                <w:noProof/>
                <w:webHidden/>
              </w:rPr>
            </w:r>
            <w:r w:rsidR="00DE38AE">
              <w:rPr>
                <w:noProof/>
                <w:webHidden/>
              </w:rPr>
              <w:fldChar w:fldCharType="separate"/>
            </w:r>
            <w:r w:rsidR="001B2852">
              <w:rPr>
                <w:noProof/>
                <w:webHidden/>
              </w:rPr>
              <w:t>15</w:t>
            </w:r>
            <w:r w:rsidR="00DE38AE">
              <w:rPr>
                <w:noProof/>
                <w:webHidden/>
              </w:rPr>
              <w:fldChar w:fldCharType="end"/>
            </w:r>
          </w:hyperlink>
        </w:p>
        <w:p w14:paraId="7544DB74" w14:textId="1D7037E6" w:rsidR="00DE38AE" w:rsidRDefault="00030BA8">
          <w:pPr>
            <w:pStyle w:val="TOC3"/>
            <w:tabs>
              <w:tab w:val="left" w:pos="1320"/>
              <w:tab w:val="right" w:leader="dot" w:pos="9202"/>
            </w:tabs>
            <w:rPr>
              <w:rFonts w:cstheme="minorBidi"/>
              <w:noProof/>
              <w:lang w:val="en-AU" w:eastAsia="en-AU"/>
            </w:rPr>
          </w:pPr>
          <w:hyperlink w:anchor="_Toc44942521" w:history="1">
            <w:r w:rsidR="00DE38AE" w:rsidRPr="00834DF7">
              <w:rPr>
                <w:rStyle w:val="Hyperlink"/>
                <w:noProof/>
              </w:rPr>
              <w:t>2.4.1</w:t>
            </w:r>
            <w:r w:rsidR="00DE38AE">
              <w:rPr>
                <w:rFonts w:cstheme="minorBidi"/>
                <w:noProof/>
                <w:lang w:val="en-AU" w:eastAsia="en-AU"/>
              </w:rPr>
              <w:tab/>
            </w:r>
            <w:r w:rsidR="00DE38AE" w:rsidRPr="00834DF7">
              <w:rPr>
                <w:rStyle w:val="Hyperlink"/>
                <w:noProof/>
              </w:rPr>
              <w:t>Northern Basin Priority Sites and Indicator Species</w:t>
            </w:r>
            <w:r w:rsidR="00DE38AE">
              <w:rPr>
                <w:noProof/>
                <w:webHidden/>
              </w:rPr>
              <w:tab/>
            </w:r>
            <w:r w:rsidR="00DE38AE">
              <w:rPr>
                <w:noProof/>
                <w:webHidden/>
              </w:rPr>
              <w:fldChar w:fldCharType="begin"/>
            </w:r>
            <w:r w:rsidR="00DE38AE">
              <w:rPr>
                <w:noProof/>
                <w:webHidden/>
              </w:rPr>
              <w:instrText xml:space="preserve"> PAGEREF _Toc44942521 \h </w:instrText>
            </w:r>
            <w:r w:rsidR="00DE38AE">
              <w:rPr>
                <w:noProof/>
                <w:webHidden/>
              </w:rPr>
            </w:r>
            <w:r w:rsidR="00DE38AE">
              <w:rPr>
                <w:noProof/>
                <w:webHidden/>
              </w:rPr>
              <w:fldChar w:fldCharType="separate"/>
            </w:r>
            <w:r w:rsidR="001B2852">
              <w:rPr>
                <w:noProof/>
                <w:webHidden/>
              </w:rPr>
              <w:t>15</w:t>
            </w:r>
            <w:r w:rsidR="00DE38AE">
              <w:rPr>
                <w:noProof/>
                <w:webHidden/>
              </w:rPr>
              <w:fldChar w:fldCharType="end"/>
            </w:r>
          </w:hyperlink>
        </w:p>
        <w:p w14:paraId="6DA3F1CA" w14:textId="79E9F6D8" w:rsidR="00DE38AE" w:rsidRDefault="00030BA8">
          <w:pPr>
            <w:pStyle w:val="TOC3"/>
            <w:tabs>
              <w:tab w:val="left" w:pos="1320"/>
              <w:tab w:val="right" w:leader="dot" w:pos="9202"/>
            </w:tabs>
            <w:rPr>
              <w:rFonts w:cstheme="minorBidi"/>
              <w:noProof/>
              <w:lang w:val="en-AU" w:eastAsia="en-AU"/>
            </w:rPr>
          </w:pPr>
          <w:hyperlink w:anchor="_Toc44942522" w:history="1">
            <w:r w:rsidR="00DE38AE" w:rsidRPr="00834DF7">
              <w:rPr>
                <w:rStyle w:val="Hyperlink"/>
                <w:noProof/>
              </w:rPr>
              <w:t>2.4.2</w:t>
            </w:r>
            <w:r w:rsidR="00DE38AE">
              <w:rPr>
                <w:rFonts w:cstheme="minorBidi"/>
                <w:noProof/>
                <w:lang w:val="en-AU" w:eastAsia="en-AU"/>
              </w:rPr>
              <w:tab/>
            </w:r>
            <w:r w:rsidR="00DE38AE" w:rsidRPr="00834DF7">
              <w:rPr>
                <w:rStyle w:val="Hyperlink"/>
                <w:noProof/>
              </w:rPr>
              <w:t>Southern Basin First Nations Environmental Watering Priorities Statement 2020-21</w:t>
            </w:r>
            <w:r w:rsidR="00DE38AE">
              <w:rPr>
                <w:noProof/>
                <w:webHidden/>
              </w:rPr>
              <w:tab/>
            </w:r>
            <w:r w:rsidR="00DE38AE">
              <w:rPr>
                <w:noProof/>
                <w:webHidden/>
              </w:rPr>
              <w:fldChar w:fldCharType="begin"/>
            </w:r>
            <w:r w:rsidR="00DE38AE">
              <w:rPr>
                <w:noProof/>
                <w:webHidden/>
              </w:rPr>
              <w:instrText xml:space="preserve"> PAGEREF _Toc44942522 \h </w:instrText>
            </w:r>
            <w:r w:rsidR="00DE38AE">
              <w:rPr>
                <w:noProof/>
                <w:webHidden/>
              </w:rPr>
            </w:r>
            <w:r w:rsidR="00DE38AE">
              <w:rPr>
                <w:noProof/>
                <w:webHidden/>
              </w:rPr>
              <w:fldChar w:fldCharType="separate"/>
            </w:r>
            <w:r w:rsidR="001B2852">
              <w:rPr>
                <w:noProof/>
                <w:webHidden/>
              </w:rPr>
              <w:t>16</w:t>
            </w:r>
            <w:r w:rsidR="00DE38AE">
              <w:rPr>
                <w:noProof/>
                <w:webHidden/>
              </w:rPr>
              <w:fldChar w:fldCharType="end"/>
            </w:r>
          </w:hyperlink>
        </w:p>
        <w:p w14:paraId="457FCDF1" w14:textId="3139C303" w:rsidR="00DE38AE" w:rsidRDefault="00030BA8">
          <w:pPr>
            <w:pStyle w:val="TOC2"/>
            <w:rPr>
              <w:rFonts w:eastAsiaTheme="minorEastAsia" w:cstheme="minorBidi"/>
              <w:noProof/>
              <w:color w:val="auto"/>
              <w:szCs w:val="22"/>
            </w:rPr>
          </w:pPr>
          <w:hyperlink w:anchor="_Toc44942523" w:history="1">
            <w:r w:rsidR="00DE38AE" w:rsidRPr="00834DF7">
              <w:rPr>
                <w:rStyle w:val="Hyperlink"/>
                <w:rFonts w:cstheme="minorHAnsi"/>
                <w:noProof/>
              </w:rPr>
              <w:t>2.5</w:t>
            </w:r>
            <w:r w:rsidR="00DE38AE">
              <w:rPr>
                <w:rFonts w:eastAsiaTheme="minorEastAsia" w:cstheme="minorBidi"/>
                <w:noProof/>
                <w:color w:val="auto"/>
                <w:szCs w:val="22"/>
              </w:rPr>
              <w:tab/>
            </w:r>
            <w:r w:rsidR="00DE38AE" w:rsidRPr="00834DF7">
              <w:rPr>
                <w:rStyle w:val="Hyperlink"/>
                <w:noProof/>
              </w:rPr>
              <w:t>Water availability</w:t>
            </w:r>
            <w:r w:rsidR="00DE38AE">
              <w:rPr>
                <w:noProof/>
                <w:webHidden/>
              </w:rPr>
              <w:tab/>
            </w:r>
            <w:r w:rsidR="00DE38AE">
              <w:rPr>
                <w:noProof/>
                <w:webHidden/>
              </w:rPr>
              <w:fldChar w:fldCharType="begin"/>
            </w:r>
            <w:r w:rsidR="00DE38AE">
              <w:rPr>
                <w:noProof/>
                <w:webHidden/>
              </w:rPr>
              <w:instrText xml:space="preserve"> PAGEREF _Toc44942523 \h </w:instrText>
            </w:r>
            <w:r w:rsidR="00DE38AE">
              <w:rPr>
                <w:noProof/>
                <w:webHidden/>
              </w:rPr>
            </w:r>
            <w:r w:rsidR="00DE38AE">
              <w:rPr>
                <w:noProof/>
                <w:webHidden/>
              </w:rPr>
              <w:fldChar w:fldCharType="separate"/>
            </w:r>
            <w:r w:rsidR="001B2852">
              <w:rPr>
                <w:noProof/>
                <w:webHidden/>
              </w:rPr>
              <w:t>17</w:t>
            </w:r>
            <w:r w:rsidR="00DE38AE">
              <w:rPr>
                <w:noProof/>
                <w:webHidden/>
              </w:rPr>
              <w:fldChar w:fldCharType="end"/>
            </w:r>
          </w:hyperlink>
        </w:p>
        <w:p w14:paraId="530C5E42" w14:textId="2F1A2498" w:rsidR="00DE38AE" w:rsidRDefault="00030BA8">
          <w:pPr>
            <w:pStyle w:val="TOC2"/>
            <w:rPr>
              <w:rFonts w:eastAsiaTheme="minorEastAsia" w:cstheme="minorBidi"/>
              <w:noProof/>
              <w:color w:val="auto"/>
              <w:szCs w:val="22"/>
            </w:rPr>
          </w:pPr>
          <w:hyperlink w:anchor="_Toc44942524" w:history="1">
            <w:r w:rsidR="00DE38AE" w:rsidRPr="00834DF7">
              <w:rPr>
                <w:rStyle w:val="Hyperlink"/>
                <w:rFonts w:cstheme="minorHAnsi"/>
                <w:noProof/>
              </w:rPr>
              <w:t>2.6</w:t>
            </w:r>
            <w:r w:rsidR="00DE38AE">
              <w:rPr>
                <w:rFonts w:eastAsiaTheme="minorEastAsia" w:cstheme="minorBidi"/>
                <w:noProof/>
                <w:color w:val="auto"/>
                <w:szCs w:val="22"/>
              </w:rPr>
              <w:tab/>
            </w:r>
            <w:r w:rsidR="00DE38AE" w:rsidRPr="00834DF7">
              <w:rPr>
                <w:rStyle w:val="Hyperlink"/>
                <w:noProof/>
              </w:rPr>
              <w:t>Water delivery in 2020–21</w:t>
            </w:r>
            <w:r w:rsidR="00DE38AE">
              <w:rPr>
                <w:noProof/>
                <w:webHidden/>
              </w:rPr>
              <w:tab/>
            </w:r>
            <w:r w:rsidR="00DE38AE">
              <w:rPr>
                <w:noProof/>
                <w:webHidden/>
              </w:rPr>
              <w:fldChar w:fldCharType="begin"/>
            </w:r>
            <w:r w:rsidR="00DE38AE">
              <w:rPr>
                <w:noProof/>
                <w:webHidden/>
              </w:rPr>
              <w:instrText xml:space="preserve"> PAGEREF _Toc44942524 \h </w:instrText>
            </w:r>
            <w:r w:rsidR="00DE38AE">
              <w:rPr>
                <w:noProof/>
                <w:webHidden/>
              </w:rPr>
            </w:r>
            <w:r w:rsidR="00DE38AE">
              <w:rPr>
                <w:noProof/>
                <w:webHidden/>
              </w:rPr>
              <w:fldChar w:fldCharType="separate"/>
            </w:r>
            <w:r w:rsidR="001B2852">
              <w:rPr>
                <w:noProof/>
                <w:webHidden/>
              </w:rPr>
              <w:t>18</w:t>
            </w:r>
            <w:r w:rsidR="00DE38AE">
              <w:rPr>
                <w:noProof/>
                <w:webHidden/>
              </w:rPr>
              <w:fldChar w:fldCharType="end"/>
            </w:r>
          </w:hyperlink>
        </w:p>
        <w:p w14:paraId="1C88DD4D" w14:textId="621293E0" w:rsidR="00DE38AE" w:rsidRDefault="00030BA8">
          <w:pPr>
            <w:pStyle w:val="TOC2"/>
            <w:rPr>
              <w:rFonts w:eastAsiaTheme="minorEastAsia" w:cstheme="minorBidi"/>
              <w:noProof/>
              <w:color w:val="auto"/>
              <w:szCs w:val="22"/>
            </w:rPr>
          </w:pPr>
          <w:hyperlink w:anchor="_Toc44942525" w:history="1">
            <w:r w:rsidR="00DE38AE" w:rsidRPr="00834DF7">
              <w:rPr>
                <w:rStyle w:val="Hyperlink"/>
                <w:rFonts w:cstheme="minorHAnsi"/>
                <w:noProof/>
              </w:rPr>
              <w:t>2.7</w:t>
            </w:r>
            <w:r w:rsidR="00DE38AE">
              <w:rPr>
                <w:rFonts w:eastAsiaTheme="minorEastAsia" w:cstheme="minorBidi"/>
                <w:noProof/>
                <w:color w:val="auto"/>
                <w:szCs w:val="22"/>
              </w:rPr>
              <w:tab/>
            </w:r>
            <w:r w:rsidR="00DE38AE" w:rsidRPr="00834DF7">
              <w:rPr>
                <w:rStyle w:val="Hyperlink"/>
                <w:noProof/>
              </w:rPr>
              <w:t>Trading water in 2020–21</w:t>
            </w:r>
            <w:r w:rsidR="00DE38AE">
              <w:rPr>
                <w:noProof/>
                <w:webHidden/>
              </w:rPr>
              <w:tab/>
            </w:r>
            <w:r w:rsidR="00DE38AE">
              <w:rPr>
                <w:noProof/>
                <w:webHidden/>
              </w:rPr>
              <w:fldChar w:fldCharType="begin"/>
            </w:r>
            <w:r w:rsidR="00DE38AE">
              <w:rPr>
                <w:noProof/>
                <w:webHidden/>
              </w:rPr>
              <w:instrText xml:space="preserve"> PAGEREF _Toc44942525 \h </w:instrText>
            </w:r>
            <w:r w:rsidR="00DE38AE">
              <w:rPr>
                <w:noProof/>
                <w:webHidden/>
              </w:rPr>
            </w:r>
            <w:r w:rsidR="00DE38AE">
              <w:rPr>
                <w:noProof/>
                <w:webHidden/>
              </w:rPr>
              <w:fldChar w:fldCharType="separate"/>
            </w:r>
            <w:r w:rsidR="001B2852">
              <w:rPr>
                <w:noProof/>
                <w:webHidden/>
              </w:rPr>
              <w:t>19</w:t>
            </w:r>
            <w:r w:rsidR="00DE38AE">
              <w:rPr>
                <w:noProof/>
                <w:webHidden/>
              </w:rPr>
              <w:fldChar w:fldCharType="end"/>
            </w:r>
          </w:hyperlink>
        </w:p>
        <w:p w14:paraId="499E85D9" w14:textId="4315B7F9" w:rsidR="00DE38AE" w:rsidRDefault="00030BA8">
          <w:pPr>
            <w:pStyle w:val="TOC3"/>
            <w:tabs>
              <w:tab w:val="left" w:pos="1320"/>
              <w:tab w:val="right" w:leader="dot" w:pos="9202"/>
            </w:tabs>
            <w:rPr>
              <w:rFonts w:cstheme="minorBidi"/>
              <w:noProof/>
              <w:lang w:val="en-AU" w:eastAsia="en-AU"/>
            </w:rPr>
          </w:pPr>
          <w:hyperlink w:anchor="_Toc44942526" w:history="1">
            <w:r w:rsidR="00DE38AE" w:rsidRPr="00834DF7">
              <w:rPr>
                <w:rStyle w:val="Hyperlink"/>
                <w:noProof/>
              </w:rPr>
              <w:t>2.7.1</w:t>
            </w:r>
            <w:r w:rsidR="00DE38AE">
              <w:rPr>
                <w:rFonts w:cstheme="minorBidi"/>
                <w:noProof/>
                <w:lang w:val="en-AU" w:eastAsia="en-AU"/>
              </w:rPr>
              <w:tab/>
            </w:r>
            <w:r w:rsidR="00DE38AE" w:rsidRPr="00834DF7">
              <w:rPr>
                <w:rStyle w:val="Hyperlink"/>
                <w:noProof/>
              </w:rPr>
              <w:t>Commercial trade</w:t>
            </w:r>
            <w:r w:rsidR="00DE38AE">
              <w:rPr>
                <w:noProof/>
                <w:webHidden/>
              </w:rPr>
              <w:tab/>
            </w:r>
            <w:r w:rsidR="00DE38AE">
              <w:rPr>
                <w:noProof/>
                <w:webHidden/>
              </w:rPr>
              <w:fldChar w:fldCharType="begin"/>
            </w:r>
            <w:r w:rsidR="00DE38AE">
              <w:rPr>
                <w:noProof/>
                <w:webHidden/>
              </w:rPr>
              <w:instrText xml:space="preserve"> PAGEREF _Toc44942526 \h </w:instrText>
            </w:r>
            <w:r w:rsidR="00DE38AE">
              <w:rPr>
                <w:noProof/>
                <w:webHidden/>
              </w:rPr>
            </w:r>
            <w:r w:rsidR="00DE38AE">
              <w:rPr>
                <w:noProof/>
                <w:webHidden/>
              </w:rPr>
              <w:fldChar w:fldCharType="separate"/>
            </w:r>
            <w:r w:rsidR="001B2852">
              <w:rPr>
                <w:noProof/>
                <w:webHidden/>
              </w:rPr>
              <w:t>19</w:t>
            </w:r>
            <w:r w:rsidR="00DE38AE">
              <w:rPr>
                <w:noProof/>
                <w:webHidden/>
              </w:rPr>
              <w:fldChar w:fldCharType="end"/>
            </w:r>
          </w:hyperlink>
        </w:p>
        <w:p w14:paraId="6181BC7B" w14:textId="295F412F" w:rsidR="00DE38AE" w:rsidRDefault="00030BA8">
          <w:pPr>
            <w:pStyle w:val="TOC3"/>
            <w:tabs>
              <w:tab w:val="left" w:pos="1320"/>
              <w:tab w:val="right" w:leader="dot" w:pos="9202"/>
            </w:tabs>
            <w:rPr>
              <w:rFonts w:cstheme="minorBidi"/>
              <w:noProof/>
              <w:lang w:val="en-AU" w:eastAsia="en-AU"/>
            </w:rPr>
          </w:pPr>
          <w:hyperlink w:anchor="_Toc44942527" w:history="1">
            <w:r w:rsidR="00DE38AE" w:rsidRPr="00834DF7">
              <w:rPr>
                <w:rStyle w:val="Hyperlink"/>
                <w:noProof/>
              </w:rPr>
              <w:t>2.7.2</w:t>
            </w:r>
            <w:r w:rsidR="00DE38AE">
              <w:rPr>
                <w:rFonts w:cstheme="minorBidi"/>
                <w:noProof/>
                <w:lang w:val="en-AU" w:eastAsia="en-AU"/>
              </w:rPr>
              <w:tab/>
            </w:r>
            <w:r w:rsidR="00DE38AE" w:rsidRPr="00834DF7">
              <w:rPr>
                <w:rStyle w:val="Hyperlink"/>
                <w:noProof/>
              </w:rPr>
              <w:t>Administrative Transfers</w:t>
            </w:r>
            <w:r w:rsidR="00DE38AE">
              <w:rPr>
                <w:noProof/>
                <w:webHidden/>
              </w:rPr>
              <w:tab/>
            </w:r>
            <w:r w:rsidR="00DE38AE">
              <w:rPr>
                <w:noProof/>
                <w:webHidden/>
              </w:rPr>
              <w:fldChar w:fldCharType="begin"/>
            </w:r>
            <w:r w:rsidR="00DE38AE">
              <w:rPr>
                <w:noProof/>
                <w:webHidden/>
              </w:rPr>
              <w:instrText xml:space="preserve"> PAGEREF _Toc44942527 \h </w:instrText>
            </w:r>
            <w:r w:rsidR="00DE38AE">
              <w:rPr>
                <w:noProof/>
                <w:webHidden/>
              </w:rPr>
            </w:r>
            <w:r w:rsidR="00DE38AE">
              <w:rPr>
                <w:noProof/>
                <w:webHidden/>
              </w:rPr>
              <w:fldChar w:fldCharType="separate"/>
            </w:r>
            <w:r w:rsidR="001B2852">
              <w:rPr>
                <w:noProof/>
                <w:webHidden/>
              </w:rPr>
              <w:t>19</w:t>
            </w:r>
            <w:r w:rsidR="00DE38AE">
              <w:rPr>
                <w:noProof/>
                <w:webHidden/>
              </w:rPr>
              <w:fldChar w:fldCharType="end"/>
            </w:r>
          </w:hyperlink>
        </w:p>
        <w:p w14:paraId="4928B50B" w14:textId="2F31ABE9" w:rsidR="00DE38AE" w:rsidRDefault="00030BA8">
          <w:pPr>
            <w:pStyle w:val="TOC2"/>
            <w:rPr>
              <w:rFonts w:eastAsiaTheme="minorEastAsia" w:cstheme="minorBidi"/>
              <w:noProof/>
              <w:color w:val="auto"/>
              <w:szCs w:val="22"/>
            </w:rPr>
          </w:pPr>
          <w:hyperlink w:anchor="_Toc44942528" w:history="1">
            <w:r w:rsidR="00DE38AE" w:rsidRPr="00834DF7">
              <w:rPr>
                <w:rStyle w:val="Hyperlink"/>
                <w:rFonts w:cstheme="minorHAnsi"/>
                <w:noProof/>
              </w:rPr>
              <w:t>2.8</w:t>
            </w:r>
            <w:r w:rsidR="00DE38AE">
              <w:rPr>
                <w:rFonts w:eastAsiaTheme="minorEastAsia" w:cstheme="minorBidi"/>
                <w:noProof/>
                <w:color w:val="auto"/>
                <w:szCs w:val="22"/>
              </w:rPr>
              <w:tab/>
            </w:r>
            <w:r w:rsidR="00DE38AE" w:rsidRPr="00834DF7">
              <w:rPr>
                <w:rStyle w:val="Hyperlink"/>
                <w:noProof/>
              </w:rPr>
              <w:t>Carrying over water for use in 2021–22</w:t>
            </w:r>
            <w:r w:rsidR="00DE38AE">
              <w:rPr>
                <w:noProof/>
                <w:webHidden/>
              </w:rPr>
              <w:tab/>
            </w:r>
            <w:r w:rsidR="00DE38AE">
              <w:rPr>
                <w:noProof/>
                <w:webHidden/>
              </w:rPr>
              <w:fldChar w:fldCharType="begin"/>
            </w:r>
            <w:r w:rsidR="00DE38AE">
              <w:rPr>
                <w:noProof/>
                <w:webHidden/>
              </w:rPr>
              <w:instrText xml:space="preserve"> PAGEREF _Toc44942528 \h </w:instrText>
            </w:r>
            <w:r w:rsidR="00DE38AE">
              <w:rPr>
                <w:noProof/>
                <w:webHidden/>
              </w:rPr>
            </w:r>
            <w:r w:rsidR="00DE38AE">
              <w:rPr>
                <w:noProof/>
                <w:webHidden/>
              </w:rPr>
              <w:fldChar w:fldCharType="separate"/>
            </w:r>
            <w:r w:rsidR="001B2852">
              <w:rPr>
                <w:noProof/>
                <w:webHidden/>
              </w:rPr>
              <w:t>20</w:t>
            </w:r>
            <w:r w:rsidR="00DE38AE">
              <w:rPr>
                <w:noProof/>
                <w:webHidden/>
              </w:rPr>
              <w:fldChar w:fldCharType="end"/>
            </w:r>
          </w:hyperlink>
        </w:p>
        <w:p w14:paraId="39B6323A" w14:textId="5F3D6FD3" w:rsidR="00DE38AE" w:rsidRDefault="00030BA8">
          <w:pPr>
            <w:pStyle w:val="TOC1"/>
            <w:tabs>
              <w:tab w:val="left" w:pos="440"/>
              <w:tab w:val="right" w:leader="dot" w:pos="9202"/>
            </w:tabs>
            <w:rPr>
              <w:rFonts w:eastAsiaTheme="minorEastAsia" w:cstheme="minorBidi"/>
              <w:noProof/>
              <w:color w:val="auto"/>
              <w:szCs w:val="22"/>
            </w:rPr>
          </w:pPr>
          <w:hyperlink w:anchor="_Toc44942529" w:history="1">
            <w:r w:rsidR="00DE38AE" w:rsidRPr="00834DF7">
              <w:rPr>
                <w:rStyle w:val="Hyperlink"/>
                <w:noProof/>
              </w:rPr>
              <w:t>3</w:t>
            </w:r>
            <w:r w:rsidR="00DE38AE">
              <w:rPr>
                <w:rFonts w:eastAsiaTheme="minorEastAsia" w:cstheme="minorBidi"/>
                <w:noProof/>
                <w:color w:val="auto"/>
                <w:szCs w:val="22"/>
              </w:rPr>
              <w:tab/>
            </w:r>
            <w:r w:rsidR="00DE38AE" w:rsidRPr="00834DF7">
              <w:rPr>
                <w:rStyle w:val="Hyperlink"/>
                <w:noProof/>
              </w:rPr>
              <w:t>Valley Water Plans</w:t>
            </w:r>
            <w:r w:rsidR="00DE38AE">
              <w:rPr>
                <w:noProof/>
                <w:webHidden/>
              </w:rPr>
              <w:tab/>
            </w:r>
            <w:r w:rsidR="00DE38AE">
              <w:rPr>
                <w:noProof/>
                <w:webHidden/>
              </w:rPr>
              <w:fldChar w:fldCharType="begin"/>
            </w:r>
            <w:r w:rsidR="00DE38AE">
              <w:rPr>
                <w:noProof/>
                <w:webHidden/>
              </w:rPr>
              <w:instrText xml:space="preserve"> PAGEREF _Toc44942529 \h </w:instrText>
            </w:r>
            <w:r w:rsidR="00DE38AE">
              <w:rPr>
                <w:noProof/>
                <w:webHidden/>
              </w:rPr>
            </w:r>
            <w:r w:rsidR="00DE38AE">
              <w:rPr>
                <w:noProof/>
                <w:webHidden/>
              </w:rPr>
              <w:fldChar w:fldCharType="separate"/>
            </w:r>
            <w:r w:rsidR="001B2852">
              <w:rPr>
                <w:noProof/>
                <w:webHidden/>
              </w:rPr>
              <w:t>21</w:t>
            </w:r>
            <w:r w:rsidR="00DE38AE">
              <w:rPr>
                <w:noProof/>
                <w:webHidden/>
              </w:rPr>
              <w:fldChar w:fldCharType="end"/>
            </w:r>
          </w:hyperlink>
        </w:p>
        <w:p w14:paraId="77CD9680" w14:textId="2B562292" w:rsidR="00316F8D" w:rsidRDefault="00316F8D">
          <w:r>
            <w:rPr>
              <w:b/>
              <w:bCs/>
              <w:noProof/>
            </w:rPr>
            <w:fldChar w:fldCharType="end"/>
          </w:r>
        </w:p>
      </w:sdtContent>
    </w:sdt>
    <w:p w14:paraId="2513A86F" w14:textId="77777777" w:rsidR="00316F8D" w:rsidRDefault="00316F8D">
      <w:pPr>
        <w:spacing w:after="0"/>
        <w:sectPr w:rsidR="00316F8D" w:rsidSect="003737D8">
          <w:headerReference w:type="even" r:id="rId25"/>
          <w:headerReference w:type="default" r:id="rId26"/>
          <w:footerReference w:type="default" r:id="rId27"/>
          <w:headerReference w:type="first" r:id="rId28"/>
          <w:pgSz w:w="11906" w:h="16838"/>
          <w:pgMar w:top="1134" w:right="1276" w:bottom="851" w:left="964" w:header="425" w:footer="425" w:gutter="0"/>
          <w:pgNumType w:start="1"/>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6DDE8" w:themeFill="accent5" w:themeFillTint="66"/>
        <w:tblLook w:val="04A0" w:firstRow="1" w:lastRow="0" w:firstColumn="1" w:lastColumn="0" w:noHBand="0" w:noVBand="1"/>
      </w:tblPr>
      <w:tblGrid>
        <w:gridCol w:w="9770"/>
      </w:tblGrid>
      <w:tr w:rsidR="00C96A2B" w14:paraId="52406AF3" w14:textId="77777777" w:rsidTr="00533FC3">
        <w:trPr>
          <w:cnfStyle w:val="100000000000" w:firstRow="1" w:lastRow="0" w:firstColumn="0" w:lastColumn="0" w:oddVBand="0" w:evenVBand="0" w:oddHBand="0" w:evenHBand="0" w:firstRowFirstColumn="0" w:firstRowLastColumn="0" w:lastRowFirstColumn="0" w:lastRowLastColumn="0"/>
        </w:trPr>
        <w:tc>
          <w:tcPr>
            <w:tcW w:w="9770" w:type="dxa"/>
            <w:shd w:val="clear" w:color="auto" w:fill="B6DDE8" w:themeFill="accent5" w:themeFillTint="66"/>
          </w:tcPr>
          <w:p w14:paraId="71CCA0C4" w14:textId="0CCA03F0" w:rsidR="00C96A2B" w:rsidRDefault="00C96A2B" w:rsidP="00533FC3">
            <w:pPr>
              <w:pStyle w:val="Heading1"/>
              <w:outlineLvl w:val="0"/>
            </w:pPr>
            <w:bookmarkStart w:id="4" w:name="_Toc44942498"/>
            <w:r w:rsidRPr="00530DCD">
              <w:lastRenderedPageBreak/>
              <w:t xml:space="preserve">How </w:t>
            </w:r>
            <w:r w:rsidRPr="004D5EBB">
              <w:t>we</w:t>
            </w:r>
            <w:r w:rsidRPr="00530DCD">
              <w:t xml:space="preserve"> plan </w:t>
            </w:r>
            <w:r w:rsidR="00D23951">
              <w:t>and make decisions</w:t>
            </w:r>
            <w:bookmarkEnd w:id="4"/>
          </w:p>
        </w:tc>
      </w:tr>
    </w:tbl>
    <w:p w14:paraId="0837A9E4" w14:textId="09892DF9" w:rsidR="00822126" w:rsidRDefault="000E2B98" w:rsidP="0057535E">
      <w:pPr>
        <w:pStyle w:val="Heading2"/>
      </w:pPr>
      <w:bookmarkStart w:id="5" w:name="_Toc44942499"/>
      <w:r>
        <w:t>Introduction</w:t>
      </w:r>
      <w:bookmarkEnd w:id="5"/>
    </w:p>
    <w:p w14:paraId="46EC98D7" w14:textId="77777777" w:rsidR="00BD3005" w:rsidRPr="00080C89" w:rsidRDefault="00BD3005" w:rsidP="0057535E">
      <w:pPr>
        <w:pStyle w:val="Heading3"/>
      </w:pPr>
      <w:bookmarkStart w:id="6" w:name="_Toc44942500"/>
      <w:r w:rsidRPr="00080C89">
        <w:t>Water for the Environment</w:t>
      </w:r>
      <w:bookmarkEnd w:id="6"/>
    </w:p>
    <w:p w14:paraId="5B6DE379" w14:textId="5783D748" w:rsidR="00775A9F" w:rsidRDefault="002B5E9C" w:rsidP="00BD3005">
      <w:r>
        <w:t xml:space="preserve">The </w:t>
      </w:r>
      <w:r w:rsidR="00BD3005" w:rsidRPr="00BD3005">
        <w:t xml:space="preserve">rivers </w:t>
      </w:r>
      <w:r>
        <w:t>of the Murray-Darling Basin have experienced significant changes over the past 100 years</w:t>
      </w:r>
      <w:r w:rsidR="00BD3005" w:rsidRPr="00BD3005">
        <w:t>. As agriculture, industries and communities have grown over time, water use has increased dramatically</w:t>
      </w:r>
      <w:r w:rsidR="00775A9F">
        <w:t>.</w:t>
      </w:r>
      <w:r w:rsidR="00775A9F" w:rsidRPr="00775A9F">
        <w:t xml:space="preserve"> </w:t>
      </w:r>
      <w:r w:rsidR="00775A9F">
        <w:t xml:space="preserve">While benefiting our food and fibre production, this has seen </w:t>
      </w:r>
      <w:r w:rsidR="00BD3005" w:rsidRPr="00BD3005">
        <w:t>as much as 50</w:t>
      </w:r>
      <w:r w:rsidR="0003038A">
        <w:t xml:space="preserve"> per cent</w:t>
      </w:r>
      <w:r w:rsidR="00BD3005" w:rsidRPr="00BD3005">
        <w:t xml:space="preserve"> of natural flows removed from the river in some locations. </w:t>
      </w:r>
      <w:r w:rsidR="00775A9F">
        <w:t>T</w:t>
      </w:r>
      <w:r>
        <w:t>he changes</w:t>
      </w:r>
      <w:r w:rsidR="00775A9F">
        <w:t xml:space="preserve"> in river flows</w:t>
      </w:r>
      <w:r>
        <w:t xml:space="preserve"> </w:t>
      </w:r>
      <w:r w:rsidR="00775A9F">
        <w:t xml:space="preserve">have seen the health of our environment decline over many decades, which has had negative impacts on native fish, waterbirds, forests, woodlands and wetlands. </w:t>
      </w:r>
    </w:p>
    <w:p w14:paraId="5CBA4C51" w14:textId="0703CF81" w:rsidR="002B5E9C" w:rsidRDefault="00BD3005" w:rsidP="00BD3005">
      <w:r w:rsidRPr="00BD3005">
        <w:t xml:space="preserve">‘Water for the environment’ </w:t>
      </w:r>
      <w:r w:rsidR="00775A9F">
        <w:t xml:space="preserve">is water that is managed with the </w:t>
      </w:r>
      <w:r w:rsidR="00775A9F" w:rsidRPr="00BD3005">
        <w:t>aim o</w:t>
      </w:r>
      <w:r w:rsidR="00775A9F">
        <w:t>f</w:t>
      </w:r>
      <w:r w:rsidR="00775A9F" w:rsidRPr="00BD3005">
        <w:t xml:space="preserve"> restor</w:t>
      </w:r>
      <w:r w:rsidR="00775A9F">
        <w:t>ing</w:t>
      </w:r>
      <w:r w:rsidR="00775A9F" w:rsidRPr="00BD3005">
        <w:t xml:space="preserve"> </w:t>
      </w:r>
      <w:r w:rsidR="00775A9F">
        <w:t xml:space="preserve">the </w:t>
      </w:r>
      <w:r w:rsidR="00775A9F" w:rsidRPr="00BD3005">
        <w:t>health</w:t>
      </w:r>
      <w:r w:rsidR="00775A9F">
        <w:t xml:space="preserve"> of the Basin’s rivers for the benefit of all users.</w:t>
      </w:r>
      <w:r w:rsidR="00775A9F" w:rsidRPr="00BD3005">
        <w:t xml:space="preserve"> </w:t>
      </w:r>
      <w:r w:rsidRPr="00BD3005">
        <w:t xml:space="preserve">Water is allocated to federal and state environmental water holders across the Basin, who make decisions about when, where and how much water is released for the environment </w:t>
      </w:r>
      <w:r w:rsidR="00775A9F">
        <w:t xml:space="preserve">and </w:t>
      </w:r>
      <w:r w:rsidR="00775A9F" w:rsidRPr="00BD3005">
        <w:t>deliver flows to where nature needs it.</w:t>
      </w:r>
    </w:p>
    <w:p w14:paraId="1615D0FD" w14:textId="1105A455" w:rsidR="00775A9F" w:rsidRPr="00EC1FEA" w:rsidRDefault="00775A9F" w:rsidP="0057535E">
      <w:pPr>
        <w:pStyle w:val="Heading3"/>
      </w:pPr>
      <w:bookmarkStart w:id="7" w:name="_Toc44942501"/>
      <w:r w:rsidRPr="00EC1FEA">
        <w:t>Commonwealth Environmental Water Holder</w:t>
      </w:r>
      <w:bookmarkEnd w:id="7"/>
    </w:p>
    <w:p w14:paraId="44994B67" w14:textId="72362830" w:rsidR="00822126" w:rsidRPr="006821CB" w:rsidRDefault="00822126" w:rsidP="00822126">
      <w:r w:rsidRPr="006821CB">
        <w:t xml:space="preserve">The Commonwealth Environmental Water </w:t>
      </w:r>
      <w:r>
        <w:t>Holder (CEWH)</w:t>
      </w:r>
      <w:r w:rsidRPr="006821CB">
        <w:t xml:space="preserve"> is a statutory position established by the </w:t>
      </w:r>
      <w:r w:rsidRPr="00A4558C">
        <w:rPr>
          <w:i/>
        </w:rPr>
        <w:t>Water</w:t>
      </w:r>
      <w:r w:rsidR="0003038A">
        <w:rPr>
          <w:i/>
        </w:rPr>
        <w:t> </w:t>
      </w:r>
      <w:r w:rsidRPr="00A4558C">
        <w:rPr>
          <w:i/>
        </w:rPr>
        <w:t>Act 2007</w:t>
      </w:r>
      <w:r w:rsidRPr="006821CB">
        <w:t xml:space="preserve"> (the Water Act) to manage the Commonwealth environmental water holdings. This water must be managed to protect or restore the rivers, wetlands and floodplains (and the native animals and plants they support) of the Murray-Darling Basin, to give effect to relevant international agreements.</w:t>
      </w:r>
    </w:p>
    <w:p w14:paraId="22BAB700" w14:textId="67800A63" w:rsidR="00822126" w:rsidRDefault="00822126" w:rsidP="00822126">
      <w:r w:rsidRPr="006821CB">
        <w:t xml:space="preserve">Ms Jody Swirepik </w:t>
      </w:r>
      <w:r w:rsidR="00BD3005">
        <w:t>is the current CEWH</w:t>
      </w:r>
      <w:r w:rsidRPr="006821CB">
        <w:t>. Ms Swirepik is supported by staff of the Commonwealth Environmental Water Office</w:t>
      </w:r>
      <w:r>
        <w:t xml:space="preserve"> (CEWO) </w:t>
      </w:r>
      <w:r w:rsidRPr="006821CB">
        <w:t xml:space="preserve">within the Department </w:t>
      </w:r>
      <w:r w:rsidR="00E57CB8">
        <w:t xml:space="preserve">of </w:t>
      </w:r>
      <w:r w:rsidRPr="006821CB">
        <w:t>Agriculture, Water and the Environment. The C</w:t>
      </w:r>
      <w:r>
        <w:t xml:space="preserve">EWO </w:t>
      </w:r>
      <w:r w:rsidRPr="006821CB">
        <w:t>employs six full</w:t>
      </w:r>
      <w:r w:rsidR="00E57CB8">
        <w:t>-</w:t>
      </w:r>
      <w:r w:rsidRPr="006821CB">
        <w:t>time local engagement officers who live and work in regional centres across the Murray-Darling Basin.</w:t>
      </w:r>
    </w:p>
    <w:p w14:paraId="486446DE" w14:textId="08CDBED2" w:rsidR="00BD3005" w:rsidRDefault="00BD3005" w:rsidP="00BD3005">
      <w:r w:rsidRPr="006821CB">
        <w:t xml:space="preserve">The </w:t>
      </w:r>
      <w:r w:rsidR="003230BE">
        <w:t>CEWH</w:t>
      </w:r>
      <w:r w:rsidRPr="006821CB">
        <w:t xml:space="preserve"> is governed by the Water Act and the </w:t>
      </w:r>
      <w:r w:rsidRPr="00A4558C">
        <w:rPr>
          <w:i/>
        </w:rPr>
        <w:t>Basin Plan 2012</w:t>
      </w:r>
      <w:r w:rsidRPr="006821CB">
        <w:t xml:space="preserve"> (Basin Plan) and must comply with the specific requirements and standards of Commonwealth and state legal, policy and environmental legislation and frameworks.</w:t>
      </w:r>
    </w:p>
    <w:p w14:paraId="766A96F5" w14:textId="4C6A3233" w:rsidR="006039B2" w:rsidRDefault="003230BE" w:rsidP="00822126">
      <w:r>
        <w:rPr>
          <w:szCs w:val="22"/>
        </w:rPr>
        <w:t xml:space="preserve">The water managed by the CEWH are a mix of entitlement types held across </w:t>
      </w:r>
      <w:r w:rsidR="00017D91">
        <w:rPr>
          <w:szCs w:val="22"/>
        </w:rPr>
        <w:t>24</w:t>
      </w:r>
      <w:r>
        <w:rPr>
          <w:szCs w:val="22"/>
        </w:rPr>
        <w:t xml:space="preserve"> catchments. </w:t>
      </w:r>
      <w:r w:rsidR="006039B2" w:rsidRPr="006821CB">
        <w:t xml:space="preserve">The rules governing the entitlements vary across states and across </w:t>
      </w:r>
      <w:r w:rsidR="00D31CD4">
        <w:t>valley</w:t>
      </w:r>
      <w:r w:rsidR="00D31CD4" w:rsidRPr="006821CB">
        <w:t>s,</w:t>
      </w:r>
      <w:r w:rsidR="006039B2" w:rsidRPr="006821CB">
        <w:t xml:space="preserve"> but they are subject to the same fees, allocations, carryover and other rules as equivalent entitlements held by other water users. </w:t>
      </w:r>
    </w:p>
    <w:p w14:paraId="6B9D8C8D" w14:textId="6700EF6C" w:rsidR="000E2B98" w:rsidRPr="000D76A2" w:rsidRDefault="000E2B98" w:rsidP="0057535E">
      <w:pPr>
        <w:pStyle w:val="Heading3"/>
      </w:pPr>
      <w:bookmarkStart w:id="8" w:name="_Toc44942502"/>
      <w:r>
        <w:t>What are the options for managing water for the environment?</w:t>
      </w:r>
      <w:bookmarkEnd w:id="8"/>
    </w:p>
    <w:p w14:paraId="48E2C2A7" w14:textId="50D04CE2" w:rsidR="000E2B98" w:rsidRDefault="000E2B98" w:rsidP="00EC1FEA">
      <w:r w:rsidRPr="000E2B98">
        <w:t xml:space="preserve">The </w:t>
      </w:r>
      <w:r w:rsidR="009107E7">
        <w:t xml:space="preserve">CEWH </w:t>
      </w:r>
      <w:r w:rsidRPr="000E2B98">
        <w:t>is a diligent, responsive and prudent operator.  Commonwealth</w:t>
      </w:r>
      <w:r>
        <w:t xml:space="preserve"> water for the</w:t>
      </w:r>
      <w:r w:rsidRPr="000E2B98">
        <w:t xml:space="preserve"> </w:t>
      </w:r>
      <w:r w:rsidR="005B08BF">
        <w:t xml:space="preserve">environment </w:t>
      </w:r>
      <w:r w:rsidRPr="000E2B98">
        <w:t>is managed efficiently and effectively, focused on maximising beneficial outcomes</w:t>
      </w:r>
      <w:r>
        <w:t xml:space="preserve">. </w:t>
      </w:r>
      <w:r w:rsidR="00EC1FEA">
        <w:t xml:space="preserve">The options for managing </w:t>
      </w:r>
      <w:r w:rsidR="005B08BF">
        <w:t>this water</w:t>
      </w:r>
      <w:r w:rsidR="00EC1FEA">
        <w:t xml:space="preserve"> include</w:t>
      </w:r>
      <w:r w:rsidRPr="006821CB">
        <w:t>:</w:t>
      </w:r>
    </w:p>
    <w:p w14:paraId="2F0D1935" w14:textId="56D1A954" w:rsidR="00BA30E3" w:rsidRDefault="00BA30E3" w:rsidP="00BA30E3">
      <w:pPr>
        <w:pStyle w:val="DotStyle1"/>
        <w:numPr>
          <w:ilvl w:val="0"/>
          <w:numId w:val="0"/>
        </w:numPr>
        <w:spacing w:after="0"/>
        <w:ind w:left="2127"/>
      </w:pPr>
      <w:r>
        <w:rPr>
          <w:noProof/>
          <w:lang w:val="en-AU"/>
        </w:rPr>
        <w:drawing>
          <wp:anchor distT="0" distB="0" distL="114300" distR="114300" simplePos="0" relativeHeight="251658243" behindDoc="1" locked="0" layoutInCell="1" allowOverlap="1" wp14:anchorId="2CAE9378" wp14:editId="2BB719D1">
            <wp:simplePos x="0" y="0"/>
            <wp:positionH relativeFrom="margin">
              <wp:posOffset>296545</wp:posOffset>
            </wp:positionH>
            <wp:positionV relativeFrom="paragraph">
              <wp:posOffset>121285</wp:posOffset>
            </wp:positionV>
            <wp:extent cx="416560" cy="425450"/>
            <wp:effectExtent l="0" t="0" r="2540" b="0"/>
            <wp:wrapTight wrapText="bothSides">
              <wp:wrapPolygon edited="0">
                <wp:start x="0" y="0"/>
                <wp:lineTo x="0" y="20310"/>
                <wp:lineTo x="20744" y="20310"/>
                <wp:lineTo x="20744" y="0"/>
                <wp:lineTo x="0" y="0"/>
              </wp:wrapPolygon>
            </wp:wrapTight>
            <wp:docPr id="7" name="Picture 7" descr="image showing three drops of water indicating delivery and use of environmental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761" t="23607" r="86911" b="8851"/>
                    <a:stretch/>
                  </pic:blipFill>
                  <pic:spPr bwMode="auto">
                    <a:xfrm>
                      <a:off x="0" y="0"/>
                      <a:ext cx="416560" cy="425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526D9D" w14:textId="557FEE49" w:rsidR="000E2B98" w:rsidRDefault="000E2B98" w:rsidP="00BA30E3">
      <w:pPr>
        <w:pStyle w:val="DotStyle1"/>
        <w:ind w:left="2127"/>
      </w:pPr>
      <w:r w:rsidRPr="006821CB">
        <w:t xml:space="preserve">delivering water to a river or floodplain to meet an identified environmental demand </w:t>
      </w:r>
      <w:r>
        <w:t>(</w:t>
      </w:r>
      <w:r w:rsidRPr="007D3D7C">
        <w:rPr>
          <w:b/>
        </w:rPr>
        <w:t>use</w:t>
      </w:r>
      <w:r>
        <w:t>)</w:t>
      </w:r>
      <w:r w:rsidR="00BA30E3" w:rsidRPr="00BA30E3">
        <w:rPr>
          <w:noProof/>
        </w:rPr>
        <w:t xml:space="preserve"> </w:t>
      </w:r>
    </w:p>
    <w:p w14:paraId="7A71110F" w14:textId="59D64E92" w:rsidR="000E2B98" w:rsidRPr="006821CB" w:rsidRDefault="00BA30E3" w:rsidP="00BA30E3">
      <w:pPr>
        <w:pStyle w:val="DotStyle1"/>
        <w:ind w:left="2127"/>
      </w:pPr>
      <w:r>
        <w:rPr>
          <w:noProof/>
          <w:lang w:val="en-AU"/>
        </w:rPr>
        <w:drawing>
          <wp:anchor distT="0" distB="0" distL="114300" distR="114300" simplePos="0" relativeHeight="251658244" behindDoc="1" locked="0" layoutInCell="1" allowOverlap="1" wp14:anchorId="7B784A88" wp14:editId="7DC928D2">
            <wp:simplePos x="0" y="0"/>
            <wp:positionH relativeFrom="column">
              <wp:posOffset>296545</wp:posOffset>
            </wp:positionH>
            <wp:positionV relativeFrom="paragraph">
              <wp:posOffset>27940</wp:posOffset>
            </wp:positionV>
            <wp:extent cx="444500" cy="469900"/>
            <wp:effectExtent l="0" t="0" r="0" b="6350"/>
            <wp:wrapTight wrapText="bothSides">
              <wp:wrapPolygon edited="0">
                <wp:start x="0" y="0"/>
                <wp:lineTo x="0" y="21016"/>
                <wp:lineTo x="20366" y="21016"/>
                <wp:lineTo x="20366" y="0"/>
                <wp:lineTo x="0" y="0"/>
              </wp:wrapPolygon>
            </wp:wrapTight>
            <wp:docPr id="8" name="Picture 8" descr="image of a drop of water going into a bucket, indicating water being stored for later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0981" t="20328" r="58487" b="8197"/>
                    <a:stretch/>
                  </pic:blipFill>
                  <pic:spPr bwMode="auto">
                    <a:xfrm>
                      <a:off x="0" y="0"/>
                      <a:ext cx="444500" cy="46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2B98" w:rsidRPr="006821CB">
        <w:t>leaving water in storage and carrying it over for use in the next water year (</w:t>
      </w:r>
      <w:r w:rsidR="000E2B98" w:rsidRPr="007D3D7C">
        <w:rPr>
          <w:b/>
        </w:rPr>
        <w:t>carryover</w:t>
      </w:r>
      <w:r w:rsidR="000E2B98" w:rsidRPr="006821CB">
        <w:t>)</w:t>
      </w:r>
    </w:p>
    <w:p w14:paraId="5EA873D8" w14:textId="075980EA" w:rsidR="000E2B98" w:rsidRPr="006821CB" w:rsidRDefault="00527588" w:rsidP="00BA30E3">
      <w:pPr>
        <w:pStyle w:val="DotStyle1"/>
        <w:ind w:left="2127"/>
      </w:pPr>
      <w:r>
        <w:rPr>
          <w:noProof/>
          <w:lang w:val="en-AU"/>
        </w:rPr>
        <w:drawing>
          <wp:anchor distT="0" distB="0" distL="114300" distR="114300" simplePos="0" relativeHeight="251658245" behindDoc="1" locked="0" layoutInCell="1" allowOverlap="1" wp14:anchorId="5D9E29A8" wp14:editId="2DB7DF37">
            <wp:simplePos x="0" y="0"/>
            <wp:positionH relativeFrom="page">
              <wp:posOffset>917575</wp:posOffset>
            </wp:positionH>
            <wp:positionV relativeFrom="paragraph">
              <wp:posOffset>203200</wp:posOffset>
            </wp:positionV>
            <wp:extent cx="444500" cy="439420"/>
            <wp:effectExtent l="0" t="0" r="0" b="0"/>
            <wp:wrapTight wrapText="bothSides">
              <wp:wrapPolygon edited="0">
                <wp:start x="0" y="0"/>
                <wp:lineTo x="0" y="20601"/>
                <wp:lineTo x="20366" y="20601"/>
                <wp:lineTo x="20366" y="0"/>
                <wp:lineTo x="0" y="0"/>
              </wp:wrapPolygon>
            </wp:wrapTight>
            <wp:docPr id="9" name="Picture 9" descr="image of a handshake with a dollar sign above, indicating trade of environmental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59305" t="26230" r="30368" b="8197"/>
                    <a:stretch/>
                  </pic:blipFill>
                  <pic:spPr bwMode="auto">
                    <a:xfrm>
                      <a:off x="0" y="0"/>
                      <a:ext cx="444500" cy="439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2B98" w:rsidRPr="006821CB">
        <w:t>trading water</w:t>
      </w:r>
      <w:r w:rsidR="000E2B98">
        <w:t xml:space="preserve"> (</w:t>
      </w:r>
      <w:r w:rsidR="000E2B98" w:rsidRPr="007D3D7C">
        <w:rPr>
          <w:b/>
        </w:rPr>
        <w:t>trade</w:t>
      </w:r>
      <w:r w:rsidR="000E2B98">
        <w:t>)</w:t>
      </w:r>
      <w:r w:rsidR="000E2B98" w:rsidRPr="006821CB">
        <w:t>, which includes:</w:t>
      </w:r>
      <w:r w:rsidR="00BA30E3" w:rsidRPr="00BA30E3">
        <w:rPr>
          <w:noProof/>
        </w:rPr>
        <w:t xml:space="preserve"> </w:t>
      </w:r>
    </w:p>
    <w:p w14:paraId="7F7107FF" w14:textId="7CF61390" w:rsidR="000E2B98" w:rsidRPr="006821CB" w:rsidRDefault="000E2B98" w:rsidP="00BA30E3">
      <w:pPr>
        <w:pStyle w:val="DotStyle2"/>
        <w:ind w:left="2552"/>
      </w:pPr>
      <w:r w:rsidRPr="006821CB">
        <w:t xml:space="preserve">transferring water between connected catchments </w:t>
      </w:r>
    </w:p>
    <w:p w14:paraId="2E4CBC5F" w14:textId="277CD6D1" w:rsidR="000E2B98" w:rsidRPr="006821CB" w:rsidRDefault="000E2B98" w:rsidP="00BA30E3">
      <w:pPr>
        <w:pStyle w:val="DotStyle2"/>
        <w:ind w:left="2552"/>
      </w:pPr>
      <w:r w:rsidRPr="006821CB">
        <w:t xml:space="preserve">buying and selling water allocations </w:t>
      </w:r>
    </w:p>
    <w:p w14:paraId="50E3505E" w14:textId="3D18B0E2" w:rsidR="000E2B98" w:rsidRPr="006821CB" w:rsidRDefault="00EC1FEA" w:rsidP="00BA30E3">
      <w:pPr>
        <w:pStyle w:val="DotStyle2"/>
        <w:ind w:left="2552"/>
      </w:pPr>
      <w:r>
        <w:t xml:space="preserve">using the proceeds from selling water to </w:t>
      </w:r>
      <w:r w:rsidR="000E2B98" w:rsidRPr="006821CB">
        <w:t xml:space="preserve">invest in activities that improve the outcomes from </w:t>
      </w:r>
      <w:r>
        <w:t>the use of water for the environment</w:t>
      </w:r>
      <w:r w:rsidR="000E2B98" w:rsidRPr="006821CB">
        <w:t>.</w:t>
      </w:r>
    </w:p>
    <w:p w14:paraId="509AE88A" w14:textId="7CAFFEA6" w:rsidR="00EC1FEA" w:rsidRDefault="00EC1FEA" w:rsidP="00822126">
      <w:r>
        <w:rPr>
          <w:lang w:val="en-GB"/>
        </w:rPr>
        <w:t>Each year the CEWO considers and plans for how it will manage Commonwealth water</w:t>
      </w:r>
      <w:r w:rsidR="003E45E1">
        <w:rPr>
          <w:lang w:val="en-GB"/>
        </w:rPr>
        <w:t xml:space="preserve"> for the </w:t>
      </w:r>
      <w:r w:rsidR="00F04E6B">
        <w:rPr>
          <w:lang w:val="en-GB"/>
        </w:rPr>
        <w:t>environment.</w:t>
      </w:r>
      <w:r w:rsidR="00F04E6B" w:rsidRPr="006821CB">
        <w:t xml:space="preserve"> This</w:t>
      </w:r>
      <w:r w:rsidR="00822126" w:rsidRPr="006821CB">
        <w:t xml:space="preserve"> </w:t>
      </w:r>
      <w:r w:rsidR="003E45E1">
        <w:t>document</w:t>
      </w:r>
      <w:r w:rsidR="003E45E1" w:rsidRPr="006821CB">
        <w:t xml:space="preserve"> </w:t>
      </w:r>
      <w:r w:rsidR="00822126" w:rsidRPr="006821CB">
        <w:t xml:space="preserve">explains </w:t>
      </w:r>
      <w:r w:rsidR="00822126">
        <w:t xml:space="preserve">the process by which we </w:t>
      </w:r>
      <w:r w:rsidR="004C7BA9">
        <w:t xml:space="preserve">plan and </w:t>
      </w:r>
      <w:r w:rsidR="00822126">
        <w:t xml:space="preserve">manage </w:t>
      </w:r>
      <w:r w:rsidR="005B08BF">
        <w:t xml:space="preserve">this water </w:t>
      </w:r>
      <w:r w:rsidR="00822126" w:rsidRPr="006821CB">
        <w:t xml:space="preserve">and </w:t>
      </w:r>
      <w:r w:rsidR="003E45E1">
        <w:t>captures</w:t>
      </w:r>
      <w:r>
        <w:t xml:space="preserve"> the key </w:t>
      </w:r>
      <w:r>
        <w:lastRenderedPageBreak/>
        <w:t xml:space="preserve">information that will inform the CEWH’s decisions in 2020–21. The plan reflects the collective effort of a multitude of government agencies, scientists, First Nations, and community organisations that </w:t>
      </w:r>
      <w:r w:rsidR="005B08BF">
        <w:t xml:space="preserve">have provided valuable </w:t>
      </w:r>
      <w:r>
        <w:t>input.</w:t>
      </w:r>
      <w:r w:rsidR="004C7BA9">
        <w:t xml:space="preserve"> </w:t>
      </w:r>
    </w:p>
    <w:p w14:paraId="16D56BE6" w14:textId="3AE48391" w:rsidR="003E45E1" w:rsidRPr="000D76A2" w:rsidRDefault="003E45E1" w:rsidP="0057535E">
      <w:pPr>
        <w:pStyle w:val="Heading3"/>
      </w:pPr>
      <w:bookmarkStart w:id="9" w:name="_Toc44942503"/>
      <w:r>
        <w:t>Providing feedback</w:t>
      </w:r>
      <w:bookmarkEnd w:id="9"/>
    </w:p>
    <w:p w14:paraId="18FF3643" w14:textId="4AD6833C" w:rsidR="00822126" w:rsidRDefault="00822126" w:rsidP="00822126">
      <w:pPr>
        <w:rPr>
          <w:color w:val="auto"/>
        </w:rPr>
      </w:pPr>
      <w:r w:rsidRPr="006821CB">
        <w:t>The C</w:t>
      </w:r>
      <w:r>
        <w:t>EWO</w:t>
      </w:r>
      <w:r w:rsidRPr="006821CB">
        <w:t xml:space="preserve"> welcomes information from the community on how</w:t>
      </w:r>
      <w:r>
        <w:t> </w:t>
      </w:r>
      <w:r w:rsidRPr="006821CB">
        <w:t>environmental water can best be managed. If you have any comments or suggestions, please call</w:t>
      </w:r>
      <w:r>
        <w:t> </w:t>
      </w:r>
      <w:r w:rsidRPr="006821CB">
        <w:t>1800</w:t>
      </w:r>
      <w:r>
        <w:t> </w:t>
      </w:r>
      <w:r w:rsidRPr="006821CB">
        <w:t>218</w:t>
      </w:r>
      <w:r>
        <w:t> </w:t>
      </w:r>
      <w:r w:rsidRPr="006821CB">
        <w:t xml:space="preserve">478 or send an email to: </w:t>
      </w:r>
      <w:hyperlink r:id="rId30" w:history="1">
        <w:r w:rsidRPr="00073CD7">
          <w:rPr>
            <w:rStyle w:val="Hyperlink"/>
          </w:rPr>
          <w:t>ewater@awe.gov.au</w:t>
        </w:r>
      </w:hyperlink>
      <w:r w:rsidRPr="00C30990">
        <w:rPr>
          <w:color w:val="auto"/>
        </w:rPr>
        <w:t>.</w:t>
      </w:r>
    </w:p>
    <w:p w14:paraId="11D15886" w14:textId="2D141D59" w:rsidR="00822126" w:rsidRDefault="00822126" w:rsidP="00822126">
      <w:pPr>
        <w:rPr>
          <w:color w:val="auto"/>
        </w:rPr>
      </w:pPr>
      <w:r>
        <w:rPr>
          <w:color w:val="auto"/>
        </w:rPr>
        <w:t xml:space="preserve">Visit </w:t>
      </w:r>
      <w:hyperlink r:id="rId31" w:history="1">
        <w:r w:rsidRPr="00073CD7">
          <w:rPr>
            <w:rStyle w:val="Hyperlink"/>
          </w:rPr>
          <w:t>www.environment.gov.au/water/cewo</w:t>
        </w:r>
      </w:hyperlink>
      <w:r w:rsidRPr="00384DEB">
        <w:rPr>
          <w:rStyle w:val="Hyperlink"/>
          <w:u w:val="none"/>
        </w:rPr>
        <w:t xml:space="preserve"> </w:t>
      </w:r>
      <w:r>
        <w:rPr>
          <w:color w:val="auto"/>
        </w:rPr>
        <w:t>for more information on Commonwealth water for the environment.</w:t>
      </w:r>
    </w:p>
    <w:p w14:paraId="4094ABB2" w14:textId="1B678FC8" w:rsidR="00DC4028" w:rsidRDefault="00DC4028" w:rsidP="0057535E">
      <w:pPr>
        <w:pStyle w:val="Heading2"/>
      </w:pPr>
      <w:bookmarkStart w:id="10" w:name="_Toc44942504"/>
      <w:r>
        <w:t>Planning Commonwealth environmental water use</w:t>
      </w:r>
      <w:bookmarkEnd w:id="10"/>
    </w:p>
    <w:p w14:paraId="4C1C077C" w14:textId="74EFD48D" w:rsidR="009343C0" w:rsidRPr="00B26881" w:rsidRDefault="00DC4028" w:rsidP="006E109D">
      <w:pPr>
        <w:rPr>
          <w:lang w:val="en-GB"/>
        </w:rPr>
      </w:pPr>
      <w:r w:rsidRPr="00166154">
        <w:rPr>
          <w:lang w:val="en-GB"/>
        </w:rPr>
        <w:t xml:space="preserve">Each year the CEWO </w:t>
      </w:r>
      <w:r w:rsidR="00FD45CA" w:rsidRPr="00166154">
        <w:rPr>
          <w:lang w:val="en-GB"/>
        </w:rPr>
        <w:t xml:space="preserve">considers and plans for how it will manage Commonwealth environmental water. The objective of </w:t>
      </w:r>
      <w:r w:rsidR="00FD45CA" w:rsidRPr="00B26881">
        <w:rPr>
          <w:lang w:val="en-GB"/>
        </w:rPr>
        <w:t>the planning is to support</w:t>
      </w:r>
      <w:r w:rsidR="009343C0" w:rsidRPr="00B26881">
        <w:rPr>
          <w:lang w:val="en-GB"/>
        </w:rPr>
        <w:t xml:space="preserve"> </w:t>
      </w:r>
      <w:r w:rsidR="00166154" w:rsidRPr="00B26881">
        <w:rPr>
          <w:lang w:val="en-GB"/>
        </w:rPr>
        <w:t>the CEWH’s</w:t>
      </w:r>
      <w:r w:rsidR="00FD45CA" w:rsidRPr="00B26881">
        <w:rPr>
          <w:lang w:val="en-GB"/>
        </w:rPr>
        <w:t xml:space="preserve"> decisions </w:t>
      </w:r>
      <w:r w:rsidR="00166154" w:rsidRPr="00B26881">
        <w:rPr>
          <w:lang w:val="en-GB"/>
        </w:rPr>
        <w:t xml:space="preserve">on making best use of the available water </w:t>
      </w:r>
      <w:r w:rsidR="00FD45CA" w:rsidRPr="00B26881">
        <w:rPr>
          <w:lang w:val="en-GB"/>
        </w:rPr>
        <w:t xml:space="preserve">across years and across catchments. </w:t>
      </w:r>
      <w:r w:rsidR="00166154" w:rsidRPr="00B26881">
        <w:rPr>
          <w:lang w:val="en-GB"/>
        </w:rPr>
        <w:t>It also supports coordination of water deliveries with other environmental water holders and river operators.</w:t>
      </w:r>
      <w:r w:rsidR="00FD45CA" w:rsidRPr="00B26881">
        <w:rPr>
          <w:lang w:val="en-GB"/>
        </w:rPr>
        <w:t xml:space="preserve"> </w:t>
      </w:r>
    </w:p>
    <w:p w14:paraId="49E8B193" w14:textId="3F56395D" w:rsidR="003E45E1" w:rsidRPr="00B26881" w:rsidRDefault="003E45E1" w:rsidP="003E45E1">
      <w:pPr>
        <w:rPr>
          <w:color w:val="auto"/>
        </w:rPr>
      </w:pPr>
      <w:r w:rsidRPr="00B26881">
        <w:rPr>
          <w:lang w:val="en-GB"/>
        </w:rPr>
        <w:t>Planning is undertaken at both basin scale and catchment scale and in</w:t>
      </w:r>
      <w:r w:rsidRPr="00B26881">
        <w:rPr>
          <w:color w:val="auto"/>
        </w:rPr>
        <w:t>volves:</w:t>
      </w:r>
    </w:p>
    <w:p w14:paraId="7EF129F8" w14:textId="69E38D9C" w:rsidR="003E45E1" w:rsidRDefault="001B6EE4" w:rsidP="009C7CFF">
      <w:pPr>
        <w:pStyle w:val="DotStyle1"/>
        <w:ind w:left="1418" w:hanging="425"/>
      </w:pPr>
      <w:r w:rsidRPr="001B6EE4">
        <w:rPr>
          <w:noProof/>
          <w:lang w:val="en-AU"/>
        </w:rPr>
        <w:drawing>
          <wp:anchor distT="0" distB="0" distL="114300" distR="114300" simplePos="0" relativeHeight="251658248" behindDoc="1" locked="0" layoutInCell="1" allowOverlap="1" wp14:anchorId="2F5E8C6D" wp14:editId="1908CC34">
            <wp:simplePos x="0" y="0"/>
            <wp:positionH relativeFrom="margin">
              <wp:posOffset>169952</wp:posOffset>
            </wp:positionH>
            <wp:positionV relativeFrom="paragraph">
              <wp:posOffset>10160</wp:posOffset>
            </wp:positionV>
            <wp:extent cx="356400" cy="370800"/>
            <wp:effectExtent l="0" t="0" r="5715" b="0"/>
            <wp:wrapTight wrapText="bothSides">
              <wp:wrapPolygon edited="0">
                <wp:start x="0" y="0"/>
                <wp:lineTo x="0" y="20007"/>
                <wp:lineTo x="20791" y="20007"/>
                <wp:lineTo x="20791" y="0"/>
                <wp:lineTo x="0" y="0"/>
              </wp:wrapPolygon>
            </wp:wrapTight>
            <wp:docPr id="12" name="Picture 12" descr="image of a plant, indicating consideration of environmental water 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223"/>
                    <a:stretch/>
                  </pic:blipFill>
                  <pic:spPr bwMode="auto">
                    <a:xfrm>
                      <a:off x="0" y="0"/>
                      <a:ext cx="356400" cy="37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45E1" w:rsidRPr="00B26881">
        <w:t>having clear objectives and ide</w:t>
      </w:r>
      <w:r w:rsidR="00B26881" w:rsidRPr="00B26881">
        <w:t>n</w:t>
      </w:r>
      <w:r w:rsidR="003E45E1" w:rsidRPr="00B26881">
        <w:t>tified environmental water needs (demand)</w:t>
      </w:r>
    </w:p>
    <w:p w14:paraId="3F8FF199" w14:textId="77777777" w:rsidR="001B6EE4" w:rsidRPr="00F60C05" w:rsidRDefault="001B6EE4" w:rsidP="00F60C05">
      <w:pPr>
        <w:rPr>
          <w:lang w:val="en-GB"/>
        </w:rPr>
      </w:pPr>
    </w:p>
    <w:p w14:paraId="6D6887A0" w14:textId="0540F9CD" w:rsidR="003E45E1" w:rsidRDefault="005576DC" w:rsidP="009C7CFF">
      <w:pPr>
        <w:pStyle w:val="DotStyle1"/>
        <w:ind w:left="1418" w:hanging="425"/>
      </w:pPr>
      <w:r>
        <w:rPr>
          <w:noProof/>
          <w:lang w:val="en-AU"/>
        </w:rPr>
        <w:drawing>
          <wp:anchor distT="0" distB="0" distL="114300" distR="114300" simplePos="0" relativeHeight="251658250" behindDoc="1" locked="0" layoutInCell="1" allowOverlap="1" wp14:anchorId="5809E7FF" wp14:editId="27B4B051">
            <wp:simplePos x="0" y="0"/>
            <wp:positionH relativeFrom="column">
              <wp:posOffset>150495</wp:posOffset>
            </wp:positionH>
            <wp:positionV relativeFrom="paragraph">
              <wp:posOffset>5080</wp:posOffset>
            </wp:positionV>
            <wp:extent cx="374400" cy="374400"/>
            <wp:effectExtent l="0" t="0" r="0" b="6985"/>
            <wp:wrapTight wrapText="bothSides">
              <wp:wrapPolygon edited="0">
                <wp:start x="7701" y="0"/>
                <wp:lineTo x="3301" y="11002"/>
                <wp:lineTo x="3301" y="15402"/>
                <wp:lineTo x="7701" y="19803"/>
                <wp:lineTo x="7701" y="20903"/>
                <wp:lineTo x="13202" y="20903"/>
                <wp:lineTo x="17603" y="19803"/>
                <wp:lineTo x="17603" y="12102"/>
                <wp:lineTo x="13202" y="0"/>
                <wp:lineTo x="7701" y="0"/>
              </wp:wrapPolygon>
            </wp:wrapTight>
            <wp:docPr id="15" name="Picture 15" descr="image depicting a drop of water, indicating consideration of water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4400" cy="374400"/>
                    </a:xfrm>
                    <a:prstGeom prst="rect">
                      <a:avLst/>
                    </a:prstGeom>
                    <a:noFill/>
                  </pic:spPr>
                </pic:pic>
              </a:graphicData>
            </a:graphic>
            <wp14:sizeRelH relativeFrom="page">
              <wp14:pctWidth>0</wp14:pctWidth>
            </wp14:sizeRelH>
            <wp14:sizeRelV relativeFrom="page">
              <wp14:pctHeight>0</wp14:pctHeight>
            </wp14:sizeRelV>
          </wp:anchor>
        </w:drawing>
      </w:r>
      <w:r w:rsidR="003E45E1" w:rsidRPr="00B26881">
        <w:t>con</w:t>
      </w:r>
      <w:r w:rsidR="00B26881" w:rsidRPr="00B26881">
        <w:t>sidering how much water is available under different scenarios (supply)</w:t>
      </w:r>
    </w:p>
    <w:p w14:paraId="4291C52A" w14:textId="17D8DBA5" w:rsidR="001B6EE4" w:rsidRPr="00F60C05" w:rsidRDefault="001B6EE4" w:rsidP="00F60C05">
      <w:pPr>
        <w:rPr>
          <w:lang w:val="en-GB"/>
        </w:rPr>
      </w:pPr>
    </w:p>
    <w:p w14:paraId="72065B91" w14:textId="756F0ED9" w:rsidR="00B26881" w:rsidRPr="00B26881" w:rsidRDefault="001B6EE4" w:rsidP="009C7CFF">
      <w:pPr>
        <w:pStyle w:val="DotStyle1"/>
        <w:ind w:left="1418" w:hanging="425"/>
      </w:pPr>
      <w:r>
        <w:rPr>
          <w:noProof/>
          <w:lang w:val="en-AU"/>
        </w:rPr>
        <w:drawing>
          <wp:anchor distT="0" distB="0" distL="114300" distR="114300" simplePos="0" relativeHeight="251658249" behindDoc="1" locked="0" layoutInCell="1" allowOverlap="1" wp14:anchorId="52272A0D" wp14:editId="3D8C91BD">
            <wp:simplePos x="0" y="0"/>
            <wp:positionH relativeFrom="margin">
              <wp:posOffset>142875</wp:posOffset>
            </wp:positionH>
            <wp:positionV relativeFrom="paragraph">
              <wp:posOffset>6985</wp:posOffset>
            </wp:positionV>
            <wp:extent cx="385200" cy="385200"/>
            <wp:effectExtent l="0" t="0" r="0" b="0"/>
            <wp:wrapTight wrapText="bothSides">
              <wp:wrapPolygon edited="0">
                <wp:start x="4277" y="0"/>
                <wp:lineTo x="0" y="16040"/>
                <wp:lineTo x="0" y="20317"/>
                <wp:lineTo x="20317" y="20317"/>
                <wp:lineTo x="20317" y="16040"/>
                <wp:lineTo x="16040" y="0"/>
                <wp:lineTo x="4277" y="0"/>
              </wp:wrapPolygon>
            </wp:wrapTight>
            <wp:docPr id="14" name="Picture 14" descr="image depicting box and arrow flow chart, indicating a robust planning and decision making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5200" cy="385200"/>
                    </a:xfrm>
                    <a:prstGeom prst="rect">
                      <a:avLst/>
                    </a:prstGeom>
                    <a:noFill/>
                  </pic:spPr>
                </pic:pic>
              </a:graphicData>
            </a:graphic>
            <wp14:sizeRelH relativeFrom="page">
              <wp14:pctWidth>0</wp14:pctWidth>
            </wp14:sizeRelH>
            <wp14:sizeRelV relativeFrom="page">
              <wp14:pctHeight>0</wp14:pctHeight>
            </wp14:sizeRelV>
          </wp:anchor>
        </w:drawing>
      </w:r>
      <w:r w:rsidR="003E45E1" w:rsidRPr="00B26881">
        <w:t xml:space="preserve">robust planning and decision-making approaches that </w:t>
      </w:r>
      <w:r w:rsidR="00B26881" w:rsidRPr="00B26881">
        <w:t xml:space="preserve">identify the different actions (including water use, carryover and trade) that may be undertaken under different scenarios (that is, matching supply to demand) </w:t>
      </w:r>
    </w:p>
    <w:p w14:paraId="06229721" w14:textId="225A26FE" w:rsidR="003E45E1" w:rsidRPr="00B26881" w:rsidRDefault="00527588" w:rsidP="009C7CFF">
      <w:pPr>
        <w:pStyle w:val="DotStyle1"/>
        <w:ind w:left="1418" w:hanging="425"/>
      </w:pPr>
      <w:r>
        <w:rPr>
          <w:noProof/>
          <w:lang w:val="en-AU"/>
        </w:rPr>
        <w:drawing>
          <wp:anchor distT="0" distB="0" distL="114300" distR="114300" simplePos="0" relativeHeight="251658246" behindDoc="1" locked="0" layoutInCell="1" allowOverlap="1" wp14:anchorId="17BF06AA" wp14:editId="48D4E8EF">
            <wp:simplePos x="0" y="0"/>
            <wp:positionH relativeFrom="column">
              <wp:posOffset>140970</wp:posOffset>
            </wp:positionH>
            <wp:positionV relativeFrom="paragraph">
              <wp:posOffset>2540</wp:posOffset>
            </wp:positionV>
            <wp:extent cx="381000" cy="381000"/>
            <wp:effectExtent l="0" t="0" r="0" b="0"/>
            <wp:wrapTight wrapText="bothSides">
              <wp:wrapPolygon edited="0">
                <wp:start x="1080" y="0"/>
                <wp:lineTo x="0" y="12960"/>
                <wp:lineTo x="0" y="16200"/>
                <wp:lineTo x="7560" y="20520"/>
                <wp:lineTo x="14040" y="20520"/>
                <wp:lineTo x="20520" y="17280"/>
                <wp:lineTo x="20520" y="0"/>
                <wp:lineTo x="1080" y="0"/>
              </wp:wrapPolygon>
            </wp:wrapTight>
            <wp:docPr id="3" name="Picture 3" descr="image showing five hands together in circle, indicating people working collectively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ln>
                      <a:noFill/>
                    </a:ln>
                  </pic:spPr>
                </pic:pic>
              </a:graphicData>
            </a:graphic>
          </wp:anchor>
        </w:drawing>
      </w:r>
      <w:r w:rsidR="003E45E1" w:rsidRPr="00B26881">
        <w:t>collaboration and cooperation with</w:t>
      </w:r>
      <w:r w:rsidR="00B26881" w:rsidRPr="00B26881">
        <w:t xml:space="preserve"> delivery partners, river operators, site managers, First Nations, scientists, landholders and local community advisory groups </w:t>
      </w:r>
    </w:p>
    <w:p w14:paraId="780C772B" w14:textId="0BEFD6CA" w:rsidR="003E45E1" w:rsidRPr="00B26881" w:rsidRDefault="00527588" w:rsidP="009C7CFF">
      <w:pPr>
        <w:pStyle w:val="DotStyle1"/>
        <w:ind w:left="1418" w:hanging="425"/>
      </w:pPr>
      <w:r>
        <w:rPr>
          <w:noProof/>
          <w:lang w:val="en-AU"/>
        </w:rPr>
        <w:drawing>
          <wp:anchor distT="0" distB="0" distL="114300" distR="114300" simplePos="0" relativeHeight="251658247" behindDoc="1" locked="0" layoutInCell="1" allowOverlap="1" wp14:anchorId="30769A73" wp14:editId="345E4990">
            <wp:simplePos x="0" y="0"/>
            <wp:positionH relativeFrom="column">
              <wp:posOffset>150495</wp:posOffset>
            </wp:positionH>
            <wp:positionV relativeFrom="paragraph">
              <wp:posOffset>5715</wp:posOffset>
            </wp:positionV>
            <wp:extent cx="371475" cy="371475"/>
            <wp:effectExtent l="0" t="0" r="9525" b="9525"/>
            <wp:wrapTight wrapText="bothSides">
              <wp:wrapPolygon edited="0">
                <wp:start x="4431" y="0"/>
                <wp:lineTo x="0" y="5538"/>
                <wp:lineTo x="0" y="14400"/>
                <wp:lineTo x="14400" y="18831"/>
                <wp:lineTo x="15508" y="21046"/>
                <wp:lineTo x="21046" y="21046"/>
                <wp:lineTo x="21046" y="16615"/>
                <wp:lineTo x="15508" y="4431"/>
                <wp:lineTo x="12185" y="0"/>
                <wp:lineTo x="4431" y="0"/>
              </wp:wrapPolygon>
            </wp:wrapTight>
            <wp:docPr id="11" name="Picture 11" descr="image of magnifying glass over a graph, indicting examination and analysi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pic:spPr>
                </pic:pic>
              </a:graphicData>
            </a:graphic>
            <wp14:sizeRelH relativeFrom="page">
              <wp14:pctWidth>0</wp14:pctWidth>
            </wp14:sizeRelH>
            <wp14:sizeRelV relativeFrom="page">
              <wp14:pctHeight>0</wp14:pctHeight>
            </wp14:sizeRelV>
          </wp:anchor>
        </w:drawing>
      </w:r>
      <w:r w:rsidR="003E45E1" w:rsidRPr="00B26881">
        <w:t>learning from past actions and the latest information (which is underpinned by having robust monitoring, evaluation and reporting processes).</w:t>
      </w:r>
      <w:r w:rsidR="00BF0A69" w:rsidRPr="00BF0A69">
        <w:rPr>
          <w:noProof/>
          <w:lang w:val="en-AU"/>
        </w:rPr>
        <w:t xml:space="preserve"> </w:t>
      </w:r>
    </w:p>
    <w:p w14:paraId="72E2F3CB" w14:textId="24A0FA1D" w:rsidR="00222537" w:rsidRDefault="00222537" w:rsidP="00222537">
      <w:pPr>
        <w:ind w:left="45"/>
        <w:rPr>
          <w:lang w:val="en-GB"/>
        </w:rPr>
      </w:pPr>
      <w:r w:rsidRPr="00166154">
        <w:rPr>
          <w:lang w:val="en-GB"/>
        </w:rPr>
        <w:t>Further information on these elements are discussed below.</w:t>
      </w:r>
    </w:p>
    <w:p w14:paraId="65AE689F" w14:textId="01C5299E" w:rsidR="00251171" w:rsidRDefault="00316F8D" w:rsidP="0057535E">
      <w:pPr>
        <w:pStyle w:val="Heading3"/>
      </w:pPr>
      <w:bookmarkStart w:id="11" w:name="_Toc44942505"/>
      <w:r w:rsidRPr="006821CB">
        <w:t xml:space="preserve">What </w:t>
      </w:r>
      <w:r w:rsidRPr="00530DCD">
        <w:t xml:space="preserve">we </w:t>
      </w:r>
      <w:r>
        <w:t xml:space="preserve">are </w:t>
      </w:r>
      <w:r w:rsidRPr="00530DCD">
        <w:t>trying to achieve for the environment</w:t>
      </w:r>
      <w:bookmarkEnd w:id="11"/>
    </w:p>
    <w:p w14:paraId="543F26E6" w14:textId="45D38A9C" w:rsidR="009C5213" w:rsidRDefault="009C5213" w:rsidP="006E109D">
      <w:r>
        <w:t xml:space="preserve">Under the </w:t>
      </w:r>
      <w:r w:rsidRPr="00B26881">
        <w:rPr>
          <w:b/>
        </w:rPr>
        <w:t>Water Act</w:t>
      </w:r>
      <w:r w:rsidR="0081563C">
        <w:rPr>
          <w:rStyle w:val="FootnoteReference"/>
        </w:rPr>
        <w:footnoteReference w:id="2"/>
      </w:r>
      <w:r w:rsidR="0081563C">
        <w:t>,</w:t>
      </w:r>
      <w:r>
        <w:t xml:space="preserve"> the CEWH functions are to be performed for the purpose of protecting or restoring the environmental assets of the Murray-Darling Basin</w:t>
      </w:r>
      <w:r w:rsidR="005B08BF">
        <w:t xml:space="preserve">. These </w:t>
      </w:r>
      <w:r>
        <w:t>give effect to relevant international agreements</w:t>
      </w:r>
      <w:r w:rsidR="00D724A1">
        <w:t xml:space="preserve"> such as R</w:t>
      </w:r>
      <w:r w:rsidR="006E7FE4">
        <w:t>amsar</w:t>
      </w:r>
      <w:r w:rsidR="00D724A1">
        <w:t xml:space="preserve"> and Bonn conventions</w:t>
      </w:r>
      <w:r w:rsidR="006E7FE4">
        <w:t xml:space="preserve">, </w:t>
      </w:r>
      <w:r w:rsidR="00166154">
        <w:t>and migratory bird agreements with Japan, China and Republic of Korea</w:t>
      </w:r>
      <w:r>
        <w:t>. The Water Act</w:t>
      </w:r>
      <w:r w:rsidR="000B0B2E">
        <w:rPr>
          <w:rStyle w:val="FootnoteReference"/>
        </w:rPr>
        <w:footnoteReference w:id="3"/>
      </w:r>
      <w:r>
        <w:t xml:space="preserve"> also states that the CEWH must manage holdings in accordance with </w:t>
      </w:r>
      <w:r w:rsidR="00943ADA">
        <w:t xml:space="preserve">the </w:t>
      </w:r>
      <w:r>
        <w:t xml:space="preserve">Basin Plan’s </w:t>
      </w:r>
      <w:r w:rsidR="00943ADA">
        <w:t>e</w:t>
      </w:r>
      <w:r>
        <w:t xml:space="preserve">nvironmental </w:t>
      </w:r>
      <w:r w:rsidR="00943ADA">
        <w:t>w</w:t>
      </w:r>
      <w:r>
        <w:t xml:space="preserve">atering </w:t>
      </w:r>
      <w:r w:rsidR="00943ADA">
        <w:t>p</w:t>
      </w:r>
      <w:r>
        <w:t>lan.</w:t>
      </w:r>
    </w:p>
    <w:p w14:paraId="632BFFDE" w14:textId="206B61E1" w:rsidR="00316F8D" w:rsidRPr="006821CB" w:rsidRDefault="00316F8D" w:rsidP="00326731">
      <w:r w:rsidRPr="006821CB">
        <w:t xml:space="preserve">The Basin Plan’s </w:t>
      </w:r>
      <w:r w:rsidR="00943ADA">
        <w:rPr>
          <w:b/>
          <w:bCs/>
        </w:rPr>
        <w:t>e</w:t>
      </w:r>
      <w:r w:rsidRPr="00742DB8">
        <w:rPr>
          <w:b/>
        </w:rPr>
        <w:t xml:space="preserve">nvironmental </w:t>
      </w:r>
      <w:r w:rsidR="00943ADA">
        <w:rPr>
          <w:b/>
        </w:rPr>
        <w:t>w</w:t>
      </w:r>
      <w:r w:rsidRPr="00742DB8">
        <w:rPr>
          <w:b/>
        </w:rPr>
        <w:t xml:space="preserve">atering </w:t>
      </w:r>
      <w:r w:rsidR="00943ADA">
        <w:rPr>
          <w:b/>
        </w:rPr>
        <w:t>p</w:t>
      </w:r>
      <w:r w:rsidRPr="00742DB8">
        <w:rPr>
          <w:b/>
        </w:rPr>
        <w:t>lan</w:t>
      </w:r>
      <w:r w:rsidR="0081563C">
        <w:rPr>
          <w:rStyle w:val="FootnoteReference"/>
          <w:b/>
          <w:bCs/>
        </w:rPr>
        <w:footnoteReference w:id="4"/>
      </w:r>
      <w:r w:rsidR="009C5213">
        <w:t xml:space="preserve"> </w:t>
      </w:r>
      <w:r w:rsidRPr="006821CB">
        <w:t>establishes the objectives, processes and principles</w:t>
      </w:r>
      <w:r w:rsidR="00CA7C76">
        <w:t xml:space="preserve"> </w:t>
      </w:r>
      <w:r w:rsidR="0081563C">
        <w:t>that</w:t>
      </w:r>
      <w:r w:rsidRPr="006821CB">
        <w:t xml:space="preserve"> guide the management of water</w:t>
      </w:r>
      <w:r w:rsidR="0081563C">
        <w:t xml:space="preserve"> for the environment</w:t>
      </w:r>
      <w:r w:rsidRPr="006821CB">
        <w:t xml:space="preserve"> by the M</w:t>
      </w:r>
      <w:r w:rsidR="007D3D7C">
        <w:t>urray</w:t>
      </w:r>
      <w:r w:rsidR="00C82DE4">
        <w:t>-</w:t>
      </w:r>
      <w:r w:rsidRPr="006821CB">
        <w:t>D</w:t>
      </w:r>
      <w:r w:rsidR="007D3D7C">
        <w:t xml:space="preserve">arling </w:t>
      </w:r>
      <w:r w:rsidRPr="006821CB">
        <w:t>B</w:t>
      </w:r>
      <w:r w:rsidR="007D3D7C">
        <w:t xml:space="preserve">asin </w:t>
      </w:r>
      <w:r w:rsidRPr="006821CB">
        <w:t>A</w:t>
      </w:r>
      <w:r w:rsidR="007D3D7C">
        <w:t>uthority (MDBA)</w:t>
      </w:r>
      <w:r w:rsidRPr="006821CB">
        <w:t xml:space="preserve">, </w:t>
      </w:r>
      <w:r w:rsidR="007D3D7C">
        <w:t>B</w:t>
      </w:r>
      <w:r w:rsidRPr="006821CB">
        <w:t xml:space="preserve">asin States and the </w:t>
      </w:r>
      <w:r w:rsidR="00DA3B3E">
        <w:t>CEWH</w:t>
      </w:r>
      <w:r w:rsidRPr="006821CB">
        <w:t>. The environmental watering plan also sets broad targets</w:t>
      </w:r>
      <w:r w:rsidR="00147366">
        <w:rPr>
          <w:rStyle w:val="FootnoteReference"/>
        </w:rPr>
        <w:footnoteReference w:id="5"/>
      </w:r>
      <w:r w:rsidR="006B53B7">
        <w:t xml:space="preserve"> </w:t>
      </w:r>
      <w:r w:rsidRPr="006821CB">
        <w:t xml:space="preserve">to measure progress towards meeting the </w:t>
      </w:r>
      <w:r w:rsidR="00D34A04">
        <w:t>objectives (Figure 1).</w:t>
      </w:r>
    </w:p>
    <w:p w14:paraId="12DA19FC" w14:textId="74892929" w:rsidR="0009627B" w:rsidRPr="006821CB" w:rsidRDefault="00316F8D" w:rsidP="00326731">
      <w:r w:rsidRPr="006821CB">
        <w:t xml:space="preserve">The </w:t>
      </w:r>
      <w:r w:rsidRPr="00B26881">
        <w:rPr>
          <w:b/>
          <w:bCs/>
        </w:rPr>
        <w:t>Basin-wide environmental watering strategy</w:t>
      </w:r>
      <w:r w:rsidRPr="006821CB">
        <w:t xml:space="preserve"> provides the next level of detail on the environmental objectives and targets. It describes the environmental outcomes expected over the next decade as a result of implementing the Basin Plan and associated water reforms. These outcomes focus on four components: river </w:t>
      </w:r>
      <w:r w:rsidRPr="006821CB">
        <w:lastRenderedPageBreak/>
        <w:t xml:space="preserve">flows and connectivity; native vegetation; waterbirds; and native </w:t>
      </w:r>
      <w:r w:rsidR="00D34A04">
        <w:t>fish (Figure 1).</w:t>
      </w:r>
      <w:r w:rsidRPr="006821CB">
        <w:t xml:space="preserve"> </w:t>
      </w:r>
      <w:r w:rsidR="0009627B" w:rsidRPr="0009627B">
        <w:t xml:space="preserve">The </w:t>
      </w:r>
      <w:r w:rsidR="0009627B">
        <w:t>CEWH</w:t>
      </w:r>
      <w:r w:rsidR="0009627B" w:rsidRPr="0009627B">
        <w:t xml:space="preserve"> </w:t>
      </w:r>
      <w:r w:rsidR="005B08BF">
        <w:t>must</w:t>
      </w:r>
      <w:r w:rsidR="0009627B" w:rsidRPr="0009627B">
        <w:t xml:space="preserve"> act consistent with th</w:t>
      </w:r>
      <w:r w:rsidR="00FB7C28">
        <w:t>is</w:t>
      </w:r>
      <w:r w:rsidR="0009627B" w:rsidRPr="0009627B">
        <w:t xml:space="preserve"> strategy.</w:t>
      </w:r>
    </w:p>
    <w:p w14:paraId="52B09828" w14:textId="42FB4192" w:rsidR="00C601E3" w:rsidRPr="006821CB" w:rsidRDefault="00F60C05" w:rsidP="00326731">
      <w:r>
        <w:t>Ref</w:t>
      </w:r>
      <w:r w:rsidR="005B5F35">
        <w:t xml:space="preserve">er to Chapter 8 of the </w:t>
      </w:r>
      <w:hyperlink r:id="rId37" w:history="1">
        <w:r w:rsidR="005B5F35" w:rsidRPr="005B5F35">
          <w:rPr>
            <w:rStyle w:val="Hyperlink"/>
          </w:rPr>
          <w:t xml:space="preserve">Murray-Darling Basin Plan </w:t>
        </w:r>
        <w:r w:rsidR="005B5F35">
          <w:rPr>
            <w:rStyle w:val="Hyperlink"/>
          </w:rPr>
          <w:t>(</w:t>
        </w:r>
        <w:r w:rsidR="005B5F35" w:rsidRPr="005B5F35">
          <w:rPr>
            <w:rStyle w:val="Hyperlink"/>
          </w:rPr>
          <w:t>2012</w:t>
        </w:r>
      </w:hyperlink>
      <w:r w:rsidR="005B5F35">
        <w:t xml:space="preserve">) and MDBA’s  </w:t>
      </w:r>
      <w:hyperlink r:id="rId38" w:history="1">
        <w:r w:rsidR="005B5F35" w:rsidRPr="00F408CF">
          <w:rPr>
            <w:rStyle w:val="Hyperlink"/>
          </w:rPr>
          <w:t>Basin-wide environmental watering strategy</w:t>
        </w:r>
        <w:r w:rsidR="00F408CF" w:rsidRPr="00F408CF">
          <w:rPr>
            <w:rStyle w:val="Hyperlink"/>
          </w:rPr>
          <w:t xml:space="preserve"> </w:t>
        </w:r>
        <w:r w:rsidR="005B5F35" w:rsidRPr="00F408CF">
          <w:rPr>
            <w:rStyle w:val="Hyperlink"/>
          </w:rPr>
          <w:t>(2019)</w:t>
        </w:r>
      </w:hyperlink>
      <w:r w:rsidR="005B5F35">
        <w:t xml:space="preserve"> for more detail.</w:t>
      </w:r>
    </w:p>
    <w:bookmarkStart w:id="12" w:name="_Ref44489900"/>
    <w:p w14:paraId="3C89C5B6" w14:textId="79444A90" w:rsidR="00F408CF" w:rsidRDefault="006345D0" w:rsidP="006345D0">
      <w:pPr>
        <w:spacing w:before="240" w:after="240"/>
      </w:pPr>
      <w:r>
        <w:rPr>
          <w:noProof/>
        </w:rPr>
        <mc:AlternateContent>
          <mc:Choice Requires="wps">
            <w:drawing>
              <wp:inline distT="0" distB="0" distL="0" distR="0" wp14:anchorId="57CD4771" wp14:editId="6ECFF3F2">
                <wp:extent cx="5886450" cy="4234815"/>
                <wp:effectExtent l="0" t="0" r="19050" b="13335"/>
                <wp:docPr id="18" name="Text Box 18"/>
                <wp:cNvGraphicFramePr/>
                <a:graphic xmlns:a="http://schemas.openxmlformats.org/drawingml/2006/main">
                  <a:graphicData uri="http://schemas.microsoft.com/office/word/2010/wordprocessingShape">
                    <wps:wsp>
                      <wps:cNvSpPr txBox="1"/>
                      <wps:spPr>
                        <a:xfrm>
                          <a:off x="0" y="0"/>
                          <a:ext cx="5886450" cy="4234815"/>
                        </a:xfrm>
                        <a:prstGeom prst="rect">
                          <a:avLst/>
                        </a:prstGeom>
                        <a:solidFill>
                          <a:schemeClr val="lt1"/>
                        </a:solidFill>
                        <a:ln w="6350">
                          <a:solidFill>
                            <a:schemeClr val="accent1"/>
                          </a:solidFill>
                        </a:ln>
                      </wps:spPr>
                      <wps:txbx>
                        <w:txbxContent>
                          <w:p w14:paraId="0B2E12C5" w14:textId="77777777" w:rsidR="00583873" w:rsidRDefault="00583873" w:rsidP="00396717">
                            <w:pPr>
                              <w:jc w:val="center"/>
                            </w:pPr>
                            <w:r>
                              <w:rPr>
                                <w:noProof/>
                              </w:rPr>
                              <w:drawing>
                                <wp:inline distT="0" distB="0" distL="0" distR="0" wp14:anchorId="0192BA94" wp14:editId="46E3136B">
                                  <wp:extent cx="3838575" cy="4187378"/>
                                  <wp:effectExtent l="0" t="0" r="0" b="3810"/>
                                  <wp:docPr id="59" name="Picture 59" descr="Image showing three boxes, the first showing overall environmental objectives from the Basin Plan, to protect and restore water dependent ecosystems, protect and restore the ecosystem functions of water dependent ecosystems and to ensure that water dependent ecosystems are resilient to climate change and other risks and threats. The second box shows targets to measure progress from the Basin Plan Schedule 7 which are up to 2019, the focus was on 'no environmental loss or degradation' and from 2019 onwards it is now expected to be broad environmental improvements. The third box shows expected environmental outcomes from the Basin-wide environmental watering strategy indicating there are expected outcomes for river flows and connectivity, native vegetation, waterbirds and native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4209"/>
                                          <a:stretch/>
                                        </pic:blipFill>
                                        <pic:spPr bwMode="auto">
                                          <a:xfrm>
                                            <a:off x="0" y="0"/>
                                            <a:ext cx="3864060" cy="421517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7CD4771" id="Text Box 18" o:spid="_x0000_s1027" type="#_x0000_t202" style="width:463.5pt;height:33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" fillcolor="white [3201]" strokecolor="#4f81bd [3204]" strokeweight=".5pt">
                <v:textbox>
                  <w:txbxContent>
                    <w:p w14:paraId="0B2E12C5" w14:textId="77777777" w:rsidR="00583873" w:rsidRDefault="00583873" w:rsidP="00396717">
                      <w:pPr>
                        <w:jc w:val="center"/>
                      </w:pPr>
                      <w:r>
                        <w:rPr>
                          <w:noProof/>
                        </w:rPr>
                        <w:drawing>
                          <wp:inline distT="0" distB="0" distL="0" distR="0" wp14:anchorId="0192BA94" wp14:editId="46E3136B">
                            <wp:extent cx="3838575" cy="4187378"/>
                            <wp:effectExtent l="0" t="0" r="0" b="3810"/>
                            <wp:docPr id="59" name="Picture 59" descr="Image showing three boxes, the first showing overall environmental objectives from the Basin Plan, to protect and restore water dependent ecosystems, protect and restore the ecosystem functions of water dependent ecosystems and to ensure that water dependent ecosystems are resilient to climate change and other risks and threats. The second box shows targets to measure progress from the Basin Plan Schedule 7 which are up to 2019, the focus was on 'no environmental loss or degradation' and from 2019 onwards it is now expected to be broad environmental improvements. The third box shows expected environmental outcomes from the Basin-wide environmental watering strategy indicating there are expected outcomes for river flows and connectivity, native vegetation, waterbirds and native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4209"/>
                                    <a:stretch/>
                                  </pic:blipFill>
                                  <pic:spPr bwMode="auto">
                                    <a:xfrm>
                                      <a:off x="0" y="0"/>
                                      <a:ext cx="3864060" cy="4215179"/>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shape>
            </w:pict>
          </mc:Fallback>
        </mc:AlternateContent>
      </w:r>
      <w:r w:rsidR="00F408CF" w:rsidRPr="00786977">
        <w:rPr>
          <w:b/>
        </w:rPr>
        <w:t xml:space="preserve">Figure </w:t>
      </w:r>
      <w:r w:rsidR="00176174" w:rsidRPr="00786977">
        <w:rPr>
          <w:b/>
          <w:noProof/>
        </w:rPr>
        <w:fldChar w:fldCharType="begin"/>
      </w:r>
      <w:r w:rsidR="00176174" w:rsidRPr="00786977">
        <w:rPr>
          <w:b/>
          <w:noProof/>
        </w:rPr>
        <w:instrText xml:space="preserve"> SEQ Figure \* ARABIC </w:instrText>
      </w:r>
      <w:r w:rsidR="00176174" w:rsidRPr="00786977">
        <w:rPr>
          <w:b/>
          <w:noProof/>
        </w:rPr>
        <w:fldChar w:fldCharType="separate"/>
      </w:r>
      <w:r w:rsidR="001B2852">
        <w:rPr>
          <w:b/>
          <w:noProof/>
        </w:rPr>
        <w:t>1</w:t>
      </w:r>
      <w:r w:rsidR="00176174" w:rsidRPr="00786977">
        <w:rPr>
          <w:b/>
          <w:noProof/>
        </w:rPr>
        <w:fldChar w:fldCharType="end"/>
      </w:r>
      <w:bookmarkEnd w:id="12"/>
      <w:r w:rsidR="00786977">
        <w:rPr>
          <w:b/>
        </w:rPr>
        <w:t>:</w:t>
      </w:r>
      <w:r w:rsidR="00F408CF">
        <w:t xml:space="preserve"> Hierarchy of environmental objectives, targets and expected outcomes for the Murray-Darling Basin</w:t>
      </w:r>
      <w:r w:rsidR="00440184">
        <w:rPr>
          <w:rStyle w:val="FootnoteReference"/>
        </w:rPr>
        <w:footnoteReference w:id="6"/>
      </w:r>
      <w:r w:rsidR="00F408CF">
        <w:t>.</w:t>
      </w:r>
    </w:p>
    <w:p w14:paraId="0F934358" w14:textId="48AE93DA" w:rsidR="00316F8D" w:rsidRPr="006821CB" w:rsidRDefault="00316F8D" w:rsidP="00326731">
      <w:r w:rsidRPr="006821CB">
        <w:t xml:space="preserve">At a </w:t>
      </w:r>
      <w:r w:rsidR="0009627B">
        <w:t>valley</w:t>
      </w:r>
      <w:r w:rsidR="0009627B" w:rsidRPr="006821CB">
        <w:t xml:space="preserve"> </w:t>
      </w:r>
      <w:r w:rsidRPr="006821CB">
        <w:t xml:space="preserve">scale, </w:t>
      </w:r>
      <w:r w:rsidRPr="00B26881">
        <w:rPr>
          <w:b/>
          <w:bCs/>
        </w:rPr>
        <w:t>long-term watering plans</w:t>
      </w:r>
      <w:r w:rsidRPr="006821CB">
        <w:t xml:space="preserve"> are prepared by Basin state governments. Th</w:t>
      </w:r>
      <w:r w:rsidR="00FB7C28">
        <w:t>es</w:t>
      </w:r>
      <w:r w:rsidRPr="006821CB">
        <w:t xml:space="preserve">e plans identify the key rivers and floodplains in each </w:t>
      </w:r>
      <w:r w:rsidR="0009627B">
        <w:t>valley</w:t>
      </w:r>
      <w:r w:rsidRPr="006821CB">
        <w:t xml:space="preserve">, and the objectives, targets and environmental watering requirements for each river or floodplain. </w:t>
      </w:r>
      <w:r w:rsidR="0009627B">
        <w:t>T</w:t>
      </w:r>
      <w:r w:rsidR="005A417E">
        <w:t>he</w:t>
      </w:r>
      <w:r w:rsidR="00FB7C28">
        <w:t xml:space="preserve">y </w:t>
      </w:r>
      <w:r w:rsidR="005A417E">
        <w:t xml:space="preserve">provide the key information on the long-term environmental water </w:t>
      </w:r>
      <w:r w:rsidR="00EE4834">
        <w:t>requirements</w:t>
      </w:r>
      <w:r w:rsidR="005A417E">
        <w:t xml:space="preserve"> </w:t>
      </w:r>
      <w:r w:rsidR="00FB7C28">
        <w:t>with</w:t>
      </w:r>
      <w:r w:rsidR="005A417E">
        <w:t xml:space="preserve">in the </w:t>
      </w:r>
      <w:r w:rsidR="0009627B">
        <w:t>valley</w:t>
      </w:r>
      <w:r w:rsidR="005A417E">
        <w:t>.</w:t>
      </w:r>
    </w:p>
    <w:p w14:paraId="1F8B4DB4" w14:textId="6C088E9B" w:rsidR="00316F8D" w:rsidRPr="006821CB" w:rsidRDefault="00316F8D" w:rsidP="00326731">
      <w:r w:rsidRPr="006821CB">
        <w:t xml:space="preserve">These plans are being progressively developed over the coming years. Plans are currently available for catchments in South Australia, Victoria and western </w:t>
      </w:r>
      <w:r w:rsidR="0009627B">
        <w:t>river valleys</w:t>
      </w:r>
      <w:r w:rsidR="0009627B" w:rsidRPr="006821CB">
        <w:t xml:space="preserve"> </w:t>
      </w:r>
      <w:r w:rsidRPr="006821CB">
        <w:t>of Queensland</w:t>
      </w:r>
      <w:r w:rsidR="0009627B">
        <w:t>,</w:t>
      </w:r>
      <w:r w:rsidR="006F6493">
        <w:t xml:space="preserve"> while plans are still being </w:t>
      </w:r>
      <w:r w:rsidR="009979D0">
        <w:t>prepared</w:t>
      </w:r>
      <w:r w:rsidR="006F6493">
        <w:t xml:space="preserve"> for catchments in New South Wales and</w:t>
      </w:r>
      <w:r w:rsidR="00FB7C28">
        <w:t xml:space="preserve"> the</w:t>
      </w:r>
      <w:r w:rsidR="006F6493">
        <w:t xml:space="preserve"> Australian Capital Territory</w:t>
      </w:r>
      <w:r w:rsidRPr="006821CB">
        <w:t>.</w:t>
      </w:r>
      <w:r>
        <w:t xml:space="preserve"> </w:t>
      </w:r>
      <w:r w:rsidR="00D31CD4">
        <w:t>E</w:t>
      </w:r>
      <w:r w:rsidRPr="006821CB">
        <w:t>nvironmental water managers will continue to draw on information from</w:t>
      </w:r>
      <w:r w:rsidR="00D31CD4">
        <w:t xml:space="preserve"> the many</w:t>
      </w:r>
      <w:r w:rsidRPr="006821CB">
        <w:t xml:space="preserve"> existing documents that describe environmental watering requirements for specific wetlands and catchments, as well as local knowledge and monitoring results.</w:t>
      </w:r>
    </w:p>
    <w:p w14:paraId="3E30B7D9" w14:textId="77777777" w:rsidR="00316F8D" w:rsidRPr="006821CB" w:rsidRDefault="00316F8D" w:rsidP="00326731">
      <w:r w:rsidRPr="006821CB">
        <w:t>Links to long-term watering plans can be found here:</w:t>
      </w:r>
    </w:p>
    <w:p w14:paraId="6E09E848" w14:textId="77777777" w:rsidR="00316F8D" w:rsidRPr="00363C00" w:rsidRDefault="00030BA8" w:rsidP="00C82DE4">
      <w:pPr>
        <w:pStyle w:val="DotStyle1"/>
      </w:pPr>
      <w:hyperlink r:id="rId41" w:history="1">
        <w:r w:rsidR="00316F8D" w:rsidRPr="006821CB">
          <w:rPr>
            <w:rStyle w:val="Hyperlink"/>
          </w:rPr>
          <w:t>Victorian long-term watering plans</w:t>
        </w:r>
      </w:hyperlink>
    </w:p>
    <w:p w14:paraId="0D20F3F1" w14:textId="77777777" w:rsidR="00316F8D" w:rsidRPr="00363C00" w:rsidRDefault="00030BA8" w:rsidP="00C82DE4">
      <w:pPr>
        <w:pStyle w:val="DotStyle1"/>
      </w:pPr>
      <w:hyperlink r:id="rId42" w:history="1">
        <w:r w:rsidR="00316F8D" w:rsidRPr="006821CB">
          <w:rPr>
            <w:rStyle w:val="Hyperlink"/>
          </w:rPr>
          <w:t>South Australian long-term watering plans</w:t>
        </w:r>
      </w:hyperlink>
    </w:p>
    <w:p w14:paraId="443B19AD" w14:textId="4D5AE63D" w:rsidR="00316F8D" w:rsidRPr="009979D0" w:rsidRDefault="00030BA8" w:rsidP="00C82DE4">
      <w:pPr>
        <w:pStyle w:val="DotStyle1"/>
        <w:rPr>
          <w:rStyle w:val="Hyperlink"/>
          <w:color w:val="000000"/>
          <w:u w:val="none"/>
        </w:rPr>
      </w:pPr>
      <w:hyperlink r:id="rId43" w:history="1">
        <w:r w:rsidR="00316F8D" w:rsidRPr="006821CB">
          <w:rPr>
            <w:rStyle w:val="Hyperlink"/>
          </w:rPr>
          <w:t>Queensland long-term watering plans</w:t>
        </w:r>
      </w:hyperlink>
    </w:p>
    <w:p w14:paraId="0F126085" w14:textId="5B07998D" w:rsidR="009979D0" w:rsidRPr="00B26881" w:rsidRDefault="00030BA8" w:rsidP="00C82DE4">
      <w:pPr>
        <w:pStyle w:val="DotStyle1"/>
        <w:rPr>
          <w:rStyle w:val="Hyperlink"/>
          <w:color w:val="000000"/>
          <w:u w:val="none"/>
        </w:rPr>
      </w:pPr>
      <w:hyperlink r:id="rId44" w:history="1">
        <w:r w:rsidR="009979D0" w:rsidRPr="009979D0">
          <w:rPr>
            <w:rStyle w:val="Hyperlink"/>
          </w:rPr>
          <w:t>New South Wales Draft long-term watering plans</w:t>
        </w:r>
      </w:hyperlink>
    </w:p>
    <w:p w14:paraId="0E6A5620" w14:textId="602ABC03" w:rsidR="004578B9" w:rsidRDefault="0009627B" w:rsidP="00B26881">
      <w:r w:rsidRPr="0009627B">
        <w:lastRenderedPageBreak/>
        <w:t xml:space="preserve">Prior to the start of each water year, </w:t>
      </w:r>
      <w:r w:rsidRPr="00B26881">
        <w:rPr>
          <w:b/>
          <w:bCs/>
        </w:rPr>
        <w:t>annual environmental watering priorities</w:t>
      </w:r>
      <w:r w:rsidRPr="0009627B">
        <w:t xml:space="preserve"> are prepared by Basin state governments (for each </w:t>
      </w:r>
      <w:r>
        <w:t>valley</w:t>
      </w:r>
      <w:r w:rsidRPr="0009627B">
        <w:t xml:space="preserve">) and by the </w:t>
      </w:r>
      <w:r>
        <w:t>MDBA</w:t>
      </w:r>
      <w:r w:rsidRPr="0009627B">
        <w:t xml:space="preserve"> (for the Basin as a whole).</w:t>
      </w:r>
      <w:r w:rsidR="00B26881">
        <w:t xml:space="preserve"> These </w:t>
      </w:r>
      <w:r w:rsidR="00FB7C28">
        <w:t>articulate</w:t>
      </w:r>
      <w:r w:rsidR="00E35ABE">
        <w:t xml:space="preserve"> the environmental water needs (or demands) for the coming year.</w:t>
      </w:r>
      <w:r w:rsidRPr="0009627B">
        <w:t xml:space="preserve"> </w:t>
      </w:r>
    </w:p>
    <w:p w14:paraId="62073A3C" w14:textId="4095EFD6" w:rsidR="0009627B" w:rsidRPr="004578B9" w:rsidRDefault="0009627B" w:rsidP="0009627B">
      <w:r>
        <w:t>The Basin annual environmental watering priorities establish both the context and key environmental water needs at a basin scale through describing the priority environmental values and the desired trend from a whole of basin perspective.</w:t>
      </w:r>
      <w:r w:rsidR="004578B9">
        <w:t xml:space="preserve"> The Basin priorities for 2020</w:t>
      </w:r>
      <w:r w:rsidR="00C82DE4">
        <w:t>-</w:t>
      </w:r>
      <w:r w:rsidR="004578B9">
        <w:t xml:space="preserve">21 are </w:t>
      </w:r>
      <w:r w:rsidR="004578B9" w:rsidRPr="00A25105">
        <w:t xml:space="preserve">described in Chapter 2, </w:t>
      </w:r>
      <w:r w:rsidR="00A25105">
        <w:t xml:space="preserve">Section </w:t>
      </w:r>
      <w:r w:rsidR="00A25105">
        <w:fldChar w:fldCharType="begin"/>
      </w:r>
      <w:r w:rsidR="00A25105">
        <w:instrText xml:space="preserve"> REF _Ref43725123 \r \h </w:instrText>
      </w:r>
      <w:r w:rsidR="00A25105">
        <w:fldChar w:fldCharType="separate"/>
      </w:r>
      <w:r w:rsidR="001B2852">
        <w:t>0</w:t>
      </w:r>
      <w:r w:rsidR="00A25105">
        <w:fldChar w:fldCharType="end"/>
      </w:r>
      <w:r w:rsidR="00A25105">
        <w:t xml:space="preserve"> </w:t>
      </w:r>
      <w:r w:rsidR="004578B9" w:rsidRPr="00A25105">
        <w:t>of this</w:t>
      </w:r>
      <w:r w:rsidR="004578B9">
        <w:t xml:space="preserve"> Plan.</w:t>
      </w:r>
    </w:p>
    <w:p w14:paraId="451AD144" w14:textId="66BBC5A9" w:rsidR="0009627B" w:rsidRDefault="00C51679" w:rsidP="0009627B">
      <w:r>
        <w:t>The valley priorities provide local information on the key environmental demands in the coming year, under different climatic scenarios. They can provide details on the past and current environmental health of the valley, the objectives for the coming year, and the volumes and timing of desired environmental flows. Valley priorities are developing in close consultation with catchment management agencies, site managers, First Nations representatives, local landholders and community advisory groups.</w:t>
      </w:r>
    </w:p>
    <w:p w14:paraId="467CCF53" w14:textId="2E730C4E" w:rsidR="008724B6" w:rsidRPr="00533FC3" w:rsidRDefault="008724B6" w:rsidP="0057535E">
      <w:pPr>
        <w:pStyle w:val="Heading5"/>
      </w:pPr>
      <w:bookmarkStart w:id="13" w:name="_Hlk42849256"/>
      <w:r w:rsidRPr="00533FC3">
        <w:t>First Nations environmental and cultural outcomes</w:t>
      </w:r>
    </w:p>
    <w:p w14:paraId="02FC1D43" w14:textId="5CC75435" w:rsidR="0021416A" w:rsidRPr="0021416A" w:rsidRDefault="0021416A" w:rsidP="0021416A">
      <w:pPr>
        <w:rPr>
          <w:rFonts w:ascii="Calibri" w:hAnsi="Calibri"/>
        </w:rPr>
      </w:pPr>
      <w:r w:rsidRPr="0021416A">
        <w:rPr>
          <w:rFonts w:ascii="Calibri" w:hAnsi="Calibri"/>
        </w:rPr>
        <w:t xml:space="preserve">Under the Basin Plan, environmental water holders must have regard to Indigenous values when undertaking environmental watering. One way this is occurring is through incorporating First Nations environmental objectives into planning processes. This occurs at the local level, with First Nations representatives typically involved in the development of watering proposals at particular sites or valleys. For the first time this year, this is also being complemented by First Nations environmental objectives at the system-scale, which have been developed by the Murray Lower Darling River Indigenous Nations </w:t>
      </w:r>
      <w:r w:rsidR="008C21F2">
        <w:rPr>
          <w:rFonts w:ascii="Calibri" w:hAnsi="Calibri"/>
        </w:rPr>
        <w:t xml:space="preserve">(MLDRIN) </w:t>
      </w:r>
      <w:r w:rsidRPr="0021416A">
        <w:rPr>
          <w:rFonts w:ascii="Calibri" w:hAnsi="Calibri"/>
        </w:rPr>
        <w:t>and the Northern Basin Aboriginal Nations</w:t>
      </w:r>
      <w:r w:rsidR="008C21F2">
        <w:rPr>
          <w:rFonts w:ascii="Calibri" w:hAnsi="Calibri"/>
        </w:rPr>
        <w:t xml:space="preserve"> (NBAN)</w:t>
      </w:r>
      <w:r w:rsidRPr="0021416A">
        <w:rPr>
          <w:rFonts w:ascii="Calibri" w:hAnsi="Calibri"/>
        </w:rPr>
        <w:t xml:space="preserve"> (see Chapter 2, </w:t>
      </w:r>
      <w:r w:rsidRPr="00A25105">
        <w:rPr>
          <w:rFonts w:ascii="Calibri" w:hAnsi="Calibri"/>
        </w:rPr>
        <w:t xml:space="preserve">Section </w:t>
      </w:r>
      <w:r w:rsidR="00A25105" w:rsidRPr="00A25105">
        <w:rPr>
          <w:rFonts w:ascii="Calibri" w:hAnsi="Calibri"/>
        </w:rPr>
        <w:fldChar w:fldCharType="begin"/>
      </w:r>
      <w:r w:rsidR="00A25105" w:rsidRPr="00A25105">
        <w:rPr>
          <w:rFonts w:ascii="Calibri" w:hAnsi="Calibri"/>
        </w:rPr>
        <w:instrText xml:space="preserve"> REF _Ref43725146 \r \h </w:instrText>
      </w:r>
      <w:r w:rsidR="00A25105">
        <w:rPr>
          <w:rFonts w:ascii="Calibri" w:hAnsi="Calibri"/>
        </w:rPr>
        <w:instrText xml:space="preserve"> \* MERGEFORMAT </w:instrText>
      </w:r>
      <w:r w:rsidR="00A25105" w:rsidRPr="00A25105">
        <w:rPr>
          <w:rFonts w:ascii="Calibri" w:hAnsi="Calibri"/>
        </w:rPr>
      </w:r>
      <w:r w:rsidR="00A25105" w:rsidRPr="00A25105">
        <w:rPr>
          <w:rFonts w:ascii="Calibri" w:hAnsi="Calibri"/>
        </w:rPr>
        <w:fldChar w:fldCharType="separate"/>
      </w:r>
      <w:r w:rsidR="001B2852">
        <w:rPr>
          <w:rFonts w:ascii="Calibri" w:hAnsi="Calibri"/>
        </w:rPr>
        <w:t>2.4</w:t>
      </w:r>
      <w:r w:rsidR="00A25105" w:rsidRPr="00A25105">
        <w:rPr>
          <w:rFonts w:ascii="Calibri" w:hAnsi="Calibri"/>
        </w:rPr>
        <w:fldChar w:fldCharType="end"/>
      </w:r>
      <w:r w:rsidRPr="0021416A">
        <w:rPr>
          <w:rFonts w:ascii="Calibri" w:hAnsi="Calibri"/>
        </w:rPr>
        <w:t xml:space="preserve">). </w:t>
      </w:r>
    </w:p>
    <w:p w14:paraId="1CFB5295" w14:textId="4F98B70E" w:rsidR="0021416A" w:rsidRPr="0021416A" w:rsidRDefault="0021416A" w:rsidP="0021416A">
      <w:pPr>
        <w:rPr>
          <w:rFonts w:ascii="Calibri" w:hAnsi="Calibri"/>
        </w:rPr>
      </w:pPr>
      <w:r w:rsidRPr="0021416A">
        <w:rPr>
          <w:rFonts w:ascii="Calibri" w:hAnsi="Calibri"/>
        </w:rPr>
        <w:t xml:space="preserve">There is variation between the level of First Nations input and consistency of engagement at a valley scale. This </w:t>
      </w:r>
      <w:r w:rsidR="00EB093E">
        <w:rPr>
          <w:rFonts w:ascii="Calibri" w:hAnsi="Calibri"/>
        </w:rPr>
        <w:t xml:space="preserve">is </w:t>
      </w:r>
      <w:r w:rsidRPr="0021416A">
        <w:rPr>
          <w:rFonts w:ascii="Calibri" w:hAnsi="Calibri"/>
        </w:rPr>
        <w:t xml:space="preserve">a reflection of CEWO’s journey to enhance how we work with First Nations people in the management of environmental water. We still have work to do and are continuously looking for opportunities to improve. </w:t>
      </w:r>
    </w:p>
    <w:p w14:paraId="4178E811" w14:textId="1BA095A2" w:rsidR="004578B9" w:rsidRDefault="00567CAB" w:rsidP="0057535E">
      <w:pPr>
        <w:pStyle w:val="Heading3"/>
      </w:pPr>
      <w:bookmarkStart w:id="14" w:name="_Toc44942506"/>
      <w:bookmarkEnd w:id="13"/>
      <w:r>
        <w:t>Providing water to meet environmental demands</w:t>
      </w:r>
      <w:bookmarkEnd w:id="14"/>
    </w:p>
    <w:p w14:paraId="133DAEF8" w14:textId="69DBA647" w:rsidR="00316F8D" w:rsidRPr="009862EE" w:rsidRDefault="00316F8D" w:rsidP="00242262">
      <w:pPr>
        <w:rPr>
          <w:rFonts w:ascii="Tahoma" w:hAnsi="Tahoma" w:cs="Tahoma"/>
          <w:szCs w:val="22"/>
          <w:lang w:val="en-GB" w:eastAsia="en-US"/>
        </w:rPr>
      </w:pPr>
      <w:r w:rsidRPr="006821CB">
        <w:t>Commonwealth environmental water planning is primarily driven by supply</w:t>
      </w:r>
      <w:r w:rsidR="00A25105">
        <w:t xml:space="preserve"> </w:t>
      </w:r>
      <w:r w:rsidR="00EB093E">
        <w:t>(</w:t>
      </w:r>
      <w:r w:rsidRPr="006821CB">
        <w:t>how much water is available</w:t>
      </w:r>
      <w:r w:rsidR="00EB093E">
        <w:t>)</w:t>
      </w:r>
      <w:r w:rsidR="00A25105">
        <w:t xml:space="preserve"> </w:t>
      </w:r>
      <w:r w:rsidRPr="006821CB">
        <w:t xml:space="preserve">and </w:t>
      </w:r>
      <w:r w:rsidR="00E61C65">
        <w:t xml:space="preserve">how this can be used to meet identified </w:t>
      </w:r>
      <w:r w:rsidRPr="006821CB">
        <w:t>demand</w:t>
      </w:r>
      <w:r w:rsidR="00E61C65">
        <w:t>s</w:t>
      </w:r>
      <w:r w:rsidR="00A25105">
        <w:t xml:space="preserve"> </w:t>
      </w:r>
      <w:r w:rsidR="00EB093E">
        <w:t>(</w:t>
      </w:r>
      <w:r w:rsidRPr="006821CB">
        <w:t>what are the environment’s needs</w:t>
      </w:r>
      <w:r w:rsidR="00EB093E">
        <w:t>)</w:t>
      </w:r>
      <w:r w:rsidRPr="006821CB">
        <w:t xml:space="preserve">. </w:t>
      </w:r>
    </w:p>
    <w:p w14:paraId="18C5CD58" w14:textId="3DA6DF02" w:rsidR="00015A98" w:rsidRDefault="00364BC9" w:rsidP="00242262">
      <w:r>
        <w:t xml:space="preserve">The scope of watering actions and the environmental outcomes that can be achieved will be limited by availability of water </w:t>
      </w:r>
      <w:r w:rsidR="00EB093E">
        <w:t xml:space="preserve">(or ‘supply') </w:t>
      </w:r>
      <w:r>
        <w:t xml:space="preserve">to achieve these outcomes. The Commonwealth </w:t>
      </w:r>
      <w:r w:rsidR="00EB093E">
        <w:t xml:space="preserve">considers current water availability and </w:t>
      </w:r>
      <w:r>
        <w:t xml:space="preserve">estimates its </w:t>
      </w:r>
      <w:r w:rsidR="00EB093E">
        <w:t xml:space="preserve">likely future </w:t>
      </w:r>
      <w:r>
        <w:t>supply of environmental water based on factors such as rainfall, flow conditions and forecasts of water allocations.</w:t>
      </w:r>
      <w:r w:rsidR="00ED3F1B">
        <w:t xml:space="preserve"> </w:t>
      </w:r>
      <w:r w:rsidR="00015A98">
        <w:t>Other important considerations include the availability of other sources of water and other likely demands in the system that can either assist or hinder the ability to deliver water to meet environmental demands.</w:t>
      </w:r>
    </w:p>
    <w:p w14:paraId="4242176D" w14:textId="77298BB6" w:rsidR="00316F8D" w:rsidRDefault="00316F8D" w:rsidP="00242262">
      <w:r w:rsidRPr="006821CB">
        <w:t>The Commonwealth Environmental Water Portfolio Management Framework has been developed to support decisions on the best mix of water delivery, carryover and trade under different levels of supply and demand. By considering both supply and demand, the framework identifies four different purposes for managing the portfolio (</w:t>
      </w:r>
      <w:r w:rsidR="00A25105" w:rsidRPr="00A25105">
        <w:fldChar w:fldCharType="begin"/>
      </w:r>
      <w:r w:rsidR="00A25105" w:rsidRPr="00A25105">
        <w:instrText xml:space="preserve"> REF _Ref43725424 \h  \* MERGEFORMAT </w:instrText>
      </w:r>
      <w:r w:rsidR="00A25105" w:rsidRPr="00A25105">
        <w:fldChar w:fldCharType="separate"/>
      </w:r>
      <w:r w:rsidR="001B2852" w:rsidRPr="001B2852">
        <w:t xml:space="preserve">Figure </w:t>
      </w:r>
      <w:r w:rsidR="001B2852" w:rsidRPr="001B2852">
        <w:rPr>
          <w:noProof/>
        </w:rPr>
        <w:t>2</w:t>
      </w:r>
      <w:r w:rsidR="00A25105" w:rsidRPr="00A25105">
        <w:fldChar w:fldCharType="end"/>
      </w:r>
      <w:r w:rsidRPr="006821CB">
        <w:t>) and the outcomes that are in scope under each purpose.</w:t>
      </w:r>
    </w:p>
    <w:p w14:paraId="07DC1C6D" w14:textId="6B90969F" w:rsidR="00ED3F1B" w:rsidRPr="009862EE" w:rsidRDefault="00ED3F1B" w:rsidP="00242262">
      <w:pPr>
        <w:rPr>
          <w:rFonts w:ascii="Tahoma" w:hAnsi="Tahoma" w:cs="Tahoma"/>
          <w:szCs w:val="22"/>
          <w:lang w:val="en-GB" w:eastAsia="en-US"/>
        </w:rPr>
      </w:pPr>
      <w:r>
        <w:t>In planning for the new water year, we need to be prepared for all scenarios—from very dry through to very wet</w:t>
      </w:r>
      <w:r w:rsidR="00897D72">
        <w:t>, providing flexibility and ability to adapt quickly to changing conditions</w:t>
      </w:r>
      <w:r>
        <w:t>.</w:t>
      </w:r>
    </w:p>
    <w:p w14:paraId="450C2B4A" w14:textId="5DD7B94E" w:rsidR="00316F8D" w:rsidRPr="006821CB" w:rsidRDefault="00316F8D" w:rsidP="00242262">
      <w:r w:rsidRPr="006821CB">
        <w:t xml:space="preserve">Further information on how we plan can be found within the </w:t>
      </w:r>
      <w:r w:rsidRPr="00A25105">
        <w:t>Framework for determining Commonwealth Environmental Water Use</w:t>
      </w:r>
      <w:r w:rsidR="00A25105" w:rsidRPr="00A25105">
        <w:t xml:space="preserve"> </w:t>
      </w:r>
      <w:r w:rsidR="00A25105">
        <w:t>a</w:t>
      </w:r>
      <w:r w:rsidR="00A25105" w:rsidRPr="00A25105">
        <w:t>vailable at:</w:t>
      </w:r>
      <w:r w:rsidR="00A25105">
        <w:rPr>
          <w:rStyle w:val="Hyperlink"/>
        </w:rPr>
        <w:t xml:space="preserve"> </w:t>
      </w:r>
      <w:r w:rsidR="00A25105" w:rsidRPr="00A25105">
        <w:rPr>
          <w:rStyle w:val="Hyperlink"/>
        </w:rPr>
        <w:t>http://www.environment.gov.au/water/cewo/publications/framework-determining-cew-use</w:t>
      </w:r>
    </w:p>
    <w:p w14:paraId="7EE58886" w14:textId="77777777" w:rsidR="00316F8D" w:rsidRPr="006821CB" w:rsidRDefault="00316F8D" w:rsidP="00242262"/>
    <w:p w14:paraId="46B38A4B" w14:textId="3F078B59" w:rsidR="00316F8D" w:rsidRDefault="00316F8D" w:rsidP="00A25105">
      <w:pPr>
        <w:spacing w:after="240"/>
      </w:pPr>
      <w:bookmarkStart w:id="15" w:name="_Ref445120998"/>
      <w:bookmarkStart w:id="16" w:name="_Ref43725424"/>
      <w:r w:rsidRPr="006821CB">
        <w:rPr>
          <w:noProof/>
        </w:rPr>
        <w:lastRenderedPageBreak/>
        <w:drawing>
          <wp:anchor distT="0" distB="0" distL="114300" distR="114300" simplePos="0" relativeHeight="251658242" behindDoc="0" locked="0" layoutInCell="1" allowOverlap="1" wp14:anchorId="5940F3E0" wp14:editId="0F818A9D">
            <wp:simplePos x="0" y="0"/>
            <wp:positionH relativeFrom="column">
              <wp:posOffset>-1905</wp:posOffset>
            </wp:positionH>
            <wp:positionV relativeFrom="paragraph">
              <wp:posOffset>3810</wp:posOffset>
            </wp:positionV>
            <wp:extent cx="6216103" cy="4248150"/>
            <wp:effectExtent l="0" t="0" r="0" b="0"/>
            <wp:wrapSquare wrapText="bothSides"/>
            <wp:docPr id="2" name="Picture 6" descr="A photo matrix showing how the Commonwealth Environmental Water Office undertakes planning based on two key factors. The first is demand according to environmental conditions, while the second is water availability to meet environmental demands. This water may have a range of sources as Commonwealth environmental water is delivered in conjunction with natural flows, consumptive water and other sources of environmental water. By considering these factors together, the Office can determine an overall purpose, ranging from ‘avoiding damage’ (where environmental demands are high and resource availability is low), through protect and maintain the environment, to ‘improving’ ecological condition (where water availability is hig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rix_table_V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16103" cy="4248150"/>
                    </a:xfrm>
                    <a:prstGeom prst="rect">
                      <a:avLst/>
                    </a:prstGeom>
                  </pic:spPr>
                </pic:pic>
              </a:graphicData>
            </a:graphic>
          </wp:anchor>
        </w:drawing>
      </w:r>
      <w:bookmarkEnd w:id="15"/>
      <w:r w:rsidRPr="00C30990">
        <w:rPr>
          <w:b/>
        </w:rPr>
        <w:t xml:space="preserve">Figure </w:t>
      </w:r>
      <w:r w:rsidR="00C30990" w:rsidRPr="00C30990">
        <w:rPr>
          <w:b/>
        </w:rPr>
        <w:fldChar w:fldCharType="begin"/>
      </w:r>
      <w:r w:rsidR="00C30990" w:rsidRPr="00C30990">
        <w:rPr>
          <w:b/>
        </w:rPr>
        <w:instrText xml:space="preserve"> SEQ Figure \* ARABIC </w:instrText>
      </w:r>
      <w:r w:rsidR="00C30990" w:rsidRPr="00C30990">
        <w:rPr>
          <w:b/>
        </w:rPr>
        <w:fldChar w:fldCharType="separate"/>
      </w:r>
      <w:r w:rsidR="001B2852">
        <w:rPr>
          <w:b/>
          <w:noProof/>
        </w:rPr>
        <w:t>2</w:t>
      </w:r>
      <w:r w:rsidR="00C30990" w:rsidRPr="00C30990">
        <w:rPr>
          <w:b/>
          <w:noProof/>
        </w:rPr>
        <w:fldChar w:fldCharType="end"/>
      </w:r>
      <w:bookmarkEnd w:id="16"/>
      <w:r w:rsidRPr="00E31CF6">
        <w:t>:</w:t>
      </w:r>
      <w:r w:rsidRPr="006821CB">
        <w:t xml:space="preserve"> </w:t>
      </w:r>
      <w:r w:rsidRPr="00E31CF6">
        <w:t>Environmental demand and water available influence the purpose of Commonwealth environmental water management</w:t>
      </w:r>
    </w:p>
    <w:p w14:paraId="090438F9" w14:textId="039A23A1" w:rsidR="00ED3F1B" w:rsidRDefault="00ED3F1B" w:rsidP="00ED3F1B">
      <w:r>
        <w:t xml:space="preserve">Our water management planning occurs at both the valley and Basin-scale. Valley </w:t>
      </w:r>
      <w:r w:rsidR="009464AC">
        <w:t xml:space="preserve">annual water management </w:t>
      </w:r>
      <w:r>
        <w:t>plans</w:t>
      </w:r>
      <w:r w:rsidR="00C7548E">
        <w:t xml:space="preserve"> (refer Chapter 3),</w:t>
      </w:r>
      <w:r>
        <w:t xml:space="preserve"> include a summary of the objectives and long-term flow regime required to meet environmental demands. A multi-year approach is then taken to identifying </w:t>
      </w:r>
      <w:r w:rsidR="000D0249">
        <w:t xml:space="preserve">water </w:t>
      </w:r>
      <w:r>
        <w:t>management intentions, considering the:</w:t>
      </w:r>
    </w:p>
    <w:p w14:paraId="020A7018" w14:textId="7A9E1F8D" w:rsidR="00ED3F1B" w:rsidRDefault="00ED3F1B" w:rsidP="00F53A6B">
      <w:pPr>
        <w:pStyle w:val="DotStyle1"/>
      </w:pPr>
      <w:r>
        <w:t>past watering history and its impact on environmental demands and asset condition</w:t>
      </w:r>
      <w:r w:rsidR="00E644AE">
        <w:t xml:space="preserve"> </w:t>
      </w:r>
    </w:p>
    <w:p w14:paraId="657AEEB5" w14:textId="2BEE15DC" w:rsidR="00ED3F1B" w:rsidRDefault="00ED3F1B" w:rsidP="00F53A6B">
      <w:pPr>
        <w:pStyle w:val="DotStyle1"/>
      </w:pPr>
      <w:r>
        <w:t xml:space="preserve">likely </w:t>
      </w:r>
      <w:r w:rsidR="00D31CD4">
        <w:t>effects</w:t>
      </w:r>
      <w:r>
        <w:t xml:space="preserve"> of planned actions on environmental demands in future years</w:t>
      </w:r>
      <w:r w:rsidR="00E644AE">
        <w:t>.</w:t>
      </w:r>
    </w:p>
    <w:p w14:paraId="69611CD0" w14:textId="02BD3FCB" w:rsidR="00ED3F1B" w:rsidRDefault="00ED3F1B" w:rsidP="00ED3F1B">
      <w:r>
        <w:t xml:space="preserve">Once initial </w:t>
      </w:r>
      <w:r w:rsidR="000D0249">
        <w:t>valley</w:t>
      </w:r>
      <w:r>
        <w:t xml:space="preserve"> planning has been undertaken, this is then fed into a Basin-wide planning process. This process considers:</w:t>
      </w:r>
    </w:p>
    <w:p w14:paraId="4D9B4C60" w14:textId="67C9687E" w:rsidR="00ED3F1B" w:rsidRDefault="00ED3F1B" w:rsidP="00F53A6B">
      <w:pPr>
        <w:pStyle w:val="DotStyle1"/>
      </w:pPr>
      <w:r>
        <w:t>key demands across the Basin</w:t>
      </w:r>
    </w:p>
    <w:p w14:paraId="59CDDF88" w14:textId="0F384206" w:rsidR="00ED3F1B" w:rsidRDefault="00ED3F1B" w:rsidP="00F53A6B">
      <w:pPr>
        <w:pStyle w:val="DotStyle1"/>
      </w:pPr>
      <w:r>
        <w:t>opportunities to use allocation trade (purchase, sale or transfer) to rebalance the portfolio to better</w:t>
      </w:r>
      <w:r w:rsidR="00E644AE">
        <w:t xml:space="preserve"> </w:t>
      </w:r>
      <w:r>
        <w:t>match differing demands across catchments</w:t>
      </w:r>
    </w:p>
    <w:p w14:paraId="4A054A62" w14:textId="1EF9EBC2" w:rsidR="00ED3F1B" w:rsidRDefault="00D31CD4" w:rsidP="00F53A6B">
      <w:pPr>
        <w:pStyle w:val="DotStyle1"/>
      </w:pPr>
      <w:r>
        <w:t>opportunities</w:t>
      </w:r>
      <w:r w:rsidR="00ED3F1B">
        <w:t xml:space="preserve"> to align environmental outcomes from watering, such as multi-site watering events in hydrologically connected catchments</w:t>
      </w:r>
      <w:r w:rsidR="00E644AE">
        <w:t>.</w:t>
      </w:r>
    </w:p>
    <w:p w14:paraId="4624AAB0" w14:textId="77777777" w:rsidR="00ED3F1B" w:rsidRPr="00E31CF6" w:rsidRDefault="00ED3F1B" w:rsidP="00242262"/>
    <w:p w14:paraId="3D38B7B0" w14:textId="77777777" w:rsidR="000D0249" w:rsidRDefault="000D0249">
      <w:pPr>
        <w:spacing w:after="0"/>
        <w:rPr>
          <w:b/>
          <w:color w:val="5F497A" w:themeColor="accent4" w:themeShade="BF"/>
          <w:sz w:val="36"/>
          <w:szCs w:val="36"/>
          <w:lang w:val="en-GB"/>
        </w:rPr>
      </w:pPr>
      <w:r>
        <w:br w:type="page"/>
      </w:r>
    </w:p>
    <w:p w14:paraId="2C97222D" w14:textId="4EA579A6" w:rsidR="00316F8D" w:rsidRPr="006821CB" w:rsidRDefault="00316F8D" w:rsidP="0057535E">
      <w:pPr>
        <w:pStyle w:val="Heading2"/>
      </w:pPr>
      <w:bookmarkStart w:id="17" w:name="_Toc44942507"/>
      <w:r>
        <w:lastRenderedPageBreak/>
        <w:t>From planning to decision making</w:t>
      </w:r>
      <w:bookmarkEnd w:id="17"/>
    </w:p>
    <w:p w14:paraId="3D06D5CA" w14:textId="25051B26" w:rsidR="00316F8D" w:rsidRPr="006821CB" w:rsidRDefault="00A468A9" w:rsidP="00242262">
      <w:r>
        <w:t>Once planning is completed, decision</w:t>
      </w:r>
      <w:r w:rsidR="00FE0642">
        <w:t>s</w:t>
      </w:r>
      <w:r>
        <w:t xml:space="preserve"> on the use of Commonwealth environmental water need to be made. </w:t>
      </w:r>
      <w:r w:rsidR="00D31CD4">
        <w:t>Many</w:t>
      </w:r>
      <w:r w:rsidR="00316F8D" w:rsidRPr="006821CB">
        <w:t xml:space="preserve"> </w:t>
      </w:r>
      <w:r w:rsidR="00D31CD4">
        <w:t xml:space="preserve">local </w:t>
      </w:r>
      <w:r w:rsidR="00316F8D" w:rsidRPr="006821CB">
        <w:t>factors influence</w:t>
      </w:r>
      <w:r w:rsidR="00FE0642">
        <w:t xml:space="preserve"> these</w:t>
      </w:r>
      <w:r w:rsidR="00316F8D" w:rsidRPr="006821CB">
        <w:t xml:space="preserve"> decision</w:t>
      </w:r>
      <w:r w:rsidR="00FE0642">
        <w:t>s on</w:t>
      </w:r>
      <w:r w:rsidR="00316F8D" w:rsidRPr="006821CB">
        <w:t xml:space="preserve"> water delivery, carry over and trade (</w:t>
      </w:r>
      <w:r w:rsidR="00C16F7E" w:rsidRPr="00F53A6B">
        <w:fldChar w:fldCharType="begin"/>
      </w:r>
      <w:r w:rsidR="00C16F7E" w:rsidRPr="00F53A6B">
        <w:instrText xml:space="preserve"> REF _Ref40179211 \h </w:instrText>
      </w:r>
      <w:r w:rsidR="00F53A6B" w:rsidRPr="00F53A6B">
        <w:instrText xml:space="preserve"> \* MERGEFORMAT </w:instrText>
      </w:r>
      <w:r w:rsidR="00C16F7E" w:rsidRPr="00F53A6B">
        <w:fldChar w:fldCharType="separate"/>
      </w:r>
      <w:r w:rsidR="001B2852" w:rsidRPr="001B2852">
        <w:t xml:space="preserve">Figure </w:t>
      </w:r>
      <w:r w:rsidR="001B2852" w:rsidRPr="001B2852">
        <w:rPr>
          <w:noProof/>
        </w:rPr>
        <w:t>3</w:t>
      </w:r>
      <w:r w:rsidR="00C16F7E" w:rsidRPr="00F53A6B">
        <w:fldChar w:fldCharType="end"/>
      </w:r>
      <w:r w:rsidR="00316F8D" w:rsidRPr="006821CB">
        <w:t xml:space="preserve">). </w:t>
      </w:r>
    </w:p>
    <w:p w14:paraId="4A447E20" w14:textId="77777777" w:rsidR="00316F8D" w:rsidRPr="006821CB" w:rsidRDefault="00316F8D" w:rsidP="00242262"/>
    <w:p w14:paraId="40A76000" w14:textId="77777777" w:rsidR="00316F8D" w:rsidRPr="006821CB" w:rsidRDefault="00316F8D" w:rsidP="00242262">
      <w:r w:rsidRPr="006821CB">
        <w:rPr>
          <w:noProof/>
        </w:rPr>
        <w:drawing>
          <wp:inline distT="0" distB="0" distL="0" distR="0" wp14:anchorId="33BDF3B4" wp14:editId="472F5B5F">
            <wp:extent cx="6143625" cy="2743200"/>
            <wp:effectExtent l="0" t="0" r="9525" b="0"/>
            <wp:docPr id="4" name="Picture 1" descr="A figure showing the range of prevailing factors specific to local conditions within catchments that influence decision-making around water delivery, carryover and trade. These factors include environmental demands and opportunities at specific sites; anticipated environmental demands in coming years; forecast climatic conditions and current dam storage levels; physical and operational constraints to water delivery; environmental and operational risks; cost versus benefit assessment of each option; water account rules and carryover limits; long-term yield of entitlements and wise levels of carryover, given uncertainty about future environmental needs; and water market conditions. "/>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6144456" cy="2743571"/>
                    </a:xfrm>
                    <a:prstGeom prst="rect">
                      <a:avLst/>
                    </a:prstGeom>
                  </pic:spPr>
                </pic:pic>
              </a:graphicData>
            </a:graphic>
          </wp:inline>
        </w:drawing>
      </w:r>
    </w:p>
    <w:p w14:paraId="701AB9B0" w14:textId="1102C9CC" w:rsidR="00316F8D" w:rsidRPr="006821CB" w:rsidRDefault="00316F8D" w:rsidP="00F53A6B">
      <w:pPr>
        <w:spacing w:after="240"/>
      </w:pPr>
      <w:bookmarkStart w:id="18" w:name="_Ref40179211"/>
      <w:r w:rsidRPr="00C96A2B">
        <w:rPr>
          <w:b/>
        </w:rPr>
        <w:t xml:space="preserve">Figure </w:t>
      </w:r>
      <w:r w:rsidR="00830458" w:rsidRPr="00C96A2B">
        <w:rPr>
          <w:b/>
        </w:rPr>
        <w:fldChar w:fldCharType="begin"/>
      </w:r>
      <w:r w:rsidR="00830458" w:rsidRPr="00C96A2B">
        <w:rPr>
          <w:b/>
        </w:rPr>
        <w:instrText xml:space="preserve"> SEQ Figure \* ARABIC </w:instrText>
      </w:r>
      <w:r w:rsidR="00830458" w:rsidRPr="00C96A2B">
        <w:rPr>
          <w:b/>
        </w:rPr>
        <w:fldChar w:fldCharType="separate"/>
      </w:r>
      <w:r w:rsidR="001B2852">
        <w:rPr>
          <w:b/>
          <w:noProof/>
        </w:rPr>
        <w:t>3</w:t>
      </w:r>
      <w:r w:rsidR="00830458" w:rsidRPr="00C96A2B">
        <w:rPr>
          <w:b/>
          <w:noProof/>
        </w:rPr>
        <w:fldChar w:fldCharType="end"/>
      </w:r>
      <w:bookmarkEnd w:id="18"/>
      <w:r w:rsidRPr="006821CB">
        <w:t>: Factors informing planning and decision-making for Commonwealth environmental water.</w:t>
      </w:r>
    </w:p>
    <w:p w14:paraId="13E05DE7" w14:textId="34BB9E14" w:rsidR="00316F8D" w:rsidRPr="006821CB" w:rsidRDefault="00316F8D" w:rsidP="0057535E">
      <w:pPr>
        <w:pStyle w:val="Heading3"/>
      </w:pPr>
      <w:bookmarkStart w:id="19" w:name="_Toc44942508"/>
      <w:r w:rsidRPr="006821CB">
        <w:t xml:space="preserve">Making </w:t>
      </w:r>
      <w:r w:rsidR="00E35ABE">
        <w:t>C</w:t>
      </w:r>
      <w:r w:rsidRPr="006821CB">
        <w:t>ommonwealth environmental watering decisions</w:t>
      </w:r>
      <w:bookmarkEnd w:id="19"/>
    </w:p>
    <w:p w14:paraId="2809D97D" w14:textId="77777777" w:rsidR="00316F8D" w:rsidRPr="006821CB" w:rsidRDefault="00316F8D" w:rsidP="00242262">
      <w:r w:rsidRPr="006821CB">
        <w:t xml:space="preserve">Towards the beginning of the new water year, the focus shifts from planning to implementation. Greater consideration is given to current and forecast catchment conditions and water availability to determine whether the watering intentions identified during the planning process can feasibly be implemented. Local on-ground knowledge is important for detailing a specific watering action including the flow magnitude, timing, triggers for commencement, rates of rise and fall and the area to be inundated. </w:t>
      </w:r>
    </w:p>
    <w:p w14:paraId="1CE95F3D" w14:textId="77777777" w:rsidR="00316F8D" w:rsidRPr="006821CB" w:rsidRDefault="00316F8D" w:rsidP="00242262">
      <w:r w:rsidRPr="006821CB">
        <w:t xml:space="preserve">Once an action has been scoped in more detail, an assessment is undertaken against the following criteria: </w:t>
      </w:r>
    </w:p>
    <w:p w14:paraId="3FF75DEF" w14:textId="0B41681A" w:rsidR="00316F8D" w:rsidRPr="006821CB" w:rsidRDefault="00316F8D" w:rsidP="00F53A6B">
      <w:pPr>
        <w:pStyle w:val="DotStyle1"/>
      </w:pPr>
      <w:r w:rsidRPr="006821CB">
        <w:t>ecological value of the river, floodplain or wetland</w:t>
      </w:r>
    </w:p>
    <w:p w14:paraId="0FDB6B33" w14:textId="77777777" w:rsidR="00316F8D" w:rsidRPr="006821CB" w:rsidRDefault="00316F8D" w:rsidP="00F53A6B">
      <w:pPr>
        <w:pStyle w:val="DotStyle1"/>
      </w:pPr>
      <w:r w:rsidRPr="006821CB">
        <w:t>expected outcomes from watering</w:t>
      </w:r>
    </w:p>
    <w:p w14:paraId="6FAC410A" w14:textId="77777777" w:rsidR="00316F8D" w:rsidRPr="006821CB" w:rsidRDefault="00316F8D" w:rsidP="00F53A6B">
      <w:pPr>
        <w:pStyle w:val="DotStyle1"/>
      </w:pPr>
      <w:r w:rsidRPr="006821CB">
        <w:t>potential risks of watering</w:t>
      </w:r>
    </w:p>
    <w:p w14:paraId="3E4821B5" w14:textId="6743754D" w:rsidR="00316F8D" w:rsidRPr="006821CB" w:rsidRDefault="00316F8D" w:rsidP="00F53A6B">
      <w:pPr>
        <w:pStyle w:val="DotStyle1"/>
      </w:pPr>
      <w:r w:rsidRPr="006821CB">
        <w:t>long-term sustainability and management of the site</w:t>
      </w:r>
    </w:p>
    <w:p w14:paraId="7041E701" w14:textId="1C522F49" w:rsidR="00316F8D" w:rsidRPr="006821CB" w:rsidRDefault="00316F8D" w:rsidP="00F53A6B">
      <w:pPr>
        <w:pStyle w:val="DotStyle1"/>
      </w:pPr>
      <w:r w:rsidRPr="006821CB">
        <w:t>cost effectiveness and feasibility of watering</w:t>
      </w:r>
      <w:r w:rsidR="00F53A6B">
        <w:t>.</w:t>
      </w:r>
    </w:p>
    <w:p w14:paraId="06DF591D" w14:textId="3D84CDB9" w:rsidR="00316F8D" w:rsidRPr="008B3361" w:rsidRDefault="00316F8D" w:rsidP="008B3361">
      <w:r w:rsidRPr="008B3361">
        <w:t xml:space="preserve">When a decision is made by the </w:t>
      </w:r>
      <w:r w:rsidR="009107E7">
        <w:t>CEWH</w:t>
      </w:r>
      <w:r w:rsidRPr="008B3361">
        <w:t xml:space="preserve"> to proceed with a watering action, arrangements for implementation are made with delivery partners. This includes river operators, who manage the delivery of the water and operational monitoring. Local involvement is crucial at this stage of implementation and during water delivery as conditions can change rapidly and may result in the need to adjust, suspend or even cancel the watering action.</w:t>
      </w:r>
    </w:p>
    <w:p w14:paraId="03FD2BB4" w14:textId="14FF47D6" w:rsidR="00316F8D" w:rsidRPr="000D5177" w:rsidRDefault="00316F8D" w:rsidP="00656826">
      <w:pPr>
        <w:rPr>
          <w:rFonts w:ascii="Tahoma" w:hAnsi="Tahoma"/>
        </w:rPr>
      </w:pPr>
      <w:r w:rsidRPr="006821CB">
        <w:t xml:space="preserve">For further information see the </w:t>
      </w:r>
      <w:r w:rsidRPr="00E35ABE">
        <w:rPr>
          <w:i/>
          <w:iCs/>
        </w:rPr>
        <w:t>Framework for Determining Commonwealth environmental water use</w:t>
      </w:r>
      <w:r w:rsidRPr="006821CB">
        <w:t xml:space="preserve"> </w:t>
      </w:r>
      <w:r w:rsidR="00E35ABE">
        <w:t xml:space="preserve">and the </w:t>
      </w:r>
      <w:r w:rsidR="00E35ABE">
        <w:rPr>
          <w:i/>
          <w:iCs/>
        </w:rPr>
        <w:t xml:space="preserve">Criteria for assessing options for Commonwealth environmental water use </w:t>
      </w:r>
      <w:r w:rsidRPr="006821CB">
        <w:t xml:space="preserve">(available at: </w:t>
      </w:r>
      <w:hyperlink r:id="rId47" w:history="1">
        <w:r w:rsidRPr="006821CB">
          <w:rPr>
            <w:rStyle w:val="Hyperlink"/>
          </w:rPr>
          <w:t>www.environment.gov.au/water/cewo/publications/framework-determining-cew-use</w:t>
        </w:r>
      </w:hyperlink>
      <w:r w:rsidRPr="006821CB">
        <w:t>).</w:t>
      </w:r>
    </w:p>
    <w:p w14:paraId="3A41EBF8" w14:textId="77777777" w:rsidR="00AA48E2" w:rsidRDefault="00AA48E2">
      <w:pPr>
        <w:spacing w:after="0"/>
        <w:rPr>
          <w:color w:val="5F497A" w:themeColor="accent4" w:themeShade="BF"/>
          <w:sz w:val="26"/>
          <w:szCs w:val="24"/>
          <w:lang w:val="en-GB"/>
        </w:rPr>
      </w:pPr>
      <w:r>
        <w:br w:type="page"/>
      </w:r>
    </w:p>
    <w:p w14:paraId="228255AF" w14:textId="2ED54628" w:rsidR="00316F8D" w:rsidRPr="006821CB" w:rsidRDefault="00316F8D" w:rsidP="0057535E">
      <w:pPr>
        <w:pStyle w:val="Heading3"/>
      </w:pPr>
      <w:bookmarkStart w:id="20" w:name="_Toc44942509"/>
      <w:r w:rsidRPr="006821CB">
        <w:lastRenderedPageBreak/>
        <w:t>Carryover</w:t>
      </w:r>
      <w:bookmarkEnd w:id="20"/>
    </w:p>
    <w:p w14:paraId="3E950E10" w14:textId="3727AAF0" w:rsidR="008F0CF2" w:rsidRDefault="00316F8D" w:rsidP="00242262">
      <w:r w:rsidRPr="006821CB">
        <w:t xml:space="preserve">Carryover rules are set by </w:t>
      </w:r>
      <w:r w:rsidR="00C72BB4">
        <w:t>s</w:t>
      </w:r>
      <w:r w:rsidRPr="006821CB">
        <w:t>tate</w:t>
      </w:r>
      <w:r w:rsidR="00C72BB4">
        <w:t xml:space="preserve"> government</w:t>
      </w:r>
      <w:r w:rsidRPr="006821CB">
        <w:t xml:space="preserve">s and vary markedly for different entitlements and in different water plan areas across the Basin. The carryover limits, account limits and use limits apply to all entitlement holders including the Commonwealth. </w:t>
      </w:r>
    </w:p>
    <w:p w14:paraId="7D1DE460" w14:textId="41894BBB" w:rsidR="00316F8D" w:rsidRPr="006821CB" w:rsidRDefault="00316F8D" w:rsidP="00242262">
      <w:r w:rsidRPr="006821CB">
        <w:t>When making carryover decisions,</w:t>
      </w:r>
      <w:r w:rsidR="00C5644B">
        <w:t xml:space="preserve"> under the rules set by Basin states,</w:t>
      </w:r>
      <w:r w:rsidRPr="006821CB">
        <w:t xml:space="preserve"> considerations include:</w:t>
      </w:r>
    </w:p>
    <w:p w14:paraId="7ECF33DA" w14:textId="77777777" w:rsidR="00316F8D" w:rsidRPr="006821CB" w:rsidRDefault="00316F8D" w:rsidP="00F53A6B">
      <w:pPr>
        <w:pStyle w:val="DotStyle1"/>
      </w:pPr>
      <w:r w:rsidRPr="006821CB">
        <w:t>having sufficient water in accounts for environmental watering actions that occur early in a water year</w:t>
      </w:r>
    </w:p>
    <w:p w14:paraId="6E05317F" w14:textId="2FE7439F" w:rsidR="00316F8D" w:rsidRPr="006821CB" w:rsidRDefault="00316F8D" w:rsidP="00F53A6B">
      <w:pPr>
        <w:pStyle w:val="DotStyle1"/>
      </w:pPr>
      <w:r w:rsidRPr="006821CB">
        <w:t xml:space="preserve">considering the risk of carryover of water in accounts that may be subject to trade </w:t>
      </w:r>
      <w:r w:rsidR="003C146C">
        <w:t xml:space="preserve">or use </w:t>
      </w:r>
      <w:r w:rsidRPr="006821CB">
        <w:t>restrictions through the following water year</w:t>
      </w:r>
    </w:p>
    <w:p w14:paraId="5848C65A" w14:textId="77777777" w:rsidR="00316F8D" w:rsidRPr="006821CB" w:rsidRDefault="00316F8D" w:rsidP="00F53A6B">
      <w:pPr>
        <w:pStyle w:val="DotStyle1"/>
      </w:pPr>
      <w:r w:rsidRPr="006821CB">
        <w:t>considering the cost-effectiveness with regard to the cost of water delivery and transfer fees against the potential market cost of water being reallocated under State rules</w:t>
      </w:r>
    </w:p>
    <w:p w14:paraId="7AEE5637" w14:textId="28173DF9" w:rsidR="00316F8D" w:rsidRDefault="00316F8D" w:rsidP="00F53A6B">
      <w:pPr>
        <w:pStyle w:val="DotStyle1"/>
      </w:pPr>
      <w:r w:rsidRPr="006821CB">
        <w:t>minimising the risk of water being reallocated under State rules by carrying over water in accounts with better carryover provisions</w:t>
      </w:r>
    </w:p>
    <w:p w14:paraId="601668F7" w14:textId="207CF014" w:rsidR="00C72BB4" w:rsidRDefault="00C72BB4" w:rsidP="00C72BB4">
      <w:pPr>
        <w:pStyle w:val="DotStyle1"/>
      </w:pPr>
      <w:r>
        <w:t>during droughts, the minimum amount of water that can be used to sustain environmental assets whilst maintaining some carryover for future years.</w:t>
      </w:r>
    </w:p>
    <w:p w14:paraId="246E6EEC" w14:textId="77777777" w:rsidR="00316F8D" w:rsidRPr="006821CB" w:rsidRDefault="00316F8D" w:rsidP="0057535E">
      <w:pPr>
        <w:pStyle w:val="Heading3"/>
      </w:pPr>
      <w:bookmarkStart w:id="21" w:name="_Toc44942510"/>
      <w:r w:rsidRPr="006821CB">
        <w:t>Trade</w:t>
      </w:r>
      <w:bookmarkEnd w:id="21"/>
    </w:p>
    <w:p w14:paraId="29069017" w14:textId="6A6088B7" w:rsidR="00E14456" w:rsidRDefault="00E14456" w:rsidP="00242262">
      <w:r w:rsidRPr="00E35ABE">
        <w:t xml:space="preserve">The primary purpose behind any selling or purchase of </w:t>
      </w:r>
      <w:r w:rsidR="008F0CF2">
        <w:t xml:space="preserve">Commonwealth environmental </w:t>
      </w:r>
      <w:r w:rsidRPr="00E35ABE">
        <w:t xml:space="preserve">water is to improve environmental outcomes. The trade of Commonwealth environmental water can only occur on the open water market when </w:t>
      </w:r>
      <w:r w:rsidR="003B3E14">
        <w:t xml:space="preserve">the volume held in an account </w:t>
      </w:r>
      <w:r w:rsidRPr="00E35ABE">
        <w:t xml:space="preserve">is excess to environmental requirements and </w:t>
      </w:r>
      <w:r w:rsidR="000238D5">
        <w:rPr>
          <w:color w:val="auto"/>
        </w:rPr>
        <w:t>there is no risk of harm to the ecosystems if environmental water is not provided in the near term</w:t>
      </w:r>
      <w:r w:rsidRPr="00E35ABE">
        <w:t>. Under the law, water set aside for the environment cannot be given away or borrowed</w:t>
      </w:r>
      <w:r>
        <w:t>.</w:t>
      </w:r>
    </w:p>
    <w:p w14:paraId="3BA21FCA" w14:textId="2AD51989" w:rsidR="00316F8D" w:rsidRPr="006821CB" w:rsidRDefault="00316F8D" w:rsidP="00242262">
      <w:r w:rsidRPr="006821CB">
        <w:t xml:space="preserve">Decisions to sell water allocations are made by the </w:t>
      </w:r>
      <w:r w:rsidR="009107E7">
        <w:t>CEWH</w:t>
      </w:r>
      <w:r w:rsidRPr="006821CB">
        <w:t xml:space="preserve"> consistent with the obligations under s.106 of the Water Act. Broadly, Commonwealth environmental water can be sold if one of two conditions are met:</w:t>
      </w:r>
    </w:p>
    <w:p w14:paraId="55AA49DF" w14:textId="62291CEF" w:rsidR="00316F8D" w:rsidRPr="006821CB" w:rsidRDefault="003B3E14" w:rsidP="00CD6F25">
      <w:pPr>
        <w:pStyle w:val="ListParagraph"/>
        <w:numPr>
          <w:ilvl w:val="0"/>
          <w:numId w:val="9"/>
        </w:numPr>
        <w:ind w:left="426" w:hanging="437"/>
      </w:pPr>
      <w:r>
        <w:t>I</w:t>
      </w:r>
      <w:r w:rsidR="00316F8D" w:rsidRPr="006821CB">
        <w:t xml:space="preserve">f </w:t>
      </w:r>
      <w:r>
        <w:t>allocations</w:t>
      </w:r>
      <w:r w:rsidR="00316F8D" w:rsidRPr="006821CB">
        <w:t xml:space="preserve"> are not required during the water year and either:</w:t>
      </w:r>
    </w:p>
    <w:p w14:paraId="00E0C06A" w14:textId="4914C505" w:rsidR="00316F8D" w:rsidRPr="006821CB" w:rsidRDefault="00316F8D" w:rsidP="00CD6F25">
      <w:pPr>
        <w:pStyle w:val="ListParagraph"/>
        <w:numPr>
          <w:ilvl w:val="0"/>
          <w:numId w:val="8"/>
        </w:numPr>
        <w:tabs>
          <w:tab w:val="left" w:pos="709"/>
        </w:tabs>
        <w:ind w:left="709" w:hanging="283"/>
      </w:pPr>
      <w:r w:rsidRPr="006821CB">
        <w:t>cannot be carried over</w:t>
      </w:r>
      <w:r w:rsidR="00F53A6B">
        <w:t>,</w:t>
      </w:r>
      <w:r w:rsidRPr="006821CB">
        <w:t xml:space="preserve"> or</w:t>
      </w:r>
    </w:p>
    <w:p w14:paraId="49425229" w14:textId="5886D51E" w:rsidR="00316F8D" w:rsidRPr="006821CB" w:rsidRDefault="00316F8D" w:rsidP="00CD6F25">
      <w:pPr>
        <w:pStyle w:val="ListParagraph"/>
        <w:numPr>
          <w:ilvl w:val="0"/>
          <w:numId w:val="8"/>
        </w:numPr>
        <w:tabs>
          <w:tab w:val="left" w:pos="709"/>
        </w:tabs>
        <w:ind w:left="709" w:hanging="283"/>
      </w:pPr>
      <w:r w:rsidRPr="006821CB">
        <w:t>retaining the water is likely to result in forgoing future allocations due to account limits</w:t>
      </w:r>
      <w:r w:rsidR="00F53A6B">
        <w:rPr>
          <w:rStyle w:val="FootnoteReference"/>
        </w:rPr>
        <w:footnoteReference w:id="7"/>
      </w:r>
      <w:r w:rsidR="0003038A">
        <w:t>.</w:t>
      </w:r>
    </w:p>
    <w:p w14:paraId="6F620EC5" w14:textId="1376214C" w:rsidR="00316F8D" w:rsidRPr="006821CB" w:rsidRDefault="003B3E14" w:rsidP="00CD6F25">
      <w:pPr>
        <w:pStyle w:val="ListParagraph"/>
        <w:numPr>
          <w:ilvl w:val="0"/>
          <w:numId w:val="9"/>
        </w:numPr>
        <w:ind w:left="426" w:hanging="426"/>
      </w:pPr>
      <w:r>
        <w:t>I</w:t>
      </w:r>
      <w:r w:rsidR="00316F8D" w:rsidRPr="006821CB">
        <w:t xml:space="preserve">f the proceeds will be used to purchase water and/or invest in environmental activities, where the </w:t>
      </w:r>
      <w:r w:rsidR="009107E7">
        <w:t>CEWH</w:t>
      </w:r>
      <w:r w:rsidR="00316F8D" w:rsidRPr="006821CB">
        <w:t xml:space="preserve"> reasonably believes this will provide greater capacity to achieve environmental objectives</w:t>
      </w:r>
      <w:r w:rsidR="00F53A6B">
        <w:rPr>
          <w:rStyle w:val="FootnoteReference"/>
        </w:rPr>
        <w:footnoteReference w:id="8"/>
      </w:r>
      <w:r w:rsidR="00316F8D" w:rsidRPr="006821CB">
        <w:t>.</w:t>
      </w:r>
    </w:p>
    <w:p w14:paraId="1FDD9B65" w14:textId="0376529E" w:rsidR="00316F8D" w:rsidRPr="006821CB" w:rsidRDefault="00316F8D" w:rsidP="00242262">
      <w:r w:rsidRPr="006821CB">
        <w:t xml:space="preserve">The decision to trade water is made after considering: the current and forecast volume of water available in Commonwealth accounts; the balance of available environmental water (supply) to meet identified environmental demands; and (where appropriate) the prudent level of carryover. Decisions to trade also include undertaking a market assessment, which informs the mechanisms available to trade water, the volume of water to be pursued or made available from the holdings, the price at which the </w:t>
      </w:r>
      <w:r w:rsidR="009107E7">
        <w:t>CEWH</w:t>
      </w:r>
      <w:r w:rsidRPr="006821CB">
        <w:t xml:space="preserve"> is willing to enter the market and (in the case of purchases) the available budget.</w:t>
      </w:r>
    </w:p>
    <w:p w14:paraId="139F470A" w14:textId="77777777" w:rsidR="00316F8D" w:rsidRPr="006821CB" w:rsidRDefault="00316F8D" w:rsidP="00242262">
      <w:r w:rsidRPr="006821CB">
        <w:t>Information on current trading actions and trade intentions is available at:</w:t>
      </w:r>
    </w:p>
    <w:p w14:paraId="6074F9D6" w14:textId="77777777" w:rsidR="00316F8D" w:rsidRPr="006821CB" w:rsidRDefault="00030BA8" w:rsidP="00242262">
      <w:hyperlink r:id="rId48" w:history="1">
        <w:r w:rsidR="00316F8D" w:rsidRPr="006821CB">
          <w:rPr>
            <w:rStyle w:val="Hyperlink"/>
          </w:rPr>
          <w:t>http://www.environment.gov.au/water/cewo/trade</w:t>
        </w:r>
      </w:hyperlink>
      <w:r w:rsidR="00316F8D" w:rsidRPr="006821CB">
        <w:t>.</w:t>
      </w:r>
    </w:p>
    <w:p w14:paraId="02A17138" w14:textId="77777777" w:rsidR="00316F8D" w:rsidRPr="006821CB" w:rsidRDefault="00316F8D" w:rsidP="00242262">
      <w:r w:rsidRPr="006821CB">
        <w:t>Further information on the process and framework for conducting a trade can be found here:</w:t>
      </w:r>
    </w:p>
    <w:p w14:paraId="06812918" w14:textId="77777777" w:rsidR="00316F8D" w:rsidRPr="006821CB" w:rsidRDefault="00030BA8" w:rsidP="00242262">
      <w:hyperlink r:id="rId49" w:history="1">
        <w:r w:rsidR="00316F8D" w:rsidRPr="00A910C8">
          <w:rPr>
            <w:rStyle w:val="Hyperlink"/>
          </w:rPr>
          <w:t>http://www.environment.gov.au/water/cewo/trade/trading-framework</w:t>
        </w:r>
      </w:hyperlink>
      <w:r w:rsidR="00316F8D">
        <w:t>.</w:t>
      </w:r>
    </w:p>
    <w:p w14:paraId="18FB613C" w14:textId="5E3EA32A" w:rsidR="00316F8D" w:rsidRDefault="00316F8D" w:rsidP="0057535E">
      <w:pPr>
        <w:pStyle w:val="Heading2"/>
      </w:pPr>
      <w:bookmarkStart w:id="22" w:name="_Toc44942511"/>
      <w:r>
        <w:lastRenderedPageBreak/>
        <w:t>How we consult and engage</w:t>
      </w:r>
      <w:bookmarkEnd w:id="22"/>
    </w:p>
    <w:p w14:paraId="7ECDF7B6" w14:textId="77777777" w:rsidR="00316F8D" w:rsidRPr="0003686A" w:rsidRDefault="00316F8D" w:rsidP="0003686A">
      <w:r w:rsidRPr="0003686A">
        <w:t xml:space="preserve">Commonwealth environmental water cannot be delivered without the coordinated effort of many stakeholders. The planning, delivery and monitoring of Commonwealth environmental water is undertaken in partnership with a range of organisations and communities across the Basin. </w:t>
      </w:r>
    </w:p>
    <w:p w14:paraId="3EA4F4CF" w14:textId="6D4C3C54" w:rsidR="00316F8D" w:rsidRPr="0003686A" w:rsidRDefault="00316F8D" w:rsidP="0003686A">
      <w:r w:rsidRPr="0003686A">
        <w:t xml:space="preserve">To this effect, the </w:t>
      </w:r>
      <w:r w:rsidR="009107E7">
        <w:t>CEWH</w:t>
      </w:r>
      <w:r w:rsidRPr="0003686A">
        <w:t xml:space="preserve"> regularly meets with individuals and representatives of </w:t>
      </w:r>
      <w:r w:rsidR="00FE0642">
        <w:t>First Nations,</w:t>
      </w:r>
      <w:r w:rsidR="00FE0642" w:rsidRPr="0003686A">
        <w:t xml:space="preserve"> </w:t>
      </w:r>
      <w:r w:rsidRPr="0003686A">
        <w:t>local government, business, landholders and peak bodies, to discuss the planning, management, and monitoring of Commonwealth environmental water. These meetings occur at locations throughout the Basin and in Canberra.</w:t>
      </w:r>
    </w:p>
    <w:p w14:paraId="59506E0F" w14:textId="4CF0B5F4" w:rsidR="00316F8D" w:rsidRPr="0003686A" w:rsidRDefault="00316F8D" w:rsidP="0003686A">
      <w:r w:rsidRPr="0003686A">
        <w:t xml:space="preserve">This outreach activity is complemented by the work of the </w:t>
      </w:r>
      <w:r w:rsidR="009107E7">
        <w:t>CEWO</w:t>
      </w:r>
      <w:r w:rsidRPr="0003686A">
        <w:t xml:space="preserve">, including the six local engagement officers who live and work in Basin communities. These officers </w:t>
      </w:r>
      <w:r w:rsidR="00D31CD4" w:rsidRPr="0003686A">
        <w:t>are in</w:t>
      </w:r>
      <w:r w:rsidRPr="0003686A">
        <w:t xml:space="preserve"> </w:t>
      </w:r>
      <w:r w:rsidR="00A865A4">
        <w:t xml:space="preserve">Moree, </w:t>
      </w:r>
      <w:r w:rsidRPr="0003686A">
        <w:t xml:space="preserve">Walgett, </w:t>
      </w:r>
      <w:r w:rsidR="00A865A4">
        <w:t xml:space="preserve">Griffith, </w:t>
      </w:r>
      <w:r w:rsidRPr="0003686A">
        <w:t xml:space="preserve">Albury, Mildura and Berri. These six officers, alongside other officers of local land and water management agencies, work closely with all levels of government as well as local communities and businesses to assist members of the community to participate in environmental water planning and decision making. For further information please refer to: </w:t>
      </w:r>
      <w:hyperlink r:id="rId50" w:history="1">
        <w:r w:rsidRPr="0003686A">
          <w:rPr>
            <w:rStyle w:val="Hyperlink"/>
          </w:rPr>
          <w:t>http://www.environment.gov.au/water/cewo/local-engagement</w:t>
        </w:r>
      </w:hyperlink>
      <w:r w:rsidRPr="0003686A">
        <w:t>.</w:t>
      </w:r>
    </w:p>
    <w:p w14:paraId="7D9B0C83" w14:textId="77777777" w:rsidR="00316F8D" w:rsidRPr="006821CB" w:rsidRDefault="00316F8D" w:rsidP="0057535E">
      <w:pPr>
        <w:pStyle w:val="Heading3"/>
      </w:pPr>
      <w:bookmarkStart w:id="23" w:name="_Toc517264640"/>
      <w:bookmarkStart w:id="24" w:name="_Toc32225141"/>
      <w:bookmarkStart w:id="25" w:name="_Toc44942512"/>
      <w:r w:rsidRPr="006821CB">
        <w:t>Delivery partners</w:t>
      </w:r>
      <w:bookmarkEnd w:id="23"/>
      <w:bookmarkEnd w:id="24"/>
      <w:bookmarkEnd w:id="25"/>
    </w:p>
    <w:p w14:paraId="403C0057" w14:textId="7DD4492E" w:rsidR="00316F8D" w:rsidRPr="0003686A" w:rsidRDefault="00316F8D" w:rsidP="0003686A">
      <w:r w:rsidRPr="0003686A">
        <w:t xml:space="preserve">Planning for Commonwealth environmental water use involves conversations with state government departments and agencies, river operators, catchment management and land service agencies, local environmental watering advisory groups, wetland managers, holders of environmental water, the </w:t>
      </w:r>
      <w:r w:rsidR="00C82DE4">
        <w:t>MDBA</w:t>
      </w:r>
      <w:r w:rsidRPr="0003686A">
        <w:t>, landholders and communities, as well as the organisations responsible for the monitoring the outcomes from environmental water.  These conversations identify environmental demands, relevant lessons learnt and outcomes from previous watering, barriers to delivery (e.g. infrastructure maintenance), potential risks, other complementary sources of water and any relevant operational plans.</w:t>
      </w:r>
    </w:p>
    <w:p w14:paraId="58E5E218" w14:textId="63740599" w:rsidR="00316F8D" w:rsidRPr="0003686A" w:rsidRDefault="00316F8D" w:rsidP="0003686A">
      <w:bookmarkStart w:id="26" w:name="_Hlk45112415"/>
      <w:r w:rsidRPr="0003686A">
        <w:t xml:space="preserve">The </w:t>
      </w:r>
      <w:r w:rsidR="009107E7">
        <w:t>CEWH</w:t>
      </w:r>
      <w:r w:rsidRPr="0003686A">
        <w:t xml:space="preserve"> has entered into formal partnership agreements with the Victorian Environmental Water Holder, the New South Wales </w:t>
      </w:r>
      <w:r w:rsidR="009107E7">
        <w:t>Department of Planning, Industry and Environment</w:t>
      </w:r>
      <w:r w:rsidRPr="0003686A">
        <w:t>, the</w:t>
      </w:r>
      <w:r w:rsidR="00B063EF">
        <w:t xml:space="preserve"> South Australia Murraylands and Riverland</w:t>
      </w:r>
      <w:r w:rsidR="0076273B">
        <w:t xml:space="preserve"> Landscape Board</w:t>
      </w:r>
      <w:r w:rsidRPr="0003686A">
        <w:t>, and the Renmark Irrigation Trust.</w:t>
      </w:r>
      <w:r w:rsidR="0033485A">
        <w:t xml:space="preserve"> A formal partnership agreement with South Australian Department for Environment and Water is currently in the final stages of development.</w:t>
      </w:r>
      <w:r w:rsidRPr="0003686A">
        <w:t xml:space="preserve"> </w:t>
      </w:r>
      <w:bookmarkEnd w:id="26"/>
      <w:r w:rsidRPr="0003686A">
        <w:t xml:space="preserve">These agreements outline the way in which the </w:t>
      </w:r>
      <w:r w:rsidR="009107E7">
        <w:t>CEWH</w:t>
      </w:r>
      <w:r w:rsidRPr="0003686A">
        <w:t xml:space="preserve"> and staff of the </w:t>
      </w:r>
      <w:r w:rsidR="009107E7">
        <w:t>CEWO</w:t>
      </w:r>
      <w:r w:rsidRPr="0003686A">
        <w:t xml:space="preserve"> will work with partners to coordinate the management of environmental water. The </w:t>
      </w:r>
      <w:r w:rsidR="009107E7">
        <w:t>CEWH</w:t>
      </w:r>
      <w:r w:rsidRPr="0003686A">
        <w:t xml:space="preserve"> also continues to work collaboratively with other partners where formal agreements are not in place.</w:t>
      </w:r>
    </w:p>
    <w:p w14:paraId="421AE4D7" w14:textId="77777777" w:rsidR="00004A00" w:rsidRPr="00B779E9" w:rsidRDefault="00004A00" w:rsidP="0057535E">
      <w:pPr>
        <w:pStyle w:val="Heading3"/>
      </w:pPr>
      <w:bookmarkStart w:id="27" w:name="_Toc44942513"/>
      <w:bookmarkStart w:id="28" w:name="_Toc415473568"/>
      <w:bookmarkStart w:id="29" w:name="_Toc517264641"/>
      <w:bookmarkStart w:id="30" w:name="_Toc32225142"/>
      <w:r w:rsidRPr="00B779E9">
        <w:t>Working with First Nations</w:t>
      </w:r>
      <w:bookmarkEnd w:id="27"/>
    </w:p>
    <w:p w14:paraId="6F8F07E9" w14:textId="1E62A0D7" w:rsidR="0021416A" w:rsidRDefault="0021416A" w:rsidP="0021416A">
      <w:r>
        <w:t xml:space="preserve">The CEWO is committed to working with First Nations across the Basin in how we plan, deliver and monitor water for the environment.  </w:t>
      </w:r>
    </w:p>
    <w:p w14:paraId="5D2F6CEE" w14:textId="77777777" w:rsidR="0021416A" w:rsidRDefault="0021416A" w:rsidP="0021416A">
      <w:r>
        <w:t xml:space="preserve">In some cases, this is achieved through direct partnerships, where Nations can propose, plan, deliver and monitor watering events. In other cases, collaboration relies on State and local delivery partners who have working relationships with local communities and established processes for First Nations participation in management of important environmental sites, including use of environmental water. </w:t>
      </w:r>
    </w:p>
    <w:p w14:paraId="7F72C6E4" w14:textId="3B5B2188" w:rsidR="0021416A" w:rsidRDefault="0021416A" w:rsidP="0021416A">
      <w:r>
        <w:t xml:space="preserve">This may include involvement in community reference groups, environmental water advisory committees or engagement with local and regional engagement officers. Many First Nations have articulated their desired environmental outcomes through these mechanisms, water resource plan consultation and/or Aboriginal Waterway Assessments. </w:t>
      </w:r>
    </w:p>
    <w:p w14:paraId="4998B756" w14:textId="11214CC6" w:rsidR="0021416A" w:rsidRDefault="0021416A" w:rsidP="0021416A">
      <w:r>
        <w:t xml:space="preserve">In addition, the CEWO works with the MLDRIN and NBAN representative bodies. </w:t>
      </w:r>
    </w:p>
    <w:p w14:paraId="061FA06B" w14:textId="2792E645" w:rsidR="00316F8D" w:rsidRPr="006821CB" w:rsidRDefault="00316F8D" w:rsidP="0057535E">
      <w:pPr>
        <w:pStyle w:val="Heading3"/>
      </w:pPr>
      <w:bookmarkStart w:id="31" w:name="_Toc44942514"/>
      <w:r w:rsidRPr="006821CB">
        <w:t>Community engagement</w:t>
      </w:r>
      <w:bookmarkEnd w:id="28"/>
      <w:bookmarkEnd w:id="29"/>
      <w:bookmarkEnd w:id="30"/>
      <w:bookmarkEnd w:id="31"/>
    </w:p>
    <w:p w14:paraId="0659D95B" w14:textId="77777777" w:rsidR="00316F8D" w:rsidRPr="0003686A" w:rsidRDefault="00316F8D" w:rsidP="0003686A">
      <w:r w:rsidRPr="006821CB">
        <w:t xml:space="preserve">Local information and </w:t>
      </w:r>
      <w:r w:rsidRPr="0003686A">
        <w:t xml:space="preserve">experience are critical to being able to effectively manage and deliver Commonwealth environmental water. We are very grateful for the expertise, advice, feedback and support provided by our </w:t>
      </w:r>
      <w:hyperlink r:id="rId51" w:history="1">
        <w:r w:rsidRPr="0003686A">
          <w:rPr>
            <w:rStyle w:val="Hyperlink"/>
          </w:rPr>
          <w:t>delivery partners</w:t>
        </w:r>
      </w:hyperlink>
      <w:r w:rsidRPr="0003686A">
        <w:t xml:space="preserve">, environmental water holders and members of regional advisory groups who invite us to </w:t>
      </w:r>
      <w:r w:rsidRPr="0003686A">
        <w:lastRenderedPageBreak/>
        <w:t>participate in their processes, and the many landowners who work with us to plan, manage and monitor the use of environmental water in the Basin.</w:t>
      </w:r>
    </w:p>
    <w:p w14:paraId="78A3B6B3" w14:textId="180672AB" w:rsidR="00316F8D" w:rsidRDefault="00316F8D" w:rsidP="00533FC3">
      <w:r w:rsidRPr="0003686A">
        <w:t xml:space="preserve">The </w:t>
      </w:r>
      <w:r w:rsidR="009107E7">
        <w:t>CEWO</w:t>
      </w:r>
      <w:r w:rsidRPr="0003686A">
        <w:t xml:space="preserve"> is involved in state government-led local engagement processes such as environmental water advisory groups. These local forums enable the </w:t>
      </w:r>
      <w:r w:rsidR="009107E7">
        <w:t>CEWH</w:t>
      </w:r>
      <w:r w:rsidRPr="0003686A">
        <w:t xml:space="preserve"> to keep abreast of local information whilst accessing a range of people who are experienced in local water and land management issues. This includes community representatives (landholders, Aboriginal community representatives and others) with intimate knowledge of how their rivers, floodplains and wetlands work.</w:t>
      </w:r>
    </w:p>
    <w:p w14:paraId="734B4DC8" w14:textId="2910DD17" w:rsidR="00EB27B5" w:rsidRDefault="00656826" w:rsidP="0057535E">
      <w:pPr>
        <w:pStyle w:val="Heading2"/>
      </w:pPr>
      <w:bookmarkStart w:id="32" w:name="_Toc44942515"/>
      <w:r>
        <w:t>Monitoring, Evaluation, Reporting and Improvement</w:t>
      </w:r>
      <w:bookmarkEnd w:id="32"/>
    </w:p>
    <w:p w14:paraId="1C2AA94A" w14:textId="7CBA3180" w:rsidR="00E0534D" w:rsidRDefault="00E0534D" w:rsidP="0003686A">
      <w:r>
        <w:t xml:space="preserve">Monitoring, evaluation and reporting are essential to improving the planning and use of Commonwealth environmental water. </w:t>
      </w:r>
      <w:r w:rsidR="00782DC6">
        <w:t xml:space="preserve">Each year the evaluation of monitoring results and past </w:t>
      </w:r>
      <w:r w:rsidR="00736AC7">
        <w:t xml:space="preserve">delivery </w:t>
      </w:r>
      <w:r w:rsidR="00782DC6">
        <w:t>events</w:t>
      </w:r>
      <w:r w:rsidR="00736AC7">
        <w:t xml:space="preserve"> </w:t>
      </w:r>
      <w:r w:rsidR="00F17919">
        <w:t xml:space="preserve">expands our knowledge of managing water for the environment. This knowledge is then used to inform next </w:t>
      </w:r>
      <w:r w:rsidR="008E19E7">
        <w:t>year’s</w:t>
      </w:r>
      <w:r w:rsidR="00F17919">
        <w:t xml:space="preserve"> planning (</w:t>
      </w:r>
      <w:r w:rsidR="00E644AE">
        <w:t>Chapter</w:t>
      </w:r>
      <w:r w:rsidR="00F17919">
        <w:t xml:space="preserve"> 2 and 3 of this </w:t>
      </w:r>
      <w:r w:rsidR="00E644AE">
        <w:t>plan</w:t>
      </w:r>
      <w:r w:rsidR="00F17919">
        <w:t xml:space="preserve">) </w:t>
      </w:r>
      <w:r w:rsidR="008E19E7">
        <w:t>enabling adaptation and trialling of new ways to achieve improved outcomes.</w:t>
      </w:r>
    </w:p>
    <w:p w14:paraId="6FCABBAC" w14:textId="397C0599" w:rsidR="00222D56" w:rsidRDefault="00222D56" w:rsidP="00222D56">
      <w:r>
        <w:t xml:space="preserve">To guide CEWO monitoring, evaluation and </w:t>
      </w:r>
      <w:r w:rsidR="00710FD5">
        <w:t xml:space="preserve">reporting </w:t>
      </w:r>
      <w:r>
        <w:t>activities</w:t>
      </w:r>
      <w:r w:rsidR="003566B9">
        <w:t xml:space="preserve"> and </w:t>
      </w:r>
      <w:r w:rsidR="003B3E14">
        <w:t xml:space="preserve">to </w:t>
      </w:r>
      <w:r w:rsidR="003566B9">
        <w:t>ensure we fulfil our legislative and Basin Plan obligations</w:t>
      </w:r>
      <w:r w:rsidR="003B3E14">
        <w:t>,</w:t>
      </w:r>
      <w:r>
        <w:t xml:space="preserve"> the CEWO has developed the </w:t>
      </w:r>
      <w:hyperlink r:id="rId52" w:tooltip="Commonwealth Environmental Water: Monitoring, Evaluation, Reporting and Improvement Framework" w:history="1">
        <w:r w:rsidRPr="00222D56">
          <w:t>Commonwealth Environmental Water Monitoring, Evaluation, Reporting and Improvement (MERI) Framework</w:t>
        </w:r>
      </w:hyperlink>
      <w:r>
        <w:t xml:space="preserve">. </w:t>
      </w:r>
      <w:r w:rsidR="00437933">
        <w:t xml:space="preserve">The activities done as part of this framework assist in developing new knowledge to enhance the management of </w:t>
      </w:r>
      <w:r w:rsidR="00D31CD4">
        <w:t>Commonwealth</w:t>
      </w:r>
      <w:r w:rsidR="00437933">
        <w:t xml:space="preserve"> </w:t>
      </w:r>
      <w:r w:rsidR="00D31CD4">
        <w:t>environmental</w:t>
      </w:r>
      <w:r w:rsidR="00437933">
        <w:t xml:space="preserve"> water management</w:t>
      </w:r>
      <w:r w:rsidR="005D1DEF">
        <w:t xml:space="preserve">. This </w:t>
      </w:r>
      <w:r w:rsidRPr="0003686A">
        <w:t>provide</w:t>
      </w:r>
      <w:r w:rsidR="005D1DEF">
        <w:t>s</w:t>
      </w:r>
      <w:r w:rsidRPr="0003686A">
        <w:t xml:space="preserve"> the critical evidence we need to understand how water for the environment is helping protect and restore the ecosystems and native species across the Murray-Darling Basin</w:t>
      </w:r>
      <w:r w:rsidR="00437933">
        <w:t>.</w:t>
      </w:r>
    </w:p>
    <w:p w14:paraId="7EE4B801" w14:textId="317A3D0F" w:rsidR="00C708FC" w:rsidRPr="00222D56" w:rsidRDefault="00C708FC" w:rsidP="00C708FC">
      <w:r>
        <w:t>Further information on the CEWO Monitoring, Evaluation, Re</w:t>
      </w:r>
      <w:r w:rsidR="00710FD5">
        <w:t>porting</w:t>
      </w:r>
      <w:r>
        <w:t xml:space="preserve"> and Improvement Framework can be found here: </w:t>
      </w:r>
      <w:hyperlink r:id="rId53" w:history="1">
        <w:r w:rsidRPr="00C11939">
          <w:rPr>
            <w:rStyle w:val="Hyperlink"/>
          </w:rPr>
          <w:t>http://www.environment.gov.au/water/cewo/monitoring</w:t>
        </w:r>
      </w:hyperlink>
      <w:r w:rsidR="005B7074">
        <w:t>.</w:t>
      </w:r>
    </w:p>
    <w:p w14:paraId="61EEE39B" w14:textId="46BC2F31" w:rsidR="00C708FC" w:rsidRDefault="00C708FC" w:rsidP="00C708FC">
      <w:r>
        <w:t xml:space="preserve">The CEWO </w:t>
      </w:r>
      <w:r w:rsidRPr="00C708FC">
        <w:t>Monitoring, Evaluation and Research Program</w:t>
      </w:r>
      <w:r>
        <w:t xml:space="preserve"> </w:t>
      </w:r>
      <w:r w:rsidR="000E65BE">
        <w:t xml:space="preserve">(Flow-MER) </w:t>
      </w:r>
      <w:r>
        <w:t>is a core activity within this framework. It</w:t>
      </w:r>
      <w:r w:rsidRPr="00C708FC">
        <w:t xml:space="preserve"> integrates and </w:t>
      </w:r>
      <w:r w:rsidR="0090639D">
        <w:t>continues</w:t>
      </w:r>
      <w:r w:rsidRPr="00C708FC">
        <w:t xml:space="preserve"> monitoring and research activities under the </w:t>
      </w:r>
      <w:r>
        <w:t xml:space="preserve">former </w:t>
      </w:r>
      <w:r w:rsidRPr="00C708FC">
        <w:t>Long-Term Intervention Monitoring (LTIM) and Environmental Water Knowledge and Research (EWKR) projects.</w:t>
      </w:r>
    </w:p>
    <w:p w14:paraId="75E88D04" w14:textId="685D3A27" w:rsidR="00C708FC" w:rsidRDefault="006C2CF6" w:rsidP="00C708FC">
      <w:r>
        <w:t xml:space="preserve">The </w:t>
      </w:r>
      <w:r w:rsidR="000E65BE">
        <w:t>Flow-</w:t>
      </w:r>
      <w:r w:rsidR="00C708FC">
        <w:t>MER program has the following components:</w:t>
      </w:r>
    </w:p>
    <w:p w14:paraId="7576D38D" w14:textId="7B600BCC" w:rsidR="00C708FC" w:rsidRDefault="00C708FC" w:rsidP="00C82DE4">
      <w:pPr>
        <w:pStyle w:val="DotStyle1"/>
      </w:pPr>
      <w:r>
        <w:t>Basin scale – Basin evaluation, research and engagement</w:t>
      </w:r>
    </w:p>
    <w:p w14:paraId="7F34B45F" w14:textId="389EEEF3" w:rsidR="00C708FC" w:rsidRDefault="00C708FC" w:rsidP="00C82DE4">
      <w:pPr>
        <w:pStyle w:val="DotStyle1"/>
      </w:pPr>
      <w:r>
        <w:t xml:space="preserve">Seven selected areas </w:t>
      </w:r>
      <w:r w:rsidR="006C2CF6">
        <w:t>–</w:t>
      </w:r>
      <w:r>
        <w:t xml:space="preserve"> </w:t>
      </w:r>
      <w:r w:rsidR="006C2CF6">
        <w:t>O</w:t>
      </w:r>
      <w:r>
        <w:t>n-ground monitoring, evaluation, research and engagement</w:t>
      </w:r>
      <w:r w:rsidR="006C2CF6">
        <w:t xml:space="preserve"> in t</w:t>
      </w:r>
      <w:r>
        <w:t xml:space="preserve">he </w:t>
      </w:r>
      <w:r w:rsidR="006C2CF6">
        <w:t xml:space="preserve">following </w:t>
      </w:r>
      <w:r>
        <w:t>areas:</w:t>
      </w:r>
    </w:p>
    <w:p w14:paraId="23F8A4FD" w14:textId="556C7C09" w:rsidR="00C708FC" w:rsidRDefault="00C708FC" w:rsidP="00C82DE4">
      <w:pPr>
        <w:pStyle w:val="DotStyle2"/>
      </w:pPr>
      <w:r>
        <w:t>Junction of the Warrego and Darling rivers</w:t>
      </w:r>
    </w:p>
    <w:p w14:paraId="14DE36C9" w14:textId="3DDF4B9F" w:rsidR="00C708FC" w:rsidRDefault="00C708FC" w:rsidP="00C82DE4">
      <w:pPr>
        <w:pStyle w:val="DotStyle2"/>
      </w:pPr>
      <w:r>
        <w:t>Gwydir river system</w:t>
      </w:r>
    </w:p>
    <w:p w14:paraId="2BE86B54" w14:textId="3A64F13F" w:rsidR="00C708FC" w:rsidRDefault="00C708FC" w:rsidP="00C82DE4">
      <w:pPr>
        <w:pStyle w:val="DotStyle2"/>
      </w:pPr>
      <w:r>
        <w:t>Lachlan river system</w:t>
      </w:r>
    </w:p>
    <w:p w14:paraId="0E6A32BC" w14:textId="4D87D999" w:rsidR="00C708FC" w:rsidRDefault="00C708FC" w:rsidP="00C82DE4">
      <w:pPr>
        <w:pStyle w:val="DotStyle2"/>
      </w:pPr>
      <w:r>
        <w:t>Murrumbidgee river system</w:t>
      </w:r>
    </w:p>
    <w:p w14:paraId="1B291923" w14:textId="65EFA349" w:rsidR="00C708FC" w:rsidRDefault="00C708FC" w:rsidP="00C82DE4">
      <w:pPr>
        <w:pStyle w:val="DotStyle2"/>
      </w:pPr>
      <w:r>
        <w:t>Edward-Wakool river system</w:t>
      </w:r>
    </w:p>
    <w:p w14:paraId="12B60818" w14:textId="5A67972E" w:rsidR="00C708FC" w:rsidRDefault="00C708FC" w:rsidP="00C82DE4">
      <w:pPr>
        <w:pStyle w:val="DotStyle2"/>
      </w:pPr>
      <w:r>
        <w:t>Goulburn River</w:t>
      </w:r>
    </w:p>
    <w:p w14:paraId="2306E732" w14:textId="531F9773" w:rsidR="00C708FC" w:rsidRDefault="00C708FC" w:rsidP="00C82DE4">
      <w:pPr>
        <w:pStyle w:val="DotStyle2"/>
      </w:pPr>
      <w:r>
        <w:t>Lower Murray River</w:t>
      </w:r>
    </w:p>
    <w:p w14:paraId="73DE950B" w14:textId="3258BABF" w:rsidR="005D1DEF" w:rsidRDefault="00C708FC" w:rsidP="0003686A">
      <w:r>
        <w:t xml:space="preserve">Further information on the </w:t>
      </w:r>
      <w:r w:rsidR="000E65BE">
        <w:t>Flow-</w:t>
      </w:r>
      <w:r>
        <w:t xml:space="preserve">MER program can be found here: </w:t>
      </w:r>
      <w:hyperlink r:id="rId54" w:history="1">
        <w:r w:rsidRPr="00806CFD">
          <w:rPr>
            <w:rStyle w:val="Hyperlink"/>
          </w:rPr>
          <w:t>http://www.environment.gov.au/water/cewo/monitoring/mer-program</w:t>
        </w:r>
      </w:hyperlink>
      <w:r w:rsidR="005B7074">
        <w:t xml:space="preserve"> and</w:t>
      </w:r>
    </w:p>
    <w:p w14:paraId="3D792E3D" w14:textId="39854895" w:rsidR="00CA63A6" w:rsidRDefault="00030BA8" w:rsidP="00EB3988">
      <w:pPr>
        <w:spacing w:after="0"/>
      </w:pPr>
      <w:hyperlink r:id="rId55" w:history="1">
        <w:r w:rsidR="005D1DEF" w:rsidRPr="00B745D2">
          <w:rPr>
            <w:rStyle w:val="Hyperlink"/>
          </w:rPr>
          <w:t>https://flow-mer.org.au/</w:t>
        </w:r>
      </w:hyperlink>
      <w:r w:rsidR="005B7074">
        <w:t>.</w:t>
      </w:r>
    </w:p>
    <w:p w14:paraId="0A82BBCB" w14:textId="77777777" w:rsidR="003560B8" w:rsidRDefault="003560B8" w:rsidP="00EB3988">
      <w:pPr>
        <w:spacing w:after="0"/>
      </w:pPr>
    </w:p>
    <w:p w14:paraId="1898D70A" w14:textId="1100EDB5" w:rsidR="003560B8" w:rsidRDefault="003560B8" w:rsidP="0003686A">
      <w:r>
        <w:t xml:space="preserve">Further information on the Long-term Intervention Monitoring (LTIM) program can be found here: </w:t>
      </w:r>
      <w:hyperlink r:id="rId56" w:history="1">
        <w:r w:rsidRPr="0051779C">
          <w:rPr>
            <w:rStyle w:val="Hyperlink"/>
          </w:rPr>
          <w:t>http://www.environment.gov.au/water/cewo/monitoring/ltim-project</w:t>
        </w:r>
      </w:hyperlink>
      <w:r w:rsidR="005B7074">
        <w:rPr>
          <w:rStyle w:val="Hyperlink"/>
        </w:rPr>
        <w:t>.</w:t>
      </w:r>
    </w:p>
    <w:p w14:paraId="2B1BA639" w14:textId="77777777" w:rsidR="003560B8" w:rsidRDefault="003560B8" w:rsidP="00EB3988">
      <w:pPr>
        <w:spacing w:after="0"/>
      </w:pPr>
    </w:p>
    <w:p w14:paraId="2DCD4408" w14:textId="7392D0EE" w:rsidR="003560B8" w:rsidRDefault="003560B8" w:rsidP="00EB3988">
      <w:pPr>
        <w:spacing w:after="0"/>
      </w:pPr>
      <w:r>
        <w:t xml:space="preserve">Further information on the Environmental Water Knowledge and Research (EWKR) projects can be found here: </w:t>
      </w:r>
      <w:hyperlink r:id="rId57" w:history="1">
        <w:r w:rsidRPr="0051779C">
          <w:rPr>
            <w:rStyle w:val="Hyperlink"/>
          </w:rPr>
          <w:t>http://www.environment.gov.au/water/cewo/monitoring/ewkr</w:t>
        </w:r>
      </w:hyperlink>
      <w:r w:rsidR="005B7074">
        <w:rPr>
          <w:rStyle w:val="Hyperlink"/>
        </w:rPr>
        <w:t>.</w:t>
      </w:r>
    </w:p>
    <w:p w14:paraId="4628894A" w14:textId="77777777" w:rsidR="00316F8D" w:rsidRPr="003F6A7D" w:rsidRDefault="00316F8D" w:rsidP="003F6A7D">
      <w:bookmarkStart w:id="33" w:name="_Toc517264671"/>
      <w:bookmarkEnd w:id="33"/>
      <w:r w:rsidRPr="003F6A7D">
        <w:br w:type="page"/>
      </w:r>
    </w:p>
    <w:tbl>
      <w:tblPr>
        <w:tblStyle w:val="TableGrid"/>
        <w:tblW w:w="9781" w:type="dxa"/>
        <w:shd w:val="clear" w:color="auto" w:fill="B6DDE8" w:themeFill="accent5" w:themeFillTint="66"/>
        <w:tblLook w:val="04A0" w:firstRow="1" w:lastRow="0" w:firstColumn="1" w:lastColumn="0" w:noHBand="0" w:noVBand="1"/>
      </w:tblPr>
      <w:tblGrid>
        <w:gridCol w:w="9781"/>
      </w:tblGrid>
      <w:tr w:rsidR="00316F8D" w14:paraId="3A25AF5F" w14:textId="77777777" w:rsidTr="00533FC3">
        <w:trPr>
          <w:cnfStyle w:val="100000000000" w:firstRow="1" w:lastRow="0" w:firstColumn="0" w:lastColumn="0" w:oddVBand="0" w:evenVBand="0" w:oddHBand="0" w:evenHBand="0" w:firstRowFirstColumn="0" w:firstRowLastColumn="0" w:lastRowFirstColumn="0" w:lastRowLastColumn="0"/>
        </w:trPr>
        <w:tc>
          <w:tcPr>
            <w:tcW w:w="9781" w:type="dxa"/>
            <w:tcBorders>
              <w:top w:val="nil"/>
              <w:left w:val="nil"/>
              <w:bottom w:val="nil"/>
              <w:right w:val="nil"/>
            </w:tcBorders>
            <w:shd w:val="clear" w:color="auto" w:fill="B6DDE8" w:themeFill="accent5" w:themeFillTint="66"/>
          </w:tcPr>
          <w:p w14:paraId="1C27B3B4" w14:textId="5A00E972" w:rsidR="00316F8D" w:rsidRDefault="00316F8D" w:rsidP="00533FC3">
            <w:pPr>
              <w:pStyle w:val="Heading1"/>
              <w:outlineLvl w:val="0"/>
            </w:pPr>
            <w:bookmarkStart w:id="34" w:name="_Toc44942516"/>
            <w:r w:rsidRPr="0003686A">
              <w:lastRenderedPageBreak/>
              <w:t>Managing</w:t>
            </w:r>
            <w:r w:rsidRPr="006821CB">
              <w:t xml:space="preserve"> </w:t>
            </w:r>
            <w:r w:rsidR="00B779E9">
              <w:t>Commonwealth water for the environment</w:t>
            </w:r>
            <w:r w:rsidRPr="0097498A">
              <w:t xml:space="preserve"> in 2020-21</w:t>
            </w:r>
            <w:bookmarkEnd w:id="34"/>
          </w:p>
        </w:tc>
      </w:tr>
    </w:tbl>
    <w:p w14:paraId="439A4C8A" w14:textId="3CF695E8" w:rsidR="00C20EEE" w:rsidRPr="00E1421F" w:rsidRDefault="00061203" w:rsidP="0057535E">
      <w:pPr>
        <w:pStyle w:val="Heading2"/>
      </w:pPr>
      <w:bookmarkStart w:id="35" w:name="_Toc44942517"/>
      <w:r w:rsidRPr="00E1421F">
        <w:t>Adaptive Management – ‘</w:t>
      </w:r>
      <w:r w:rsidR="00C94D93" w:rsidRPr="00E1421F">
        <w:t>Learning by Doing</w:t>
      </w:r>
      <w:r w:rsidRPr="00E1421F">
        <w:t>’</w:t>
      </w:r>
      <w:bookmarkEnd w:id="35"/>
    </w:p>
    <w:p w14:paraId="15BDC8F3" w14:textId="21873BA5" w:rsidR="00E1421F" w:rsidRDefault="00E1421F" w:rsidP="00E1421F">
      <w:pPr>
        <w:rPr>
          <w:rFonts w:cstheme="minorHAnsi"/>
          <w:szCs w:val="22"/>
        </w:rPr>
      </w:pPr>
      <w:r>
        <w:rPr>
          <w:rFonts w:cstheme="minorHAnsi"/>
        </w:rPr>
        <w:t xml:space="preserve">Outcomes from monitoring, evaluation and research play a </w:t>
      </w:r>
      <w:r w:rsidR="00F771AC">
        <w:rPr>
          <w:rFonts w:cstheme="minorHAnsi"/>
        </w:rPr>
        <w:t>key</w:t>
      </w:r>
      <w:r>
        <w:rPr>
          <w:rFonts w:cstheme="minorHAnsi"/>
        </w:rPr>
        <w:t xml:space="preserve"> role in informing adaptive management of Commonwealth water for the environment. </w:t>
      </w:r>
      <w:r w:rsidR="00F771AC">
        <w:rPr>
          <w:rFonts w:cstheme="minorHAnsi"/>
        </w:rPr>
        <w:t xml:space="preserve">Collectively, we draw </w:t>
      </w:r>
      <w:r>
        <w:rPr>
          <w:rFonts w:cstheme="minorHAnsi"/>
        </w:rPr>
        <w:t>on the best available science, and the knowledge, insights and experiences of those people living and working in the Basin.</w:t>
      </w:r>
    </w:p>
    <w:p w14:paraId="1A14CE55" w14:textId="77777777" w:rsidR="00E1421F" w:rsidRDefault="00E1421F" w:rsidP="00E1421F">
      <w:pPr>
        <w:rPr>
          <w:rFonts w:cstheme="minorHAnsi"/>
        </w:rPr>
      </w:pPr>
      <w:r>
        <w:rPr>
          <w:rFonts w:cstheme="minorHAnsi"/>
        </w:rPr>
        <w:t xml:space="preserve">Environmental water delivery is still a relatively new practice, which means trialling and learning by doing from various events and outcomes. These learnings continue to be incorporated into the way water for the environment is managed to support adaptive management and help build knowledge. </w:t>
      </w:r>
    </w:p>
    <w:p w14:paraId="2B3C4349" w14:textId="77777777" w:rsidR="00E1421F" w:rsidRDefault="00E1421F" w:rsidP="00E1421F">
      <w:pPr>
        <w:rPr>
          <w:rFonts w:cstheme="minorHAnsi"/>
          <w:b/>
          <w:i/>
          <w:color w:val="5F497A" w:themeColor="accent4" w:themeShade="BF"/>
        </w:rPr>
      </w:pPr>
      <w:r>
        <w:rPr>
          <w:rFonts w:cstheme="minorHAnsi"/>
          <w:b/>
          <w:i/>
          <w:color w:val="5F497A" w:themeColor="accent4" w:themeShade="BF"/>
        </w:rPr>
        <w:t>Lessons Learned</w:t>
      </w:r>
    </w:p>
    <w:p w14:paraId="41EE0808" w14:textId="62338F96" w:rsidR="00E1421F" w:rsidRDefault="00E1421F" w:rsidP="00E1421F">
      <w:pPr>
        <w:rPr>
          <w:rFonts w:cstheme="minorHAnsi"/>
          <w:szCs w:val="22"/>
        </w:rPr>
      </w:pPr>
      <w:r>
        <w:rPr>
          <w:rFonts w:cstheme="minorHAnsi"/>
        </w:rPr>
        <w:t xml:space="preserve">The following </w:t>
      </w:r>
      <w:r w:rsidR="003560B8">
        <w:rPr>
          <w:rFonts w:cstheme="minorHAnsi"/>
        </w:rPr>
        <w:t>tables</w:t>
      </w:r>
      <w:r w:rsidR="00306CFF">
        <w:rPr>
          <w:rFonts w:cstheme="minorHAnsi"/>
        </w:rPr>
        <w:t xml:space="preserve"> (</w:t>
      </w:r>
      <w:r w:rsidR="00306CFF">
        <w:rPr>
          <w:rFonts w:cstheme="minorHAnsi"/>
        </w:rPr>
        <w:fldChar w:fldCharType="begin"/>
      </w:r>
      <w:r w:rsidR="00306CFF">
        <w:rPr>
          <w:rFonts w:cstheme="minorHAnsi"/>
        </w:rPr>
        <w:instrText xml:space="preserve"> REF _Ref44922132 </w:instrText>
      </w:r>
      <w:r w:rsidR="00306CFF">
        <w:rPr>
          <w:rFonts w:cstheme="minorHAnsi"/>
        </w:rPr>
        <w:fldChar w:fldCharType="separate"/>
      </w:r>
      <w:r w:rsidR="001B2852" w:rsidRPr="003560B8">
        <w:rPr>
          <w:szCs w:val="22"/>
        </w:rPr>
        <w:t xml:space="preserve">Table </w:t>
      </w:r>
      <w:r w:rsidR="001B2852">
        <w:rPr>
          <w:noProof/>
          <w:szCs w:val="22"/>
        </w:rPr>
        <w:t>1</w:t>
      </w:r>
      <w:r w:rsidR="00306CFF">
        <w:rPr>
          <w:rFonts w:cstheme="minorHAnsi"/>
        </w:rPr>
        <w:fldChar w:fldCharType="end"/>
      </w:r>
      <w:r w:rsidR="00306CFF">
        <w:rPr>
          <w:rFonts w:cstheme="minorHAnsi"/>
        </w:rPr>
        <w:t xml:space="preserve"> and </w:t>
      </w:r>
      <w:r w:rsidR="00306CFF">
        <w:rPr>
          <w:rFonts w:cstheme="minorHAnsi"/>
        </w:rPr>
        <w:fldChar w:fldCharType="begin"/>
      </w:r>
      <w:r w:rsidR="00306CFF">
        <w:rPr>
          <w:rFonts w:cstheme="minorHAnsi"/>
        </w:rPr>
        <w:instrText xml:space="preserve"> REF _Ref44922146 </w:instrText>
      </w:r>
      <w:r w:rsidR="00306CFF">
        <w:rPr>
          <w:rFonts w:cstheme="minorHAnsi"/>
        </w:rPr>
        <w:fldChar w:fldCharType="separate"/>
      </w:r>
      <w:r w:rsidR="001B2852" w:rsidRPr="003560B8">
        <w:rPr>
          <w:szCs w:val="22"/>
        </w:rPr>
        <w:t xml:space="preserve">Table </w:t>
      </w:r>
      <w:r w:rsidR="001B2852">
        <w:rPr>
          <w:noProof/>
          <w:szCs w:val="22"/>
        </w:rPr>
        <w:t>2</w:t>
      </w:r>
      <w:r w:rsidR="00306CFF">
        <w:rPr>
          <w:rFonts w:cstheme="minorHAnsi"/>
        </w:rPr>
        <w:fldChar w:fldCharType="end"/>
      </w:r>
      <w:r w:rsidR="00306CFF">
        <w:rPr>
          <w:rFonts w:cstheme="minorHAnsi"/>
        </w:rPr>
        <w:t>)</w:t>
      </w:r>
      <w:r w:rsidR="003560B8">
        <w:rPr>
          <w:rFonts w:cstheme="minorHAnsi"/>
        </w:rPr>
        <w:t xml:space="preserve"> </w:t>
      </w:r>
      <w:r>
        <w:rPr>
          <w:rFonts w:cstheme="minorHAnsi"/>
        </w:rPr>
        <w:t>provide a summary of key learnings and considerations at a Basin-scale that are contributing to inform water planning for 2020–21. The findings are drawn from the results of the past five years of LTIM and EWKR projects. For site scale lessons</w:t>
      </w:r>
      <w:r w:rsidR="000C773B">
        <w:rPr>
          <w:rFonts w:cstheme="minorHAnsi"/>
        </w:rPr>
        <w:t>,</w:t>
      </w:r>
      <w:r>
        <w:rPr>
          <w:rFonts w:cstheme="minorHAnsi"/>
        </w:rPr>
        <w:t xml:space="preserve"> please refer to the Valley Water Plans in Chapter 3.</w:t>
      </w:r>
    </w:p>
    <w:p w14:paraId="01A9C7F3" w14:textId="375DBBFA" w:rsidR="003560B8" w:rsidRPr="003560B8" w:rsidRDefault="003560B8" w:rsidP="00E644AE">
      <w:pPr>
        <w:pStyle w:val="Caption"/>
        <w:keepNext/>
        <w:spacing w:before="240" w:after="120"/>
        <w:jc w:val="left"/>
        <w:rPr>
          <w:b w:val="0"/>
          <w:sz w:val="22"/>
          <w:szCs w:val="22"/>
        </w:rPr>
      </w:pPr>
      <w:bookmarkStart w:id="36" w:name="_Ref44922132"/>
      <w:r w:rsidRPr="003560B8">
        <w:rPr>
          <w:sz w:val="22"/>
          <w:szCs w:val="22"/>
        </w:rPr>
        <w:t xml:space="preserve">Table </w:t>
      </w:r>
      <w:r w:rsidRPr="003560B8">
        <w:rPr>
          <w:sz w:val="22"/>
          <w:szCs w:val="22"/>
        </w:rPr>
        <w:fldChar w:fldCharType="begin"/>
      </w:r>
      <w:r w:rsidRPr="003560B8">
        <w:rPr>
          <w:sz w:val="22"/>
          <w:szCs w:val="22"/>
        </w:rPr>
        <w:instrText xml:space="preserve"> SEQ Table \* ARABIC </w:instrText>
      </w:r>
      <w:r w:rsidRPr="003560B8">
        <w:rPr>
          <w:sz w:val="22"/>
          <w:szCs w:val="22"/>
        </w:rPr>
        <w:fldChar w:fldCharType="separate"/>
      </w:r>
      <w:r w:rsidR="001B2852">
        <w:rPr>
          <w:noProof/>
          <w:sz w:val="22"/>
          <w:szCs w:val="22"/>
        </w:rPr>
        <w:t>1</w:t>
      </w:r>
      <w:r w:rsidRPr="003560B8">
        <w:rPr>
          <w:sz w:val="22"/>
          <w:szCs w:val="22"/>
        </w:rPr>
        <w:fldChar w:fldCharType="end"/>
      </w:r>
      <w:bookmarkEnd w:id="36"/>
      <w:r w:rsidRPr="003560B8">
        <w:rPr>
          <w:b w:val="0"/>
          <w:sz w:val="22"/>
          <w:szCs w:val="22"/>
        </w:rPr>
        <w:t>:</w:t>
      </w:r>
      <w:r w:rsidRPr="003560B8">
        <w:rPr>
          <w:rFonts w:cstheme="minorHAnsi"/>
          <w:b w:val="0"/>
          <w:sz w:val="22"/>
          <w:szCs w:val="22"/>
        </w:rPr>
        <w:t xml:space="preserve"> Basin scale key learnings from LTIM and EWKR projects</w:t>
      </w:r>
    </w:p>
    <w:tbl>
      <w:tblPr>
        <w:tblStyle w:val="TableGrid1"/>
        <w:tblW w:w="9781" w:type="dxa"/>
        <w:tblInd w:w="-5" w:type="dxa"/>
        <w:tblLook w:val="04A0" w:firstRow="1" w:lastRow="0" w:firstColumn="1" w:lastColumn="0" w:noHBand="0" w:noVBand="1"/>
      </w:tblPr>
      <w:tblGrid>
        <w:gridCol w:w="1673"/>
        <w:gridCol w:w="8108"/>
      </w:tblGrid>
      <w:tr w:rsidR="00E1421F" w14:paraId="7C4D343C" w14:textId="77777777" w:rsidTr="00E1421F">
        <w:tc>
          <w:tcPr>
            <w:tcW w:w="1673"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7F19DB0F" w14:textId="77777777" w:rsidR="00E1421F" w:rsidRDefault="00E1421F">
            <w:pPr>
              <w:rPr>
                <w:b/>
              </w:rPr>
            </w:pPr>
            <w:r>
              <w:rPr>
                <w:b/>
              </w:rPr>
              <w:t>Theme</w:t>
            </w:r>
          </w:p>
        </w:tc>
        <w:tc>
          <w:tcPr>
            <w:tcW w:w="8108"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1DF5DDDD" w14:textId="77777777" w:rsidR="00E1421F" w:rsidRDefault="00E1421F">
            <w:pPr>
              <w:rPr>
                <w:b/>
              </w:rPr>
            </w:pPr>
            <w:r>
              <w:rPr>
                <w:b/>
              </w:rPr>
              <w:t>Learnings</w:t>
            </w:r>
          </w:p>
        </w:tc>
      </w:tr>
      <w:tr w:rsidR="00E1421F" w14:paraId="4D167A23" w14:textId="77777777" w:rsidTr="00B82787">
        <w:tc>
          <w:tcPr>
            <w:tcW w:w="1673"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38D9D08B" w14:textId="77777777" w:rsidR="00E1421F" w:rsidRDefault="00E1421F">
            <w:r>
              <w:t>Hydrology</w:t>
            </w:r>
          </w:p>
        </w:tc>
        <w:tc>
          <w:tcPr>
            <w:tcW w:w="8108" w:type="dxa"/>
            <w:tcBorders>
              <w:top w:val="single" w:sz="4" w:space="0" w:color="auto"/>
              <w:left w:val="single" w:sz="4" w:space="0" w:color="auto"/>
              <w:bottom w:val="single" w:sz="4" w:space="0" w:color="auto"/>
              <w:right w:val="single" w:sz="4" w:space="0" w:color="auto"/>
            </w:tcBorders>
            <w:hideMark/>
          </w:tcPr>
          <w:p w14:paraId="172229F5" w14:textId="77777777" w:rsidR="00E1421F" w:rsidRDefault="00E1421F" w:rsidP="00C82DE4">
            <w:pPr>
              <w:pStyle w:val="DotStyle1"/>
            </w:pPr>
            <w:r>
              <w:t>Delivery of water for the environment has contributed to restoring flow regimes through the provision of base flows.</w:t>
            </w:r>
          </w:p>
          <w:p w14:paraId="14B05E18" w14:textId="77777777" w:rsidR="00E1421F" w:rsidRDefault="00E1421F" w:rsidP="00C82DE4">
            <w:pPr>
              <w:pStyle w:val="DotStyle1"/>
            </w:pPr>
            <w:r>
              <w:t>Water for the environment has contributed to maintaining connectivity.</w:t>
            </w:r>
          </w:p>
        </w:tc>
      </w:tr>
      <w:tr w:rsidR="00E1421F" w14:paraId="6575B480" w14:textId="77777777" w:rsidTr="00B82787">
        <w:tc>
          <w:tcPr>
            <w:tcW w:w="1673"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72586C20" w14:textId="77777777" w:rsidR="00E1421F" w:rsidRDefault="00E1421F">
            <w:r>
              <w:t>Productivity</w:t>
            </w:r>
          </w:p>
        </w:tc>
        <w:tc>
          <w:tcPr>
            <w:tcW w:w="8108" w:type="dxa"/>
            <w:tcBorders>
              <w:top w:val="single" w:sz="4" w:space="0" w:color="auto"/>
              <w:left w:val="single" w:sz="4" w:space="0" w:color="auto"/>
              <w:bottom w:val="single" w:sz="4" w:space="0" w:color="auto"/>
              <w:right w:val="single" w:sz="4" w:space="0" w:color="auto"/>
            </w:tcBorders>
            <w:hideMark/>
          </w:tcPr>
          <w:p w14:paraId="4538F88B" w14:textId="77777777" w:rsidR="00E1421F" w:rsidRDefault="00E1421F" w:rsidP="00C82DE4">
            <w:pPr>
              <w:pStyle w:val="DotStyle1"/>
            </w:pPr>
            <w:r>
              <w:t>In-channel flows using water for the environment can result in increased productivity.</w:t>
            </w:r>
          </w:p>
          <w:p w14:paraId="35A3BC25" w14:textId="77777777" w:rsidR="00E1421F" w:rsidRDefault="00E1421F" w:rsidP="00C82DE4">
            <w:pPr>
              <w:pStyle w:val="DotStyle1"/>
            </w:pPr>
            <w:r>
              <w:t>Source of water doesn’t matter (although some exceptions apply).</w:t>
            </w:r>
          </w:p>
        </w:tc>
      </w:tr>
      <w:tr w:rsidR="00E1421F" w14:paraId="299F31A4" w14:textId="77777777" w:rsidTr="00B82787">
        <w:tc>
          <w:tcPr>
            <w:tcW w:w="1673"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6F9A8344" w14:textId="77777777" w:rsidR="00E1421F" w:rsidRDefault="00E1421F">
            <w:r>
              <w:t>Fish</w:t>
            </w:r>
          </w:p>
        </w:tc>
        <w:tc>
          <w:tcPr>
            <w:tcW w:w="8108" w:type="dxa"/>
            <w:tcBorders>
              <w:top w:val="single" w:sz="4" w:space="0" w:color="auto"/>
              <w:left w:val="single" w:sz="4" w:space="0" w:color="auto"/>
              <w:bottom w:val="single" w:sz="4" w:space="0" w:color="auto"/>
              <w:right w:val="single" w:sz="4" w:space="0" w:color="auto"/>
            </w:tcBorders>
            <w:hideMark/>
          </w:tcPr>
          <w:p w14:paraId="15AAAFB5" w14:textId="77777777" w:rsidR="00E1421F" w:rsidRDefault="00E1421F" w:rsidP="00C82DE4">
            <w:pPr>
              <w:pStyle w:val="DotStyle1"/>
            </w:pPr>
            <w:r>
              <w:t>Fish responses are linked to provision of fresh and baseflows.</w:t>
            </w:r>
          </w:p>
          <w:p w14:paraId="50236ABA" w14:textId="77777777" w:rsidR="00E1421F" w:rsidRDefault="00E1421F" w:rsidP="00C82DE4">
            <w:pPr>
              <w:pStyle w:val="DotStyle1"/>
            </w:pPr>
            <w:r>
              <w:t>Impact of fish kills will be significant, and recovery will take time.</w:t>
            </w:r>
          </w:p>
          <w:p w14:paraId="79C22F58" w14:textId="77777777" w:rsidR="00E1421F" w:rsidRDefault="00E1421F" w:rsidP="00C82DE4">
            <w:pPr>
              <w:pStyle w:val="DotStyle1"/>
            </w:pPr>
            <w:r>
              <w:t>Low flow conditions and river regulation has limited spring/summer flow pulses which is linked to limited spawning and recruitment of Golden perch.</w:t>
            </w:r>
          </w:p>
        </w:tc>
      </w:tr>
      <w:tr w:rsidR="00E1421F" w14:paraId="08312401" w14:textId="77777777" w:rsidTr="00B82787">
        <w:tc>
          <w:tcPr>
            <w:tcW w:w="1673"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B401EFE" w14:textId="77777777" w:rsidR="00E1421F" w:rsidRDefault="00E1421F">
            <w:r>
              <w:t>Vegetation</w:t>
            </w:r>
          </w:p>
        </w:tc>
        <w:tc>
          <w:tcPr>
            <w:tcW w:w="8108" w:type="dxa"/>
            <w:tcBorders>
              <w:top w:val="single" w:sz="4" w:space="0" w:color="auto"/>
              <w:left w:val="single" w:sz="4" w:space="0" w:color="auto"/>
              <w:bottom w:val="single" w:sz="4" w:space="0" w:color="auto"/>
              <w:right w:val="single" w:sz="4" w:space="0" w:color="auto"/>
            </w:tcBorders>
            <w:hideMark/>
          </w:tcPr>
          <w:p w14:paraId="45F1DBE0" w14:textId="77777777" w:rsidR="00E1421F" w:rsidRDefault="00E1421F" w:rsidP="00C82DE4">
            <w:pPr>
              <w:pStyle w:val="DotStyle1"/>
            </w:pPr>
            <w:r>
              <w:t>Water for the environment contributes to plant species diversity and vegetation community diversity both locally and at Basin scales.</w:t>
            </w:r>
          </w:p>
          <w:p w14:paraId="6A8D05E7" w14:textId="77777777" w:rsidR="00E1421F" w:rsidRDefault="00E1421F" w:rsidP="00C82DE4">
            <w:pPr>
              <w:pStyle w:val="DotStyle1"/>
            </w:pPr>
            <w:r>
              <w:t>Basin vegetation communities are very diverse and support a diversity of communities – over watering can compromise native vegetation outcomes and if other areas are underwatered this may result in reduced diversity of vegetation communities at the landscape scale.</w:t>
            </w:r>
          </w:p>
          <w:p w14:paraId="3F284D7A" w14:textId="77777777" w:rsidR="00E1421F" w:rsidRDefault="00E1421F" w:rsidP="00C82DE4">
            <w:pPr>
              <w:pStyle w:val="DotStyle1"/>
            </w:pPr>
            <w:r>
              <w:t>Wetting and drying regimes are important for promoting diversity and seedling growth.</w:t>
            </w:r>
          </w:p>
        </w:tc>
      </w:tr>
      <w:tr w:rsidR="00E1421F" w14:paraId="3052C354" w14:textId="77777777" w:rsidTr="00B82787">
        <w:tc>
          <w:tcPr>
            <w:tcW w:w="1673"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603EF64E" w14:textId="77777777" w:rsidR="00E1421F" w:rsidRDefault="00E1421F">
            <w:r>
              <w:t>Ecosystem and Biodiversity</w:t>
            </w:r>
          </w:p>
        </w:tc>
        <w:tc>
          <w:tcPr>
            <w:tcW w:w="8108" w:type="dxa"/>
            <w:tcBorders>
              <w:top w:val="single" w:sz="4" w:space="0" w:color="auto"/>
              <w:left w:val="single" w:sz="4" w:space="0" w:color="auto"/>
              <w:bottom w:val="single" w:sz="4" w:space="0" w:color="auto"/>
              <w:right w:val="single" w:sz="4" w:space="0" w:color="auto"/>
            </w:tcBorders>
            <w:hideMark/>
          </w:tcPr>
          <w:p w14:paraId="6A7BF429" w14:textId="77777777" w:rsidR="00E1421F" w:rsidRDefault="00E1421F" w:rsidP="00C82DE4">
            <w:pPr>
              <w:pStyle w:val="DotStyle1"/>
            </w:pPr>
            <w:r>
              <w:t>Water for the environment is supporting a diverse array of aquatic ecosystems that are representative of the Basin.</w:t>
            </w:r>
          </w:p>
        </w:tc>
      </w:tr>
      <w:tr w:rsidR="00E1421F" w14:paraId="6C12C3B1" w14:textId="77777777" w:rsidTr="00B82787">
        <w:tc>
          <w:tcPr>
            <w:tcW w:w="1673"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721C3FB6" w14:textId="77777777" w:rsidR="00E1421F" w:rsidRDefault="00E1421F">
            <w:r>
              <w:t>Waterbirds</w:t>
            </w:r>
          </w:p>
        </w:tc>
        <w:tc>
          <w:tcPr>
            <w:tcW w:w="8108" w:type="dxa"/>
            <w:tcBorders>
              <w:top w:val="single" w:sz="4" w:space="0" w:color="auto"/>
              <w:left w:val="single" w:sz="4" w:space="0" w:color="auto"/>
              <w:bottom w:val="single" w:sz="4" w:space="0" w:color="auto"/>
              <w:right w:val="single" w:sz="4" w:space="0" w:color="auto"/>
            </w:tcBorders>
            <w:hideMark/>
          </w:tcPr>
          <w:p w14:paraId="40C50CEC" w14:textId="0E0EEC88" w:rsidR="00E1421F" w:rsidRDefault="00E1421F" w:rsidP="00C82DE4">
            <w:pPr>
              <w:pStyle w:val="DotStyle1"/>
            </w:pPr>
            <w:r>
              <w:t xml:space="preserve">There is a common movement route between </w:t>
            </w:r>
            <w:r w:rsidR="000C773B">
              <w:t xml:space="preserve">the </w:t>
            </w:r>
            <w:r>
              <w:t xml:space="preserve">north and </w:t>
            </w:r>
            <w:r w:rsidR="000C773B">
              <w:t xml:space="preserve">the </w:t>
            </w:r>
            <w:r>
              <w:t>south</w:t>
            </w:r>
            <w:r w:rsidR="000C773B">
              <w:t xml:space="preserve"> of the</w:t>
            </w:r>
            <w:r>
              <w:t xml:space="preserve"> Basin.</w:t>
            </w:r>
          </w:p>
          <w:p w14:paraId="628D9179" w14:textId="27D7CEB7" w:rsidR="00E1421F" w:rsidRDefault="00E1421F" w:rsidP="00C82DE4">
            <w:pPr>
              <w:pStyle w:val="DotStyle1"/>
            </w:pPr>
            <w:r>
              <w:t>Waterbird chicks require a large quantity (</w:t>
            </w:r>
            <w:r w:rsidR="00077399">
              <w:t>8 tonnes of small fish/36 big macs</w:t>
            </w:r>
            <w:r>
              <w:t>) of food to support survival.</w:t>
            </w:r>
          </w:p>
        </w:tc>
      </w:tr>
    </w:tbl>
    <w:p w14:paraId="26EA5D5B" w14:textId="77777777" w:rsidR="00E1421F" w:rsidRDefault="00E1421F" w:rsidP="00E1421F">
      <w:pPr>
        <w:rPr>
          <w:rFonts w:cstheme="minorHAnsi"/>
          <w:b/>
          <w:bCs/>
          <w:szCs w:val="22"/>
        </w:rPr>
      </w:pPr>
    </w:p>
    <w:p w14:paraId="4208DF4B" w14:textId="4C564749" w:rsidR="003560B8" w:rsidRPr="003560B8" w:rsidRDefault="003560B8" w:rsidP="00E644AE">
      <w:pPr>
        <w:pStyle w:val="Caption"/>
        <w:keepNext/>
        <w:spacing w:before="240" w:after="120"/>
        <w:jc w:val="left"/>
        <w:rPr>
          <w:b w:val="0"/>
          <w:sz w:val="22"/>
          <w:szCs w:val="22"/>
        </w:rPr>
      </w:pPr>
      <w:bookmarkStart w:id="37" w:name="_Ref44922146"/>
      <w:r w:rsidRPr="003560B8">
        <w:rPr>
          <w:sz w:val="22"/>
          <w:szCs w:val="22"/>
        </w:rPr>
        <w:lastRenderedPageBreak/>
        <w:t xml:space="preserve">Table </w:t>
      </w:r>
      <w:r w:rsidRPr="003560B8">
        <w:rPr>
          <w:sz w:val="22"/>
          <w:szCs w:val="22"/>
        </w:rPr>
        <w:fldChar w:fldCharType="begin"/>
      </w:r>
      <w:r w:rsidRPr="003560B8">
        <w:rPr>
          <w:sz w:val="22"/>
          <w:szCs w:val="22"/>
        </w:rPr>
        <w:instrText xml:space="preserve"> SEQ Table \* ARABIC </w:instrText>
      </w:r>
      <w:r w:rsidRPr="003560B8">
        <w:rPr>
          <w:sz w:val="22"/>
          <w:szCs w:val="22"/>
        </w:rPr>
        <w:fldChar w:fldCharType="separate"/>
      </w:r>
      <w:r w:rsidR="001B2852">
        <w:rPr>
          <w:noProof/>
          <w:sz w:val="22"/>
          <w:szCs w:val="22"/>
        </w:rPr>
        <w:t>2</w:t>
      </w:r>
      <w:r w:rsidRPr="003560B8">
        <w:rPr>
          <w:sz w:val="22"/>
          <w:szCs w:val="22"/>
        </w:rPr>
        <w:fldChar w:fldCharType="end"/>
      </w:r>
      <w:bookmarkEnd w:id="37"/>
      <w:r w:rsidRPr="003560B8">
        <w:rPr>
          <w:b w:val="0"/>
          <w:sz w:val="22"/>
          <w:szCs w:val="22"/>
        </w:rPr>
        <w:t xml:space="preserve">: </w:t>
      </w:r>
      <w:r w:rsidRPr="003560B8">
        <w:rPr>
          <w:rFonts w:cstheme="minorHAnsi"/>
          <w:b w:val="0"/>
          <w:sz w:val="22"/>
          <w:szCs w:val="22"/>
        </w:rPr>
        <w:t>Key considerations for water planning</w:t>
      </w:r>
    </w:p>
    <w:tbl>
      <w:tblPr>
        <w:tblStyle w:val="TableGrid1"/>
        <w:tblW w:w="9781" w:type="dxa"/>
        <w:tblInd w:w="-5" w:type="dxa"/>
        <w:tblLook w:val="04A0" w:firstRow="1" w:lastRow="0" w:firstColumn="1" w:lastColumn="0" w:noHBand="0" w:noVBand="1"/>
      </w:tblPr>
      <w:tblGrid>
        <w:gridCol w:w="1673"/>
        <w:gridCol w:w="8108"/>
      </w:tblGrid>
      <w:tr w:rsidR="00E1421F" w14:paraId="2FF42D7B" w14:textId="77777777" w:rsidTr="00D346C8">
        <w:tc>
          <w:tcPr>
            <w:tcW w:w="1673"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695403F" w14:textId="77777777" w:rsidR="00E1421F" w:rsidRDefault="00E1421F">
            <w:pPr>
              <w:rPr>
                <w:b/>
              </w:rPr>
            </w:pPr>
            <w:r>
              <w:rPr>
                <w:b/>
              </w:rPr>
              <w:t>Theme</w:t>
            </w:r>
          </w:p>
        </w:tc>
        <w:tc>
          <w:tcPr>
            <w:tcW w:w="8108"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36CEA09B" w14:textId="77777777" w:rsidR="00E1421F" w:rsidRDefault="00E1421F">
            <w:pPr>
              <w:rPr>
                <w:b/>
              </w:rPr>
            </w:pPr>
            <w:r>
              <w:rPr>
                <w:b/>
              </w:rPr>
              <w:t>Learnings</w:t>
            </w:r>
          </w:p>
        </w:tc>
      </w:tr>
      <w:tr w:rsidR="00E1421F" w14:paraId="2C7A0E4C" w14:textId="77777777" w:rsidTr="00B82787">
        <w:tc>
          <w:tcPr>
            <w:tcW w:w="1673"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58192FD" w14:textId="77777777" w:rsidR="00E1421F" w:rsidRDefault="00E1421F">
            <w:r>
              <w:t>Hydrology</w:t>
            </w:r>
          </w:p>
        </w:tc>
        <w:tc>
          <w:tcPr>
            <w:tcW w:w="8108" w:type="dxa"/>
            <w:tcBorders>
              <w:top w:val="single" w:sz="4" w:space="0" w:color="auto"/>
              <w:left w:val="single" w:sz="4" w:space="0" w:color="auto"/>
              <w:bottom w:val="single" w:sz="4" w:space="0" w:color="auto"/>
              <w:right w:val="single" w:sz="4" w:space="0" w:color="auto"/>
            </w:tcBorders>
            <w:hideMark/>
          </w:tcPr>
          <w:p w14:paraId="16F0BC72" w14:textId="77777777" w:rsidR="00E1421F" w:rsidRPr="003560B8" w:rsidRDefault="00E1421F" w:rsidP="00C82DE4">
            <w:pPr>
              <w:pStyle w:val="DotStyle1"/>
            </w:pPr>
            <w:r w:rsidRPr="003560B8">
              <w:t>Promoting lateral and longitudinal river connectivity to support Basin Watering Strategy outcomes is beneficial for the health of the Basin.</w:t>
            </w:r>
          </w:p>
        </w:tc>
      </w:tr>
      <w:tr w:rsidR="00E1421F" w14:paraId="359D105E" w14:textId="77777777" w:rsidTr="00B82787">
        <w:tc>
          <w:tcPr>
            <w:tcW w:w="1673"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61834BE1" w14:textId="77777777" w:rsidR="00E1421F" w:rsidRDefault="00E1421F">
            <w:r>
              <w:t>Productivity</w:t>
            </w:r>
          </w:p>
        </w:tc>
        <w:tc>
          <w:tcPr>
            <w:tcW w:w="8108" w:type="dxa"/>
            <w:tcBorders>
              <w:top w:val="single" w:sz="4" w:space="0" w:color="auto"/>
              <w:left w:val="single" w:sz="4" w:space="0" w:color="auto"/>
              <w:bottom w:val="single" w:sz="4" w:space="0" w:color="auto"/>
              <w:right w:val="single" w:sz="4" w:space="0" w:color="auto"/>
            </w:tcBorders>
            <w:hideMark/>
          </w:tcPr>
          <w:p w14:paraId="0502E184" w14:textId="77777777" w:rsidR="00E1421F" w:rsidRPr="003560B8" w:rsidRDefault="00E1421F" w:rsidP="00C82DE4">
            <w:pPr>
              <w:pStyle w:val="DotStyle1"/>
            </w:pPr>
            <w:r w:rsidRPr="003560B8">
              <w:t>Small amounts of extra water are valuable in boosting food for fish and waterbirds. Timing for delivery is important and should be considered in terms of the intended outcome e.g. linking timing with needs for fish populations at different life-stages or waterbird breeding.</w:t>
            </w:r>
          </w:p>
          <w:p w14:paraId="5A923235" w14:textId="026BB0C7" w:rsidR="00E1421F" w:rsidRPr="003560B8" w:rsidRDefault="00E1421F" w:rsidP="00C82DE4">
            <w:pPr>
              <w:pStyle w:val="DotStyle1"/>
            </w:pPr>
            <w:r w:rsidRPr="003560B8">
              <w:t>Likely to get more benefit (higher quality food resources) if water can be reconnected from floodplain and backwaters following the initial inundation</w:t>
            </w:r>
            <w:r w:rsidR="000C773B">
              <w:t>. T</w:t>
            </w:r>
            <w:r w:rsidRPr="003560B8">
              <w:t>iming is critical to avoid blackwater events.</w:t>
            </w:r>
          </w:p>
        </w:tc>
      </w:tr>
      <w:tr w:rsidR="00E1421F" w14:paraId="6643AFCF" w14:textId="77777777" w:rsidTr="00B82787">
        <w:tc>
          <w:tcPr>
            <w:tcW w:w="1673"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6589BC50" w14:textId="77777777" w:rsidR="00E1421F" w:rsidRDefault="00E1421F">
            <w:r>
              <w:t>Fish</w:t>
            </w:r>
          </w:p>
        </w:tc>
        <w:tc>
          <w:tcPr>
            <w:tcW w:w="8108" w:type="dxa"/>
            <w:tcBorders>
              <w:top w:val="single" w:sz="4" w:space="0" w:color="auto"/>
              <w:left w:val="single" w:sz="4" w:space="0" w:color="auto"/>
              <w:bottom w:val="single" w:sz="4" w:space="0" w:color="auto"/>
              <w:right w:val="single" w:sz="4" w:space="0" w:color="auto"/>
            </w:tcBorders>
            <w:hideMark/>
          </w:tcPr>
          <w:p w14:paraId="700A44EB" w14:textId="16BF3F88" w:rsidR="00E1421F" w:rsidRDefault="00E1421F" w:rsidP="00C82DE4">
            <w:pPr>
              <w:pStyle w:val="DotStyle1"/>
            </w:pPr>
            <w:r>
              <w:t>For fish outcomes</w:t>
            </w:r>
            <w:r w:rsidR="000C773B">
              <w:t>,</w:t>
            </w:r>
            <w:r>
              <w:t xml:space="preserve"> water for the environment should provide a range of hydraulic diversity </w:t>
            </w:r>
            <w:r w:rsidR="00304F2F">
              <w:t>(flow rate and depth)</w:t>
            </w:r>
            <w:r>
              <w:t xml:space="preserve"> and hydrological connectivity.</w:t>
            </w:r>
          </w:p>
          <w:p w14:paraId="5502CEE0" w14:textId="4D879807" w:rsidR="00E1421F" w:rsidRDefault="00E1421F" w:rsidP="00C82DE4">
            <w:pPr>
              <w:pStyle w:val="DotStyle1"/>
            </w:pPr>
            <w:r>
              <w:t>During drought conditions</w:t>
            </w:r>
            <w:r w:rsidR="000C773B">
              <w:t>, the</w:t>
            </w:r>
            <w:r>
              <w:t xml:space="preserve"> primary objective is to support native fish persistence</w:t>
            </w:r>
            <w:r w:rsidDel="000C773B">
              <w:t>,</w:t>
            </w:r>
            <w:r>
              <w:t xml:space="preserve"> includ</w:t>
            </w:r>
            <w:r w:rsidDel="000C773B">
              <w:t xml:space="preserve">ing </w:t>
            </w:r>
            <w:r>
              <w:t>base flows</w:t>
            </w:r>
            <w:r w:rsidR="000C773B">
              <w:t>.</w:t>
            </w:r>
            <w:r>
              <w:t xml:space="preserve"> </w:t>
            </w:r>
            <w:r w:rsidR="000C773B">
              <w:t>F</w:t>
            </w:r>
            <w:r>
              <w:t xml:space="preserve">resh flows </w:t>
            </w:r>
            <w:r w:rsidR="000C773B">
              <w:t xml:space="preserve">are important </w:t>
            </w:r>
            <w:r>
              <w:t>to maintain refuges, water quality and food availability.</w:t>
            </w:r>
          </w:p>
          <w:p w14:paraId="67C7499B" w14:textId="7E09A8D6" w:rsidR="00E1421F" w:rsidRDefault="00E1421F" w:rsidP="00C82DE4">
            <w:pPr>
              <w:pStyle w:val="DotStyle1"/>
            </w:pPr>
            <w:r>
              <w:t>After fish kills</w:t>
            </w:r>
            <w:r w:rsidR="003B7281">
              <w:t>,</w:t>
            </w:r>
            <w:r>
              <w:t xml:space="preserve"> it is critical to provide base flows and freshes to maintain refugia habitats, water quality and promote connectivity.</w:t>
            </w:r>
          </w:p>
          <w:p w14:paraId="635F9E2A" w14:textId="77777777" w:rsidR="00E1421F" w:rsidRDefault="00E1421F" w:rsidP="00C82DE4">
            <w:pPr>
              <w:pStyle w:val="DotStyle1"/>
            </w:pPr>
            <w:r>
              <w:t>For Golden perch, where possible spring and summer freshes or pulse events should be used to trigger spawning, recruitment and dispersal of young. Water for the environment should also aim to consider the large spatial scale in which this species operates, the need for hydrological and physical connectivity for all life stages.</w:t>
            </w:r>
          </w:p>
        </w:tc>
      </w:tr>
      <w:tr w:rsidR="00E1421F" w14:paraId="41EC27EB" w14:textId="77777777" w:rsidTr="00B82787">
        <w:tc>
          <w:tcPr>
            <w:tcW w:w="1673"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DBC9062" w14:textId="77777777" w:rsidR="00E1421F" w:rsidRDefault="00E1421F">
            <w:r>
              <w:t>Vegetation</w:t>
            </w:r>
          </w:p>
        </w:tc>
        <w:tc>
          <w:tcPr>
            <w:tcW w:w="8108" w:type="dxa"/>
            <w:tcBorders>
              <w:top w:val="single" w:sz="4" w:space="0" w:color="auto"/>
              <w:left w:val="single" w:sz="4" w:space="0" w:color="auto"/>
              <w:bottom w:val="single" w:sz="4" w:space="0" w:color="auto"/>
              <w:right w:val="single" w:sz="4" w:space="0" w:color="auto"/>
            </w:tcBorders>
            <w:hideMark/>
          </w:tcPr>
          <w:p w14:paraId="55FBE6ED" w14:textId="77777777" w:rsidR="00E1421F" w:rsidRDefault="00E1421F" w:rsidP="00C82DE4">
            <w:pPr>
              <w:pStyle w:val="DotStyle1"/>
            </w:pPr>
            <w:r>
              <w:t xml:space="preserve">All watering is likely to enhance plant species and vegetation community diversity at the Basin scale in some way. </w:t>
            </w:r>
          </w:p>
          <w:p w14:paraId="3BD6FE72" w14:textId="53EE810E" w:rsidR="00E1421F" w:rsidRDefault="00E1421F" w:rsidP="00C82DE4">
            <w:pPr>
              <w:pStyle w:val="DotStyle1"/>
            </w:pPr>
            <w:r>
              <w:t>Watering lignum once in every 1</w:t>
            </w:r>
            <w:r w:rsidR="00C82DE4">
              <w:t>-</w:t>
            </w:r>
            <w:r>
              <w:t>3 years assists in greatest clump size which supports waterbird recruitment.</w:t>
            </w:r>
          </w:p>
        </w:tc>
      </w:tr>
      <w:tr w:rsidR="00E1421F" w14:paraId="40633015" w14:textId="77777777" w:rsidTr="003560B8">
        <w:tc>
          <w:tcPr>
            <w:tcW w:w="1673"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1BC4274F" w14:textId="77777777" w:rsidR="00E1421F" w:rsidRDefault="00E1421F">
            <w:r>
              <w:t>Ecosystem and Biodiversity</w:t>
            </w:r>
          </w:p>
        </w:tc>
        <w:tc>
          <w:tcPr>
            <w:tcW w:w="8108" w:type="dxa"/>
            <w:tcBorders>
              <w:top w:val="single" w:sz="4" w:space="0" w:color="auto"/>
              <w:left w:val="single" w:sz="4" w:space="0" w:color="auto"/>
              <w:bottom w:val="single" w:sz="4" w:space="0" w:color="auto"/>
              <w:right w:val="single" w:sz="4" w:space="0" w:color="auto"/>
            </w:tcBorders>
            <w:hideMark/>
          </w:tcPr>
          <w:p w14:paraId="4F24B95F" w14:textId="77777777" w:rsidR="00E1421F" w:rsidRDefault="00E1421F" w:rsidP="00C82DE4">
            <w:pPr>
              <w:pStyle w:val="DotStyle1"/>
            </w:pPr>
            <w:r>
              <w:t>Repeated annual watering of some ecosystems can have negative impacts on vegetation diversity and the diversity of flora and fauna it supports.</w:t>
            </w:r>
          </w:p>
          <w:p w14:paraId="4EE849C7" w14:textId="77777777" w:rsidR="00E1421F" w:rsidRDefault="00E1421F" w:rsidP="00C82DE4">
            <w:pPr>
              <w:pStyle w:val="DotStyle1"/>
            </w:pPr>
            <w:r>
              <w:t>Multi-year watering approaches are encouraged to help maintain ecological character of Ramsar sites – consider both wetting and drying cycles and protecting biodiversity hotspots.</w:t>
            </w:r>
          </w:p>
        </w:tc>
      </w:tr>
      <w:tr w:rsidR="00E1421F" w14:paraId="62C9C0DD" w14:textId="77777777" w:rsidTr="003560B8">
        <w:tc>
          <w:tcPr>
            <w:tcW w:w="1673"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383878D6" w14:textId="77777777" w:rsidR="00E1421F" w:rsidRDefault="00E1421F">
            <w:r>
              <w:t>Waterbirds</w:t>
            </w:r>
          </w:p>
        </w:tc>
        <w:tc>
          <w:tcPr>
            <w:tcW w:w="8108" w:type="dxa"/>
            <w:tcBorders>
              <w:top w:val="single" w:sz="4" w:space="0" w:color="auto"/>
              <w:left w:val="single" w:sz="4" w:space="0" w:color="auto"/>
              <w:bottom w:val="single" w:sz="4" w:space="0" w:color="auto"/>
              <w:right w:val="single" w:sz="4" w:space="0" w:color="auto"/>
            </w:tcBorders>
            <w:hideMark/>
          </w:tcPr>
          <w:p w14:paraId="69807019" w14:textId="77777777" w:rsidR="00E1421F" w:rsidRDefault="00E1421F" w:rsidP="00C82DE4">
            <w:pPr>
              <w:pStyle w:val="DotStyle1"/>
            </w:pPr>
            <w:r>
              <w:t>Basin scale thinking and coordination in planning water for the environment is required for waterbird recruitment outcomes.</w:t>
            </w:r>
          </w:p>
          <w:p w14:paraId="7F595E6C" w14:textId="6505CFA2" w:rsidR="00E1421F" w:rsidRDefault="00E1421F" w:rsidP="00C82DE4">
            <w:pPr>
              <w:pStyle w:val="DotStyle1"/>
            </w:pPr>
            <w:r>
              <w:t>For maximum impact, water for the environment could be managed to support foraging habitat and stopover within the north and south route</w:t>
            </w:r>
            <w:r w:rsidR="00C4241F">
              <w:t>. This could occur both</w:t>
            </w:r>
            <w:r>
              <w:t xml:space="preserve"> between and during breeding events.</w:t>
            </w:r>
          </w:p>
          <w:p w14:paraId="2288524B" w14:textId="6098D72E" w:rsidR="00E1421F" w:rsidRDefault="00C4241F" w:rsidP="00C82DE4">
            <w:pPr>
              <w:pStyle w:val="DotStyle1"/>
            </w:pPr>
            <w:r>
              <w:t>Improvements in</w:t>
            </w:r>
            <w:r w:rsidR="00E1421F">
              <w:t xml:space="preserve"> productivity </w:t>
            </w:r>
            <w:r>
              <w:t>(see above) will help</w:t>
            </w:r>
            <w:r w:rsidR="00E1421F">
              <w:t xml:space="preserve"> ensure food sources are available to support waterbird breeding events and survival of juveniles.</w:t>
            </w:r>
          </w:p>
        </w:tc>
      </w:tr>
    </w:tbl>
    <w:p w14:paraId="70AAA51B" w14:textId="77777777" w:rsidR="00E1421F" w:rsidRDefault="00E1421F" w:rsidP="00E1421F">
      <w:pPr>
        <w:pStyle w:val="ListBullet"/>
        <w:numPr>
          <w:ilvl w:val="0"/>
          <w:numId w:val="0"/>
        </w:numPr>
        <w:spacing w:after="100" w:afterAutospacing="1"/>
        <w:rPr>
          <w:rFonts w:cstheme="minorHAnsi"/>
        </w:rPr>
      </w:pPr>
    </w:p>
    <w:p w14:paraId="14A7A82A" w14:textId="4E3C0C24" w:rsidR="00E1421F" w:rsidRDefault="00E1421F" w:rsidP="00E1421F">
      <w:pPr>
        <w:pStyle w:val="ListBullet"/>
        <w:numPr>
          <w:ilvl w:val="0"/>
          <w:numId w:val="0"/>
        </w:numPr>
        <w:spacing w:after="100" w:afterAutospacing="1"/>
        <w:rPr>
          <w:rFonts w:cstheme="minorHAnsi"/>
          <w:color w:val="auto"/>
        </w:rPr>
      </w:pPr>
      <w:r>
        <w:rPr>
          <w:rFonts w:cstheme="minorHAnsi"/>
        </w:rPr>
        <w:t xml:space="preserve">Reports for LTIM and EWKR: </w:t>
      </w:r>
      <w:hyperlink r:id="rId58" w:history="1">
        <w:r>
          <w:rPr>
            <w:rStyle w:val="Hyperlink"/>
            <w:rFonts w:cstheme="minorHAnsi"/>
          </w:rPr>
          <w:t>https://www.environment.gov.au/water/cewo/publications</w:t>
        </w:r>
      </w:hyperlink>
    </w:p>
    <w:p w14:paraId="55373E77" w14:textId="77777777" w:rsidR="00E1421F" w:rsidRDefault="00E1421F" w:rsidP="00E1421F">
      <w:pPr>
        <w:pStyle w:val="ListBullet"/>
        <w:numPr>
          <w:ilvl w:val="0"/>
          <w:numId w:val="0"/>
        </w:numPr>
        <w:spacing w:after="100" w:afterAutospacing="1"/>
        <w:rPr>
          <w:rFonts w:cstheme="minorHAnsi"/>
        </w:rPr>
      </w:pPr>
    </w:p>
    <w:p w14:paraId="35597AE3" w14:textId="77777777" w:rsidR="003560B8" w:rsidRDefault="003560B8">
      <w:pPr>
        <w:spacing w:after="0"/>
        <w:rPr>
          <w:b/>
          <w:color w:val="5F497A" w:themeColor="accent4" w:themeShade="BF"/>
          <w:sz w:val="36"/>
          <w:szCs w:val="36"/>
          <w:lang w:val="en-GB"/>
        </w:rPr>
      </w:pPr>
      <w:r>
        <w:br w:type="page"/>
      </w:r>
    </w:p>
    <w:p w14:paraId="2FDC839F" w14:textId="23970A5E" w:rsidR="00316F8D" w:rsidRDefault="00316F8D" w:rsidP="0057535E">
      <w:pPr>
        <w:pStyle w:val="Heading2"/>
      </w:pPr>
      <w:bookmarkStart w:id="38" w:name="_Toc44942518"/>
      <w:r>
        <w:lastRenderedPageBreak/>
        <w:t>Current conditions</w:t>
      </w:r>
      <w:r w:rsidR="00D52C0A">
        <w:t xml:space="preserve"> and </w:t>
      </w:r>
      <w:r>
        <w:t>seasonal outlook</w:t>
      </w:r>
      <w:bookmarkEnd w:id="38"/>
    </w:p>
    <w:p w14:paraId="17C26E64" w14:textId="03E9AE4A" w:rsidR="00BA7CE7" w:rsidRDefault="000E1690" w:rsidP="002A554D">
      <w:r>
        <w:t>The Murray-Darling Basin has just experienced the hottest and driest three</w:t>
      </w:r>
      <w:r w:rsidR="00567810">
        <w:t>-</w:t>
      </w:r>
      <w:r>
        <w:t>year period on record</w:t>
      </w:r>
      <w:r w:rsidR="00B055D2">
        <w:t xml:space="preserve">. This </w:t>
      </w:r>
      <w:r w:rsidR="008864A7">
        <w:t>has</w:t>
      </w:r>
      <w:r w:rsidR="00B055D2">
        <w:t xml:space="preserve"> </w:t>
      </w:r>
      <w:r>
        <w:t>significant</w:t>
      </w:r>
      <w:r w:rsidR="00EE2C49">
        <w:t>ly</w:t>
      </w:r>
      <w:r>
        <w:t xml:space="preserve"> impact</w:t>
      </w:r>
      <w:r w:rsidR="00EE2C49">
        <w:t xml:space="preserve">ed </w:t>
      </w:r>
      <w:r w:rsidR="008864A7">
        <w:t xml:space="preserve">water resources throughout the Basin, including </w:t>
      </w:r>
      <w:r w:rsidR="00EE2C49">
        <w:t xml:space="preserve">groundwater, soil moisture and water </w:t>
      </w:r>
      <w:r w:rsidR="00CF5D1E">
        <w:t xml:space="preserve">held </w:t>
      </w:r>
      <w:r w:rsidR="00E51C62">
        <w:t xml:space="preserve">in </w:t>
      </w:r>
      <w:r w:rsidR="00EE2C49">
        <w:t>storages.</w:t>
      </w:r>
      <w:r>
        <w:t xml:space="preserve"> </w:t>
      </w:r>
      <w:r w:rsidR="00EE2C49">
        <w:t xml:space="preserve"> </w:t>
      </w:r>
      <w:r w:rsidR="00CF5D1E">
        <w:t>At the end of 2019, dam levels were at record lows</w:t>
      </w:r>
      <w:r w:rsidR="008864A7">
        <w:t>. T</w:t>
      </w:r>
      <w:r w:rsidR="00DB6833">
        <w:t xml:space="preserve">he </w:t>
      </w:r>
      <w:r w:rsidR="00CF5D1E">
        <w:t>northern Basin</w:t>
      </w:r>
      <w:r w:rsidR="00DB6833">
        <w:t xml:space="preserve"> </w:t>
      </w:r>
      <w:r w:rsidR="008864A7">
        <w:t xml:space="preserve">held </w:t>
      </w:r>
      <w:r w:rsidR="00DB6833">
        <w:t>just over 5</w:t>
      </w:r>
      <w:r w:rsidR="0081343B">
        <w:t xml:space="preserve"> per cent</w:t>
      </w:r>
      <w:r w:rsidR="00DB6833">
        <w:t xml:space="preserve"> capacity</w:t>
      </w:r>
      <w:r w:rsidR="008864A7">
        <w:t xml:space="preserve"> on average</w:t>
      </w:r>
      <w:r w:rsidR="00DB6833">
        <w:t xml:space="preserve">, </w:t>
      </w:r>
      <w:r w:rsidR="008864A7">
        <w:t>which was</w:t>
      </w:r>
      <w:r w:rsidR="00DB6833">
        <w:t xml:space="preserve"> 7</w:t>
      </w:r>
      <w:r w:rsidR="0081343B">
        <w:t xml:space="preserve"> per cent</w:t>
      </w:r>
      <w:r w:rsidR="00DB6833">
        <w:t xml:space="preserve"> l</w:t>
      </w:r>
      <w:r w:rsidR="008864A7">
        <w:t>ess</w:t>
      </w:r>
      <w:r w:rsidR="00DB6833">
        <w:t xml:space="preserve"> than </w:t>
      </w:r>
      <w:r w:rsidR="008864A7">
        <w:t xml:space="preserve">the lowest levels </w:t>
      </w:r>
      <w:r w:rsidR="00DB6833">
        <w:t xml:space="preserve">during the </w:t>
      </w:r>
      <w:r w:rsidR="003239BF">
        <w:t>Millennium</w:t>
      </w:r>
      <w:r w:rsidR="00DB6833">
        <w:t xml:space="preserve"> </w:t>
      </w:r>
      <w:r w:rsidR="00BA7CE7">
        <w:t>D</w:t>
      </w:r>
      <w:r w:rsidR="00DB6833">
        <w:t>rought</w:t>
      </w:r>
      <w:r w:rsidR="00CF5D1E">
        <w:t xml:space="preserve">. </w:t>
      </w:r>
      <w:r w:rsidR="008864A7">
        <w:t>T</w:t>
      </w:r>
      <w:r w:rsidR="00DB6833">
        <w:t xml:space="preserve">he southern </w:t>
      </w:r>
      <w:r w:rsidR="0081343B">
        <w:t>B</w:t>
      </w:r>
      <w:r w:rsidR="00DB6833">
        <w:t xml:space="preserve">asin also experienced below average winter rainfall, </w:t>
      </w:r>
      <w:r w:rsidR="008864A7">
        <w:t xml:space="preserve">however </w:t>
      </w:r>
      <w:r w:rsidR="00DB6833">
        <w:t xml:space="preserve">total storage </w:t>
      </w:r>
      <w:r w:rsidR="00BA7CE7">
        <w:t xml:space="preserve">volumes were higher relative to the north and didn’t </w:t>
      </w:r>
      <w:r w:rsidR="008864A7">
        <w:t>fall</w:t>
      </w:r>
      <w:r w:rsidR="00BA7CE7">
        <w:t xml:space="preserve"> low</w:t>
      </w:r>
      <w:r w:rsidR="008864A7">
        <w:t>er</w:t>
      </w:r>
      <w:r w:rsidR="00BA7CE7" w:rsidDel="008864A7">
        <w:t xml:space="preserve"> </w:t>
      </w:r>
      <w:r w:rsidR="00BA7CE7">
        <w:t>th</w:t>
      </w:r>
      <w:r w:rsidR="008864A7">
        <w:t>an</w:t>
      </w:r>
      <w:r w:rsidR="00BA7CE7">
        <w:t xml:space="preserve"> Millennium Drought</w:t>
      </w:r>
      <w:r w:rsidR="008864A7">
        <w:t xml:space="preserve"> levels, despite some low water allocations</w:t>
      </w:r>
      <w:r w:rsidR="00BA7CE7">
        <w:t xml:space="preserve">.  </w:t>
      </w:r>
    </w:p>
    <w:p w14:paraId="5F2BF28E" w14:textId="0E9D0F3B" w:rsidR="00E51C62" w:rsidRDefault="00BA7CE7" w:rsidP="00BA7CE7">
      <w:r>
        <w:t xml:space="preserve">The ongoing dry conditions had a significant impact on rivers and </w:t>
      </w:r>
      <w:r w:rsidR="00EE2C49">
        <w:t>most northern rivers ceased to flow by December 2019</w:t>
      </w:r>
      <w:r w:rsidR="000219B8">
        <w:t>.</w:t>
      </w:r>
      <w:r w:rsidR="00EE2C49">
        <w:t xml:space="preserve"> </w:t>
      </w:r>
      <w:r>
        <w:t>While streamflows in the south w</w:t>
      </w:r>
      <w:r w:rsidR="00B0055F">
        <w:t>ere also</w:t>
      </w:r>
      <w:r>
        <w:t xml:space="preserve"> below average</w:t>
      </w:r>
      <w:r w:rsidR="00B0055F">
        <w:t xml:space="preserve">, </w:t>
      </w:r>
      <w:r w:rsidR="000219B8">
        <w:t>they</w:t>
      </w:r>
      <w:r w:rsidR="00B0055F">
        <w:t xml:space="preserve"> didn’t reach the same critical levels experienced in the north.</w:t>
      </w:r>
    </w:p>
    <w:p w14:paraId="4A55698A" w14:textId="53AA2103" w:rsidR="00EE2C49" w:rsidRDefault="00EE2C49" w:rsidP="002A554D">
      <w:r>
        <w:t>Above average rainfall</w:t>
      </w:r>
      <w:r w:rsidR="00B0055F">
        <w:t>, particularly in the north,</w:t>
      </w:r>
      <w:r>
        <w:t xml:space="preserve"> between January and April 2020 replenished surface soil moisture levels and flows </w:t>
      </w:r>
      <w:r w:rsidR="000219B8">
        <w:t>resumed temporarily</w:t>
      </w:r>
      <w:r>
        <w:t xml:space="preserve"> in some rivers. However</w:t>
      </w:r>
      <w:r w:rsidR="00AE3E4C">
        <w:t>,</w:t>
      </w:r>
      <w:r>
        <w:t xml:space="preserve"> there was </w:t>
      </w:r>
      <w:r w:rsidR="000219B8">
        <w:t>onl</w:t>
      </w:r>
      <w:r>
        <w:t xml:space="preserve">y limited </w:t>
      </w:r>
      <w:r w:rsidR="000219B8">
        <w:t>recovery</w:t>
      </w:r>
      <w:r>
        <w:t xml:space="preserve"> in critically low major water storage levels in the north of the basin. </w:t>
      </w:r>
      <w:r w:rsidR="000219B8">
        <w:t xml:space="preserve">This was reflected in the generally minor easing of northern NSW allocation restrictions. </w:t>
      </w:r>
      <w:r w:rsidR="00E51C62">
        <w:t xml:space="preserve">Many months of above average rainfall is needed to </w:t>
      </w:r>
      <w:r w:rsidR="000219B8">
        <w:t>substantially improve</w:t>
      </w:r>
      <w:r>
        <w:t xml:space="preserve"> water availability</w:t>
      </w:r>
      <w:r w:rsidR="000219B8">
        <w:t xml:space="preserve"> across the Basin</w:t>
      </w:r>
      <w:r>
        <w:t>.</w:t>
      </w:r>
    </w:p>
    <w:p w14:paraId="13C51B6F" w14:textId="54A1BDFC" w:rsidR="005C4442" w:rsidRDefault="005C4442" w:rsidP="002A554D">
      <w:r>
        <w:t xml:space="preserve">The harsh </w:t>
      </w:r>
      <w:r w:rsidR="00D31CD4">
        <w:t>conditions</w:t>
      </w:r>
      <w:r>
        <w:t xml:space="preserve"> over the past three years have had devastating impacts on the Basin’s ecology, with large-scale fish deaths, permanent waterholes drying up, limited waterbird breeding and declines in the health of some floodplain woodlands. Bushfires have also affected the upper reaches of some valleys, with significant amounts of ash being washed into waterways.</w:t>
      </w:r>
    </w:p>
    <w:p w14:paraId="480BEAAF" w14:textId="4A929BF8" w:rsidR="005C4442" w:rsidRDefault="005C4442" w:rsidP="002E3F6A">
      <w:r>
        <w:t>The recent rainfall and inflows ha</w:t>
      </w:r>
      <w:r w:rsidR="002E3F6A">
        <w:t>ve provided some relief. Flows reached Narran Lakes in early 2020 (which included Commonwealth water)</w:t>
      </w:r>
      <w:r w:rsidR="000219B8">
        <w:t>,</w:t>
      </w:r>
      <w:r w:rsidR="002E3F6A">
        <w:t xml:space="preserve"> provid</w:t>
      </w:r>
      <w:r w:rsidR="00CA22FC">
        <w:t>ing</w:t>
      </w:r>
      <w:r w:rsidR="002E3F6A">
        <w:t xml:space="preserve"> the first significant watering of this Ramsar-listed wetland since 2013. </w:t>
      </w:r>
      <w:r w:rsidR="00250AD2">
        <w:t xml:space="preserve">Unregulated flow events also delivered water to the Macquarie Marshes and Gwydir Wetlands. </w:t>
      </w:r>
      <w:r w:rsidR="000219B8">
        <w:t>Some inf</w:t>
      </w:r>
      <w:r w:rsidR="002E3F6A">
        <w:t xml:space="preserve">lows </w:t>
      </w:r>
      <w:r w:rsidR="000219B8">
        <w:t>to Menindee Lakes were released into</w:t>
      </w:r>
      <w:r w:rsidR="002E3F6A">
        <w:t xml:space="preserve"> the lower Darling</w:t>
      </w:r>
      <w:r w:rsidR="000219B8">
        <w:t>, connecting</w:t>
      </w:r>
      <w:r w:rsidR="002E3F6A">
        <w:t xml:space="preserve"> </w:t>
      </w:r>
      <w:r w:rsidR="000219B8">
        <w:t xml:space="preserve">to </w:t>
      </w:r>
      <w:r w:rsidR="002E3F6A">
        <w:t>the River Murray in April</w:t>
      </w:r>
      <w:r w:rsidR="000219B8">
        <w:t>. This</w:t>
      </w:r>
      <w:r w:rsidR="002E3F6A">
        <w:t xml:space="preserve"> was the first time in over two years there has been full connectivity of the Barwon−Darling River from Mungindi to </w:t>
      </w:r>
      <w:r w:rsidR="00A75338">
        <w:t>Wentworth</w:t>
      </w:r>
      <w:r w:rsidR="002E3F6A">
        <w:t>.</w:t>
      </w:r>
      <w:r w:rsidR="00A55918">
        <w:t xml:space="preserve"> Commonwealth water </w:t>
      </w:r>
      <w:r w:rsidR="00FB4385">
        <w:t xml:space="preserve">that </w:t>
      </w:r>
      <w:r w:rsidR="00A55918">
        <w:t xml:space="preserve">flowed </w:t>
      </w:r>
      <w:r w:rsidR="00FB4385">
        <w:t xml:space="preserve">from </w:t>
      </w:r>
      <w:r w:rsidR="00A55918">
        <w:t xml:space="preserve">the Culgoa and Warrego rivers contributed </w:t>
      </w:r>
      <w:r w:rsidR="00A75338">
        <w:t>to this</w:t>
      </w:r>
      <w:r w:rsidR="00250AD2">
        <w:t xml:space="preserve"> important</w:t>
      </w:r>
      <w:r w:rsidR="00A75338">
        <w:t xml:space="preserve"> first flush and </w:t>
      </w:r>
      <w:r w:rsidR="00250AD2">
        <w:t>connectivity</w:t>
      </w:r>
      <w:r w:rsidR="00A75338">
        <w:t xml:space="preserve"> event.  </w:t>
      </w:r>
    </w:p>
    <w:p w14:paraId="67F377CB" w14:textId="757655ED" w:rsidR="002E3F6A" w:rsidRDefault="002E3F6A" w:rsidP="002A554D">
      <w:r>
        <w:t xml:space="preserve">Water for the environment </w:t>
      </w:r>
      <w:r w:rsidR="00A75338">
        <w:t xml:space="preserve">in regulated </w:t>
      </w:r>
      <w:r w:rsidR="000219B8">
        <w:t xml:space="preserve">river </w:t>
      </w:r>
      <w:r w:rsidR="00A75338">
        <w:t xml:space="preserve">systems </w:t>
      </w:r>
      <w:r>
        <w:t>has played a</w:t>
      </w:r>
      <w:r w:rsidR="000219B8">
        <w:t>n important</w:t>
      </w:r>
      <w:r>
        <w:t xml:space="preserve"> role in maintaining key parts of the Basin’s environment over this period, including:</w:t>
      </w:r>
    </w:p>
    <w:p w14:paraId="1BDFBA56" w14:textId="175A0EFA" w:rsidR="002E3F6A" w:rsidRDefault="00E644AE" w:rsidP="00C82DE4">
      <w:pPr>
        <w:pStyle w:val="DotStyle1"/>
      </w:pPr>
      <w:r>
        <w:t>c</w:t>
      </w:r>
      <w:r w:rsidR="00AE3E4C">
        <w:t xml:space="preserve">onnecting and </w:t>
      </w:r>
      <w:r w:rsidR="002E3F6A">
        <w:t xml:space="preserve">replenishing waterholes </w:t>
      </w:r>
      <w:r w:rsidR="009860C3">
        <w:t xml:space="preserve">for native fish </w:t>
      </w:r>
      <w:r w:rsidR="002E3F6A">
        <w:t xml:space="preserve">in the </w:t>
      </w:r>
      <w:r w:rsidR="00337728">
        <w:t>Gwydir</w:t>
      </w:r>
    </w:p>
    <w:p w14:paraId="176B269A" w14:textId="1B5F2258" w:rsidR="002E3F6A" w:rsidRDefault="002E3F6A" w:rsidP="00C82DE4">
      <w:pPr>
        <w:pStyle w:val="DotStyle1"/>
      </w:pPr>
      <w:r>
        <w:t>maintaining</w:t>
      </w:r>
      <w:r w:rsidR="009860C3">
        <w:t xml:space="preserve"> the health of vegetation in the</w:t>
      </w:r>
      <w:r>
        <w:t xml:space="preserve"> core wetland habitats</w:t>
      </w:r>
      <w:r w:rsidR="009860C3">
        <w:t xml:space="preserve"> (and providing waterbird refuge habitat)</w:t>
      </w:r>
      <w:r>
        <w:t xml:space="preserve"> in the </w:t>
      </w:r>
      <w:r w:rsidRPr="009860C3">
        <w:t xml:space="preserve">lower Lachlan, </w:t>
      </w:r>
      <w:r w:rsidR="004E3ED8" w:rsidRPr="00617448">
        <w:t>the mid and lower Murrumbidgee</w:t>
      </w:r>
      <w:r w:rsidR="004E3ED8">
        <w:t xml:space="preserve"> floodplains</w:t>
      </w:r>
      <w:r w:rsidR="009860C3" w:rsidRPr="00617448">
        <w:t>,</w:t>
      </w:r>
      <w:r w:rsidR="009860C3">
        <w:t xml:space="preserve"> Barmah-Millewa Forest and Gunbower Forest</w:t>
      </w:r>
    </w:p>
    <w:p w14:paraId="192AF90C" w14:textId="296FFF73" w:rsidR="002E3F6A" w:rsidRDefault="002E3F6A" w:rsidP="00C82DE4">
      <w:pPr>
        <w:pStyle w:val="DotStyle1"/>
      </w:pPr>
      <w:r>
        <w:t xml:space="preserve">providing elevated baseflows and freshes </w:t>
      </w:r>
      <w:r w:rsidR="009860C3">
        <w:t xml:space="preserve">to support riverbank vegetation, native fish and other animals that live </w:t>
      </w:r>
      <w:r>
        <w:t>in northern Victorian rivers, the creeks and rivers</w:t>
      </w:r>
      <w:r w:rsidR="009860C3">
        <w:t xml:space="preserve"> of</w:t>
      </w:r>
      <w:r>
        <w:t xml:space="preserve"> Mid-Murray (</w:t>
      </w:r>
      <w:r w:rsidR="009860C3">
        <w:t>Barmah-Millewa, Gunbower and the</w:t>
      </w:r>
      <w:r>
        <w:t xml:space="preserve"> Edward-Wakool system</w:t>
      </w:r>
      <w:r w:rsidR="009860C3">
        <w:t>)</w:t>
      </w:r>
      <w:r>
        <w:t xml:space="preserve">, and </w:t>
      </w:r>
      <w:r w:rsidR="009860C3">
        <w:t xml:space="preserve">down the entire length of the River Murray </w:t>
      </w:r>
    </w:p>
    <w:p w14:paraId="08B0AB26" w14:textId="709A92D0" w:rsidR="009860C3" w:rsidRDefault="009860C3" w:rsidP="00C82DE4">
      <w:pPr>
        <w:pStyle w:val="DotStyle1"/>
      </w:pPr>
      <w:r>
        <w:t>maintaining the Lower Lakes at levels that avoid the exposure of acid sulphate soils</w:t>
      </w:r>
    </w:p>
    <w:p w14:paraId="74FF39F5" w14:textId="41E043B0" w:rsidR="009860C3" w:rsidRDefault="009860C3" w:rsidP="00C82DE4">
      <w:pPr>
        <w:pStyle w:val="DotStyle1"/>
      </w:pPr>
      <w:r>
        <w:t>maintaining a continuous flow into the Coorong to export salt, support fish migration and freshen the estuarine habitat.</w:t>
      </w:r>
    </w:p>
    <w:p w14:paraId="3E0E2A70" w14:textId="77777777" w:rsidR="00FA4F72" w:rsidRDefault="00FA4F72">
      <w:pPr>
        <w:spacing w:after="0"/>
        <w:rPr>
          <w:b/>
          <w:color w:val="5F497A" w:themeColor="accent4" w:themeShade="BF"/>
          <w:sz w:val="36"/>
          <w:szCs w:val="36"/>
          <w:lang w:val="en-GB"/>
        </w:rPr>
      </w:pPr>
      <w:bookmarkStart w:id="39" w:name="_Ref43725123"/>
      <w:r>
        <w:br w:type="page"/>
      </w:r>
    </w:p>
    <w:p w14:paraId="4A577DE1" w14:textId="34DA8431" w:rsidR="00316F8D" w:rsidRPr="006821CB" w:rsidRDefault="00316F8D" w:rsidP="0057535E">
      <w:pPr>
        <w:pStyle w:val="Heading2"/>
      </w:pPr>
      <w:bookmarkStart w:id="40" w:name="_Toc44942519"/>
      <w:r w:rsidRPr="006821CB">
        <w:lastRenderedPageBreak/>
        <w:t>Basin Annual Environmental Watering Priorities</w:t>
      </w:r>
      <w:bookmarkEnd w:id="39"/>
      <w:bookmarkEnd w:id="40"/>
    </w:p>
    <w:p w14:paraId="022A613E" w14:textId="69CBAEBD" w:rsidR="005C0005" w:rsidRDefault="005C0005" w:rsidP="00242262">
      <w:r>
        <w:t xml:space="preserve">Prior to the start of each new water year, the </w:t>
      </w:r>
      <w:r w:rsidR="00C82DE4">
        <w:t xml:space="preserve">MDBA </w:t>
      </w:r>
      <w:r>
        <w:t>must publish Basin annual environmental watering priorities</w:t>
      </w:r>
      <w:r w:rsidR="005424AF">
        <w:t xml:space="preserve"> (</w:t>
      </w:r>
      <w:r w:rsidR="005424AF">
        <w:fldChar w:fldCharType="begin"/>
      </w:r>
      <w:r w:rsidR="005424AF" w:rsidRPr="0083509E">
        <w:instrText xml:space="preserve"> REF _Ref44922097 \h </w:instrText>
      </w:r>
      <w:r w:rsidR="0083509E">
        <w:instrText xml:space="preserve"> \* MERGEFORMAT </w:instrText>
      </w:r>
      <w:r w:rsidR="005424AF">
        <w:fldChar w:fldCharType="separate"/>
      </w:r>
      <w:r w:rsidR="001B2852" w:rsidRPr="001B2852">
        <w:t>Table</w:t>
      </w:r>
      <w:r w:rsidR="001B2852" w:rsidRPr="009924FC">
        <w:rPr>
          <w:b/>
        </w:rPr>
        <w:t xml:space="preserve"> </w:t>
      </w:r>
      <w:r w:rsidR="001B2852" w:rsidRPr="001B2852">
        <w:rPr>
          <w:noProof/>
        </w:rPr>
        <w:t>3</w:t>
      </w:r>
      <w:r w:rsidR="005424AF">
        <w:fldChar w:fldCharType="end"/>
      </w:r>
      <w:r w:rsidR="005424AF">
        <w:t>)</w:t>
      </w:r>
      <w:r>
        <w:t xml:space="preserve">. They are developed having regard to the annual environmental watering priorities developed by Basin States for each catchment. </w:t>
      </w:r>
      <w:r w:rsidR="00FE1C9B">
        <w:t>All environmental watering, including by the CEWH, must be undertaken having regard to these priorities.</w:t>
      </w:r>
    </w:p>
    <w:p w14:paraId="1984EAB2" w14:textId="69F3D06D" w:rsidR="00316F8D" w:rsidRPr="006821CB" w:rsidRDefault="005C0005" w:rsidP="00242262">
      <w:r>
        <w:t xml:space="preserve">Commonwealth environmental watering actions will seek to contribute to the Basin annual environmental watering priorities, subject to conditions as they unfold throughout the year. </w:t>
      </w:r>
    </w:p>
    <w:p w14:paraId="2B655F8F" w14:textId="0587A59F" w:rsidR="009924FC" w:rsidRDefault="009924FC" w:rsidP="009924FC">
      <w:bookmarkStart w:id="41" w:name="_Ref44922097"/>
      <w:r w:rsidRPr="009924FC">
        <w:rPr>
          <w:b/>
        </w:rPr>
        <w:t xml:space="preserve">Table </w:t>
      </w:r>
      <w:r w:rsidRPr="009924FC">
        <w:rPr>
          <w:b/>
        </w:rPr>
        <w:fldChar w:fldCharType="begin"/>
      </w:r>
      <w:r w:rsidRPr="009924FC">
        <w:rPr>
          <w:b/>
        </w:rPr>
        <w:instrText xml:space="preserve"> SEQ Table \* ARABIC </w:instrText>
      </w:r>
      <w:r w:rsidRPr="009924FC">
        <w:rPr>
          <w:b/>
        </w:rPr>
        <w:fldChar w:fldCharType="separate"/>
      </w:r>
      <w:r w:rsidR="001B2852">
        <w:rPr>
          <w:b/>
          <w:noProof/>
        </w:rPr>
        <w:t>3</w:t>
      </w:r>
      <w:r w:rsidRPr="009924FC">
        <w:rPr>
          <w:b/>
        </w:rPr>
        <w:fldChar w:fldCharType="end"/>
      </w:r>
      <w:bookmarkEnd w:id="41"/>
      <w:r>
        <w:t xml:space="preserve">: </w:t>
      </w:r>
      <w:r w:rsidR="00D45B6B">
        <w:t>Basin annual environmental watering priorities 2020-21</w:t>
      </w:r>
    </w:p>
    <w:tbl>
      <w:tblPr>
        <w:tblStyle w:val="TableGrid"/>
        <w:tblW w:w="9918" w:type="dxa"/>
        <w:tblLook w:val="04A0" w:firstRow="1" w:lastRow="0" w:firstColumn="1" w:lastColumn="0" w:noHBand="0" w:noVBand="1"/>
      </w:tblPr>
      <w:tblGrid>
        <w:gridCol w:w="1838"/>
        <w:gridCol w:w="4040"/>
        <w:gridCol w:w="4040"/>
      </w:tblGrid>
      <w:tr w:rsidR="009924FC" w14:paraId="0FF9B2EB" w14:textId="77777777" w:rsidTr="009924FC">
        <w:trPr>
          <w:cnfStyle w:val="100000000000" w:firstRow="1" w:lastRow="0" w:firstColumn="0" w:lastColumn="0" w:oddVBand="0" w:evenVBand="0" w:oddHBand="0" w:evenHBand="0" w:firstRowFirstColumn="0" w:firstRowLastColumn="0" w:lastRowFirstColumn="0" w:lastRowLastColumn="0"/>
          <w:trHeight w:val="278"/>
        </w:trPr>
        <w:tc>
          <w:tcPr>
            <w:tcW w:w="1838" w:type="dxa"/>
            <w:shd w:val="clear" w:color="auto" w:fill="B6DDE8" w:themeFill="accent5" w:themeFillTint="66"/>
          </w:tcPr>
          <w:p w14:paraId="25FCF3DB" w14:textId="77777777" w:rsidR="009924FC" w:rsidRDefault="009924FC" w:rsidP="009924FC">
            <w:pPr>
              <w:spacing w:after="0"/>
              <w:contextualSpacing/>
            </w:pPr>
            <w:bookmarkStart w:id="42" w:name="_Hlk43905989"/>
          </w:p>
        </w:tc>
        <w:tc>
          <w:tcPr>
            <w:tcW w:w="4040" w:type="dxa"/>
            <w:shd w:val="clear" w:color="auto" w:fill="B6DDE8" w:themeFill="accent5" w:themeFillTint="66"/>
          </w:tcPr>
          <w:p w14:paraId="7423DF4A" w14:textId="77777777" w:rsidR="009924FC" w:rsidRPr="009924FC" w:rsidRDefault="009924FC" w:rsidP="009924FC">
            <w:pPr>
              <w:pStyle w:val="DotStyle1"/>
              <w:numPr>
                <w:ilvl w:val="0"/>
                <w:numId w:val="0"/>
              </w:numPr>
              <w:spacing w:after="0"/>
              <w:ind w:left="357" w:hanging="357"/>
              <w:contextualSpacing/>
              <w:jc w:val="center"/>
              <w:rPr>
                <w:b/>
                <w:sz w:val="21"/>
              </w:rPr>
            </w:pPr>
            <w:r w:rsidRPr="009924FC">
              <w:rPr>
                <w:b/>
                <w:sz w:val="21"/>
              </w:rPr>
              <w:t>Rolling, multi-year priorities</w:t>
            </w:r>
          </w:p>
        </w:tc>
        <w:tc>
          <w:tcPr>
            <w:tcW w:w="4040" w:type="dxa"/>
            <w:shd w:val="clear" w:color="auto" w:fill="B6DDE8" w:themeFill="accent5" w:themeFillTint="66"/>
          </w:tcPr>
          <w:p w14:paraId="1F3A05B5" w14:textId="0802834E" w:rsidR="009924FC" w:rsidRPr="009924FC" w:rsidRDefault="009924FC" w:rsidP="009924FC">
            <w:pPr>
              <w:pStyle w:val="DotStyle1"/>
              <w:numPr>
                <w:ilvl w:val="0"/>
                <w:numId w:val="0"/>
              </w:numPr>
              <w:spacing w:after="0"/>
              <w:ind w:left="357" w:hanging="357"/>
              <w:contextualSpacing/>
              <w:jc w:val="center"/>
              <w:rPr>
                <w:b/>
                <w:sz w:val="21"/>
              </w:rPr>
            </w:pPr>
            <w:r w:rsidRPr="009924FC">
              <w:rPr>
                <w:b/>
                <w:sz w:val="21"/>
              </w:rPr>
              <w:t xml:space="preserve">2020–21 annual </w:t>
            </w:r>
            <w:r w:rsidR="008B42F7">
              <w:rPr>
                <w:b/>
                <w:sz w:val="21"/>
              </w:rPr>
              <w:t>guidance</w:t>
            </w:r>
          </w:p>
        </w:tc>
      </w:tr>
      <w:tr w:rsidR="009924FC" w14:paraId="267A707C" w14:textId="77777777" w:rsidTr="009924FC">
        <w:trPr>
          <w:cnfStyle w:val="000000100000" w:firstRow="0" w:lastRow="0" w:firstColumn="0" w:lastColumn="0" w:oddVBand="0" w:evenVBand="0" w:oddHBand="1" w:evenHBand="0" w:firstRowFirstColumn="0" w:firstRowLastColumn="0" w:lastRowFirstColumn="0" w:lastRowLastColumn="0"/>
          <w:trHeight w:val="1278"/>
        </w:trPr>
        <w:tc>
          <w:tcPr>
            <w:tcW w:w="1838" w:type="dxa"/>
            <w:shd w:val="clear" w:color="auto" w:fill="B6DDE8" w:themeFill="accent5" w:themeFillTint="66"/>
          </w:tcPr>
          <w:p w14:paraId="7951A3C1" w14:textId="77777777" w:rsidR="009924FC" w:rsidRDefault="009924FC" w:rsidP="005B08BF">
            <w:r>
              <w:t>River flows and connectivity</w:t>
            </w:r>
          </w:p>
        </w:tc>
        <w:tc>
          <w:tcPr>
            <w:tcW w:w="4040" w:type="dxa"/>
          </w:tcPr>
          <w:p w14:paraId="4C0420C5" w14:textId="428BDFB5" w:rsidR="009924FC" w:rsidRPr="009924FC" w:rsidRDefault="009924FC" w:rsidP="009924FC">
            <w:pPr>
              <w:pStyle w:val="DotStyle1"/>
              <w:ind w:left="357" w:hanging="357"/>
              <w:contextualSpacing/>
              <w:rPr>
                <w:sz w:val="21"/>
              </w:rPr>
            </w:pPr>
            <w:r w:rsidRPr="009924FC">
              <w:rPr>
                <w:sz w:val="21"/>
              </w:rPr>
              <w:t xml:space="preserve">Support lateral and longitudinal connectivity along the river systems </w:t>
            </w:r>
          </w:p>
          <w:p w14:paraId="5569F092" w14:textId="0B11EA9D" w:rsidR="009924FC" w:rsidRPr="009924FC" w:rsidRDefault="009924FC" w:rsidP="009924FC">
            <w:pPr>
              <w:pStyle w:val="DotStyle1"/>
              <w:ind w:left="357" w:hanging="357"/>
              <w:contextualSpacing/>
              <w:rPr>
                <w:sz w:val="21"/>
              </w:rPr>
            </w:pPr>
            <w:r w:rsidRPr="009924FC">
              <w:rPr>
                <w:sz w:val="21"/>
              </w:rPr>
              <w:t>Support freshwater connectivity through the Lower Lakes, Coorong and Murray Mouth</w:t>
            </w:r>
          </w:p>
        </w:tc>
        <w:tc>
          <w:tcPr>
            <w:tcW w:w="4040" w:type="dxa"/>
          </w:tcPr>
          <w:p w14:paraId="5C3EE40F" w14:textId="77777777" w:rsidR="009924FC" w:rsidRPr="009924FC" w:rsidRDefault="009924FC" w:rsidP="009924FC">
            <w:pPr>
              <w:pStyle w:val="DotStyle1"/>
              <w:ind w:left="357" w:hanging="357"/>
              <w:contextualSpacing/>
              <w:rPr>
                <w:sz w:val="21"/>
              </w:rPr>
            </w:pPr>
            <w:r w:rsidRPr="009924FC">
              <w:rPr>
                <w:sz w:val="21"/>
              </w:rPr>
              <w:t>Protect drought refuges</w:t>
            </w:r>
          </w:p>
          <w:p w14:paraId="73BFF72D" w14:textId="77777777" w:rsidR="009924FC" w:rsidRPr="009924FC" w:rsidRDefault="009924FC" w:rsidP="009924FC">
            <w:pPr>
              <w:pStyle w:val="DotStyle1"/>
              <w:ind w:left="357" w:hanging="357"/>
              <w:contextualSpacing/>
              <w:rPr>
                <w:sz w:val="21"/>
              </w:rPr>
            </w:pPr>
            <w:r w:rsidRPr="009924FC">
              <w:rPr>
                <w:sz w:val="21"/>
              </w:rPr>
              <w:t>Build ecosystem resilience by providing or enhancing connectivity</w:t>
            </w:r>
          </w:p>
        </w:tc>
      </w:tr>
      <w:tr w:rsidR="009924FC" w14:paraId="0E72E759" w14:textId="77777777" w:rsidTr="009924FC">
        <w:trPr>
          <w:cnfStyle w:val="000000010000" w:firstRow="0" w:lastRow="0" w:firstColumn="0" w:lastColumn="0" w:oddVBand="0" w:evenVBand="0" w:oddHBand="0" w:evenHBand="1" w:firstRowFirstColumn="0" w:firstRowLastColumn="0" w:lastRowFirstColumn="0" w:lastRowLastColumn="0"/>
        </w:trPr>
        <w:tc>
          <w:tcPr>
            <w:tcW w:w="1838" w:type="dxa"/>
            <w:shd w:val="clear" w:color="auto" w:fill="B6DDE8" w:themeFill="accent5" w:themeFillTint="66"/>
          </w:tcPr>
          <w:p w14:paraId="423A17B1" w14:textId="77777777" w:rsidR="009924FC" w:rsidRDefault="009924FC" w:rsidP="005B08BF">
            <w:r>
              <w:t>Native vegetation</w:t>
            </w:r>
          </w:p>
        </w:tc>
        <w:tc>
          <w:tcPr>
            <w:tcW w:w="4040" w:type="dxa"/>
          </w:tcPr>
          <w:p w14:paraId="49ABC88D" w14:textId="77777777" w:rsidR="009924FC" w:rsidRPr="009924FC" w:rsidRDefault="009924FC" w:rsidP="009924FC">
            <w:pPr>
              <w:pStyle w:val="DotStyle1"/>
              <w:ind w:left="357" w:hanging="357"/>
              <w:contextualSpacing/>
              <w:rPr>
                <w:sz w:val="21"/>
              </w:rPr>
            </w:pPr>
            <w:r w:rsidRPr="009924FC">
              <w:rPr>
                <w:sz w:val="21"/>
              </w:rPr>
              <w:t>Allow opportunities for growth of non-woody wetland vegetation</w:t>
            </w:r>
          </w:p>
          <w:p w14:paraId="5E39AE99" w14:textId="77777777" w:rsidR="009924FC" w:rsidRPr="009924FC" w:rsidRDefault="009924FC" w:rsidP="009924FC">
            <w:pPr>
              <w:pStyle w:val="DotStyle1"/>
              <w:ind w:left="357" w:hanging="357"/>
              <w:contextualSpacing/>
              <w:rPr>
                <w:sz w:val="21"/>
              </w:rPr>
            </w:pPr>
            <w:r w:rsidRPr="009924FC">
              <w:rPr>
                <w:sz w:val="21"/>
              </w:rPr>
              <w:t>Allow opportunities for growth of non-woody riparian vegetation</w:t>
            </w:r>
          </w:p>
          <w:p w14:paraId="65EC1A91" w14:textId="0C29DA80" w:rsidR="009924FC" w:rsidRPr="009924FC" w:rsidRDefault="009924FC" w:rsidP="009924FC">
            <w:pPr>
              <w:pStyle w:val="DotStyle1"/>
              <w:ind w:left="357" w:hanging="357"/>
              <w:contextualSpacing/>
              <w:rPr>
                <w:sz w:val="21"/>
              </w:rPr>
            </w:pPr>
            <w:r w:rsidRPr="009924FC">
              <w:rPr>
                <w:sz w:val="21"/>
              </w:rPr>
              <w:t>Maintain the extent, improve the condition and promote recruitment of forests and woodlands</w:t>
            </w:r>
          </w:p>
          <w:p w14:paraId="2DC4179A" w14:textId="39F3B42E" w:rsidR="009924FC" w:rsidRPr="009924FC" w:rsidRDefault="009924FC" w:rsidP="009924FC">
            <w:pPr>
              <w:pStyle w:val="DotStyle1"/>
              <w:ind w:left="357" w:hanging="357"/>
              <w:contextualSpacing/>
              <w:rPr>
                <w:sz w:val="21"/>
              </w:rPr>
            </w:pPr>
            <w:r w:rsidRPr="009924FC">
              <w:rPr>
                <w:sz w:val="21"/>
              </w:rPr>
              <w:t>Maintain the extent and improve the condition of lignum shrublands</w:t>
            </w:r>
          </w:p>
          <w:p w14:paraId="56CA2A23" w14:textId="14AAB055" w:rsidR="009924FC" w:rsidRPr="009924FC" w:rsidRDefault="009924FC" w:rsidP="009924FC">
            <w:pPr>
              <w:pStyle w:val="DotStyle1"/>
              <w:ind w:left="357" w:hanging="357"/>
              <w:contextualSpacing/>
              <w:rPr>
                <w:sz w:val="21"/>
              </w:rPr>
            </w:pPr>
            <w:r w:rsidRPr="009924FC">
              <w:rPr>
                <w:sz w:val="21"/>
              </w:rPr>
              <w:t>Expand the extent and improve the condition of Moira grass in Barmah</w:t>
            </w:r>
            <w:r>
              <w:rPr>
                <w:sz w:val="21"/>
              </w:rPr>
              <w:noBreakHyphen/>
            </w:r>
            <w:r w:rsidRPr="009924FC">
              <w:rPr>
                <w:sz w:val="21"/>
              </w:rPr>
              <w:t>Millewa Forest</w:t>
            </w:r>
          </w:p>
          <w:p w14:paraId="24BF6D96" w14:textId="4A5938CC" w:rsidR="009924FC" w:rsidRPr="009924FC" w:rsidRDefault="009924FC" w:rsidP="009924FC">
            <w:pPr>
              <w:pStyle w:val="DotStyle1"/>
              <w:ind w:left="357" w:hanging="357"/>
              <w:contextualSpacing/>
              <w:rPr>
                <w:sz w:val="21"/>
              </w:rPr>
            </w:pPr>
            <w:r w:rsidRPr="009924FC">
              <w:rPr>
                <w:sz w:val="21"/>
              </w:rPr>
              <w:t>Expand the extent and improve resilience of ruppia in the southern Coorong</w:t>
            </w:r>
          </w:p>
        </w:tc>
        <w:tc>
          <w:tcPr>
            <w:tcW w:w="4040" w:type="dxa"/>
          </w:tcPr>
          <w:p w14:paraId="5EDBEA68" w14:textId="77777777" w:rsidR="009924FC" w:rsidRPr="009924FC" w:rsidRDefault="009924FC" w:rsidP="009924FC">
            <w:pPr>
              <w:pStyle w:val="DotStyle1"/>
              <w:ind w:left="357" w:hanging="357"/>
              <w:contextualSpacing/>
              <w:rPr>
                <w:sz w:val="21"/>
              </w:rPr>
            </w:pPr>
            <w:r w:rsidRPr="009924FC">
              <w:rPr>
                <w:sz w:val="21"/>
              </w:rPr>
              <w:t>Maintain core wetland vegetation and refuges</w:t>
            </w:r>
          </w:p>
          <w:p w14:paraId="35BC8C98" w14:textId="77777777" w:rsidR="009924FC" w:rsidRPr="009924FC" w:rsidRDefault="009924FC" w:rsidP="009924FC">
            <w:pPr>
              <w:pStyle w:val="DotStyle1"/>
              <w:ind w:left="357" w:hanging="357"/>
              <w:contextualSpacing/>
              <w:rPr>
                <w:sz w:val="21"/>
              </w:rPr>
            </w:pPr>
            <w:r w:rsidRPr="009924FC">
              <w:rPr>
                <w:sz w:val="21"/>
              </w:rPr>
              <w:t>Avoid critical loss and (where possible) improve vegetation condition in areas where drought conditions persist</w:t>
            </w:r>
          </w:p>
          <w:p w14:paraId="1D6A83E1" w14:textId="77777777" w:rsidR="009924FC" w:rsidRPr="009924FC" w:rsidRDefault="009924FC" w:rsidP="009924FC">
            <w:pPr>
              <w:pStyle w:val="DotStyle1"/>
              <w:ind w:left="357" w:hanging="357"/>
              <w:contextualSpacing/>
              <w:rPr>
                <w:sz w:val="21"/>
              </w:rPr>
            </w:pPr>
            <w:r w:rsidRPr="009924FC">
              <w:rPr>
                <w:sz w:val="21"/>
              </w:rPr>
              <w:t>Support and build on watering events that have happened in previous years</w:t>
            </w:r>
          </w:p>
          <w:p w14:paraId="1A520E5B" w14:textId="77777777" w:rsidR="009924FC" w:rsidRPr="009924FC" w:rsidRDefault="009924FC" w:rsidP="009924FC">
            <w:pPr>
              <w:pStyle w:val="DotStyle1"/>
              <w:ind w:left="357" w:hanging="357"/>
              <w:contextualSpacing/>
              <w:rPr>
                <w:sz w:val="21"/>
              </w:rPr>
            </w:pPr>
            <w:r w:rsidRPr="009924FC">
              <w:rPr>
                <w:sz w:val="21"/>
              </w:rPr>
              <w:t>Provide follow-up watering to consolidate improvement in lignum communities at Narran Lakes</w:t>
            </w:r>
          </w:p>
          <w:p w14:paraId="58FD74B3" w14:textId="77777777" w:rsidR="009924FC" w:rsidRPr="009924FC" w:rsidRDefault="009924FC" w:rsidP="009924FC">
            <w:pPr>
              <w:pStyle w:val="DotStyle1"/>
              <w:ind w:left="357" w:hanging="357"/>
              <w:contextualSpacing/>
              <w:rPr>
                <w:iCs/>
                <w:sz w:val="21"/>
              </w:rPr>
            </w:pPr>
            <w:r w:rsidRPr="009924FC">
              <w:rPr>
                <w:iCs/>
                <w:sz w:val="21"/>
              </w:rPr>
              <w:t>Support growth of ruppia in the southern Coorong</w:t>
            </w:r>
          </w:p>
        </w:tc>
      </w:tr>
      <w:tr w:rsidR="009924FC" w14:paraId="6B2E768C" w14:textId="77777777" w:rsidTr="009924FC">
        <w:trPr>
          <w:cnfStyle w:val="000000100000" w:firstRow="0" w:lastRow="0" w:firstColumn="0" w:lastColumn="0" w:oddVBand="0" w:evenVBand="0" w:oddHBand="1" w:evenHBand="0" w:firstRowFirstColumn="0" w:firstRowLastColumn="0" w:lastRowFirstColumn="0" w:lastRowLastColumn="0"/>
        </w:trPr>
        <w:tc>
          <w:tcPr>
            <w:tcW w:w="1838" w:type="dxa"/>
            <w:shd w:val="clear" w:color="auto" w:fill="B6DDE8" w:themeFill="accent5" w:themeFillTint="66"/>
          </w:tcPr>
          <w:p w14:paraId="6921FF85" w14:textId="77777777" w:rsidR="009924FC" w:rsidRDefault="009924FC" w:rsidP="005B08BF">
            <w:r>
              <w:t>Waterbirds</w:t>
            </w:r>
          </w:p>
        </w:tc>
        <w:tc>
          <w:tcPr>
            <w:tcW w:w="4040" w:type="dxa"/>
          </w:tcPr>
          <w:p w14:paraId="58548860" w14:textId="3CB02104" w:rsidR="009924FC" w:rsidRPr="009924FC" w:rsidRDefault="009924FC" w:rsidP="009924FC">
            <w:pPr>
              <w:pStyle w:val="DotStyle1"/>
              <w:ind w:left="357" w:hanging="357"/>
              <w:contextualSpacing/>
              <w:rPr>
                <w:sz w:val="21"/>
              </w:rPr>
            </w:pPr>
            <w:r w:rsidRPr="009924FC">
              <w:rPr>
                <w:sz w:val="21"/>
              </w:rPr>
              <w:t>Maintain the diversity and improve the abundance of the Basin’s waterbird population</w:t>
            </w:r>
          </w:p>
          <w:p w14:paraId="3E00BCC4" w14:textId="7107A0EA" w:rsidR="009924FC" w:rsidRPr="009924FC" w:rsidRDefault="009924FC" w:rsidP="009924FC">
            <w:pPr>
              <w:pStyle w:val="DotStyle1"/>
              <w:ind w:left="357" w:hanging="357"/>
              <w:contextualSpacing/>
              <w:rPr>
                <w:sz w:val="21"/>
              </w:rPr>
            </w:pPr>
            <w:r w:rsidRPr="009924FC">
              <w:rPr>
                <w:sz w:val="21"/>
              </w:rPr>
              <w:t xml:space="preserve">Maintain the abundance of key shorebird species in the Lower Lakes and Coorong </w:t>
            </w:r>
          </w:p>
        </w:tc>
        <w:tc>
          <w:tcPr>
            <w:tcW w:w="4040" w:type="dxa"/>
          </w:tcPr>
          <w:p w14:paraId="3D5688A4" w14:textId="77777777" w:rsidR="009924FC" w:rsidRPr="009924FC" w:rsidRDefault="009924FC" w:rsidP="009924FC">
            <w:pPr>
              <w:pStyle w:val="DotStyle1"/>
              <w:ind w:left="357" w:hanging="357"/>
              <w:contextualSpacing/>
              <w:rPr>
                <w:sz w:val="21"/>
              </w:rPr>
            </w:pPr>
            <w:r w:rsidRPr="009924FC">
              <w:rPr>
                <w:sz w:val="21"/>
              </w:rPr>
              <w:t xml:space="preserve">Provide </w:t>
            </w:r>
            <w:r w:rsidRPr="009924FC" w:rsidDel="008547B7">
              <w:rPr>
                <w:sz w:val="21"/>
              </w:rPr>
              <w:t>follow</w:t>
            </w:r>
            <w:r w:rsidRPr="009924FC">
              <w:rPr>
                <w:sz w:val="21"/>
              </w:rPr>
              <w:t>-</w:t>
            </w:r>
            <w:r w:rsidRPr="009924FC" w:rsidDel="008547B7">
              <w:rPr>
                <w:sz w:val="21"/>
              </w:rPr>
              <w:t xml:space="preserve">up watering to build resilience in the </w:t>
            </w:r>
            <w:r w:rsidRPr="009924FC">
              <w:rPr>
                <w:sz w:val="21"/>
              </w:rPr>
              <w:t xml:space="preserve">Narran Lakes </w:t>
            </w:r>
            <w:r w:rsidRPr="009924FC" w:rsidDel="008547B7">
              <w:rPr>
                <w:sz w:val="21"/>
              </w:rPr>
              <w:t xml:space="preserve">system or </w:t>
            </w:r>
            <w:r w:rsidRPr="009924FC">
              <w:rPr>
                <w:sz w:val="21"/>
              </w:rPr>
              <w:t xml:space="preserve">to </w:t>
            </w:r>
            <w:r w:rsidRPr="009924FC" w:rsidDel="008547B7">
              <w:rPr>
                <w:sz w:val="21"/>
              </w:rPr>
              <w:t>support waterbird breeding and recruitment</w:t>
            </w:r>
          </w:p>
          <w:p w14:paraId="3BC4C276" w14:textId="77777777" w:rsidR="009924FC" w:rsidRPr="009924FC" w:rsidRDefault="009924FC" w:rsidP="009924FC">
            <w:pPr>
              <w:pStyle w:val="DotStyle1"/>
              <w:ind w:left="357" w:hanging="357"/>
              <w:contextualSpacing/>
              <w:rPr>
                <w:sz w:val="21"/>
              </w:rPr>
            </w:pPr>
            <w:r w:rsidRPr="009924FC">
              <w:rPr>
                <w:sz w:val="21"/>
              </w:rPr>
              <w:t>Provide water to the Macquarie Marshes to support waterbird habitat</w:t>
            </w:r>
          </w:p>
          <w:p w14:paraId="0664FC44" w14:textId="77777777" w:rsidR="009924FC" w:rsidRPr="009924FC" w:rsidRDefault="009924FC" w:rsidP="009924FC">
            <w:pPr>
              <w:pStyle w:val="DotStyle1"/>
              <w:ind w:left="357" w:hanging="357"/>
              <w:contextualSpacing/>
              <w:rPr>
                <w:sz w:val="21"/>
              </w:rPr>
            </w:pPr>
            <w:r w:rsidRPr="009924FC">
              <w:rPr>
                <w:sz w:val="21"/>
              </w:rPr>
              <w:t>Support productive shorebird habitat and foraging resource availability in the Coorong, Lower Lakes and Murray-Mouth</w:t>
            </w:r>
          </w:p>
        </w:tc>
      </w:tr>
      <w:tr w:rsidR="009924FC" w14:paraId="7B2498CC" w14:textId="77777777" w:rsidTr="009924FC">
        <w:trPr>
          <w:cnfStyle w:val="000000010000" w:firstRow="0" w:lastRow="0" w:firstColumn="0" w:lastColumn="0" w:oddVBand="0" w:evenVBand="0" w:oddHBand="0" w:evenHBand="1" w:firstRowFirstColumn="0" w:firstRowLastColumn="0" w:lastRowFirstColumn="0" w:lastRowLastColumn="0"/>
        </w:trPr>
        <w:tc>
          <w:tcPr>
            <w:tcW w:w="1838" w:type="dxa"/>
            <w:shd w:val="clear" w:color="auto" w:fill="B6DDE8" w:themeFill="accent5" w:themeFillTint="66"/>
          </w:tcPr>
          <w:p w14:paraId="7086BB63" w14:textId="77777777" w:rsidR="009924FC" w:rsidRDefault="009924FC" w:rsidP="005B08BF">
            <w:r>
              <w:t>Native fish</w:t>
            </w:r>
          </w:p>
        </w:tc>
        <w:tc>
          <w:tcPr>
            <w:tcW w:w="4040" w:type="dxa"/>
          </w:tcPr>
          <w:p w14:paraId="7BCFBFC5" w14:textId="5BD21185" w:rsidR="009924FC" w:rsidRPr="009924FC" w:rsidRDefault="009924FC" w:rsidP="009924FC">
            <w:pPr>
              <w:pStyle w:val="DotStyle1"/>
              <w:ind w:left="357" w:hanging="357"/>
              <w:contextualSpacing/>
              <w:rPr>
                <w:sz w:val="21"/>
              </w:rPr>
            </w:pPr>
            <w:r w:rsidRPr="009924FC">
              <w:rPr>
                <w:sz w:val="21"/>
              </w:rPr>
              <w:t>Support Basin-scale population recovery of native fish by reinstating flows that promote key ecological processes across local, regional and system scales in the Southern-connected Basin</w:t>
            </w:r>
          </w:p>
          <w:p w14:paraId="6BFCDDAD" w14:textId="4BEF58FD" w:rsidR="009924FC" w:rsidRPr="009924FC" w:rsidRDefault="009924FC" w:rsidP="009924FC">
            <w:pPr>
              <w:pStyle w:val="DotStyle1"/>
              <w:ind w:left="357" w:hanging="357"/>
              <w:contextualSpacing/>
              <w:rPr>
                <w:sz w:val="21"/>
              </w:rPr>
            </w:pPr>
            <w:r w:rsidRPr="009924FC">
              <w:rPr>
                <w:sz w:val="21"/>
              </w:rPr>
              <w:t>Improve flow regimes and connectivity in northern Basin rivers to support native fish populations across local, regional and system scales</w:t>
            </w:r>
          </w:p>
          <w:p w14:paraId="5ED13274" w14:textId="3835C724" w:rsidR="009924FC" w:rsidRPr="009924FC" w:rsidRDefault="009924FC" w:rsidP="009924FC">
            <w:pPr>
              <w:pStyle w:val="DotStyle1"/>
              <w:ind w:left="357" w:hanging="357"/>
              <w:contextualSpacing/>
              <w:rPr>
                <w:sz w:val="21"/>
              </w:rPr>
            </w:pPr>
            <w:r w:rsidRPr="009924FC">
              <w:rPr>
                <w:sz w:val="21"/>
              </w:rPr>
              <w:t>Support viable populations of threatened native fish, maximise opportunities for range expansion and establish new populations</w:t>
            </w:r>
          </w:p>
        </w:tc>
        <w:tc>
          <w:tcPr>
            <w:tcW w:w="4040" w:type="dxa"/>
          </w:tcPr>
          <w:p w14:paraId="1A8968AE" w14:textId="77777777" w:rsidR="009924FC" w:rsidRPr="009924FC" w:rsidRDefault="009924FC" w:rsidP="009924FC">
            <w:pPr>
              <w:pStyle w:val="DotStyle1"/>
              <w:ind w:left="357" w:hanging="357"/>
              <w:contextualSpacing/>
              <w:rPr>
                <w:sz w:val="21"/>
              </w:rPr>
            </w:pPr>
            <w:r w:rsidRPr="009924FC">
              <w:rPr>
                <w:sz w:val="21"/>
              </w:rPr>
              <w:t>Protect or provide flows that protect existing populations, support connectivity and sustain short-lived species recruitment</w:t>
            </w:r>
          </w:p>
          <w:p w14:paraId="24819B34" w14:textId="77777777" w:rsidR="009924FC" w:rsidRPr="009924FC" w:rsidRDefault="009924FC" w:rsidP="009924FC">
            <w:pPr>
              <w:pStyle w:val="DotStyle1"/>
              <w:ind w:left="357" w:hanging="357"/>
              <w:contextualSpacing/>
              <w:rPr>
                <w:sz w:val="21"/>
              </w:rPr>
            </w:pPr>
            <w:r w:rsidRPr="009924FC">
              <w:rPr>
                <w:sz w:val="21"/>
              </w:rPr>
              <w:t>Support recruitment from breeding events and subsequent dispersal of new recruits in the northern Basin</w:t>
            </w:r>
          </w:p>
          <w:p w14:paraId="1B2BD204" w14:textId="77777777" w:rsidR="009924FC" w:rsidRPr="009924FC" w:rsidRDefault="009924FC" w:rsidP="009924FC">
            <w:pPr>
              <w:pStyle w:val="DotStyle1"/>
              <w:ind w:left="357" w:hanging="357"/>
              <w:contextualSpacing/>
              <w:rPr>
                <w:sz w:val="21"/>
              </w:rPr>
            </w:pPr>
            <w:r w:rsidRPr="009924FC">
              <w:rPr>
                <w:sz w:val="21"/>
              </w:rPr>
              <w:t>Maintain existing populations and ensure hydrological integrity of flows</w:t>
            </w:r>
            <w:r w:rsidRPr="009924FC" w:rsidDel="00B05281">
              <w:rPr>
                <w:sz w:val="21"/>
              </w:rPr>
              <w:t xml:space="preserve"> </w:t>
            </w:r>
            <w:r w:rsidRPr="009924FC">
              <w:rPr>
                <w:sz w:val="21"/>
              </w:rPr>
              <w:t>in the southern Basin rivers</w:t>
            </w:r>
          </w:p>
        </w:tc>
      </w:tr>
    </w:tbl>
    <w:p w14:paraId="59D6F189" w14:textId="77777777" w:rsidR="009924FC" w:rsidRDefault="009924FC">
      <w:pPr>
        <w:spacing w:after="0"/>
        <w:rPr>
          <w:rFonts w:ascii="Calibri" w:hAnsi="Calibri" w:cs="Calibri"/>
          <w:i/>
          <w:color w:val="5F497A" w:themeColor="accent4" w:themeShade="BF"/>
          <w:sz w:val="21"/>
          <w:szCs w:val="22"/>
          <w:lang w:val="en-GB" w:eastAsia="en-US"/>
        </w:rPr>
      </w:pPr>
      <w:r>
        <w:rPr>
          <w:sz w:val="21"/>
        </w:rPr>
        <w:br w:type="page"/>
      </w:r>
    </w:p>
    <w:p w14:paraId="24F4849B" w14:textId="608EE531" w:rsidR="007D474E" w:rsidRDefault="00316F8D" w:rsidP="0057535E">
      <w:pPr>
        <w:pStyle w:val="Heading2"/>
      </w:pPr>
      <w:bookmarkStart w:id="43" w:name="_Ref43725146"/>
      <w:bookmarkStart w:id="44" w:name="_Toc44942520"/>
      <w:bookmarkEnd w:id="42"/>
      <w:r w:rsidRPr="0003686A">
        <w:lastRenderedPageBreak/>
        <w:t xml:space="preserve">First Nations </w:t>
      </w:r>
      <w:r>
        <w:t>e</w:t>
      </w:r>
      <w:r w:rsidRPr="0003686A">
        <w:t xml:space="preserve">nvironmental </w:t>
      </w:r>
      <w:r>
        <w:t>w</w:t>
      </w:r>
      <w:r w:rsidRPr="0003686A">
        <w:t xml:space="preserve">ater </w:t>
      </w:r>
      <w:r>
        <w:t>o</w:t>
      </w:r>
      <w:r w:rsidRPr="0003686A">
        <w:t xml:space="preserve">bjectives and </w:t>
      </w:r>
      <w:r>
        <w:t>o</w:t>
      </w:r>
      <w:r w:rsidRPr="0003686A">
        <w:t>utcomes</w:t>
      </w:r>
      <w:bookmarkEnd w:id="43"/>
      <w:bookmarkEnd w:id="44"/>
    </w:p>
    <w:p w14:paraId="6ADFD54D" w14:textId="77777777" w:rsidR="00A561DC" w:rsidRDefault="0021416A" w:rsidP="0021416A">
      <w:pPr>
        <w:rPr>
          <w:lang w:val="en-GB"/>
        </w:rPr>
      </w:pPr>
      <w:r w:rsidRPr="0021416A">
        <w:rPr>
          <w:lang w:val="en-GB"/>
        </w:rPr>
        <w:t>First Nations environmental watering outcomes describe tangible benefits experienced by First Nations’ people from the delivery of water for the environment on Country. These benefits can include</w:t>
      </w:r>
      <w:r w:rsidR="00A561DC">
        <w:rPr>
          <w:lang w:val="en-GB"/>
        </w:rPr>
        <w:t>:</w:t>
      </w:r>
    </w:p>
    <w:p w14:paraId="044B7888" w14:textId="022572C5" w:rsidR="00A561DC" w:rsidRDefault="0021416A" w:rsidP="00182619">
      <w:pPr>
        <w:pStyle w:val="DotStyle1"/>
      </w:pPr>
      <w:r w:rsidRPr="0021416A">
        <w:t xml:space="preserve">healthy rivers and wetlands that sustain Country in a way that allows for populations of culturally significant species to thrive, </w:t>
      </w:r>
    </w:p>
    <w:p w14:paraId="1B6C2EFF" w14:textId="60A1B538" w:rsidR="00A561DC" w:rsidRDefault="0021416A" w:rsidP="00182619">
      <w:pPr>
        <w:pStyle w:val="DotStyle1"/>
      </w:pPr>
      <w:r w:rsidRPr="0021416A">
        <w:t>the improved health of</w:t>
      </w:r>
      <w:r w:rsidR="005F1011">
        <w:t xml:space="preserve"> culturally</w:t>
      </w:r>
      <w:r w:rsidRPr="0021416A">
        <w:t xml:space="preserve"> important places</w:t>
      </w:r>
      <w:r w:rsidR="005F1011">
        <w:t xml:space="preserve"> through seasonally appropriate flows.</w:t>
      </w:r>
    </w:p>
    <w:p w14:paraId="74C56F63" w14:textId="70285BCD" w:rsidR="0021416A" w:rsidRPr="0021416A" w:rsidRDefault="0021416A" w:rsidP="0021416A">
      <w:pPr>
        <w:rPr>
          <w:lang w:val="en-GB"/>
        </w:rPr>
      </w:pPr>
      <w:r w:rsidRPr="0021416A">
        <w:rPr>
          <w:lang w:val="en-GB"/>
        </w:rPr>
        <w:t xml:space="preserve">Achieving First Nation environmental watering outcomes is therefore essential, to ensure First Nation peoples' health, wellbeing and cultural resilience. </w:t>
      </w:r>
    </w:p>
    <w:p w14:paraId="203037B5" w14:textId="14AB6719" w:rsidR="00A561DC" w:rsidRDefault="0021416A" w:rsidP="0021416A">
      <w:pPr>
        <w:rPr>
          <w:lang w:val="en-GB"/>
        </w:rPr>
      </w:pPr>
      <w:r w:rsidRPr="0021416A">
        <w:rPr>
          <w:lang w:val="en-GB"/>
        </w:rPr>
        <w:t xml:space="preserve">The below advice on environmental water objectives for the </w:t>
      </w:r>
      <w:r w:rsidR="0081343B">
        <w:rPr>
          <w:lang w:val="en-GB"/>
        </w:rPr>
        <w:t>n</w:t>
      </w:r>
      <w:r w:rsidRPr="0021416A">
        <w:rPr>
          <w:lang w:val="en-GB"/>
        </w:rPr>
        <w:t xml:space="preserve">orthern and </w:t>
      </w:r>
      <w:r w:rsidR="0081343B">
        <w:rPr>
          <w:lang w:val="en-GB"/>
        </w:rPr>
        <w:t>s</w:t>
      </w:r>
      <w:r w:rsidRPr="0021416A">
        <w:rPr>
          <w:lang w:val="en-GB"/>
        </w:rPr>
        <w:t xml:space="preserve">outhern Basin have been provided directly by NBAN and MLDRIN through the First Nations Environmental Watering Guidance project. This information has been collected through the collaborative efforts of representatives from 16 Nations across the </w:t>
      </w:r>
      <w:r w:rsidR="0081343B">
        <w:rPr>
          <w:lang w:val="en-GB"/>
        </w:rPr>
        <w:t>s</w:t>
      </w:r>
      <w:r w:rsidRPr="0021416A">
        <w:rPr>
          <w:lang w:val="en-GB"/>
        </w:rPr>
        <w:t xml:space="preserve">outhern Basin and 16 Nations from the Northern Basin. </w:t>
      </w:r>
    </w:p>
    <w:p w14:paraId="554F2ABD" w14:textId="4899C7C4" w:rsidR="0021416A" w:rsidRPr="0021416A" w:rsidRDefault="0021416A" w:rsidP="0021416A">
      <w:pPr>
        <w:rPr>
          <w:lang w:val="en-GB"/>
        </w:rPr>
      </w:pPr>
      <w:r w:rsidRPr="0021416A">
        <w:rPr>
          <w:lang w:val="en-GB"/>
        </w:rPr>
        <w:t>MLDRIN and NBAN developed their own guidance</w:t>
      </w:r>
      <w:r w:rsidR="00A561DC">
        <w:rPr>
          <w:lang w:val="en-GB"/>
        </w:rPr>
        <w:t>,</w:t>
      </w:r>
      <w:r w:rsidRPr="0021416A">
        <w:rPr>
          <w:lang w:val="en-GB"/>
        </w:rPr>
        <w:t xml:space="preserve"> using different approaches to reflect the differences in climate, water management and cultural diversity in the northern and southern Basin. In recognition that First Nations cannot prioritise one species over another, NBAN identified indicator species that reflect the health of Country. MLDRIN identified shared priorities for waterways and places in need of environmental water, improved flows and connectivity, vegetation, waterbirds and fish and threats to the cultural health of Country for environmental water planning in 2020–21.  </w:t>
      </w:r>
      <w:r w:rsidR="00714DB0">
        <w:rPr>
          <w:lang w:val="en-GB"/>
        </w:rPr>
        <w:t>E</w:t>
      </w:r>
      <w:r w:rsidRPr="0021416A">
        <w:rPr>
          <w:lang w:val="en-GB"/>
        </w:rPr>
        <w:t xml:space="preserve">nvironmental flows will aim to contribute to these objectives where possible.  </w:t>
      </w:r>
    </w:p>
    <w:p w14:paraId="5AD4567D" w14:textId="466E7E73" w:rsidR="00182619" w:rsidRPr="00182619" w:rsidRDefault="0021416A" w:rsidP="00182619">
      <w:pPr>
        <w:rPr>
          <w:lang w:val="en-GB"/>
        </w:rPr>
      </w:pPr>
      <w:r w:rsidRPr="0021416A">
        <w:rPr>
          <w:lang w:val="en-GB"/>
        </w:rPr>
        <w:t>These objectives represent a great wealth of information</w:t>
      </w:r>
      <w:r w:rsidR="00A561DC">
        <w:rPr>
          <w:lang w:val="en-GB"/>
        </w:rPr>
        <w:t>. H</w:t>
      </w:r>
      <w:r w:rsidRPr="0021416A">
        <w:rPr>
          <w:lang w:val="en-GB"/>
        </w:rPr>
        <w:t>owever</w:t>
      </w:r>
      <w:r w:rsidR="00182619">
        <w:rPr>
          <w:lang w:val="en-GB"/>
        </w:rPr>
        <w:t>,</w:t>
      </w:r>
      <w:r w:rsidRPr="0021416A">
        <w:rPr>
          <w:lang w:val="en-GB"/>
        </w:rPr>
        <w:t xml:space="preserve"> they are not fully representative of </w:t>
      </w:r>
      <w:r w:rsidR="00714DB0">
        <w:rPr>
          <w:lang w:val="en-GB"/>
        </w:rPr>
        <w:t xml:space="preserve">all </w:t>
      </w:r>
      <w:r w:rsidRPr="0021416A">
        <w:rPr>
          <w:lang w:val="en-GB"/>
        </w:rPr>
        <w:t xml:space="preserve">the Nations in the Basin and do not </w:t>
      </w:r>
      <w:r w:rsidR="00A561DC">
        <w:rPr>
          <w:lang w:val="en-GB"/>
        </w:rPr>
        <w:t>capture</w:t>
      </w:r>
      <w:r w:rsidR="00A561DC" w:rsidRPr="0021416A">
        <w:rPr>
          <w:lang w:val="en-GB"/>
        </w:rPr>
        <w:t xml:space="preserve"> </w:t>
      </w:r>
      <w:r w:rsidRPr="0021416A">
        <w:rPr>
          <w:lang w:val="en-GB"/>
        </w:rPr>
        <w:t xml:space="preserve">the detail, depth and complexity of Nations’ localised water-related objectives. The </w:t>
      </w:r>
      <w:r w:rsidR="00E275D2">
        <w:rPr>
          <w:lang w:val="en-GB"/>
        </w:rPr>
        <w:t xml:space="preserve">CEWH </w:t>
      </w:r>
      <w:r w:rsidRPr="0021416A">
        <w:rPr>
          <w:lang w:val="en-GB"/>
        </w:rPr>
        <w:t>is committed to continuing to strengthen engagement with all First Nations to support those Nations to articulate objectives for water management and shape water planning in a way that supports self-determination.</w:t>
      </w:r>
    </w:p>
    <w:p w14:paraId="444F7CFE" w14:textId="6EF8D370" w:rsidR="00FD0B90" w:rsidRDefault="00FD0B90" w:rsidP="0057535E">
      <w:pPr>
        <w:pStyle w:val="Heading3"/>
      </w:pPr>
      <w:bookmarkStart w:id="45" w:name="_Toc44942521"/>
      <w:r w:rsidRPr="002A69B0">
        <w:t xml:space="preserve">Northern </w:t>
      </w:r>
      <w:r w:rsidR="00B4497F" w:rsidRPr="0063418C">
        <w:t>B</w:t>
      </w:r>
      <w:r w:rsidRPr="002A69B0">
        <w:t>asin</w:t>
      </w:r>
      <w:r w:rsidR="00B4497F" w:rsidRPr="0063418C">
        <w:t xml:space="preserve"> Priority Sites and Indicator Species</w:t>
      </w:r>
      <w:bookmarkEnd w:id="45"/>
      <w:r w:rsidR="00B4497F" w:rsidRPr="0063418C">
        <w:t xml:space="preserve"> </w:t>
      </w:r>
      <w:r w:rsidRPr="0063418C">
        <w:t xml:space="preserve"> </w:t>
      </w:r>
    </w:p>
    <w:p w14:paraId="052E4B71" w14:textId="76578945" w:rsidR="00D0379F" w:rsidRPr="00D0379F" w:rsidRDefault="001D5953" w:rsidP="00D0379F">
      <w:pPr>
        <w:rPr>
          <w:lang w:val="en-GB"/>
        </w:rPr>
      </w:pPr>
      <w:r>
        <w:rPr>
          <w:lang w:val="en-GB"/>
        </w:rPr>
        <w:fldChar w:fldCharType="begin"/>
      </w:r>
      <w:r>
        <w:rPr>
          <w:lang w:val="en-GB"/>
        </w:rPr>
        <w:instrText xml:space="preserve"> REF _Ref43727559 \h </w:instrText>
      </w:r>
      <w:r>
        <w:rPr>
          <w:lang w:val="en-GB"/>
        </w:rPr>
      </w:r>
      <w:r>
        <w:rPr>
          <w:lang w:val="en-GB"/>
        </w:rPr>
        <w:fldChar w:fldCharType="separate"/>
      </w:r>
      <w:r w:rsidR="001B2852" w:rsidRPr="00E644AE">
        <w:rPr>
          <w:szCs w:val="22"/>
        </w:rPr>
        <w:t xml:space="preserve">Table </w:t>
      </w:r>
      <w:r w:rsidR="001B2852">
        <w:rPr>
          <w:noProof/>
          <w:szCs w:val="22"/>
        </w:rPr>
        <w:t>4</w:t>
      </w:r>
      <w:r>
        <w:rPr>
          <w:lang w:val="en-GB"/>
        </w:rPr>
        <w:fldChar w:fldCharType="end"/>
      </w:r>
      <w:r w:rsidR="007D474E">
        <w:rPr>
          <w:lang w:val="en-GB"/>
        </w:rPr>
        <w:t xml:space="preserve"> </w:t>
      </w:r>
      <w:r>
        <w:rPr>
          <w:lang w:val="en-GB"/>
        </w:rPr>
        <w:t>lists</w:t>
      </w:r>
      <w:r w:rsidR="007D474E">
        <w:rPr>
          <w:lang w:val="en-GB"/>
        </w:rPr>
        <w:t xml:space="preserve"> priority sites and indicator species provided </w:t>
      </w:r>
      <w:r w:rsidR="00D075B1">
        <w:rPr>
          <w:lang w:val="en-GB"/>
        </w:rPr>
        <w:t>by</w:t>
      </w:r>
      <w:r w:rsidR="007D474E">
        <w:rPr>
          <w:lang w:val="en-GB"/>
        </w:rPr>
        <w:t xml:space="preserve"> representatives from NBAN for the </w:t>
      </w:r>
      <w:r w:rsidR="0081343B">
        <w:rPr>
          <w:lang w:val="en-GB"/>
        </w:rPr>
        <w:t>n</w:t>
      </w:r>
      <w:r w:rsidR="007D474E">
        <w:rPr>
          <w:lang w:val="en-GB"/>
        </w:rPr>
        <w:t xml:space="preserve">orthern Basin. These species are listed as they are species which are endemic to river stretches and if they were seen to be flourishing reflect the health of Country (NBAN Ltd, 2020). </w:t>
      </w:r>
    </w:p>
    <w:p w14:paraId="7E6A4B13" w14:textId="65EB6574" w:rsidR="002A69B0" w:rsidRPr="00E644AE" w:rsidRDefault="00E644AE" w:rsidP="00E644AE">
      <w:pPr>
        <w:pStyle w:val="Caption"/>
        <w:keepNext/>
        <w:spacing w:before="240" w:after="120"/>
        <w:jc w:val="left"/>
        <w:rPr>
          <w:b w:val="0"/>
          <w:sz w:val="22"/>
          <w:szCs w:val="22"/>
        </w:rPr>
      </w:pPr>
      <w:bookmarkStart w:id="46" w:name="_Ref43727559"/>
      <w:r w:rsidRPr="00E644AE">
        <w:rPr>
          <w:sz w:val="22"/>
          <w:szCs w:val="22"/>
        </w:rPr>
        <w:t xml:space="preserve">Table </w:t>
      </w:r>
      <w:r w:rsidRPr="00E644AE">
        <w:rPr>
          <w:sz w:val="22"/>
          <w:szCs w:val="22"/>
        </w:rPr>
        <w:fldChar w:fldCharType="begin"/>
      </w:r>
      <w:r w:rsidRPr="00E644AE">
        <w:rPr>
          <w:sz w:val="22"/>
          <w:szCs w:val="22"/>
        </w:rPr>
        <w:instrText xml:space="preserve"> SEQ Table \* ARABIC </w:instrText>
      </w:r>
      <w:r w:rsidRPr="00E644AE">
        <w:rPr>
          <w:sz w:val="22"/>
          <w:szCs w:val="22"/>
        </w:rPr>
        <w:fldChar w:fldCharType="separate"/>
      </w:r>
      <w:r w:rsidR="001B2852">
        <w:rPr>
          <w:noProof/>
          <w:sz w:val="22"/>
          <w:szCs w:val="22"/>
        </w:rPr>
        <w:t>4</w:t>
      </w:r>
      <w:r w:rsidRPr="00E644AE">
        <w:rPr>
          <w:sz w:val="22"/>
          <w:szCs w:val="22"/>
        </w:rPr>
        <w:fldChar w:fldCharType="end"/>
      </w:r>
      <w:bookmarkEnd w:id="46"/>
      <w:r w:rsidRPr="00E644AE">
        <w:rPr>
          <w:b w:val="0"/>
          <w:sz w:val="22"/>
          <w:szCs w:val="22"/>
        </w:rPr>
        <w:t>:</w:t>
      </w:r>
      <w:r w:rsidR="003D37C1" w:rsidRPr="00E644AE">
        <w:rPr>
          <w:b w:val="0"/>
          <w:sz w:val="22"/>
          <w:szCs w:val="22"/>
          <w:lang w:val="en-GB"/>
        </w:rPr>
        <w:t xml:space="preserve">  NBAN </w:t>
      </w:r>
      <w:r w:rsidR="007D474E">
        <w:rPr>
          <w:rFonts w:eastAsia="Calibri" w:cs="Calibri"/>
          <w:b w:val="0"/>
          <w:sz w:val="22"/>
          <w:szCs w:val="22"/>
        </w:rPr>
        <w:t xml:space="preserve">priority sites and </w:t>
      </w:r>
      <w:r w:rsidR="00FE7A5C" w:rsidRPr="00E644AE">
        <w:rPr>
          <w:rFonts w:eastAsia="Calibri" w:cs="Calibri"/>
          <w:b w:val="0"/>
          <w:sz w:val="22"/>
          <w:szCs w:val="22"/>
        </w:rPr>
        <w:t>indicator species</w:t>
      </w:r>
      <w:r w:rsidR="003D37C1" w:rsidRPr="00E644AE">
        <w:rPr>
          <w:rFonts w:eastAsia="Calibri" w:cs="Calibri"/>
          <w:b w:val="0"/>
          <w:sz w:val="22"/>
          <w:szCs w:val="22"/>
        </w:rPr>
        <w:t xml:space="preserve"> for the </w:t>
      </w:r>
      <w:r w:rsidR="0081343B">
        <w:rPr>
          <w:rFonts w:eastAsia="Calibri" w:cs="Calibri"/>
          <w:b w:val="0"/>
          <w:sz w:val="22"/>
          <w:szCs w:val="22"/>
        </w:rPr>
        <w:t>n</w:t>
      </w:r>
      <w:r w:rsidR="003D37C1" w:rsidRPr="00E644AE">
        <w:rPr>
          <w:rFonts w:eastAsia="Calibri" w:cs="Calibri"/>
          <w:b w:val="0"/>
          <w:sz w:val="22"/>
          <w:szCs w:val="22"/>
        </w:rPr>
        <w:t>orthern Basin</w:t>
      </w:r>
      <w:r w:rsidR="007D474E">
        <w:rPr>
          <w:rFonts w:eastAsia="Calibri" w:cs="Calibri"/>
          <w:b w:val="0"/>
          <w:sz w:val="22"/>
          <w:szCs w:val="22"/>
        </w:rPr>
        <w:t xml:space="preserve"> (NBAN Ltd, 2020). </w:t>
      </w:r>
    </w:p>
    <w:tbl>
      <w:tblPr>
        <w:tblStyle w:val="TableGrid"/>
        <w:tblW w:w="9781" w:type="dxa"/>
        <w:tblInd w:w="-5" w:type="dxa"/>
        <w:tblLook w:val="04A0" w:firstRow="1" w:lastRow="0" w:firstColumn="1" w:lastColumn="0" w:noHBand="0" w:noVBand="1"/>
      </w:tblPr>
      <w:tblGrid>
        <w:gridCol w:w="9781"/>
      </w:tblGrid>
      <w:tr w:rsidR="00F92A5E" w:rsidRPr="00334629" w14:paraId="07F39913" w14:textId="77777777" w:rsidTr="00885860">
        <w:trPr>
          <w:cnfStyle w:val="100000000000" w:firstRow="1" w:lastRow="0" w:firstColumn="0" w:lastColumn="0" w:oddVBand="0" w:evenVBand="0" w:oddHBand="0" w:evenHBand="0" w:firstRowFirstColumn="0" w:firstRowLastColumn="0" w:lastRowFirstColumn="0" w:lastRowLastColumn="0"/>
        </w:trPr>
        <w:tc>
          <w:tcPr>
            <w:tcW w:w="9781"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BB488DE" w14:textId="77777777" w:rsidR="00F92A5E" w:rsidRPr="005D6B24" w:rsidRDefault="00F92A5E" w:rsidP="005D6B24">
            <w:pPr>
              <w:pStyle w:val="Para0"/>
              <w:spacing w:after="120" w:line="240" w:lineRule="auto"/>
              <w:jc w:val="left"/>
              <w:rPr>
                <w:rFonts w:asciiTheme="minorHAnsi" w:hAnsiTheme="minorHAnsi" w:cstheme="minorHAnsi"/>
                <w:b/>
                <w:bCs/>
                <w:sz w:val="22"/>
                <w:szCs w:val="22"/>
              </w:rPr>
            </w:pPr>
            <w:r w:rsidRPr="005D6B24">
              <w:rPr>
                <w:rFonts w:asciiTheme="minorHAnsi" w:hAnsiTheme="minorHAnsi" w:cstheme="minorHAnsi"/>
                <w:b/>
                <w:bCs/>
                <w:sz w:val="22"/>
                <w:szCs w:val="22"/>
              </w:rPr>
              <w:t>River flows and Connectivity</w:t>
            </w:r>
          </w:p>
        </w:tc>
      </w:tr>
      <w:tr w:rsidR="00F92A5E" w:rsidRPr="00334629" w14:paraId="3FB17651" w14:textId="77777777" w:rsidTr="00885860">
        <w:trPr>
          <w:cnfStyle w:val="000000100000" w:firstRow="0" w:lastRow="0" w:firstColumn="0" w:lastColumn="0" w:oddVBand="0" w:evenVBand="0" w:oddHBand="1" w:evenHBand="0" w:firstRowFirstColumn="0" w:firstRowLastColumn="0" w:lastRowFirstColumn="0" w:lastRowLastColumn="0"/>
          <w:trHeight w:val="4667"/>
        </w:trPr>
        <w:tc>
          <w:tcPr>
            <w:tcW w:w="9781" w:type="dxa"/>
            <w:tcBorders>
              <w:top w:val="single" w:sz="4" w:space="0" w:color="auto"/>
              <w:left w:val="single" w:sz="4" w:space="0" w:color="auto"/>
              <w:bottom w:val="single" w:sz="4" w:space="0" w:color="auto"/>
              <w:right w:val="single" w:sz="4" w:space="0" w:color="auto"/>
            </w:tcBorders>
          </w:tcPr>
          <w:p w14:paraId="27441B16" w14:textId="77777777" w:rsidR="00F92A5E" w:rsidRPr="005D6B24" w:rsidRDefault="00F92A5E" w:rsidP="00CD6F25">
            <w:pPr>
              <w:pStyle w:val="Para0"/>
              <w:numPr>
                <w:ilvl w:val="0"/>
                <w:numId w:val="24"/>
              </w:numPr>
              <w:spacing w:after="60" w:line="240" w:lineRule="auto"/>
              <w:jc w:val="left"/>
              <w:rPr>
                <w:rFonts w:asciiTheme="minorHAnsi" w:hAnsiTheme="minorHAnsi" w:cstheme="minorHAnsi"/>
                <w:sz w:val="22"/>
                <w:szCs w:val="22"/>
              </w:rPr>
            </w:pPr>
            <w:r w:rsidRPr="005D6B24">
              <w:rPr>
                <w:rFonts w:asciiTheme="minorHAnsi" w:hAnsiTheme="minorHAnsi" w:cstheme="minorHAnsi"/>
                <w:sz w:val="22"/>
                <w:szCs w:val="22"/>
              </w:rPr>
              <w:t>Paroo River must connect to Darling River (when possible) for cultural obligations to other Nations.</w:t>
            </w:r>
          </w:p>
          <w:p w14:paraId="7ACFE2C5" w14:textId="77777777" w:rsidR="00F92A5E" w:rsidRPr="005D6B24" w:rsidRDefault="00F92A5E" w:rsidP="00CD6F25">
            <w:pPr>
              <w:pStyle w:val="Para0"/>
              <w:numPr>
                <w:ilvl w:val="0"/>
                <w:numId w:val="24"/>
              </w:numPr>
              <w:spacing w:after="60" w:line="240" w:lineRule="auto"/>
              <w:jc w:val="left"/>
              <w:rPr>
                <w:rFonts w:asciiTheme="minorHAnsi" w:hAnsiTheme="minorHAnsi" w:cstheme="minorHAnsi"/>
                <w:sz w:val="22"/>
                <w:szCs w:val="22"/>
              </w:rPr>
            </w:pPr>
            <w:r w:rsidRPr="005D6B24">
              <w:rPr>
                <w:rFonts w:asciiTheme="minorHAnsi" w:hAnsiTheme="minorHAnsi" w:cstheme="minorHAnsi"/>
                <w:sz w:val="22"/>
                <w:szCs w:val="22"/>
              </w:rPr>
              <w:t>Macquarie River must flow at all times.</w:t>
            </w:r>
          </w:p>
          <w:p w14:paraId="143BA039" w14:textId="77777777" w:rsidR="00F92A5E" w:rsidRPr="005D6B24" w:rsidRDefault="00F92A5E" w:rsidP="00CD6F25">
            <w:pPr>
              <w:pStyle w:val="Para0"/>
              <w:numPr>
                <w:ilvl w:val="0"/>
                <w:numId w:val="24"/>
              </w:numPr>
              <w:spacing w:after="60" w:line="240" w:lineRule="auto"/>
              <w:jc w:val="left"/>
              <w:rPr>
                <w:rFonts w:asciiTheme="minorHAnsi" w:hAnsiTheme="minorHAnsi" w:cstheme="minorHAnsi"/>
                <w:sz w:val="22"/>
                <w:szCs w:val="22"/>
              </w:rPr>
            </w:pPr>
            <w:r w:rsidRPr="005D6B24">
              <w:rPr>
                <w:rFonts w:asciiTheme="minorHAnsi" w:hAnsiTheme="minorHAnsi" w:cstheme="minorHAnsi"/>
                <w:sz w:val="22"/>
                <w:szCs w:val="22"/>
              </w:rPr>
              <w:t>Culgoa and Warrego Rivers need to connect to Gerrera and Tego Springs.</w:t>
            </w:r>
          </w:p>
          <w:p w14:paraId="603DCAC3" w14:textId="77777777" w:rsidR="00F92A5E" w:rsidRPr="005D6B24" w:rsidRDefault="00F92A5E" w:rsidP="00CD6F25">
            <w:pPr>
              <w:pStyle w:val="Para0"/>
              <w:numPr>
                <w:ilvl w:val="0"/>
                <w:numId w:val="24"/>
              </w:numPr>
              <w:spacing w:after="60" w:line="240" w:lineRule="auto"/>
              <w:jc w:val="left"/>
              <w:rPr>
                <w:rFonts w:asciiTheme="minorHAnsi" w:hAnsiTheme="minorHAnsi" w:cstheme="minorHAnsi"/>
                <w:sz w:val="22"/>
                <w:szCs w:val="22"/>
              </w:rPr>
            </w:pPr>
            <w:r w:rsidRPr="005D6B24">
              <w:rPr>
                <w:rFonts w:asciiTheme="minorHAnsi" w:hAnsiTheme="minorHAnsi" w:cstheme="minorHAnsi"/>
                <w:sz w:val="22"/>
                <w:szCs w:val="22"/>
              </w:rPr>
              <w:t>Sufficient flows to maintain abundant animal life in Narran Lakes.</w:t>
            </w:r>
          </w:p>
          <w:p w14:paraId="3D988D8E" w14:textId="4DF34EC7" w:rsidR="00F92A5E" w:rsidRPr="005D6B24" w:rsidRDefault="00F92A5E" w:rsidP="00CD6F25">
            <w:pPr>
              <w:pStyle w:val="Para0"/>
              <w:numPr>
                <w:ilvl w:val="0"/>
                <w:numId w:val="24"/>
              </w:numPr>
              <w:spacing w:after="60" w:line="240" w:lineRule="auto"/>
              <w:jc w:val="left"/>
              <w:rPr>
                <w:rFonts w:asciiTheme="minorHAnsi" w:hAnsiTheme="minorHAnsi" w:cstheme="minorHAnsi"/>
                <w:sz w:val="22"/>
                <w:szCs w:val="22"/>
              </w:rPr>
            </w:pPr>
            <w:r w:rsidRPr="005D6B24">
              <w:rPr>
                <w:rFonts w:asciiTheme="minorHAnsi" w:hAnsiTheme="minorHAnsi" w:cstheme="minorHAnsi"/>
                <w:sz w:val="22"/>
                <w:szCs w:val="22"/>
              </w:rPr>
              <w:t>Moonie River connection event to support fish recruitment (Catfish, Yellow</w:t>
            </w:r>
            <w:r w:rsidR="00A561DC">
              <w:rPr>
                <w:rFonts w:asciiTheme="minorHAnsi" w:hAnsiTheme="minorHAnsi" w:cstheme="minorHAnsi"/>
                <w:sz w:val="22"/>
                <w:szCs w:val="22"/>
              </w:rPr>
              <w:t>b</w:t>
            </w:r>
            <w:r w:rsidRPr="005D6B24">
              <w:rPr>
                <w:rFonts w:asciiTheme="minorHAnsi" w:hAnsiTheme="minorHAnsi" w:cstheme="minorHAnsi"/>
                <w:sz w:val="22"/>
                <w:szCs w:val="22"/>
              </w:rPr>
              <w:t>elly).</w:t>
            </w:r>
          </w:p>
          <w:p w14:paraId="207B5DF3" w14:textId="77777777" w:rsidR="00F92A5E" w:rsidRPr="005D6B24" w:rsidRDefault="00F92A5E" w:rsidP="00CD6F25">
            <w:pPr>
              <w:pStyle w:val="Para0"/>
              <w:numPr>
                <w:ilvl w:val="0"/>
                <w:numId w:val="24"/>
              </w:numPr>
              <w:spacing w:after="60" w:line="240" w:lineRule="auto"/>
              <w:jc w:val="left"/>
              <w:rPr>
                <w:rFonts w:asciiTheme="minorHAnsi" w:hAnsiTheme="minorHAnsi" w:cstheme="minorHAnsi"/>
                <w:sz w:val="22"/>
                <w:szCs w:val="22"/>
              </w:rPr>
            </w:pPr>
            <w:r w:rsidRPr="005D6B24">
              <w:rPr>
                <w:rFonts w:asciiTheme="minorHAnsi" w:hAnsiTheme="minorHAnsi" w:cstheme="minorHAnsi"/>
                <w:sz w:val="22"/>
                <w:szCs w:val="22"/>
              </w:rPr>
              <w:t xml:space="preserve">Nebine River to have water at all times for ephemeral lakes and creeks, gilguuys, waterholes and connection to billabongs. </w:t>
            </w:r>
          </w:p>
          <w:p w14:paraId="5ADDB2D8" w14:textId="77777777" w:rsidR="00F92A5E" w:rsidRDefault="00F92A5E" w:rsidP="00CD6F25">
            <w:pPr>
              <w:pStyle w:val="Para0"/>
              <w:numPr>
                <w:ilvl w:val="0"/>
                <w:numId w:val="24"/>
              </w:numPr>
              <w:spacing w:after="60" w:line="240" w:lineRule="auto"/>
              <w:jc w:val="left"/>
              <w:rPr>
                <w:rFonts w:asciiTheme="minorHAnsi" w:hAnsiTheme="minorHAnsi" w:cstheme="minorHAnsi"/>
                <w:sz w:val="22"/>
                <w:szCs w:val="22"/>
              </w:rPr>
            </w:pPr>
            <w:r w:rsidRPr="005D6B24">
              <w:rPr>
                <w:rFonts w:asciiTheme="minorHAnsi" w:hAnsiTheme="minorHAnsi" w:cstheme="minorHAnsi"/>
                <w:sz w:val="22"/>
                <w:szCs w:val="22"/>
              </w:rPr>
              <w:t>Lachlan River must flow at all times, and flow into Booberoi Creek and Willandra Creek.</w:t>
            </w:r>
          </w:p>
          <w:p w14:paraId="18C353AE" w14:textId="77777777" w:rsidR="005D6B24" w:rsidRPr="005D6B24" w:rsidRDefault="005D6B24" w:rsidP="0057535E">
            <w:pPr>
              <w:pStyle w:val="Heading5"/>
              <w:outlineLvl w:val="4"/>
            </w:pPr>
            <w:r w:rsidRPr="005D6B24">
              <w:t>Other flows and connectivity:</w:t>
            </w:r>
          </w:p>
          <w:p w14:paraId="186DFFBF" w14:textId="77777777" w:rsidR="005D6B24" w:rsidRPr="005D6B24" w:rsidRDefault="005D6B24" w:rsidP="00CD6F25">
            <w:pPr>
              <w:pStyle w:val="Para0"/>
              <w:numPr>
                <w:ilvl w:val="0"/>
                <w:numId w:val="24"/>
              </w:numPr>
              <w:spacing w:after="60" w:line="240" w:lineRule="auto"/>
              <w:jc w:val="left"/>
              <w:rPr>
                <w:rFonts w:asciiTheme="minorHAnsi" w:hAnsiTheme="minorHAnsi" w:cstheme="minorHAnsi"/>
                <w:sz w:val="22"/>
                <w:szCs w:val="22"/>
              </w:rPr>
            </w:pPr>
            <w:r w:rsidRPr="005D6B24">
              <w:rPr>
                <w:rFonts w:asciiTheme="minorHAnsi" w:hAnsiTheme="minorHAnsi" w:cstheme="minorHAnsi"/>
                <w:sz w:val="22"/>
                <w:szCs w:val="22"/>
              </w:rPr>
              <w:t>Reduction of river velocity to reduce erosion.</w:t>
            </w:r>
          </w:p>
          <w:p w14:paraId="4EF90B71" w14:textId="77777777" w:rsidR="005D6B24" w:rsidRPr="005D6B24" w:rsidRDefault="005D6B24" w:rsidP="00CD6F25">
            <w:pPr>
              <w:pStyle w:val="Para0"/>
              <w:numPr>
                <w:ilvl w:val="0"/>
                <w:numId w:val="24"/>
              </w:numPr>
              <w:spacing w:after="60" w:line="240" w:lineRule="auto"/>
              <w:jc w:val="left"/>
              <w:rPr>
                <w:rFonts w:asciiTheme="minorHAnsi" w:hAnsiTheme="minorHAnsi" w:cstheme="minorHAnsi"/>
                <w:sz w:val="22"/>
                <w:szCs w:val="22"/>
              </w:rPr>
            </w:pPr>
            <w:r w:rsidRPr="005D6B24">
              <w:rPr>
                <w:rFonts w:asciiTheme="minorHAnsi" w:hAnsiTheme="minorHAnsi" w:cstheme="minorHAnsi"/>
                <w:sz w:val="22"/>
                <w:szCs w:val="22"/>
              </w:rPr>
              <w:t>Adequate quantity to support flows. Release soft flows (more permanent)</w:t>
            </w:r>
          </w:p>
          <w:p w14:paraId="4338CBB6" w14:textId="77777777" w:rsidR="005D6B24" w:rsidRPr="005D6B24" w:rsidRDefault="005D6B24" w:rsidP="00CD6F25">
            <w:pPr>
              <w:pStyle w:val="Para0"/>
              <w:numPr>
                <w:ilvl w:val="0"/>
                <w:numId w:val="24"/>
              </w:numPr>
              <w:spacing w:after="60" w:line="240" w:lineRule="auto"/>
              <w:jc w:val="left"/>
              <w:rPr>
                <w:rFonts w:asciiTheme="minorHAnsi" w:hAnsiTheme="minorHAnsi" w:cstheme="minorHAnsi"/>
                <w:sz w:val="22"/>
                <w:szCs w:val="22"/>
              </w:rPr>
            </w:pPr>
            <w:r w:rsidRPr="005D6B24">
              <w:rPr>
                <w:rFonts w:asciiTheme="minorHAnsi" w:hAnsiTheme="minorHAnsi" w:cstheme="minorHAnsi"/>
                <w:sz w:val="22"/>
                <w:szCs w:val="22"/>
              </w:rPr>
              <w:t>Ephemeral creeks to flow for lateral connectivity.</w:t>
            </w:r>
          </w:p>
          <w:p w14:paraId="37CFF331" w14:textId="74EBE0E7" w:rsidR="005D6B24" w:rsidRPr="005D6B24" w:rsidRDefault="005D6B24" w:rsidP="00CD6F25">
            <w:pPr>
              <w:pStyle w:val="Para0"/>
              <w:numPr>
                <w:ilvl w:val="0"/>
                <w:numId w:val="24"/>
              </w:numPr>
              <w:spacing w:after="0" w:line="240" w:lineRule="auto"/>
              <w:jc w:val="left"/>
              <w:rPr>
                <w:rFonts w:asciiTheme="minorHAnsi" w:hAnsiTheme="minorHAnsi" w:cstheme="minorHAnsi"/>
                <w:sz w:val="22"/>
                <w:szCs w:val="22"/>
              </w:rPr>
            </w:pPr>
            <w:r w:rsidRPr="005D6B24">
              <w:rPr>
                <w:rFonts w:asciiTheme="minorHAnsi" w:hAnsiTheme="minorHAnsi" w:cstheme="minorHAnsi"/>
                <w:sz w:val="22"/>
                <w:szCs w:val="22"/>
              </w:rPr>
              <w:t>Water quality to ensure downstream river health.</w:t>
            </w:r>
          </w:p>
        </w:tc>
      </w:tr>
      <w:tr w:rsidR="00F92A5E" w:rsidRPr="00334629" w14:paraId="15EF6BFC" w14:textId="77777777" w:rsidTr="00885860">
        <w:trPr>
          <w:cnfStyle w:val="000000010000" w:firstRow="0" w:lastRow="0" w:firstColumn="0" w:lastColumn="0" w:oddVBand="0" w:evenVBand="0" w:oddHBand="0" w:evenHBand="1" w:firstRowFirstColumn="0" w:firstRowLastColumn="0" w:lastRowFirstColumn="0" w:lastRowLastColumn="0"/>
        </w:trPr>
        <w:tc>
          <w:tcPr>
            <w:tcW w:w="9781" w:type="dxa"/>
            <w:tcBorders>
              <w:top w:val="single" w:sz="4" w:space="0" w:color="auto"/>
              <w:bottom w:val="single" w:sz="4" w:space="0" w:color="auto"/>
            </w:tcBorders>
            <w:shd w:val="clear" w:color="auto" w:fill="B6DDE8" w:themeFill="accent5" w:themeFillTint="66"/>
          </w:tcPr>
          <w:p w14:paraId="56D3C9BE" w14:textId="77777777" w:rsidR="00F92A5E" w:rsidRPr="005D6B24" w:rsidRDefault="00F92A5E" w:rsidP="005D6B24">
            <w:pPr>
              <w:pStyle w:val="Para0"/>
              <w:spacing w:after="120" w:line="240" w:lineRule="auto"/>
              <w:jc w:val="left"/>
              <w:rPr>
                <w:rFonts w:asciiTheme="minorHAnsi" w:hAnsiTheme="minorHAnsi" w:cstheme="minorHAnsi"/>
                <w:b/>
                <w:bCs/>
                <w:sz w:val="22"/>
                <w:szCs w:val="22"/>
              </w:rPr>
            </w:pPr>
            <w:r w:rsidRPr="005D6B24">
              <w:rPr>
                <w:rFonts w:asciiTheme="minorHAnsi" w:hAnsiTheme="minorHAnsi" w:cstheme="minorHAnsi"/>
                <w:b/>
                <w:bCs/>
                <w:sz w:val="22"/>
                <w:szCs w:val="22"/>
              </w:rPr>
              <w:lastRenderedPageBreak/>
              <w:t>Native Vegetation</w:t>
            </w:r>
          </w:p>
        </w:tc>
      </w:tr>
      <w:tr w:rsidR="00F92A5E" w:rsidRPr="00334629" w14:paraId="060C846B" w14:textId="77777777" w:rsidTr="008A1B4D">
        <w:trPr>
          <w:cnfStyle w:val="000000100000" w:firstRow="0" w:lastRow="0" w:firstColumn="0" w:lastColumn="0" w:oddVBand="0" w:evenVBand="0" w:oddHBand="1" w:evenHBand="0" w:firstRowFirstColumn="0" w:firstRowLastColumn="0" w:lastRowFirstColumn="0" w:lastRowLastColumn="0"/>
        </w:trPr>
        <w:tc>
          <w:tcPr>
            <w:tcW w:w="9781" w:type="dxa"/>
            <w:tcBorders>
              <w:top w:val="single" w:sz="4" w:space="0" w:color="auto"/>
              <w:bottom w:val="single" w:sz="4" w:space="0" w:color="auto"/>
            </w:tcBorders>
          </w:tcPr>
          <w:p w14:paraId="1D0E5833" w14:textId="77777777" w:rsidR="00F92A5E" w:rsidRPr="005D6B24" w:rsidRDefault="00F92A5E" w:rsidP="0090639D">
            <w:pPr>
              <w:pStyle w:val="Para0"/>
              <w:spacing w:after="120" w:line="240" w:lineRule="auto"/>
              <w:jc w:val="left"/>
              <w:rPr>
                <w:rFonts w:asciiTheme="minorHAnsi" w:hAnsiTheme="minorHAnsi" w:cstheme="minorHAnsi"/>
                <w:sz w:val="22"/>
                <w:szCs w:val="22"/>
              </w:rPr>
            </w:pPr>
            <w:r w:rsidRPr="005D6B24">
              <w:rPr>
                <w:rStyle w:val="Heading5Char"/>
              </w:rPr>
              <w:t>Indicator species:</w:t>
            </w:r>
            <w:r w:rsidRPr="005D6B24">
              <w:rPr>
                <w:rFonts w:asciiTheme="minorHAnsi" w:hAnsiTheme="minorHAnsi" w:cstheme="minorHAnsi"/>
                <w:i/>
                <w:iCs/>
                <w:color w:val="5F497A" w:themeColor="accent4" w:themeShade="BF"/>
                <w:sz w:val="22"/>
                <w:szCs w:val="22"/>
              </w:rPr>
              <w:t xml:space="preserve"> </w:t>
            </w:r>
            <w:r w:rsidRPr="005D6B24">
              <w:rPr>
                <w:rFonts w:asciiTheme="minorHAnsi" w:hAnsiTheme="minorHAnsi" w:cstheme="minorHAnsi"/>
                <w:sz w:val="22"/>
                <w:szCs w:val="22"/>
              </w:rPr>
              <w:t>Murray Lily, Lignum, Red Gum, Bullrush, Box Tree, Native Grasses, Mitchell Grass, Kangaroo Grass, Nardoo, Sedges, Native Spinach, Duckweed, Will Bill, Lomandra, Snotty Gobble (Mistletoe), Coolabah Belah.</w:t>
            </w:r>
          </w:p>
          <w:p w14:paraId="4A5A521A" w14:textId="30BCF546" w:rsidR="00F92A5E" w:rsidRPr="005D6B24" w:rsidRDefault="00F92A5E" w:rsidP="0090639D">
            <w:pPr>
              <w:pStyle w:val="Para0"/>
              <w:spacing w:after="120" w:line="240" w:lineRule="auto"/>
              <w:jc w:val="left"/>
              <w:rPr>
                <w:rFonts w:asciiTheme="minorHAnsi" w:hAnsiTheme="minorHAnsi" w:cstheme="minorHAnsi"/>
                <w:sz w:val="22"/>
                <w:szCs w:val="22"/>
              </w:rPr>
            </w:pPr>
            <w:r w:rsidRPr="005D6B24">
              <w:rPr>
                <w:rStyle w:val="Heading5Char"/>
              </w:rPr>
              <w:t>Other priority species:</w:t>
            </w:r>
            <w:r w:rsidRPr="005D6B24">
              <w:rPr>
                <w:rFonts w:asciiTheme="minorHAnsi" w:hAnsiTheme="minorHAnsi" w:cstheme="minorHAnsi"/>
                <w:i/>
                <w:iCs/>
                <w:sz w:val="22"/>
                <w:szCs w:val="22"/>
              </w:rPr>
              <w:t xml:space="preserve"> </w:t>
            </w:r>
            <w:r w:rsidRPr="005D6B24">
              <w:rPr>
                <w:rFonts w:asciiTheme="minorHAnsi" w:hAnsiTheme="minorHAnsi" w:cstheme="minorHAnsi"/>
                <w:sz w:val="22"/>
                <w:szCs w:val="22"/>
              </w:rPr>
              <w:t>Iron Bark, Black Box, Sandalwood, Stringy Bark, Karrajon Tree, Ruby Saltbush, Quandong, Quinine, Water Ribbons, Blue Gum, Tea Tree, Yellow Box, Bimble Box, Naipan, Emu Bush, Gumby Gumby, Bush Onion, Yam, Eurah (</w:t>
            </w:r>
            <w:r w:rsidRPr="00ED468C">
              <w:rPr>
                <w:rFonts w:asciiTheme="minorHAnsi" w:hAnsiTheme="minorHAnsi" w:cstheme="minorHAnsi"/>
                <w:i/>
                <w:sz w:val="22"/>
                <w:szCs w:val="22"/>
              </w:rPr>
              <w:t>Eremophila</w:t>
            </w:r>
            <w:r w:rsidR="00ED468C" w:rsidRPr="00ED468C">
              <w:rPr>
                <w:rFonts w:asciiTheme="minorHAnsi" w:hAnsiTheme="minorHAnsi" w:cstheme="minorHAnsi"/>
                <w:i/>
                <w:sz w:val="22"/>
                <w:szCs w:val="22"/>
              </w:rPr>
              <w:t xml:space="preserve"> sp</w:t>
            </w:r>
            <w:r w:rsidR="00ED468C">
              <w:rPr>
                <w:rFonts w:asciiTheme="minorHAnsi" w:hAnsiTheme="minorHAnsi" w:cstheme="minorHAnsi"/>
                <w:sz w:val="22"/>
                <w:szCs w:val="22"/>
              </w:rPr>
              <w:t>.</w:t>
            </w:r>
            <w:r w:rsidRPr="005D6B24">
              <w:rPr>
                <w:rFonts w:asciiTheme="minorHAnsi" w:hAnsiTheme="minorHAnsi" w:cstheme="minorHAnsi"/>
                <w:sz w:val="22"/>
                <w:szCs w:val="22"/>
              </w:rPr>
              <w:t>).</w:t>
            </w:r>
          </w:p>
        </w:tc>
      </w:tr>
      <w:tr w:rsidR="00F92A5E" w:rsidRPr="00334629" w14:paraId="319D594C" w14:textId="77777777" w:rsidTr="008A1B4D">
        <w:trPr>
          <w:cnfStyle w:val="000000010000" w:firstRow="0" w:lastRow="0" w:firstColumn="0" w:lastColumn="0" w:oddVBand="0" w:evenVBand="0" w:oddHBand="0" w:evenHBand="1" w:firstRowFirstColumn="0" w:firstRowLastColumn="0" w:lastRowFirstColumn="0" w:lastRowLastColumn="0"/>
        </w:trPr>
        <w:tc>
          <w:tcPr>
            <w:tcW w:w="9781" w:type="dxa"/>
            <w:tcBorders>
              <w:top w:val="single" w:sz="4" w:space="0" w:color="auto"/>
            </w:tcBorders>
            <w:shd w:val="clear" w:color="auto" w:fill="B6DDE8" w:themeFill="accent5" w:themeFillTint="66"/>
          </w:tcPr>
          <w:p w14:paraId="2940AF99" w14:textId="77777777" w:rsidR="00F92A5E" w:rsidRPr="005D6B24" w:rsidRDefault="00F92A5E" w:rsidP="005D6B24">
            <w:pPr>
              <w:pStyle w:val="Para0"/>
              <w:spacing w:after="120" w:line="240" w:lineRule="auto"/>
              <w:jc w:val="left"/>
              <w:rPr>
                <w:rFonts w:asciiTheme="minorHAnsi" w:hAnsiTheme="minorHAnsi" w:cstheme="minorHAnsi"/>
                <w:b/>
                <w:bCs/>
                <w:sz w:val="22"/>
                <w:szCs w:val="22"/>
              </w:rPr>
            </w:pPr>
            <w:r w:rsidRPr="005D6B24">
              <w:rPr>
                <w:rFonts w:asciiTheme="minorHAnsi" w:hAnsiTheme="minorHAnsi" w:cstheme="minorHAnsi"/>
                <w:b/>
                <w:bCs/>
                <w:sz w:val="22"/>
                <w:szCs w:val="22"/>
              </w:rPr>
              <w:t>Native Birds</w:t>
            </w:r>
          </w:p>
        </w:tc>
      </w:tr>
      <w:tr w:rsidR="00F92A5E" w:rsidRPr="00334629" w14:paraId="12961350" w14:textId="77777777" w:rsidTr="008A1B4D">
        <w:trPr>
          <w:cnfStyle w:val="000000100000" w:firstRow="0" w:lastRow="0" w:firstColumn="0" w:lastColumn="0" w:oddVBand="0" w:evenVBand="0" w:oddHBand="1" w:evenHBand="0" w:firstRowFirstColumn="0" w:firstRowLastColumn="0" w:lastRowFirstColumn="0" w:lastRowLastColumn="0"/>
        </w:trPr>
        <w:tc>
          <w:tcPr>
            <w:tcW w:w="9781" w:type="dxa"/>
            <w:tcBorders>
              <w:top w:val="single" w:sz="4" w:space="0" w:color="auto"/>
            </w:tcBorders>
          </w:tcPr>
          <w:p w14:paraId="7C7794D8" w14:textId="77777777" w:rsidR="00F92A5E" w:rsidRPr="005D6B24" w:rsidRDefault="00F92A5E" w:rsidP="0090639D">
            <w:pPr>
              <w:pStyle w:val="Para0"/>
              <w:spacing w:after="120" w:line="240" w:lineRule="auto"/>
              <w:jc w:val="left"/>
              <w:rPr>
                <w:rFonts w:cstheme="minorHAnsi"/>
                <w:sz w:val="22"/>
                <w:szCs w:val="22"/>
              </w:rPr>
            </w:pPr>
            <w:r w:rsidRPr="005D6B24">
              <w:rPr>
                <w:rStyle w:val="Heading5Char"/>
              </w:rPr>
              <w:t>Indicator species:</w:t>
            </w:r>
            <w:r w:rsidRPr="005D6B24">
              <w:rPr>
                <w:rFonts w:asciiTheme="minorHAnsi" w:hAnsiTheme="minorHAnsi" w:cstheme="minorHAnsi"/>
                <w:i/>
                <w:iCs/>
                <w:sz w:val="22"/>
                <w:szCs w:val="22"/>
              </w:rPr>
              <w:t xml:space="preserve">  </w:t>
            </w:r>
            <w:r w:rsidRPr="005D6B24">
              <w:rPr>
                <w:rFonts w:asciiTheme="minorHAnsi" w:hAnsiTheme="minorHAnsi" w:cstheme="minorHAnsi"/>
                <w:sz w:val="22"/>
                <w:szCs w:val="22"/>
              </w:rPr>
              <w:t>Brolga, Kingfisher, Waterhen, Black Duck, Pelican, Bush Turkey, Eagle, Black Cockatoo (glossy and red tail), Australian Painted Sniper, Wood Duck, Black Koel, (Storm Bird), Red-Winged Parrot, Black Swan, Teal, Willy Wagtail, Major Mitchell Cockatoo, Whistling Kite (Red), Finch, Tawny Frogmouth, Emu.</w:t>
            </w:r>
          </w:p>
        </w:tc>
      </w:tr>
      <w:tr w:rsidR="00F92A5E" w:rsidRPr="00334629" w14:paraId="3145B614" w14:textId="77777777" w:rsidTr="008A1B4D">
        <w:trPr>
          <w:cnfStyle w:val="000000010000" w:firstRow="0" w:lastRow="0" w:firstColumn="0" w:lastColumn="0" w:oddVBand="0" w:evenVBand="0" w:oddHBand="0" w:evenHBand="1" w:firstRowFirstColumn="0" w:firstRowLastColumn="0" w:lastRowFirstColumn="0" w:lastRowLastColumn="0"/>
        </w:trPr>
        <w:tc>
          <w:tcPr>
            <w:tcW w:w="9781" w:type="dxa"/>
            <w:tcBorders>
              <w:top w:val="single" w:sz="4" w:space="0" w:color="auto"/>
            </w:tcBorders>
            <w:shd w:val="clear" w:color="auto" w:fill="B6DDE8" w:themeFill="accent5" w:themeFillTint="66"/>
          </w:tcPr>
          <w:p w14:paraId="226FACD2" w14:textId="77777777" w:rsidR="00F92A5E" w:rsidRPr="005D6B24" w:rsidRDefault="00F92A5E" w:rsidP="005D6B24">
            <w:pPr>
              <w:pStyle w:val="Para0"/>
              <w:spacing w:after="120" w:line="240" w:lineRule="auto"/>
              <w:jc w:val="left"/>
              <w:rPr>
                <w:rFonts w:asciiTheme="minorHAnsi" w:hAnsiTheme="minorHAnsi" w:cstheme="minorHAnsi"/>
                <w:b/>
                <w:bCs/>
                <w:sz w:val="22"/>
                <w:szCs w:val="22"/>
              </w:rPr>
            </w:pPr>
            <w:r w:rsidRPr="005D6B24">
              <w:rPr>
                <w:rFonts w:asciiTheme="minorHAnsi" w:hAnsiTheme="minorHAnsi" w:cstheme="minorHAnsi"/>
                <w:b/>
                <w:bCs/>
                <w:sz w:val="22"/>
                <w:szCs w:val="22"/>
              </w:rPr>
              <w:t>Native Animals</w:t>
            </w:r>
          </w:p>
        </w:tc>
      </w:tr>
      <w:tr w:rsidR="00F92A5E" w:rsidRPr="00334629" w14:paraId="24167929" w14:textId="77777777" w:rsidTr="008A1B4D">
        <w:trPr>
          <w:cnfStyle w:val="000000100000" w:firstRow="0" w:lastRow="0" w:firstColumn="0" w:lastColumn="0" w:oddVBand="0" w:evenVBand="0" w:oddHBand="1" w:evenHBand="0" w:firstRowFirstColumn="0" w:firstRowLastColumn="0" w:lastRowFirstColumn="0" w:lastRowLastColumn="0"/>
        </w:trPr>
        <w:tc>
          <w:tcPr>
            <w:tcW w:w="9781" w:type="dxa"/>
            <w:tcBorders>
              <w:top w:val="single" w:sz="4" w:space="0" w:color="auto"/>
            </w:tcBorders>
          </w:tcPr>
          <w:p w14:paraId="5A66E32C" w14:textId="667BB856" w:rsidR="00F92A5E" w:rsidRPr="005D6B24" w:rsidRDefault="00F92A5E" w:rsidP="0090639D">
            <w:pPr>
              <w:pStyle w:val="Para0"/>
              <w:spacing w:after="120" w:line="240" w:lineRule="auto"/>
              <w:jc w:val="left"/>
              <w:rPr>
                <w:rFonts w:asciiTheme="minorHAnsi" w:hAnsiTheme="minorHAnsi" w:cstheme="minorHAnsi"/>
                <w:sz w:val="22"/>
                <w:szCs w:val="22"/>
              </w:rPr>
            </w:pPr>
            <w:r w:rsidRPr="005D6B24">
              <w:rPr>
                <w:rStyle w:val="Heading5Char"/>
              </w:rPr>
              <w:t>Indicator species:</w:t>
            </w:r>
            <w:r w:rsidRPr="005D6B24">
              <w:rPr>
                <w:rFonts w:asciiTheme="minorHAnsi" w:hAnsiTheme="minorHAnsi" w:cstheme="minorHAnsi"/>
                <w:sz w:val="22"/>
                <w:szCs w:val="22"/>
              </w:rPr>
              <w:t xml:space="preserve"> Water Spider, Macquarie Perch, Yellow</w:t>
            </w:r>
            <w:r w:rsidR="00A561DC">
              <w:rPr>
                <w:rFonts w:asciiTheme="minorHAnsi" w:hAnsiTheme="minorHAnsi" w:cstheme="minorHAnsi"/>
                <w:sz w:val="22"/>
                <w:szCs w:val="22"/>
              </w:rPr>
              <w:t>b</w:t>
            </w:r>
            <w:r w:rsidRPr="005D6B24">
              <w:rPr>
                <w:rFonts w:asciiTheme="minorHAnsi" w:hAnsiTheme="minorHAnsi" w:cstheme="minorHAnsi"/>
                <w:sz w:val="22"/>
                <w:szCs w:val="22"/>
              </w:rPr>
              <w:t>elly, Catfish, Cod, River Blackfish, Spiny Cray, Platypus, Crucifix Frog.</w:t>
            </w:r>
          </w:p>
          <w:p w14:paraId="3825FAE2" w14:textId="06055E60" w:rsidR="00F92A5E" w:rsidRPr="005D6B24" w:rsidRDefault="00F92A5E" w:rsidP="0090639D">
            <w:pPr>
              <w:pStyle w:val="Para0"/>
              <w:spacing w:after="120" w:line="240" w:lineRule="auto"/>
              <w:jc w:val="left"/>
              <w:rPr>
                <w:rFonts w:asciiTheme="minorHAnsi" w:hAnsiTheme="minorHAnsi" w:cstheme="minorHAnsi"/>
                <w:sz w:val="22"/>
                <w:szCs w:val="22"/>
              </w:rPr>
            </w:pPr>
            <w:r w:rsidRPr="005D6B24">
              <w:rPr>
                <w:rStyle w:val="Heading5Char"/>
              </w:rPr>
              <w:t>Other priority species:</w:t>
            </w:r>
            <w:r w:rsidRPr="005D6B24">
              <w:rPr>
                <w:rFonts w:asciiTheme="minorHAnsi" w:hAnsiTheme="minorHAnsi" w:cstheme="minorHAnsi"/>
                <w:i/>
                <w:iCs/>
                <w:sz w:val="22"/>
                <w:szCs w:val="22"/>
              </w:rPr>
              <w:t xml:space="preserve"> </w:t>
            </w:r>
            <w:r w:rsidRPr="005D6B24">
              <w:rPr>
                <w:rFonts w:asciiTheme="minorHAnsi" w:hAnsiTheme="minorHAnsi" w:cstheme="minorHAnsi"/>
                <w:sz w:val="22"/>
                <w:szCs w:val="22"/>
              </w:rPr>
              <w:t xml:space="preserve">Water Dragon, Golden Perch, Yabbies/Bogglies, Shrimp, Mussels, Purple-Spotted Gudgeon, Jewfish, (Silver Perch), Long-Tailed Eel, Bony Breem, Kangaroo, Wallaby, Water Rat, </w:t>
            </w:r>
            <w:r w:rsidR="00B910A1">
              <w:rPr>
                <w:rFonts w:asciiTheme="minorHAnsi" w:hAnsiTheme="minorHAnsi" w:cstheme="minorHAnsi"/>
                <w:sz w:val="22"/>
                <w:szCs w:val="22"/>
              </w:rPr>
              <w:t>Echidna</w:t>
            </w:r>
            <w:r w:rsidRPr="005D6B24">
              <w:rPr>
                <w:rFonts w:asciiTheme="minorHAnsi" w:hAnsiTheme="minorHAnsi" w:cstheme="minorHAnsi"/>
                <w:sz w:val="22"/>
                <w:szCs w:val="22"/>
              </w:rPr>
              <w:t>, Bat (all varieties), Possum, Red Belly Black Dingo, Ants (all varieties), Goanna (Sand and Black), Tiny Brown Frog, Tree Frog, Bogan Moth, Longnecked Turtles.</w:t>
            </w:r>
          </w:p>
        </w:tc>
      </w:tr>
      <w:tr w:rsidR="00F92A5E" w:rsidRPr="00334629" w14:paraId="71902096" w14:textId="77777777" w:rsidTr="008A1B4D">
        <w:trPr>
          <w:cnfStyle w:val="000000010000" w:firstRow="0" w:lastRow="0" w:firstColumn="0" w:lastColumn="0" w:oddVBand="0" w:evenVBand="0" w:oddHBand="0" w:evenHBand="1" w:firstRowFirstColumn="0" w:firstRowLastColumn="0" w:lastRowFirstColumn="0" w:lastRowLastColumn="0"/>
        </w:trPr>
        <w:tc>
          <w:tcPr>
            <w:tcW w:w="9781" w:type="dxa"/>
            <w:tcBorders>
              <w:top w:val="single" w:sz="4" w:space="0" w:color="auto"/>
            </w:tcBorders>
            <w:shd w:val="clear" w:color="auto" w:fill="B6DDE8" w:themeFill="accent5" w:themeFillTint="66"/>
          </w:tcPr>
          <w:p w14:paraId="0D32D132" w14:textId="77777777" w:rsidR="00F92A5E" w:rsidRPr="005D6B24" w:rsidRDefault="00F92A5E" w:rsidP="005D6B24">
            <w:pPr>
              <w:pStyle w:val="Para0"/>
              <w:spacing w:after="120" w:line="240" w:lineRule="auto"/>
              <w:jc w:val="left"/>
              <w:rPr>
                <w:rFonts w:asciiTheme="minorHAnsi" w:hAnsiTheme="minorHAnsi" w:cstheme="minorHAnsi"/>
                <w:b/>
                <w:bCs/>
                <w:sz w:val="22"/>
                <w:szCs w:val="22"/>
              </w:rPr>
            </w:pPr>
            <w:r w:rsidRPr="005D6B24">
              <w:rPr>
                <w:rFonts w:asciiTheme="minorHAnsi" w:hAnsiTheme="minorHAnsi" w:cstheme="minorHAnsi"/>
                <w:b/>
                <w:bCs/>
                <w:sz w:val="22"/>
                <w:szCs w:val="22"/>
              </w:rPr>
              <w:t>Connecting with Country</w:t>
            </w:r>
          </w:p>
        </w:tc>
      </w:tr>
      <w:tr w:rsidR="00F92A5E" w:rsidRPr="00334629" w14:paraId="2A1E70CC" w14:textId="77777777" w:rsidTr="008A1B4D">
        <w:trPr>
          <w:cnfStyle w:val="000000100000" w:firstRow="0" w:lastRow="0" w:firstColumn="0" w:lastColumn="0" w:oddVBand="0" w:evenVBand="0" w:oddHBand="1" w:evenHBand="0" w:firstRowFirstColumn="0" w:firstRowLastColumn="0" w:lastRowFirstColumn="0" w:lastRowLastColumn="0"/>
        </w:trPr>
        <w:tc>
          <w:tcPr>
            <w:tcW w:w="9781" w:type="dxa"/>
            <w:tcBorders>
              <w:top w:val="single" w:sz="4" w:space="0" w:color="auto"/>
            </w:tcBorders>
          </w:tcPr>
          <w:p w14:paraId="413F07E3" w14:textId="77777777" w:rsidR="00F92A5E" w:rsidRPr="005D6B24" w:rsidRDefault="00F92A5E" w:rsidP="0090639D">
            <w:pPr>
              <w:pStyle w:val="Para0"/>
              <w:spacing w:after="120" w:line="240" w:lineRule="auto"/>
              <w:jc w:val="left"/>
              <w:rPr>
                <w:rFonts w:asciiTheme="minorHAnsi" w:hAnsiTheme="minorHAnsi" w:cstheme="minorHAnsi"/>
                <w:sz w:val="22"/>
                <w:szCs w:val="22"/>
              </w:rPr>
            </w:pPr>
            <w:r w:rsidRPr="005D6B24">
              <w:rPr>
                <w:rFonts w:asciiTheme="minorHAnsi" w:hAnsiTheme="minorHAnsi" w:cstheme="minorHAnsi"/>
                <w:sz w:val="22"/>
                <w:szCs w:val="22"/>
              </w:rPr>
              <w:t>A healthy environment is required for: communal living, research, fishing, trade, camping, weaving, gathering, transfer of knowledge, storytelling, teaching, healing, ceremony, initiation, identity and belonging, spiritual connection, wellbeing.</w:t>
            </w:r>
          </w:p>
        </w:tc>
      </w:tr>
    </w:tbl>
    <w:p w14:paraId="7C774FCF" w14:textId="0DDA5367" w:rsidR="00C422D6" w:rsidRDefault="00C422D6" w:rsidP="0064794E"/>
    <w:p w14:paraId="23C590CB" w14:textId="6E5F77DF" w:rsidR="00DA1A1A" w:rsidRPr="0063418C" w:rsidRDefault="00DA1A1A" w:rsidP="0057535E">
      <w:pPr>
        <w:pStyle w:val="Heading3"/>
      </w:pPr>
      <w:bookmarkStart w:id="47" w:name="_Toc44942522"/>
      <w:r w:rsidRPr="0063418C">
        <w:t>Southern Basin First Nations Environmental Watering Priorities Statement 2020-21</w:t>
      </w:r>
      <w:bookmarkEnd w:id="47"/>
    </w:p>
    <w:p w14:paraId="2A6D9D97" w14:textId="7D11D249" w:rsidR="00DA1A1A" w:rsidRPr="00B4497F" w:rsidRDefault="00DA1A1A" w:rsidP="00B4497F">
      <w:r w:rsidRPr="00B4497F">
        <w:t>Representatives</w:t>
      </w:r>
      <w:r w:rsidR="00095152" w:rsidRPr="00B4497F">
        <w:t xml:space="preserve"> </w:t>
      </w:r>
      <w:r w:rsidRPr="00B4497F">
        <w:t>of</w:t>
      </w:r>
      <w:r w:rsidR="00095152" w:rsidRPr="00B4497F">
        <w:t xml:space="preserve"> </w:t>
      </w:r>
      <w:r w:rsidR="00A561DC">
        <w:t xml:space="preserve">16 </w:t>
      </w:r>
      <w:r w:rsidRPr="00B4497F">
        <w:t>First</w:t>
      </w:r>
      <w:r w:rsidR="00095152" w:rsidRPr="00B4497F">
        <w:t xml:space="preserve"> </w:t>
      </w:r>
      <w:r w:rsidRPr="00B4497F">
        <w:t>Nations</w:t>
      </w:r>
      <w:r w:rsidR="00095152" w:rsidRPr="00B4497F">
        <w:t xml:space="preserve"> </w:t>
      </w:r>
      <w:r w:rsidRPr="00B4497F">
        <w:t>across</w:t>
      </w:r>
      <w:r w:rsidR="00095152" w:rsidRPr="00B4497F">
        <w:t xml:space="preserve"> </w:t>
      </w:r>
      <w:r w:rsidRPr="00B4497F">
        <w:t>the</w:t>
      </w:r>
      <w:r w:rsidR="00095152" w:rsidRPr="00B4497F">
        <w:t xml:space="preserve"> </w:t>
      </w:r>
      <w:r w:rsidR="0081343B">
        <w:t>s</w:t>
      </w:r>
      <w:r w:rsidRPr="00B4497F">
        <w:t>outhern</w:t>
      </w:r>
      <w:r w:rsidR="00095152" w:rsidRPr="00B4497F">
        <w:t xml:space="preserve"> </w:t>
      </w:r>
      <w:r w:rsidRPr="00B4497F">
        <w:t>Murray</w:t>
      </w:r>
      <w:r w:rsidR="00C82DE4">
        <w:t>-</w:t>
      </w:r>
      <w:r w:rsidRPr="00B4497F">
        <w:t>Darling</w:t>
      </w:r>
      <w:r w:rsidR="00095152" w:rsidRPr="00B4497F">
        <w:t xml:space="preserve"> </w:t>
      </w:r>
      <w:r w:rsidRPr="00B4497F">
        <w:t>Basin</w:t>
      </w:r>
      <w:r w:rsidR="00095152" w:rsidRPr="00B4497F">
        <w:t xml:space="preserve"> </w:t>
      </w:r>
      <w:r w:rsidRPr="00B4497F">
        <w:t>have</w:t>
      </w:r>
      <w:r w:rsidR="00095152" w:rsidRPr="00B4497F">
        <w:t xml:space="preserve"> </w:t>
      </w:r>
      <w:r w:rsidRPr="00B4497F">
        <w:t>contributed</w:t>
      </w:r>
      <w:r w:rsidR="00095152" w:rsidRPr="00B4497F">
        <w:t xml:space="preserve"> </w:t>
      </w:r>
      <w:r w:rsidRPr="00B4497F">
        <w:t>information</w:t>
      </w:r>
      <w:r w:rsidR="00095152" w:rsidRPr="00B4497F">
        <w:t xml:space="preserve"> </w:t>
      </w:r>
      <w:r w:rsidRPr="00B4497F">
        <w:t>about</w:t>
      </w:r>
      <w:r w:rsidR="00095152">
        <w:t xml:space="preserve"> </w:t>
      </w:r>
      <w:r w:rsidRPr="00B4497F">
        <w:t>their</w:t>
      </w:r>
      <w:r w:rsidR="00095152">
        <w:t xml:space="preserve"> </w:t>
      </w:r>
      <w:r w:rsidRPr="00B4497F">
        <w:t>priorities</w:t>
      </w:r>
      <w:r w:rsidR="00095152">
        <w:t xml:space="preserve"> for </w:t>
      </w:r>
      <w:r w:rsidRPr="00B4497F">
        <w:t>the</w:t>
      </w:r>
      <w:r w:rsidR="00095152">
        <w:t xml:space="preserve"> </w:t>
      </w:r>
      <w:r w:rsidRPr="00B4497F">
        <w:t>use</w:t>
      </w:r>
      <w:r w:rsidR="00095152">
        <w:t xml:space="preserve"> </w:t>
      </w:r>
      <w:r w:rsidRPr="00B4497F">
        <w:t>of</w:t>
      </w:r>
      <w:r w:rsidR="00095152">
        <w:t xml:space="preserve"> </w:t>
      </w:r>
      <w:r w:rsidRPr="00B4497F">
        <w:t>environmental</w:t>
      </w:r>
      <w:r w:rsidR="00095152">
        <w:t xml:space="preserve"> </w:t>
      </w:r>
      <w:r w:rsidRPr="00B4497F">
        <w:t>water</w:t>
      </w:r>
      <w:r w:rsidR="00095152">
        <w:t xml:space="preserve"> </w:t>
      </w:r>
      <w:r w:rsidRPr="00B4497F">
        <w:t>in</w:t>
      </w:r>
      <w:r w:rsidR="00095152">
        <w:t xml:space="preserve"> </w:t>
      </w:r>
      <w:r w:rsidRPr="00B4497F">
        <w:t>2020</w:t>
      </w:r>
      <w:r w:rsidR="00095152">
        <w:t>-2</w:t>
      </w:r>
      <w:r w:rsidRPr="00B4497F">
        <w:t>1</w:t>
      </w:r>
      <w:r w:rsidR="00095152">
        <w:t xml:space="preserve"> </w:t>
      </w:r>
      <w:r w:rsidRPr="00B4497F">
        <w:t>as</w:t>
      </w:r>
      <w:r w:rsidR="00095152">
        <w:t xml:space="preserve"> </w:t>
      </w:r>
      <w:r w:rsidRPr="00B4497F">
        <w:t>part</w:t>
      </w:r>
      <w:r w:rsidR="00095152">
        <w:t xml:space="preserve"> </w:t>
      </w:r>
      <w:r w:rsidRPr="00B4497F">
        <w:t>of</w:t>
      </w:r>
      <w:r w:rsidR="00095152">
        <w:t xml:space="preserve"> </w:t>
      </w:r>
      <w:r w:rsidRPr="00B4497F">
        <w:t>the</w:t>
      </w:r>
      <w:r w:rsidR="00095152">
        <w:t xml:space="preserve"> </w:t>
      </w:r>
      <w:r w:rsidRPr="00B4497F">
        <w:t>First</w:t>
      </w:r>
      <w:r w:rsidR="00095152">
        <w:t xml:space="preserve"> </w:t>
      </w:r>
      <w:r w:rsidRPr="00B4497F">
        <w:t>Nations</w:t>
      </w:r>
      <w:r w:rsidR="00095152">
        <w:t xml:space="preserve"> </w:t>
      </w:r>
      <w:r w:rsidRPr="00B4497F">
        <w:t>Environmental</w:t>
      </w:r>
      <w:r w:rsidR="00095152">
        <w:t xml:space="preserve"> </w:t>
      </w:r>
      <w:r w:rsidRPr="00B4497F">
        <w:t>Water</w:t>
      </w:r>
      <w:r w:rsidR="00095152">
        <w:t xml:space="preserve"> </w:t>
      </w:r>
      <w:r w:rsidRPr="00B4497F">
        <w:t>Guidance</w:t>
      </w:r>
      <w:r w:rsidR="00095152">
        <w:t xml:space="preserve"> </w:t>
      </w:r>
      <w:r w:rsidRPr="00B4497F">
        <w:t>project.</w:t>
      </w:r>
    </w:p>
    <w:p w14:paraId="7832F221" w14:textId="7C217CF0" w:rsidR="00B4497F" w:rsidRPr="00B4497F" w:rsidRDefault="00DA1A1A" w:rsidP="00B4497F">
      <w:r w:rsidRPr="00B4497F">
        <w:t>First</w:t>
      </w:r>
      <w:r w:rsidR="00095152">
        <w:t xml:space="preserve"> </w:t>
      </w:r>
      <w:r w:rsidRPr="00B4497F">
        <w:t>Nations</w:t>
      </w:r>
      <w:r w:rsidR="00095152">
        <w:t xml:space="preserve"> </w:t>
      </w:r>
      <w:r w:rsidRPr="00B4497F">
        <w:t>share</w:t>
      </w:r>
      <w:r w:rsidR="00095152">
        <w:t xml:space="preserve"> </w:t>
      </w:r>
      <w:r w:rsidRPr="00B4497F">
        <w:t>common</w:t>
      </w:r>
      <w:r w:rsidR="00095152">
        <w:t xml:space="preserve"> </w:t>
      </w:r>
      <w:r w:rsidRPr="00B4497F">
        <w:t>concern</w:t>
      </w:r>
      <w:r w:rsidR="00095152">
        <w:t xml:space="preserve"> </w:t>
      </w:r>
      <w:r w:rsidRPr="00B4497F">
        <w:t>for</w:t>
      </w:r>
      <w:r w:rsidR="00095152">
        <w:t xml:space="preserve"> </w:t>
      </w:r>
      <w:r w:rsidRPr="00B4497F">
        <w:t>all</w:t>
      </w:r>
      <w:r w:rsidR="00095152">
        <w:t xml:space="preserve"> </w:t>
      </w:r>
      <w:r w:rsidRPr="00B4497F">
        <w:t>major</w:t>
      </w:r>
      <w:r w:rsidR="00095152">
        <w:t xml:space="preserve"> </w:t>
      </w:r>
      <w:r w:rsidRPr="00B4497F">
        <w:t>rivers</w:t>
      </w:r>
      <w:r w:rsidR="00095152">
        <w:t xml:space="preserve"> </w:t>
      </w:r>
      <w:r w:rsidRPr="00B4497F">
        <w:t>across</w:t>
      </w:r>
      <w:r w:rsidR="00095152">
        <w:t xml:space="preserve"> </w:t>
      </w:r>
      <w:r w:rsidRPr="00B4497F">
        <w:t>the</w:t>
      </w:r>
      <w:r w:rsidR="00095152">
        <w:t xml:space="preserve"> </w:t>
      </w:r>
      <w:r w:rsidRPr="00B4497F">
        <w:t>region.</w:t>
      </w:r>
      <w:r w:rsidR="00095152">
        <w:t xml:space="preserve"> </w:t>
      </w:r>
      <w:r w:rsidRPr="00B4497F">
        <w:t>In</w:t>
      </w:r>
      <w:r w:rsidR="00095152">
        <w:t xml:space="preserve"> </w:t>
      </w:r>
      <w:r w:rsidRPr="00B4497F">
        <w:t>particular,</w:t>
      </w:r>
      <w:r w:rsidR="00095152">
        <w:t xml:space="preserve"> </w:t>
      </w:r>
      <w:r w:rsidRPr="00B4497F">
        <w:t>multiple</w:t>
      </w:r>
      <w:r w:rsidR="00095152">
        <w:t xml:space="preserve"> </w:t>
      </w:r>
      <w:r w:rsidRPr="00B4497F">
        <w:t>Nations</w:t>
      </w:r>
      <w:r w:rsidR="00095152">
        <w:t xml:space="preserve"> </w:t>
      </w:r>
      <w:r w:rsidRPr="00B4497F">
        <w:t>submitted</w:t>
      </w:r>
      <w:r w:rsidR="00095152">
        <w:t xml:space="preserve"> </w:t>
      </w:r>
      <w:r w:rsidRPr="00B4497F">
        <w:t>priorities</w:t>
      </w:r>
      <w:r w:rsidR="00095152">
        <w:t xml:space="preserve"> </w:t>
      </w:r>
      <w:r w:rsidRPr="00B4497F">
        <w:t>relating</w:t>
      </w:r>
      <w:r w:rsidR="00095152">
        <w:t xml:space="preserve"> </w:t>
      </w:r>
      <w:r w:rsidRPr="00B4497F">
        <w:t>to</w:t>
      </w:r>
      <w:r w:rsidR="00095152">
        <w:t xml:space="preserve"> </w:t>
      </w:r>
      <w:r w:rsidRPr="00B4497F">
        <w:t>the</w:t>
      </w:r>
      <w:r w:rsidR="00095152">
        <w:t xml:space="preserve"> </w:t>
      </w:r>
      <w:r w:rsidRPr="00B4497F">
        <w:t>Murrumbidgee,</w:t>
      </w:r>
      <w:r w:rsidR="00095152">
        <w:t xml:space="preserve"> </w:t>
      </w:r>
      <w:r w:rsidRPr="00B4497F">
        <w:t>Baaka</w:t>
      </w:r>
      <w:r w:rsidR="00095152">
        <w:t xml:space="preserve"> </w:t>
      </w:r>
      <w:r w:rsidRPr="00B4497F">
        <w:t>(Darling</w:t>
      </w:r>
      <w:r w:rsidR="00095152">
        <w:t xml:space="preserve"> </w:t>
      </w:r>
      <w:r w:rsidRPr="00B4497F">
        <w:t>River),</w:t>
      </w:r>
      <w:r w:rsidR="00095152">
        <w:t xml:space="preserve"> </w:t>
      </w:r>
      <w:r w:rsidRPr="00B4497F">
        <w:t>Lachlan,</w:t>
      </w:r>
      <w:r w:rsidR="00095152">
        <w:t xml:space="preserve"> </w:t>
      </w:r>
      <w:r w:rsidRPr="00B4497F">
        <w:t>Campaspe,</w:t>
      </w:r>
      <w:r w:rsidR="00095152">
        <w:t xml:space="preserve"> </w:t>
      </w:r>
      <w:r w:rsidRPr="00B4497F">
        <w:t>Murray</w:t>
      </w:r>
      <w:r w:rsidR="00095152">
        <w:t xml:space="preserve"> </w:t>
      </w:r>
      <w:r w:rsidRPr="00B4497F">
        <w:t>and</w:t>
      </w:r>
      <w:r w:rsidR="00095152">
        <w:t xml:space="preserve"> </w:t>
      </w:r>
      <w:r w:rsidRPr="00B4497F">
        <w:t>Edward</w:t>
      </w:r>
      <w:r w:rsidR="00A561DC">
        <w:t>-</w:t>
      </w:r>
      <w:r w:rsidRPr="00B4497F">
        <w:t>Wakool</w:t>
      </w:r>
      <w:r w:rsidR="00095152">
        <w:t xml:space="preserve"> </w:t>
      </w:r>
      <w:r w:rsidRPr="00B4497F">
        <w:t>systems.</w:t>
      </w:r>
      <w:r w:rsidR="00095152">
        <w:t xml:space="preserve"> </w:t>
      </w:r>
      <w:r w:rsidRPr="00B4497F">
        <w:t>First</w:t>
      </w:r>
      <w:r w:rsidR="00095152">
        <w:t xml:space="preserve"> </w:t>
      </w:r>
      <w:r w:rsidRPr="00B4497F">
        <w:t>Nations</w:t>
      </w:r>
      <w:r w:rsidR="00095152">
        <w:t xml:space="preserve"> </w:t>
      </w:r>
      <w:r w:rsidRPr="00B4497F">
        <w:t>understand</w:t>
      </w:r>
      <w:r w:rsidR="00095152">
        <w:t xml:space="preserve"> </w:t>
      </w:r>
      <w:r w:rsidRPr="00B4497F">
        <w:t>that</w:t>
      </w:r>
      <w:r w:rsidR="00095152">
        <w:t xml:space="preserve"> </w:t>
      </w:r>
      <w:r w:rsidRPr="00B4497F">
        <w:t>declining</w:t>
      </w:r>
      <w:r w:rsidR="00095152">
        <w:t xml:space="preserve"> </w:t>
      </w:r>
      <w:r w:rsidRPr="00B4497F">
        <w:t>river</w:t>
      </w:r>
      <w:r w:rsidR="00095152">
        <w:t xml:space="preserve"> </w:t>
      </w:r>
      <w:r w:rsidRPr="00B4497F">
        <w:t>health</w:t>
      </w:r>
      <w:r w:rsidR="00095152">
        <w:t xml:space="preserve"> </w:t>
      </w:r>
      <w:r w:rsidRPr="00B4497F">
        <w:t>and</w:t>
      </w:r>
      <w:r w:rsidR="00095152">
        <w:t xml:space="preserve"> </w:t>
      </w:r>
      <w:r w:rsidRPr="00B4497F">
        <w:t>low</w:t>
      </w:r>
      <w:r w:rsidR="00095152">
        <w:t xml:space="preserve"> </w:t>
      </w:r>
      <w:r w:rsidRPr="00B4497F">
        <w:t>flows</w:t>
      </w:r>
      <w:r w:rsidR="00095152">
        <w:t xml:space="preserve"> </w:t>
      </w:r>
      <w:r w:rsidRPr="00B4497F">
        <w:t>in</w:t>
      </w:r>
      <w:r w:rsidR="00095152">
        <w:t xml:space="preserve"> </w:t>
      </w:r>
      <w:r w:rsidRPr="00B4497F">
        <w:t>one</w:t>
      </w:r>
      <w:r w:rsidR="00095152">
        <w:t xml:space="preserve"> </w:t>
      </w:r>
      <w:r w:rsidRPr="00B4497F">
        <w:t>part</w:t>
      </w:r>
      <w:r w:rsidR="00095152">
        <w:t xml:space="preserve"> </w:t>
      </w:r>
      <w:r w:rsidRPr="00B4497F">
        <w:t>of</w:t>
      </w:r>
      <w:r w:rsidR="00095152">
        <w:t xml:space="preserve"> </w:t>
      </w:r>
      <w:r w:rsidRPr="00B4497F">
        <w:t>the</w:t>
      </w:r>
      <w:r w:rsidR="00095152">
        <w:t xml:space="preserve"> </w:t>
      </w:r>
      <w:r w:rsidRPr="00B4497F">
        <w:t>Basin</w:t>
      </w:r>
      <w:r w:rsidR="00095152">
        <w:t xml:space="preserve"> </w:t>
      </w:r>
      <w:r w:rsidRPr="00B4497F">
        <w:t>can</w:t>
      </w:r>
      <w:r w:rsidR="00095152">
        <w:t xml:space="preserve"> </w:t>
      </w:r>
      <w:r w:rsidRPr="00B4497F">
        <w:t>affect</w:t>
      </w:r>
      <w:r w:rsidR="00095152">
        <w:t xml:space="preserve"> </w:t>
      </w:r>
      <w:r w:rsidRPr="00B4497F">
        <w:t>communities</w:t>
      </w:r>
      <w:r w:rsidR="00095152">
        <w:t xml:space="preserve"> </w:t>
      </w:r>
      <w:r w:rsidRPr="00B4497F">
        <w:t>and</w:t>
      </w:r>
      <w:r w:rsidR="00095152">
        <w:t xml:space="preserve"> </w:t>
      </w:r>
      <w:r w:rsidRPr="00B4497F">
        <w:t>cultural</w:t>
      </w:r>
      <w:r w:rsidR="00095152">
        <w:t xml:space="preserve"> </w:t>
      </w:r>
      <w:r w:rsidRPr="00B4497F">
        <w:t>outcomes</w:t>
      </w:r>
      <w:r w:rsidR="00095152">
        <w:t xml:space="preserve"> </w:t>
      </w:r>
      <w:r w:rsidRPr="00B4497F">
        <w:t>across</w:t>
      </w:r>
      <w:r w:rsidR="00095152">
        <w:t xml:space="preserve"> </w:t>
      </w:r>
      <w:r w:rsidRPr="00B4497F">
        <w:t>the</w:t>
      </w:r>
      <w:r w:rsidR="00095152">
        <w:t xml:space="preserve"> </w:t>
      </w:r>
      <w:r w:rsidRPr="00B4497F">
        <w:t>region.</w:t>
      </w:r>
      <w:r w:rsidR="00095152">
        <w:t xml:space="preserve"> </w:t>
      </w:r>
    </w:p>
    <w:p w14:paraId="560DE0CB" w14:textId="2BC2ECB0" w:rsidR="00DA1A1A" w:rsidRPr="00B4497F" w:rsidRDefault="00DA1A1A" w:rsidP="00B4497F">
      <w:r w:rsidRPr="00B4497F">
        <w:t>Nations</w:t>
      </w:r>
      <w:r w:rsidR="00095152">
        <w:t xml:space="preserve"> </w:t>
      </w:r>
      <w:r w:rsidRPr="00B4497F">
        <w:t>want</w:t>
      </w:r>
      <w:r w:rsidR="00095152">
        <w:t xml:space="preserve"> </w:t>
      </w:r>
      <w:r w:rsidRPr="00B4497F">
        <w:t>to</w:t>
      </w:r>
      <w:r w:rsidR="00095152">
        <w:t xml:space="preserve"> </w:t>
      </w:r>
      <w:r w:rsidRPr="00B4497F">
        <w:t>see</w:t>
      </w:r>
      <w:r w:rsidR="00095152">
        <w:t xml:space="preserve"> </w:t>
      </w:r>
      <w:r w:rsidRPr="00B4497F">
        <w:t>improvements</w:t>
      </w:r>
      <w:r w:rsidR="00095152">
        <w:t xml:space="preserve"> </w:t>
      </w:r>
      <w:r w:rsidRPr="00B4497F">
        <w:t>in</w:t>
      </w:r>
      <w:r w:rsidR="00095152">
        <w:t xml:space="preserve"> </w:t>
      </w:r>
      <w:r w:rsidRPr="00B4497F">
        <w:t>water</w:t>
      </w:r>
      <w:r w:rsidR="00095152">
        <w:t xml:space="preserve"> </w:t>
      </w:r>
      <w:r w:rsidRPr="00B4497F">
        <w:t>quality</w:t>
      </w:r>
      <w:r w:rsidR="00095152">
        <w:t xml:space="preserve"> </w:t>
      </w:r>
      <w:r w:rsidRPr="00B4497F">
        <w:t>and</w:t>
      </w:r>
      <w:r w:rsidR="00095152">
        <w:t xml:space="preserve"> </w:t>
      </w:r>
      <w:r w:rsidRPr="00B4497F">
        <w:t>the</w:t>
      </w:r>
      <w:r w:rsidR="00095152">
        <w:t xml:space="preserve"> </w:t>
      </w:r>
      <w:r w:rsidRPr="00B4497F">
        <w:t>volume</w:t>
      </w:r>
      <w:r w:rsidR="00095152">
        <w:t xml:space="preserve"> </w:t>
      </w:r>
      <w:r w:rsidRPr="00B4497F">
        <w:t>and</w:t>
      </w:r>
      <w:r w:rsidR="00095152">
        <w:t xml:space="preserve"> </w:t>
      </w:r>
      <w:r w:rsidRPr="00B4497F">
        <w:t>timing</w:t>
      </w:r>
      <w:r w:rsidR="00095152">
        <w:t xml:space="preserve"> </w:t>
      </w:r>
      <w:r w:rsidRPr="00B4497F">
        <w:t>of</w:t>
      </w:r>
      <w:r w:rsidR="00095152">
        <w:t xml:space="preserve"> </w:t>
      </w:r>
      <w:r w:rsidRPr="00B4497F">
        <w:t>flows</w:t>
      </w:r>
      <w:r w:rsidR="00095152">
        <w:t xml:space="preserve"> </w:t>
      </w:r>
      <w:r w:rsidRPr="00B4497F">
        <w:t>in</w:t>
      </w:r>
      <w:r w:rsidR="00095152">
        <w:t xml:space="preserve"> </w:t>
      </w:r>
      <w:r w:rsidRPr="00B4497F">
        <w:t>all</w:t>
      </w:r>
      <w:r w:rsidR="00095152">
        <w:t xml:space="preserve"> </w:t>
      </w:r>
      <w:r w:rsidRPr="00B4497F">
        <w:t>major</w:t>
      </w:r>
      <w:r w:rsidR="00095152">
        <w:t xml:space="preserve"> </w:t>
      </w:r>
      <w:r w:rsidRPr="00B4497F">
        <w:t>rivers,</w:t>
      </w:r>
      <w:r w:rsidR="00095152">
        <w:t xml:space="preserve"> </w:t>
      </w:r>
      <w:r w:rsidRPr="00B4497F">
        <w:t>and</w:t>
      </w:r>
      <w:r w:rsidR="00095152">
        <w:t xml:space="preserve"> </w:t>
      </w:r>
      <w:r w:rsidRPr="00B4497F">
        <w:t>particularly</w:t>
      </w:r>
      <w:r w:rsidR="00095152">
        <w:t xml:space="preserve"> </w:t>
      </w:r>
      <w:r w:rsidRPr="00B4497F">
        <w:t>in</w:t>
      </w:r>
      <w:r w:rsidR="00095152">
        <w:t xml:space="preserve"> </w:t>
      </w:r>
      <w:r w:rsidRPr="00B4497F">
        <w:t>degraded</w:t>
      </w:r>
      <w:r w:rsidR="00095152">
        <w:t xml:space="preserve"> </w:t>
      </w:r>
      <w:r w:rsidRPr="00B4497F">
        <w:t>river</w:t>
      </w:r>
      <w:r w:rsidR="00095152">
        <w:t xml:space="preserve"> </w:t>
      </w:r>
      <w:r w:rsidRPr="00B4497F">
        <w:t>systems.</w:t>
      </w:r>
      <w:r w:rsidR="00095152">
        <w:t xml:space="preserve"> </w:t>
      </w:r>
      <w:r w:rsidRPr="00B4497F">
        <w:t>Improved</w:t>
      </w:r>
      <w:r w:rsidR="00095152">
        <w:t xml:space="preserve"> </w:t>
      </w:r>
      <w:r w:rsidRPr="00B4497F">
        <w:t>seasonality</w:t>
      </w:r>
      <w:r w:rsidR="00095152">
        <w:t xml:space="preserve"> </w:t>
      </w:r>
      <w:r w:rsidRPr="00B4497F">
        <w:t>of</w:t>
      </w:r>
      <w:r w:rsidR="00095152">
        <w:t xml:space="preserve"> </w:t>
      </w:r>
      <w:r w:rsidRPr="00B4497F">
        <w:t>flows,</w:t>
      </w:r>
      <w:r w:rsidR="00095152">
        <w:t xml:space="preserve"> </w:t>
      </w:r>
      <w:r w:rsidRPr="00B4497F">
        <w:t>informed</w:t>
      </w:r>
      <w:r w:rsidR="00095152">
        <w:t xml:space="preserve"> </w:t>
      </w:r>
      <w:r w:rsidRPr="00B4497F">
        <w:t>by</w:t>
      </w:r>
      <w:r w:rsidR="00095152">
        <w:t xml:space="preserve"> </w:t>
      </w:r>
      <w:r w:rsidRPr="00B4497F">
        <w:t>First</w:t>
      </w:r>
      <w:r w:rsidR="00095152">
        <w:t xml:space="preserve"> </w:t>
      </w:r>
      <w:r w:rsidRPr="00B4497F">
        <w:t>Nations’</w:t>
      </w:r>
      <w:r w:rsidR="00095152">
        <w:t xml:space="preserve"> </w:t>
      </w:r>
      <w:r w:rsidRPr="00B4497F">
        <w:t>science</w:t>
      </w:r>
      <w:r w:rsidR="00095152">
        <w:t xml:space="preserve"> </w:t>
      </w:r>
      <w:r w:rsidRPr="00B4497F">
        <w:t>and</w:t>
      </w:r>
      <w:r w:rsidR="00095152">
        <w:t xml:space="preserve"> </w:t>
      </w:r>
      <w:r w:rsidRPr="00B4497F">
        <w:t>traditional</w:t>
      </w:r>
      <w:r w:rsidR="00095152">
        <w:t xml:space="preserve"> </w:t>
      </w:r>
      <w:r w:rsidRPr="00B4497F">
        <w:t>knowledge,</w:t>
      </w:r>
      <w:r w:rsidR="00095152">
        <w:t xml:space="preserve"> </w:t>
      </w:r>
      <w:r w:rsidRPr="00B4497F">
        <w:t>is</w:t>
      </w:r>
      <w:r w:rsidR="00095152">
        <w:t xml:space="preserve"> </w:t>
      </w:r>
      <w:r w:rsidRPr="00B4497F">
        <w:t>a</w:t>
      </w:r>
      <w:r w:rsidR="00095152">
        <w:t xml:space="preserve"> </w:t>
      </w:r>
      <w:r w:rsidRPr="00B4497F">
        <w:t>key</w:t>
      </w:r>
      <w:r w:rsidR="00095152">
        <w:t xml:space="preserve"> </w:t>
      </w:r>
      <w:r w:rsidRPr="00B4497F">
        <w:t>to</w:t>
      </w:r>
      <w:r w:rsidR="00095152">
        <w:t xml:space="preserve"> </w:t>
      </w:r>
      <w:r w:rsidRPr="00B4497F">
        <w:t>sustaining</w:t>
      </w:r>
      <w:r w:rsidR="00095152">
        <w:t xml:space="preserve"> </w:t>
      </w:r>
      <w:r w:rsidRPr="00B4497F">
        <w:t>the</w:t>
      </w:r>
      <w:r w:rsidR="00095152">
        <w:t xml:space="preserve"> </w:t>
      </w:r>
      <w:r w:rsidRPr="00B4497F">
        <w:t>cultural</w:t>
      </w:r>
      <w:r w:rsidR="00095152">
        <w:t xml:space="preserve"> </w:t>
      </w:r>
      <w:r w:rsidRPr="00B4497F">
        <w:t>health</w:t>
      </w:r>
      <w:r w:rsidR="00095152">
        <w:t xml:space="preserve"> </w:t>
      </w:r>
      <w:r w:rsidRPr="00B4497F">
        <w:t>of</w:t>
      </w:r>
      <w:r w:rsidR="00095152">
        <w:t xml:space="preserve"> </w:t>
      </w:r>
      <w:r w:rsidRPr="00B4497F">
        <w:t>major</w:t>
      </w:r>
      <w:r w:rsidR="00095152">
        <w:t xml:space="preserve"> </w:t>
      </w:r>
      <w:r w:rsidRPr="00B4497F">
        <w:t>waterways.</w:t>
      </w:r>
      <w:r w:rsidR="00B4497F">
        <w:t xml:space="preserve"> </w:t>
      </w:r>
      <w:r w:rsidRPr="00B4497F">
        <w:t>Addressing</w:t>
      </w:r>
      <w:r w:rsidR="00095152">
        <w:t xml:space="preserve"> </w:t>
      </w:r>
      <w:r w:rsidRPr="00B4497F">
        <w:t>barriers</w:t>
      </w:r>
      <w:r w:rsidR="00095152">
        <w:t xml:space="preserve"> </w:t>
      </w:r>
      <w:r w:rsidRPr="00B4497F">
        <w:t>and</w:t>
      </w:r>
      <w:r w:rsidR="00095152">
        <w:t xml:space="preserve"> </w:t>
      </w:r>
      <w:r w:rsidRPr="00B4497F">
        <w:t>constraints,</w:t>
      </w:r>
      <w:r w:rsidR="00095152">
        <w:t xml:space="preserve"> </w:t>
      </w:r>
      <w:r w:rsidRPr="00B4497F">
        <w:t>such</w:t>
      </w:r>
      <w:r w:rsidR="00095152">
        <w:t xml:space="preserve"> </w:t>
      </w:r>
      <w:r w:rsidRPr="00B4497F">
        <w:t>as</w:t>
      </w:r>
      <w:r w:rsidR="00095152">
        <w:t xml:space="preserve"> </w:t>
      </w:r>
      <w:r w:rsidRPr="00B4497F">
        <w:t>barriers</w:t>
      </w:r>
      <w:r w:rsidR="00095152">
        <w:t xml:space="preserve"> </w:t>
      </w:r>
      <w:r w:rsidRPr="00B4497F">
        <w:t>to</w:t>
      </w:r>
      <w:r w:rsidR="00095152">
        <w:t xml:space="preserve"> </w:t>
      </w:r>
      <w:r w:rsidRPr="00B4497F">
        <w:t>fish</w:t>
      </w:r>
      <w:r w:rsidR="00095152">
        <w:t xml:space="preserve"> </w:t>
      </w:r>
      <w:r w:rsidRPr="00B4497F">
        <w:t>movement,</w:t>
      </w:r>
      <w:r w:rsidR="00095152">
        <w:t xml:space="preserve"> </w:t>
      </w:r>
      <w:r w:rsidRPr="00B4497F">
        <w:t>is</w:t>
      </w:r>
      <w:r w:rsidR="00095152">
        <w:t xml:space="preserve"> </w:t>
      </w:r>
      <w:r w:rsidRPr="00B4497F">
        <w:t>essential</w:t>
      </w:r>
      <w:r w:rsidR="00095152">
        <w:t xml:space="preserve"> </w:t>
      </w:r>
      <w:r w:rsidRPr="00B4497F">
        <w:t>to</w:t>
      </w:r>
      <w:r w:rsidR="00095152">
        <w:t xml:space="preserve"> </w:t>
      </w:r>
      <w:r w:rsidRPr="00B4497F">
        <w:t>sustain</w:t>
      </w:r>
      <w:r w:rsidR="00095152">
        <w:t xml:space="preserve"> </w:t>
      </w:r>
      <w:r w:rsidRPr="00B4497F">
        <w:t>the</w:t>
      </w:r>
      <w:r w:rsidR="00095152">
        <w:t xml:space="preserve"> </w:t>
      </w:r>
      <w:r w:rsidRPr="00B4497F">
        <w:t>interconnectivity</w:t>
      </w:r>
      <w:r w:rsidR="00095152">
        <w:t xml:space="preserve"> </w:t>
      </w:r>
      <w:r w:rsidRPr="00B4497F">
        <w:t>which</w:t>
      </w:r>
      <w:r w:rsidR="00095152">
        <w:t xml:space="preserve"> </w:t>
      </w:r>
      <w:r w:rsidRPr="00B4497F">
        <w:t>underpins</w:t>
      </w:r>
      <w:r w:rsidR="00095152">
        <w:t xml:space="preserve"> </w:t>
      </w:r>
      <w:r w:rsidR="00A561DC">
        <w:t>First Nation</w:t>
      </w:r>
      <w:r w:rsidR="00095152">
        <w:t xml:space="preserve"> </w:t>
      </w:r>
      <w:r w:rsidRPr="00B4497F">
        <w:t>stories</w:t>
      </w:r>
      <w:r w:rsidR="00095152">
        <w:t xml:space="preserve"> </w:t>
      </w:r>
      <w:r w:rsidRPr="00B4497F">
        <w:t>and</w:t>
      </w:r>
      <w:r w:rsidR="00095152">
        <w:t xml:space="preserve"> </w:t>
      </w:r>
      <w:r w:rsidRPr="00B4497F">
        <w:t>cultural</w:t>
      </w:r>
      <w:r w:rsidR="00095152">
        <w:t xml:space="preserve"> </w:t>
      </w:r>
      <w:r w:rsidRPr="00B4497F">
        <w:t>values.</w:t>
      </w:r>
      <w:r w:rsidR="00095152">
        <w:t xml:space="preserve"> </w:t>
      </w:r>
      <w:r w:rsidRPr="00B4497F">
        <w:t>Improving</w:t>
      </w:r>
      <w:r w:rsidR="00095152">
        <w:t xml:space="preserve"> </w:t>
      </w:r>
      <w:r w:rsidRPr="00B4497F">
        <w:t>the</w:t>
      </w:r>
      <w:r w:rsidR="00095152">
        <w:t xml:space="preserve"> </w:t>
      </w:r>
      <w:r w:rsidRPr="00B4497F">
        <w:t>health</w:t>
      </w:r>
      <w:r w:rsidR="00095152">
        <w:t xml:space="preserve"> </w:t>
      </w:r>
      <w:r w:rsidRPr="00B4497F">
        <w:t>of</w:t>
      </w:r>
      <w:r w:rsidR="00095152">
        <w:t xml:space="preserve"> </w:t>
      </w:r>
      <w:r w:rsidRPr="00B4497F">
        <w:t>tributary</w:t>
      </w:r>
      <w:r w:rsidR="00095152">
        <w:t xml:space="preserve"> </w:t>
      </w:r>
      <w:r w:rsidRPr="00B4497F">
        <w:t>waterways</w:t>
      </w:r>
      <w:r w:rsidR="00095152">
        <w:t xml:space="preserve"> </w:t>
      </w:r>
      <w:r w:rsidRPr="00B4497F">
        <w:t>and</w:t>
      </w:r>
      <w:r w:rsidR="00095152">
        <w:t xml:space="preserve"> </w:t>
      </w:r>
      <w:r w:rsidRPr="00B4497F">
        <w:t>ensuring</w:t>
      </w:r>
      <w:r w:rsidR="00095152">
        <w:t xml:space="preserve"> </w:t>
      </w:r>
      <w:r w:rsidRPr="00B4497F">
        <w:t>adequate</w:t>
      </w:r>
      <w:r w:rsidR="00095152">
        <w:t xml:space="preserve"> </w:t>
      </w:r>
      <w:r w:rsidRPr="00B4497F">
        <w:t>flows,</w:t>
      </w:r>
      <w:r w:rsidR="00095152">
        <w:t xml:space="preserve"> </w:t>
      </w:r>
      <w:r w:rsidRPr="00B4497F">
        <w:t>is</w:t>
      </w:r>
      <w:r w:rsidR="00095152">
        <w:t xml:space="preserve"> </w:t>
      </w:r>
      <w:r w:rsidRPr="00B4497F">
        <w:t>also</w:t>
      </w:r>
      <w:r w:rsidR="00095152">
        <w:t xml:space="preserve"> </w:t>
      </w:r>
      <w:r w:rsidRPr="00B4497F">
        <w:t>a</w:t>
      </w:r>
      <w:r w:rsidR="00095152">
        <w:t xml:space="preserve"> </w:t>
      </w:r>
      <w:r w:rsidRPr="00B4497F">
        <w:t>key</w:t>
      </w:r>
      <w:r w:rsidR="00095152">
        <w:t xml:space="preserve"> </w:t>
      </w:r>
      <w:r w:rsidRPr="00B4497F">
        <w:t>to</w:t>
      </w:r>
      <w:r w:rsidR="00095152">
        <w:t xml:space="preserve"> </w:t>
      </w:r>
      <w:r w:rsidRPr="00B4497F">
        <w:t>revitalising</w:t>
      </w:r>
      <w:r w:rsidR="00095152">
        <w:t xml:space="preserve"> </w:t>
      </w:r>
      <w:r w:rsidRPr="00B4497F">
        <w:t>major</w:t>
      </w:r>
      <w:r w:rsidR="00095152">
        <w:t xml:space="preserve"> </w:t>
      </w:r>
      <w:r w:rsidRPr="00B4497F">
        <w:t>rivers.</w:t>
      </w:r>
    </w:p>
    <w:p w14:paraId="439D7A35" w14:textId="4771568F" w:rsidR="008149AC" w:rsidRDefault="00DA1A1A" w:rsidP="00714DB0">
      <w:r w:rsidRPr="00B4497F">
        <w:t>Participating</w:t>
      </w:r>
      <w:r w:rsidR="00095152">
        <w:t xml:space="preserve"> </w:t>
      </w:r>
      <w:r w:rsidRPr="00B4497F">
        <w:t>Nations’</w:t>
      </w:r>
      <w:r w:rsidR="00095152">
        <w:t xml:space="preserve"> </w:t>
      </w:r>
      <w:r w:rsidRPr="00B4497F">
        <w:t>contributions</w:t>
      </w:r>
      <w:r w:rsidR="00095152">
        <w:t xml:space="preserve"> </w:t>
      </w:r>
      <w:r w:rsidRPr="00B4497F">
        <w:t>stressed</w:t>
      </w:r>
      <w:r w:rsidR="00095152">
        <w:t xml:space="preserve"> </w:t>
      </w:r>
      <w:r w:rsidRPr="00B4497F">
        <w:t>the</w:t>
      </w:r>
      <w:r w:rsidR="00095152">
        <w:t xml:space="preserve"> </w:t>
      </w:r>
      <w:r w:rsidRPr="00B4497F">
        <w:t>significance</w:t>
      </w:r>
      <w:r w:rsidR="00095152">
        <w:t xml:space="preserve"> </w:t>
      </w:r>
      <w:r w:rsidRPr="00B4497F">
        <w:t>of</w:t>
      </w:r>
      <w:r w:rsidR="00095152">
        <w:t xml:space="preserve"> </w:t>
      </w:r>
      <w:r w:rsidRPr="00B4497F">
        <w:t>wetlands,</w:t>
      </w:r>
      <w:r w:rsidR="00095152">
        <w:t xml:space="preserve"> </w:t>
      </w:r>
      <w:r w:rsidRPr="00B4497F">
        <w:t>billabongs</w:t>
      </w:r>
      <w:r w:rsidR="00095152">
        <w:t xml:space="preserve"> </w:t>
      </w:r>
      <w:r w:rsidRPr="00B4497F">
        <w:t>and</w:t>
      </w:r>
      <w:r w:rsidR="00095152">
        <w:t xml:space="preserve"> </w:t>
      </w:r>
      <w:r w:rsidRPr="00B4497F">
        <w:t>floodplains.</w:t>
      </w:r>
      <w:r w:rsidR="00095152">
        <w:t xml:space="preserve"> </w:t>
      </w:r>
      <w:r w:rsidRPr="00B4497F">
        <w:t>Nations</w:t>
      </w:r>
      <w:r w:rsidR="00095152">
        <w:t xml:space="preserve"> </w:t>
      </w:r>
      <w:r w:rsidRPr="00B4497F">
        <w:t>want</w:t>
      </w:r>
      <w:r w:rsidR="00095152">
        <w:t xml:space="preserve"> </w:t>
      </w:r>
      <w:r w:rsidRPr="00B4497F">
        <w:t>to</w:t>
      </w:r>
      <w:r w:rsidR="00095152">
        <w:t xml:space="preserve"> </w:t>
      </w:r>
      <w:r w:rsidRPr="00B4497F">
        <w:t>see</w:t>
      </w:r>
      <w:r w:rsidR="00095152">
        <w:t xml:space="preserve"> </w:t>
      </w:r>
      <w:r w:rsidRPr="00B4497F">
        <w:t>life</w:t>
      </w:r>
      <w:r w:rsidR="00095152">
        <w:t xml:space="preserve"> </w:t>
      </w:r>
      <w:r w:rsidRPr="00B4497F">
        <w:t>return</w:t>
      </w:r>
      <w:r w:rsidR="00095152">
        <w:t xml:space="preserve"> </w:t>
      </w:r>
      <w:r w:rsidRPr="00B4497F">
        <w:t>to</w:t>
      </w:r>
      <w:r w:rsidR="00095152">
        <w:t xml:space="preserve"> </w:t>
      </w:r>
      <w:r w:rsidRPr="00B4497F">
        <w:t>these</w:t>
      </w:r>
      <w:r w:rsidR="00F30FA6">
        <w:t xml:space="preserve"> </w:t>
      </w:r>
      <w:r w:rsidRPr="00B4497F">
        <w:t>culturally</w:t>
      </w:r>
      <w:r w:rsidR="00F30FA6">
        <w:t xml:space="preserve"> </w:t>
      </w:r>
      <w:r w:rsidRPr="00B4497F">
        <w:t>significant</w:t>
      </w:r>
      <w:r w:rsidR="00F30FA6">
        <w:t xml:space="preserve"> </w:t>
      </w:r>
      <w:r w:rsidRPr="00B4497F">
        <w:t>places</w:t>
      </w:r>
      <w:r w:rsidR="00F30FA6">
        <w:t xml:space="preserve"> </w:t>
      </w:r>
      <w:r w:rsidRPr="00B4497F">
        <w:t>through</w:t>
      </w:r>
      <w:r w:rsidR="00F30FA6">
        <w:t xml:space="preserve"> </w:t>
      </w:r>
      <w:r w:rsidRPr="00B4497F">
        <w:t>watering</w:t>
      </w:r>
      <w:r w:rsidR="00F30FA6">
        <w:t xml:space="preserve"> </w:t>
      </w:r>
      <w:r w:rsidRPr="00B4497F">
        <w:t>activities</w:t>
      </w:r>
      <w:r w:rsidR="00F30FA6">
        <w:t xml:space="preserve"> </w:t>
      </w:r>
      <w:r w:rsidRPr="00B4497F">
        <w:t>that</w:t>
      </w:r>
      <w:r w:rsidR="00F30FA6">
        <w:t xml:space="preserve"> </w:t>
      </w:r>
      <w:r w:rsidRPr="00B4497F">
        <w:t>create</w:t>
      </w:r>
      <w:r w:rsidR="00F30FA6">
        <w:t xml:space="preserve"> </w:t>
      </w:r>
      <w:r w:rsidRPr="00B4497F">
        <w:t>connectivity</w:t>
      </w:r>
      <w:r w:rsidR="00F30FA6">
        <w:t xml:space="preserve"> </w:t>
      </w:r>
      <w:r w:rsidRPr="00B4497F">
        <w:t>between</w:t>
      </w:r>
      <w:r w:rsidR="00F30FA6">
        <w:t xml:space="preserve"> </w:t>
      </w:r>
      <w:r w:rsidRPr="00B4497F">
        <w:t>rivers</w:t>
      </w:r>
      <w:r w:rsidR="00F30FA6">
        <w:t xml:space="preserve"> </w:t>
      </w:r>
      <w:r w:rsidRPr="00B4497F">
        <w:t>and</w:t>
      </w:r>
      <w:r w:rsidR="00F30FA6">
        <w:t xml:space="preserve"> </w:t>
      </w:r>
      <w:r w:rsidRPr="00B4497F">
        <w:t>floodplains</w:t>
      </w:r>
      <w:r w:rsidR="00F30FA6">
        <w:t xml:space="preserve"> </w:t>
      </w:r>
      <w:r w:rsidRPr="00B4497F">
        <w:t>and</w:t>
      </w:r>
      <w:r w:rsidR="00F30FA6">
        <w:t xml:space="preserve"> </w:t>
      </w:r>
      <w:r w:rsidRPr="00B4497F">
        <w:t>restore</w:t>
      </w:r>
      <w:r w:rsidR="00F30FA6">
        <w:t xml:space="preserve"> </w:t>
      </w:r>
      <w:r w:rsidRPr="00B4497F">
        <w:t>the</w:t>
      </w:r>
      <w:r w:rsidR="00F30FA6">
        <w:t xml:space="preserve"> </w:t>
      </w:r>
      <w:r w:rsidRPr="00B4497F">
        <w:t>hydrological</w:t>
      </w:r>
      <w:r w:rsidR="00F30FA6">
        <w:t xml:space="preserve"> </w:t>
      </w:r>
      <w:r w:rsidRPr="00B4497F">
        <w:t>cycles</w:t>
      </w:r>
      <w:r w:rsidR="00F30FA6">
        <w:t xml:space="preserve"> </w:t>
      </w:r>
      <w:r w:rsidRPr="00B4497F">
        <w:t>of</w:t>
      </w:r>
      <w:r w:rsidR="00F30FA6">
        <w:t xml:space="preserve"> </w:t>
      </w:r>
      <w:r w:rsidRPr="00B4497F">
        <w:t>degraded</w:t>
      </w:r>
      <w:r w:rsidR="00F30FA6">
        <w:t xml:space="preserve"> </w:t>
      </w:r>
      <w:r w:rsidRPr="00B4497F">
        <w:t>wetlands,</w:t>
      </w:r>
      <w:r w:rsidR="00F30FA6">
        <w:t xml:space="preserve"> </w:t>
      </w:r>
      <w:r w:rsidRPr="00B4497F">
        <w:t>thereby</w:t>
      </w:r>
      <w:r w:rsidR="00F30FA6">
        <w:t xml:space="preserve"> </w:t>
      </w:r>
      <w:r w:rsidRPr="00B4497F">
        <w:t>supporting</w:t>
      </w:r>
      <w:r w:rsidR="00F30FA6">
        <w:t xml:space="preserve"> </w:t>
      </w:r>
      <w:r w:rsidRPr="00B4497F">
        <w:t>cultural</w:t>
      </w:r>
      <w:r w:rsidR="00F30FA6">
        <w:t xml:space="preserve"> </w:t>
      </w:r>
      <w:r w:rsidRPr="00B4497F">
        <w:t>values</w:t>
      </w:r>
      <w:r w:rsidR="00F30FA6">
        <w:t xml:space="preserve"> </w:t>
      </w:r>
      <w:r w:rsidRPr="00B4497F">
        <w:t>and</w:t>
      </w:r>
      <w:r w:rsidR="00F30FA6">
        <w:t xml:space="preserve"> </w:t>
      </w:r>
      <w:r w:rsidRPr="00B4497F">
        <w:t>resources.</w:t>
      </w:r>
      <w:r w:rsidR="00F30FA6">
        <w:t xml:space="preserve"> </w:t>
      </w:r>
    </w:p>
    <w:p w14:paraId="3C1F2FC6" w14:textId="1FBB7F44" w:rsidR="00DA1A1A" w:rsidRPr="00B4497F" w:rsidRDefault="00DA1A1A" w:rsidP="00B4497F">
      <w:r w:rsidRPr="00B4497F">
        <w:t>Participating</w:t>
      </w:r>
      <w:r w:rsidR="00F30FA6">
        <w:t xml:space="preserve"> </w:t>
      </w:r>
      <w:r w:rsidRPr="00B4497F">
        <w:t>Nations</w:t>
      </w:r>
      <w:r w:rsidR="00F30FA6">
        <w:t xml:space="preserve"> </w:t>
      </w:r>
      <w:r w:rsidRPr="00B4497F">
        <w:t>identified</w:t>
      </w:r>
      <w:r w:rsidR="00F30FA6">
        <w:t xml:space="preserve"> </w:t>
      </w:r>
      <w:r w:rsidRPr="00B4497F">
        <w:t>key</w:t>
      </w:r>
      <w:r w:rsidR="00F30FA6">
        <w:t xml:space="preserve"> </w:t>
      </w:r>
      <w:r w:rsidRPr="00B4497F">
        <w:t>plant</w:t>
      </w:r>
      <w:r w:rsidR="00F30FA6">
        <w:t xml:space="preserve"> </w:t>
      </w:r>
      <w:r w:rsidRPr="00B4497F">
        <w:t>and</w:t>
      </w:r>
      <w:r w:rsidR="00F30FA6">
        <w:t xml:space="preserve"> </w:t>
      </w:r>
      <w:r w:rsidRPr="00B4497F">
        <w:t>animal</w:t>
      </w:r>
      <w:r w:rsidR="00F30FA6">
        <w:t xml:space="preserve"> </w:t>
      </w:r>
      <w:r w:rsidRPr="00B4497F">
        <w:t>species</w:t>
      </w:r>
      <w:r w:rsidR="00F30FA6">
        <w:t xml:space="preserve"> </w:t>
      </w:r>
      <w:r w:rsidRPr="00B4497F">
        <w:t>that</w:t>
      </w:r>
      <w:r w:rsidR="00F30FA6">
        <w:t xml:space="preserve"> </w:t>
      </w:r>
      <w:r w:rsidRPr="00B4497F">
        <w:t>are</w:t>
      </w:r>
      <w:r w:rsidR="00F30FA6">
        <w:t xml:space="preserve"> </w:t>
      </w:r>
      <w:r w:rsidRPr="00B4497F">
        <w:t>most</w:t>
      </w:r>
      <w:r w:rsidR="00F30FA6">
        <w:t xml:space="preserve"> </w:t>
      </w:r>
      <w:r w:rsidRPr="00B4497F">
        <w:t>in</w:t>
      </w:r>
      <w:r w:rsidR="00F30FA6">
        <w:t xml:space="preserve"> </w:t>
      </w:r>
      <w:r w:rsidRPr="00B4497F">
        <w:t>need</w:t>
      </w:r>
      <w:r w:rsidR="00F30FA6">
        <w:t xml:space="preserve"> </w:t>
      </w:r>
      <w:r w:rsidRPr="00B4497F">
        <w:t>of</w:t>
      </w:r>
      <w:r w:rsidR="00F30FA6">
        <w:t xml:space="preserve"> </w:t>
      </w:r>
      <w:r w:rsidRPr="00B4497F">
        <w:t>watering</w:t>
      </w:r>
      <w:r w:rsidR="00F30FA6">
        <w:t xml:space="preserve"> </w:t>
      </w:r>
      <w:r w:rsidRPr="00B4497F">
        <w:t>in</w:t>
      </w:r>
      <w:r w:rsidR="00F30FA6">
        <w:t xml:space="preserve"> </w:t>
      </w:r>
      <w:r w:rsidRPr="00B4497F">
        <w:t>the</w:t>
      </w:r>
      <w:r w:rsidR="00F30FA6">
        <w:t xml:space="preserve"> </w:t>
      </w:r>
      <w:r w:rsidRPr="00B4497F">
        <w:t>2020</w:t>
      </w:r>
      <w:r w:rsidR="00182619">
        <w:noBreakHyphen/>
      </w:r>
      <w:r w:rsidRPr="00B4497F">
        <w:t>21</w:t>
      </w:r>
      <w:r w:rsidR="00F30FA6">
        <w:t xml:space="preserve"> </w:t>
      </w:r>
      <w:r w:rsidRPr="00B4497F">
        <w:t>watering</w:t>
      </w:r>
      <w:r w:rsidR="00F30FA6">
        <w:t xml:space="preserve"> </w:t>
      </w:r>
      <w:r w:rsidRPr="00B4497F">
        <w:t>year.</w:t>
      </w:r>
      <w:r w:rsidR="00335E22">
        <w:t xml:space="preserve"> </w:t>
      </w:r>
      <w:r w:rsidRPr="00B4497F">
        <w:t>Key</w:t>
      </w:r>
      <w:r w:rsidR="00F30FA6">
        <w:t xml:space="preserve"> </w:t>
      </w:r>
      <w:r w:rsidRPr="00B4497F">
        <w:t>culturally</w:t>
      </w:r>
      <w:r w:rsidR="00F30FA6">
        <w:t xml:space="preserve"> </w:t>
      </w:r>
      <w:r w:rsidRPr="00B4497F">
        <w:t>significant</w:t>
      </w:r>
      <w:r w:rsidR="00F30FA6">
        <w:t xml:space="preserve"> </w:t>
      </w:r>
      <w:r w:rsidRPr="00B4497F">
        <w:t>fish</w:t>
      </w:r>
      <w:r w:rsidR="00F30FA6">
        <w:t xml:space="preserve"> </w:t>
      </w:r>
      <w:r w:rsidRPr="00B4497F">
        <w:t>suc</w:t>
      </w:r>
      <w:r w:rsidR="00335E22">
        <w:t>h</w:t>
      </w:r>
      <w:r w:rsidR="00F30FA6">
        <w:t xml:space="preserve"> </w:t>
      </w:r>
      <w:r w:rsidRPr="00B4497F">
        <w:t>has</w:t>
      </w:r>
      <w:r w:rsidR="00F30FA6">
        <w:t xml:space="preserve"> </w:t>
      </w:r>
      <w:r w:rsidRPr="00B4497F">
        <w:t>Murray</w:t>
      </w:r>
      <w:r w:rsidR="00F30FA6">
        <w:t xml:space="preserve"> </w:t>
      </w:r>
      <w:r w:rsidRPr="00B4497F">
        <w:t>Cod,</w:t>
      </w:r>
      <w:r w:rsidR="00F30FA6">
        <w:t xml:space="preserve"> </w:t>
      </w:r>
      <w:r w:rsidRPr="00B4497F">
        <w:t>Golden</w:t>
      </w:r>
      <w:r w:rsidR="00F30FA6">
        <w:t xml:space="preserve"> </w:t>
      </w:r>
      <w:r w:rsidRPr="00B4497F">
        <w:t>Perch</w:t>
      </w:r>
      <w:r w:rsidR="00F30FA6">
        <w:t xml:space="preserve"> </w:t>
      </w:r>
      <w:r w:rsidRPr="00B4497F">
        <w:t>(Yellowbelly)</w:t>
      </w:r>
      <w:r w:rsidR="00F30FA6">
        <w:t xml:space="preserve"> </w:t>
      </w:r>
      <w:r w:rsidRPr="00B4497F">
        <w:t>and</w:t>
      </w:r>
      <w:r w:rsidR="00F30FA6">
        <w:t xml:space="preserve"> </w:t>
      </w:r>
      <w:r w:rsidRPr="00B4497F">
        <w:t>catfish</w:t>
      </w:r>
      <w:r w:rsidR="00F30FA6">
        <w:t xml:space="preserve"> </w:t>
      </w:r>
      <w:r w:rsidRPr="00B4497F">
        <w:t>were</w:t>
      </w:r>
      <w:r w:rsidR="00F30FA6">
        <w:t xml:space="preserve"> </w:t>
      </w:r>
      <w:r w:rsidRPr="00B4497F">
        <w:t>identified</w:t>
      </w:r>
      <w:r w:rsidR="00F30FA6">
        <w:t xml:space="preserve"> </w:t>
      </w:r>
      <w:r w:rsidRPr="00B4497F">
        <w:t>as</w:t>
      </w:r>
      <w:r w:rsidR="00F30FA6">
        <w:t xml:space="preserve"> </w:t>
      </w:r>
      <w:r w:rsidRPr="00B4497F">
        <w:t>priorities</w:t>
      </w:r>
      <w:r w:rsidR="00F30FA6">
        <w:t xml:space="preserve"> </w:t>
      </w:r>
      <w:r w:rsidRPr="00B4497F">
        <w:t>by</w:t>
      </w:r>
      <w:r w:rsidR="00F30FA6">
        <w:t xml:space="preserve"> </w:t>
      </w:r>
      <w:r w:rsidRPr="00B4497F">
        <w:t>most</w:t>
      </w:r>
      <w:r w:rsidR="00F30FA6">
        <w:t xml:space="preserve"> </w:t>
      </w:r>
      <w:r w:rsidRPr="00B4497F">
        <w:t>Nations.</w:t>
      </w:r>
      <w:r w:rsidR="00F30FA6">
        <w:t xml:space="preserve"> </w:t>
      </w:r>
      <w:r w:rsidRPr="00B4497F">
        <w:t>More</w:t>
      </w:r>
      <w:r w:rsidR="00F30FA6">
        <w:t xml:space="preserve"> </w:t>
      </w:r>
      <w:r w:rsidRPr="00B4497F">
        <w:t>than</w:t>
      </w:r>
      <w:r w:rsidR="00F30FA6">
        <w:t xml:space="preserve"> </w:t>
      </w:r>
      <w:r w:rsidRPr="00B4497F">
        <w:t>half</w:t>
      </w:r>
      <w:r w:rsidR="00F30FA6">
        <w:t xml:space="preserve"> </w:t>
      </w:r>
      <w:r w:rsidRPr="00B4497F">
        <w:t>of</w:t>
      </w:r>
      <w:r w:rsidR="00F30FA6">
        <w:t xml:space="preserve"> </w:t>
      </w:r>
      <w:r w:rsidRPr="00B4497F">
        <w:t>all</w:t>
      </w:r>
      <w:r w:rsidR="00F30FA6">
        <w:t xml:space="preserve"> </w:t>
      </w:r>
      <w:r w:rsidRPr="00B4497F">
        <w:t>contributing</w:t>
      </w:r>
      <w:r w:rsidR="00F30FA6">
        <w:t xml:space="preserve"> </w:t>
      </w:r>
      <w:r w:rsidRPr="00B4497F">
        <w:t>Nations</w:t>
      </w:r>
      <w:r w:rsidR="00F30FA6">
        <w:t xml:space="preserve"> </w:t>
      </w:r>
      <w:r w:rsidRPr="00B4497F">
        <w:t>highlighted</w:t>
      </w:r>
      <w:r w:rsidR="00F30FA6">
        <w:t xml:space="preserve"> </w:t>
      </w:r>
      <w:r w:rsidRPr="00B4497F">
        <w:t>black</w:t>
      </w:r>
      <w:r w:rsidR="00F30FA6">
        <w:t xml:space="preserve"> </w:t>
      </w:r>
      <w:r w:rsidRPr="00B4497F">
        <w:t>swans,</w:t>
      </w:r>
      <w:r w:rsidR="00F30FA6">
        <w:t xml:space="preserve"> </w:t>
      </w:r>
      <w:r w:rsidRPr="00B4497F">
        <w:t>pelicans</w:t>
      </w:r>
      <w:r w:rsidR="00F30FA6">
        <w:t xml:space="preserve"> </w:t>
      </w:r>
      <w:r w:rsidRPr="00B4497F">
        <w:t>and</w:t>
      </w:r>
      <w:r w:rsidR="00F30FA6">
        <w:t xml:space="preserve"> </w:t>
      </w:r>
      <w:r w:rsidRPr="00B4497F">
        <w:t>duck</w:t>
      </w:r>
      <w:r w:rsidR="00F30FA6">
        <w:t xml:space="preserve"> </w:t>
      </w:r>
      <w:r w:rsidRPr="00B4497F">
        <w:t>species</w:t>
      </w:r>
      <w:r w:rsidR="00F30FA6">
        <w:t xml:space="preserve"> </w:t>
      </w:r>
      <w:r w:rsidRPr="00B4497F">
        <w:t>as</w:t>
      </w:r>
      <w:r w:rsidR="00F30FA6">
        <w:t xml:space="preserve"> </w:t>
      </w:r>
      <w:r w:rsidRPr="00B4497F">
        <w:t>culturally</w:t>
      </w:r>
      <w:r w:rsidR="00F30FA6">
        <w:t xml:space="preserve"> </w:t>
      </w:r>
      <w:r w:rsidRPr="00B4497F">
        <w:t>significant</w:t>
      </w:r>
      <w:r w:rsidR="00F30FA6">
        <w:t xml:space="preserve"> </w:t>
      </w:r>
      <w:r w:rsidRPr="00B4497F">
        <w:t>waterbirds</w:t>
      </w:r>
      <w:r w:rsidR="00F30FA6">
        <w:t xml:space="preserve"> </w:t>
      </w:r>
      <w:r w:rsidRPr="00B4497F">
        <w:t>that</w:t>
      </w:r>
      <w:r w:rsidR="00F30FA6">
        <w:t xml:space="preserve"> </w:t>
      </w:r>
      <w:r w:rsidRPr="00B4497F">
        <w:t>would</w:t>
      </w:r>
      <w:r w:rsidR="00F30FA6">
        <w:t xml:space="preserve"> </w:t>
      </w:r>
      <w:r w:rsidRPr="00B4497F">
        <w:t>benefit</w:t>
      </w:r>
      <w:r w:rsidR="00F30FA6">
        <w:t xml:space="preserve"> </w:t>
      </w:r>
      <w:r w:rsidRPr="00B4497F">
        <w:t>from</w:t>
      </w:r>
      <w:r w:rsidR="00F30FA6">
        <w:t xml:space="preserve"> </w:t>
      </w:r>
      <w:r w:rsidRPr="00B4497F">
        <w:t>environmental</w:t>
      </w:r>
      <w:r w:rsidR="00F30FA6">
        <w:t xml:space="preserve"> </w:t>
      </w:r>
      <w:r w:rsidRPr="00B4497F">
        <w:lastRenderedPageBreak/>
        <w:t>watering.</w:t>
      </w:r>
      <w:r w:rsidR="00F30FA6">
        <w:t xml:space="preserve"> </w:t>
      </w:r>
      <w:r w:rsidRPr="00B4497F">
        <w:t>Improved</w:t>
      </w:r>
      <w:r w:rsidR="00F30FA6">
        <w:t xml:space="preserve"> </w:t>
      </w:r>
      <w:r w:rsidRPr="00B4497F">
        <w:t>health</w:t>
      </w:r>
      <w:r w:rsidR="00F30FA6">
        <w:t xml:space="preserve"> </w:t>
      </w:r>
      <w:r w:rsidRPr="00B4497F">
        <w:t>and</w:t>
      </w:r>
      <w:r w:rsidR="00F30FA6">
        <w:t xml:space="preserve"> </w:t>
      </w:r>
      <w:r w:rsidRPr="00B4497F">
        <w:t>abundance</w:t>
      </w:r>
      <w:r w:rsidR="00F30FA6">
        <w:t xml:space="preserve"> </w:t>
      </w:r>
      <w:r w:rsidRPr="00B4497F">
        <w:t>of</w:t>
      </w:r>
      <w:r w:rsidR="00F30FA6">
        <w:t xml:space="preserve"> </w:t>
      </w:r>
      <w:r w:rsidRPr="00B4497F">
        <w:t>old</w:t>
      </w:r>
      <w:r w:rsidR="00F30FA6">
        <w:t xml:space="preserve"> </w:t>
      </w:r>
      <w:r w:rsidRPr="00B4497F">
        <w:t>ma</w:t>
      </w:r>
      <w:r w:rsidR="00F30FA6">
        <w:t xml:space="preserve">n </w:t>
      </w:r>
      <w:r w:rsidRPr="00B4497F">
        <w:t>weed</w:t>
      </w:r>
      <w:r w:rsidR="00F30FA6">
        <w:t xml:space="preserve"> </w:t>
      </w:r>
      <w:r w:rsidRPr="00B4497F">
        <w:t>and</w:t>
      </w:r>
      <w:r w:rsidR="00F30FA6">
        <w:t xml:space="preserve"> </w:t>
      </w:r>
      <w:r w:rsidRPr="00B4497F">
        <w:t>other</w:t>
      </w:r>
      <w:r w:rsidR="00F30FA6">
        <w:t xml:space="preserve"> </w:t>
      </w:r>
      <w:r w:rsidRPr="00B4497F">
        <w:t>medicinal</w:t>
      </w:r>
      <w:r w:rsidR="00F30FA6">
        <w:t xml:space="preserve"> </w:t>
      </w:r>
      <w:r w:rsidRPr="00B4497F">
        <w:t>plants</w:t>
      </w:r>
      <w:r w:rsidR="00F30FA6">
        <w:t xml:space="preserve"> </w:t>
      </w:r>
      <w:r w:rsidRPr="00B4497F">
        <w:t>were</w:t>
      </w:r>
      <w:r w:rsidR="00F30FA6">
        <w:t xml:space="preserve"> </w:t>
      </w:r>
      <w:r w:rsidRPr="00B4497F">
        <w:t>noted</w:t>
      </w:r>
      <w:r w:rsidR="00F30FA6">
        <w:t xml:space="preserve"> </w:t>
      </w:r>
      <w:r w:rsidRPr="00B4497F">
        <w:t>as</w:t>
      </w:r>
      <w:r w:rsidR="00F30FA6">
        <w:t xml:space="preserve"> </w:t>
      </w:r>
      <w:r w:rsidRPr="00B4497F">
        <w:t>priorities</w:t>
      </w:r>
      <w:r w:rsidR="00F30FA6">
        <w:t xml:space="preserve"> </w:t>
      </w:r>
      <w:r w:rsidRPr="00B4497F">
        <w:t>for</w:t>
      </w:r>
      <w:r w:rsidR="00F30FA6">
        <w:t xml:space="preserve"> </w:t>
      </w:r>
      <w:r w:rsidRPr="00B4497F">
        <w:t>vegetation,</w:t>
      </w:r>
      <w:r w:rsidR="00F30FA6">
        <w:t xml:space="preserve"> </w:t>
      </w:r>
      <w:r w:rsidRPr="00B4497F">
        <w:t>alongside</w:t>
      </w:r>
      <w:r w:rsidR="00F30FA6">
        <w:t xml:space="preserve"> </w:t>
      </w:r>
      <w:r w:rsidRPr="00B4497F">
        <w:t>improved</w:t>
      </w:r>
      <w:r w:rsidR="00F30FA6">
        <w:t xml:space="preserve"> </w:t>
      </w:r>
      <w:r w:rsidRPr="00B4497F">
        <w:t>outcomes</w:t>
      </w:r>
      <w:r w:rsidR="00F30FA6">
        <w:t xml:space="preserve"> </w:t>
      </w:r>
      <w:r w:rsidRPr="00B4497F">
        <w:t>for</w:t>
      </w:r>
      <w:r w:rsidR="00F30FA6">
        <w:t xml:space="preserve"> </w:t>
      </w:r>
      <w:r w:rsidRPr="00B4497F">
        <w:t>river</w:t>
      </w:r>
      <w:r w:rsidR="00F30FA6">
        <w:t xml:space="preserve"> </w:t>
      </w:r>
      <w:r w:rsidRPr="00B4497F">
        <w:t>redgums,</w:t>
      </w:r>
      <w:r w:rsidR="00F30FA6">
        <w:t xml:space="preserve"> </w:t>
      </w:r>
      <w:r w:rsidRPr="00B4497F">
        <w:t>blackbox,</w:t>
      </w:r>
      <w:r w:rsidR="00F30FA6">
        <w:t xml:space="preserve"> </w:t>
      </w:r>
      <w:r w:rsidRPr="00B4497F">
        <w:t>cumbungi</w:t>
      </w:r>
      <w:r w:rsidR="00F30FA6">
        <w:t xml:space="preserve"> </w:t>
      </w:r>
      <w:r w:rsidRPr="00B4497F">
        <w:t>and</w:t>
      </w:r>
      <w:r w:rsidR="00F30FA6">
        <w:t xml:space="preserve"> </w:t>
      </w:r>
      <w:r w:rsidRPr="00B4497F">
        <w:t>lignum.</w:t>
      </w:r>
    </w:p>
    <w:p w14:paraId="37697783" w14:textId="4CD9173A" w:rsidR="00DA1A1A" w:rsidRPr="00B4497F" w:rsidRDefault="00DA1A1A" w:rsidP="00B4497F">
      <w:r w:rsidRPr="00B4497F">
        <w:t>Critically,</w:t>
      </w:r>
      <w:r w:rsidR="00F30FA6">
        <w:t xml:space="preserve"> </w:t>
      </w:r>
      <w:r w:rsidRPr="00B4497F">
        <w:t>Nations</w:t>
      </w:r>
      <w:r w:rsidR="00F30FA6">
        <w:t xml:space="preserve"> </w:t>
      </w:r>
      <w:r w:rsidRPr="00B4497F">
        <w:t>stressed</w:t>
      </w:r>
      <w:r w:rsidR="00F30FA6">
        <w:t xml:space="preserve"> </w:t>
      </w:r>
      <w:r w:rsidRPr="00B4497F">
        <w:t>the</w:t>
      </w:r>
      <w:r w:rsidR="00F30FA6">
        <w:t xml:space="preserve"> </w:t>
      </w:r>
      <w:r w:rsidRPr="00B4497F">
        <w:t>importance</w:t>
      </w:r>
      <w:r w:rsidR="00F30FA6">
        <w:t xml:space="preserve"> </w:t>
      </w:r>
      <w:r w:rsidRPr="00B4497F">
        <w:t>of</w:t>
      </w:r>
      <w:r w:rsidR="00F30FA6">
        <w:t xml:space="preserve"> </w:t>
      </w:r>
      <w:r w:rsidRPr="00B4497F">
        <w:t>considering</w:t>
      </w:r>
      <w:r w:rsidR="00F30FA6">
        <w:t xml:space="preserve"> </w:t>
      </w:r>
      <w:r w:rsidRPr="00B4497F">
        <w:t>outcomes</w:t>
      </w:r>
      <w:r w:rsidR="00F30FA6">
        <w:t xml:space="preserve"> </w:t>
      </w:r>
      <w:r w:rsidRPr="00B4497F">
        <w:t>beyond</w:t>
      </w:r>
      <w:r w:rsidR="00F30FA6">
        <w:t xml:space="preserve"> </w:t>
      </w:r>
      <w:r w:rsidRPr="00B4497F">
        <w:t>fish,</w:t>
      </w:r>
      <w:r w:rsidR="00F30FA6">
        <w:t xml:space="preserve"> </w:t>
      </w:r>
      <w:r w:rsidRPr="00B4497F">
        <w:t>waterbirds</w:t>
      </w:r>
      <w:r w:rsidR="00F30FA6">
        <w:t xml:space="preserve"> </w:t>
      </w:r>
      <w:r w:rsidRPr="00B4497F">
        <w:t>and</w:t>
      </w:r>
      <w:r w:rsidR="00F30FA6">
        <w:t xml:space="preserve"> </w:t>
      </w:r>
      <w:r w:rsidRPr="00B4497F">
        <w:t>vegetation.</w:t>
      </w:r>
      <w:r w:rsidR="00F30FA6">
        <w:t xml:space="preserve"> </w:t>
      </w:r>
      <w:r w:rsidRPr="00B4497F">
        <w:t>Nations</w:t>
      </w:r>
      <w:r w:rsidR="00F30FA6">
        <w:t xml:space="preserve"> </w:t>
      </w:r>
      <w:r w:rsidR="00095152" w:rsidRPr="00B4497F">
        <w:t>al</w:t>
      </w:r>
      <w:r w:rsidRPr="00B4497F">
        <w:t>so</w:t>
      </w:r>
      <w:r w:rsidR="00F30FA6">
        <w:t xml:space="preserve"> </w:t>
      </w:r>
      <w:r w:rsidRPr="00B4497F">
        <w:t>want</w:t>
      </w:r>
      <w:r w:rsidR="00F30FA6">
        <w:t xml:space="preserve"> </w:t>
      </w:r>
      <w:r w:rsidRPr="00B4497F">
        <w:t>to</w:t>
      </w:r>
      <w:r w:rsidR="00F30FA6">
        <w:t xml:space="preserve"> </w:t>
      </w:r>
      <w:r w:rsidRPr="00B4497F">
        <w:t>see</w:t>
      </w:r>
      <w:r w:rsidR="00F30FA6">
        <w:t xml:space="preserve"> </w:t>
      </w:r>
      <w:r w:rsidRPr="00B4497F">
        <w:t>improved</w:t>
      </w:r>
      <w:r w:rsidR="00F30FA6">
        <w:t xml:space="preserve"> </w:t>
      </w:r>
      <w:r w:rsidRPr="00B4497F">
        <w:t>outcomes</w:t>
      </w:r>
      <w:r w:rsidR="00F30FA6">
        <w:t xml:space="preserve"> </w:t>
      </w:r>
      <w:r w:rsidRPr="00B4497F">
        <w:t>for</w:t>
      </w:r>
      <w:r w:rsidR="00F30FA6">
        <w:t xml:space="preserve"> </w:t>
      </w:r>
      <w:r w:rsidRPr="00B4497F">
        <w:t>aquatic</w:t>
      </w:r>
      <w:r w:rsidR="00F30FA6">
        <w:t xml:space="preserve"> </w:t>
      </w:r>
      <w:r w:rsidRPr="00B4497F">
        <w:t>fauna</w:t>
      </w:r>
      <w:r w:rsidR="00F30FA6">
        <w:t xml:space="preserve"> </w:t>
      </w:r>
      <w:r w:rsidRPr="00B4497F">
        <w:t>such</w:t>
      </w:r>
      <w:r w:rsidR="00F30FA6">
        <w:t xml:space="preserve"> </w:t>
      </w:r>
      <w:r w:rsidRPr="00B4497F">
        <w:t>as</w:t>
      </w:r>
      <w:r w:rsidR="00F30FA6">
        <w:t xml:space="preserve"> </w:t>
      </w:r>
      <w:r w:rsidRPr="00B4497F">
        <w:t>turtles,</w:t>
      </w:r>
      <w:r w:rsidR="00F30FA6">
        <w:t xml:space="preserve"> </w:t>
      </w:r>
      <w:r w:rsidRPr="00B4497F">
        <w:t>yabbies,</w:t>
      </w:r>
      <w:r w:rsidR="00F30FA6">
        <w:t xml:space="preserve"> </w:t>
      </w:r>
      <w:r w:rsidRPr="00B4497F">
        <w:t>frogs,</w:t>
      </w:r>
      <w:r w:rsidR="00F30FA6">
        <w:t xml:space="preserve"> </w:t>
      </w:r>
      <w:r w:rsidRPr="00B4497F">
        <w:t>platypus</w:t>
      </w:r>
      <w:r w:rsidR="00F30FA6">
        <w:t xml:space="preserve"> </w:t>
      </w:r>
      <w:r w:rsidRPr="00B4497F">
        <w:t>and</w:t>
      </w:r>
      <w:r w:rsidR="00F30FA6">
        <w:t xml:space="preserve"> </w:t>
      </w:r>
      <w:r w:rsidRPr="00B4497F">
        <w:t>rakali</w:t>
      </w:r>
      <w:r w:rsidR="00F30FA6">
        <w:t xml:space="preserve"> </w:t>
      </w:r>
      <w:r w:rsidRPr="00B4497F">
        <w:t>(water</w:t>
      </w:r>
      <w:r w:rsidR="00F30FA6">
        <w:t xml:space="preserve"> </w:t>
      </w:r>
      <w:r w:rsidRPr="00B4497F">
        <w:t>rat).</w:t>
      </w:r>
      <w:r w:rsidR="00B4497F">
        <w:t xml:space="preserve"> </w:t>
      </w:r>
      <w:r w:rsidRPr="00B4497F">
        <w:t>The</w:t>
      </w:r>
      <w:r w:rsidR="00F30FA6">
        <w:t xml:space="preserve"> </w:t>
      </w:r>
      <w:r w:rsidRPr="00B4497F">
        <w:t>contributions</w:t>
      </w:r>
      <w:r w:rsidR="00F30FA6">
        <w:t xml:space="preserve"> </w:t>
      </w:r>
      <w:r w:rsidRPr="00B4497F">
        <w:t>also</w:t>
      </w:r>
      <w:r w:rsidR="00F30FA6">
        <w:t xml:space="preserve"> </w:t>
      </w:r>
      <w:r w:rsidRPr="00B4497F">
        <w:t>stressed</w:t>
      </w:r>
      <w:r w:rsidR="00F30FA6">
        <w:t xml:space="preserve"> </w:t>
      </w:r>
      <w:r w:rsidRPr="00B4497F">
        <w:t>the</w:t>
      </w:r>
      <w:r w:rsidR="00F30FA6">
        <w:t xml:space="preserve"> </w:t>
      </w:r>
      <w:r w:rsidRPr="00B4497F">
        <w:t>importance</w:t>
      </w:r>
      <w:r w:rsidR="00F30FA6">
        <w:t xml:space="preserve"> </w:t>
      </w:r>
      <w:r w:rsidRPr="00B4497F">
        <w:t>of</w:t>
      </w:r>
      <w:r w:rsidR="00F30FA6">
        <w:t xml:space="preserve"> </w:t>
      </w:r>
      <w:r w:rsidRPr="00B4497F">
        <w:t>environmental</w:t>
      </w:r>
      <w:r w:rsidR="00F30FA6">
        <w:t xml:space="preserve"> </w:t>
      </w:r>
      <w:r w:rsidRPr="00B4497F">
        <w:t>watering</w:t>
      </w:r>
      <w:r w:rsidR="00F30FA6">
        <w:t xml:space="preserve"> </w:t>
      </w:r>
      <w:r w:rsidRPr="00B4497F">
        <w:t>in</w:t>
      </w:r>
      <w:r w:rsidR="00F30FA6">
        <w:t xml:space="preserve"> </w:t>
      </w:r>
      <w:r w:rsidRPr="00B4497F">
        <w:t>sustaining</w:t>
      </w:r>
      <w:r w:rsidR="00F30FA6">
        <w:t xml:space="preserve"> </w:t>
      </w:r>
      <w:r w:rsidRPr="00B4497F">
        <w:t>healthy</w:t>
      </w:r>
      <w:r w:rsidR="00F30FA6">
        <w:t xml:space="preserve"> </w:t>
      </w:r>
      <w:r w:rsidRPr="00B4497F">
        <w:t>populations</w:t>
      </w:r>
      <w:r w:rsidR="00F30FA6">
        <w:t xml:space="preserve"> </w:t>
      </w:r>
      <w:r w:rsidRPr="00B4497F">
        <w:t>of</w:t>
      </w:r>
      <w:r w:rsidR="00F30FA6">
        <w:t xml:space="preserve"> </w:t>
      </w:r>
      <w:r w:rsidRPr="00B4497F">
        <w:t>important</w:t>
      </w:r>
      <w:r w:rsidR="00F30FA6">
        <w:t xml:space="preserve"> </w:t>
      </w:r>
      <w:r w:rsidRPr="00B4497F">
        <w:t>terrestrial</w:t>
      </w:r>
      <w:r w:rsidR="00F30FA6">
        <w:t xml:space="preserve"> </w:t>
      </w:r>
      <w:r w:rsidRPr="00B4497F">
        <w:t>fauna</w:t>
      </w:r>
      <w:r w:rsidR="00F30FA6">
        <w:t xml:space="preserve"> </w:t>
      </w:r>
      <w:r w:rsidRPr="00B4497F">
        <w:t>such</w:t>
      </w:r>
      <w:r w:rsidR="00F30FA6">
        <w:t xml:space="preserve"> </w:t>
      </w:r>
      <w:r w:rsidRPr="00B4497F">
        <w:t>as</w:t>
      </w:r>
      <w:r w:rsidR="00F30FA6">
        <w:t xml:space="preserve"> </w:t>
      </w:r>
      <w:r w:rsidRPr="00B4497F">
        <w:t>kangaroo</w:t>
      </w:r>
      <w:r w:rsidR="00F30FA6">
        <w:t xml:space="preserve"> </w:t>
      </w:r>
      <w:r w:rsidRPr="00B4497F">
        <w:t>and</w:t>
      </w:r>
      <w:r w:rsidR="00F30FA6">
        <w:t xml:space="preserve"> </w:t>
      </w:r>
      <w:r w:rsidRPr="00B4497F">
        <w:t>emu.</w:t>
      </w:r>
    </w:p>
    <w:p w14:paraId="2D402F2C" w14:textId="74DF2BB6" w:rsidR="00C422D6" w:rsidRDefault="00DA1A1A" w:rsidP="00B4497F">
      <w:r w:rsidRPr="00B4497F">
        <w:t>Participating</w:t>
      </w:r>
      <w:r w:rsidR="00F30FA6">
        <w:t xml:space="preserve"> </w:t>
      </w:r>
      <w:r w:rsidRPr="00B4497F">
        <w:t>Nations</w:t>
      </w:r>
      <w:r w:rsidR="00F30FA6">
        <w:t xml:space="preserve"> </w:t>
      </w:r>
      <w:r w:rsidRPr="00B4497F">
        <w:t>have</w:t>
      </w:r>
      <w:r w:rsidR="00F30FA6">
        <w:t xml:space="preserve"> </w:t>
      </w:r>
      <w:r w:rsidRPr="00B4497F">
        <w:t>identified</w:t>
      </w:r>
      <w:r w:rsidR="00F30FA6">
        <w:t xml:space="preserve"> </w:t>
      </w:r>
      <w:r w:rsidRPr="00B4497F">
        <w:t>a</w:t>
      </w:r>
      <w:r w:rsidR="00F30FA6">
        <w:t xml:space="preserve"> </w:t>
      </w:r>
      <w:r w:rsidRPr="00B4497F">
        <w:t>range</w:t>
      </w:r>
      <w:r w:rsidR="00F30FA6">
        <w:t xml:space="preserve"> </w:t>
      </w:r>
      <w:r w:rsidRPr="00B4497F">
        <w:t>of</w:t>
      </w:r>
      <w:r w:rsidR="00F30FA6">
        <w:t xml:space="preserve"> </w:t>
      </w:r>
      <w:r w:rsidRPr="00B4497F">
        <w:t>key</w:t>
      </w:r>
      <w:r w:rsidR="00F30FA6">
        <w:t xml:space="preserve"> </w:t>
      </w:r>
      <w:r w:rsidRPr="00B4497F">
        <w:t>threats</w:t>
      </w:r>
      <w:r w:rsidR="00F30FA6">
        <w:t xml:space="preserve"> </w:t>
      </w:r>
      <w:r w:rsidRPr="00B4497F">
        <w:t>to</w:t>
      </w:r>
      <w:r w:rsidR="00F30FA6">
        <w:t xml:space="preserve"> </w:t>
      </w:r>
      <w:r w:rsidRPr="00B4497F">
        <w:t>the</w:t>
      </w:r>
      <w:r w:rsidR="00F30FA6">
        <w:t xml:space="preserve"> </w:t>
      </w:r>
      <w:r w:rsidRPr="00B4497F">
        <w:t>cultural</w:t>
      </w:r>
      <w:r w:rsidR="00F30FA6">
        <w:t xml:space="preserve"> </w:t>
      </w:r>
      <w:r w:rsidRPr="00B4497F">
        <w:t>health</w:t>
      </w:r>
      <w:r w:rsidR="00F30FA6">
        <w:t xml:space="preserve"> </w:t>
      </w:r>
      <w:r w:rsidRPr="00B4497F">
        <w:t>of</w:t>
      </w:r>
      <w:r w:rsidR="00F30FA6">
        <w:t xml:space="preserve"> </w:t>
      </w:r>
      <w:r w:rsidRPr="00B4497F">
        <w:t>waterways</w:t>
      </w:r>
      <w:r w:rsidR="00F30FA6">
        <w:t xml:space="preserve"> </w:t>
      </w:r>
      <w:r w:rsidRPr="00B4497F">
        <w:t>as</w:t>
      </w:r>
      <w:r w:rsidR="00F30FA6">
        <w:t xml:space="preserve"> </w:t>
      </w:r>
      <w:r w:rsidRPr="00B4497F">
        <w:t>well</w:t>
      </w:r>
      <w:r w:rsidR="00F30FA6">
        <w:t xml:space="preserve"> </w:t>
      </w:r>
      <w:r w:rsidRPr="00B4497F">
        <w:t>as</w:t>
      </w:r>
      <w:r w:rsidR="00F30FA6">
        <w:t xml:space="preserve"> </w:t>
      </w:r>
      <w:r w:rsidRPr="00B4497F">
        <w:t>preferences</w:t>
      </w:r>
      <w:r w:rsidR="00F30FA6">
        <w:t xml:space="preserve"> </w:t>
      </w:r>
      <w:r w:rsidRPr="00B4497F">
        <w:t>for</w:t>
      </w:r>
      <w:r w:rsidR="00F30FA6">
        <w:t xml:space="preserve"> </w:t>
      </w:r>
      <w:r w:rsidRPr="00B4497F">
        <w:t>improved</w:t>
      </w:r>
      <w:r w:rsidR="00F30FA6">
        <w:t xml:space="preserve"> </w:t>
      </w:r>
      <w:r w:rsidRPr="00B4497F">
        <w:t>participation</w:t>
      </w:r>
      <w:r w:rsidR="00F30FA6">
        <w:t xml:space="preserve"> </w:t>
      </w:r>
      <w:r w:rsidRPr="00B4497F">
        <w:t>in</w:t>
      </w:r>
      <w:r w:rsidR="00F30FA6">
        <w:t xml:space="preserve"> </w:t>
      </w:r>
      <w:r w:rsidRPr="00B4497F">
        <w:t>environmental</w:t>
      </w:r>
      <w:r w:rsidR="00F30FA6">
        <w:t xml:space="preserve"> </w:t>
      </w:r>
      <w:r w:rsidRPr="00B4497F">
        <w:t>water</w:t>
      </w:r>
      <w:r w:rsidR="00F30FA6">
        <w:t xml:space="preserve"> </w:t>
      </w:r>
      <w:r w:rsidRPr="00B4497F">
        <w:t>planning</w:t>
      </w:r>
      <w:r w:rsidR="00F30FA6">
        <w:t xml:space="preserve"> </w:t>
      </w:r>
      <w:r w:rsidRPr="00B4497F">
        <w:t>for</w:t>
      </w:r>
      <w:r w:rsidR="00F30FA6">
        <w:t xml:space="preserve"> </w:t>
      </w:r>
      <w:r w:rsidRPr="00B4497F">
        <w:t>2020‐21.</w:t>
      </w:r>
      <w:r w:rsidR="00B4497F">
        <w:t xml:space="preserve"> </w:t>
      </w:r>
      <w:r w:rsidRPr="00B4497F">
        <w:t>Water</w:t>
      </w:r>
      <w:r w:rsidR="00A561DC">
        <w:t xml:space="preserve"> </w:t>
      </w:r>
      <w:r w:rsidRPr="00B4497F">
        <w:t>holders</w:t>
      </w:r>
      <w:r w:rsidR="00F30FA6">
        <w:t xml:space="preserve"> </w:t>
      </w:r>
      <w:r w:rsidRPr="00B4497F">
        <w:t>should</w:t>
      </w:r>
      <w:r w:rsidR="00F30FA6">
        <w:t xml:space="preserve"> </w:t>
      </w:r>
      <w:r w:rsidRPr="00B4497F">
        <w:t>consider</w:t>
      </w:r>
      <w:r w:rsidR="00F30FA6">
        <w:t xml:space="preserve"> </w:t>
      </w:r>
      <w:r w:rsidRPr="00B4497F">
        <w:t>these</w:t>
      </w:r>
      <w:r w:rsidR="00F30FA6">
        <w:t xml:space="preserve"> </w:t>
      </w:r>
      <w:r w:rsidRPr="00B4497F">
        <w:t>preferences</w:t>
      </w:r>
      <w:r w:rsidR="00F30FA6">
        <w:t xml:space="preserve"> </w:t>
      </w:r>
      <w:r w:rsidRPr="00B4497F">
        <w:t>alongside</w:t>
      </w:r>
      <w:r w:rsidR="00F30FA6">
        <w:t xml:space="preserve"> </w:t>
      </w:r>
      <w:r w:rsidRPr="00B4497F">
        <w:t>the</w:t>
      </w:r>
      <w:r w:rsidR="00F30FA6">
        <w:t xml:space="preserve"> </w:t>
      </w:r>
      <w:r w:rsidRPr="00B4497F">
        <w:t>detailed,</w:t>
      </w:r>
      <w:r w:rsidR="00F30FA6">
        <w:t xml:space="preserve"> </w:t>
      </w:r>
      <w:r w:rsidRPr="00B4497F">
        <w:t>locally</w:t>
      </w:r>
      <w:r w:rsidR="00F30FA6">
        <w:t xml:space="preserve"> </w:t>
      </w:r>
      <w:r w:rsidRPr="00B4497F">
        <w:t>specific</w:t>
      </w:r>
      <w:r w:rsidR="00F30FA6">
        <w:t xml:space="preserve"> </w:t>
      </w:r>
      <w:r w:rsidRPr="00B4497F">
        <w:t>watering</w:t>
      </w:r>
      <w:r w:rsidR="00F30FA6">
        <w:t xml:space="preserve"> </w:t>
      </w:r>
      <w:r w:rsidRPr="00B4497F">
        <w:t>objectives</w:t>
      </w:r>
      <w:r w:rsidR="00F30FA6">
        <w:t xml:space="preserve"> </w:t>
      </w:r>
      <w:r w:rsidRPr="00B4497F">
        <w:t>produced</w:t>
      </w:r>
      <w:r w:rsidR="00F30FA6">
        <w:t xml:space="preserve"> </w:t>
      </w:r>
      <w:r w:rsidRPr="00B4497F">
        <w:t>by</w:t>
      </w:r>
      <w:r w:rsidR="00F30FA6">
        <w:t xml:space="preserve"> </w:t>
      </w:r>
      <w:r w:rsidRPr="00B4497F">
        <w:t>Nations.</w:t>
      </w:r>
      <w:r w:rsidR="00F30FA6">
        <w:t xml:space="preserve"> </w:t>
      </w:r>
      <w:r w:rsidRPr="00B4497F">
        <w:t>It</w:t>
      </w:r>
      <w:r w:rsidR="00F30FA6">
        <w:t xml:space="preserve"> </w:t>
      </w:r>
      <w:r w:rsidRPr="00B4497F">
        <w:t>is</w:t>
      </w:r>
      <w:r w:rsidR="00F30FA6">
        <w:t xml:space="preserve"> </w:t>
      </w:r>
      <w:r w:rsidRPr="00B4497F">
        <w:t>essential</w:t>
      </w:r>
      <w:r w:rsidR="00F30FA6">
        <w:t xml:space="preserve"> </w:t>
      </w:r>
      <w:r w:rsidRPr="00B4497F">
        <w:t>that</w:t>
      </w:r>
      <w:r w:rsidR="00F30FA6">
        <w:t xml:space="preserve"> </w:t>
      </w:r>
      <w:r w:rsidRPr="00B4497F">
        <w:t>water</w:t>
      </w:r>
      <w:r w:rsidR="00F30FA6">
        <w:t xml:space="preserve"> </w:t>
      </w:r>
      <w:r w:rsidRPr="00B4497F">
        <w:t>holders</w:t>
      </w:r>
      <w:r w:rsidR="00F30FA6">
        <w:t xml:space="preserve"> </w:t>
      </w:r>
      <w:r w:rsidRPr="00B4497F">
        <w:t>continue,</w:t>
      </w:r>
      <w:r w:rsidR="00F30FA6">
        <w:t xml:space="preserve"> </w:t>
      </w:r>
      <w:r w:rsidRPr="00B4497F">
        <w:t>and</w:t>
      </w:r>
      <w:r w:rsidR="00F30FA6">
        <w:t xml:space="preserve"> </w:t>
      </w:r>
      <w:r w:rsidRPr="00B4497F">
        <w:t>strengthen,</w:t>
      </w:r>
      <w:r w:rsidR="00F30FA6">
        <w:t xml:space="preserve"> </w:t>
      </w:r>
      <w:r w:rsidRPr="00B4497F">
        <w:t>direct</w:t>
      </w:r>
      <w:r w:rsidR="00F30FA6">
        <w:t xml:space="preserve"> </w:t>
      </w:r>
      <w:r w:rsidRPr="00B4497F">
        <w:t>engagement</w:t>
      </w:r>
      <w:r w:rsidR="00F30FA6">
        <w:t xml:space="preserve"> </w:t>
      </w:r>
      <w:r w:rsidRPr="00B4497F">
        <w:t>with</w:t>
      </w:r>
      <w:r w:rsidR="00F30FA6">
        <w:t xml:space="preserve"> </w:t>
      </w:r>
      <w:r w:rsidRPr="00B4497F">
        <w:t>First</w:t>
      </w:r>
      <w:r w:rsidR="00F30FA6">
        <w:t xml:space="preserve"> </w:t>
      </w:r>
      <w:r w:rsidRPr="00B4497F">
        <w:t>Nations</w:t>
      </w:r>
      <w:r w:rsidR="00F30FA6">
        <w:t xml:space="preserve"> </w:t>
      </w:r>
      <w:r w:rsidRPr="00B4497F">
        <w:t>to</w:t>
      </w:r>
      <w:r w:rsidR="00F30FA6">
        <w:t xml:space="preserve"> </w:t>
      </w:r>
      <w:r w:rsidRPr="00B4497F">
        <w:t>empower</w:t>
      </w:r>
      <w:r w:rsidR="00F30FA6">
        <w:t xml:space="preserve"> </w:t>
      </w:r>
      <w:r w:rsidRPr="00B4497F">
        <w:t>participation</w:t>
      </w:r>
      <w:r w:rsidR="00F30FA6">
        <w:t xml:space="preserve"> </w:t>
      </w:r>
      <w:r w:rsidRPr="00B4497F">
        <w:t>in</w:t>
      </w:r>
      <w:r w:rsidR="00F30FA6">
        <w:t xml:space="preserve"> </w:t>
      </w:r>
      <w:r w:rsidRPr="00B4497F">
        <w:t>environmental</w:t>
      </w:r>
      <w:r w:rsidR="00F30FA6">
        <w:t xml:space="preserve"> </w:t>
      </w:r>
      <w:r w:rsidRPr="00B4497F">
        <w:t>water</w:t>
      </w:r>
      <w:r w:rsidR="00F30FA6">
        <w:t xml:space="preserve"> </w:t>
      </w:r>
      <w:r w:rsidRPr="00B4497F">
        <w:t>planning</w:t>
      </w:r>
      <w:r w:rsidR="00F30FA6">
        <w:t xml:space="preserve"> </w:t>
      </w:r>
      <w:r w:rsidRPr="00B4497F">
        <w:t>and</w:t>
      </w:r>
      <w:r w:rsidR="00F30FA6">
        <w:t xml:space="preserve"> </w:t>
      </w:r>
      <w:r w:rsidRPr="00B4497F">
        <w:t>delivery.</w:t>
      </w:r>
    </w:p>
    <w:p w14:paraId="083DAF30" w14:textId="1A661190" w:rsidR="00316F8D" w:rsidRPr="006821CB" w:rsidRDefault="00316F8D" w:rsidP="0057535E">
      <w:pPr>
        <w:pStyle w:val="Heading2"/>
      </w:pPr>
      <w:bookmarkStart w:id="48" w:name="_Toc44942523"/>
      <w:r>
        <w:t>Water availability</w:t>
      </w:r>
      <w:bookmarkEnd w:id="48"/>
    </w:p>
    <w:p w14:paraId="49D064DE" w14:textId="5419DA66" w:rsidR="00C64F84" w:rsidRPr="00CD3AF4" w:rsidRDefault="00C64F84" w:rsidP="00C64F84">
      <w:pPr>
        <w:shd w:val="clear" w:color="auto" w:fill="DAEEF3" w:themeFill="accent5" w:themeFillTint="33"/>
        <w:rPr>
          <w:b/>
          <w:i/>
          <w:color w:val="5F497A" w:themeColor="accent4" w:themeShade="BF"/>
        </w:rPr>
      </w:pPr>
      <w:r w:rsidRPr="00CD3AF4">
        <w:rPr>
          <w:b/>
          <w:i/>
          <w:color w:val="5F497A" w:themeColor="accent4" w:themeShade="BF"/>
        </w:rPr>
        <w:t>Water words</w:t>
      </w:r>
    </w:p>
    <w:p w14:paraId="5ABA8225" w14:textId="0AB23399" w:rsidR="00C64F84" w:rsidRDefault="00C64F84" w:rsidP="00C64F84">
      <w:pPr>
        <w:shd w:val="clear" w:color="auto" w:fill="DAEEF3" w:themeFill="accent5" w:themeFillTint="33"/>
      </w:pPr>
      <w:r w:rsidRPr="00CD3AF4">
        <w:rPr>
          <w:b/>
          <w:i/>
          <w:color w:val="5F497A" w:themeColor="accent4" w:themeShade="BF"/>
        </w:rPr>
        <w:t>Entitlement</w:t>
      </w:r>
      <w:r>
        <w:t xml:space="preserve">: Also known as a licence or holding. An entitlement is a legal right to a share of the water available at a location, subject to rules and conditions. </w:t>
      </w:r>
      <w:r w:rsidR="00A561DC">
        <w:t>Water e</w:t>
      </w:r>
      <w:r>
        <w:t xml:space="preserve">ntitlements can be </w:t>
      </w:r>
      <w:r w:rsidR="00A561DC">
        <w:t xml:space="preserve">used </w:t>
      </w:r>
      <w:r>
        <w:t xml:space="preserve">for </w:t>
      </w:r>
      <w:r w:rsidR="00CE2754">
        <w:t xml:space="preserve">a range of purposes, including </w:t>
      </w:r>
      <w:r>
        <w:t>household</w:t>
      </w:r>
      <w:r w:rsidR="00CE2754">
        <w:t xml:space="preserve"> use</w:t>
      </w:r>
      <w:r>
        <w:t>, industry, irrigated farming or the environment. A bucket is a good metaphor for a water entitlement – the bigger the water entitlement, the bigger the bucket.</w:t>
      </w:r>
    </w:p>
    <w:p w14:paraId="401FBC0E" w14:textId="64C14369" w:rsidR="00C64F84" w:rsidRDefault="00C64F84" w:rsidP="00C64F84">
      <w:pPr>
        <w:shd w:val="clear" w:color="auto" w:fill="DAEEF3" w:themeFill="accent5" w:themeFillTint="33"/>
      </w:pPr>
      <w:r w:rsidRPr="00CD3AF4">
        <w:rPr>
          <w:b/>
          <w:i/>
          <w:color w:val="5F497A" w:themeColor="accent4" w:themeShade="BF"/>
        </w:rPr>
        <w:t>Allocation</w:t>
      </w:r>
      <w:r>
        <w:t xml:space="preserve">: the amount of water </w:t>
      </w:r>
      <w:r w:rsidR="00CE2754">
        <w:t xml:space="preserve">made </w:t>
      </w:r>
      <w:r>
        <w:t xml:space="preserve">available in </w:t>
      </w:r>
      <w:r w:rsidR="00CE2754">
        <w:t xml:space="preserve">proportion to </w:t>
      </w:r>
      <w:r>
        <w:t xml:space="preserve">the entitlement (how </w:t>
      </w:r>
      <w:r w:rsidR="00CE2754">
        <w:t>full the</w:t>
      </w:r>
      <w:r>
        <w:t xml:space="preserve"> bucket </w:t>
      </w:r>
      <w:r w:rsidR="00CE2754">
        <w:t>is</w:t>
      </w:r>
      <w:r>
        <w:t xml:space="preserve">). Available water varies from year to year, depending on how much water is in storage and how much it has rained. Dry/drought years will have low water allocation/low availability, </w:t>
      </w:r>
      <w:r w:rsidR="00CE2754">
        <w:t xml:space="preserve">while </w:t>
      </w:r>
      <w:r>
        <w:t>average/wet years have a higher water allocation/high availability. Whether or not an allocation is made may depend on the type and/or security of the entitlement. Generally, each entitlement (bucket) get</w:t>
      </w:r>
      <w:r w:rsidR="00CE2754">
        <w:t>s</w:t>
      </w:r>
      <w:r>
        <w:t xml:space="preserve"> filled with water (allocation) as more water becomes available in storage. Some entitlements </w:t>
      </w:r>
      <w:r w:rsidR="00CE2754">
        <w:t>are</w:t>
      </w:r>
      <w:r>
        <w:t xml:space="preserve"> not linked to water storage (unregulated entitlements) and allow diversion of in-river flows above a certain height/rate or flows in excess of what is needed to supply consumptive users.</w:t>
      </w:r>
    </w:p>
    <w:p w14:paraId="1C7E2D2B" w14:textId="112D53E1" w:rsidR="00C64F84" w:rsidRDefault="00C64F84" w:rsidP="00C64F84">
      <w:pPr>
        <w:shd w:val="clear" w:color="auto" w:fill="DAEEF3" w:themeFill="accent5" w:themeFillTint="33"/>
      </w:pPr>
      <w:r w:rsidRPr="00CD3AF4">
        <w:rPr>
          <w:b/>
          <w:i/>
          <w:color w:val="5F497A" w:themeColor="accent4" w:themeShade="BF"/>
        </w:rPr>
        <w:t>Carryover</w:t>
      </w:r>
      <w:r>
        <w:t>: the amount of water allocated and not used in a water year that can be used in subsequent years, depending on the rules and conditions of the entitlement. Carryover is sometimes used by water holders as a strategy to get through dry times.</w:t>
      </w:r>
      <w:r w:rsidR="00350FF8">
        <w:t xml:space="preserve"> </w:t>
      </w:r>
    </w:p>
    <w:p w14:paraId="2F979A6C" w14:textId="048DD853" w:rsidR="00C64F84" w:rsidRDefault="00C64F84" w:rsidP="00C64F84">
      <w:pPr>
        <w:shd w:val="clear" w:color="auto" w:fill="DAEEF3" w:themeFill="accent5" w:themeFillTint="33"/>
      </w:pPr>
      <w:r w:rsidRPr="00CD3AF4">
        <w:rPr>
          <w:b/>
          <w:i/>
          <w:color w:val="5F497A" w:themeColor="accent4" w:themeShade="BF"/>
        </w:rPr>
        <w:t>Security/reliability</w:t>
      </w:r>
      <w:r>
        <w:t>: the higher the security/reliability level of the entitlement, the more certainty of a water allocation each year.</w:t>
      </w:r>
    </w:p>
    <w:p w14:paraId="5036449E" w14:textId="1DCF9A58" w:rsidR="00986A87" w:rsidRDefault="00986A87" w:rsidP="00986A87">
      <w:r>
        <w:t>Commonwealth water entitlements are subject to the same state government regulations, fees, allocations and other rules as apply to equivalent entitlements held by other water users.</w:t>
      </w:r>
      <w:r w:rsidRPr="00897270">
        <w:t xml:space="preserve"> </w:t>
      </w:r>
      <w:r>
        <w:t>In valleys where carryover is available, Commonwealth entitlements are governed by the same rules as other water users</w:t>
      </w:r>
      <w:r w:rsidR="00CE2754">
        <w:t>. Environmental water managers need to make careful decisions about how much water to use, trade or carryover, just like other water users</w:t>
      </w:r>
      <w:r>
        <w:t>.</w:t>
      </w:r>
    </w:p>
    <w:p w14:paraId="6E2FE324" w14:textId="52E18C02" w:rsidR="00986A87" w:rsidRDefault="00171D7E" w:rsidP="00986A87">
      <w:r>
        <w:t>In times of drought, allocations are reduced the same way for all water users – including environmental water holders. The Basin Plan prioritises water for critical human needs (drinking and household water) before being allocated for any other use.</w:t>
      </w:r>
      <w:r w:rsidR="00986A87">
        <w:t xml:space="preserve"> </w:t>
      </w:r>
    </w:p>
    <w:p w14:paraId="6C9616A4" w14:textId="7F5CD8AC" w:rsidR="00991788" w:rsidRDefault="00991788" w:rsidP="00991788">
      <w:r>
        <w:t>In unregulated river systems</w:t>
      </w:r>
      <w:r w:rsidR="00CE2754">
        <w:t>,</w:t>
      </w:r>
      <w:r>
        <w:t xml:space="preserve"> w</w:t>
      </w:r>
      <w:r w:rsidRPr="00447EA6">
        <w:t>ater cannot be ordered from public storages at a particular time – environmental water can only be sourced as a share of an unregulated flow event</w:t>
      </w:r>
      <w:r>
        <w:t>. Thus, c</w:t>
      </w:r>
      <w:r>
        <w:rPr>
          <w:spacing w:val="-1"/>
        </w:rPr>
        <w:t>arryover</w:t>
      </w:r>
      <w:r>
        <w:rPr>
          <w:spacing w:val="-8"/>
        </w:rPr>
        <w:t xml:space="preserve"> </w:t>
      </w:r>
      <w:r>
        <w:t>and</w:t>
      </w:r>
      <w:r>
        <w:rPr>
          <w:spacing w:val="-7"/>
        </w:rPr>
        <w:t xml:space="preserve"> </w:t>
      </w:r>
      <w:r>
        <w:t>management</w:t>
      </w:r>
      <w:r>
        <w:rPr>
          <w:spacing w:val="-6"/>
        </w:rPr>
        <w:t xml:space="preserve"> </w:t>
      </w:r>
      <w:r>
        <w:rPr>
          <w:spacing w:val="-1"/>
        </w:rPr>
        <w:t>of</w:t>
      </w:r>
      <w:r>
        <w:rPr>
          <w:spacing w:val="-7"/>
        </w:rPr>
        <w:t xml:space="preserve"> </w:t>
      </w:r>
      <w:r>
        <w:rPr>
          <w:spacing w:val="-1"/>
        </w:rPr>
        <w:t>account</w:t>
      </w:r>
      <w:r>
        <w:rPr>
          <w:spacing w:val="-6"/>
        </w:rPr>
        <w:t xml:space="preserve"> </w:t>
      </w:r>
      <w:r>
        <w:t>balance</w:t>
      </w:r>
      <w:r w:rsidR="007E1CA1">
        <w:t>s</w:t>
      </w:r>
      <w:r>
        <w:rPr>
          <w:spacing w:val="-9"/>
        </w:rPr>
        <w:t xml:space="preserve"> </w:t>
      </w:r>
      <w:r>
        <w:rPr>
          <w:spacing w:val="-1"/>
        </w:rPr>
        <w:t>cannot</w:t>
      </w:r>
      <w:r>
        <w:rPr>
          <w:spacing w:val="-6"/>
        </w:rPr>
        <w:t xml:space="preserve"> </w:t>
      </w:r>
      <w:r>
        <w:t>generally</w:t>
      </w:r>
      <w:r>
        <w:rPr>
          <w:spacing w:val="-9"/>
        </w:rPr>
        <w:t xml:space="preserve"> </w:t>
      </w:r>
      <w:r>
        <w:t>be</w:t>
      </w:r>
      <w:r>
        <w:rPr>
          <w:spacing w:val="-9"/>
        </w:rPr>
        <w:t xml:space="preserve"> </w:t>
      </w:r>
      <w:r>
        <w:rPr>
          <w:spacing w:val="-1"/>
        </w:rPr>
        <w:t>used</w:t>
      </w:r>
      <w:r>
        <w:rPr>
          <w:spacing w:val="-8"/>
        </w:rPr>
        <w:t xml:space="preserve"> </w:t>
      </w:r>
      <w:r>
        <w:t>to</w:t>
      </w:r>
      <w:r>
        <w:rPr>
          <w:spacing w:val="-8"/>
        </w:rPr>
        <w:t xml:space="preserve"> </w:t>
      </w:r>
      <w:r>
        <w:rPr>
          <w:spacing w:val="-1"/>
        </w:rPr>
        <w:t>influence</w:t>
      </w:r>
      <w:r>
        <w:rPr>
          <w:w w:val="99"/>
        </w:rPr>
        <w:t xml:space="preserve"> </w:t>
      </w:r>
      <w:r>
        <w:t>the</w:t>
      </w:r>
      <w:r>
        <w:rPr>
          <w:spacing w:val="-7"/>
        </w:rPr>
        <w:t xml:space="preserve"> </w:t>
      </w:r>
      <w:r>
        <w:t>timing</w:t>
      </w:r>
      <w:r>
        <w:rPr>
          <w:spacing w:val="-7"/>
        </w:rPr>
        <w:t xml:space="preserve"> </w:t>
      </w:r>
      <w:r>
        <w:t>and</w:t>
      </w:r>
      <w:r>
        <w:rPr>
          <w:spacing w:val="-7"/>
        </w:rPr>
        <w:t xml:space="preserve"> </w:t>
      </w:r>
      <w:r>
        <w:rPr>
          <w:spacing w:val="-1"/>
        </w:rPr>
        <w:t>volumes</w:t>
      </w:r>
      <w:r>
        <w:rPr>
          <w:spacing w:val="-5"/>
        </w:rPr>
        <w:t xml:space="preserve"> </w:t>
      </w:r>
      <w:r>
        <w:rPr>
          <w:spacing w:val="-1"/>
        </w:rPr>
        <w:t>of</w:t>
      </w:r>
      <w:r>
        <w:rPr>
          <w:spacing w:val="-7"/>
        </w:rPr>
        <w:t xml:space="preserve"> </w:t>
      </w:r>
      <w:r>
        <w:t>environmental</w:t>
      </w:r>
      <w:r>
        <w:rPr>
          <w:spacing w:val="-6"/>
        </w:rPr>
        <w:t xml:space="preserve"> </w:t>
      </w:r>
      <w:r>
        <w:t>water</w:t>
      </w:r>
      <w:r>
        <w:rPr>
          <w:spacing w:val="-7"/>
        </w:rPr>
        <w:t xml:space="preserve"> </w:t>
      </w:r>
      <w:r>
        <w:rPr>
          <w:spacing w:val="-1"/>
        </w:rPr>
        <w:t>in</w:t>
      </w:r>
      <w:r>
        <w:rPr>
          <w:spacing w:val="-6"/>
        </w:rPr>
        <w:t xml:space="preserve"> these </w:t>
      </w:r>
      <w:r>
        <w:rPr>
          <w:spacing w:val="-1"/>
        </w:rPr>
        <w:t>river</w:t>
      </w:r>
      <w:r>
        <w:rPr>
          <w:spacing w:val="-7"/>
        </w:rPr>
        <w:t xml:space="preserve"> </w:t>
      </w:r>
      <w:r>
        <w:t>systems.</w:t>
      </w:r>
      <w:r>
        <w:rPr>
          <w:spacing w:val="-8"/>
        </w:rPr>
        <w:t xml:space="preserve"> </w:t>
      </w:r>
      <w:r>
        <w:t xml:space="preserve"> </w:t>
      </w:r>
    </w:p>
    <w:bookmarkStart w:id="49" w:name="_Hlk41983077"/>
    <w:p w14:paraId="19CF246B" w14:textId="1A2D1A5F" w:rsidR="00914B3D" w:rsidRDefault="004462FE" w:rsidP="004462FE">
      <w:r>
        <w:fldChar w:fldCharType="begin"/>
      </w:r>
      <w:r>
        <w:instrText xml:space="preserve"> REF _Ref43217187 \h </w:instrText>
      </w:r>
      <w:r>
        <w:fldChar w:fldCharType="separate"/>
      </w:r>
      <w:r w:rsidR="001B2852" w:rsidRPr="00E644AE">
        <w:rPr>
          <w:szCs w:val="22"/>
        </w:rPr>
        <w:t xml:space="preserve">Table </w:t>
      </w:r>
      <w:r w:rsidR="001B2852">
        <w:rPr>
          <w:noProof/>
          <w:szCs w:val="22"/>
        </w:rPr>
        <w:t>5</w:t>
      </w:r>
      <w:r>
        <w:fldChar w:fldCharType="end"/>
      </w:r>
      <w:r w:rsidR="00171D7E">
        <w:t xml:space="preserve"> summarises the carryover and allocation </w:t>
      </w:r>
      <w:r w:rsidR="00D31CD4">
        <w:t>forecasts</w:t>
      </w:r>
      <w:r w:rsidR="00171D7E">
        <w:t xml:space="preserve"> for </w:t>
      </w:r>
      <w:r w:rsidR="00DD3680">
        <w:t xml:space="preserve">regulated </w:t>
      </w:r>
      <w:r w:rsidR="00171D7E">
        <w:t>Commonwealth environmental water</w:t>
      </w:r>
      <w:r w:rsidR="008149AC">
        <w:t xml:space="preserve">. </w:t>
      </w:r>
      <w:r w:rsidR="005C6F5E">
        <w:t>A</w:t>
      </w:r>
      <w:r w:rsidR="00AC4155">
        <w:t xml:space="preserve">llocation forecasts </w:t>
      </w:r>
      <w:r w:rsidR="00020DE9">
        <w:t xml:space="preserve">through until 30 June 2021 </w:t>
      </w:r>
      <w:r w:rsidR="005C6F5E">
        <w:t xml:space="preserve">are </w:t>
      </w:r>
      <w:r w:rsidR="00020DE9">
        <w:t>sourced from</w:t>
      </w:r>
      <w:r w:rsidR="00AC4155">
        <w:t xml:space="preserve"> the relevant state agencies</w:t>
      </w:r>
      <w:r w:rsidR="00107E1C">
        <w:t xml:space="preserve"> where </w:t>
      </w:r>
      <w:r w:rsidR="00020DE9">
        <w:t xml:space="preserve">the information is </w:t>
      </w:r>
      <w:r w:rsidR="00107E1C">
        <w:t>a</w:t>
      </w:r>
      <w:r w:rsidR="00020DE9">
        <w:t>vail</w:t>
      </w:r>
      <w:r w:rsidR="00107E1C">
        <w:t>able</w:t>
      </w:r>
      <w:r w:rsidR="00020DE9">
        <w:t xml:space="preserve"> and long</w:t>
      </w:r>
      <w:r w:rsidR="008149AC">
        <w:t>-</w:t>
      </w:r>
      <w:r w:rsidR="00020DE9">
        <w:t>term averages where state agencies do not provide these forecasts</w:t>
      </w:r>
      <w:r w:rsidR="00AC4155">
        <w:t>.</w:t>
      </w:r>
    </w:p>
    <w:p w14:paraId="4A52FB5A" w14:textId="77777777" w:rsidR="00E50A7B" w:rsidRDefault="00E50A7B">
      <w:pPr>
        <w:spacing w:after="0"/>
        <w:rPr>
          <w:rFonts w:cstheme="minorHAnsi"/>
          <w:szCs w:val="22"/>
        </w:rPr>
      </w:pPr>
      <w:r>
        <w:rPr>
          <w:rFonts w:cstheme="minorHAnsi"/>
          <w:szCs w:val="22"/>
        </w:rPr>
        <w:br w:type="page"/>
      </w:r>
    </w:p>
    <w:p w14:paraId="5730CD45" w14:textId="03A7757D" w:rsidR="004462FE" w:rsidRPr="00581EB3" w:rsidRDefault="004462FE" w:rsidP="004462FE">
      <w:pPr>
        <w:rPr>
          <w:rFonts w:cstheme="minorHAnsi"/>
          <w:szCs w:val="22"/>
        </w:rPr>
      </w:pPr>
      <w:r w:rsidRPr="00581EB3">
        <w:rPr>
          <w:rFonts w:cstheme="minorHAnsi"/>
          <w:szCs w:val="22"/>
        </w:rPr>
        <w:lastRenderedPageBreak/>
        <w:t xml:space="preserve">Information on allocations to Commonwealth environmental water holdings </w:t>
      </w:r>
      <w:r w:rsidR="000404D7">
        <w:rPr>
          <w:rFonts w:cstheme="minorHAnsi"/>
          <w:szCs w:val="22"/>
        </w:rPr>
        <w:t xml:space="preserve">and volumes transferred for delivery </w:t>
      </w:r>
      <w:r w:rsidRPr="00581EB3">
        <w:rPr>
          <w:rFonts w:cstheme="minorHAnsi"/>
          <w:szCs w:val="22"/>
        </w:rPr>
        <w:t xml:space="preserve">can be found at </w:t>
      </w:r>
      <w:hyperlink r:id="rId59" w:history="1">
        <w:r w:rsidRPr="00581EB3">
          <w:rPr>
            <w:rStyle w:val="Hyperlink"/>
            <w:rFonts w:cstheme="minorHAnsi"/>
          </w:rPr>
          <w:t>http://www.environment.gov.au/water/cewo/portfolio-mgt/holdings-catchment</w:t>
        </w:r>
      </w:hyperlink>
      <w:r w:rsidR="000404D7">
        <w:rPr>
          <w:rStyle w:val="Hyperlink"/>
          <w:rFonts w:cstheme="minorHAnsi"/>
        </w:rPr>
        <w:t>.</w:t>
      </w:r>
      <w:r w:rsidR="008149AC">
        <w:rPr>
          <w:rStyle w:val="Hyperlink"/>
          <w:rFonts w:cstheme="minorHAnsi"/>
        </w:rPr>
        <w:t xml:space="preserve"> </w:t>
      </w:r>
      <w:r w:rsidR="000404D7">
        <w:rPr>
          <w:rFonts w:cstheme="minorHAnsi"/>
          <w:szCs w:val="22"/>
        </w:rPr>
        <w:t>This information</w:t>
      </w:r>
      <w:r w:rsidR="000404D7" w:rsidRPr="00581EB3">
        <w:rPr>
          <w:rFonts w:cstheme="minorHAnsi"/>
          <w:szCs w:val="22"/>
        </w:rPr>
        <w:t xml:space="preserve"> </w:t>
      </w:r>
      <w:r w:rsidRPr="00581EB3">
        <w:rPr>
          <w:rFonts w:cstheme="minorHAnsi"/>
          <w:szCs w:val="22"/>
        </w:rPr>
        <w:t xml:space="preserve">is updated monthly. </w:t>
      </w:r>
    </w:p>
    <w:p w14:paraId="33A2CFCB" w14:textId="7125D963" w:rsidR="00D97AEA" w:rsidRPr="00E644AE" w:rsidRDefault="00E644AE" w:rsidP="00E644AE">
      <w:pPr>
        <w:pStyle w:val="Caption"/>
        <w:spacing w:before="240" w:after="120"/>
        <w:rPr>
          <w:b w:val="0"/>
          <w:sz w:val="22"/>
          <w:szCs w:val="22"/>
        </w:rPr>
      </w:pPr>
      <w:bookmarkStart w:id="50" w:name="_Ref43217187"/>
      <w:bookmarkStart w:id="51" w:name="_Hlk44666631"/>
      <w:bookmarkEnd w:id="49"/>
      <w:r w:rsidRPr="00E644AE">
        <w:rPr>
          <w:sz w:val="22"/>
          <w:szCs w:val="22"/>
        </w:rPr>
        <w:t xml:space="preserve">Table </w:t>
      </w:r>
      <w:r w:rsidRPr="00E644AE">
        <w:rPr>
          <w:sz w:val="22"/>
          <w:szCs w:val="22"/>
        </w:rPr>
        <w:fldChar w:fldCharType="begin"/>
      </w:r>
      <w:r w:rsidRPr="00E644AE">
        <w:rPr>
          <w:sz w:val="22"/>
          <w:szCs w:val="22"/>
        </w:rPr>
        <w:instrText xml:space="preserve"> SEQ Table \* ARABIC </w:instrText>
      </w:r>
      <w:r w:rsidRPr="00E644AE">
        <w:rPr>
          <w:sz w:val="22"/>
          <w:szCs w:val="22"/>
        </w:rPr>
        <w:fldChar w:fldCharType="separate"/>
      </w:r>
      <w:r w:rsidR="001B2852">
        <w:rPr>
          <w:noProof/>
          <w:sz w:val="22"/>
          <w:szCs w:val="22"/>
        </w:rPr>
        <w:t>5</w:t>
      </w:r>
      <w:r w:rsidRPr="00E644AE">
        <w:rPr>
          <w:sz w:val="22"/>
          <w:szCs w:val="22"/>
        </w:rPr>
        <w:fldChar w:fldCharType="end"/>
      </w:r>
      <w:bookmarkEnd w:id="50"/>
      <w:r w:rsidR="00D97AEA" w:rsidRPr="00E644AE">
        <w:rPr>
          <w:b w:val="0"/>
          <w:sz w:val="22"/>
          <w:szCs w:val="22"/>
        </w:rPr>
        <w:t xml:space="preserve">: </w:t>
      </w:r>
      <w:bookmarkStart w:id="52" w:name="_Hlk41982808"/>
      <w:r w:rsidR="00220420">
        <w:rPr>
          <w:b w:val="0"/>
          <w:sz w:val="22"/>
          <w:szCs w:val="22"/>
        </w:rPr>
        <w:t>C</w:t>
      </w:r>
      <w:r w:rsidR="00D97AEA" w:rsidRPr="00E644AE">
        <w:rPr>
          <w:b w:val="0"/>
          <w:sz w:val="22"/>
          <w:szCs w:val="22"/>
        </w:rPr>
        <w:t xml:space="preserve">arryover and </w:t>
      </w:r>
      <w:r w:rsidR="002B74F8" w:rsidRPr="00E644AE">
        <w:rPr>
          <w:b w:val="0"/>
          <w:sz w:val="22"/>
          <w:szCs w:val="22"/>
        </w:rPr>
        <w:t xml:space="preserve">forecast </w:t>
      </w:r>
      <w:r w:rsidR="00D97AEA" w:rsidRPr="00E644AE">
        <w:rPr>
          <w:b w:val="0"/>
          <w:sz w:val="22"/>
          <w:szCs w:val="22"/>
        </w:rPr>
        <w:t>allocation of</w:t>
      </w:r>
      <w:r w:rsidR="00DD3680" w:rsidRPr="00E644AE">
        <w:rPr>
          <w:b w:val="0"/>
          <w:sz w:val="22"/>
          <w:szCs w:val="22"/>
        </w:rPr>
        <w:t xml:space="preserve"> regulated</w:t>
      </w:r>
      <w:r w:rsidR="00D97AEA" w:rsidRPr="00E644AE">
        <w:rPr>
          <w:b w:val="0"/>
          <w:sz w:val="22"/>
          <w:szCs w:val="22"/>
        </w:rPr>
        <w:t xml:space="preserve"> </w:t>
      </w:r>
      <w:r w:rsidR="00EA7BB8">
        <w:rPr>
          <w:b w:val="0"/>
          <w:sz w:val="22"/>
          <w:szCs w:val="22"/>
        </w:rPr>
        <w:t>(</w:t>
      </w:r>
      <w:r w:rsidR="00C268EB">
        <w:rPr>
          <w:b w:val="0"/>
          <w:sz w:val="22"/>
          <w:szCs w:val="22"/>
        </w:rPr>
        <w:t>surface water</w:t>
      </w:r>
      <w:r w:rsidR="00EA7BB8">
        <w:rPr>
          <w:b w:val="0"/>
          <w:sz w:val="22"/>
          <w:szCs w:val="22"/>
        </w:rPr>
        <w:t>)</w:t>
      </w:r>
      <w:r w:rsidR="00C268EB">
        <w:rPr>
          <w:b w:val="0"/>
          <w:sz w:val="22"/>
          <w:szCs w:val="22"/>
        </w:rPr>
        <w:t xml:space="preserve"> </w:t>
      </w:r>
      <w:r w:rsidR="00D97AEA" w:rsidRPr="00E644AE">
        <w:rPr>
          <w:b w:val="0"/>
          <w:sz w:val="22"/>
          <w:szCs w:val="22"/>
        </w:rPr>
        <w:t>Commonwealth environmental water</w:t>
      </w:r>
      <w:r w:rsidR="002B74F8" w:rsidRPr="00E644AE">
        <w:rPr>
          <w:b w:val="0"/>
          <w:sz w:val="22"/>
          <w:szCs w:val="22"/>
        </w:rPr>
        <w:t xml:space="preserve"> in 2020</w:t>
      </w:r>
      <w:r w:rsidR="008C7A65" w:rsidRPr="00E644AE">
        <w:rPr>
          <w:b w:val="0"/>
          <w:sz w:val="22"/>
          <w:szCs w:val="22"/>
        </w:rPr>
        <w:noBreakHyphen/>
      </w:r>
      <w:r w:rsidR="002B74F8" w:rsidRPr="00E644AE">
        <w:rPr>
          <w:b w:val="0"/>
          <w:sz w:val="22"/>
          <w:szCs w:val="22"/>
        </w:rPr>
        <w:t>21</w:t>
      </w:r>
      <w:bookmarkEnd w:id="52"/>
    </w:p>
    <w:tbl>
      <w:tblPr>
        <w:tblStyle w:val="TableGrid"/>
        <w:tblW w:w="9776" w:type="dxa"/>
        <w:tblLayout w:type="fixed"/>
        <w:tblLook w:val="04A0" w:firstRow="1" w:lastRow="0" w:firstColumn="1" w:lastColumn="0" w:noHBand="0" w:noVBand="1"/>
      </w:tblPr>
      <w:tblGrid>
        <w:gridCol w:w="2263"/>
        <w:gridCol w:w="1276"/>
        <w:gridCol w:w="1039"/>
        <w:gridCol w:w="1040"/>
        <w:gridCol w:w="1039"/>
        <w:gridCol w:w="1040"/>
        <w:gridCol w:w="1039"/>
        <w:gridCol w:w="1040"/>
      </w:tblGrid>
      <w:tr w:rsidR="00D15941" w14:paraId="6EF5A714" w14:textId="77777777" w:rsidTr="003F03A3">
        <w:trPr>
          <w:cnfStyle w:val="100000000000" w:firstRow="1" w:lastRow="0" w:firstColumn="0" w:lastColumn="0" w:oddVBand="0" w:evenVBand="0" w:oddHBand="0" w:evenHBand="0" w:firstRowFirstColumn="0" w:firstRowLastColumn="0" w:lastRowFirstColumn="0" w:lastRowLastColumn="0"/>
        </w:trPr>
        <w:tc>
          <w:tcPr>
            <w:tcW w:w="2263" w:type="dxa"/>
            <w:vMerge w:val="restart"/>
            <w:shd w:val="clear" w:color="auto" w:fill="B6DDE8" w:themeFill="accent5" w:themeFillTint="66"/>
            <w:vAlign w:val="center"/>
          </w:tcPr>
          <w:p w14:paraId="5FC7D3C4" w14:textId="38936094" w:rsidR="00D15941" w:rsidRPr="0063418C" w:rsidRDefault="00D15941" w:rsidP="00EB7C54">
            <w:pPr>
              <w:rPr>
                <w:b/>
              </w:rPr>
            </w:pPr>
            <w:r w:rsidRPr="0063418C">
              <w:rPr>
                <w:b/>
              </w:rPr>
              <w:t xml:space="preserve"> </w:t>
            </w:r>
            <w:r w:rsidR="00EB7C54" w:rsidRPr="0063418C">
              <w:rPr>
                <w:b/>
              </w:rPr>
              <w:t>Catchment</w:t>
            </w:r>
          </w:p>
        </w:tc>
        <w:tc>
          <w:tcPr>
            <w:tcW w:w="1276" w:type="dxa"/>
            <w:vMerge w:val="restart"/>
            <w:shd w:val="clear" w:color="auto" w:fill="B6DDE8" w:themeFill="accent5" w:themeFillTint="66"/>
            <w:vAlign w:val="center"/>
          </w:tcPr>
          <w:p w14:paraId="1013EEBB" w14:textId="099576A8" w:rsidR="00D15941" w:rsidRPr="00636679" w:rsidRDefault="00220420" w:rsidP="00D15941">
            <w:pPr>
              <w:jc w:val="center"/>
              <w:rPr>
                <w:b/>
                <w:sz w:val="21"/>
              </w:rPr>
            </w:pPr>
            <w:r>
              <w:rPr>
                <w:b/>
                <w:sz w:val="21"/>
              </w:rPr>
              <w:t>C</w:t>
            </w:r>
            <w:r w:rsidR="00D15941" w:rsidRPr="00636679">
              <w:rPr>
                <w:b/>
                <w:sz w:val="21"/>
              </w:rPr>
              <w:t>arryover from 2019</w:t>
            </w:r>
            <w:r w:rsidR="00D15941" w:rsidRPr="00636679">
              <w:rPr>
                <w:b/>
                <w:sz w:val="21"/>
              </w:rPr>
              <w:noBreakHyphen/>
              <w:t>20</w:t>
            </w:r>
            <w:r w:rsidR="0063418C" w:rsidRPr="00636679">
              <w:rPr>
                <w:b/>
                <w:sz w:val="21"/>
              </w:rPr>
              <w:t xml:space="preserve"> (GL)</w:t>
            </w:r>
          </w:p>
        </w:tc>
        <w:tc>
          <w:tcPr>
            <w:tcW w:w="6237" w:type="dxa"/>
            <w:gridSpan w:val="6"/>
            <w:shd w:val="clear" w:color="auto" w:fill="B6DDE8" w:themeFill="accent5" w:themeFillTint="66"/>
          </w:tcPr>
          <w:p w14:paraId="4674B36D" w14:textId="77777777" w:rsidR="00F63F1C" w:rsidRDefault="00D15941" w:rsidP="00DD3680">
            <w:pPr>
              <w:spacing w:after="0"/>
              <w:jc w:val="center"/>
              <w:rPr>
                <w:b/>
              </w:rPr>
            </w:pPr>
            <w:r w:rsidRPr="00D15941">
              <w:rPr>
                <w:b/>
              </w:rPr>
              <w:t xml:space="preserve">Forecasts of </w:t>
            </w:r>
            <w:r w:rsidR="00DD3680">
              <w:rPr>
                <w:b/>
              </w:rPr>
              <w:t xml:space="preserve">regulated </w:t>
            </w:r>
            <w:r w:rsidRPr="00D15941">
              <w:rPr>
                <w:b/>
              </w:rPr>
              <w:t xml:space="preserve">allocations </w:t>
            </w:r>
          </w:p>
          <w:p w14:paraId="67BA3E51" w14:textId="3406CFC4" w:rsidR="00D15941" w:rsidRPr="00D15941" w:rsidRDefault="00D15941" w:rsidP="00F63F1C">
            <w:pPr>
              <w:spacing w:after="0"/>
              <w:jc w:val="center"/>
              <w:rPr>
                <w:b/>
              </w:rPr>
            </w:pPr>
            <w:r w:rsidRPr="00D15941">
              <w:rPr>
                <w:b/>
              </w:rPr>
              <w:t>(</w:t>
            </w:r>
            <w:r w:rsidR="00F63F1C">
              <w:rPr>
                <w:b/>
              </w:rPr>
              <w:t>in</w:t>
            </w:r>
            <w:r w:rsidRPr="00D15941">
              <w:rPr>
                <w:b/>
              </w:rPr>
              <w:t>cluding carryover) in 2020-21</w:t>
            </w:r>
            <w:r w:rsidR="0063418C">
              <w:rPr>
                <w:b/>
              </w:rPr>
              <w:t xml:space="preserve"> (GL)</w:t>
            </w:r>
          </w:p>
        </w:tc>
      </w:tr>
      <w:tr w:rsidR="00D15941" w14:paraId="05CE0AD1" w14:textId="77777777" w:rsidTr="00885860">
        <w:trPr>
          <w:cnfStyle w:val="000000100000" w:firstRow="0" w:lastRow="0" w:firstColumn="0" w:lastColumn="0" w:oddVBand="0" w:evenVBand="0" w:oddHBand="1" w:evenHBand="0" w:firstRowFirstColumn="0" w:firstRowLastColumn="0" w:lastRowFirstColumn="0" w:lastRowLastColumn="0"/>
        </w:trPr>
        <w:tc>
          <w:tcPr>
            <w:tcW w:w="2263" w:type="dxa"/>
            <w:vMerge/>
            <w:shd w:val="clear" w:color="auto" w:fill="B6DDE8" w:themeFill="accent5" w:themeFillTint="66"/>
          </w:tcPr>
          <w:p w14:paraId="7B728031" w14:textId="3FD82AE0" w:rsidR="00D15941" w:rsidRPr="006821CB" w:rsidRDefault="00D15941" w:rsidP="002B74F8"/>
        </w:tc>
        <w:tc>
          <w:tcPr>
            <w:tcW w:w="1276" w:type="dxa"/>
            <w:vMerge/>
            <w:shd w:val="clear" w:color="auto" w:fill="B6DDE8" w:themeFill="accent5" w:themeFillTint="66"/>
          </w:tcPr>
          <w:p w14:paraId="72ACC4AB" w14:textId="30E33F9F" w:rsidR="00D15941" w:rsidRPr="006821CB" w:rsidRDefault="00D15941" w:rsidP="002B74F8"/>
        </w:tc>
        <w:tc>
          <w:tcPr>
            <w:tcW w:w="6237" w:type="dxa"/>
            <w:gridSpan w:val="6"/>
            <w:shd w:val="clear" w:color="auto" w:fill="B6DDE8" w:themeFill="accent5" w:themeFillTint="66"/>
          </w:tcPr>
          <w:p w14:paraId="6901D179" w14:textId="5FB24CAC" w:rsidR="00D15941" w:rsidRPr="006821CB" w:rsidRDefault="00D15941" w:rsidP="002B74F8">
            <w:r>
              <w:rPr>
                <w:noProof/>
              </w:rPr>
              <mc:AlternateContent>
                <mc:Choice Requires="wps">
                  <w:drawing>
                    <wp:anchor distT="0" distB="0" distL="114300" distR="114300" simplePos="0" relativeHeight="251658241" behindDoc="0" locked="0" layoutInCell="1" allowOverlap="1" wp14:anchorId="7BA21768" wp14:editId="67056F53">
                      <wp:simplePos x="0" y="0"/>
                      <wp:positionH relativeFrom="column">
                        <wp:posOffset>500380</wp:posOffset>
                      </wp:positionH>
                      <wp:positionV relativeFrom="paragraph">
                        <wp:posOffset>106680</wp:posOffset>
                      </wp:positionV>
                      <wp:extent cx="2772000" cy="0"/>
                      <wp:effectExtent l="38100" t="76200" r="9525" b="95250"/>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7200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039A8A9" id="_x0000_t32" coordsize="21600,21600" o:spt="32" o:oned="t" path="m,l21600,21600e" filled="f">
                      <v:path arrowok="t" fillok="f" o:connecttype="none"/>
                      <o:lock v:ext="edit" shapetype="t"/>
                    </v:shapetype>
                    <v:shape id="Straight Arrow Connector 6" o:spid="_x0000_s1026" type="#_x0000_t32" style="position:absolute;margin-left:39.4pt;margin-top:8.4pt;width:218.25pt;height:0;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">
                      <v:stroke startarrow="block" endarrow="block"/>
                    </v:shape>
                  </w:pict>
                </mc:Fallback>
              </mc:AlternateContent>
            </w:r>
            <w:r w:rsidRPr="00DF4B89">
              <w:t>Very dry                                                                                         Very wet</w:t>
            </w:r>
          </w:p>
        </w:tc>
      </w:tr>
      <w:tr w:rsidR="00D15941" w14:paraId="64DACF3A" w14:textId="77777777" w:rsidTr="003F03A3">
        <w:trPr>
          <w:cnfStyle w:val="000000010000" w:firstRow="0" w:lastRow="0" w:firstColumn="0" w:lastColumn="0" w:oddVBand="0" w:evenVBand="0" w:oddHBand="0" w:evenHBand="1" w:firstRowFirstColumn="0" w:firstRowLastColumn="0" w:lastRowFirstColumn="0" w:lastRowLastColumn="0"/>
        </w:trPr>
        <w:tc>
          <w:tcPr>
            <w:tcW w:w="2263" w:type="dxa"/>
            <w:vMerge/>
            <w:shd w:val="clear" w:color="auto" w:fill="B6DDE8" w:themeFill="accent5" w:themeFillTint="66"/>
          </w:tcPr>
          <w:p w14:paraId="4966F798" w14:textId="77777777" w:rsidR="00D15941" w:rsidRDefault="00D15941" w:rsidP="002B74F8"/>
        </w:tc>
        <w:tc>
          <w:tcPr>
            <w:tcW w:w="1276" w:type="dxa"/>
            <w:vMerge/>
            <w:shd w:val="clear" w:color="auto" w:fill="B6DDE8" w:themeFill="accent5" w:themeFillTint="66"/>
          </w:tcPr>
          <w:p w14:paraId="0E35583D" w14:textId="77777777" w:rsidR="00D15941" w:rsidRPr="006821CB" w:rsidRDefault="00D15941" w:rsidP="002B74F8"/>
        </w:tc>
        <w:tc>
          <w:tcPr>
            <w:tcW w:w="1039" w:type="dxa"/>
            <w:shd w:val="clear" w:color="auto" w:fill="B6DDE8" w:themeFill="accent5" w:themeFillTint="66"/>
          </w:tcPr>
          <w:p w14:paraId="06FD635B" w14:textId="2648543D" w:rsidR="00D15941" w:rsidRPr="00D15941" w:rsidRDefault="00D15941" w:rsidP="00636679">
            <w:pPr>
              <w:spacing w:after="0"/>
              <w:jc w:val="center"/>
              <w:rPr>
                <w:sz w:val="20"/>
              </w:rPr>
            </w:pPr>
            <w:r w:rsidRPr="00D15941">
              <w:rPr>
                <w:sz w:val="20"/>
              </w:rPr>
              <w:t>95 percentile</w:t>
            </w:r>
          </w:p>
        </w:tc>
        <w:tc>
          <w:tcPr>
            <w:tcW w:w="1040" w:type="dxa"/>
            <w:shd w:val="clear" w:color="auto" w:fill="B6DDE8" w:themeFill="accent5" w:themeFillTint="66"/>
          </w:tcPr>
          <w:p w14:paraId="5F95ED2C" w14:textId="6E21B650" w:rsidR="00D15941" w:rsidRPr="00D15941" w:rsidRDefault="00D15941" w:rsidP="00636679">
            <w:pPr>
              <w:spacing w:after="0"/>
              <w:jc w:val="center"/>
              <w:rPr>
                <w:sz w:val="20"/>
              </w:rPr>
            </w:pPr>
            <w:r w:rsidRPr="00D15941">
              <w:rPr>
                <w:sz w:val="20"/>
              </w:rPr>
              <w:t>90 percentile</w:t>
            </w:r>
          </w:p>
        </w:tc>
        <w:tc>
          <w:tcPr>
            <w:tcW w:w="1039" w:type="dxa"/>
            <w:shd w:val="clear" w:color="auto" w:fill="B6DDE8" w:themeFill="accent5" w:themeFillTint="66"/>
          </w:tcPr>
          <w:p w14:paraId="15B8A354" w14:textId="02A01152" w:rsidR="00D15941" w:rsidRPr="00D15941" w:rsidRDefault="00D15941" w:rsidP="00636679">
            <w:pPr>
              <w:spacing w:after="0"/>
              <w:jc w:val="center"/>
              <w:rPr>
                <w:sz w:val="20"/>
              </w:rPr>
            </w:pPr>
            <w:r w:rsidRPr="00D15941">
              <w:rPr>
                <w:sz w:val="20"/>
              </w:rPr>
              <w:t>75 percentile</w:t>
            </w:r>
          </w:p>
        </w:tc>
        <w:tc>
          <w:tcPr>
            <w:tcW w:w="1040" w:type="dxa"/>
            <w:shd w:val="clear" w:color="auto" w:fill="B6DDE8" w:themeFill="accent5" w:themeFillTint="66"/>
          </w:tcPr>
          <w:p w14:paraId="675E8808" w14:textId="08059ED4" w:rsidR="00D15941" w:rsidRPr="00D15941" w:rsidRDefault="00D15941" w:rsidP="00636679">
            <w:pPr>
              <w:spacing w:after="0"/>
              <w:jc w:val="center"/>
              <w:rPr>
                <w:sz w:val="20"/>
              </w:rPr>
            </w:pPr>
            <w:r w:rsidRPr="00D15941">
              <w:rPr>
                <w:sz w:val="20"/>
              </w:rPr>
              <w:t>50 percentile</w:t>
            </w:r>
          </w:p>
        </w:tc>
        <w:tc>
          <w:tcPr>
            <w:tcW w:w="1039" w:type="dxa"/>
            <w:shd w:val="clear" w:color="auto" w:fill="B6DDE8" w:themeFill="accent5" w:themeFillTint="66"/>
          </w:tcPr>
          <w:p w14:paraId="309595CA" w14:textId="583D9BE4" w:rsidR="00D15941" w:rsidRPr="00D15941" w:rsidRDefault="00D15941" w:rsidP="00636679">
            <w:pPr>
              <w:spacing w:after="0"/>
              <w:jc w:val="center"/>
              <w:rPr>
                <w:sz w:val="20"/>
              </w:rPr>
            </w:pPr>
            <w:r w:rsidRPr="00D15941">
              <w:rPr>
                <w:sz w:val="20"/>
              </w:rPr>
              <w:t>25 percentile</w:t>
            </w:r>
          </w:p>
        </w:tc>
        <w:tc>
          <w:tcPr>
            <w:tcW w:w="1040" w:type="dxa"/>
            <w:shd w:val="clear" w:color="auto" w:fill="B6DDE8" w:themeFill="accent5" w:themeFillTint="66"/>
          </w:tcPr>
          <w:p w14:paraId="75A03C06" w14:textId="2E937AAC" w:rsidR="00D15941" w:rsidRPr="00D15941" w:rsidRDefault="00D15941" w:rsidP="00636679">
            <w:pPr>
              <w:spacing w:after="0"/>
              <w:jc w:val="center"/>
              <w:rPr>
                <w:sz w:val="20"/>
              </w:rPr>
            </w:pPr>
            <w:r w:rsidRPr="00D15941">
              <w:rPr>
                <w:sz w:val="20"/>
              </w:rPr>
              <w:t>10 percentile</w:t>
            </w:r>
          </w:p>
        </w:tc>
      </w:tr>
      <w:tr w:rsidR="00644C6B" w14:paraId="7113F365" w14:textId="77777777" w:rsidTr="003F03A3">
        <w:trPr>
          <w:cnfStyle w:val="000000100000" w:firstRow="0" w:lastRow="0" w:firstColumn="0" w:lastColumn="0" w:oddVBand="0" w:evenVBand="0" w:oddHBand="1" w:evenHBand="0" w:firstRowFirstColumn="0" w:firstRowLastColumn="0" w:lastRowFirstColumn="0" w:lastRowLastColumn="0"/>
        </w:trPr>
        <w:tc>
          <w:tcPr>
            <w:tcW w:w="2263" w:type="dxa"/>
          </w:tcPr>
          <w:p w14:paraId="0B127BCB" w14:textId="773A447D" w:rsidR="00644C6B" w:rsidRPr="00CC239D" w:rsidRDefault="00644C6B" w:rsidP="00636679">
            <w:pPr>
              <w:spacing w:after="60"/>
            </w:pPr>
            <w:r w:rsidRPr="00CC239D">
              <w:t>Border</w:t>
            </w:r>
            <w:r w:rsidR="00567810" w:rsidRPr="00CC239D">
              <w:t xml:space="preserve"> Rivers</w:t>
            </w:r>
          </w:p>
        </w:tc>
        <w:tc>
          <w:tcPr>
            <w:tcW w:w="1276" w:type="dxa"/>
            <w:vAlign w:val="center"/>
          </w:tcPr>
          <w:p w14:paraId="5F23E453" w14:textId="2B4D407E" w:rsidR="00644C6B" w:rsidRPr="00CC239D" w:rsidRDefault="00420AB3" w:rsidP="00636679">
            <w:pPr>
              <w:spacing w:after="60"/>
              <w:jc w:val="center"/>
            </w:pPr>
            <w:r w:rsidRPr="00CC239D">
              <w:t>2.2</w:t>
            </w:r>
          </w:p>
        </w:tc>
        <w:tc>
          <w:tcPr>
            <w:tcW w:w="1039" w:type="dxa"/>
            <w:vAlign w:val="center"/>
          </w:tcPr>
          <w:p w14:paraId="7EFB2C39" w14:textId="75F9CE66" w:rsidR="00644C6B" w:rsidRPr="00CC239D" w:rsidRDefault="00CC239D" w:rsidP="00636679">
            <w:pPr>
              <w:spacing w:after="60"/>
              <w:jc w:val="center"/>
            </w:pPr>
            <w:r w:rsidRPr="00CC239D">
              <w:t>4.9</w:t>
            </w:r>
          </w:p>
        </w:tc>
        <w:tc>
          <w:tcPr>
            <w:tcW w:w="1040" w:type="dxa"/>
            <w:vAlign w:val="center"/>
          </w:tcPr>
          <w:p w14:paraId="04DC9261" w14:textId="3A5B2791" w:rsidR="00644C6B" w:rsidRPr="00CC239D" w:rsidRDefault="00CC239D" w:rsidP="00636679">
            <w:pPr>
              <w:spacing w:after="60"/>
              <w:jc w:val="center"/>
            </w:pPr>
            <w:r w:rsidRPr="00CC239D">
              <w:t>5.2</w:t>
            </w:r>
          </w:p>
        </w:tc>
        <w:tc>
          <w:tcPr>
            <w:tcW w:w="1039" w:type="dxa"/>
            <w:vAlign w:val="center"/>
          </w:tcPr>
          <w:p w14:paraId="1CE83688" w14:textId="4173A21E" w:rsidR="00644C6B" w:rsidRPr="00CC239D" w:rsidRDefault="00CC239D" w:rsidP="00636679">
            <w:pPr>
              <w:spacing w:after="60"/>
              <w:jc w:val="center"/>
            </w:pPr>
            <w:r w:rsidRPr="00CC239D">
              <w:t>6.5</w:t>
            </w:r>
          </w:p>
        </w:tc>
        <w:tc>
          <w:tcPr>
            <w:tcW w:w="1040" w:type="dxa"/>
            <w:vAlign w:val="center"/>
          </w:tcPr>
          <w:p w14:paraId="1380C817" w14:textId="615EB4C6" w:rsidR="00644C6B" w:rsidRPr="00CC239D" w:rsidRDefault="00CC239D" w:rsidP="00636679">
            <w:pPr>
              <w:spacing w:after="60"/>
              <w:jc w:val="center"/>
            </w:pPr>
            <w:r w:rsidRPr="00CC239D">
              <w:t>9.4</w:t>
            </w:r>
          </w:p>
        </w:tc>
        <w:tc>
          <w:tcPr>
            <w:tcW w:w="1039" w:type="dxa"/>
            <w:vAlign w:val="center"/>
          </w:tcPr>
          <w:p w14:paraId="4E88D52C" w14:textId="0EAF3BE9" w:rsidR="00644C6B" w:rsidRPr="00CC239D" w:rsidRDefault="00CC239D" w:rsidP="00636679">
            <w:pPr>
              <w:spacing w:after="60"/>
              <w:jc w:val="center"/>
            </w:pPr>
            <w:r w:rsidRPr="00CC239D">
              <w:t>11.4</w:t>
            </w:r>
          </w:p>
        </w:tc>
        <w:tc>
          <w:tcPr>
            <w:tcW w:w="1040" w:type="dxa"/>
            <w:vAlign w:val="center"/>
          </w:tcPr>
          <w:p w14:paraId="7266E960" w14:textId="763EA93E" w:rsidR="00644C6B" w:rsidRPr="00CC239D" w:rsidRDefault="00CC239D" w:rsidP="00636679">
            <w:pPr>
              <w:spacing w:after="60"/>
              <w:jc w:val="center"/>
            </w:pPr>
            <w:r w:rsidRPr="00CC239D">
              <w:t>12.9</w:t>
            </w:r>
          </w:p>
        </w:tc>
      </w:tr>
      <w:tr w:rsidR="00644C6B" w14:paraId="0C681688" w14:textId="77777777" w:rsidTr="003F03A3">
        <w:trPr>
          <w:cnfStyle w:val="000000010000" w:firstRow="0" w:lastRow="0" w:firstColumn="0" w:lastColumn="0" w:oddVBand="0" w:evenVBand="0" w:oddHBand="0" w:evenHBand="1" w:firstRowFirstColumn="0" w:firstRowLastColumn="0" w:lastRowFirstColumn="0" w:lastRowLastColumn="0"/>
        </w:trPr>
        <w:tc>
          <w:tcPr>
            <w:tcW w:w="2263" w:type="dxa"/>
          </w:tcPr>
          <w:p w14:paraId="70CECBC2" w14:textId="7857DCE7" w:rsidR="00644C6B" w:rsidRDefault="00644C6B" w:rsidP="00636679">
            <w:pPr>
              <w:spacing w:after="60"/>
            </w:pPr>
            <w:r>
              <w:t>Gwydir</w:t>
            </w:r>
          </w:p>
        </w:tc>
        <w:tc>
          <w:tcPr>
            <w:tcW w:w="1276" w:type="dxa"/>
            <w:vAlign w:val="center"/>
          </w:tcPr>
          <w:p w14:paraId="486BD3ED" w14:textId="661E49F9" w:rsidR="00644C6B" w:rsidRPr="00420AB3" w:rsidRDefault="007E683D" w:rsidP="00636679">
            <w:pPr>
              <w:spacing w:after="60"/>
              <w:jc w:val="center"/>
            </w:pPr>
            <w:r>
              <w:t>12.0</w:t>
            </w:r>
          </w:p>
        </w:tc>
        <w:tc>
          <w:tcPr>
            <w:tcW w:w="1039" w:type="dxa"/>
            <w:vAlign w:val="center"/>
          </w:tcPr>
          <w:p w14:paraId="6BAE0E13" w14:textId="4FA65B3C" w:rsidR="00644C6B" w:rsidRPr="00420AB3" w:rsidRDefault="007E683D" w:rsidP="00636679">
            <w:pPr>
              <w:spacing w:after="60"/>
              <w:jc w:val="center"/>
            </w:pPr>
            <w:r>
              <w:t>16.5</w:t>
            </w:r>
          </w:p>
        </w:tc>
        <w:tc>
          <w:tcPr>
            <w:tcW w:w="1040" w:type="dxa"/>
            <w:vAlign w:val="center"/>
          </w:tcPr>
          <w:p w14:paraId="0F5EED16" w14:textId="03DC851E" w:rsidR="00644C6B" w:rsidRPr="00420AB3" w:rsidRDefault="007E683D" w:rsidP="00636679">
            <w:pPr>
              <w:spacing w:after="60"/>
              <w:jc w:val="center"/>
            </w:pPr>
            <w:r>
              <w:t>16.5</w:t>
            </w:r>
          </w:p>
        </w:tc>
        <w:tc>
          <w:tcPr>
            <w:tcW w:w="1039" w:type="dxa"/>
            <w:vAlign w:val="center"/>
          </w:tcPr>
          <w:p w14:paraId="47BA13F9" w14:textId="72B60033" w:rsidR="00644C6B" w:rsidRPr="00420AB3" w:rsidRDefault="007E683D" w:rsidP="00636679">
            <w:pPr>
              <w:spacing w:after="60"/>
              <w:jc w:val="center"/>
            </w:pPr>
            <w:r>
              <w:t>16.5</w:t>
            </w:r>
          </w:p>
        </w:tc>
        <w:tc>
          <w:tcPr>
            <w:tcW w:w="1040" w:type="dxa"/>
            <w:vAlign w:val="center"/>
          </w:tcPr>
          <w:p w14:paraId="489D0D06" w14:textId="439EF717" w:rsidR="00644C6B" w:rsidRPr="00420AB3" w:rsidRDefault="007E683D" w:rsidP="00636679">
            <w:pPr>
              <w:spacing w:after="60"/>
              <w:jc w:val="center"/>
            </w:pPr>
            <w:r>
              <w:t>32.8</w:t>
            </w:r>
          </w:p>
        </w:tc>
        <w:tc>
          <w:tcPr>
            <w:tcW w:w="1039" w:type="dxa"/>
            <w:vAlign w:val="center"/>
          </w:tcPr>
          <w:p w14:paraId="4C0989A7" w14:textId="2E3775E4" w:rsidR="00644C6B" w:rsidRPr="00420AB3" w:rsidRDefault="007E683D" w:rsidP="00636679">
            <w:pPr>
              <w:spacing w:after="60"/>
              <w:jc w:val="center"/>
            </w:pPr>
            <w:r>
              <w:t>56.5</w:t>
            </w:r>
          </w:p>
        </w:tc>
        <w:tc>
          <w:tcPr>
            <w:tcW w:w="1040" w:type="dxa"/>
            <w:vAlign w:val="center"/>
          </w:tcPr>
          <w:p w14:paraId="24F2A9C8" w14:textId="3E09B178" w:rsidR="00644C6B" w:rsidRPr="00420AB3" w:rsidRDefault="007E683D" w:rsidP="00636679">
            <w:pPr>
              <w:spacing w:after="60"/>
              <w:jc w:val="center"/>
            </w:pPr>
            <w:r>
              <w:t>90.4</w:t>
            </w:r>
          </w:p>
        </w:tc>
      </w:tr>
      <w:tr w:rsidR="002B74F8" w14:paraId="16D762C6" w14:textId="77777777" w:rsidTr="003F03A3">
        <w:trPr>
          <w:cnfStyle w:val="000000100000" w:firstRow="0" w:lastRow="0" w:firstColumn="0" w:lastColumn="0" w:oddVBand="0" w:evenVBand="0" w:oddHBand="1" w:evenHBand="0" w:firstRowFirstColumn="0" w:firstRowLastColumn="0" w:lastRowFirstColumn="0" w:lastRowLastColumn="0"/>
        </w:trPr>
        <w:tc>
          <w:tcPr>
            <w:tcW w:w="2263" w:type="dxa"/>
          </w:tcPr>
          <w:p w14:paraId="4C81B111" w14:textId="4D485970" w:rsidR="002B74F8" w:rsidRPr="006821CB" w:rsidRDefault="00644C6B" w:rsidP="00636679">
            <w:pPr>
              <w:spacing w:after="60"/>
            </w:pPr>
            <w:r>
              <w:t>Namoi</w:t>
            </w:r>
          </w:p>
        </w:tc>
        <w:tc>
          <w:tcPr>
            <w:tcW w:w="1276" w:type="dxa"/>
            <w:vAlign w:val="center"/>
          </w:tcPr>
          <w:p w14:paraId="2672BB69" w14:textId="6A3A90CA" w:rsidR="002B74F8" w:rsidRPr="00420AB3" w:rsidRDefault="00420AB3" w:rsidP="00636679">
            <w:pPr>
              <w:spacing w:after="60"/>
              <w:jc w:val="center"/>
            </w:pPr>
            <w:r w:rsidRPr="00420AB3">
              <w:t>0.6</w:t>
            </w:r>
          </w:p>
        </w:tc>
        <w:tc>
          <w:tcPr>
            <w:tcW w:w="1039" w:type="dxa"/>
            <w:vAlign w:val="center"/>
          </w:tcPr>
          <w:p w14:paraId="3D163DC2" w14:textId="099CD2BE" w:rsidR="002B74F8" w:rsidRPr="00420AB3" w:rsidRDefault="00420AB3" w:rsidP="00636679">
            <w:pPr>
              <w:spacing w:after="60"/>
              <w:jc w:val="center"/>
            </w:pPr>
            <w:r w:rsidRPr="00420AB3">
              <w:t>0.7</w:t>
            </w:r>
          </w:p>
        </w:tc>
        <w:tc>
          <w:tcPr>
            <w:tcW w:w="1040" w:type="dxa"/>
            <w:vAlign w:val="center"/>
          </w:tcPr>
          <w:p w14:paraId="194C1505" w14:textId="05735DEE" w:rsidR="002B74F8" w:rsidRPr="00420AB3" w:rsidRDefault="00420AB3" w:rsidP="00636679">
            <w:pPr>
              <w:spacing w:after="60"/>
              <w:jc w:val="center"/>
            </w:pPr>
            <w:r w:rsidRPr="00420AB3">
              <w:t>0.7</w:t>
            </w:r>
          </w:p>
        </w:tc>
        <w:tc>
          <w:tcPr>
            <w:tcW w:w="1039" w:type="dxa"/>
            <w:vAlign w:val="center"/>
          </w:tcPr>
          <w:p w14:paraId="16CF169E" w14:textId="3A963525" w:rsidR="002B74F8" w:rsidRPr="00420AB3" w:rsidRDefault="00420AB3" w:rsidP="00636679">
            <w:pPr>
              <w:spacing w:after="60"/>
              <w:jc w:val="center"/>
            </w:pPr>
            <w:r w:rsidRPr="00420AB3">
              <w:t>1.6</w:t>
            </w:r>
          </w:p>
        </w:tc>
        <w:tc>
          <w:tcPr>
            <w:tcW w:w="1040" w:type="dxa"/>
            <w:vAlign w:val="center"/>
          </w:tcPr>
          <w:p w14:paraId="21A36EE9" w14:textId="7DA1D34C" w:rsidR="002B74F8" w:rsidRPr="00420AB3" w:rsidRDefault="00420AB3" w:rsidP="00636679">
            <w:pPr>
              <w:spacing w:after="60"/>
              <w:jc w:val="center"/>
            </w:pPr>
            <w:r w:rsidRPr="00420AB3">
              <w:t>4.6</w:t>
            </w:r>
          </w:p>
        </w:tc>
        <w:tc>
          <w:tcPr>
            <w:tcW w:w="1039" w:type="dxa"/>
            <w:vAlign w:val="center"/>
          </w:tcPr>
          <w:p w14:paraId="15E2AD60" w14:textId="3E6E6888" w:rsidR="002B74F8" w:rsidRPr="00420AB3" w:rsidRDefault="00420AB3" w:rsidP="00636679">
            <w:pPr>
              <w:spacing w:after="60"/>
              <w:jc w:val="center"/>
            </w:pPr>
            <w:r w:rsidRPr="00420AB3">
              <w:t>9.2</w:t>
            </w:r>
          </w:p>
        </w:tc>
        <w:tc>
          <w:tcPr>
            <w:tcW w:w="1040" w:type="dxa"/>
            <w:vAlign w:val="center"/>
          </w:tcPr>
          <w:p w14:paraId="3421EF5A" w14:textId="091A373E" w:rsidR="002B74F8" w:rsidRPr="00420AB3" w:rsidRDefault="00420AB3" w:rsidP="00636679">
            <w:pPr>
              <w:spacing w:after="60"/>
              <w:jc w:val="center"/>
            </w:pPr>
            <w:r w:rsidRPr="00420AB3">
              <w:t>15.0</w:t>
            </w:r>
          </w:p>
        </w:tc>
      </w:tr>
      <w:tr w:rsidR="002B74F8" w14:paraId="28A1D4F0" w14:textId="77777777" w:rsidTr="003F03A3">
        <w:trPr>
          <w:cnfStyle w:val="000000010000" w:firstRow="0" w:lastRow="0" w:firstColumn="0" w:lastColumn="0" w:oddVBand="0" w:evenVBand="0" w:oddHBand="0" w:evenHBand="1" w:firstRowFirstColumn="0" w:firstRowLastColumn="0" w:lastRowFirstColumn="0" w:lastRowLastColumn="0"/>
        </w:trPr>
        <w:tc>
          <w:tcPr>
            <w:tcW w:w="2263" w:type="dxa"/>
          </w:tcPr>
          <w:p w14:paraId="5FF4F163" w14:textId="6B9BFBDF" w:rsidR="002B74F8" w:rsidRPr="006821CB" w:rsidRDefault="00644C6B" w:rsidP="00636679">
            <w:pPr>
              <w:spacing w:after="60"/>
            </w:pPr>
            <w:r>
              <w:t>Macquarie</w:t>
            </w:r>
          </w:p>
        </w:tc>
        <w:tc>
          <w:tcPr>
            <w:tcW w:w="1276" w:type="dxa"/>
            <w:vAlign w:val="center"/>
          </w:tcPr>
          <w:p w14:paraId="52DD4A4A" w14:textId="5ED75968" w:rsidR="002B74F8" w:rsidRPr="00420AB3" w:rsidRDefault="00420AB3" w:rsidP="00636679">
            <w:pPr>
              <w:spacing w:after="60"/>
              <w:jc w:val="center"/>
            </w:pPr>
            <w:r w:rsidRPr="00420AB3">
              <w:t>22.7</w:t>
            </w:r>
            <w:r w:rsidR="009E1BFD">
              <w:t xml:space="preserve"> </w:t>
            </w:r>
            <w:r w:rsidR="009E1BFD" w:rsidRPr="00E02872">
              <w:rPr>
                <w:vertAlign w:val="superscript"/>
              </w:rPr>
              <w:t>^</w:t>
            </w:r>
          </w:p>
        </w:tc>
        <w:tc>
          <w:tcPr>
            <w:tcW w:w="1039" w:type="dxa"/>
            <w:vAlign w:val="center"/>
          </w:tcPr>
          <w:p w14:paraId="020F157C" w14:textId="74B33C32" w:rsidR="002B74F8" w:rsidRPr="00420AB3" w:rsidRDefault="00420AB3" w:rsidP="00636679">
            <w:pPr>
              <w:spacing w:after="60"/>
              <w:jc w:val="center"/>
            </w:pPr>
            <w:r w:rsidRPr="00420AB3">
              <w:t>22.7</w:t>
            </w:r>
          </w:p>
        </w:tc>
        <w:tc>
          <w:tcPr>
            <w:tcW w:w="1040" w:type="dxa"/>
            <w:vAlign w:val="center"/>
          </w:tcPr>
          <w:p w14:paraId="17B7F5E3" w14:textId="588502D1" w:rsidR="002B74F8" w:rsidRPr="00420AB3" w:rsidRDefault="00420AB3" w:rsidP="00636679">
            <w:pPr>
              <w:spacing w:after="60"/>
              <w:jc w:val="center"/>
            </w:pPr>
            <w:r w:rsidRPr="00420AB3">
              <w:t>23.7</w:t>
            </w:r>
          </w:p>
        </w:tc>
        <w:tc>
          <w:tcPr>
            <w:tcW w:w="1039" w:type="dxa"/>
            <w:vAlign w:val="center"/>
          </w:tcPr>
          <w:p w14:paraId="0760D605" w14:textId="45611916" w:rsidR="002B74F8" w:rsidRPr="00420AB3" w:rsidRDefault="00420AB3" w:rsidP="00636679">
            <w:pPr>
              <w:spacing w:after="60"/>
              <w:jc w:val="center"/>
            </w:pPr>
            <w:r w:rsidRPr="00420AB3">
              <w:t>31.5</w:t>
            </w:r>
          </w:p>
        </w:tc>
        <w:tc>
          <w:tcPr>
            <w:tcW w:w="1040" w:type="dxa"/>
            <w:vAlign w:val="center"/>
          </w:tcPr>
          <w:p w14:paraId="28FF2C0D" w14:textId="754D0503" w:rsidR="002B74F8" w:rsidRPr="00420AB3" w:rsidRDefault="00420AB3" w:rsidP="00636679">
            <w:pPr>
              <w:spacing w:after="60"/>
              <w:jc w:val="center"/>
            </w:pPr>
            <w:r w:rsidRPr="00420AB3">
              <w:t>92.1</w:t>
            </w:r>
          </w:p>
        </w:tc>
        <w:tc>
          <w:tcPr>
            <w:tcW w:w="1039" w:type="dxa"/>
            <w:vAlign w:val="center"/>
          </w:tcPr>
          <w:p w14:paraId="6049A4F8" w14:textId="0B49AF35" w:rsidR="002B74F8" w:rsidRPr="00420AB3" w:rsidRDefault="00420AB3" w:rsidP="00636679">
            <w:pPr>
              <w:spacing w:after="60"/>
              <w:jc w:val="center"/>
            </w:pPr>
            <w:r w:rsidRPr="00420AB3">
              <w:t>148.9</w:t>
            </w:r>
          </w:p>
        </w:tc>
        <w:tc>
          <w:tcPr>
            <w:tcW w:w="1040" w:type="dxa"/>
            <w:vAlign w:val="center"/>
          </w:tcPr>
          <w:p w14:paraId="044AAB6B" w14:textId="0BF9C428" w:rsidR="002B74F8" w:rsidRPr="00420AB3" w:rsidRDefault="00420AB3" w:rsidP="00636679">
            <w:pPr>
              <w:spacing w:after="60"/>
              <w:jc w:val="center"/>
            </w:pPr>
            <w:r w:rsidRPr="00420AB3">
              <w:t>148.9</w:t>
            </w:r>
          </w:p>
        </w:tc>
      </w:tr>
      <w:tr w:rsidR="002B74F8" w:rsidRPr="00414147" w14:paraId="46835A96" w14:textId="77777777" w:rsidTr="003F03A3">
        <w:trPr>
          <w:cnfStyle w:val="000000100000" w:firstRow="0" w:lastRow="0" w:firstColumn="0" w:lastColumn="0" w:oddVBand="0" w:evenVBand="0" w:oddHBand="1" w:evenHBand="0" w:firstRowFirstColumn="0" w:firstRowLastColumn="0" w:lastRowFirstColumn="0" w:lastRowLastColumn="0"/>
        </w:trPr>
        <w:tc>
          <w:tcPr>
            <w:tcW w:w="2263" w:type="dxa"/>
          </w:tcPr>
          <w:p w14:paraId="17DF5277" w14:textId="5861062F" w:rsidR="002B74F8" w:rsidRPr="006821CB" w:rsidRDefault="00567810" w:rsidP="00636679">
            <w:pPr>
              <w:spacing w:after="60"/>
            </w:pPr>
            <w:r>
              <w:t>Lower Darling</w:t>
            </w:r>
          </w:p>
        </w:tc>
        <w:tc>
          <w:tcPr>
            <w:tcW w:w="1276" w:type="dxa"/>
            <w:vAlign w:val="center"/>
          </w:tcPr>
          <w:p w14:paraId="6D6B6596" w14:textId="08A51133" w:rsidR="002B74F8" w:rsidRPr="00420AB3" w:rsidRDefault="00420AB3" w:rsidP="00636679">
            <w:pPr>
              <w:spacing w:after="60"/>
              <w:jc w:val="center"/>
            </w:pPr>
            <w:r w:rsidRPr="00420AB3">
              <w:t>10.8</w:t>
            </w:r>
          </w:p>
        </w:tc>
        <w:tc>
          <w:tcPr>
            <w:tcW w:w="1039" w:type="dxa"/>
            <w:vAlign w:val="center"/>
          </w:tcPr>
          <w:p w14:paraId="6AA6940D" w14:textId="7DEF2C17" w:rsidR="002B74F8" w:rsidRPr="00420AB3" w:rsidRDefault="00420AB3" w:rsidP="00636679">
            <w:pPr>
              <w:spacing w:after="60"/>
              <w:jc w:val="center"/>
            </w:pPr>
            <w:r w:rsidRPr="00420AB3">
              <w:t>15.0</w:t>
            </w:r>
          </w:p>
        </w:tc>
        <w:tc>
          <w:tcPr>
            <w:tcW w:w="1040" w:type="dxa"/>
            <w:vAlign w:val="center"/>
          </w:tcPr>
          <w:p w14:paraId="138AA159" w14:textId="211804C9" w:rsidR="002B74F8" w:rsidRPr="00420AB3" w:rsidRDefault="00420AB3" w:rsidP="00636679">
            <w:pPr>
              <w:spacing w:after="60"/>
              <w:jc w:val="center"/>
            </w:pPr>
            <w:r w:rsidRPr="00420AB3">
              <w:t>16.5</w:t>
            </w:r>
          </w:p>
        </w:tc>
        <w:tc>
          <w:tcPr>
            <w:tcW w:w="1039" w:type="dxa"/>
            <w:vAlign w:val="center"/>
          </w:tcPr>
          <w:p w14:paraId="485C9904" w14:textId="07CC912A" w:rsidR="002B74F8" w:rsidRPr="00420AB3" w:rsidRDefault="00420AB3" w:rsidP="00636679">
            <w:pPr>
              <w:spacing w:after="60"/>
              <w:jc w:val="center"/>
            </w:pPr>
            <w:r w:rsidRPr="00420AB3">
              <w:t>17.6</w:t>
            </w:r>
          </w:p>
        </w:tc>
        <w:tc>
          <w:tcPr>
            <w:tcW w:w="1040" w:type="dxa"/>
            <w:vAlign w:val="center"/>
          </w:tcPr>
          <w:p w14:paraId="23670572" w14:textId="3202EA9B" w:rsidR="002B74F8" w:rsidRPr="00420AB3" w:rsidRDefault="00420AB3" w:rsidP="00636679">
            <w:pPr>
              <w:spacing w:after="60"/>
              <w:jc w:val="center"/>
            </w:pPr>
            <w:r w:rsidRPr="00420AB3">
              <w:t>25.8</w:t>
            </w:r>
          </w:p>
        </w:tc>
        <w:tc>
          <w:tcPr>
            <w:tcW w:w="1039" w:type="dxa"/>
            <w:vAlign w:val="center"/>
          </w:tcPr>
          <w:p w14:paraId="4248BBD5" w14:textId="0ACF22C6" w:rsidR="002B74F8" w:rsidRPr="00420AB3" w:rsidRDefault="00420AB3" w:rsidP="00636679">
            <w:pPr>
              <w:spacing w:after="60"/>
              <w:jc w:val="center"/>
            </w:pPr>
            <w:r w:rsidRPr="00420AB3">
              <w:t>25.8</w:t>
            </w:r>
          </w:p>
        </w:tc>
        <w:tc>
          <w:tcPr>
            <w:tcW w:w="1040" w:type="dxa"/>
            <w:vAlign w:val="center"/>
          </w:tcPr>
          <w:p w14:paraId="7B5AB6E9" w14:textId="3164408B" w:rsidR="002B74F8" w:rsidRPr="00420AB3" w:rsidRDefault="00420AB3" w:rsidP="00636679">
            <w:pPr>
              <w:spacing w:after="60"/>
              <w:jc w:val="center"/>
            </w:pPr>
            <w:r w:rsidRPr="00420AB3">
              <w:t>25.8</w:t>
            </w:r>
          </w:p>
        </w:tc>
      </w:tr>
      <w:tr w:rsidR="002B74F8" w:rsidRPr="00414147" w14:paraId="5C79AACF" w14:textId="77777777" w:rsidTr="003F03A3">
        <w:trPr>
          <w:cnfStyle w:val="000000010000" w:firstRow="0" w:lastRow="0" w:firstColumn="0" w:lastColumn="0" w:oddVBand="0" w:evenVBand="0" w:oddHBand="0" w:evenHBand="1" w:firstRowFirstColumn="0" w:firstRowLastColumn="0" w:lastRowFirstColumn="0" w:lastRowLastColumn="0"/>
        </w:trPr>
        <w:tc>
          <w:tcPr>
            <w:tcW w:w="2263" w:type="dxa"/>
          </w:tcPr>
          <w:p w14:paraId="78001C57" w14:textId="41161AA7" w:rsidR="002B74F8" w:rsidRDefault="002B74F8" w:rsidP="00636679">
            <w:pPr>
              <w:spacing w:after="60"/>
            </w:pPr>
            <w:r>
              <w:t>Lachlan</w:t>
            </w:r>
          </w:p>
        </w:tc>
        <w:tc>
          <w:tcPr>
            <w:tcW w:w="1276" w:type="dxa"/>
            <w:vAlign w:val="center"/>
          </w:tcPr>
          <w:p w14:paraId="374C2C71" w14:textId="4CEE1F12" w:rsidR="002B74F8" w:rsidRPr="00420AB3" w:rsidRDefault="00420AB3" w:rsidP="00636679">
            <w:pPr>
              <w:spacing w:after="60"/>
              <w:jc w:val="center"/>
            </w:pPr>
            <w:r w:rsidRPr="00420AB3">
              <w:t>16.0</w:t>
            </w:r>
            <w:r w:rsidR="009E1BFD" w:rsidRPr="00E02872">
              <w:rPr>
                <w:vertAlign w:val="superscript"/>
              </w:rPr>
              <w:t>^^</w:t>
            </w:r>
          </w:p>
        </w:tc>
        <w:tc>
          <w:tcPr>
            <w:tcW w:w="1039" w:type="dxa"/>
            <w:vAlign w:val="center"/>
          </w:tcPr>
          <w:p w14:paraId="7560421F" w14:textId="4A77249C" w:rsidR="002B74F8" w:rsidRPr="00420AB3" w:rsidRDefault="00420AB3" w:rsidP="00636679">
            <w:pPr>
              <w:spacing w:after="60"/>
              <w:jc w:val="center"/>
            </w:pPr>
            <w:r w:rsidRPr="00420AB3">
              <w:t>16.7</w:t>
            </w:r>
          </w:p>
        </w:tc>
        <w:tc>
          <w:tcPr>
            <w:tcW w:w="1040" w:type="dxa"/>
            <w:vAlign w:val="center"/>
          </w:tcPr>
          <w:p w14:paraId="08D58ACA" w14:textId="6350B08F" w:rsidR="002B74F8" w:rsidRPr="00420AB3" w:rsidRDefault="00420AB3" w:rsidP="00636679">
            <w:pPr>
              <w:spacing w:after="60"/>
              <w:jc w:val="center"/>
            </w:pPr>
            <w:r w:rsidRPr="00420AB3">
              <w:t>16.9</w:t>
            </w:r>
          </w:p>
        </w:tc>
        <w:tc>
          <w:tcPr>
            <w:tcW w:w="1039" w:type="dxa"/>
            <w:vAlign w:val="center"/>
          </w:tcPr>
          <w:p w14:paraId="033A0DAD" w14:textId="6CB0D88F" w:rsidR="002B74F8" w:rsidRPr="00420AB3" w:rsidRDefault="00420AB3" w:rsidP="00636679">
            <w:pPr>
              <w:spacing w:after="60"/>
              <w:jc w:val="center"/>
            </w:pPr>
            <w:r w:rsidRPr="00420AB3">
              <w:t>16.9</w:t>
            </w:r>
          </w:p>
        </w:tc>
        <w:tc>
          <w:tcPr>
            <w:tcW w:w="1040" w:type="dxa"/>
            <w:vAlign w:val="center"/>
          </w:tcPr>
          <w:p w14:paraId="652B525A" w14:textId="27EB59E4" w:rsidR="002B74F8" w:rsidRPr="00420AB3" w:rsidRDefault="00420AB3" w:rsidP="00636679">
            <w:pPr>
              <w:spacing w:after="60"/>
              <w:jc w:val="center"/>
            </w:pPr>
            <w:r w:rsidRPr="00420AB3">
              <w:t>67.4</w:t>
            </w:r>
          </w:p>
        </w:tc>
        <w:tc>
          <w:tcPr>
            <w:tcW w:w="1039" w:type="dxa"/>
            <w:vAlign w:val="center"/>
          </w:tcPr>
          <w:p w14:paraId="4A0342DB" w14:textId="75096DEB" w:rsidR="002B74F8" w:rsidRPr="00420AB3" w:rsidRDefault="00420AB3" w:rsidP="00636679">
            <w:pPr>
              <w:spacing w:after="60"/>
              <w:jc w:val="center"/>
            </w:pPr>
            <w:r w:rsidRPr="00420AB3">
              <w:t>103.9</w:t>
            </w:r>
          </w:p>
        </w:tc>
        <w:tc>
          <w:tcPr>
            <w:tcW w:w="1040" w:type="dxa"/>
            <w:vAlign w:val="center"/>
          </w:tcPr>
          <w:p w14:paraId="7A289536" w14:textId="7A480FEB" w:rsidR="002B74F8" w:rsidRPr="00420AB3" w:rsidRDefault="00420AB3" w:rsidP="00636679">
            <w:pPr>
              <w:spacing w:after="60"/>
              <w:jc w:val="center"/>
            </w:pPr>
            <w:r w:rsidRPr="00420AB3">
              <w:t>121.2</w:t>
            </w:r>
          </w:p>
        </w:tc>
      </w:tr>
      <w:tr w:rsidR="00567810" w:rsidRPr="00414147" w14:paraId="59C37967" w14:textId="77777777" w:rsidTr="003F03A3">
        <w:trPr>
          <w:cnfStyle w:val="000000100000" w:firstRow="0" w:lastRow="0" w:firstColumn="0" w:lastColumn="0" w:oddVBand="0" w:evenVBand="0" w:oddHBand="1" w:evenHBand="0" w:firstRowFirstColumn="0" w:firstRowLastColumn="0" w:lastRowFirstColumn="0" w:lastRowLastColumn="0"/>
        </w:trPr>
        <w:tc>
          <w:tcPr>
            <w:tcW w:w="2263" w:type="dxa"/>
          </w:tcPr>
          <w:p w14:paraId="2F933C52" w14:textId="07D2B3F5" w:rsidR="00567810" w:rsidRDefault="00567810" w:rsidP="00636679">
            <w:pPr>
              <w:spacing w:after="60"/>
            </w:pPr>
            <w:r>
              <w:t>Murrumbidgee</w:t>
            </w:r>
          </w:p>
        </w:tc>
        <w:tc>
          <w:tcPr>
            <w:tcW w:w="1276" w:type="dxa"/>
            <w:vAlign w:val="center"/>
          </w:tcPr>
          <w:p w14:paraId="3E7DECC8" w14:textId="6DC8205B" w:rsidR="00567810" w:rsidRPr="00420AB3" w:rsidRDefault="00420AB3" w:rsidP="00636679">
            <w:pPr>
              <w:spacing w:after="60"/>
              <w:jc w:val="center"/>
            </w:pPr>
            <w:r w:rsidRPr="00420AB3">
              <w:t>62.0</w:t>
            </w:r>
          </w:p>
        </w:tc>
        <w:tc>
          <w:tcPr>
            <w:tcW w:w="1039" w:type="dxa"/>
            <w:vAlign w:val="center"/>
          </w:tcPr>
          <w:p w14:paraId="7FF18A12" w14:textId="0650E2F0" w:rsidR="00567810" w:rsidRPr="00420AB3" w:rsidRDefault="00420AB3" w:rsidP="00636679">
            <w:pPr>
              <w:spacing w:after="60"/>
              <w:jc w:val="center"/>
            </w:pPr>
            <w:r w:rsidRPr="00420AB3">
              <w:t>107.5</w:t>
            </w:r>
          </w:p>
        </w:tc>
        <w:tc>
          <w:tcPr>
            <w:tcW w:w="1040" w:type="dxa"/>
            <w:vAlign w:val="center"/>
          </w:tcPr>
          <w:p w14:paraId="704AD770" w14:textId="167E474F" w:rsidR="00567810" w:rsidRPr="00420AB3" w:rsidRDefault="00420AB3" w:rsidP="00636679">
            <w:pPr>
              <w:spacing w:after="60"/>
              <w:jc w:val="center"/>
            </w:pPr>
            <w:r w:rsidRPr="00420AB3">
              <w:t>146.2</w:t>
            </w:r>
          </w:p>
        </w:tc>
        <w:tc>
          <w:tcPr>
            <w:tcW w:w="1039" w:type="dxa"/>
            <w:vAlign w:val="center"/>
          </w:tcPr>
          <w:p w14:paraId="0237CA1E" w14:textId="49EE2444" w:rsidR="00567810" w:rsidRPr="00420AB3" w:rsidRDefault="00420AB3" w:rsidP="00636679">
            <w:pPr>
              <w:spacing w:after="60"/>
              <w:jc w:val="center"/>
            </w:pPr>
            <w:r w:rsidRPr="00420AB3">
              <w:t>223.8</w:t>
            </w:r>
          </w:p>
        </w:tc>
        <w:tc>
          <w:tcPr>
            <w:tcW w:w="1040" w:type="dxa"/>
            <w:vAlign w:val="center"/>
          </w:tcPr>
          <w:p w14:paraId="3151A010" w14:textId="064857C5" w:rsidR="00567810" w:rsidRPr="00420AB3" w:rsidRDefault="00420AB3" w:rsidP="00636679">
            <w:pPr>
              <w:spacing w:after="60"/>
              <w:jc w:val="center"/>
            </w:pPr>
            <w:r w:rsidRPr="00420AB3">
              <w:t>301.5</w:t>
            </w:r>
          </w:p>
        </w:tc>
        <w:tc>
          <w:tcPr>
            <w:tcW w:w="1039" w:type="dxa"/>
            <w:vAlign w:val="center"/>
          </w:tcPr>
          <w:p w14:paraId="23766460" w14:textId="6286F152" w:rsidR="00567810" w:rsidRPr="00420AB3" w:rsidRDefault="00420AB3" w:rsidP="00636679">
            <w:pPr>
              <w:spacing w:after="60"/>
              <w:jc w:val="center"/>
            </w:pPr>
            <w:r w:rsidRPr="00420AB3">
              <w:t>350.9</w:t>
            </w:r>
          </w:p>
        </w:tc>
        <w:tc>
          <w:tcPr>
            <w:tcW w:w="1040" w:type="dxa"/>
            <w:vAlign w:val="center"/>
          </w:tcPr>
          <w:p w14:paraId="0FF58A33" w14:textId="7A3AFA3E" w:rsidR="00567810" w:rsidRPr="00420AB3" w:rsidRDefault="00420AB3" w:rsidP="00636679">
            <w:pPr>
              <w:spacing w:after="60"/>
              <w:jc w:val="center"/>
            </w:pPr>
            <w:r w:rsidRPr="00420AB3">
              <w:t>350.9</w:t>
            </w:r>
          </w:p>
        </w:tc>
      </w:tr>
      <w:tr w:rsidR="00567810" w:rsidRPr="00414147" w14:paraId="1E39FEFB" w14:textId="77777777" w:rsidTr="003F03A3">
        <w:trPr>
          <w:cnfStyle w:val="000000010000" w:firstRow="0" w:lastRow="0" w:firstColumn="0" w:lastColumn="0" w:oddVBand="0" w:evenVBand="0" w:oddHBand="0" w:evenHBand="1" w:firstRowFirstColumn="0" w:firstRowLastColumn="0" w:lastRowFirstColumn="0" w:lastRowLastColumn="0"/>
        </w:trPr>
        <w:tc>
          <w:tcPr>
            <w:tcW w:w="2263" w:type="dxa"/>
          </w:tcPr>
          <w:p w14:paraId="6ED66FD8" w14:textId="2C01221F" w:rsidR="00567810" w:rsidRDefault="00C962F1" w:rsidP="00636679">
            <w:pPr>
              <w:spacing w:after="60"/>
            </w:pPr>
            <w:r>
              <w:t>Ovens</w:t>
            </w:r>
          </w:p>
        </w:tc>
        <w:tc>
          <w:tcPr>
            <w:tcW w:w="1276" w:type="dxa"/>
            <w:vAlign w:val="center"/>
          </w:tcPr>
          <w:p w14:paraId="338DB040" w14:textId="16CEE946" w:rsidR="00567810" w:rsidRPr="008149AC" w:rsidRDefault="00F053B9" w:rsidP="00636679">
            <w:pPr>
              <w:spacing w:after="60"/>
              <w:jc w:val="center"/>
            </w:pPr>
            <w:r w:rsidRPr="008149AC">
              <w:t>0</w:t>
            </w:r>
          </w:p>
        </w:tc>
        <w:tc>
          <w:tcPr>
            <w:tcW w:w="1039" w:type="dxa"/>
            <w:vAlign w:val="center"/>
          </w:tcPr>
          <w:p w14:paraId="5DAF479D" w14:textId="0254D37A" w:rsidR="00567810" w:rsidRPr="008149AC" w:rsidRDefault="00F053B9" w:rsidP="00636679">
            <w:pPr>
              <w:spacing w:after="60"/>
              <w:jc w:val="center"/>
            </w:pPr>
            <w:r w:rsidRPr="008149AC">
              <w:t>0.1</w:t>
            </w:r>
          </w:p>
        </w:tc>
        <w:tc>
          <w:tcPr>
            <w:tcW w:w="1040" w:type="dxa"/>
            <w:vAlign w:val="center"/>
          </w:tcPr>
          <w:p w14:paraId="285B2D00" w14:textId="0B419E61" w:rsidR="00567810" w:rsidRPr="008149AC" w:rsidRDefault="00F053B9" w:rsidP="00636679">
            <w:pPr>
              <w:spacing w:after="60"/>
              <w:jc w:val="center"/>
            </w:pPr>
            <w:r w:rsidRPr="008149AC">
              <w:t>0.1</w:t>
            </w:r>
          </w:p>
        </w:tc>
        <w:tc>
          <w:tcPr>
            <w:tcW w:w="1039" w:type="dxa"/>
            <w:vAlign w:val="center"/>
          </w:tcPr>
          <w:p w14:paraId="4CDA201B" w14:textId="6F65A569" w:rsidR="00567810" w:rsidRPr="008149AC" w:rsidRDefault="00F053B9" w:rsidP="00636679">
            <w:pPr>
              <w:spacing w:after="60"/>
              <w:jc w:val="center"/>
            </w:pPr>
            <w:r w:rsidRPr="008149AC">
              <w:t>0.1</w:t>
            </w:r>
          </w:p>
        </w:tc>
        <w:tc>
          <w:tcPr>
            <w:tcW w:w="1040" w:type="dxa"/>
            <w:vAlign w:val="center"/>
          </w:tcPr>
          <w:p w14:paraId="670E941B" w14:textId="2987AA7E" w:rsidR="00567810" w:rsidRPr="008149AC" w:rsidRDefault="00F053B9" w:rsidP="00636679">
            <w:pPr>
              <w:spacing w:after="60"/>
              <w:jc w:val="center"/>
            </w:pPr>
            <w:r w:rsidRPr="008149AC">
              <w:t>0.1</w:t>
            </w:r>
          </w:p>
        </w:tc>
        <w:tc>
          <w:tcPr>
            <w:tcW w:w="1039" w:type="dxa"/>
            <w:vAlign w:val="center"/>
          </w:tcPr>
          <w:p w14:paraId="3554CA05" w14:textId="54A469FB" w:rsidR="00567810" w:rsidRPr="008149AC" w:rsidRDefault="00F053B9" w:rsidP="00636679">
            <w:pPr>
              <w:spacing w:after="60"/>
              <w:jc w:val="center"/>
            </w:pPr>
            <w:r w:rsidRPr="008149AC">
              <w:t>0.1</w:t>
            </w:r>
          </w:p>
        </w:tc>
        <w:tc>
          <w:tcPr>
            <w:tcW w:w="1040" w:type="dxa"/>
            <w:vAlign w:val="center"/>
          </w:tcPr>
          <w:p w14:paraId="10D6DF1C" w14:textId="4282A397" w:rsidR="00567810" w:rsidRPr="008149AC" w:rsidRDefault="00F053B9" w:rsidP="00636679">
            <w:pPr>
              <w:spacing w:after="60"/>
              <w:jc w:val="center"/>
            </w:pPr>
            <w:r w:rsidRPr="008149AC">
              <w:t>0.1</w:t>
            </w:r>
          </w:p>
        </w:tc>
      </w:tr>
      <w:tr w:rsidR="00C962F1" w:rsidRPr="00414147" w14:paraId="59CD108C" w14:textId="77777777" w:rsidTr="003F03A3">
        <w:trPr>
          <w:cnfStyle w:val="000000100000" w:firstRow="0" w:lastRow="0" w:firstColumn="0" w:lastColumn="0" w:oddVBand="0" w:evenVBand="0" w:oddHBand="1" w:evenHBand="0" w:firstRowFirstColumn="0" w:firstRowLastColumn="0" w:lastRowFirstColumn="0" w:lastRowLastColumn="0"/>
        </w:trPr>
        <w:tc>
          <w:tcPr>
            <w:tcW w:w="2263" w:type="dxa"/>
          </w:tcPr>
          <w:p w14:paraId="57212483" w14:textId="25A94EC5" w:rsidR="00C962F1" w:rsidRDefault="00C962F1" w:rsidP="00636679">
            <w:pPr>
              <w:spacing w:after="60"/>
            </w:pPr>
            <w:r>
              <w:t>Upper Broken Creek and Broken River</w:t>
            </w:r>
          </w:p>
        </w:tc>
        <w:tc>
          <w:tcPr>
            <w:tcW w:w="1276" w:type="dxa"/>
            <w:vAlign w:val="center"/>
          </w:tcPr>
          <w:p w14:paraId="2D829726" w14:textId="28CAB6CB" w:rsidR="00C962F1" w:rsidRPr="00420AB3" w:rsidRDefault="00420AB3" w:rsidP="00636679">
            <w:pPr>
              <w:spacing w:after="60"/>
              <w:jc w:val="center"/>
            </w:pPr>
            <w:r w:rsidRPr="00420AB3">
              <w:t>0.</w:t>
            </w:r>
            <w:r w:rsidR="00BA3695">
              <w:t>1</w:t>
            </w:r>
          </w:p>
        </w:tc>
        <w:tc>
          <w:tcPr>
            <w:tcW w:w="1039" w:type="dxa"/>
            <w:vAlign w:val="center"/>
          </w:tcPr>
          <w:p w14:paraId="05ED5351" w14:textId="03D3428C" w:rsidR="00C962F1" w:rsidRPr="00420AB3" w:rsidRDefault="00420AB3" w:rsidP="00636679">
            <w:pPr>
              <w:spacing w:after="60"/>
              <w:jc w:val="center"/>
            </w:pPr>
            <w:r w:rsidRPr="00420AB3">
              <w:t>0.</w:t>
            </w:r>
            <w:r w:rsidR="00BA3695">
              <w:t>1</w:t>
            </w:r>
          </w:p>
        </w:tc>
        <w:tc>
          <w:tcPr>
            <w:tcW w:w="1040" w:type="dxa"/>
            <w:vAlign w:val="center"/>
          </w:tcPr>
          <w:p w14:paraId="7CA1FAFA" w14:textId="5AAC9C32" w:rsidR="00C962F1" w:rsidRPr="00420AB3" w:rsidRDefault="00420AB3" w:rsidP="00636679">
            <w:pPr>
              <w:spacing w:after="60"/>
              <w:jc w:val="center"/>
            </w:pPr>
            <w:r w:rsidRPr="00420AB3">
              <w:t>0.</w:t>
            </w:r>
            <w:r w:rsidR="008806AD">
              <w:t>3</w:t>
            </w:r>
          </w:p>
        </w:tc>
        <w:tc>
          <w:tcPr>
            <w:tcW w:w="1039" w:type="dxa"/>
            <w:vAlign w:val="center"/>
          </w:tcPr>
          <w:p w14:paraId="6D263DA2" w14:textId="5F3EF3D0" w:rsidR="00C962F1" w:rsidRPr="00420AB3" w:rsidRDefault="00420AB3" w:rsidP="00636679">
            <w:pPr>
              <w:spacing w:after="60"/>
              <w:jc w:val="center"/>
            </w:pPr>
            <w:r w:rsidRPr="00420AB3">
              <w:t>0.5</w:t>
            </w:r>
          </w:p>
        </w:tc>
        <w:tc>
          <w:tcPr>
            <w:tcW w:w="1040" w:type="dxa"/>
            <w:vAlign w:val="center"/>
          </w:tcPr>
          <w:p w14:paraId="6F175095" w14:textId="2F1CCC5C" w:rsidR="00C962F1" w:rsidRPr="00420AB3" w:rsidRDefault="00420AB3" w:rsidP="00636679">
            <w:pPr>
              <w:spacing w:after="60"/>
              <w:jc w:val="center"/>
            </w:pPr>
            <w:r w:rsidRPr="00420AB3">
              <w:t>0.5</w:t>
            </w:r>
          </w:p>
        </w:tc>
        <w:tc>
          <w:tcPr>
            <w:tcW w:w="1039" w:type="dxa"/>
            <w:vAlign w:val="center"/>
          </w:tcPr>
          <w:p w14:paraId="6C7B5126" w14:textId="6597E7A6" w:rsidR="00C962F1" w:rsidRPr="00420AB3" w:rsidRDefault="00420AB3" w:rsidP="00636679">
            <w:pPr>
              <w:spacing w:after="60"/>
              <w:jc w:val="center"/>
            </w:pPr>
            <w:r w:rsidRPr="00420AB3">
              <w:t>0.5</w:t>
            </w:r>
          </w:p>
        </w:tc>
        <w:tc>
          <w:tcPr>
            <w:tcW w:w="1040" w:type="dxa"/>
            <w:vAlign w:val="center"/>
          </w:tcPr>
          <w:p w14:paraId="51E503BB" w14:textId="048820BE" w:rsidR="00C962F1" w:rsidRPr="00420AB3" w:rsidRDefault="00420AB3" w:rsidP="00636679">
            <w:pPr>
              <w:spacing w:after="60"/>
              <w:jc w:val="center"/>
            </w:pPr>
            <w:r w:rsidRPr="00420AB3">
              <w:t>0.5</w:t>
            </w:r>
          </w:p>
        </w:tc>
      </w:tr>
      <w:tr w:rsidR="00C962F1" w:rsidRPr="00414147" w14:paraId="3D7FAEF9" w14:textId="77777777" w:rsidTr="003F03A3">
        <w:trPr>
          <w:cnfStyle w:val="000000010000" w:firstRow="0" w:lastRow="0" w:firstColumn="0" w:lastColumn="0" w:oddVBand="0" w:evenVBand="0" w:oddHBand="0" w:evenHBand="1" w:firstRowFirstColumn="0" w:firstRowLastColumn="0" w:lastRowFirstColumn="0" w:lastRowLastColumn="0"/>
        </w:trPr>
        <w:tc>
          <w:tcPr>
            <w:tcW w:w="2263" w:type="dxa"/>
          </w:tcPr>
          <w:p w14:paraId="7C892827" w14:textId="492140D1" w:rsidR="00C962F1" w:rsidRDefault="00C962F1" w:rsidP="00636679">
            <w:pPr>
              <w:spacing w:after="60"/>
            </w:pPr>
            <w:r>
              <w:t>Goulburn</w:t>
            </w:r>
          </w:p>
        </w:tc>
        <w:tc>
          <w:tcPr>
            <w:tcW w:w="1276" w:type="dxa"/>
            <w:vAlign w:val="center"/>
          </w:tcPr>
          <w:p w14:paraId="34D66D69" w14:textId="2AF111DE" w:rsidR="00C962F1" w:rsidRPr="00420AB3" w:rsidRDefault="00420AB3" w:rsidP="00636679">
            <w:pPr>
              <w:spacing w:after="60"/>
              <w:jc w:val="center"/>
            </w:pPr>
            <w:r w:rsidRPr="00420AB3">
              <w:t>55.</w:t>
            </w:r>
            <w:r w:rsidR="00BA3695" w:rsidRPr="004F32B4">
              <w:t>2</w:t>
            </w:r>
          </w:p>
        </w:tc>
        <w:tc>
          <w:tcPr>
            <w:tcW w:w="1039" w:type="dxa"/>
            <w:vAlign w:val="center"/>
          </w:tcPr>
          <w:p w14:paraId="213017C2" w14:textId="7D47341B" w:rsidR="00C962F1" w:rsidRPr="00420AB3" w:rsidRDefault="00420AB3" w:rsidP="00636679">
            <w:pPr>
              <w:spacing w:after="60"/>
              <w:jc w:val="center"/>
            </w:pPr>
            <w:r w:rsidRPr="00420AB3">
              <w:t>198.</w:t>
            </w:r>
            <w:r w:rsidR="002B32BA">
              <w:t>1</w:t>
            </w:r>
          </w:p>
        </w:tc>
        <w:tc>
          <w:tcPr>
            <w:tcW w:w="1040" w:type="dxa"/>
            <w:vAlign w:val="center"/>
          </w:tcPr>
          <w:p w14:paraId="4D0C334F" w14:textId="2FA6F46F" w:rsidR="00C962F1" w:rsidRPr="00420AB3" w:rsidRDefault="00420AB3" w:rsidP="00636679">
            <w:pPr>
              <w:spacing w:after="60"/>
              <w:jc w:val="center"/>
            </w:pPr>
            <w:r w:rsidRPr="00420AB3">
              <w:t>233.</w:t>
            </w:r>
            <w:r w:rsidR="002B32BA">
              <w:t>1</w:t>
            </w:r>
          </w:p>
        </w:tc>
        <w:tc>
          <w:tcPr>
            <w:tcW w:w="1039" w:type="dxa"/>
            <w:vAlign w:val="center"/>
          </w:tcPr>
          <w:p w14:paraId="681942A0" w14:textId="32FC0D48" w:rsidR="00C962F1" w:rsidRPr="00420AB3" w:rsidRDefault="002B32BA" w:rsidP="00636679">
            <w:pPr>
              <w:spacing w:after="60"/>
              <w:jc w:val="center"/>
            </w:pPr>
            <w:r>
              <w:t>369.6</w:t>
            </w:r>
          </w:p>
        </w:tc>
        <w:tc>
          <w:tcPr>
            <w:tcW w:w="1040" w:type="dxa"/>
            <w:vAlign w:val="center"/>
          </w:tcPr>
          <w:p w14:paraId="2C1DE7AA" w14:textId="0A965D86" w:rsidR="00C962F1" w:rsidRPr="00420AB3" w:rsidRDefault="008E2CB4" w:rsidP="00636679">
            <w:pPr>
              <w:spacing w:after="60"/>
              <w:jc w:val="center"/>
            </w:pPr>
            <w:r>
              <w:t>372.8</w:t>
            </w:r>
          </w:p>
        </w:tc>
        <w:tc>
          <w:tcPr>
            <w:tcW w:w="1039" w:type="dxa"/>
            <w:vAlign w:val="center"/>
          </w:tcPr>
          <w:p w14:paraId="124D420C" w14:textId="458E9367" w:rsidR="00C962F1" w:rsidRPr="00420AB3" w:rsidRDefault="008E2CB4" w:rsidP="00636679">
            <w:pPr>
              <w:spacing w:after="60"/>
              <w:jc w:val="center"/>
            </w:pPr>
            <w:r>
              <w:t>372.8</w:t>
            </w:r>
          </w:p>
        </w:tc>
        <w:tc>
          <w:tcPr>
            <w:tcW w:w="1040" w:type="dxa"/>
            <w:vAlign w:val="center"/>
          </w:tcPr>
          <w:p w14:paraId="38EB7F4E" w14:textId="09B9B954" w:rsidR="00C962F1" w:rsidRPr="00420AB3" w:rsidRDefault="008E2CB4" w:rsidP="00636679">
            <w:pPr>
              <w:spacing w:after="60"/>
              <w:jc w:val="center"/>
            </w:pPr>
            <w:r>
              <w:t>372.8</w:t>
            </w:r>
          </w:p>
        </w:tc>
      </w:tr>
      <w:tr w:rsidR="00EB7C54" w:rsidRPr="00414147" w14:paraId="3EF4430A" w14:textId="77777777" w:rsidTr="003F03A3">
        <w:trPr>
          <w:cnfStyle w:val="000000100000" w:firstRow="0" w:lastRow="0" w:firstColumn="0" w:lastColumn="0" w:oddVBand="0" w:evenVBand="0" w:oddHBand="1" w:evenHBand="0" w:firstRowFirstColumn="0" w:firstRowLastColumn="0" w:lastRowFirstColumn="0" w:lastRowLastColumn="0"/>
        </w:trPr>
        <w:tc>
          <w:tcPr>
            <w:tcW w:w="2263" w:type="dxa"/>
          </w:tcPr>
          <w:p w14:paraId="439ADE5C" w14:textId="77777777" w:rsidR="00EB7C54" w:rsidRDefault="00EB7C54" w:rsidP="00636679">
            <w:pPr>
              <w:spacing w:after="60"/>
            </w:pPr>
            <w:r>
              <w:t>Campaspe</w:t>
            </w:r>
          </w:p>
        </w:tc>
        <w:tc>
          <w:tcPr>
            <w:tcW w:w="1276" w:type="dxa"/>
            <w:vAlign w:val="center"/>
          </w:tcPr>
          <w:p w14:paraId="275142AB" w14:textId="4AB995C6" w:rsidR="00EB7C54" w:rsidRPr="00420AB3" w:rsidRDefault="00420AB3" w:rsidP="00636679">
            <w:pPr>
              <w:spacing w:after="60"/>
              <w:jc w:val="center"/>
            </w:pPr>
            <w:r w:rsidRPr="00420AB3">
              <w:t>0.4</w:t>
            </w:r>
          </w:p>
        </w:tc>
        <w:tc>
          <w:tcPr>
            <w:tcW w:w="1039" w:type="dxa"/>
            <w:vAlign w:val="center"/>
          </w:tcPr>
          <w:p w14:paraId="73776C64" w14:textId="2CFF0AAF" w:rsidR="00EB7C54" w:rsidRPr="00420AB3" w:rsidRDefault="00420AB3" w:rsidP="00636679">
            <w:pPr>
              <w:spacing w:after="60"/>
              <w:jc w:val="center"/>
            </w:pPr>
            <w:r w:rsidRPr="00420AB3">
              <w:t>0.7</w:t>
            </w:r>
          </w:p>
        </w:tc>
        <w:tc>
          <w:tcPr>
            <w:tcW w:w="1040" w:type="dxa"/>
            <w:vAlign w:val="center"/>
          </w:tcPr>
          <w:p w14:paraId="4786231A" w14:textId="508E7CB7" w:rsidR="00EB7C54" w:rsidRPr="00420AB3" w:rsidRDefault="00420AB3" w:rsidP="00636679">
            <w:pPr>
              <w:spacing w:after="60"/>
              <w:jc w:val="center"/>
            </w:pPr>
            <w:r w:rsidRPr="00420AB3">
              <w:t>1.7</w:t>
            </w:r>
          </w:p>
        </w:tc>
        <w:tc>
          <w:tcPr>
            <w:tcW w:w="1039" w:type="dxa"/>
            <w:vAlign w:val="center"/>
          </w:tcPr>
          <w:p w14:paraId="7FFD7023" w14:textId="41214EF2" w:rsidR="00EB7C54" w:rsidRPr="00420AB3" w:rsidRDefault="00420AB3" w:rsidP="00636679">
            <w:pPr>
              <w:spacing w:after="60"/>
              <w:jc w:val="center"/>
            </w:pPr>
            <w:r w:rsidRPr="00420AB3">
              <w:t>5.1</w:t>
            </w:r>
          </w:p>
        </w:tc>
        <w:tc>
          <w:tcPr>
            <w:tcW w:w="1040" w:type="dxa"/>
            <w:vAlign w:val="center"/>
          </w:tcPr>
          <w:p w14:paraId="38C3EACC" w14:textId="432DA110" w:rsidR="00EB7C54" w:rsidRPr="00420AB3" w:rsidRDefault="00420AB3" w:rsidP="00636679">
            <w:pPr>
              <w:spacing w:after="60"/>
              <w:jc w:val="center"/>
            </w:pPr>
            <w:r w:rsidRPr="00420AB3">
              <w:t>7.0</w:t>
            </w:r>
          </w:p>
        </w:tc>
        <w:tc>
          <w:tcPr>
            <w:tcW w:w="1039" w:type="dxa"/>
            <w:vAlign w:val="center"/>
          </w:tcPr>
          <w:p w14:paraId="4F136628" w14:textId="4123F163" w:rsidR="00EB7C54" w:rsidRPr="00420AB3" w:rsidRDefault="00420AB3" w:rsidP="00636679">
            <w:pPr>
              <w:spacing w:after="60"/>
              <w:jc w:val="center"/>
            </w:pPr>
            <w:r w:rsidRPr="00420AB3">
              <w:t>7.0</w:t>
            </w:r>
          </w:p>
        </w:tc>
        <w:tc>
          <w:tcPr>
            <w:tcW w:w="1040" w:type="dxa"/>
            <w:vAlign w:val="center"/>
          </w:tcPr>
          <w:p w14:paraId="3642E266" w14:textId="06EE5EDF" w:rsidR="00EB7C54" w:rsidRPr="00420AB3" w:rsidRDefault="00420AB3" w:rsidP="00636679">
            <w:pPr>
              <w:spacing w:after="60"/>
              <w:jc w:val="center"/>
            </w:pPr>
            <w:r w:rsidRPr="00420AB3">
              <w:t>7.0</w:t>
            </w:r>
          </w:p>
        </w:tc>
      </w:tr>
      <w:tr w:rsidR="00C962F1" w:rsidRPr="00414147" w14:paraId="7206E92F" w14:textId="77777777" w:rsidTr="003F03A3">
        <w:trPr>
          <w:cnfStyle w:val="000000010000" w:firstRow="0" w:lastRow="0" w:firstColumn="0" w:lastColumn="0" w:oddVBand="0" w:evenVBand="0" w:oddHBand="0" w:evenHBand="1" w:firstRowFirstColumn="0" w:firstRowLastColumn="0" w:lastRowFirstColumn="0" w:lastRowLastColumn="0"/>
        </w:trPr>
        <w:tc>
          <w:tcPr>
            <w:tcW w:w="2263" w:type="dxa"/>
          </w:tcPr>
          <w:p w14:paraId="2C96CC0B" w14:textId="48E008E1" w:rsidR="00C962F1" w:rsidRPr="00420AB3" w:rsidRDefault="00C962F1" w:rsidP="00636679">
            <w:pPr>
              <w:spacing w:after="60"/>
            </w:pPr>
            <w:r w:rsidRPr="00420AB3">
              <w:t>Loddon</w:t>
            </w:r>
          </w:p>
        </w:tc>
        <w:tc>
          <w:tcPr>
            <w:tcW w:w="1276" w:type="dxa"/>
            <w:vAlign w:val="center"/>
          </w:tcPr>
          <w:p w14:paraId="301E8A14" w14:textId="1651EBDC" w:rsidR="00C962F1" w:rsidRPr="00420AB3" w:rsidRDefault="00420AB3" w:rsidP="00636679">
            <w:pPr>
              <w:spacing w:after="60"/>
              <w:jc w:val="center"/>
            </w:pPr>
            <w:r w:rsidRPr="00420AB3">
              <w:t>0</w:t>
            </w:r>
          </w:p>
        </w:tc>
        <w:tc>
          <w:tcPr>
            <w:tcW w:w="1039" w:type="dxa"/>
            <w:vAlign w:val="center"/>
          </w:tcPr>
          <w:p w14:paraId="1EA3F111" w14:textId="564EDFAA" w:rsidR="00C962F1" w:rsidRPr="00420AB3" w:rsidRDefault="00420AB3" w:rsidP="00636679">
            <w:pPr>
              <w:spacing w:after="60"/>
              <w:jc w:val="center"/>
            </w:pPr>
            <w:r w:rsidRPr="00420AB3">
              <w:t>1.1</w:t>
            </w:r>
          </w:p>
        </w:tc>
        <w:tc>
          <w:tcPr>
            <w:tcW w:w="1040" w:type="dxa"/>
            <w:vAlign w:val="center"/>
          </w:tcPr>
          <w:p w14:paraId="1263DDD0" w14:textId="198722A8" w:rsidR="00C962F1" w:rsidRPr="00420AB3" w:rsidRDefault="00420AB3" w:rsidP="00636679">
            <w:pPr>
              <w:spacing w:after="60"/>
              <w:jc w:val="center"/>
            </w:pPr>
            <w:r w:rsidRPr="00420AB3">
              <w:t>1.9</w:t>
            </w:r>
          </w:p>
        </w:tc>
        <w:tc>
          <w:tcPr>
            <w:tcW w:w="1039" w:type="dxa"/>
            <w:vAlign w:val="center"/>
          </w:tcPr>
          <w:p w14:paraId="1C4136BA" w14:textId="0E4BB77B" w:rsidR="00C962F1" w:rsidRPr="00420AB3" w:rsidRDefault="00420AB3" w:rsidP="00636679">
            <w:pPr>
              <w:spacing w:after="60"/>
              <w:jc w:val="center"/>
            </w:pPr>
            <w:r w:rsidRPr="00420AB3">
              <w:t>3.3</w:t>
            </w:r>
          </w:p>
        </w:tc>
        <w:tc>
          <w:tcPr>
            <w:tcW w:w="1040" w:type="dxa"/>
            <w:vAlign w:val="center"/>
          </w:tcPr>
          <w:p w14:paraId="0CDD3FF6" w14:textId="1DE12328" w:rsidR="00C962F1" w:rsidRPr="00420AB3" w:rsidRDefault="00420AB3" w:rsidP="00636679">
            <w:pPr>
              <w:spacing w:after="60"/>
              <w:jc w:val="center"/>
            </w:pPr>
            <w:r w:rsidRPr="00420AB3">
              <w:t>3.4</w:t>
            </w:r>
          </w:p>
        </w:tc>
        <w:tc>
          <w:tcPr>
            <w:tcW w:w="1039" w:type="dxa"/>
            <w:vAlign w:val="center"/>
          </w:tcPr>
          <w:p w14:paraId="1EEB714C" w14:textId="700BEDB0" w:rsidR="00C962F1" w:rsidRPr="00420AB3" w:rsidRDefault="00420AB3" w:rsidP="00636679">
            <w:pPr>
              <w:spacing w:after="60"/>
              <w:jc w:val="center"/>
            </w:pPr>
            <w:r w:rsidRPr="00420AB3">
              <w:t>3.4</w:t>
            </w:r>
          </w:p>
        </w:tc>
        <w:tc>
          <w:tcPr>
            <w:tcW w:w="1040" w:type="dxa"/>
            <w:vAlign w:val="center"/>
          </w:tcPr>
          <w:p w14:paraId="49663B8A" w14:textId="27BA7F8C" w:rsidR="00C962F1" w:rsidRPr="00420AB3" w:rsidRDefault="00420AB3" w:rsidP="00636679">
            <w:pPr>
              <w:spacing w:after="60"/>
              <w:jc w:val="center"/>
            </w:pPr>
            <w:r w:rsidRPr="00420AB3">
              <w:t>3.4</w:t>
            </w:r>
          </w:p>
        </w:tc>
      </w:tr>
      <w:tr w:rsidR="002B74F8" w:rsidRPr="00414147" w14:paraId="78390194" w14:textId="77777777" w:rsidTr="003F03A3">
        <w:trPr>
          <w:cnfStyle w:val="000000100000" w:firstRow="0" w:lastRow="0" w:firstColumn="0" w:lastColumn="0" w:oddVBand="0" w:evenVBand="0" w:oddHBand="1" w:evenHBand="0" w:firstRowFirstColumn="0" w:firstRowLastColumn="0" w:lastRowFirstColumn="0" w:lastRowLastColumn="0"/>
        </w:trPr>
        <w:tc>
          <w:tcPr>
            <w:tcW w:w="2263" w:type="dxa"/>
          </w:tcPr>
          <w:p w14:paraId="3836F3F9" w14:textId="77777777" w:rsidR="002B74F8" w:rsidRPr="00420AB3" w:rsidRDefault="002B74F8" w:rsidP="00636679">
            <w:pPr>
              <w:spacing w:after="60"/>
            </w:pPr>
            <w:r w:rsidRPr="00420AB3">
              <w:t>Wimmera</w:t>
            </w:r>
          </w:p>
        </w:tc>
        <w:tc>
          <w:tcPr>
            <w:tcW w:w="1276" w:type="dxa"/>
            <w:vAlign w:val="center"/>
          </w:tcPr>
          <w:p w14:paraId="2F3A7C3D" w14:textId="35077600" w:rsidR="002B74F8" w:rsidRPr="00420AB3" w:rsidRDefault="00BA3695" w:rsidP="00636679">
            <w:pPr>
              <w:spacing w:after="60"/>
              <w:jc w:val="center"/>
            </w:pPr>
            <w:r>
              <w:t>0</w:t>
            </w:r>
          </w:p>
        </w:tc>
        <w:tc>
          <w:tcPr>
            <w:tcW w:w="1039" w:type="dxa"/>
            <w:vAlign w:val="center"/>
          </w:tcPr>
          <w:p w14:paraId="5D70E417" w14:textId="678EBBEC" w:rsidR="002B74F8" w:rsidRPr="00420AB3" w:rsidRDefault="00420AB3" w:rsidP="00636679">
            <w:pPr>
              <w:spacing w:after="60"/>
              <w:jc w:val="center"/>
            </w:pPr>
            <w:r w:rsidRPr="00420AB3">
              <w:t>0</w:t>
            </w:r>
          </w:p>
        </w:tc>
        <w:tc>
          <w:tcPr>
            <w:tcW w:w="1040" w:type="dxa"/>
            <w:vAlign w:val="center"/>
          </w:tcPr>
          <w:p w14:paraId="4EEB20CB" w14:textId="5B072382" w:rsidR="002B74F8" w:rsidRPr="00420AB3" w:rsidRDefault="00420AB3" w:rsidP="00636679">
            <w:pPr>
              <w:spacing w:after="60"/>
              <w:jc w:val="center"/>
            </w:pPr>
            <w:r w:rsidRPr="00420AB3">
              <w:t>0</w:t>
            </w:r>
          </w:p>
        </w:tc>
        <w:tc>
          <w:tcPr>
            <w:tcW w:w="1039" w:type="dxa"/>
            <w:vAlign w:val="center"/>
          </w:tcPr>
          <w:p w14:paraId="2D55EECE" w14:textId="1F6FFC3C" w:rsidR="002B74F8" w:rsidRPr="00420AB3" w:rsidRDefault="00420AB3" w:rsidP="00636679">
            <w:pPr>
              <w:spacing w:after="60"/>
              <w:jc w:val="center"/>
            </w:pPr>
            <w:r w:rsidRPr="00420AB3">
              <w:t>0</w:t>
            </w:r>
          </w:p>
        </w:tc>
        <w:tc>
          <w:tcPr>
            <w:tcW w:w="1040" w:type="dxa"/>
            <w:vAlign w:val="center"/>
          </w:tcPr>
          <w:p w14:paraId="54B70D42" w14:textId="0C737E5F" w:rsidR="002B74F8" w:rsidRPr="00420AB3" w:rsidRDefault="00420AB3" w:rsidP="00636679">
            <w:pPr>
              <w:spacing w:after="60"/>
              <w:jc w:val="center"/>
            </w:pPr>
            <w:r w:rsidRPr="00420AB3">
              <w:t>0</w:t>
            </w:r>
          </w:p>
        </w:tc>
        <w:tc>
          <w:tcPr>
            <w:tcW w:w="1039" w:type="dxa"/>
            <w:vAlign w:val="center"/>
          </w:tcPr>
          <w:p w14:paraId="0D846E34" w14:textId="7DED7650" w:rsidR="002B74F8" w:rsidRPr="00420AB3" w:rsidRDefault="00420AB3" w:rsidP="00636679">
            <w:pPr>
              <w:spacing w:after="60"/>
              <w:jc w:val="center"/>
            </w:pPr>
            <w:r w:rsidRPr="00420AB3">
              <w:t>0</w:t>
            </w:r>
          </w:p>
        </w:tc>
        <w:tc>
          <w:tcPr>
            <w:tcW w:w="1040" w:type="dxa"/>
            <w:vAlign w:val="center"/>
          </w:tcPr>
          <w:p w14:paraId="2C847079" w14:textId="64621957" w:rsidR="002B74F8" w:rsidRPr="00420AB3" w:rsidRDefault="00420AB3" w:rsidP="00636679">
            <w:pPr>
              <w:spacing w:after="60"/>
              <w:jc w:val="center"/>
            </w:pPr>
            <w:r w:rsidRPr="00420AB3">
              <w:t>0</w:t>
            </w:r>
          </w:p>
        </w:tc>
      </w:tr>
      <w:tr w:rsidR="00567810" w:rsidRPr="00414147" w14:paraId="057CA29C" w14:textId="77777777" w:rsidTr="003F03A3">
        <w:trPr>
          <w:cnfStyle w:val="000000010000" w:firstRow="0" w:lastRow="0" w:firstColumn="0" w:lastColumn="0" w:oddVBand="0" w:evenVBand="0" w:oddHBand="0" w:evenHBand="1" w:firstRowFirstColumn="0" w:firstRowLastColumn="0" w:lastRowFirstColumn="0" w:lastRowLastColumn="0"/>
        </w:trPr>
        <w:tc>
          <w:tcPr>
            <w:tcW w:w="2263" w:type="dxa"/>
          </w:tcPr>
          <w:p w14:paraId="1A95FA25" w14:textId="155B7E77" w:rsidR="00567810" w:rsidRPr="00CC239D" w:rsidRDefault="00567810" w:rsidP="00636679">
            <w:pPr>
              <w:spacing w:after="60"/>
            </w:pPr>
            <w:r w:rsidRPr="00CC239D">
              <w:t>Murray</w:t>
            </w:r>
            <w:r w:rsidR="00C962F1" w:rsidRPr="00CC239D">
              <w:t xml:space="preserve"> – NSW</w:t>
            </w:r>
          </w:p>
        </w:tc>
        <w:tc>
          <w:tcPr>
            <w:tcW w:w="1276" w:type="dxa"/>
            <w:vAlign w:val="center"/>
          </w:tcPr>
          <w:p w14:paraId="06AA0D1A" w14:textId="7A46B776" w:rsidR="00567810" w:rsidRPr="00CC239D" w:rsidRDefault="00420AB3" w:rsidP="00636679">
            <w:pPr>
              <w:spacing w:after="60"/>
              <w:jc w:val="center"/>
            </w:pPr>
            <w:r w:rsidRPr="00CC239D">
              <w:t>20.</w:t>
            </w:r>
            <w:r w:rsidR="00BA3695">
              <w:t>0</w:t>
            </w:r>
          </w:p>
        </w:tc>
        <w:tc>
          <w:tcPr>
            <w:tcW w:w="1039" w:type="dxa"/>
            <w:vAlign w:val="center"/>
          </w:tcPr>
          <w:p w14:paraId="44C53FA3" w14:textId="60491C22" w:rsidR="00567810" w:rsidRPr="00CC239D" w:rsidRDefault="00CC239D" w:rsidP="00636679">
            <w:pPr>
              <w:spacing w:after="60"/>
              <w:jc w:val="center"/>
            </w:pPr>
            <w:r w:rsidRPr="00CC239D">
              <w:t>47.5</w:t>
            </w:r>
          </w:p>
        </w:tc>
        <w:tc>
          <w:tcPr>
            <w:tcW w:w="1040" w:type="dxa"/>
            <w:vAlign w:val="center"/>
          </w:tcPr>
          <w:p w14:paraId="5E273BF6" w14:textId="05F9256E" w:rsidR="00567810" w:rsidRPr="00CC239D" w:rsidRDefault="00CC239D" w:rsidP="00636679">
            <w:pPr>
              <w:spacing w:after="60"/>
              <w:jc w:val="center"/>
            </w:pPr>
            <w:r w:rsidRPr="00CC239D">
              <w:t>47.</w:t>
            </w:r>
            <w:r w:rsidR="008E2CB4">
              <w:t>8</w:t>
            </w:r>
          </w:p>
        </w:tc>
        <w:tc>
          <w:tcPr>
            <w:tcW w:w="1039" w:type="dxa"/>
            <w:vAlign w:val="center"/>
          </w:tcPr>
          <w:p w14:paraId="22342DDA" w14:textId="12568314" w:rsidR="00567810" w:rsidRPr="00CC239D" w:rsidRDefault="00CC239D" w:rsidP="00636679">
            <w:pPr>
              <w:spacing w:after="60"/>
              <w:jc w:val="center"/>
            </w:pPr>
            <w:r w:rsidRPr="00CC239D">
              <w:t>97.6</w:t>
            </w:r>
          </w:p>
        </w:tc>
        <w:tc>
          <w:tcPr>
            <w:tcW w:w="1040" w:type="dxa"/>
            <w:vAlign w:val="center"/>
          </w:tcPr>
          <w:p w14:paraId="46CFC3BC" w14:textId="421D8E4E" w:rsidR="00567810" w:rsidRPr="00CC239D" w:rsidRDefault="00CC239D" w:rsidP="00636679">
            <w:pPr>
              <w:spacing w:after="60"/>
              <w:jc w:val="center"/>
            </w:pPr>
            <w:r w:rsidRPr="00CC239D">
              <w:t>185.</w:t>
            </w:r>
            <w:r w:rsidR="008E2CB4">
              <w:t>7</w:t>
            </w:r>
          </w:p>
        </w:tc>
        <w:tc>
          <w:tcPr>
            <w:tcW w:w="1039" w:type="dxa"/>
            <w:vAlign w:val="center"/>
          </w:tcPr>
          <w:p w14:paraId="2B94DE56" w14:textId="56ED9BCD" w:rsidR="00567810" w:rsidRPr="00CC239D" w:rsidRDefault="00CC239D" w:rsidP="00636679">
            <w:pPr>
              <w:spacing w:after="60"/>
              <w:jc w:val="center"/>
            </w:pPr>
            <w:r w:rsidRPr="00CC239D">
              <w:t>353.3</w:t>
            </w:r>
          </w:p>
        </w:tc>
        <w:tc>
          <w:tcPr>
            <w:tcW w:w="1040" w:type="dxa"/>
            <w:vAlign w:val="center"/>
          </w:tcPr>
          <w:p w14:paraId="09225752" w14:textId="02E919A9" w:rsidR="00567810" w:rsidRPr="00CC239D" w:rsidRDefault="00CC239D" w:rsidP="00636679">
            <w:pPr>
              <w:spacing w:after="60"/>
              <w:jc w:val="center"/>
            </w:pPr>
            <w:r w:rsidRPr="00CC239D">
              <w:t>425.</w:t>
            </w:r>
            <w:r w:rsidR="008E2CB4">
              <w:t>4</w:t>
            </w:r>
          </w:p>
        </w:tc>
      </w:tr>
      <w:tr w:rsidR="00C962F1" w:rsidRPr="00EB7C54" w14:paraId="19F684B9" w14:textId="77777777" w:rsidTr="003F03A3">
        <w:trPr>
          <w:cnfStyle w:val="000000100000" w:firstRow="0" w:lastRow="0" w:firstColumn="0" w:lastColumn="0" w:oddVBand="0" w:evenVBand="0" w:oddHBand="1" w:evenHBand="0" w:firstRowFirstColumn="0" w:firstRowLastColumn="0" w:lastRowFirstColumn="0" w:lastRowLastColumn="0"/>
        </w:trPr>
        <w:tc>
          <w:tcPr>
            <w:tcW w:w="2263" w:type="dxa"/>
            <w:tcBorders>
              <w:bottom w:val="single" w:sz="4" w:space="0" w:color="auto"/>
            </w:tcBorders>
          </w:tcPr>
          <w:p w14:paraId="43029A65" w14:textId="45C77152" w:rsidR="00C962F1" w:rsidRPr="00EB7C54" w:rsidRDefault="00C962F1" w:rsidP="00636679">
            <w:pPr>
              <w:spacing w:after="60"/>
            </w:pPr>
            <w:r w:rsidRPr="00EB7C54">
              <w:t>Murray - Vic</w:t>
            </w:r>
          </w:p>
        </w:tc>
        <w:tc>
          <w:tcPr>
            <w:tcW w:w="1276" w:type="dxa"/>
            <w:tcBorders>
              <w:bottom w:val="single" w:sz="4" w:space="0" w:color="auto"/>
            </w:tcBorders>
          </w:tcPr>
          <w:p w14:paraId="55E9FB0B" w14:textId="438A1B45" w:rsidR="00C962F1" w:rsidRPr="00C962F1" w:rsidRDefault="00BA3695" w:rsidP="00636679">
            <w:pPr>
              <w:spacing w:after="60"/>
              <w:jc w:val="center"/>
            </w:pPr>
            <w:r>
              <w:t>118.4</w:t>
            </w:r>
          </w:p>
        </w:tc>
        <w:tc>
          <w:tcPr>
            <w:tcW w:w="1039" w:type="dxa"/>
            <w:tcBorders>
              <w:bottom w:val="single" w:sz="4" w:space="0" w:color="auto"/>
            </w:tcBorders>
          </w:tcPr>
          <w:p w14:paraId="0C50B37C" w14:textId="24450CB9" w:rsidR="00C962F1" w:rsidRPr="00C962F1" w:rsidRDefault="00CC239D" w:rsidP="00636679">
            <w:pPr>
              <w:spacing w:after="60"/>
              <w:jc w:val="center"/>
            </w:pPr>
            <w:r>
              <w:t>288.</w:t>
            </w:r>
            <w:r w:rsidR="008E2CB4">
              <w:t>7</w:t>
            </w:r>
          </w:p>
        </w:tc>
        <w:tc>
          <w:tcPr>
            <w:tcW w:w="1040" w:type="dxa"/>
            <w:tcBorders>
              <w:bottom w:val="single" w:sz="4" w:space="0" w:color="auto"/>
            </w:tcBorders>
          </w:tcPr>
          <w:p w14:paraId="0F025166" w14:textId="0805D9D8" w:rsidR="00C962F1" w:rsidRPr="00C962F1" w:rsidRDefault="008E2CB4" w:rsidP="00636679">
            <w:pPr>
              <w:spacing w:after="60"/>
              <w:jc w:val="center"/>
            </w:pPr>
            <w:r>
              <w:t>310.4</w:t>
            </w:r>
          </w:p>
        </w:tc>
        <w:tc>
          <w:tcPr>
            <w:tcW w:w="1039" w:type="dxa"/>
            <w:tcBorders>
              <w:bottom w:val="single" w:sz="4" w:space="0" w:color="auto"/>
            </w:tcBorders>
          </w:tcPr>
          <w:p w14:paraId="66F9761E" w14:textId="6382F5A1" w:rsidR="00C962F1" w:rsidRPr="00C962F1" w:rsidRDefault="00CC239D" w:rsidP="00636679">
            <w:pPr>
              <w:spacing w:after="60"/>
              <w:jc w:val="center"/>
            </w:pPr>
            <w:r>
              <w:t>451.</w:t>
            </w:r>
            <w:r w:rsidR="008E2CB4">
              <w:t>7</w:t>
            </w:r>
          </w:p>
        </w:tc>
        <w:tc>
          <w:tcPr>
            <w:tcW w:w="1040" w:type="dxa"/>
            <w:tcBorders>
              <w:bottom w:val="single" w:sz="4" w:space="0" w:color="auto"/>
            </w:tcBorders>
          </w:tcPr>
          <w:p w14:paraId="0B35425B" w14:textId="32160A3D" w:rsidR="00C962F1" w:rsidRPr="00C962F1" w:rsidRDefault="00CC239D" w:rsidP="00636679">
            <w:pPr>
              <w:spacing w:after="60"/>
              <w:jc w:val="center"/>
            </w:pPr>
            <w:r>
              <w:t>480.</w:t>
            </w:r>
            <w:r w:rsidR="008E2CB4">
              <w:t>7</w:t>
            </w:r>
          </w:p>
        </w:tc>
        <w:tc>
          <w:tcPr>
            <w:tcW w:w="1039" w:type="dxa"/>
            <w:tcBorders>
              <w:bottom w:val="single" w:sz="4" w:space="0" w:color="auto"/>
            </w:tcBorders>
          </w:tcPr>
          <w:p w14:paraId="153F4E4A" w14:textId="12939D74" w:rsidR="00C962F1" w:rsidRPr="00C962F1" w:rsidRDefault="00CC239D" w:rsidP="00636679">
            <w:pPr>
              <w:spacing w:after="60"/>
              <w:jc w:val="center"/>
            </w:pPr>
            <w:r>
              <w:t>480.</w:t>
            </w:r>
            <w:r w:rsidR="008E2CB4">
              <w:t>7</w:t>
            </w:r>
          </w:p>
        </w:tc>
        <w:tc>
          <w:tcPr>
            <w:tcW w:w="1040" w:type="dxa"/>
            <w:tcBorders>
              <w:bottom w:val="single" w:sz="4" w:space="0" w:color="auto"/>
            </w:tcBorders>
          </w:tcPr>
          <w:p w14:paraId="38AB2D52" w14:textId="440C3612" w:rsidR="00C962F1" w:rsidRPr="00C962F1" w:rsidRDefault="00CC239D" w:rsidP="00636679">
            <w:pPr>
              <w:spacing w:after="60"/>
              <w:jc w:val="center"/>
            </w:pPr>
            <w:r>
              <w:t>480.</w:t>
            </w:r>
            <w:r w:rsidR="008E2CB4">
              <w:t>7</w:t>
            </w:r>
          </w:p>
        </w:tc>
      </w:tr>
      <w:tr w:rsidR="00C962F1" w:rsidRPr="00EB7C54" w14:paraId="01F7FD1C" w14:textId="77777777" w:rsidTr="003F03A3">
        <w:trPr>
          <w:cnfStyle w:val="000000010000" w:firstRow="0" w:lastRow="0" w:firstColumn="0" w:lastColumn="0" w:oddVBand="0" w:evenVBand="0" w:oddHBand="0" w:evenHBand="1" w:firstRowFirstColumn="0" w:firstRowLastColumn="0" w:lastRowFirstColumn="0" w:lastRowLastColumn="0"/>
        </w:trPr>
        <w:tc>
          <w:tcPr>
            <w:tcW w:w="2263" w:type="dxa"/>
            <w:tcBorders>
              <w:bottom w:val="single" w:sz="4" w:space="0" w:color="auto"/>
            </w:tcBorders>
          </w:tcPr>
          <w:p w14:paraId="02BB86A2" w14:textId="01C3AE61" w:rsidR="00C962F1" w:rsidRPr="00EB7C54" w:rsidRDefault="00C962F1" w:rsidP="00636679">
            <w:pPr>
              <w:spacing w:after="60"/>
            </w:pPr>
            <w:r w:rsidRPr="00EB7C54">
              <w:t>Murray - SA</w:t>
            </w:r>
          </w:p>
        </w:tc>
        <w:tc>
          <w:tcPr>
            <w:tcW w:w="1276" w:type="dxa"/>
            <w:tcBorders>
              <w:bottom w:val="single" w:sz="4" w:space="0" w:color="auto"/>
            </w:tcBorders>
          </w:tcPr>
          <w:p w14:paraId="6F28B97C" w14:textId="5E624CD0" w:rsidR="00C962F1" w:rsidRPr="00C962F1" w:rsidRDefault="00CC239D" w:rsidP="00636679">
            <w:pPr>
              <w:spacing w:after="60"/>
              <w:jc w:val="center"/>
            </w:pPr>
            <w:r>
              <w:t>0</w:t>
            </w:r>
          </w:p>
        </w:tc>
        <w:tc>
          <w:tcPr>
            <w:tcW w:w="1039" w:type="dxa"/>
            <w:tcBorders>
              <w:bottom w:val="single" w:sz="4" w:space="0" w:color="auto"/>
            </w:tcBorders>
          </w:tcPr>
          <w:p w14:paraId="0860B294" w14:textId="7F238CE1" w:rsidR="00C962F1" w:rsidRPr="00C962F1" w:rsidRDefault="00CC239D" w:rsidP="00636679">
            <w:pPr>
              <w:spacing w:after="60"/>
              <w:jc w:val="center"/>
            </w:pPr>
            <w:r>
              <w:t>162.1</w:t>
            </w:r>
          </w:p>
        </w:tc>
        <w:tc>
          <w:tcPr>
            <w:tcW w:w="1040" w:type="dxa"/>
            <w:tcBorders>
              <w:bottom w:val="single" w:sz="4" w:space="0" w:color="auto"/>
            </w:tcBorders>
          </w:tcPr>
          <w:p w14:paraId="00AF8ACC" w14:textId="07521263" w:rsidR="00C962F1" w:rsidRPr="00C962F1" w:rsidRDefault="00CC239D" w:rsidP="00636679">
            <w:pPr>
              <w:spacing w:after="60"/>
              <w:jc w:val="center"/>
            </w:pPr>
            <w:r>
              <w:t>162.1</w:t>
            </w:r>
          </w:p>
        </w:tc>
        <w:tc>
          <w:tcPr>
            <w:tcW w:w="1039" w:type="dxa"/>
            <w:tcBorders>
              <w:bottom w:val="single" w:sz="4" w:space="0" w:color="auto"/>
            </w:tcBorders>
          </w:tcPr>
          <w:p w14:paraId="696C5BF8" w14:textId="23862042" w:rsidR="00C962F1" w:rsidRPr="00C962F1" w:rsidRDefault="00CC239D" w:rsidP="00636679">
            <w:pPr>
              <w:spacing w:after="60"/>
              <w:jc w:val="center"/>
            </w:pPr>
            <w:r>
              <w:t>162.1</w:t>
            </w:r>
          </w:p>
        </w:tc>
        <w:tc>
          <w:tcPr>
            <w:tcW w:w="1040" w:type="dxa"/>
            <w:tcBorders>
              <w:bottom w:val="single" w:sz="4" w:space="0" w:color="auto"/>
            </w:tcBorders>
          </w:tcPr>
          <w:p w14:paraId="7D112B35" w14:textId="61AF3AB6" w:rsidR="00C962F1" w:rsidRPr="00C962F1" w:rsidRDefault="00CC239D" w:rsidP="00636679">
            <w:pPr>
              <w:spacing w:after="60"/>
              <w:jc w:val="center"/>
            </w:pPr>
            <w:r>
              <w:t>162.1</w:t>
            </w:r>
          </w:p>
        </w:tc>
        <w:tc>
          <w:tcPr>
            <w:tcW w:w="1039" w:type="dxa"/>
            <w:tcBorders>
              <w:bottom w:val="single" w:sz="4" w:space="0" w:color="auto"/>
            </w:tcBorders>
          </w:tcPr>
          <w:p w14:paraId="16B38E10" w14:textId="3D3E4C03" w:rsidR="00C962F1" w:rsidRPr="00EB7C54" w:rsidRDefault="00CC239D" w:rsidP="00636679">
            <w:pPr>
              <w:spacing w:after="60"/>
              <w:jc w:val="center"/>
            </w:pPr>
            <w:r>
              <w:t>162.1</w:t>
            </w:r>
          </w:p>
        </w:tc>
        <w:tc>
          <w:tcPr>
            <w:tcW w:w="1040" w:type="dxa"/>
            <w:tcBorders>
              <w:bottom w:val="single" w:sz="4" w:space="0" w:color="auto"/>
            </w:tcBorders>
          </w:tcPr>
          <w:p w14:paraId="015DAE65" w14:textId="3E55B940" w:rsidR="00C962F1" w:rsidRPr="00EB7C54" w:rsidRDefault="00CC239D" w:rsidP="00636679">
            <w:pPr>
              <w:spacing w:after="60"/>
              <w:jc w:val="center"/>
            </w:pPr>
            <w:r>
              <w:t>162.1</w:t>
            </w:r>
          </w:p>
        </w:tc>
      </w:tr>
      <w:tr w:rsidR="00EB7C54" w:rsidRPr="00414147" w14:paraId="483F1CCF" w14:textId="77777777" w:rsidTr="003F03A3">
        <w:trPr>
          <w:cnfStyle w:val="000000100000" w:firstRow="0" w:lastRow="0" w:firstColumn="0" w:lastColumn="0" w:oddVBand="0" w:evenVBand="0" w:oddHBand="1" w:evenHBand="0" w:firstRowFirstColumn="0" w:firstRowLastColumn="0" w:lastRowFirstColumn="0" w:lastRowLastColumn="0"/>
        </w:trPr>
        <w:tc>
          <w:tcPr>
            <w:tcW w:w="2263" w:type="dxa"/>
            <w:tcBorders>
              <w:bottom w:val="single" w:sz="4" w:space="0" w:color="auto"/>
            </w:tcBorders>
          </w:tcPr>
          <w:p w14:paraId="57394B4F" w14:textId="7996346E" w:rsidR="00EB7C54" w:rsidRDefault="00EB7C54" w:rsidP="00636679">
            <w:pPr>
              <w:spacing w:after="60"/>
              <w:rPr>
                <w:b/>
              </w:rPr>
            </w:pPr>
            <w:r>
              <w:rPr>
                <w:b/>
              </w:rPr>
              <w:t>Southern-connected Basin Total</w:t>
            </w:r>
            <w:r>
              <w:rPr>
                <w:rStyle w:val="FootnoteReference"/>
                <w:b/>
              </w:rPr>
              <w:footnoteReference w:id="9"/>
            </w:r>
          </w:p>
        </w:tc>
        <w:tc>
          <w:tcPr>
            <w:tcW w:w="1276" w:type="dxa"/>
            <w:tcBorders>
              <w:bottom w:val="single" w:sz="4" w:space="0" w:color="auto"/>
            </w:tcBorders>
          </w:tcPr>
          <w:p w14:paraId="4C0AFB27" w14:textId="77ECB4B4" w:rsidR="00EB7C54" w:rsidRPr="0063418C" w:rsidRDefault="008E2CB4" w:rsidP="00636679">
            <w:pPr>
              <w:spacing w:after="60"/>
              <w:jc w:val="center"/>
              <w:rPr>
                <w:b/>
              </w:rPr>
            </w:pPr>
            <w:r>
              <w:rPr>
                <w:b/>
              </w:rPr>
              <w:t>267</w:t>
            </w:r>
          </w:p>
        </w:tc>
        <w:tc>
          <w:tcPr>
            <w:tcW w:w="1039" w:type="dxa"/>
            <w:tcBorders>
              <w:bottom w:val="single" w:sz="4" w:space="0" w:color="auto"/>
            </w:tcBorders>
          </w:tcPr>
          <w:p w14:paraId="5C51DEC2" w14:textId="1BF23243" w:rsidR="00EB7C54" w:rsidRPr="0063418C" w:rsidRDefault="008E2CB4" w:rsidP="00636679">
            <w:pPr>
              <w:spacing w:after="60"/>
              <w:jc w:val="center"/>
              <w:rPr>
                <w:b/>
              </w:rPr>
            </w:pPr>
            <w:r>
              <w:rPr>
                <w:b/>
              </w:rPr>
              <w:t>821</w:t>
            </w:r>
          </w:p>
        </w:tc>
        <w:tc>
          <w:tcPr>
            <w:tcW w:w="1040" w:type="dxa"/>
            <w:tcBorders>
              <w:bottom w:val="single" w:sz="4" w:space="0" w:color="auto"/>
            </w:tcBorders>
          </w:tcPr>
          <w:p w14:paraId="4BDB9F47" w14:textId="649DBFE9" w:rsidR="00EB7C54" w:rsidRPr="0063418C" w:rsidRDefault="008E2CB4" w:rsidP="00636679">
            <w:pPr>
              <w:spacing w:after="60"/>
              <w:jc w:val="center"/>
              <w:rPr>
                <w:b/>
              </w:rPr>
            </w:pPr>
            <w:r>
              <w:rPr>
                <w:b/>
              </w:rPr>
              <w:t>920</w:t>
            </w:r>
          </w:p>
        </w:tc>
        <w:tc>
          <w:tcPr>
            <w:tcW w:w="1039" w:type="dxa"/>
            <w:tcBorders>
              <w:bottom w:val="single" w:sz="4" w:space="0" w:color="auto"/>
            </w:tcBorders>
          </w:tcPr>
          <w:p w14:paraId="437A48B9" w14:textId="31360DA1" w:rsidR="00EB7C54" w:rsidRPr="0063418C" w:rsidRDefault="00F053B9" w:rsidP="00636679">
            <w:pPr>
              <w:spacing w:after="60"/>
              <w:jc w:val="center"/>
              <w:rPr>
                <w:b/>
              </w:rPr>
            </w:pPr>
            <w:r>
              <w:rPr>
                <w:b/>
              </w:rPr>
              <w:t>1</w:t>
            </w:r>
            <w:r w:rsidR="008149AC">
              <w:rPr>
                <w:b/>
              </w:rPr>
              <w:t xml:space="preserve"> </w:t>
            </w:r>
            <w:r>
              <w:rPr>
                <w:b/>
              </w:rPr>
              <w:t>33</w:t>
            </w:r>
            <w:r w:rsidR="008E2CB4">
              <w:rPr>
                <w:b/>
              </w:rPr>
              <w:t>2</w:t>
            </w:r>
          </w:p>
        </w:tc>
        <w:tc>
          <w:tcPr>
            <w:tcW w:w="1040" w:type="dxa"/>
            <w:tcBorders>
              <w:bottom w:val="single" w:sz="4" w:space="0" w:color="auto"/>
            </w:tcBorders>
          </w:tcPr>
          <w:p w14:paraId="4544CA8E" w14:textId="2FB97134" w:rsidR="00EB7C54" w:rsidRPr="0063418C" w:rsidRDefault="00F053B9" w:rsidP="00636679">
            <w:pPr>
              <w:spacing w:after="60"/>
              <w:jc w:val="center"/>
              <w:rPr>
                <w:b/>
              </w:rPr>
            </w:pPr>
            <w:r>
              <w:rPr>
                <w:b/>
              </w:rPr>
              <w:t>1</w:t>
            </w:r>
            <w:r w:rsidR="008149AC">
              <w:rPr>
                <w:b/>
              </w:rPr>
              <w:t xml:space="preserve"> </w:t>
            </w:r>
            <w:r>
              <w:rPr>
                <w:b/>
              </w:rPr>
              <w:t>539</w:t>
            </w:r>
          </w:p>
        </w:tc>
        <w:tc>
          <w:tcPr>
            <w:tcW w:w="1039" w:type="dxa"/>
            <w:tcBorders>
              <w:bottom w:val="single" w:sz="4" w:space="0" w:color="auto"/>
            </w:tcBorders>
          </w:tcPr>
          <w:p w14:paraId="7B1B9242" w14:textId="2DA90DEB" w:rsidR="00EB7C54" w:rsidRPr="0063418C" w:rsidRDefault="00F053B9" w:rsidP="00636679">
            <w:pPr>
              <w:spacing w:after="60"/>
              <w:jc w:val="center"/>
              <w:rPr>
                <w:b/>
              </w:rPr>
            </w:pPr>
            <w:r>
              <w:rPr>
                <w:b/>
              </w:rPr>
              <w:t>1</w:t>
            </w:r>
            <w:r w:rsidR="008149AC">
              <w:rPr>
                <w:b/>
              </w:rPr>
              <w:t xml:space="preserve"> </w:t>
            </w:r>
            <w:r>
              <w:rPr>
                <w:b/>
              </w:rPr>
              <w:t>756</w:t>
            </w:r>
          </w:p>
        </w:tc>
        <w:tc>
          <w:tcPr>
            <w:tcW w:w="1040" w:type="dxa"/>
            <w:tcBorders>
              <w:bottom w:val="single" w:sz="4" w:space="0" w:color="auto"/>
            </w:tcBorders>
          </w:tcPr>
          <w:p w14:paraId="6BC6E4A9" w14:textId="76BEE9CF" w:rsidR="00EB7C54" w:rsidRPr="0063418C" w:rsidRDefault="00F053B9" w:rsidP="00636679">
            <w:pPr>
              <w:spacing w:after="60"/>
              <w:jc w:val="center"/>
              <w:rPr>
                <w:b/>
              </w:rPr>
            </w:pPr>
            <w:r>
              <w:rPr>
                <w:b/>
              </w:rPr>
              <w:t>1</w:t>
            </w:r>
            <w:r w:rsidR="008149AC">
              <w:rPr>
                <w:b/>
              </w:rPr>
              <w:t xml:space="preserve"> </w:t>
            </w:r>
            <w:r>
              <w:rPr>
                <w:b/>
              </w:rPr>
              <w:t>82</w:t>
            </w:r>
            <w:r w:rsidR="008E2CB4">
              <w:rPr>
                <w:b/>
              </w:rPr>
              <w:t>9</w:t>
            </w:r>
          </w:p>
        </w:tc>
      </w:tr>
      <w:tr w:rsidR="002B74F8" w:rsidRPr="00414147" w14:paraId="547A2950" w14:textId="77777777" w:rsidTr="003F03A3">
        <w:trPr>
          <w:cnfStyle w:val="000000010000" w:firstRow="0" w:lastRow="0" w:firstColumn="0" w:lastColumn="0" w:oddVBand="0" w:evenVBand="0" w:oddHBand="0" w:evenHBand="1" w:firstRowFirstColumn="0" w:firstRowLastColumn="0" w:lastRowFirstColumn="0" w:lastRowLastColumn="0"/>
        </w:trPr>
        <w:tc>
          <w:tcPr>
            <w:tcW w:w="2263" w:type="dxa"/>
            <w:tcBorders>
              <w:bottom w:val="single" w:sz="4" w:space="0" w:color="auto"/>
            </w:tcBorders>
          </w:tcPr>
          <w:p w14:paraId="3DFE8FC4" w14:textId="7DC36D63" w:rsidR="002B74F8" w:rsidRPr="00CD0EE3" w:rsidRDefault="00EB7C54" w:rsidP="00636679">
            <w:pPr>
              <w:spacing w:after="60"/>
              <w:rPr>
                <w:b/>
              </w:rPr>
            </w:pPr>
            <w:r>
              <w:rPr>
                <w:b/>
              </w:rPr>
              <w:t xml:space="preserve">Regulated </w:t>
            </w:r>
            <w:r w:rsidR="002B74F8" w:rsidRPr="00CD0EE3">
              <w:rPr>
                <w:b/>
              </w:rPr>
              <w:t>Total</w:t>
            </w:r>
            <w:r>
              <w:rPr>
                <w:b/>
              </w:rPr>
              <w:t xml:space="preserve"> </w:t>
            </w:r>
          </w:p>
        </w:tc>
        <w:tc>
          <w:tcPr>
            <w:tcW w:w="1276" w:type="dxa"/>
            <w:tcBorders>
              <w:bottom w:val="single" w:sz="4" w:space="0" w:color="auto"/>
            </w:tcBorders>
          </w:tcPr>
          <w:p w14:paraId="69DE1590" w14:textId="7AB9D2CB" w:rsidR="002B74F8" w:rsidRPr="0063418C" w:rsidRDefault="007E683D" w:rsidP="00636679">
            <w:pPr>
              <w:spacing w:after="60"/>
              <w:jc w:val="center"/>
              <w:rPr>
                <w:b/>
              </w:rPr>
            </w:pPr>
            <w:r>
              <w:rPr>
                <w:b/>
              </w:rPr>
              <w:t>320</w:t>
            </w:r>
          </w:p>
        </w:tc>
        <w:tc>
          <w:tcPr>
            <w:tcW w:w="1039" w:type="dxa"/>
            <w:tcBorders>
              <w:bottom w:val="single" w:sz="4" w:space="0" w:color="auto"/>
            </w:tcBorders>
          </w:tcPr>
          <w:p w14:paraId="022B67AA" w14:textId="443E99CA" w:rsidR="002B74F8" w:rsidRPr="0063418C" w:rsidRDefault="007E683D" w:rsidP="00636679">
            <w:pPr>
              <w:spacing w:after="60"/>
              <w:jc w:val="center"/>
              <w:rPr>
                <w:b/>
              </w:rPr>
            </w:pPr>
            <w:r>
              <w:rPr>
                <w:b/>
              </w:rPr>
              <w:t>882</w:t>
            </w:r>
          </w:p>
        </w:tc>
        <w:tc>
          <w:tcPr>
            <w:tcW w:w="1040" w:type="dxa"/>
            <w:tcBorders>
              <w:bottom w:val="single" w:sz="4" w:space="0" w:color="auto"/>
            </w:tcBorders>
          </w:tcPr>
          <w:p w14:paraId="56349456" w14:textId="540FF965" w:rsidR="002B74F8" w:rsidRPr="0063418C" w:rsidRDefault="00F053B9" w:rsidP="007E683D">
            <w:pPr>
              <w:spacing w:after="60"/>
              <w:jc w:val="center"/>
              <w:rPr>
                <w:b/>
              </w:rPr>
            </w:pPr>
            <w:r>
              <w:rPr>
                <w:b/>
              </w:rPr>
              <w:t>98</w:t>
            </w:r>
            <w:r w:rsidR="007E683D">
              <w:rPr>
                <w:b/>
              </w:rPr>
              <w:t>3</w:t>
            </w:r>
          </w:p>
        </w:tc>
        <w:tc>
          <w:tcPr>
            <w:tcW w:w="1039" w:type="dxa"/>
            <w:tcBorders>
              <w:bottom w:val="single" w:sz="4" w:space="0" w:color="auto"/>
            </w:tcBorders>
          </w:tcPr>
          <w:p w14:paraId="3A2B8E32" w14:textId="29F2C6B9" w:rsidR="002B74F8" w:rsidRPr="0063418C" w:rsidRDefault="00F053B9" w:rsidP="007E683D">
            <w:pPr>
              <w:spacing w:after="60"/>
              <w:jc w:val="center"/>
              <w:rPr>
                <w:b/>
              </w:rPr>
            </w:pPr>
            <w:r>
              <w:rPr>
                <w:b/>
              </w:rPr>
              <w:t>1</w:t>
            </w:r>
            <w:r w:rsidR="008149AC">
              <w:rPr>
                <w:b/>
              </w:rPr>
              <w:t xml:space="preserve"> </w:t>
            </w:r>
            <w:r w:rsidRPr="00313C7A">
              <w:rPr>
                <w:b/>
              </w:rPr>
              <w:t>40</w:t>
            </w:r>
            <w:r w:rsidR="007E683D">
              <w:rPr>
                <w:b/>
              </w:rPr>
              <w:t>5</w:t>
            </w:r>
          </w:p>
        </w:tc>
        <w:tc>
          <w:tcPr>
            <w:tcW w:w="1040" w:type="dxa"/>
            <w:tcBorders>
              <w:bottom w:val="single" w:sz="4" w:space="0" w:color="auto"/>
            </w:tcBorders>
          </w:tcPr>
          <w:p w14:paraId="33FAF4AC" w14:textId="512E4E2E" w:rsidR="002B74F8" w:rsidRPr="0063418C" w:rsidRDefault="00F053B9" w:rsidP="007E683D">
            <w:pPr>
              <w:spacing w:after="60"/>
              <w:jc w:val="center"/>
              <w:rPr>
                <w:b/>
              </w:rPr>
            </w:pPr>
            <w:r>
              <w:rPr>
                <w:b/>
              </w:rPr>
              <w:t>1</w:t>
            </w:r>
            <w:r w:rsidR="008149AC">
              <w:rPr>
                <w:b/>
              </w:rPr>
              <w:t xml:space="preserve"> </w:t>
            </w:r>
            <w:r>
              <w:rPr>
                <w:b/>
              </w:rPr>
              <w:t>74</w:t>
            </w:r>
            <w:r w:rsidR="007E683D">
              <w:rPr>
                <w:b/>
              </w:rPr>
              <w:t>6</w:t>
            </w:r>
          </w:p>
        </w:tc>
        <w:tc>
          <w:tcPr>
            <w:tcW w:w="1039" w:type="dxa"/>
            <w:tcBorders>
              <w:bottom w:val="single" w:sz="4" w:space="0" w:color="auto"/>
            </w:tcBorders>
          </w:tcPr>
          <w:p w14:paraId="3D894287" w14:textId="20C71249" w:rsidR="002B74F8" w:rsidRPr="0063418C" w:rsidRDefault="00F053B9" w:rsidP="007E683D">
            <w:pPr>
              <w:spacing w:after="60"/>
              <w:jc w:val="center"/>
              <w:rPr>
                <w:b/>
              </w:rPr>
            </w:pPr>
            <w:r>
              <w:rPr>
                <w:b/>
              </w:rPr>
              <w:t>2</w:t>
            </w:r>
            <w:r w:rsidR="008149AC">
              <w:rPr>
                <w:b/>
              </w:rPr>
              <w:t xml:space="preserve"> </w:t>
            </w:r>
            <w:r w:rsidRPr="00313C7A">
              <w:rPr>
                <w:b/>
              </w:rPr>
              <w:t>08</w:t>
            </w:r>
            <w:r w:rsidR="007E683D">
              <w:rPr>
                <w:b/>
              </w:rPr>
              <w:t>6</w:t>
            </w:r>
          </w:p>
        </w:tc>
        <w:tc>
          <w:tcPr>
            <w:tcW w:w="1040" w:type="dxa"/>
            <w:tcBorders>
              <w:bottom w:val="single" w:sz="4" w:space="0" w:color="auto"/>
            </w:tcBorders>
          </w:tcPr>
          <w:p w14:paraId="55C9F8ED" w14:textId="15ABC215" w:rsidR="002B74F8" w:rsidRPr="0063418C" w:rsidRDefault="00F053B9" w:rsidP="007E683D">
            <w:pPr>
              <w:spacing w:after="60"/>
              <w:jc w:val="center"/>
              <w:rPr>
                <w:b/>
              </w:rPr>
            </w:pPr>
            <w:r>
              <w:rPr>
                <w:b/>
              </w:rPr>
              <w:t>2</w:t>
            </w:r>
            <w:r w:rsidR="008149AC">
              <w:rPr>
                <w:b/>
              </w:rPr>
              <w:t xml:space="preserve"> </w:t>
            </w:r>
            <w:r w:rsidRPr="00313C7A">
              <w:rPr>
                <w:b/>
              </w:rPr>
              <w:t>21</w:t>
            </w:r>
            <w:r w:rsidR="007E683D">
              <w:rPr>
                <w:b/>
              </w:rPr>
              <w:t>7</w:t>
            </w:r>
          </w:p>
        </w:tc>
      </w:tr>
    </w:tbl>
    <w:p w14:paraId="5D673956" w14:textId="1C78D2E2" w:rsidR="00AA48E2" w:rsidRPr="00E02872" w:rsidRDefault="009E1BFD" w:rsidP="00AA48E2">
      <w:pPr>
        <w:rPr>
          <w:sz w:val="18"/>
          <w:szCs w:val="18"/>
          <w:lang w:val="en-GB"/>
        </w:rPr>
      </w:pPr>
      <w:bookmarkStart w:id="53" w:name="_Toc453764605"/>
      <w:bookmarkStart w:id="54" w:name="_Toc13133370"/>
      <w:r w:rsidRPr="00E02872">
        <w:rPr>
          <w:sz w:val="18"/>
          <w:szCs w:val="18"/>
          <w:vertAlign w:val="superscript"/>
          <w:lang w:val="en-GB"/>
        </w:rPr>
        <w:t>^</w:t>
      </w:r>
      <w:r w:rsidRPr="00E02872">
        <w:rPr>
          <w:sz w:val="18"/>
          <w:szCs w:val="18"/>
          <w:lang w:val="en-GB"/>
        </w:rPr>
        <w:t xml:space="preserve"> </w:t>
      </w:r>
      <w:r w:rsidR="002B34DF">
        <w:rPr>
          <w:sz w:val="18"/>
          <w:szCs w:val="18"/>
          <w:lang w:val="en-GB"/>
        </w:rPr>
        <w:t>until conditions improve</w:t>
      </w:r>
      <w:r w:rsidR="00E526C9">
        <w:rPr>
          <w:sz w:val="18"/>
          <w:szCs w:val="18"/>
          <w:lang w:val="en-GB"/>
        </w:rPr>
        <w:t>,</w:t>
      </w:r>
      <w:r w:rsidR="002B34DF">
        <w:rPr>
          <w:sz w:val="18"/>
          <w:szCs w:val="18"/>
          <w:lang w:val="en-GB"/>
        </w:rPr>
        <w:t xml:space="preserve"> only</w:t>
      </w:r>
      <w:r w:rsidR="002B34DF" w:rsidRPr="00E02872">
        <w:rPr>
          <w:sz w:val="18"/>
          <w:szCs w:val="18"/>
          <w:lang w:val="en-GB"/>
        </w:rPr>
        <w:t xml:space="preserve"> </w:t>
      </w:r>
      <w:r w:rsidRPr="00E02872">
        <w:rPr>
          <w:sz w:val="18"/>
          <w:szCs w:val="18"/>
          <w:lang w:val="en-GB"/>
        </w:rPr>
        <w:t xml:space="preserve">40% of carryover </w:t>
      </w:r>
      <w:r w:rsidR="002B34DF" w:rsidRPr="00E02872">
        <w:rPr>
          <w:sz w:val="18"/>
          <w:szCs w:val="18"/>
          <w:lang w:val="en-GB"/>
        </w:rPr>
        <w:t>is available</w:t>
      </w:r>
      <w:r w:rsidR="00396717">
        <w:rPr>
          <w:sz w:val="18"/>
          <w:szCs w:val="18"/>
          <w:lang w:val="en-GB"/>
        </w:rPr>
        <w:t xml:space="preserve"> for environmental use </w:t>
      </w:r>
      <w:r w:rsidR="002B34DF" w:rsidRPr="00E02872">
        <w:rPr>
          <w:sz w:val="18"/>
          <w:szCs w:val="18"/>
          <w:lang w:val="en-GB"/>
        </w:rPr>
        <w:t>with remaining</w:t>
      </w:r>
      <w:r w:rsidRPr="00E02872">
        <w:rPr>
          <w:sz w:val="18"/>
          <w:szCs w:val="18"/>
          <w:lang w:val="en-GB"/>
        </w:rPr>
        <w:t xml:space="preserve"> quarantined for drought reserve</w:t>
      </w:r>
      <w:r w:rsidR="00396717">
        <w:rPr>
          <w:sz w:val="18"/>
          <w:szCs w:val="18"/>
          <w:lang w:val="en-GB"/>
        </w:rPr>
        <w:t xml:space="preserve"> accounts</w:t>
      </w:r>
    </w:p>
    <w:p w14:paraId="124E9A54" w14:textId="6CD30E3D" w:rsidR="009E1BFD" w:rsidRPr="00E02872" w:rsidRDefault="009E1BFD" w:rsidP="00AA48E2">
      <w:pPr>
        <w:rPr>
          <w:sz w:val="18"/>
          <w:szCs w:val="18"/>
          <w:lang w:val="en-GB"/>
        </w:rPr>
      </w:pPr>
      <w:r w:rsidRPr="00E02872">
        <w:rPr>
          <w:sz w:val="18"/>
          <w:szCs w:val="18"/>
          <w:vertAlign w:val="superscript"/>
          <w:lang w:val="en-GB"/>
        </w:rPr>
        <w:t>^^</w:t>
      </w:r>
      <w:r w:rsidR="002B34DF">
        <w:rPr>
          <w:sz w:val="18"/>
          <w:szCs w:val="18"/>
          <w:lang w:val="en-GB"/>
        </w:rPr>
        <w:t>until conditions improve</w:t>
      </w:r>
      <w:r w:rsidR="00396717">
        <w:rPr>
          <w:sz w:val="18"/>
          <w:szCs w:val="18"/>
          <w:lang w:val="en-GB"/>
        </w:rPr>
        <w:t>,</w:t>
      </w:r>
      <w:r w:rsidR="002B34DF">
        <w:rPr>
          <w:sz w:val="18"/>
          <w:szCs w:val="18"/>
          <w:lang w:val="en-GB"/>
        </w:rPr>
        <w:t xml:space="preserve"> 100%</w:t>
      </w:r>
      <w:r w:rsidRPr="00E02872">
        <w:rPr>
          <w:sz w:val="18"/>
          <w:szCs w:val="18"/>
          <w:lang w:val="en-GB"/>
        </w:rPr>
        <w:t xml:space="preserve"> carryover </w:t>
      </w:r>
      <w:r w:rsidR="00396717">
        <w:rPr>
          <w:sz w:val="18"/>
          <w:szCs w:val="18"/>
          <w:lang w:val="en-GB"/>
        </w:rPr>
        <w:t xml:space="preserve">is </w:t>
      </w:r>
      <w:r w:rsidRPr="00E02872">
        <w:rPr>
          <w:sz w:val="18"/>
          <w:szCs w:val="18"/>
          <w:lang w:val="en-GB"/>
        </w:rPr>
        <w:t xml:space="preserve">quarantined </w:t>
      </w:r>
      <w:r w:rsidR="00396717">
        <w:rPr>
          <w:sz w:val="18"/>
          <w:szCs w:val="18"/>
          <w:lang w:val="en-GB"/>
        </w:rPr>
        <w:t xml:space="preserve">in </w:t>
      </w:r>
      <w:r w:rsidRPr="00E02872">
        <w:rPr>
          <w:sz w:val="18"/>
          <w:szCs w:val="18"/>
          <w:lang w:val="en-GB"/>
        </w:rPr>
        <w:t>drought reserve</w:t>
      </w:r>
      <w:r w:rsidR="00396717">
        <w:rPr>
          <w:sz w:val="18"/>
          <w:szCs w:val="18"/>
          <w:lang w:val="en-GB"/>
        </w:rPr>
        <w:t xml:space="preserve"> account</w:t>
      </w:r>
      <w:r w:rsidRPr="00E02872">
        <w:rPr>
          <w:sz w:val="18"/>
          <w:szCs w:val="18"/>
          <w:lang w:val="en-GB"/>
        </w:rPr>
        <w:t xml:space="preserve">s and is </w:t>
      </w:r>
      <w:r w:rsidR="00396717">
        <w:rPr>
          <w:sz w:val="18"/>
          <w:szCs w:val="18"/>
          <w:lang w:val="en-GB"/>
        </w:rPr>
        <w:t>unavailable for environmental use</w:t>
      </w:r>
    </w:p>
    <w:p w14:paraId="13358404" w14:textId="4C892A63" w:rsidR="00316F8D" w:rsidRDefault="00D80FE5" w:rsidP="0057535E">
      <w:pPr>
        <w:pStyle w:val="Heading2"/>
        <w:rPr>
          <w:rFonts w:ascii="Century Gothic" w:hAnsi="Century Gothic"/>
        </w:rPr>
      </w:pPr>
      <w:bookmarkStart w:id="55" w:name="_Toc44942524"/>
      <w:bookmarkEnd w:id="51"/>
      <w:r>
        <w:t>Water delivery</w:t>
      </w:r>
      <w:r w:rsidR="00316F8D" w:rsidRPr="006821CB">
        <w:t xml:space="preserve"> in 2020</w:t>
      </w:r>
      <w:r>
        <w:t>–</w:t>
      </w:r>
      <w:r w:rsidR="00316F8D" w:rsidRPr="006821CB">
        <w:t>21</w:t>
      </w:r>
      <w:bookmarkEnd w:id="55"/>
    </w:p>
    <w:p w14:paraId="1E294DD2" w14:textId="4B1EA6DA" w:rsidR="00D47E28" w:rsidRDefault="007E1CA1" w:rsidP="00D47E28">
      <w:r>
        <w:t>A</w:t>
      </w:r>
      <w:r w:rsidR="00D47E28" w:rsidRPr="00F65EB8">
        <w:t xml:space="preserve">pproximately </w:t>
      </w:r>
      <w:r w:rsidR="007E683D">
        <w:t>333</w:t>
      </w:r>
      <w:r w:rsidR="00F053B9" w:rsidRPr="00F65EB8">
        <w:t xml:space="preserve"> </w:t>
      </w:r>
      <w:r w:rsidR="00D47E28" w:rsidRPr="00F65EB8">
        <w:t xml:space="preserve">gigalitres of </w:t>
      </w:r>
      <w:r>
        <w:t xml:space="preserve">CEWH </w:t>
      </w:r>
      <w:r w:rsidR="00D47E28" w:rsidRPr="00F65EB8">
        <w:t xml:space="preserve">water </w:t>
      </w:r>
      <w:r w:rsidR="00EA7BB8">
        <w:t>was</w:t>
      </w:r>
      <w:r>
        <w:t xml:space="preserve"> carried over </w:t>
      </w:r>
      <w:r w:rsidR="00D47E28" w:rsidRPr="00F65EB8">
        <w:t xml:space="preserve">into the new water year, with </w:t>
      </w:r>
      <w:r w:rsidR="00F43402">
        <w:t xml:space="preserve">about </w:t>
      </w:r>
      <w:r w:rsidR="00D47E28" w:rsidRPr="00F65EB8">
        <w:t>267</w:t>
      </w:r>
      <w:r w:rsidR="00F43402">
        <w:t> </w:t>
      </w:r>
      <w:r w:rsidR="00D47E28" w:rsidRPr="00F65EB8">
        <w:t>gigalitres carried over in the southern-connected Basin</w:t>
      </w:r>
      <w:r w:rsidR="007E683D">
        <w:t>, 31 gigalitres of groundwater,</w:t>
      </w:r>
      <w:r w:rsidR="00D47E28" w:rsidRPr="00F65EB8">
        <w:t xml:space="preserve"> and the remaining </w:t>
      </w:r>
      <w:r w:rsidR="00F053B9">
        <w:t>5</w:t>
      </w:r>
      <w:r w:rsidR="007E683D">
        <w:t>3</w:t>
      </w:r>
      <w:r w:rsidR="00F053B9" w:rsidRPr="00F65EB8">
        <w:t xml:space="preserve"> </w:t>
      </w:r>
      <w:r w:rsidR="00D47E28" w:rsidRPr="00F65EB8">
        <w:t xml:space="preserve">gigalitres in the Lachlan and </w:t>
      </w:r>
      <w:r w:rsidR="00D47E28" w:rsidRPr="008149AC">
        <w:rPr>
          <w:color w:val="auto"/>
        </w:rPr>
        <w:t>northern valleys</w:t>
      </w:r>
      <w:r w:rsidR="00232A24">
        <w:rPr>
          <w:color w:val="auto"/>
        </w:rPr>
        <w:t>. A</w:t>
      </w:r>
      <w:r w:rsidR="00384F6E">
        <w:rPr>
          <w:color w:val="auto"/>
        </w:rPr>
        <w:t>t the start of the water year</w:t>
      </w:r>
      <w:r w:rsidR="008149AC">
        <w:rPr>
          <w:color w:val="auto"/>
        </w:rPr>
        <w:t>,</w:t>
      </w:r>
      <w:r w:rsidR="00384F6E" w:rsidRPr="003E75A4">
        <w:rPr>
          <w:color w:val="auto"/>
        </w:rPr>
        <w:t xml:space="preserve"> </w:t>
      </w:r>
      <w:r w:rsidR="00F053B9" w:rsidRPr="008149AC">
        <w:rPr>
          <w:color w:val="auto"/>
        </w:rPr>
        <w:t xml:space="preserve">31 </w:t>
      </w:r>
      <w:r w:rsidR="00D47E28" w:rsidRPr="008149AC">
        <w:rPr>
          <w:color w:val="auto"/>
        </w:rPr>
        <w:t>gigalitres</w:t>
      </w:r>
      <w:r w:rsidR="00232A24">
        <w:rPr>
          <w:color w:val="auto"/>
        </w:rPr>
        <w:t xml:space="preserve"> of the </w:t>
      </w:r>
      <w:r w:rsidR="00232A24">
        <w:t>5</w:t>
      </w:r>
      <w:r w:rsidR="007E683D">
        <w:t>3</w:t>
      </w:r>
      <w:r w:rsidR="00232A24" w:rsidRPr="00F65EB8">
        <w:t xml:space="preserve"> gigalitres in the Lachlan and </w:t>
      </w:r>
      <w:r w:rsidR="00232A24" w:rsidRPr="006017CB">
        <w:rPr>
          <w:color w:val="auto"/>
        </w:rPr>
        <w:t>northern valleys</w:t>
      </w:r>
      <w:r w:rsidR="00D47E28" w:rsidRPr="008149AC">
        <w:rPr>
          <w:color w:val="auto"/>
        </w:rPr>
        <w:t xml:space="preserve"> </w:t>
      </w:r>
      <w:r w:rsidR="00232A24">
        <w:rPr>
          <w:color w:val="auto"/>
        </w:rPr>
        <w:t>was</w:t>
      </w:r>
      <w:r w:rsidR="00D47E28" w:rsidRPr="008149AC">
        <w:rPr>
          <w:color w:val="auto"/>
        </w:rPr>
        <w:t xml:space="preserve"> </w:t>
      </w:r>
      <w:bookmarkStart w:id="56" w:name="_Hlk45113731"/>
      <w:r w:rsidR="00D47E28" w:rsidRPr="008149AC">
        <w:rPr>
          <w:color w:val="auto"/>
        </w:rPr>
        <w:t>quarantined in drought reserves</w:t>
      </w:r>
      <w:r w:rsidR="00232A24">
        <w:rPr>
          <w:color w:val="auto"/>
        </w:rPr>
        <w:t xml:space="preserve"> and </w:t>
      </w:r>
      <w:r w:rsidR="008149AC">
        <w:rPr>
          <w:color w:val="auto"/>
        </w:rPr>
        <w:t xml:space="preserve">is </w:t>
      </w:r>
      <w:r w:rsidR="00232A24">
        <w:rPr>
          <w:color w:val="auto"/>
        </w:rPr>
        <w:t>unable to be called for delivery until inflow conditions improve</w:t>
      </w:r>
      <w:bookmarkEnd w:id="56"/>
      <w:r w:rsidR="00D47E28" w:rsidRPr="008149AC">
        <w:rPr>
          <w:color w:val="auto"/>
        </w:rPr>
        <w:t xml:space="preserve">. </w:t>
      </w:r>
      <w:r w:rsidR="004F32B4" w:rsidRPr="008149AC">
        <w:rPr>
          <w:color w:val="auto"/>
        </w:rPr>
        <w:t xml:space="preserve">This is </w:t>
      </w:r>
      <w:r w:rsidR="004F32B4" w:rsidRPr="004F32B4">
        <w:t>the lowest volume of carryover of Commonwealth environmental water in a decade</w:t>
      </w:r>
      <w:r w:rsidR="004F32B4">
        <w:t xml:space="preserve">, reflecting </w:t>
      </w:r>
      <w:r w:rsidR="00313C7A">
        <w:t xml:space="preserve">the dry conditions experienced in 2019-20. </w:t>
      </w:r>
      <w:r w:rsidR="00D47E28">
        <w:t xml:space="preserve">In addition, storages across the Basin remain low and as such, early season allocations are low. </w:t>
      </w:r>
    </w:p>
    <w:p w14:paraId="7869C783" w14:textId="77777777" w:rsidR="003D4D8E" w:rsidRDefault="003D4D8E">
      <w:pPr>
        <w:spacing w:after="0"/>
      </w:pPr>
      <w:r>
        <w:br w:type="page"/>
      </w:r>
    </w:p>
    <w:p w14:paraId="319B2CDC" w14:textId="37C0BEF0" w:rsidR="00D47E28" w:rsidRDefault="00D31CD4" w:rsidP="00D47E28">
      <w:r>
        <w:lastRenderedPageBreak/>
        <w:t>Consequently</w:t>
      </w:r>
      <w:r w:rsidR="00D47E28">
        <w:t xml:space="preserve">, environmental water use in winter in the </w:t>
      </w:r>
      <w:r w:rsidR="008149AC">
        <w:t>S</w:t>
      </w:r>
      <w:r w:rsidR="00D47E28">
        <w:t>outhern</w:t>
      </w:r>
      <w:r w:rsidR="00BE387A">
        <w:t>-connected</w:t>
      </w:r>
      <w:r w:rsidR="00D47E28">
        <w:t xml:space="preserve"> Basin is likely to be limited to helping maintain minimum baseflows, with more significant water use delayed until spring.  This could include providing spring freshes across </w:t>
      </w:r>
      <w:r>
        <w:t>several</w:t>
      </w:r>
      <w:r w:rsidR="00D47E28">
        <w:t xml:space="preserve"> catchments (such as the northern Victorian tributaries, the River Murray, the Lower Darling and the creeks and rivers in the Edward-Wakool system). The size of these flows will be dependent on the prevailing conditions, with the</w:t>
      </w:r>
      <w:r w:rsidR="005C07E9">
        <w:t xml:space="preserve"> volumes</w:t>
      </w:r>
      <w:r w:rsidR="00D47E28">
        <w:t xml:space="preserve"> scaled up under wetter conditions. Similarly, the opportunity to provide flows to important off-channel wetlands will increase as conditions get wetter. </w:t>
      </w:r>
    </w:p>
    <w:p w14:paraId="2887A628" w14:textId="5E4E8D70" w:rsidR="00D47E28" w:rsidRPr="004616BC" w:rsidRDefault="00D47E28" w:rsidP="004616BC">
      <w:r>
        <w:t xml:space="preserve">In the northern Basin, unregulated flows have provided some connectivity during late summer and autumn. However, inflows into northern storages have been modest and without further significant inflows, water use may be limited to contributing to refuges for native fish and possibly some small flows to internationally significant wetlands, in addition to contributing to unregulated flow events.  </w:t>
      </w:r>
    </w:p>
    <w:p w14:paraId="3D6CD345" w14:textId="24187CD2" w:rsidR="00316F8D" w:rsidRDefault="00316F8D" w:rsidP="0057535E">
      <w:pPr>
        <w:pStyle w:val="Heading2"/>
      </w:pPr>
      <w:bookmarkStart w:id="57" w:name="_Toc44942525"/>
      <w:r w:rsidRPr="006821CB">
        <w:t xml:space="preserve">Trading water in </w:t>
      </w:r>
      <w:bookmarkEnd w:id="53"/>
      <w:r w:rsidRPr="006821CB">
        <w:t>20</w:t>
      </w:r>
      <w:r w:rsidRPr="00156695">
        <w:t>20–2</w:t>
      </w:r>
      <w:bookmarkEnd w:id="54"/>
      <w:r w:rsidRPr="00156695">
        <w:t>1</w:t>
      </w:r>
      <w:bookmarkEnd w:id="57"/>
    </w:p>
    <w:p w14:paraId="4A0281FD" w14:textId="1221AEEC" w:rsidR="00F86627" w:rsidRDefault="00C07101" w:rsidP="00F86627">
      <w:r>
        <w:t>T</w:t>
      </w:r>
      <w:r w:rsidR="00021B5B">
        <w:t xml:space="preserve">he </w:t>
      </w:r>
      <w:r w:rsidR="00556B9D">
        <w:t xml:space="preserve">CEWH </w:t>
      </w:r>
      <w:r w:rsidR="00021B5B" w:rsidRPr="006821CB">
        <w:t>pro</w:t>
      </w:r>
      <w:r w:rsidR="00021B5B">
        <w:t>tocols</w:t>
      </w:r>
      <w:r w:rsidR="00021B5B" w:rsidRPr="006821CB">
        <w:t xml:space="preserve"> governing the trade of Commonwealth environmental water</w:t>
      </w:r>
      <w:r w:rsidR="00021B5B">
        <w:t xml:space="preserve"> are detailed in</w:t>
      </w:r>
      <w:r w:rsidR="00021B5B" w:rsidRPr="006821CB">
        <w:t xml:space="preserve"> the Commonwealth environmental</w:t>
      </w:r>
      <w:r w:rsidR="00021B5B">
        <w:t xml:space="preserve"> water</w:t>
      </w:r>
      <w:r w:rsidR="00021B5B" w:rsidRPr="006821CB">
        <w:t xml:space="preserve"> Trading Fra</w:t>
      </w:r>
      <w:r w:rsidR="00021B5B">
        <w:t>mework, avai</w:t>
      </w:r>
      <w:r w:rsidR="00021B5B" w:rsidRPr="006821CB">
        <w:t xml:space="preserve">lable at: </w:t>
      </w:r>
      <w:hyperlink r:id="rId60" w:history="1">
        <w:r w:rsidR="00F6022B" w:rsidRPr="007A1F7F">
          <w:rPr>
            <w:rStyle w:val="Hyperlink"/>
          </w:rPr>
          <w:t>https://www.environment.gov.au/water/cewo/publications/water-trading-framework-nov2016</w:t>
        </w:r>
      </w:hyperlink>
      <w:r w:rsidR="00F6022B">
        <w:t xml:space="preserve">  </w:t>
      </w:r>
      <w:r w:rsidR="00F86627" w:rsidRPr="00F86627">
        <w:t xml:space="preserve"> </w:t>
      </w:r>
    </w:p>
    <w:p w14:paraId="546E9F75" w14:textId="58F93583" w:rsidR="00F86627" w:rsidRDefault="00F86627" w:rsidP="00F86627">
      <w:pPr>
        <w:rPr>
          <w:rStyle w:val="Hyperlink"/>
        </w:rPr>
      </w:pPr>
      <w:r>
        <w:t>Should the CEWH decide to enter the retail water market at any time during 2020-21, i</w:t>
      </w:r>
      <w:r w:rsidRPr="006821CB">
        <w:t xml:space="preserve">nformation will be </w:t>
      </w:r>
      <w:r>
        <w:t>publicly disclosed</w:t>
      </w:r>
      <w:r w:rsidRPr="006821CB">
        <w:t xml:space="preserve"> to </w:t>
      </w:r>
      <w:r>
        <w:t xml:space="preserve">inform participants in </w:t>
      </w:r>
      <w:r w:rsidRPr="006821CB">
        <w:t xml:space="preserve">the </w:t>
      </w:r>
      <w:r>
        <w:t xml:space="preserve">retail water </w:t>
      </w:r>
      <w:r w:rsidRPr="006821CB">
        <w:t>market ahead of any trade of Commonwealth environmental water</w:t>
      </w:r>
      <w:r>
        <w:t xml:space="preserve"> at </w:t>
      </w:r>
      <w:hyperlink r:id="rId61" w:history="1">
        <w:r w:rsidRPr="0091321D">
          <w:rPr>
            <w:rStyle w:val="Hyperlink"/>
          </w:rPr>
          <w:t>http://www.environment.gov.au/water/cewo/trade</w:t>
        </w:r>
      </w:hyperlink>
    </w:p>
    <w:p w14:paraId="12F1C27B" w14:textId="77777777" w:rsidR="00316F8D" w:rsidRPr="006821CB" w:rsidRDefault="00316F8D" w:rsidP="0057535E">
      <w:pPr>
        <w:pStyle w:val="Heading3"/>
      </w:pPr>
      <w:bookmarkStart w:id="58" w:name="_Toc44942526"/>
      <w:r w:rsidRPr="006821CB">
        <w:t>Commercial trade</w:t>
      </w:r>
      <w:bookmarkEnd w:id="58"/>
    </w:p>
    <w:p w14:paraId="5FBE95F0" w14:textId="08AAC060" w:rsidR="00316F8D" w:rsidRPr="006821CB" w:rsidRDefault="00316F8D" w:rsidP="00242262">
      <w:r w:rsidRPr="006821CB">
        <w:t xml:space="preserve">The CEWH has no plans to either </w:t>
      </w:r>
      <w:r w:rsidRPr="00672CDE">
        <w:t>buy or sell entitlements in</w:t>
      </w:r>
      <w:r w:rsidRPr="006821CB">
        <w:t xml:space="preserve"> the July to September 2020 period</w:t>
      </w:r>
      <w:r w:rsidR="002767F2">
        <w:t xml:space="preserve"> and is unlikely to enter the entitlement market until water recovery to meet the </w:t>
      </w:r>
      <w:r w:rsidR="00BE387A">
        <w:t xml:space="preserve">volumetric </w:t>
      </w:r>
      <w:r w:rsidR="002767F2">
        <w:t>water recovery targets established in the Basin Plan 2012 have been reached</w:t>
      </w:r>
      <w:r w:rsidR="00BE387A">
        <w:t>.</w:t>
      </w:r>
    </w:p>
    <w:p w14:paraId="2D8B0D4D" w14:textId="77777777" w:rsidR="00316F8D" w:rsidRPr="006821CB" w:rsidRDefault="00316F8D" w:rsidP="00242262">
      <w:r w:rsidRPr="006821CB">
        <w:t>Large parts of the Basin are currently experiencing pressures from water scarcity, with declining storage levels, low allocations and rainfall deficiencies evident in most catchments. The extended dry conditions have seen parts of the environment experience stress and declining health, particularly in the Darling River and its tributaries. There is low likelihood of the CEWH selling water allocations under these conditions.</w:t>
      </w:r>
    </w:p>
    <w:p w14:paraId="3FD82562" w14:textId="08AFA0F9" w:rsidR="00AA48E2" w:rsidRDefault="00316F8D" w:rsidP="00885860">
      <w:pPr>
        <w:rPr>
          <w:color w:val="5F497A" w:themeColor="accent4" w:themeShade="BF"/>
          <w:sz w:val="26"/>
          <w:szCs w:val="24"/>
          <w:lang w:val="en-GB"/>
        </w:rPr>
      </w:pPr>
      <w:r w:rsidRPr="006821CB">
        <w:t xml:space="preserve">Trade opportunities </w:t>
      </w:r>
      <w:r w:rsidR="00021B5B">
        <w:t>ar</w:t>
      </w:r>
      <w:r w:rsidRPr="006821CB">
        <w:t>e reviewed in all valleys throughout the water year and as conditions change.</w:t>
      </w:r>
    </w:p>
    <w:p w14:paraId="4740778B" w14:textId="77777777" w:rsidR="00316F8D" w:rsidRPr="006821CB" w:rsidRDefault="00316F8D" w:rsidP="0057535E">
      <w:pPr>
        <w:pStyle w:val="Heading3"/>
      </w:pPr>
      <w:bookmarkStart w:id="59" w:name="_Toc44942527"/>
      <w:r w:rsidRPr="006821CB">
        <w:t>Administrative Transfers</w:t>
      </w:r>
      <w:bookmarkEnd w:id="59"/>
    </w:p>
    <w:p w14:paraId="0F36F1BB" w14:textId="4619EA0B" w:rsidR="00316F8D" w:rsidRPr="006821CB" w:rsidRDefault="00316F8D" w:rsidP="00242262">
      <w:r w:rsidRPr="006821CB">
        <w:t xml:space="preserve">In 2020-21, administrative transfers may be required between environmental water accounts in </w:t>
      </w:r>
      <w:r w:rsidR="00DD319D">
        <w:t xml:space="preserve">the </w:t>
      </w:r>
      <w:r w:rsidR="00092518">
        <w:t>S</w:t>
      </w:r>
      <w:r w:rsidR="002767F2">
        <w:t>outhern</w:t>
      </w:r>
      <w:r w:rsidR="00092518">
        <w:t>-</w:t>
      </w:r>
      <w:r w:rsidR="002767F2">
        <w:t xml:space="preserve">connected Basin </w:t>
      </w:r>
      <w:r w:rsidRPr="006821CB">
        <w:t>trade zones 6, 6B, 7, 10A, 10B</w:t>
      </w:r>
      <w:r w:rsidR="00C268EB">
        <w:t xml:space="preserve">, </w:t>
      </w:r>
      <w:r w:rsidRPr="00C268EB">
        <w:t xml:space="preserve">11 </w:t>
      </w:r>
      <w:r w:rsidRPr="006821CB">
        <w:t xml:space="preserve">and </w:t>
      </w:r>
      <w:r w:rsidR="00C268EB">
        <w:t>12</w:t>
      </w:r>
      <w:r w:rsidRPr="006821CB">
        <w:t xml:space="preserve"> to enable environmental water delivery. Based upon water resource availability at the time of the watering event and scale of the event, this may include:</w:t>
      </w:r>
    </w:p>
    <w:p w14:paraId="49E44B6E" w14:textId="5EE1D170" w:rsidR="00316F8D" w:rsidRPr="006821CB" w:rsidRDefault="00316F8D" w:rsidP="00C82DE4">
      <w:pPr>
        <w:pStyle w:val="DotStyle1"/>
      </w:pPr>
      <w:r w:rsidRPr="006821CB">
        <w:t xml:space="preserve">small </w:t>
      </w:r>
      <w:r w:rsidRPr="00C268EB">
        <w:t>transfer</w:t>
      </w:r>
      <w:r w:rsidR="00C268EB" w:rsidRPr="00C268EB">
        <w:t>s for</w:t>
      </w:r>
      <w:r w:rsidRPr="006821CB">
        <w:t xml:space="preserve"> environmental watering activities</w:t>
      </w:r>
    </w:p>
    <w:p w14:paraId="43872B1C" w14:textId="00E30405" w:rsidR="00316F8D" w:rsidRPr="006821CB" w:rsidRDefault="00316F8D" w:rsidP="00C82DE4">
      <w:pPr>
        <w:pStyle w:val="DotStyle1"/>
      </w:pPr>
      <w:r w:rsidRPr="006821CB">
        <w:t xml:space="preserve">moderate transfers (~ 50 </w:t>
      </w:r>
      <w:r w:rsidR="00C82DE4">
        <w:t>gigalitres</w:t>
      </w:r>
      <w:r w:rsidRPr="006821CB">
        <w:t>) through the Barmah choke from trade zone 7, if required and allowable given the Barmah Choke trade limit</w:t>
      </w:r>
    </w:p>
    <w:p w14:paraId="201DE712" w14:textId="77777777" w:rsidR="00C268EB" w:rsidRDefault="00316F8D" w:rsidP="00C82DE4">
      <w:pPr>
        <w:pStyle w:val="DotStyle1"/>
      </w:pPr>
      <w:r w:rsidRPr="006821CB">
        <w:t xml:space="preserve">large transfers (&gt;100 </w:t>
      </w:r>
      <w:r w:rsidR="00C82DE4">
        <w:t>gigalitres</w:t>
      </w:r>
      <w:r w:rsidRPr="006821CB">
        <w:t xml:space="preserve">) </w:t>
      </w:r>
    </w:p>
    <w:p w14:paraId="5DC40371" w14:textId="77777777" w:rsidR="00C268EB" w:rsidRDefault="00316F8D" w:rsidP="00CD6F25">
      <w:pPr>
        <w:pStyle w:val="DotStyle1"/>
        <w:numPr>
          <w:ilvl w:val="1"/>
          <w:numId w:val="25"/>
        </w:numPr>
      </w:pPr>
      <w:r w:rsidRPr="006821CB">
        <w:t>within trade zones, due to the large size of environmental watering activities.</w:t>
      </w:r>
    </w:p>
    <w:p w14:paraId="53D010FD" w14:textId="13B01CAF" w:rsidR="00316F8D" w:rsidRPr="006821CB" w:rsidRDefault="00C268EB" w:rsidP="00CD6F25">
      <w:pPr>
        <w:pStyle w:val="DotStyle1"/>
        <w:numPr>
          <w:ilvl w:val="1"/>
          <w:numId w:val="25"/>
        </w:numPr>
      </w:pPr>
      <w:r>
        <w:t>From New South Wales Murray and Victorian Murray to South Australia, most likely during Summer-Autumn for environmental outcomes in the Coorong and Lower Lakes.</w:t>
      </w:r>
    </w:p>
    <w:p w14:paraId="44DB9A71" w14:textId="77777777" w:rsidR="003D4D8E" w:rsidRDefault="003D4D8E">
      <w:pPr>
        <w:spacing w:after="0"/>
        <w:rPr>
          <w:b/>
          <w:color w:val="5F497A" w:themeColor="accent4" w:themeShade="BF"/>
          <w:sz w:val="36"/>
          <w:szCs w:val="36"/>
          <w:lang w:val="en-GB"/>
        </w:rPr>
      </w:pPr>
      <w:bookmarkStart w:id="60" w:name="_Toc13133371"/>
      <w:bookmarkStart w:id="61" w:name="_Toc44942528"/>
      <w:r>
        <w:br w:type="page"/>
      </w:r>
    </w:p>
    <w:p w14:paraId="6087C317" w14:textId="7507BC9C" w:rsidR="00316F8D" w:rsidRPr="0003686A" w:rsidRDefault="00316F8D" w:rsidP="0057535E">
      <w:pPr>
        <w:pStyle w:val="Heading2"/>
      </w:pPr>
      <w:r w:rsidRPr="0003686A">
        <w:lastRenderedPageBreak/>
        <w:t>Carrying over water for use in 2021</w:t>
      </w:r>
      <w:r w:rsidR="00D80FE5">
        <w:t>–</w:t>
      </w:r>
      <w:r w:rsidRPr="0003686A">
        <w:t>22</w:t>
      </w:r>
      <w:bookmarkEnd w:id="60"/>
      <w:bookmarkEnd w:id="61"/>
    </w:p>
    <w:p w14:paraId="53544297" w14:textId="137181C7" w:rsidR="00316F8D" w:rsidRDefault="00316F8D" w:rsidP="00242262">
      <w:r w:rsidRPr="006821CB">
        <w:t>The volume of water carried over for use in 202</w:t>
      </w:r>
      <w:r w:rsidRPr="00723442">
        <w:t>1</w:t>
      </w:r>
      <w:r w:rsidR="008D2D94">
        <w:t>-</w:t>
      </w:r>
      <w:r w:rsidRPr="00723442">
        <w:t>22 will depend upon</w:t>
      </w:r>
      <w:r w:rsidR="009478B7">
        <w:t xml:space="preserve"> how the </w:t>
      </w:r>
      <w:r w:rsidR="00D47E28">
        <w:t>2020–21 water year</w:t>
      </w:r>
      <w:r w:rsidR="009478B7">
        <w:t xml:space="preserve"> unfold</w:t>
      </w:r>
      <w:r w:rsidR="00D47E28">
        <w:t>s, overall</w:t>
      </w:r>
      <w:r w:rsidRPr="00723442">
        <w:t xml:space="preserve"> water availability </w:t>
      </w:r>
      <w:r w:rsidR="00D47E28">
        <w:t xml:space="preserve">and both current and </w:t>
      </w:r>
      <w:r w:rsidR="00D31CD4">
        <w:t>future</w:t>
      </w:r>
      <w:r w:rsidR="00D31CD4" w:rsidRPr="003D19FD">
        <w:t xml:space="preserve"> environme</w:t>
      </w:r>
      <w:r w:rsidR="00D31CD4">
        <w:t>ntal</w:t>
      </w:r>
      <w:r>
        <w:t xml:space="preserve"> de</w:t>
      </w:r>
      <w:r w:rsidRPr="003D19FD">
        <w:t>mands</w:t>
      </w:r>
      <w:r>
        <w:t xml:space="preserve">. </w:t>
      </w:r>
    </w:p>
    <w:p w14:paraId="01D33F79" w14:textId="394642D7" w:rsidR="00914B3D" w:rsidRDefault="00A070D5" w:rsidP="00242262">
      <w:r>
        <w:t>If</w:t>
      </w:r>
      <w:r w:rsidR="00D80FE5">
        <w:t xml:space="preserve"> very dry conditions</w:t>
      </w:r>
      <w:r>
        <w:t xml:space="preserve"> eventuate in 2020</w:t>
      </w:r>
      <w:r w:rsidR="008D2D94">
        <w:t>-</w:t>
      </w:r>
      <w:r>
        <w:t>21</w:t>
      </w:r>
      <w:r w:rsidR="00D80FE5">
        <w:t xml:space="preserve">, </w:t>
      </w:r>
      <w:r>
        <w:t xml:space="preserve">there may </w:t>
      </w:r>
      <w:r w:rsidR="00CC0EC4">
        <w:t xml:space="preserve">be </w:t>
      </w:r>
      <w:r>
        <w:t>very little water to carryover for use in the following year</w:t>
      </w:r>
      <w:r w:rsidR="00D47E28">
        <w:t>, as it is expected that most of the available environmental water will be required to meet key environmental needs</w:t>
      </w:r>
      <w:r>
        <w:t>. However, under dry to wet scenarios</w:t>
      </w:r>
      <w:r w:rsidR="00167CD8">
        <w:t xml:space="preserve"> in the southern Basin</w:t>
      </w:r>
      <w:r>
        <w:t xml:space="preserve">, </w:t>
      </w:r>
      <w:r w:rsidR="00D47E28">
        <w:t>a volume of water will be reserved to help meet early season needs in 2021</w:t>
      </w:r>
      <w:r w:rsidR="008D2D94">
        <w:t>-</w:t>
      </w:r>
      <w:r w:rsidR="00D47E28" w:rsidRPr="00D90B60">
        <w:t xml:space="preserve">22. </w:t>
      </w:r>
    </w:p>
    <w:p w14:paraId="3EFFDCF9" w14:textId="353CCB46" w:rsidR="008149AC" w:rsidRDefault="00D47E28">
      <w:r w:rsidRPr="00D90B60">
        <w:t>In the north</w:t>
      </w:r>
      <w:r w:rsidR="00DA7E76" w:rsidRPr="00D90B60">
        <w:t>, given the</w:t>
      </w:r>
      <w:r w:rsidR="00DA7E76" w:rsidRPr="00DA7E76">
        <w:t xml:space="preserve"> low volumes of water in storage</w:t>
      </w:r>
      <w:r w:rsidR="002767F2">
        <w:t xml:space="preserve"> at the start of the water year</w:t>
      </w:r>
      <w:r w:rsidR="00DA7E76" w:rsidRPr="00DA7E76">
        <w:t xml:space="preserve">, the opportunity to carryover water </w:t>
      </w:r>
      <w:r w:rsidR="00490564">
        <w:t>for 2021</w:t>
      </w:r>
      <w:r w:rsidR="008D2D94">
        <w:t>-</w:t>
      </w:r>
      <w:r w:rsidR="00490564">
        <w:t xml:space="preserve">22 </w:t>
      </w:r>
      <w:r w:rsidR="00DA7E76" w:rsidRPr="00DA7E76">
        <w:t xml:space="preserve">in the regulated northern valleys </w:t>
      </w:r>
      <w:r w:rsidR="002767F2">
        <w:t>will</w:t>
      </w:r>
      <w:r w:rsidR="00DA7E76" w:rsidRPr="00DA7E76">
        <w:t xml:space="preserve"> </w:t>
      </w:r>
      <w:r w:rsidR="00764AC4">
        <w:t>be limited</w:t>
      </w:r>
      <w:r w:rsidR="002767F2">
        <w:t xml:space="preserve"> by inflow conditions into storages as the water year unfolds</w:t>
      </w:r>
      <w:r w:rsidR="00490564">
        <w:t>.</w:t>
      </w:r>
      <w:r w:rsidRPr="00DA7E76">
        <w:t xml:space="preserve"> </w:t>
      </w:r>
      <w:r w:rsidR="00764AC4" w:rsidRPr="00764AC4">
        <w:t xml:space="preserve"> </w:t>
      </w:r>
      <w:r w:rsidR="00764AC4">
        <w:t>Under a very</w:t>
      </w:r>
      <w:r w:rsidR="00764AC4" w:rsidRPr="00636A43">
        <w:t xml:space="preserve"> dry scenario</w:t>
      </w:r>
      <w:r w:rsidR="00914B3D">
        <w:t>,</w:t>
      </w:r>
      <w:r w:rsidR="00764AC4" w:rsidRPr="00636A43">
        <w:t xml:space="preserve"> water carried over into 2021</w:t>
      </w:r>
      <w:r w:rsidR="008D2D94">
        <w:t>-</w:t>
      </w:r>
      <w:r w:rsidR="00764AC4" w:rsidRPr="00636A43">
        <w:t xml:space="preserve">22 would be set aside to maintain key </w:t>
      </w:r>
      <w:r w:rsidR="00764AC4">
        <w:t>environmental needs</w:t>
      </w:r>
      <w:r w:rsidR="00764AC4" w:rsidRPr="00636A43">
        <w:t xml:space="preserve">.  Under </w:t>
      </w:r>
      <w:r w:rsidR="00764AC4">
        <w:t xml:space="preserve">moderate to </w:t>
      </w:r>
      <w:r w:rsidR="00764AC4" w:rsidRPr="00636A43">
        <w:t>wet scenarios</w:t>
      </w:r>
      <w:r w:rsidR="00914B3D">
        <w:t>,</w:t>
      </w:r>
      <w:r w:rsidR="00764AC4" w:rsidRPr="00636A43">
        <w:t xml:space="preserve"> carryover volumes may be used to assist in the recovery of core wetland and native fish communities over multiple water years.</w:t>
      </w:r>
      <w:bookmarkStart w:id="62" w:name="_Toc451182626"/>
      <w:bookmarkEnd w:id="62"/>
      <w:r w:rsidR="008149AC">
        <w:rPr>
          <w:b/>
        </w:rPr>
        <w:br w:type="page"/>
      </w:r>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6DDE8" w:themeFill="accent5" w:themeFillTint="66"/>
        <w:tblLook w:val="04A0" w:firstRow="1" w:lastRow="0" w:firstColumn="1" w:lastColumn="0" w:noHBand="0" w:noVBand="1"/>
      </w:tblPr>
      <w:tblGrid>
        <w:gridCol w:w="9781"/>
      </w:tblGrid>
      <w:tr w:rsidR="00316F8D" w14:paraId="78E85911" w14:textId="77777777" w:rsidTr="008C7A65">
        <w:trPr>
          <w:cnfStyle w:val="100000000000" w:firstRow="1" w:lastRow="0" w:firstColumn="0" w:lastColumn="0" w:oddVBand="0" w:evenVBand="0" w:oddHBand="0" w:evenHBand="0" w:firstRowFirstColumn="0" w:firstRowLastColumn="0" w:lastRowFirstColumn="0" w:lastRowLastColumn="0"/>
        </w:trPr>
        <w:tc>
          <w:tcPr>
            <w:tcW w:w="9781" w:type="dxa"/>
            <w:shd w:val="clear" w:color="auto" w:fill="B6DDE8" w:themeFill="accent5" w:themeFillTint="66"/>
          </w:tcPr>
          <w:p w14:paraId="3F995896" w14:textId="77777777" w:rsidR="00316F8D" w:rsidRDefault="00316F8D" w:rsidP="00533FC3">
            <w:pPr>
              <w:pStyle w:val="Heading1"/>
              <w:outlineLvl w:val="0"/>
            </w:pPr>
            <w:bookmarkStart w:id="63" w:name="_Toc44942529"/>
            <w:r>
              <w:lastRenderedPageBreak/>
              <w:t>Valley</w:t>
            </w:r>
            <w:r w:rsidRPr="006821CB">
              <w:t xml:space="preserve"> </w:t>
            </w:r>
            <w:r w:rsidRPr="0003686A">
              <w:t>Water</w:t>
            </w:r>
            <w:r w:rsidRPr="006821CB">
              <w:t xml:space="preserve"> Plans</w:t>
            </w:r>
            <w:bookmarkEnd w:id="63"/>
          </w:p>
        </w:tc>
      </w:tr>
    </w:tbl>
    <w:p w14:paraId="1BC08E07" w14:textId="70F99AF7" w:rsidR="00316F8D" w:rsidRPr="006821CB" w:rsidRDefault="00706C61" w:rsidP="00242262">
      <w:r>
        <w:t xml:space="preserve">This chapter </w:t>
      </w:r>
      <w:r w:rsidR="002A69B0">
        <w:t>describe</w:t>
      </w:r>
      <w:r w:rsidR="003A24A2">
        <w:t>s</w:t>
      </w:r>
      <w:r>
        <w:t xml:space="preserve"> the specific environmental objectives, recent conditions, supply, demand, priorities and monitoring outcomes/lessons learned for each of the following valleys</w:t>
      </w:r>
      <w:r w:rsidR="008149AC">
        <w:t>:</w:t>
      </w:r>
      <w:r>
        <w:t xml:space="preserve"> </w:t>
      </w:r>
    </w:p>
    <w:p w14:paraId="12228416" w14:textId="77777777" w:rsidR="003475AB" w:rsidRPr="006821CB" w:rsidRDefault="003475AB" w:rsidP="003475AB">
      <w:pPr>
        <w:tabs>
          <w:tab w:val="left" w:pos="709"/>
          <w:tab w:val="right" w:leader="dot" w:pos="9498"/>
        </w:tabs>
        <w:ind w:firstLine="142"/>
      </w:pPr>
      <w:r>
        <w:t>3.1</w:t>
      </w:r>
      <w:r>
        <w:tab/>
      </w:r>
      <w:r w:rsidRPr="006821CB">
        <w:t>Border Rivers</w:t>
      </w:r>
      <w:r>
        <w:tab/>
        <w:t>22</w:t>
      </w:r>
    </w:p>
    <w:p w14:paraId="5131FDA8" w14:textId="77777777" w:rsidR="003475AB" w:rsidRDefault="003475AB" w:rsidP="003475AB">
      <w:pPr>
        <w:tabs>
          <w:tab w:val="left" w:pos="709"/>
          <w:tab w:val="right" w:leader="dot" w:pos="9498"/>
        </w:tabs>
        <w:ind w:firstLine="142"/>
      </w:pPr>
      <w:r>
        <w:t>3.2</w:t>
      </w:r>
      <w:r>
        <w:tab/>
        <w:t>Condamine-Balonne</w:t>
      </w:r>
      <w:r w:rsidRPr="00540BDF">
        <w:t xml:space="preserve"> </w:t>
      </w:r>
      <w:r>
        <w:tab/>
        <w:t>36</w:t>
      </w:r>
    </w:p>
    <w:p w14:paraId="05DD02AE" w14:textId="77777777" w:rsidR="003475AB" w:rsidRDefault="003475AB" w:rsidP="003475AB">
      <w:pPr>
        <w:tabs>
          <w:tab w:val="left" w:pos="709"/>
          <w:tab w:val="right" w:leader="dot" w:pos="9498"/>
        </w:tabs>
        <w:ind w:firstLine="142"/>
      </w:pPr>
      <w:r>
        <w:t>3.3</w:t>
      </w:r>
      <w:r>
        <w:tab/>
        <w:t>Warrego and Moonie rivers</w:t>
      </w:r>
      <w:r>
        <w:tab/>
        <w:t>49</w:t>
      </w:r>
    </w:p>
    <w:p w14:paraId="0ABC8F3A" w14:textId="77777777" w:rsidR="003475AB" w:rsidRPr="006821CB" w:rsidRDefault="003475AB" w:rsidP="003475AB">
      <w:pPr>
        <w:tabs>
          <w:tab w:val="left" w:pos="709"/>
          <w:tab w:val="right" w:leader="dot" w:pos="9498"/>
        </w:tabs>
        <w:ind w:firstLine="142"/>
      </w:pPr>
      <w:r>
        <w:t>3.4</w:t>
      </w:r>
      <w:r>
        <w:tab/>
      </w:r>
      <w:r w:rsidRPr="006821CB">
        <w:t>Gwydir</w:t>
      </w:r>
      <w:r>
        <w:t xml:space="preserve"> Valley</w:t>
      </w:r>
      <w:r>
        <w:tab/>
        <w:t>64</w:t>
      </w:r>
    </w:p>
    <w:p w14:paraId="7ECF5884" w14:textId="77777777" w:rsidR="003475AB" w:rsidRPr="006821CB" w:rsidRDefault="003475AB" w:rsidP="003475AB">
      <w:pPr>
        <w:tabs>
          <w:tab w:val="left" w:pos="709"/>
          <w:tab w:val="right" w:leader="dot" w:pos="9498"/>
        </w:tabs>
        <w:ind w:firstLine="142"/>
      </w:pPr>
      <w:r>
        <w:t>3.5</w:t>
      </w:r>
      <w:r>
        <w:tab/>
      </w:r>
      <w:r w:rsidRPr="006821CB">
        <w:t>Namoi</w:t>
      </w:r>
      <w:r>
        <w:t xml:space="preserve"> Valley</w:t>
      </w:r>
      <w:r>
        <w:tab/>
        <w:t>79</w:t>
      </w:r>
    </w:p>
    <w:p w14:paraId="7383C5D9" w14:textId="77777777" w:rsidR="003475AB" w:rsidRPr="006821CB" w:rsidRDefault="003475AB" w:rsidP="003475AB">
      <w:pPr>
        <w:tabs>
          <w:tab w:val="left" w:pos="709"/>
          <w:tab w:val="right" w:leader="dot" w:pos="9498"/>
        </w:tabs>
        <w:ind w:firstLine="142"/>
      </w:pPr>
      <w:r>
        <w:t>3.6</w:t>
      </w:r>
      <w:r>
        <w:tab/>
      </w:r>
      <w:r w:rsidRPr="006821CB">
        <w:t>Macquarie</w:t>
      </w:r>
      <w:r>
        <w:t xml:space="preserve"> River Valley</w:t>
      </w:r>
      <w:r>
        <w:tab/>
        <w:t>91</w:t>
      </w:r>
    </w:p>
    <w:p w14:paraId="214A0674" w14:textId="77777777" w:rsidR="003475AB" w:rsidRDefault="003475AB" w:rsidP="003475AB">
      <w:pPr>
        <w:tabs>
          <w:tab w:val="left" w:pos="709"/>
          <w:tab w:val="right" w:leader="dot" w:pos="9498"/>
        </w:tabs>
        <w:ind w:firstLine="142"/>
      </w:pPr>
      <w:r>
        <w:t>3.7</w:t>
      </w:r>
      <w:r>
        <w:tab/>
        <w:t>Barwon-Darling River</w:t>
      </w:r>
      <w:r>
        <w:tab/>
        <w:t>107</w:t>
      </w:r>
    </w:p>
    <w:p w14:paraId="2FE643EB" w14:textId="77777777" w:rsidR="003475AB" w:rsidRPr="006821CB" w:rsidRDefault="003475AB" w:rsidP="003475AB">
      <w:pPr>
        <w:tabs>
          <w:tab w:val="left" w:pos="709"/>
          <w:tab w:val="right" w:leader="dot" w:pos="9498"/>
        </w:tabs>
        <w:ind w:firstLine="142"/>
      </w:pPr>
      <w:r>
        <w:t>3.8</w:t>
      </w:r>
      <w:r>
        <w:tab/>
        <w:t>Lower Darling River</w:t>
      </w:r>
      <w:r>
        <w:tab/>
        <w:t>118</w:t>
      </w:r>
    </w:p>
    <w:p w14:paraId="2FC8558E" w14:textId="77777777" w:rsidR="003475AB" w:rsidRPr="006821CB" w:rsidRDefault="003475AB" w:rsidP="003475AB">
      <w:pPr>
        <w:tabs>
          <w:tab w:val="left" w:pos="709"/>
          <w:tab w:val="right" w:leader="dot" w:pos="9498"/>
        </w:tabs>
        <w:ind w:firstLine="142"/>
      </w:pPr>
      <w:r>
        <w:t>3.9</w:t>
      </w:r>
      <w:r>
        <w:tab/>
      </w:r>
      <w:r w:rsidRPr="006821CB">
        <w:t>Lachlan</w:t>
      </w:r>
      <w:r>
        <w:t xml:space="preserve"> River</w:t>
      </w:r>
      <w:r>
        <w:tab/>
        <w:t>128</w:t>
      </w:r>
    </w:p>
    <w:p w14:paraId="3386F17E" w14:textId="77777777" w:rsidR="003475AB" w:rsidRPr="006821CB" w:rsidRDefault="003475AB" w:rsidP="003475AB">
      <w:pPr>
        <w:tabs>
          <w:tab w:val="left" w:pos="709"/>
          <w:tab w:val="right" w:leader="dot" w:pos="9498"/>
        </w:tabs>
        <w:ind w:firstLine="142"/>
      </w:pPr>
      <w:r>
        <w:t>3.10</w:t>
      </w:r>
      <w:r>
        <w:tab/>
      </w:r>
      <w:r w:rsidRPr="006821CB">
        <w:t>Murrumbidgee</w:t>
      </w:r>
      <w:r>
        <w:t xml:space="preserve"> River Valley</w:t>
      </w:r>
      <w:r>
        <w:tab/>
        <w:t>144</w:t>
      </w:r>
    </w:p>
    <w:p w14:paraId="5AEB3E7F" w14:textId="77777777" w:rsidR="003475AB" w:rsidRPr="006821CB" w:rsidRDefault="003475AB" w:rsidP="003475AB">
      <w:pPr>
        <w:tabs>
          <w:tab w:val="left" w:pos="709"/>
          <w:tab w:val="right" w:leader="dot" w:pos="9498"/>
        </w:tabs>
        <w:ind w:firstLine="142"/>
      </w:pPr>
      <w:r>
        <w:t>3.11</w:t>
      </w:r>
      <w:r>
        <w:tab/>
      </w:r>
      <w:r w:rsidRPr="006821CB">
        <w:t>Victorian Rivers</w:t>
      </w:r>
      <w:r>
        <w:tab/>
        <w:t>164</w:t>
      </w:r>
    </w:p>
    <w:p w14:paraId="0DC9722B" w14:textId="77777777" w:rsidR="003475AB" w:rsidRDefault="003475AB" w:rsidP="003475AB">
      <w:pPr>
        <w:tabs>
          <w:tab w:val="left" w:pos="709"/>
          <w:tab w:val="right" w:leader="dot" w:pos="9498"/>
        </w:tabs>
        <w:ind w:firstLine="142"/>
      </w:pPr>
      <w:r>
        <w:t>3.12</w:t>
      </w:r>
      <w:r>
        <w:tab/>
        <w:t xml:space="preserve">River </w:t>
      </w:r>
      <w:r w:rsidRPr="006821CB">
        <w:t>Murray</w:t>
      </w:r>
      <w:r>
        <w:t xml:space="preserve"> Valley</w:t>
      </w:r>
      <w:r>
        <w:tab/>
        <w:t>183</w:t>
      </w:r>
    </w:p>
    <w:p w14:paraId="34396973" w14:textId="772A7CC2" w:rsidR="0071217B" w:rsidRDefault="0071217B">
      <w:pPr>
        <w:spacing w:after="0"/>
      </w:pPr>
      <w:r>
        <w:br w:type="page"/>
      </w:r>
    </w:p>
    <w:p w14:paraId="01651FAD" w14:textId="77777777" w:rsidR="00B27BEC" w:rsidRPr="00B27BEC" w:rsidRDefault="00B27BEC" w:rsidP="0057535E">
      <w:pPr>
        <w:pStyle w:val="Heading2"/>
      </w:pPr>
      <w:r w:rsidRPr="0057535E">
        <w:lastRenderedPageBreak/>
        <w:t>Border</w:t>
      </w:r>
      <w:r w:rsidRPr="00B27BEC">
        <w:t xml:space="preserve"> Rivers</w:t>
      </w:r>
    </w:p>
    <w:p w14:paraId="1F7CD8B0" w14:textId="77777777" w:rsidR="00B27BEC" w:rsidRPr="00B27BEC" w:rsidRDefault="00B27BEC" w:rsidP="0057535E">
      <w:pPr>
        <w:pStyle w:val="Heading3"/>
      </w:pPr>
      <w:r w:rsidRPr="00B27BEC">
        <w:t xml:space="preserve">Region </w:t>
      </w:r>
      <w:r w:rsidRPr="0057535E">
        <w:t>overview</w:t>
      </w:r>
    </w:p>
    <w:p w14:paraId="13918B31" w14:textId="77777777" w:rsidR="00B27BEC" w:rsidRPr="00B27BEC" w:rsidRDefault="00B27BEC" w:rsidP="0057535E">
      <w:pPr>
        <w:pStyle w:val="Heading4"/>
      </w:pPr>
      <w:r w:rsidRPr="00B27BEC">
        <w:t xml:space="preserve">River </w:t>
      </w:r>
      <w:r w:rsidRPr="0057535E">
        <w:t>system</w:t>
      </w:r>
    </w:p>
    <w:p w14:paraId="51959F12" w14:textId="3EED3C21" w:rsidR="00B27BEC" w:rsidRPr="00B27BEC" w:rsidRDefault="00B27BEC" w:rsidP="00B27BEC">
      <w:r w:rsidRPr="00B27BEC">
        <w:t>The Border Rivers catchment covers around 49 500 km</w:t>
      </w:r>
      <w:r w:rsidRPr="00B27BEC">
        <w:rPr>
          <w:vertAlign w:val="superscript"/>
        </w:rPr>
        <w:t>2</w:t>
      </w:r>
      <w:r w:rsidRPr="00B27BEC">
        <w:t xml:space="preserve"> in southern Queensland and north eastern NSW, with roughly an equal area in each state. The system is based around the Macintyre and Dumaresq rivers, which merge upstream of Boggabilla and continue as the Macintyre River (</w:t>
      </w:r>
      <w:r w:rsidRPr="00B27BEC">
        <w:fldChar w:fldCharType="begin"/>
      </w:r>
      <w:r w:rsidRPr="00B27BEC">
        <w:instrText xml:space="preserve"> REF _Ref41559180 \h </w:instrText>
      </w:r>
      <w:r w:rsidRPr="00B27BEC">
        <w:fldChar w:fldCharType="separate"/>
      </w:r>
      <w:r w:rsidR="001B2852" w:rsidRPr="00B27BEC">
        <w:rPr>
          <w:b/>
          <w:bCs/>
        </w:rPr>
        <w:t xml:space="preserve">Figure </w:t>
      </w:r>
      <w:r w:rsidR="001B2852">
        <w:rPr>
          <w:b/>
          <w:bCs/>
          <w:noProof/>
        </w:rPr>
        <w:t>4</w:t>
      </w:r>
      <w:r w:rsidRPr="00B27BEC">
        <w:fldChar w:fldCharType="end"/>
      </w:r>
      <w:r w:rsidRPr="00B27BEC">
        <w:t>). The Dumaresq, Macintyre and the part of the Barwon River downstream of the junction of the Weir River to Mungindi (the end of the Border Rivers system) forms the border between NSW and Queensland for approximately 470</w:t>
      </w:r>
      <w:r w:rsidR="005F58BB">
        <w:t> </w:t>
      </w:r>
      <w:r w:rsidRPr="00B27BEC">
        <w:t>kilometres. The Weir River, wholly in Queensland, is the only significant tributary of the lower Macintyre River.</w:t>
      </w:r>
    </w:p>
    <w:p w14:paraId="74044393" w14:textId="77777777" w:rsidR="00B27BEC" w:rsidRPr="00B27BEC" w:rsidRDefault="00B27BEC" w:rsidP="00B27BEC">
      <w:r w:rsidRPr="00B27BEC">
        <w:t>Rainfall in the Border Rivers catchment is summer-dominant and highly variable, resulting in highly variable stream flows between years.</w:t>
      </w:r>
    </w:p>
    <w:p w14:paraId="62A1523D" w14:textId="77777777" w:rsidR="00B27BEC" w:rsidRPr="00B27BEC" w:rsidRDefault="00B27BEC" w:rsidP="00B27BEC">
      <w:r w:rsidRPr="00B27BEC">
        <w:t>The major public storages are Pindari Dam on the Severn River in NSW (312 gigalitres), Glenlyon Dam on Pike Creek in Queensland (254 gigalitres), and Coolmunda Dam on Macintyre Brook in Queensland (69 gigalitres). The volume of on-farm storage is comparable to public storage, reflecting the importance of unregulated flows to irrigation supplies in the catchment. On a long-term average basis unregulated entitlement (supplementary water licences in NSW and unsupplemented water allocations in Queensland) and diversions in the Border Rivers catchment exceed regulated water entitlements and use.</w:t>
      </w:r>
    </w:p>
    <w:p w14:paraId="61DCE778" w14:textId="77777777" w:rsidR="00B27BEC" w:rsidRPr="00B27BEC" w:rsidRDefault="00B27BEC" w:rsidP="005D79EF">
      <w:pPr>
        <w:keepNext/>
        <w:numPr>
          <w:ilvl w:val="3"/>
          <w:numId w:val="31"/>
        </w:numPr>
        <w:spacing w:before="240" w:after="240"/>
        <w:outlineLvl w:val="3"/>
        <w:rPr>
          <w:rFonts w:cs="Arial"/>
          <w:i/>
          <w:noProof/>
          <w:color w:val="5F497A" w:themeColor="accent4" w:themeShade="BF"/>
          <w:sz w:val="26"/>
          <w:szCs w:val="24"/>
          <w:lang w:val="en-GB"/>
        </w:rPr>
      </w:pPr>
      <w:bookmarkStart w:id="64" w:name="_Hlk37842930"/>
      <w:r w:rsidRPr="00B27BEC">
        <w:rPr>
          <w:rFonts w:cs="Arial"/>
          <w:i/>
          <w:noProof/>
          <w:color w:val="5F497A" w:themeColor="accent4" w:themeShade="BF"/>
          <w:sz w:val="26"/>
          <w:szCs w:val="24"/>
          <w:lang w:val="en-GB"/>
        </w:rPr>
        <w:t>Traditional Owners</w:t>
      </w:r>
    </w:p>
    <w:bookmarkEnd w:id="64"/>
    <w:p w14:paraId="72A8C35A" w14:textId="77777777" w:rsidR="00B27BEC" w:rsidRPr="00B27BEC" w:rsidRDefault="00B27BEC" w:rsidP="00B27BEC">
      <w:r w:rsidRPr="00B27BEC">
        <w:t xml:space="preserve">The lands of the Border Rivers catchment have been important to Aboriginal people for more than 25 000 years. Aboriginal nations of the region include the Bigambul, Euahlayi, Githabul, Kambuwal, Gomeroi/Kamilaroi, Kwiambul, and Ngarabal. Traditional owners have longstanding and continuing ties to country and hold the many billabongs along the rivers in this catchment in high regard. Of particular importance is the Morella Watercourse/Boobera Lagoon/Pungbougal Lagoon complex located on the Macintyre River floodplain south of Goondiwindi. </w:t>
      </w:r>
    </w:p>
    <w:p w14:paraId="4F5B4EF4" w14:textId="77777777" w:rsidR="00B27BEC" w:rsidRPr="00B27BEC" w:rsidRDefault="00B27BEC" w:rsidP="005D79EF">
      <w:pPr>
        <w:keepNext/>
        <w:numPr>
          <w:ilvl w:val="3"/>
          <w:numId w:val="30"/>
        </w:numPr>
        <w:spacing w:before="240" w:after="240"/>
        <w:outlineLvl w:val="3"/>
        <w:rPr>
          <w:rFonts w:cs="Arial"/>
          <w:i/>
          <w:color w:val="5F497A" w:themeColor="accent4" w:themeShade="BF"/>
          <w:sz w:val="26"/>
          <w:szCs w:val="24"/>
          <w:lang w:val="en-GB"/>
        </w:rPr>
      </w:pPr>
      <w:r w:rsidRPr="00B27BEC">
        <w:rPr>
          <w:rFonts w:cs="Arial"/>
          <w:i/>
          <w:color w:val="5F497A" w:themeColor="accent4" w:themeShade="BF"/>
          <w:sz w:val="26"/>
          <w:szCs w:val="24"/>
          <w:lang w:val="en-GB"/>
        </w:rPr>
        <w:t>Important sites and values</w:t>
      </w:r>
    </w:p>
    <w:p w14:paraId="7CF0B8D5" w14:textId="77777777" w:rsidR="00B27BEC" w:rsidRPr="00B27BEC" w:rsidRDefault="00B27BEC" w:rsidP="00B27BEC">
      <w:r w:rsidRPr="00B27BEC">
        <w:t>Key environmental assets in the Border Rivers catchment include:</w:t>
      </w:r>
    </w:p>
    <w:p w14:paraId="39EFCD8C" w14:textId="77777777" w:rsidR="00B27BEC" w:rsidRPr="00B27BEC" w:rsidRDefault="00B27BEC" w:rsidP="003C6B50">
      <w:pPr>
        <w:pStyle w:val="DotStyle1"/>
      </w:pPr>
      <w:r w:rsidRPr="00B27BEC">
        <w:t>the Border Rivers main channels (Severn, Dumaresq, Macintyre and Lower Macintyre Rivers to Mungindi and the Weir River</w:t>
      </w:r>
    </w:p>
    <w:p w14:paraId="3FAD4B9A" w14:textId="77777777" w:rsidR="00B27BEC" w:rsidRPr="00B27BEC" w:rsidRDefault="00B27BEC" w:rsidP="003C6B50">
      <w:pPr>
        <w:pStyle w:val="DotStyle1"/>
      </w:pPr>
      <w:r w:rsidRPr="00B27BEC">
        <w:t>anabranches downstream of Yetman/Texas</w:t>
      </w:r>
    </w:p>
    <w:p w14:paraId="763A2151" w14:textId="77777777" w:rsidR="00B27BEC" w:rsidRPr="00B27BEC" w:rsidRDefault="00B27BEC" w:rsidP="003C6B50">
      <w:pPr>
        <w:pStyle w:val="DotStyle1"/>
      </w:pPr>
      <w:r w:rsidRPr="00B27BEC">
        <w:t>Queensland Macintyre River billabongs</w:t>
      </w:r>
    </w:p>
    <w:p w14:paraId="2F1D207B" w14:textId="77777777" w:rsidR="00B27BEC" w:rsidRPr="00B27BEC" w:rsidRDefault="00B27BEC" w:rsidP="003C6B50">
      <w:pPr>
        <w:pStyle w:val="DotStyle1"/>
      </w:pPr>
      <w:r w:rsidRPr="00B27BEC">
        <w:t>wetlands, billabongs and lagoons in the Lower Dumaresq/NSW Severn and Lower Macintyre rivers</w:t>
      </w:r>
    </w:p>
    <w:p w14:paraId="0B73D27F" w14:textId="77777777" w:rsidR="00B27BEC" w:rsidRPr="00B27BEC" w:rsidRDefault="00B27BEC" w:rsidP="003C6B50">
      <w:pPr>
        <w:pStyle w:val="DotStyle1"/>
      </w:pPr>
      <w:r w:rsidRPr="00B27BEC">
        <w:t xml:space="preserve">Toomelah station near the junction of the Macintyre and Dumaresq rivers. </w:t>
      </w:r>
    </w:p>
    <w:p w14:paraId="755F145F" w14:textId="77777777" w:rsidR="00B27BEC" w:rsidRPr="00B27BEC" w:rsidRDefault="00B27BEC" w:rsidP="00B27BEC">
      <w:r w:rsidRPr="00B27BEC">
        <w:t xml:space="preserve">The Border Rivers catchment supports a number of species and endangered ecological communities listed under the </w:t>
      </w:r>
      <w:r w:rsidRPr="00B27BEC">
        <w:rPr>
          <w:i/>
        </w:rPr>
        <w:t>Environment Protection and Biodiversity Conservation Act 1999</w:t>
      </w:r>
      <w:r w:rsidRPr="00B27BEC">
        <w:t xml:space="preserve">, the </w:t>
      </w:r>
      <w:r w:rsidRPr="00B27BEC">
        <w:rPr>
          <w:i/>
        </w:rPr>
        <w:t>NSW Biodiversity Conservation Act 2016</w:t>
      </w:r>
      <w:r w:rsidRPr="00B27BEC">
        <w:rPr>
          <w:i/>
          <w:iCs/>
        </w:rPr>
        <w:t>,</w:t>
      </w:r>
      <w:r w:rsidRPr="00B27BEC">
        <w:t xml:space="preserve"> or the </w:t>
      </w:r>
      <w:r w:rsidRPr="00B27BEC">
        <w:rPr>
          <w:i/>
        </w:rPr>
        <w:t>NSW Fisheries Management Act 1994</w:t>
      </w:r>
      <w:r w:rsidRPr="00B27BEC">
        <w:t>. These include native fish species such as Murray cod, silver perch, purple-spotted gudgeon, olive perchlet and eel-tailed catfish. Various wetlands and waterholes also support internationally and nationally significant waterbirds, for example, brolgas, Australian painted snipe, black-necked stork and magpie geese.</w:t>
      </w:r>
    </w:p>
    <w:p w14:paraId="5B9D703A" w14:textId="77777777" w:rsidR="00B27BEC" w:rsidRPr="00B27BEC" w:rsidRDefault="00B27BEC" w:rsidP="00B27BEC">
      <w:pPr>
        <w:spacing w:after="0"/>
      </w:pPr>
      <w:r w:rsidRPr="00B27BEC">
        <w:br w:type="page"/>
      </w:r>
    </w:p>
    <w:p w14:paraId="41E75AAE" w14:textId="77777777" w:rsidR="00B27BEC" w:rsidRPr="00B27BEC" w:rsidRDefault="00B27BEC" w:rsidP="00B27BEC">
      <w:r w:rsidRPr="00B27BEC">
        <w:lastRenderedPageBreak/>
        <w:t xml:space="preserve">Parts of the Border Rivers are also included in the Lowland Darling River aquatic ecological community, which is listed as endangered under the </w:t>
      </w:r>
      <w:r w:rsidRPr="00B27BEC">
        <w:rPr>
          <w:i/>
          <w:iCs/>
        </w:rPr>
        <w:t>NSW Fisheries Management Act 1994</w:t>
      </w:r>
      <w:r w:rsidRPr="00B27BEC">
        <w:t>. This includes the Macintyre River below Graman Weir, Severn River below Pindari Dam and the Dumaresq River below the junction with the Mole River, along with their associated lagoons, billabongs, anabranches and floodplains.</w:t>
      </w:r>
    </w:p>
    <w:p w14:paraId="638E977B" w14:textId="77777777" w:rsidR="00B27BEC" w:rsidRPr="00B27BEC" w:rsidRDefault="00B27BEC" w:rsidP="005D79EF">
      <w:pPr>
        <w:keepNext/>
        <w:numPr>
          <w:ilvl w:val="3"/>
          <w:numId w:val="30"/>
        </w:numPr>
        <w:spacing w:before="240" w:after="240"/>
        <w:outlineLvl w:val="3"/>
        <w:rPr>
          <w:rFonts w:cs="Arial"/>
          <w:i/>
          <w:color w:val="5F497A" w:themeColor="accent4" w:themeShade="BF"/>
          <w:sz w:val="26"/>
          <w:szCs w:val="24"/>
          <w:lang w:val="en-GB"/>
        </w:rPr>
      </w:pPr>
      <w:r w:rsidRPr="00B27BEC">
        <w:rPr>
          <w:rFonts w:cs="Arial"/>
          <w:i/>
          <w:color w:val="5F497A" w:themeColor="accent4" w:themeShade="BF"/>
          <w:sz w:val="26"/>
          <w:szCs w:val="24"/>
          <w:lang w:val="en-GB"/>
        </w:rPr>
        <w:t>Stakeholder engagement</w:t>
      </w:r>
    </w:p>
    <w:p w14:paraId="70563474" w14:textId="77777777" w:rsidR="00B27BEC" w:rsidRPr="00B27BEC" w:rsidRDefault="00B27BEC" w:rsidP="00B27BEC">
      <w:r w:rsidRPr="00B27BEC">
        <w:t xml:space="preserve">In the Border Rivers catchment, the planning, management, and delivery of Commonwealth water for the environment is undertaken conjunction with a range of partners and stakeholder groups. Key stakeholders in the NSW part of the catchment include the NSW Department of Planning, Industry and Environment (DPIE), the Department of Primary Industries (DPI) – Fisheries, Local Land Services and WaterNSW. In Queensland, key stakeholders include the Queensland Department of Natural Resources, Mines and Energy (DNRME), Department of Agriculture and Fisheries (DAF), Department of Environment and Science (DES) and Southern Queensland Landscapes. Advice on the use of Commonwealth water for the environment in the Border Rivers is also provided by landholders, traditional owners, the Boomi Trust, local and regional councils, and Border Rivers Food and Fibre. </w:t>
      </w:r>
    </w:p>
    <w:p w14:paraId="36274020" w14:textId="77777777" w:rsidR="00B27BEC" w:rsidRPr="00B27BEC" w:rsidRDefault="00B27BEC" w:rsidP="00B27BEC">
      <w:pPr>
        <w:rPr>
          <w:color w:val="auto"/>
        </w:rPr>
      </w:pPr>
    </w:p>
    <w:p w14:paraId="1AD3DA61" w14:textId="77777777" w:rsidR="00B27BEC" w:rsidRPr="00B27BEC" w:rsidRDefault="00B27BEC" w:rsidP="00B27BEC">
      <w:pPr>
        <w:keepNext/>
      </w:pPr>
      <w:r w:rsidRPr="00B27BEC">
        <w:rPr>
          <w:noProof/>
        </w:rPr>
        <w:t xml:space="preserve"> </w:t>
      </w:r>
      <w:r w:rsidRPr="00B27BEC">
        <w:rPr>
          <w:noProof/>
        </w:rPr>
        <w:drawing>
          <wp:inline distT="0" distB="0" distL="0" distR="0" wp14:anchorId="5D307AD9" wp14:editId="27E5BC36">
            <wp:extent cx="5943600" cy="4181475"/>
            <wp:effectExtent l="0" t="0" r="0" b="9525"/>
            <wp:docPr id="24" name="Picture 12" descr="Figure 1 Map of the Border Rivers catchment&#10;&#10;A map of the Border Rivers catchment including major towns, water storages, unregulated and regulated rivers, artificial channels and environmental assets."/>
            <wp:cNvGraphicFramePr/>
            <a:graphic xmlns:a="http://schemas.openxmlformats.org/drawingml/2006/main">
              <a:graphicData uri="http://schemas.openxmlformats.org/drawingml/2006/picture">
                <pic:pic xmlns:pic="http://schemas.openxmlformats.org/drawingml/2006/picture">
                  <pic:nvPicPr>
                    <pic:cNvPr id="13" name="Picture 12"/>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4181475"/>
                    </a:xfrm>
                    <a:prstGeom prst="rect">
                      <a:avLst/>
                    </a:prstGeom>
                    <a:noFill/>
                    <a:ln>
                      <a:noFill/>
                    </a:ln>
                  </pic:spPr>
                </pic:pic>
              </a:graphicData>
            </a:graphic>
          </wp:inline>
        </w:drawing>
      </w:r>
    </w:p>
    <w:p w14:paraId="4C6D6B0B" w14:textId="34DE1834" w:rsidR="00B27BEC" w:rsidRPr="00B27BEC" w:rsidRDefault="00B27BEC" w:rsidP="00B27BEC">
      <w:pPr>
        <w:spacing w:after="220"/>
        <w:jc w:val="both"/>
      </w:pPr>
      <w:bookmarkStart w:id="65" w:name="_Ref41559180"/>
      <w:r w:rsidRPr="00B27BEC">
        <w:rPr>
          <w:b/>
          <w:bCs/>
        </w:rPr>
        <w:t xml:space="preserve">Figure </w:t>
      </w:r>
      <w:r w:rsidRPr="00B27BEC">
        <w:rPr>
          <w:b/>
          <w:bCs/>
        </w:rPr>
        <w:fldChar w:fldCharType="begin"/>
      </w:r>
      <w:r w:rsidRPr="00B27BEC">
        <w:rPr>
          <w:b/>
          <w:bCs/>
        </w:rPr>
        <w:instrText xml:space="preserve"> SEQ Figure \* ARABIC </w:instrText>
      </w:r>
      <w:r w:rsidRPr="00B27BEC">
        <w:rPr>
          <w:b/>
          <w:bCs/>
        </w:rPr>
        <w:fldChar w:fldCharType="separate"/>
      </w:r>
      <w:r w:rsidR="001B2852">
        <w:rPr>
          <w:b/>
          <w:bCs/>
          <w:noProof/>
        </w:rPr>
        <w:t>4</w:t>
      </w:r>
      <w:r w:rsidRPr="00B27BEC">
        <w:rPr>
          <w:b/>
          <w:bCs/>
        </w:rPr>
        <w:fldChar w:fldCharType="end"/>
      </w:r>
      <w:bookmarkEnd w:id="65"/>
      <w:r w:rsidRPr="00B27BEC">
        <w:t>: Map of the Border Rivers catchment (CSIRO 2007).</w:t>
      </w:r>
    </w:p>
    <w:p w14:paraId="1CB05A7E" w14:textId="77777777" w:rsidR="00B27BEC" w:rsidRPr="00B27BEC" w:rsidRDefault="00B27BEC" w:rsidP="00B27BEC">
      <w:pPr>
        <w:spacing w:after="0"/>
      </w:pPr>
      <w:r w:rsidRPr="00B27BEC">
        <w:rPr>
          <w:b/>
          <w:bCs/>
        </w:rPr>
        <w:br w:type="page"/>
      </w:r>
    </w:p>
    <w:p w14:paraId="348C50EA" w14:textId="77777777" w:rsidR="00B27BEC" w:rsidRPr="00B27BEC" w:rsidRDefault="00B27BEC" w:rsidP="00CD6F25">
      <w:pPr>
        <w:keepNext/>
        <w:numPr>
          <w:ilvl w:val="2"/>
          <w:numId w:val="13"/>
        </w:numPr>
        <w:spacing w:before="240" w:after="240"/>
        <w:outlineLvl w:val="2"/>
        <w:rPr>
          <w:color w:val="5F497A" w:themeColor="accent4" w:themeShade="BF"/>
          <w:sz w:val="26"/>
          <w:szCs w:val="24"/>
          <w:lang w:val="en-GB"/>
        </w:rPr>
      </w:pPr>
      <w:r w:rsidRPr="00B27BEC">
        <w:rPr>
          <w:color w:val="5F497A" w:themeColor="accent4" w:themeShade="BF"/>
          <w:sz w:val="26"/>
          <w:szCs w:val="24"/>
          <w:lang w:val="en-GB"/>
        </w:rPr>
        <w:lastRenderedPageBreak/>
        <w:t>Environmental objectives</w:t>
      </w:r>
    </w:p>
    <w:p w14:paraId="0609033E" w14:textId="77777777" w:rsidR="00B27BEC" w:rsidRPr="00B27BEC" w:rsidRDefault="00B27BEC" w:rsidP="00B27BEC">
      <w:r w:rsidRPr="00B27BEC">
        <w:t>Based on long-term environmental objectives in the Basin Plan, draft state long-term watering plans, site management plans, and best available knowledge, the following objectives are relevant for environmental watering in the Border Rivers River catchment.</w:t>
      </w:r>
    </w:p>
    <w:p w14:paraId="22CE1A05" w14:textId="77777777" w:rsidR="00B27BEC" w:rsidRPr="00B27BEC" w:rsidRDefault="00B27BEC" w:rsidP="00B27BEC">
      <w:r w:rsidRPr="00B27BEC">
        <w:t>The objectives that are targeted in a particular year may vary, depending on available water, catchment conditions, operational feasibility, and demand for environmental water. These objectives will continue to be revised as part of the Commonwealth Environmental Water Office’s (CEWO) commitment to adaptive management.</w:t>
      </w:r>
    </w:p>
    <w:p w14:paraId="57C90A02" w14:textId="77777777" w:rsidR="00B27BEC" w:rsidRPr="00B27BEC" w:rsidRDefault="00B27BEC" w:rsidP="00B27BEC">
      <w:pPr>
        <w:rPr>
          <w:rFonts w:ascii="Century Gothic" w:hAnsi="Century Gothic"/>
          <w:sz w:val="18"/>
          <w:szCs w:val="18"/>
        </w:rPr>
      </w:pPr>
      <w:r w:rsidRPr="00B27BEC">
        <w:rPr>
          <w:b/>
        </w:rPr>
        <w:t>Vegetation:</w:t>
      </w:r>
      <w:r w:rsidRPr="00B27BEC">
        <w:t xml:space="preserve"> Maintain the condition, growth and survival of riparian, in-channel, floodplain and wetland vegetation. </w:t>
      </w:r>
    </w:p>
    <w:p w14:paraId="5691C08C" w14:textId="77777777" w:rsidR="00B27BEC" w:rsidRPr="00B27BEC" w:rsidRDefault="00B27BEC" w:rsidP="00B27BEC">
      <w:r w:rsidRPr="00B27BEC">
        <w:rPr>
          <w:b/>
        </w:rPr>
        <w:t>Waterbirds</w:t>
      </w:r>
      <w:r w:rsidRPr="00B27BEC">
        <w:t xml:space="preserve">: Increase waterbird abundance and maintain species diversity by supporting naturally triggered breeding events, and maintaining suitable refuge, feeding and breeding habitat at targeted floodplain sites. </w:t>
      </w:r>
    </w:p>
    <w:p w14:paraId="3094A230" w14:textId="77777777" w:rsidR="00B27BEC" w:rsidRPr="00B27BEC" w:rsidRDefault="00B27BEC" w:rsidP="00B27BEC">
      <w:r w:rsidRPr="00B27BEC">
        <w:rPr>
          <w:b/>
        </w:rPr>
        <w:t>Native fish</w:t>
      </w:r>
      <w:r w:rsidRPr="00B27BEC">
        <w:t>: Prevent loss of native fish species and improve population structure and distribution, by supporting opportunities for movement, dispersal, reproduction, and recruitment.</w:t>
      </w:r>
      <w:r w:rsidRPr="00B27BEC">
        <w:rPr>
          <w:rFonts w:ascii="Century Gothic" w:hAnsi="Century Gothic"/>
          <w:sz w:val="18"/>
          <w:szCs w:val="18"/>
        </w:rPr>
        <w:t xml:space="preserve"> </w:t>
      </w:r>
    </w:p>
    <w:p w14:paraId="511ED16B" w14:textId="77777777" w:rsidR="00B27BEC" w:rsidRPr="00B27BEC" w:rsidRDefault="00B27BEC" w:rsidP="00B27BEC">
      <w:r w:rsidRPr="00B27BEC">
        <w:rPr>
          <w:b/>
        </w:rPr>
        <w:t>Other vertebrates and invertebrates</w:t>
      </w:r>
      <w:r w:rsidRPr="00B27BEC">
        <w:t>: Support opportunities for the reproduction and recruitment of other native aquatic species, including frogs, platypus, native water rats, turtles, and freshwater mussels.</w:t>
      </w:r>
    </w:p>
    <w:p w14:paraId="2654E8BD" w14:textId="77777777" w:rsidR="00B27BEC" w:rsidRPr="00B27BEC" w:rsidRDefault="00B27BEC" w:rsidP="00B27BEC">
      <w:r w:rsidRPr="00B27BEC">
        <w:rPr>
          <w:b/>
        </w:rPr>
        <w:t>Connectivity</w:t>
      </w:r>
      <w:r w:rsidRPr="00B27BEC">
        <w:t xml:space="preserve">: Support longitudinal connectivity, including with the Barwon River, and lateral connectivity between the river, wetlands and floodplains. </w:t>
      </w:r>
    </w:p>
    <w:p w14:paraId="22715F99" w14:textId="77777777" w:rsidR="00B27BEC" w:rsidRPr="00B27BEC" w:rsidRDefault="00B27BEC" w:rsidP="00B27BEC">
      <w:r w:rsidRPr="00B27BEC">
        <w:rPr>
          <w:b/>
        </w:rPr>
        <w:t>Processes/water quality/resilience</w:t>
      </w:r>
      <w:r w:rsidRPr="00B27BEC">
        <w:t>: Support key ecosystem functions and promote productivity; maintain water quality in channels and pools; and maintain drought refuge habitat.</w:t>
      </w:r>
    </w:p>
    <w:p w14:paraId="726D2840" w14:textId="77777777" w:rsidR="00B27BEC" w:rsidRPr="00B27BEC" w:rsidRDefault="00B27BEC" w:rsidP="00CD6F25">
      <w:pPr>
        <w:keepNext/>
        <w:numPr>
          <w:ilvl w:val="2"/>
          <w:numId w:val="13"/>
        </w:numPr>
        <w:spacing w:before="240" w:after="240"/>
        <w:outlineLvl w:val="2"/>
        <w:rPr>
          <w:color w:val="5F497A" w:themeColor="accent4" w:themeShade="BF"/>
          <w:sz w:val="26"/>
          <w:szCs w:val="24"/>
          <w:lang w:val="en-GB"/>
        </w:rPr>
      </w:pPr>
      <w:r w:rsidRPr="00B27BEC">
        <w:rPr>
          <w:color w:val="5F497A" w:themeColor="accent4" w:themeShade="BF"/>
          <w:sz w:val="26"/>
          <w:szCs w:val="24"/>
          <w:lang w:val="en-GB"/>
        </w:rPr>
        <w:t>First Nations environmental watering objectives</w:t>
      </w:r>
    </w:p>
    <w:p w14:paraId="39C401A4" w14:textId="77777777" w:rsidR="001B2852" w:rsidRPr="001B2852" w:rsidRDefault="00B27BEC" w:rsidP="001B2852">
      <w:r w:rsidRPr="00B27BEC">
        <w:t>Representatives of the First Nations peoples of the Border Rivers have identified environmental objectives for their country for 2020–21 (</w:t>
      </w:r>
      <w:r w:rsidRPr="00B27BEC">
        <w:fldChar w:fldCharType="begin"/>
      </w:r>
      <w:r w:rsidRPr="00B27BEC">
        <w:instrText xml:space="preserve"> REF _Ref43980484 \h  \* MERGEFORMAT </w:instrText>
      </w:r>
      <w:r w:rsidRPr="00B27BEC">
        <w:fldChar w:fldCharType="separate"/>
      </w:r>
      <w:r w:rsidR="001B2852" w:rsidRPr="001B2852">
        <w:br w:type="page"/>
      </w:r>
    </w:p>
    <w:p w14:paraId="60AE1DE1" w14:textId="542C208D" w:rsidR="00B27BEC" w:rsidRPr="00B27BEC" w:rsidRDefault="001B2852" w:rsidP="00B27BEC">
      <w:pPr>
        <w:rPr>
          <w:rFonts w:ascii="Century Gothic" w:hAnsi="Century Gothic" w:cs="Times New Roman"/>
          <w:sz w:val="20"/>
        </w:rPr>
      </w:pPr>
      <w:r w:rsidRPr="001B2852">
        <w:lastRenderedPageBreak/>
        <w:t>Table</w:t>
      </w:r>
      <w:r w:rsidRPr="00B27BEC">
        <w:rPr>
          <w:b/>
        </w:rPr>
        <w:t xml:space="preserve"> </w:t>
      </w:r>
      <w:r>
        <w:rPr>
          <w:b/>
          <w:noProof/>
        </w:rPr>
        <w:t>6</w:t>
      </w:r>
      <w:r w:rsidR="00B27BEC" w:rsidRPr="00B27BEC">
        <w:fldChar w:fldCharType="end"/>
      </w:r>
      <w:r w:rsidR="00B27BEC" w:rsidRPr="00B27BEC">
        <w:t xml:space="preserve">). These objectives were developed through the First Nations Environmental Guidance project undertaken by the Northern Basin Aboriginal Nations organisation. </w:t>
      </w:r>
    </w:p>
    <w:p w14:paraId="12BD19AE" w14:textId="77777777" w:rsidR="00B27BEC" w:rsidRPr="00B27BEC" w:rsidRDefault="00B27BEC" w:rsidP="00B27BEC">
      <w:pPr>
        <w:rPr>
          <w:color w:val="auto"/>
        </w:rPr>
      </w:pPr>
      <w:r w:rsidRPr="00B27BEC">
        <w:t xml:space="preserve">CEWO </w:t>
      </w:r>
      <w:r w:rsidRPr="00B27BEC">
        <w:rPr>
          <w:color w:val="auto"/>
        </w:rPr>
        <w:t xml:space="preserve">identifies the need to establish working partnerships with local Traditional Owners and the local Aboriginal communities in the Toomelah-Boggabilla and Mungindi communities of the Border Rivers. </w:t>
      </w:r>
      <w:r w:rsidRPr="00B27BEC">
        <w:t>Government has had very little engagement with these communities to date.  This lack of engagement has left these communities feeling neglected and will require healing, which we hope to begin to address via a more formal process</w:t>
      </w:r>
      <w:r w:rsidRPr="00B27BEC">
        <w:rPr>
          <w:color w:val="auto"/>
        </w:rPr>
        <w:t xml:space="preserve">. CEWO is looking to grow relationships around environmental water management with these and other Traditional owners and Aboriginal communities in the Border Rivers. Toomelah-Boggabilla and Mungindi community </w:t>
      </w:r>
      <w:r w:rsidRPr="00B27BEC">
        <w:t xml:space="preserve">members place great value on the flows in rivers and creeks and connectivity to lagoons and billabongs to support life for all creatures, including human beings. There are many places of great importance in the Border Rivers, especially Boobera Lagoon, as well as the Morella – Pungbougal lagoons complex, along with many sites and parts of the Dumaresq and Macintyre Rivers, the Barwon River at and around Mungindi, Whalan Creek and Boomi River.  </w:t>
      </w:r>
    </w:p>
    <w:p w14:paraId="7B8EF2FC" w14:textId="77777777" w:rsidR="00B27BEC" w:rsidRPr="00B27BEC" w:rsidRDefault="00B27BEC" w:rsidP="00B27BEC">
      <w:pPr>
        <w:rPr>
          <w:rFonts w:cs="Calibri"/>
        </w:rPr>
      </w:pPr>
      <w:r w:rsidRPr="00B27BEC">
        <w:rPr>
          <w:rFonts w:cs="Calibri"/>
        </w:rPr>
        <w:t>Some of these objectives sit outside the scope of water for the environment to influence, while for others, the link between water for the environment and the site or species is not well understood. </w:t>
      </w:r>
    </w:p>
    <w:p w14:paraId="360CB864" w14:textId="77777777" w:rsidR="00B27BEC" w:rsidRPr="00B27BEC" w:rsidRDefault="00B27BEC" w:rsidP="00B27BEC">
      <w:r w:rsidRPr="00B27BEC">
        <w:t>The CEWO is committed to working with First Nations groups to better understand their objectives. The CEWO will use environmental flows to contribute to these objectives where possible and where this is consistent with the Commonwealth Environmental Water Holder’s statutory responsibility of protecting and restoring environmental assets in the Basin.</w:t>
      </w:r>
    </w:p>
    <w:p w14:paraId="210A9E22" w14:textId="77777777" w:rsidR="00B27BEC" w:rsidRPr="00B27BEC" w:rsidRDefault="00B27BEC" w:rsidP="00B27BEC">
      <w:pPr>
        <w:spacing w:after="0"/>
        <w:rPr>
          <w:b/>
        </w:rPr>
      </w:pPr>
      <w:bookmarkStart w:id="66" w:name="_Ref43980484"/>
      <w:bookmarkStart w:id="67" w:name="_Ref41560189"/>
      <w:r w:rsidRPr="00B27BEC">
        <w:rPr>
          <w:b/>
        </w:rPr>
        <w:br w:type="page"/>
      </w:r>
    </w:p>
    <w:p w14:paraId="2F6154F8" w14:textId="7FCCD03E" w:rsidR="00B27BEC" w:rsidRPr="00B27BEC" w:rsidRDefault="00B27BEC" w:rsidP="00B27BEC">
      <w:pPr>
        <w:spacing w:before="240"/>
      </w:pPr>
      <w:r w:rsidRPr="00B27BEC">
        <w:rPr>
          <w:b/>
        </w:rPr>
        <w:lastRenderedPageBreak/>
        <w:t xml:space="preserve">Table </w:t>
      </w:r>
      <w:r w:rsidRPr="00B27BEC">
        <w:rPr>
          <w:b/>
        </w:rPr>
        <w:fldChar w:fldCharType="begin"/>
      </w:r>
      <w:r w:rsidRPr="00B27BEC">
        <w:rPr>
          <w:b/>
        </w:rPr>
        <w:instrText xml:space="preserve"> SEQ Table \* ARABIC </w:instrText>
      </w:r>
      <w:r w:rsidRPr="00B27BEC">
        <w:rPr>
          <w:b/>
        </w:rPr>
        <w:fldChar w:fldCharType="separate"/>
      </w:r>
      <w:r w:rsidR="001B2852">
        <w:rPr>
          <w:b/>
          <w:noProof/>
        </w:rPr>
        <w:t>6</w:t>
      </w:r>
      <w:r w:rsidRPr="00B27BEC">
        <w:rPr>
          <w:b/>
        </w:rPr>
        <w:fldChar w:fldCharType="end"/>
      </w:r>
      <w:bookmarkEnd w:id="66"/>
      <w:r w:rsidRPr="00B27BEC">
        <w:t xml:space="preserve">: </w:t>
      </w:r>
      <w:bookmarkEnd w:id="67"/>
      <w:r w:rsidRPr="00B27BEC">
        <w:t>First Nations environmental objectives for the Dumaresq and Macintyre rivers for 2020–21 (NBAN Ltd. 2020)</w:t>
      </w:r>
    </w:p>
    <w:tbl>
      <w:tblPr>
        <w:tblStyle w:val="TableGrid12"/>
        <w:tblW w:w="9781" w:type="dxa"/>
        <w:tblInd w:w="-5" w:type="dxa"/>
        <w:tblBorders>
          <w:insideH w:val="none" w:sz="0" w:space="0" w:color="auto"/>
          <w:insideV w:val="none" w:sz="0" w:space="0" w:color="auto"/>
        </w:tblBorders>
        <w:tblLook w:val="04A0" w:firstRow="1" w:lastRow="0" w:firstColumn="1" w:lastColumn="0" w:noHBand="0" w:noVBand="1"/>
      </w:tblPr>
      <w:tblGrid>
        <w:gridCol w:w="9781"/>
      </w:tblGrid>
      <w:tr w:rsidR="00B27BEC" w:rsidRPr="00B27BEC" w14:paraId="231A2F0D" w14:textId="77777777" w:rsidTr="00B27BEC">
        <w:tc>
          <w:tcPr>
            <w:tcW w:w="9781" w:type="dxa"/>
            <w:tcBorders>
              <w:bottom w:val="nil"/>
            </w:tcBorders>
            <w:shd w:val="clear" w:color="auto" w:fill="B6DDE8" w:themeFill="accent5" w:themeFillTint="66"/>
            <w:vAlign w:val="center"/>
          </w:tcPr>
          <w:p w14:paraId="44058709" w14:textId="77777777" w:rsidR="00B27BEC" w:rsidRPr="00B27BEC" w:rsidRDefault="00B27BEC" w:rsidP="00B27BEC">
            <w:pPr>
              <w:rPr>
                <w:rFonts w:cstheme="minorHAnsi"/>
                <w:b/>
                <w:bCs/>
                <w:szCs w:val="22"/>
              </w:rPr>
            </w:pPr>
            <w:r w:rsidRPr="00B27BEC">
              <w:rPr>
                <w:rFonts w:cstheme="minorHAnsi"/>
                <w:b/>
                <w:bCs/>
                <w:szCs w:val="22"/>
              </w:rPr>
              <w:t>River flows and Connectivity</w:t>
            </w:r>
          </w:p>
        </w:tc>
      </w:tr>
      <w:tr w:rsidR="00B27BEC" w:rsidRPr="00B27BEC" w14:paraId="705F5963" w14:textId="77777777" w:rsidTr="00B27BEC">
        <w:tc>
          <w:tcPr>
            <w:tcW w:w="9781" w:type="dxa"/>
            <w:tcBorders>
              <w:top w:val="nil"/>
              <w:bottom w:val="single" w:sz="4" w:space="0" w:color="auto"/>
            </w:tcBorders>
          </w:tcPr>
          <w:p w14:paraId="3E8BC3D7" w14:textId="77777777" w:rsidR="00B27BEC" w:rsidRPr="00B27BEC" w:rsidRDefault="00B27BEC" w:rsidP="00B27BEC">
            <w:pPr>
              <w:rPr>
                <w:i/>
                <w:iCs/>
                <w:szCs w:val="22"/>
              </w:rPr>
            </w:pPr>
            <w:r w:rsidRPr="00B27BEC">
              <w:rPr>
                <w:rFonts w:ascii="Calibri" w:hAnsi="Calibri" w:cs="Calibri"/>
                <w:i/>
                <w:color w:val="5F497A" w:themeColor="accent4" w:themeShade="BF"/>
                <w:szCs w:val="22"/>
              </w:rPr>
              <w:t>Priority sites:</w:t>
            </w:r>
            <w:r w:rsidRPr="00B27BEC">
              <w:rPr>
                <w:i/>
                <w:iCs/>
                <w:szCs w:val="22"/>
              </w:rPr>
              <w:t xml:space="preserve"> </w:t>
            </w:r>
            <w:r w:rsidRPr="00B27BEC">
              <w:rPr>
                <w:szCs w:val="22"/>
              </w:rPr>
              <w:t>Macintyre River – provide backflow at Rainbow Reserve for waterbird breeding and nesting. Macintyre Brook and Dumaresq River – provide flows to support local platypus populations. Grinding grooves site</w:t>
            </w:r>
            <w:r w:rsidRPr="00B27BEC">
              <w:rPr>
                <w:szCs w:val="22"/>
                <w:vertAlign w:val="superscript"/>
              </w:rPr>
              <w:t xml:space="preserve"> i</w:t>
            </w:r>
            <w:r w:rsidRPr="00B27BEC">
              <w:rPr>
                <w:szCs w:val="22"/>
              </w:rPr>
              <w:t>.</w:t>
            </w:r>
          </w:p>
          <w:p w14:paraId="12E4D8D7" w14:textId="77777777" w:rsidR="00B27BEC" w:rsidRPr="00B27BEC" w:rsidRDefault="00B27BEC" w:rsidP="00B27BEC">
            <w:pPr>
              <w:rPr>
                <w:i/>
                <w:iCs/>
                <w:szCs w:val="22"/>
              </w:rPr>
            </w:pPr>
            <w:r w:rsidRPr="00B27BEC">
              <w:rPr>
                <w:rFonts w:ascii="Calibri" w:hAnsi="Calibri" w:cs="Calibri"/>
                <w:i/>
                <w:color w:val="5F497A" w:themeColor="accent4" w:themeShade="BF"/>
                <w:szCs w:val="22"/>
              </w:rPr>
              <w:t>Other flows and connectivity</w:t>
            </w:r>
            <w:r w:rsidRPr="00B27BEC">
              <w:rPr>
                <w:i/>
                <w:iCs/>
                <w:szCs w:val="22"/>
              </w:rPr>
              <w:t xml:space="preserve">: </w:t>
            </w:r>
            <w:r w:rsidRPr="00B27BEC">
              <w:rPr>
                <w:szCs w:val="22"/>
              </w:rPr>
              <w:t>(All Border Rivers) maintain flows. Local advice is needed to inform this objective. Regular flow events which support instances of breeding and reproduction for shellfish and crustaceans (including mussels and shrimp). Maintain flows at Texas and Inglewood so that a healthy waterway is achieved, allowing us to continue to practise our way of life</w:t>
            </w:r>
            <w:r w:rsidRPr="00B27BEC">
              <w:rPr>
                <w:szCs w:val="22"/>
                <w:vertAlign w:val="superscript"/>
              </w:rPr>
              <w:t xml:space="preserve"> i</w:t>
            </w:r>
            <w:r w:rsidRPr="00B27BEC">
              <w:rPr>
                <w:szCs w:val="22"/>
              </w:rPr>
              <w:t>.</w:t>
            </w:r>
          </w:p>
        </w:tc>
      </w:tr>
      <w:tr w:rsidR="00B27BEC" w:rsidRPr="00B27BEC" w14:paraId="1D017CE2" w14:textId="77777777" w:rsidTr="00B27BEC">
        <w:tc>
          <w:tcPr>
            <w:tcW w:w="9781" w:type="dxa"/>
            <w:tcBorders>
              <w:top w:val="single" w:sz="4" w:space="0" w:color="auto"/>
              <w:bottom w:val="nil"/>
            </w:tcBorders>
            <w:shd w:val="clear" w:color="auto" w:fill="B6DDE8" w:themeFill="accent5" w:themeFillTint="66"/>
          </w:tcPr>
          <w:p w14:paraId="14F52E64" w14:textId="77777777" w:rsidR="00B27BEC" w:rsidRPr="00B27BEC" w:rsidRDefault="00B27BEC" w:rsidP="00B27BEC">
            <w:pPr>
              <w:rPr>
                <w:rFonts w:cstheme="minorHAnsi"/>
                <w:b/>
                <w:bCs/>
                <w:szCs w:val="22"/>
              </w:rPr>
            </w:pPr>
            <w:r w:rsidRPr="00B27BEC">
              <w:rPr>
                <w:rFonts w:cstheme="minorHAnsi"/>
                <w:b/>
                <w:bCs/>
                <w:szCs w:val="22"/>
              </w:rPr>
              <w:t>Native Vegetation</w:t>
            </w:r>
          </w:p>
        </w:tc>
      </w:tr>
      <w:tr w:rsidR="00B27BEC" w:rsidRPr="00B27BEC" w14:paraId="4B7FF7F1" w14:textId="77777777" w:rsidTr="00B27BEC">
        <w:tc>
          <w:tcPr>
            <w:tcW w:w="9781" w:type="dxa"/>
            <w:tcBorders>
              <w:top w:val="nil"/>
              <w:bottom w:val="single" w:sz="4" w:space="0" w:color="auto"/>
            </w:tcBorders>
          </w:tcPr>
          <w:p w14:paraId="5D20B9AD" w14:textId="77777777" w:rsidR="00B27BEC" w:rsidRPr="00B27BEC" w:rsidRDefault="00B27BEC" w:rsidP="00B27BEC">
            <w:pPr>
              <w:rPr>
                <w:szCs w:val="22"/>
              </w:rPr>
            </w:pPr>
            <w:r w:rsidRPr="00B27BEC">
              <w:rPr>
                <w:rFonts w:ascii="Calibri" w:hAnsi="Calibri" w:cs="Calibri"/>
                <w:i/>
                <w:color w:val="5F497A" w:themeColor="accent4" w:themeShade="BF"/>
                <w:szCs w:val="22"/>
              </w:rPr>
              <w:t>Indicator species</w:t>
            </w:r>
            <w:r w:rsidRPr="00B27BEC">
              <w:rPr>
                <w:i/>
                <w:iCs/>
                <w:szCs w:val="22"/>
              </w:rPr>
              <w:t xml:space="preserve">:  </w:t>
            </w:r>
            <w:r w:rsidRPr="00B27BEC">
              <w:rPr>
                <w:szCs w:val="22"/>
              </w:rPr>
              <w:t>Gidgee gum</w:t>
            </w:r>
            <w:r w:rsidRPr="00B27BEC">
              <w:rPr>
                <w:szCs w:val="22"/>
                <w:vertAlign w:val="superscript"/>
              </w:rPr>
              <w:t xml:space="preserve"> i</w:t>
            </w:r>
            <w:r w:rsidRPr="00B27BEC">
              <w:rPr>
                <w:szCs w:val="22"/>
              </w:rPr>
              <w:t>, blue gum</w:t>
            </w:r>
            <w:r w:rsidRPr="00B27BEC">
              <w:rPr>
                <w:szCs w:val="22"/>
                <w:vertAlign w:val="superscript"/>
              </w:rPr>
              <w:t xml:space="preserve"> i</w:t>
            </w:r>
            <w:r w:rsidRPr="00B27BEC">
              <w:rPr>
                <w:szCs w:val="22"/>
              </w:rPr>
              <w:t>, bulrush, water lily, sedges, tea trees</w:t>
            </w:r>
            <w:r w:rsidRPr="00B27BEC">
              <w:rPr>
                <w:szCs w:val="22"/>
                <w:vertAlign w:val="superscript"/>
              </w:rPr>
              <w:t xml:space="preserve"> i</w:t>
            </w:r>
            <w:r w:rsidRPr="00B27BEC">
              <w:rPr>
                <w:szCs w:val="22"/>
              </w:rPr>
              <w:t>, sandalwood</w:t>
            </w:r>
            <w:r w:rsidRPr="00B27BEC">
              <w:rPr>
                <w:szCs w:val="22"/>
                <w:vertAlign w:val="superscript"/>
              </w:rPr>
              <w:t xml:space="preserve"> i</w:t>
            </w:r>
            <w:r w:rsidRPr="00B27BEC">
              <w:rPr>
                <w:szCs w:val="22"/>
              </w:rPr>
              <w:t>, iron bark (poplar box)</w:t>
            </w:r>
            <w:r w:rsidRPr="00B27BEC">
              <w:rPr>
                <w:szCs w:val="22"/>
                <w:vertAlign w:val="superscript"/>
              </w:rPr>
              <w:t xml:space="preserve"> i</w:t>
            </w:r>
            <w:r w:rsidRPr="00B27BEC">
              <w:rPr>
                <w:szCs w:val="22"/>
              </w:rPr>
              <w:t>, bloodwood</w:t>
            </w:r>
            <w:r w:rsidRPr="00B27BEC">
              <w:rPr>
                <w:szCs w:val="22"/>
                <w:vertAlign w:val="superscript"/>
              </w:rPr>
              <w:t xml:space="preserve"> i</w:t>
            </w:r>
            <w:r w:rsidRPr="00B27BEC">
              <w:rPr>
                <w:szCs w:val="22"/>
              </w:rPr>
              <w:t>, lomandra and other aquatic reeds and grass species.</w:t>
            </w:r>
          </w:p>
        </w:tc>
      </w:tr>
      <w:tr w:rsidR="00B27BEC" w:rsidRPr="00B27BEC" w14:paraId="48B16B87" w14:textId="77777777" w:rsidTr="00B27BEC">
        <w:tc>
          <w:tcPr>
            <w:tcW w:w="9781" w:type="dxa"/>
            <w:tcBorders>
              <w:top w:val="single" w:sz="4" w:space="0" w:color="auto"/>
              <w:bottom w:val="nil"/>
            </w:tcBorders>
            <w:shd w:val="clear" w:color="auto" w:fill="B6DDE8" w:themeFill="accent5" w:themeFillTint="66"/>
          </w:tcPr>
          <w:p w14:paraId="0757A714" w14:textId="77777777" w:rsidR="00B27BEC" w:rsidRPr="00B27BEC" w:rsidRDefault="00B27BEC" w:rsidP="00B27BEC">
            <w:pPr>
              <w:rPr>
                <w:rFonts w:cstheme="minorHAnsi"/>
                <w:b/>
                <w:bCs/>
                <w:szCs w:val="22"/>
              </w:rPr>
            </w:pPr>
            <w:r w:rsidRPr="00B27BEC">
              <w:rPr>
                <w:rFonts w:cstheme="minorHAnsi"/>
                <w:b/>
                <w:bCs/>
                <w:szCs w:val="22"/>
              </w:rPr>
              <w:t>Native Birds</w:t>
            </w:r>
          </w:p>
        </w:tc>
      </w:tr>
      <w:tr w:rsidR="00B27BEC" w:rsidRPr="00B27BEC" w14:paraId="44AA88F0" w14:textId="77777777" w:rsidTr="00B27BEC">
        <w:tc>
          <w:tcPr>
            <w:tcW w:w="9781" w:type="dxa"/>
            <w:tcBorders>
              <w:top w:val="nil"/>
              <w:bottom w:val="single" w:sz="4" w:space="0" w:color="auto"/>
            </w:tcBorders>
          </w:tcPr>
          <w:p w14:paraId="5976FBE6" w14:textId="77777777" w:rsidR="00B27BEC" w:rsidRPr="00B27BEC" w:rsidRDefault="00B27BEC" w:rsidP="00B27BEC">
            <w:pPr>
              <w:rPr>
                <w:szCs w:val="22"/>
              </w:rPr>
            </w:pPr>
            <w:r w:rsidRPr="00B27BEC">
              <w:rPr>
                <w:rFonts w:ascii="Calibri" w:hAnsi="Calibri" w:cs="Calibri"/>
                <w:i/>
                <w:color w:val="5F497A" w:themeColor="accent4" w:themeShade="BF"/>
                <w:szCs w:val="22"/>
              </w:rPr>
              <w:t>Indicator species:</w:t>
            </w:r>
            <w:r w:rsidRPr="00B27BEC">
              <w:rPr>
                <w:szCs w:val="22"/>
              </w:rPr>
              <w:t xml:space="preserve"> Brolgas, teals, crimson wings</w:t>
            </w:r>
            <w:r w:rsidRPr="00B27BEC">
              <w:rPr>
                <w:szCs w:val="22"/>
                <w:vertAlign w:val="superscript"/>
              </w:rPr>
              <w:t xml:space="preserve"> i</w:t>
            </w:r>
            <w:r w:rsidRPr="00B27BEC">
              <w:rPr>
                <w:szCs w:val="22"/>
              </w:rPr>
              <w:t>, budgerigar</w:t>
            </w:r>
            <w:r w:rsidRPr="00B27BEC">
              <w:rPr>
                <w:szCs w:val="22"/>
                <w:vertAlign w:val="superscript"/>
              </w:rPr>
              <w:t xml:space="preserve"> i</w:t>
            </w:r>
            <w:r w:rsidRPr="00B27BEC">
              <w:rPr>
                <w:szCs w:val="22"/>
              </w:rPr>
              <w:t>, ground parrot</w:t>
            </w:r>
            <w:r w:rsidRPr="00B27BEC">
              <w:rPr>
                <w:szCs w:val="22"/>
                <w:vertAlign w:val="superscript"/>
              </w:rPr>
              <w:t xml:space="preserve"> i</w:t>
            </w:r>
            <w:r w:rsidRPr="00B27BEC">
              <w:rPr>
                <w:szCs w:val="22"/>
              </w:rPr>
              <w:t>, wood duck, black duck, water hen.</w:t>
            </w:r>
          </w:p>
        </w:tc>
      </w:tr>
      <w:tr w:rsidR="00B27BEC" w:rsidRPr="00B27BEC" w14:paraId="003414B7" w14:textId="77777777" w:rsidTr="00B27BEC">
        <w:tc>
          <w:tcPr>
            <w:tcW w:w="9781" w:type="dxa"/>
            <w:tcBorders>
              <w:top w:val="single" w:sz="4" w:space="0" w:color="auto"/>
              <w:bottom w:val="nil"/>
            </w:tcBorders>
            <w:shd w:val="clear" w:color="auto" w:fill="B6DDE8" w:themeFill="accent5" w:themeFillTint="66"/>
          </w:tcPr>
          <w:p w14:paraId="5D54259E" w14:textId="77777777" w:rsidR="00B27BEC" w:rsidRPr="00B27BEC" w:rsidRDefault="00B27BEC" w:rsidP="00B27BEC">
            <w:pPr>
              <w:rPr>
                <w:rFonts w:cstheme="minorHAnsi"/>
                <w:b/>
                <w:bCs/>
                <w:szCs w:val="22"/>
              </w:rPr>
            </w:pPr>
            <w:r w:rsidRPr="00B27BEC">
              <w:rPr>
                <w:rFonts w:cstheme="minorHAnsi"/>
                <w:b/>
                <w:bCs/>
                <w:szCs w:val="22"/>
              </w:rPr>
              <w:t>Native Animals</w:t>
            </w:r>
          </w:p>
        </w:tc>
      </w:tr>
      <w:tr w:rsidR="00B27BEC" w:rsidRPr="00B27BEC" w14:paraId="73EFAC38" w14:textId="77777777" w:rsidTr="00B27BEC">
        <w:tc>
          <w:tcPr>
            <w:tcW w:w="9781" w:type="dxa"/>
            <w:tcBorders>
              <w:top w:val="nil"/>
              <w:bottom w:val="single" w:sz="4" w:space="0" w:color="auto"/>
            </w:tcBorders>
          </w:tcPr>
          <w:p w14:paraId="690B5CB0" w14:textId="77777777" w:rsidR="00B27BEC" w:rsidRPr="00B27BEC" w:rsidRDefault="00B27BEC" w:rsidP="00B27BEC">
            <w:pPr>
              <w:rPr>
                <w:szCs w:val="22"/>
              </w:rPr>
            </w:pPr>
            <w:r w:rsidRPr="00B27BEC">
              <w:rPr>
                <w:rFonts w:ascii="Calibri" w:hAnsi="Calibri" w:cs="Calibri"/>
                <w:i/>
                <w:color w:val="5F497A" w:themeColor="accent4" w:themeShade="BF"/>
                <w:szCs w:val="22"/>
              </w:rPr>
              <w:t>Indicator species:</w:t>
            </w:r>
            <w:r w:rsidRPr="00B27BEC">
              <w:rPr>
                <w:szCs w:val="22"/>
              </w:rPr>
              <w:t xml:space="preserve"> Dhufish (eel-tailed catfish), yellowbelly, purple-spotted gudgeon, platypus, crucifix frog, silver perch, mussel, turtle, shrimp, water dragon (and other lizards), water rats. </w:t>
            </w:r>
          </w:p>
        </w:tc>
      </w:tr>
      <w:tr w:rsidR="00B27BEC" w:rsidRPr="00B27BEC" w14:paraId="6AAA1AE2" w14:textId="77777777" w:rsidTr="00B27BEC">
        <w:tc>
          <w:tcPr>
            <w:tcW w:w="9781" w:type="dxa"/>
            <w:tcBorders>
              <w:top w:val="single" w:sz="4" w:space="0" w:color="auto"/>
            </w:tcBorders>
            <w:shd w:val="clear" w:color="auto" w:fill="B6DDE8" w:themeFill="accent5" w:themeFillTint="66"/>
          </w:tcPr>
          <w:p w14:paraId="4CAED83B" w14:textId="77777777" w:rsidR="00B27BEC" w:rsidRPr="00B27BEC" w:rsidRDefault="00B27BEC" w:rsidP="00B27BEC">
            <w:pPr>
              <w:rPr>
                <w:rFonts w:cstheme="minorHAnsi"/>
                <w:b/>
                <w:bCs/>
                <w:szCs w:val="22"/>
              </w:rPr>
            </w:pPr>
            <w:r w:rsidRPr="00B27BEC">
              <w:rPr>
                <w:rFonts w:cstheme="minorHAnsi"/>
                <w:b/>
                <w:bCs/>
                <w:szCs w:val="22"/>
              </w:rPr>
              <w:t>Connecting with Country</w:t>
            </w:r>
          </w:p>
        </w:tc>
      </w:tr>
      <w:tr w:rsidR="00B27BEC" w:rsidRPr="00B27BEC" w14:paraId="2A5237D4" w14:textId="77777777" w:rsidTr="00B27BEC">
        <w:tc>
          <w:tcPr>
            <w:tcW w:w="9781" w:type="dxa"/>
          </w:tcPr>
          <w:p w14:paraId="1AD64CEF" w14:textId="77777777" w:rsidR="00B27BEC" w:rsidRPr="00B27BEC" w:rsidRDefault="00B27BEC" w:rsidP="00B27BEC">
            <w:pPr>
              <w:rPr>
                <w:szCs w:val="22"/>
              </w:rPr>
            </w:pPr>
            <w:r w:rsidRPr="00B27BEC">
              <w:rPr>
                <w:szCs w:val="22"/>
              </w:rPr>
              <w:t>To continue practising our way of life in a way that is not only healthy for the river and environment but keeps us healthy as well</w:t>
            </w:r>
            <w:r w:rsidRPr="00B27BEC">
              <w:rPr>
                <w:szCs w:val="22"/>
                <w:vertAlign w:val="superscript"/>
              </w:rPr>
              <w:t xml:space="preserve"> i</w:t>
            </w:r>
            <w:r w:rsidRPr="00B27BEC">
              <w:rPr>
                <w:szCs w:val="22"/>
              </w:rPr>
              <w:t>. Collection of reeds and grasses for weaving</w:t>
            </w:r>
            <w:r w:rsidRPr="00B27BEC">
              <w:rPr>
                <w:szCs w:val="22"/>
                <w:vertAlign w:val="superscript"/>
              </w:rPr>
              <w:t xml:space="preserve"> i</w:t>
            </w:r>
            <w:r w:rsidRPr="00B27BEC">
              <w:rPr>
                <w:szCs w:val="22"/>
              </w:rPr>
              <w:t>. Gathering (fishing, swimming and camping) Collection of bush tucker and medicine</w:t>
            </w:r>
            <w:r w:rsidRPr="00B27BEC">
              <w:rPr>
                <w:szCs w:val="22"/>
                <w:vertAlign w:val="superscript"/>
              </w:rPr>
              <w:t xml:space="preserve"> i. </w:t>
            </w:r>
            <w:r w:rsidRPr="00B27BEC">
              <w:rPr>
                <w:szCs w:val="22"/>
              </w:rPr>
              <w:t>Hunting and tool making</w:t>
            </w:r>
            <w:r w:rsidRPr="00B27BEC">
              <w:rPr>
                <w:szCs w:val="22"/>
                <w:vertAlign w:val="superscript"/>
              </w:rPr>
              <w:t xml:space="preserve"> i</w:t>
            </w:r>
            <w:r w:rsidRPr="00B27BEC">
              <w:rPr>
                <w:szCs w:val="22"/>
              </w:rPr>
              <w:t>. To gather and heal together</w:t>
            </w:r>
            <w:r w:rsidRPr="00B27BEC">
              <w:rPr>
                <w:szCs w:val="22"/>
                <w:vertAlign w:val="superscript"/>
              </w:rPr>
              <w:t xml:space="preserve"> i</w:t>
            </w:r>
            <w:r w:rsidRPr="00B27BEC">
              <w:rPr>
                <w:szCs w:val="22"/>
              </w:rPr>
              <w:t xml:space="preserve">. </w:t>
            </w:r>
          </w:p>
        </w:tc>
      </w:tr>
    </w:tbl>
    <w:p w14:paraId="2F34930A" w14:textId="77777777" w:rsidR="00B27BEC" w:rsidRPr="00B27BEC" w:rsidRDefault="00B27BEC" w:rsidP="00B27BEC">
      <w:pPr>
        <w:spacing w:after="0"/>
        <w:rPr>
          <w:sz w:val="20"/>
        </w:rPr>
      </w:pPr>
      <w:r w:rsidRPr="00B27BEC">
        <w:rPr>
          <w:sz w:val="20"/>
        </w:rPr>
        <w:t xml:space="preserve"> </w:t>
      </w:r>
      <w:r w:rsidRPr="00B27BEC">
        <w:rPr>
          <w:vertAlign w:val="superscript"/>
        </w:rPr>
        <w:t>i</w:t>
      </w:r>
      <w:r w:rsidRPr="00B27BEC">
        <w:rPr>
          <w:sz w:val="20"/>
          <w:lang w:val="en-GB"/>
        </w:rPr>
        <w:t xml:space="preserve"> </w:t>
      </w:r>
      <w:r w:rsidRPr="00B27BEC">
        <w:rPr>
          <w:sz w:val="20"/>
        </w:rPr>
        <w:t>Water for the environment targeting other environmental outcomes may influence this species or objective</w:t>
      </w:r>
    </w:p>
    <w:p w14:paraId="0EF9A401" w14:textId="77777777" w:rsidR="00B27BEC" w:rsidRPr="00B27BEC" w:rsidRDefault="00B27BEC" w:rsidP="005D79EF">
      <w:pPr>
        <w:keepNext/>
        <w:numPr>
          <w:ilvl w:val="2"/>
          <w:numId w:val="30"/>
        </w:numPr>
        <w:spacing w:before="240" w:after="240"/>
        <w:outlineLvl w:val="2"/>
        <w:rPr>
          <w:color w:val="5F497A" w:themeColor="accent4" w:themeShade="BF"/>
          <w:sz w:val="26"/>
          <w:szCs w:val="24"/>
          <w:lang w:val="en-GB"/>
        </w:rPr>
      </w:pPr>
      <w:r w:rsidRPr="00B27BEC">
        <w:rPr>
          <w:color w:val="5F497A" w:themeColor="accent4" w:themeShade="BF"/>
          <w:sz w:val="26"/>
          <w:szCs w:val="24"/>
          <w:lang w:val="en-GB"/>
        </w:rPr>
        <w:t>Recent conditions and seasonal outlook</w:t>
      </w:r>
    </w:p>
    <w:p w14:paraId="1A1564C6" w14:textId="77777777" w:rsidR="00B27BEC" w:rsidRPr="00B27BEC" w:rsidRDefault="00B27BEC" w:rsidP="00CD6F25">
      <w:pPr>
        <w:keepNext/>
        <w:numPr>
          <w:ilvl w:val="3"/>
          <w:numId w:val="13"/>
        </w:numPr>
        <w:spacing w:before="240" w:after="240"/>
        <w:ind w:left="709" w:hanging="709"/>
        <w:outlineLvl w:val="3"/>
        <w:rPr>
          <w:rFonts w:cs="Arial"/>
          <w:i/>
          <w:color w:val="5F497A" w:themeColor="accent4" w:themeShade="BF"/>
          <w:sz w:val="26"/>
          <w:szCs w:val="24"/>
          <w:lang w:val="en-GB"/>
        </w:rPr>
      </w:pPr>
      <w:r w:rsidRPr="00B27BEC">
        <w:rPr>
          <w:rFonts w:cs="Arial"/>
          <w:i/>
          <w:color w:val="5F497A" w:themeColor="accent4" w:themeShade="BF"/>
          <w:sz w:val="26"/>
          <w:szCs w:val="24"/>
          <w:lang w:val="en-GB"/>
        </w:rPr>
        <w:t>Recent conditions and environmental water use</w:t>
      </w:r>
    </w:p>
    <w:p w14:paraId="41C7D26D" w14:textId="77777777" w:rsidR="00B27BEC" w:rsidRPr="00B27BEC" w:rsidRDefault="00B27BEC" w:rsidP="00B27BEC">
      <w:r w:rsidRPr="00B27BEC">
        <w:t>In 2018–19 and the first half of 2019–20, the Border Rivers experienced very hot and dry conditions, with some areas experiencing the lowest rainfall and highest temperatures on record. Storage levels in the Border Rivers were very low, and there was zero access to water for general security users. From August 2019, the catchment was managed under Stage 4 (the highest level) of the NSW Extreme Events Policy, with water prioritised for critical human needs. A block release from Glenlyon Dam was made in September and October 2019 to move water to Boggabilla for Goondiwindi town water supply.</w:t>
      </w:r>
    </w:p>
    <w:p w14:paraId="29E078EA" w14:textId="77777777" w:rsidR="00B27BEC" w:rsidRPr="00B27BEC" w:rsidRDefault="00B27BEC" w:rsidP="00B27BEC">
      <w:r w:rsidRPr="00B27BEC">
        <w:t xml:space="preserve">Conditions began to improve in early 2020, with above average to very much above average rainfall across the catchment, resulting in an increase in soil moisture and small flows into Pindari and Glenlyon dams. Good flows occurred in the regulated system downstream of the dams, and in most unregulated tributary and distributary systems. Temporary orders were put into place in late February 2020 to protect these flows. </w:t>
      </w:r>
    </w:p>
    <w:p w14:paraId="238B7044" w14:textId="77777777" w:rsidR="00B27BEC" w:rsidRPr="00B27BEC" w:rsidRDefault="00B27BEC" w:rsidP="00B27BEC">
      <w:r w:rsidRPr="00B27BEC">
        <w:t>These improvements in water availability meant that supplementary access was announced in the NSW Border Rivers in late February, March and April 2020. It also resulted in the restrictions on access to high and general security water being eased in February 2020, and the system was downgraded to Stage 3 of the NSW Extreme Events Policy in March 2020.</w:t>
      </w:r>
    </w:p>
    <w:p w14:paraId="724A7D17" w14:textId="77777777" w:rsidR="0057535E" w:rsidRDefault="0057535E">
      <w:pPr>
        <w:spacing w:after="0"/>
      </w:pPr>
      <w:r>
        <w:br w:type="page"/>
      </w:r>
    </w:p>
    <w:p w14:paraId="375EB094" w14:textId="191C6B3B" w:rsidR="00B27BEC" w:rsidRPr="00B27BEC" w:rsidRDefault="00B27BEC" w:rsidP="00B27BEC">
      <w:r w:rsidRPr="00B27BEC">
        <w:lastRenderedPageBreak/>
        <w:t xml:space="preserve">However, the episodic rainfall following extended hot and dry conditions resulted in rapid reductions in dissolved oxygen in the Border Rivers. This led to localised fish kill events in some locations in early 2020, and large-scale deaths of freshwater mussels. Bushfires also affected parts of the Border Rivers in spring 2019, resulting in fish deaths in November (Reedy Creek and Dumaresq River, downstream of Reedy Creek, Tenterfield Creek and Millers Creek in the vicinity of Tenterfield). In the NSW parts of the catchment fish rescue measures were undertaken in spring and summer 2019–20. </w:t>
      </w:r>
    </w:p>
    <w:p w14:paraId="46A8E95E" w14:textId="77777777" w:rsidR="00B27BEC" w:rsidRPr="00B27BEC" w:rsidRDefault="00B27BEC" w:rsidP="00B27BEC">
      <w:r w:rsidRPr="00B27BEC">
        <w:t>The resource shortfall in the Border Rivers has eased, with the possibility of general security allocation being announced in the future, should inflows continue. Nevertheless, further significant inflows are still required before there is sufficient water available to meet all system requirements in 2020–21 or announce any new allocations.</w:t>
      </w:r>
    </w:p>
    <w:p w14:paraId="590D9F8D" w14:textId="77777777" w:rsidR="00B27BEC" w:rsidRPr="00B27BEC" w:rsidRDefault="00B27BEC" w:rsidP="00B27BEC">
      <w:r w:rsidRPr="00B27BEC">
        <w:t xml:space="preserve">Commonwealth environmental water use in the Border Rivers in 2019–20 was limited to Queensland ‘unsupplemented’ (unregulated) entitlements in February 2020. The total contribution of Commonwealth environmental water was 3 165 megalitres. </w:t>
      </w:r>
    </w:p>
    <w:p w14:paraId="7AAECD58" w14:textId="77777777" w:rsidR="00B27BEC" w:rsidRPr="00B27BEC" w:rsidRDefault="00B27BEC" w:rsidP="00B27BEC">
      <w:r w:rsidRPr="00B27BEC">
        <w:t xml:space="preserve">Details of previous Commonwealth environmental use in the Border Rivers catchment are available at: </w:t>
      </w:r>
      <w:hyperlink r:id="rId63" w:history="1">
        <w:r w:rsidRPr="00B27BEC">
          <w:rPr>
            <w:color w:val="0000FF"/>
            <w:u w:val="single"/>
          </w:rPr>
          <w:t>http://www.environment.gov.au/water/cewo/catchment/Border Rivers/history</w:t>
        </w:r>
      </w:hyperlink>
      <w:r w:rsidRPr="00B27BEC">
        <w:t xml:space="preserve">. </w:t>
      </w:r>
    </w:p>
    <w:p w14:paraId="1F08A31B" w14:textId="77777777" w:rsidR="00B27BEC" w:rsidRPr="00B27BEC" w:rsidRDefault="00B27BEC" w:rsidP="00CD6F25">
      <w:pPr>
        <w:keepNext/>
        <w:numPr>
          <w:ilvl w:val="3"/>
          <w:numId w:val="13"/>
        </w:numPr>
        <w:spacing w:before="240" w:after="240"/>
        <w:ind w:left="709" w:hanging="709"/>
        <w:outlineLvl w:val="3"/>
        <w:rPr>
          <w:rFonts w:cs="Arial"/>
          <w:i/>
          <w:color w:val="5F497A" w:themeColor="accent4" w:themeShade="BF"/>
          <w:sz w:val="26"/>
          <w:szCs w:val="24"/>
          <w:lang w:val="en-GB"/>
        </w:rPr>
      </w:pPr>
      <w:r w:rsidRPr="00B27BEC">
        <w:rPr>
          <w:rFonts w:cs="Arial"/>
          <w:i/>
          <w:color w:val="5F497A" w:themeColor="accent4" w:themeShade="BF"/>
          <w:sz w:val="26"/>
          <w:szCs w:val="24"/>
          <w:lang w:val="en-GB"/>
        </w:rPr>
        <w:t>Seasonal outlook</w:t>
      </w:r>
    </w:p>
    <w:p w14:paraId="2965F948" w14:textId="77777777" w:rsidR="00B27BEC" w:rsidRPr="00B27BEC" w:rsidRDefault="00B27BEC" w:rsidP="00B27BEC">
      <w:r w:rsidRPr="00B27BEC">
        <w:t>According to the Bureau of Meteorology outlook on 2 July 2020, above median rainfall is forecast across the Border Rivers from late winter through spring. While this forecast indicates that the severe dry conditions may ease, several months of above average rainfall are needed to see a recovery from the current long-term drought. Additionally, maximum temperatures are likely to remain above average over the coming months.</w:t>
      </w:r>
    </w:p>
    <w:p w14:paraId="48191B05" w14:textId="77777777" w:rsidR="00B27BEC" w:rsidRPr="00B27BEC" w:rsidRDefault="00B27BEC" w:rsidP="00CD6F25">
      <w:pPr>
        <w:keepNext/>
        <w:numPr>
          <w:ilvl w:val="3"/>
          <w:numId w:val="13"/>
        </w:numPr>
        <w:spacing w:before="240" w:after="240"/>
        <w:ind w:left="709" w:hanging="709"/>
        <w:outlineLvl w:val="3"/>
        <w:rPr>
          <w:rFonts w:cs="Arial"/>
          <w:i/>
          <w:color w:val="5F497A" w:themeColor="accent4" w:themeShade="BF"/>
          <w:sz w:val="26"/>
          <w:szCs w:val="24"/>
          <w:lang w:val="en-GB"/>
        </w:rPr>
      </w:pPr>
      <w:r w:rsidRPr="00B27BEC">
        <w:rPr>
          <w:rFonts w:cs="Arial"/>
          <w:i/>
          <w:color w:val="5F497A" w:themeColor="accent4" w:themeShade="BF"/>
          <w:sz w:val="26"/>
          <w:szCs w:val="24"/>
          <w:lang w:val="en-GB"/>
        </w:rPr>
        <w:t>Water availability</w:t>
      </w:r>
    </w:p>
    <w:p w14:paraId="062E5CD2" w14:textId="77777777" w:rsidR="00B27BEC" w:rsidRPr="00B27BEC" w:rsidRDefault="00B27BEC" w:rsidP="00B27BEC">
      <w:r w:rsidRPr="00B27BEC">
        <w:t xml:space="preserve">The volume of Commonwealth environmental water carried over in the Border Rivers for use in 2020–21 is 2.2 GL (1.3 GL in Queensland and 0.9 GL in NSW (NSW DPIE 2020). The Commonwealth also has 1 437 </w:t>
      </w:r>
      <w:r w:rsidRPr="00B27BEC">
        <w:rPr>
          <w:rFonts w:cstheme="minorHAnsi"/>
          <w:szCs w:val="22"/>
        </w:rPr>
        <w:t>megalitres</w:t>
      </w:r>
      <w:r w:rsidRPr="00B27BEC">
        <w:t xml:space="preserve"> in NSW supplementary entitlement, and up to 19 986 </w:t>
      </w:r>
      <w:r w:rsidRPr="00B27BEC">
        <w:rPr>
          <w:rFonts w:cstheme="minorHAnsi"/>
          <w:szCs w:val="22"/>
        </w:rPr>
        <w:t>megalitres</w:t>
      </w:r>
      <w:r w:rsidRPr="00B27BEC">
        <w:t xml:space="preserve"> in Queensland ‘unsupplemented’ entitlements. However, as these entitlements rely on large inflows in excess of regulated river requirements, they are also unlikely to be available unless resource availability significantly improves.</w:t>
      </w:r>
    </w:p>
    <w:p w14:paraId="3BAB9B23" w14:textId="77777777" w:rsidR="00B27BEC" w:rsidRPr="00B27BEC" w:rsidRDefault="00B27BEC" w:rsidP="00B27BEC">
      <w:r w:rsidRPr="00B27BEC">
        <w:t xml:space="preserve">Based on the expected available volume of water held by the Commonwealth and other water holders, as well as recent and forecast catchment conditions, it is expected that the overall resource availability will be very low to low in 2020–21. Should conditions remain dry, no environmental water will be available for use in 2020–21. </w:t>
      </w:r>
    </w:p>
    <w:p w14:paraId="416B660E" w14:textId="77777777" w:rsidR="00B27BEC" w:rsidRPr="00B27BEC" w:rsidRDefault="00B27BEC" w:rsidP="00CD6F25">
      <w:pPr>
        <w:keepNext/>
        <w:numPr>
          <w:ilvl w:val="3"/>
          <w:numId w:val="13"/>
        </w:numPr>
        <w:spacing w:before="240" w:after="240"/>
        <w:ind w:left="709" w:hanging="709"/>
        <w:outlineLvl w:val="3"/>
        <w:rPr>
          <w:rFonts w:cs="Arial"/>
          <w:i/>
          <w:color w:val="5F497A" w:themeColor="accent4" w:themeShade="BF"/>
          <w:sz w:val="26"/>
          <w:szCs w:val="24"/>
          <w:lang w:val="en-GB"/>
        </w:rPr>
      </w:pPr>
      <w:r w:rsidRPr="00B27BEC">
        <w:rPr>
          <w:rFonts w:cs="Arial"/>
          <w:i/>
          <w:color w:val="5F497A" w:themeColor="accent4" w:themeShade="BF"/>
          <w:sz w:val="26"/>
          <w:szCs w:val="24"/>
          <w:lang w:val="en-GB"/>
        </w:rPr>
        <w:t>Environmental demands</w:t>
      </w:r>
    </w:p>
    <w:p w14:paraId="503706D8" w14:textId="77777777" w:rsidR="00B27BEC" w:rsidRPr="00B27BEC" w:rsidRDefault="00B27BEC" w:rsidP="00B27BEC">
      <w:r w:rsidRPr="00B27BEC">
        <w:t xml:space="preserve">Considering the ongoing drought, the potential for further hot and dry conditions in the Border Rivers Catchment in future, and need to avoid further damage to key assets, there are a number of environmental demands that require water urgently in 2020–21. </w:t>
      </w:r>
    </w:p>
    <w:p w14:paraId="6A0E6B8D" w14:textId="65C9DC38" w:rsidR="00B27BEC" w:rsidRPr="00B27BEC" w:rsidRDefault="00B27BEC" w:rsidP="00B27BEC">
      <w:r w:rsidRPr="00B27BEC">
        <w:t xml:space="preserve">The environmental water demands for assets in the Border Rivers Catchment in 2020–21 are represented in </w:t>
      </w:r>
      <w:r w:rsidRPr="00B27BEC">
        <w:fldChar w:fldCharType="begin"/>
      </w:r>
      <w:r w:rsidRPr="00B27BEC">
        <w:instrText xml:space="preserve"> REF _Ref41572615 \h </w:instrText>
      </w:r>
      <w:r w:rsidRPr="00B27BEC">
        <w:fldChar w:fldCharType="separate"/>
      </w:r>
      <w:r w:rsidR="001B2852" w:rsidRPr="00B27BEC">
        <w:rPr>
          <w:b/>
        </w:rPr>
        <w:t xml:space="preserve">Table </w:t>
      </w:r>
      <w:r w:rsidR="001B2852">
        <w:rPr>
          <w:b/>
          <w:noProof/>
        </w:rPr>
        <w:t>7</w:t>
      </w:r>
      <w:r w:rsidRPr="00B27BEC">
        <w:fldChar w:fldCharType="end"/>
      </w:r>
      <w:r w:rsidRPr="00B27BEC">
        <w:t>, Note that the capacity to contribute to these environmental demands is contingent on a substantial improvement in water availability in the catchment.</w:t>
      </w:r>
    </w:p>
    <w:p w14:paraId="4640ED51" w14:textId="77777777" w:rsidR="00B27BEC" w:rsidRPr="00B27BEC" w:rsidRDefault="00B27BEC" w:rsidP="00B27BEC">
      <w:pPr>
        <w:spacing w:after="240"/>
        <w:rPr>
          <w:rFonts w:ascii="Century Gothic" w:hAnsi="Century Gothic" w:cs="Times New Roman"/>
          <w:color w:val="auto"/>
          <w:sz w:val="20"/>
          <w:lang w:val="en-US" w:eastAsia="en-US"/>
        </w:rPr>
        <w:sectPr w:rsidR="00B27BEC" w:rsidRPr="00B27BEC" w:rsidSect="003737D8">
          <w:headerReference w:type="default" r:id="rId64"/>
          <w:footerReference w:type="default" r:id="rId65"/>
          <w:footerReference w:type="first" r:id="rId66"/>
          <w:pgSz w:w="11906" w:h="16838"/>
          <w:pgMar w:top="1134" w:right="1133" w:bottom="851" w:left="964" w:header="567" w:footer="397" w:gutter="0"/>
          <w:cols w:space="708"/>
          <w:docGrid w:linePitch="360"/>
        </w:sectPr>
      </w:pPr>
    </w:p>
    <w:p w14:paraId="43DD283F" w14:textId="217694B2" w:rsidR="00B27BEC" w:rsidRPr="00B27BEC" w:rsidRDefault="00B27BEC" w:rsidP="00B27BEC">
      <w:bookmarkStart w:id="68" w:name="_Ref41572615"/>
      <w:bookmarkStart w:id="69" w:name="_Hlk41652367"/>
      <w:r w:rsidRPr="00B27BEC">
        <w:rPr>
          <w:b/>
        </w:rPr>
        <w:lastRenderedPageBreak/>
        <w:t xml:space="preserve">Table </w:t>
      </w:r>
      <w:r w:rsidRPr="00B27BEC">
        <w:rPr>
          <w:b/>
        </w:rPr>
        <w:fldChar w:fldCharType="begin"/>
      </w:r>
      <w:r w:rsidRPr="00B27BEC">
        <w:rPr>
          <w:b/>
        </w:rPr>
        <w:instrText xml:space="preserve"> SEQ Table \* ARABIC </w:instrText>
      </w:r>
      <w:r w:rsidRPr="00B27BEC">
        <w:rPr>
          <w:b/>
        </w:rPr>
        <w:fldChar w:fldCharType="separate"/>
      </w:r>
      <w:r w:rsidR="001B2852">
        <w:rPr>
          <w:b/>
          <w:noProof/>
        </w:rPr>
        <w:t>7</w:t>
      </w:r>
      <w:r w:rsidRPr="00B27BEC">
        <w:rPr>
          <w:b/>
        </w:rPr>
        <w:fldChar w:fldCharType="end"/>
      </w:r>
      <w:bookmarkEnd w:id="68"/>
      <w:r w:rsidRPr="00B27BEC">
        <w:t>: Environmental demands, priority for watering in 2020–21 and outlook for coming year in the Border Rivers catchment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7"/>
        <w:gridCol w:w="1848"/>
        <w:gridCol w:w="3717"/>
        <w:gridCol w:w="2818"/>
        <w:gridCol w:w="4513"/>
        <w:gridCol w:w="1833"/>
        <w:gridCol w:w="3103"/>
        <w:gridCol w:w="2239"/>
      </w:tblGrid>
      <w:tr w:rsidR="00B27BEC" w:rsidRPr="00B27BEC" w14:paraId="09A9DA46" w14:textId="77777777" w:rsidTr="00B27BEC">
        <w:trPr>
          <w:cantSplit/>
          <w:trHeight w:val="504"/>
          <w:tblHeader/>
        </w:trPr>
        <w:tc>
          <w:tcPr>
            <w:tcW w:w="403" w:type="pct"/>
            <w:vMerge w:val="restart"/>
            <w:tcBorders>
              <w:top w:val="single" w:sz="12" w:space="0" w:color="auto"/>
              <w:left w:val="single" w:sz="12" w:space="0" w:color="auto"/>
            </w:tcBorders>
            <w:shd w:val="clear" w:color="auto" w:fill="B6DDE8" w:themeFill="accent5" w:themeFillTint="66"/>
            <w:vAlign w:val="center"/>
            <w:hideMark/>
          </w:tcPr>
          <w:p w14:paraId="165DE157" w14:textId="77777777" w:rsidR="00B27BEC" w:rsidRPr="00B27BEC" w:rsidRDefault="00B27BEC" w:rsidP="00B27BEC">
            <w:pPr>
              <w:jc w:val="center"/>
              <w:rPr>
                <w:b/>
                <w:bCs/>
                <w:sz w:val="18"/>
                <w:szCs w:val="18"/>
              </w:rPr>
            </w:pPr>
            <w:r w:rsidRPr="00B27BEC">
              <w:rPr>
                <w:b/>
                <w:bCs/>
                <w:sz w:val="18"/>
                <w:szCs w:val="18"/>
              </w:rPr>
              <w:t>Environmental assets</w:t>
            </w:r>
          </w:p>
        </w:tc>
        <w:tc>
          <w:tcPr>
            <w:tcW w:w="421" w:type="pct"/>
            <w:vMerge w:val="restart"/>
            <w:tcBorders>
              <w:top w:val="single" w:sz="12" w:space="0" w:color="auto"/>
            </w:tcBorders>
            <w:shd w:val="clear" w:color="auto" w:fill="B6DDE8" w:themeFill="accent5" w:themeFillTint="66"/>
            <w:vAlign w:val="center"/>
          </w:tcPr>
          <w:p w14:paraId="2A9A8206" w14:textId="77777777" w:rsidR="00B27BEC" w:rsidRPr="00B27BEC" w:rsidRDefault="00B27BEC" w:rsidP="00B27BEC">
            <w:pPr>
              <w:jc w:val="center"/>
              <w:rPr>
                <w:b/>
                <w:bCs/>
                <w:sz w:val="18"/>
                <w:szCs w:val="18"/>
              </w:rPr>
            </w:pPr>
            <w:r w:rsidRPr="00B27BEC">
              <w:rPr>
                <w:b/>
                <w:bCs/>
                <w:sz w:val="18"/>
                <w:szCs w:val="18"/>
              </w:rPr>
              <w:t>Target values</w:t>
            </w:r>
          </w:p>
        </w:tc>
        <w:tc>
          <w:tcPr>
            <w:tcW w:w="1498" w:type="pct"/>
            <w:gridSpan w:val="2"/>
            <w:tcBorders>
              <w:top w:val="single" w:sz="12" w:space="0" w:color="auto"/>
            </w:tcBorders>
            <w:shd w:val="clear" w:color="auto" w:fill="B6DDE8" w:themeFill="accent5" w:themeFillTint="66"/>
            <w:vAlign w:val="center"/>
            <w:hideMark/>
          </w:tcPr>
          <w:p w14:paraId="047AFB99" w14:textId="77777777" w:rsidR="00B27BEC" w:rsidRPr="00B27BEC" w:rsidRDefault="00B27BEC" w:rsidP="00B27BEC">
            <w:pPr>
              <w:jc w:val="center"/>
              <w:rPr>
                <w:b/>
                <w:bCs/>
                <w:sz w:val="18"/>
                <w:szCs w:val="18"/>
                <w:vertAlign w:val="superscript"/>
              </w:rPr>
            </w:pPr>
            <w:r w:rsidRPr="00B27BEC">
              <w:rPr>
                <w:b/>
                <w:bCs/>
                <w:sz w:val="18"/>
                <w:szCs w:val="18"/>
              </w:rPr>
              <w:t xml:space="preserve">Indicative demand (for </w:t>
            </w:r>
            <w:r w:rsidRPr="00B27BEC">
              <w:rPr>
                <w:b/>
                <w:bCs/>
                <w:sz w:val="18"/>
                <w:szCs w:val="18"/>
                <w:u w:val="single"/>
              </w:rPr>
              <w:t>all sources of water</w:t>
            </w:r>
            <w:r w:rsidRPr="00B27BEC">
              <w:rPr>
                <w:b/>
                <w:bCs/>
                <w:sz w:val="18"/>
                <w:szCs w:val="18"/>
              </w:rPr>
              <w:t xml:space="preserve"> in the system)</w:t>
            </w:r>
            <w:r w:rsidRPr="00B27BEC">
              <w:rPr>
                <w:b/>
                <w:bCs/>
                <w:sz w:val="18"/>
                <w:szCs w:val="18"/>
                <w:vertAlign w:val="superscript"/>
              </w:rPr>
              <w:t>6</w:t>
            </w:r>
          </w:p>
        </w:tc>
        <w:tc>
          <w:tcPr>
            <w:tcW w:w="1034" w:type="pct"/>
            <w:tcBorders>
              <w:top w:val="single" w:sz="12" w:space="0" w:color="auto"/>
            </w:tcBorders>
            <w:shd w:val="clear" w:color="auto" w:fill="B6DDE8" w:themeFill="accent5" w:themeFillTint="66"/>
            <w:vAlign w:val="center"/>
            <w:hideMark/>
          </w:tcPr>
          <w:p w14:paraId="7D12C0C5" w14:textId="77777777" w:rsidR="00B27BEC" w:rsidRPr="00B27BEC" w:rsidRDefault="00B27BEC" w:rsidP="00B27BEC">
            <w:pPr>
              <w:jc w:val="center"/>
              <w:rPr>
                <w:b/>
                <w:bCs/>
                <w:sz w:val="18"/>
                <w:szCs w:val="18"/>
              </w:rPr>
            </w:pPr>
            <w:r w:rsidRPr="00B27BEC">
              <w:rPr>
                <w:b/>
                <w:bCs/>
                <w:sz w:val="18"/>
                <w:szCs w:val="18"/>
              </w:rPr>
              <w:t>Watering history</w:t>
            </w:r>
            <w:r w:rsidRPr="00B27BEC">
              <w:rPr>
                <w:b/>
                <w:bCs/>
                <w:sz w:val="18"/>
                <w:szCs w:val="18"/>
                <w:vertAlign w:val="superscript"/>
              </w:rPr>
              <w:t>7</w:t>
            </w:r>
          </w:p>
        </w:tc>
        <w:tc>
          <w:tcPr>
            <w:tcW w:w="1131" w:type="pct"/>
            <w:gridSpan w:val="2"/>
            <w:tcBorders>
              <w:top w:val="single" w:sz="12" w:space="0" w:color="auto"/>
            </w:tcBorders>
            <w:shd w:val="clear" w:color="auto" w:fill="B6DDE8" w:themeFill="accent5" w:themeFillTint="66"/>
            <w:vAlign w:val="center"/>
            <w:hideMark/>
          </w:tcPr>
          <w:p w14:paraId="537A3B81" w14:textId="77777777" w:rsidR="00B27BEC" w:rsidRPr="00B27BEC" w:rsidRDefault="00B27BEC" w:rsidP="00B27BEC">
            <w:pPr>
              <w:jc w:val="center"/>
              <w:rPr>
                <w:b/>
                <w:bCs/>
                <w:color w:val="auto"/>
                <w:sz w:val="18"/>
                <w:szCs w:val="18"/>
              </w:rPr>
            </w:pPr>
            <w:r w:rsidRPr="00B27BEC">
              <w:rPr>
                <w:b/>
                <w:bCs/>
                <w:color w:val="auto"/>
                <w:sz w:val="18"/>
                <w:szCs w:val="18"/>
              </w:rPr>
              <w:t>2020–21</w:t>
            </w:r>
          </w:p>
        </w:tc>
        <w:tc>
          <w:tcPr>
            <w:tcW w:w="513" w:type="pct"/>
            <w:tcBorders>
              <w:top w:val="single" w:sz="12" w:space="0" w:color="auto"/>
              <w:right w:val="single" w:sz="12" w:space="0" w:color="auto"/>
            </w:tcBorders>
            <w:shd w:val="clear" w:color="auto" w:fill="B6DDE8" w:themeFill="accent5" w:themeFillTint="66"/>
            <w:vAlign w:val="center"/>
            <w:hideMark/>
          </w:tcPr>
          <w:p w14:paraId="13499A1C" w14:textId="77777777" w:rsidR="00B27BEC" w:rsidRPr="00B27BEC" w:rsidRDefault="00B27BEC" w:rsidP="00B27BEC">
            <w:pPr>
              <w:jc w:val="center"/>
              <w:rPr>
                <w:b/>
                <w:bCs/>
                <w:color w:val="auto"/>
                <w:sz w:val="18"/>
                <w:szCs w:val="18"/>
              </w:rPr>
            </w:pPr>
            <w:r w:rsidRPr="00B27BEC">
              <w:rPr>
                <w:b/>
                <w:bCs/>
                <w:color w:val="auto"/>
                <w:sz w:val="18"/>
                <w:szCs w:val="18"/>
              </w:rPr>
              <w:t>Implications for future demands</w:t>
            </w:r>
          </w:p>
        </w:tc>
      </w:tr>
      <w:tr w:rsidR="00B27BEC" w:rsidRPr="00B27BEC" w14:paraId="1BC6255F" w14:textId="77777777" w:rsidTr="00B27BEC">
        <w:trPr>
          <w:cantSplit/>
          <w:trHeight w:val="756"/>
          <w:tblHeader/>
        </w:trPr>
        <w:tc>
          <w:tcPr>
            <w:tcW w:w="403" w:type="pct"/>
            <w:vMerge/>
            <w:tcBorders>
              <w:left w:val="single" w:sz="12" w:space="0" w:color="auto"/>
              <w:bottom w:val="single" w:sz="12" w:space="0" w:color="auto"/>
            </w:tcBorders>
            <w:shd w:val="clear" w:color="auto" w:fill="B6DDE8" w:themeFill="accent5" w:themeFillTint="66"/>
            <w:vAlign w:val="center"/>
            <w:hideMark/>
          </w:tcPr>
          <w:p w14:paraId="54276873" w14:textId="77777777" w:rsidR="00B27BEC" w:rsidRPr="00B27BEC" w:rsidRDefault="00B27BEC" w:rsidP="00B27BEC">
            <w:pPr>
              <w:jc w:val="center"/>
              <w:rPr>
                <w:b/>
                <w:bCs/>
                <w:sz w:val="18"/>
                <w:szCs w:val="18"/>
              </w:rPr>
            </w:pPr>
          </w:p>
        </w:tc>
        <w:tc>
          <w:tcPr>
            <w:tcW w:w="421" w:type="pct"/>
            <w:vMerge/>
            <w:tcBorders>
              <w:bottom w:val="single" w:sz="12" w:space="0" w:color="auto"/>
            </w:tcBorders>
            <w:shd w:val="clear" w:color="auto" w:fill="B6DDE8" w:themeFill="accent5" w:themeFillTint="66"/>
            <w:vAlign w:val="center"/>
          </w:tcPr>
          <w:p w14:paraId="06DEE663" w14:textId="77777777" w:rsidR="00B27BEC" w:rsidRPr="00B27BEC" w:rsidRDefault="00B27BEC" w:rsidP="00B27BEC">
            <w:pPr>
              <w:jc w:val="center"/>
              <w:rPr>
                <w:b/>
                <w:bCs/>
                <w:sz w:val="18"/>
                <w:szCs w:val="18"/>
              </w:rPr>
            </w:pPr>
          </w:p>
        </w:tc>
        <w:tc>
          <w:tcPr>
            <w:tcW w:w="852" w:type="pct"/>
            <w:tcBorders>
              <w:bottom w:val="single" w:sz="12" w:space="0" w:color="auto"/>
            </w:tcBorders>
            <w:shd w:val="clear" w:color="auto" w:fill="B6DDE8" w:themeFill="accent5" w:themeFillTint="66"/>
            <w:vAlign w:val="center"/>
            <w:hideMark/>
          </w:tcPr>
          <w:p w14:paraId="303918F1" w14:textId="77777777" w:rsidR="00B27BEC" w:rsidRPr="00B27BEC" w:rsidRDefault="00B27BEC" w:rsidP="00B27BEC">
            <w:pPr>
              <w:jc w:val="center"/>
              <w:rPr>
                <w:b/>
                <w:bCs/>
                <w:sz w:val="18"/>
                <w:szCs w:val="18"/>
              </w:rPr>
            </w:pPr>
            <w:r w:rsidRPr="00B27BEC">
              <w:rPr>
                <w:b/>
                <w:bCs/>
                <w:sz w:val="18"/>
                <w:szCs w:val="18"/>
              </w:rPr>
              <w:t>Flow/Volume</w:t>
            </w:r>
          </w:p>
        </w:tc>
        <w:tc>
          <w:tcPr>
            <w:tcW w:w="646" w:type="pct"/>
            <w:tcBorders>
              <w:bottom w:val="single" w:sz="12" w:space="0" w:color="auto"/>
            </w:tcBorders>
            <w:shd w:val="clear" w:color="auto" w:fill="B6DDE8" w:themeFill="accent5" w:themeFillTint="66"/>
            <w:vAlign w:val="center"/>
            <w:hideMark/>
          </w:tcPr>
          <w:p w14:paraId="197E9924" w14:textId="77777777" w:rsidR="00B27BEC" w:rsidRPr="00B27BEC" w:rsidRDefault="00B27BEC" w:rsidP="00B27BEC">
            <w:pPr>
              <w:jc w:val="center"/>
              <w:rPr>
                <w:b/>
                <w:bCs/>
                <w:sz w:val="18"/>
                <w:szCs w:val="18"/>
              </w:rPr>
            </w:pPr>
            <w:r w:rsidRPr="00B27BEC">
              <w:rPr>
                <w:b/>
                <w:bCs/>
                <w:sz w:val="18"/>
                <w:szCs w:val="18"/>
              </w:rPr>
              <w:t>Required frequency (maximum dry interval)</w:t>
            </w:r>
          </w:p>
        </w:tc>
        <w:tc>
          <w:tcPr>
            <w:tcW w:w="1034" w:type="pct"/>
            <w:tcBorders>
              <w:bottom w:val="single" w:sz="12" w:space="0" w:color="auto"/>
            </w:tcBorders>
            <w:shd w:val="clear" w:color="auto" w:fill="B6DDE8" w:themeFill="accent5" w:themeFillTint="66"/>
            <w:vAlign w:val="center"/>
            <w:hideMark/>
          </w:tcPr>
          <w:p w14:paraId="28C5A769" w14:textId="77777777" w:rsidR="00B27BEC" w:rsidRPr="00B27BEC" w:rsidRDefault="00B27BEC" w:rsidP="00B27BEC">
            <w:pPr>
              <w:jc w:val="center"/>
              <w:rPr>
                <w:b/>
                <w:bCs/>
                <w:sz w:val="18"/>
                <w:szCs w:val="18"/>
              </w:rPr>
            </w:pPr>
            <w:r w:rsidRPr="00B27BEC">
              <w:rPr>
                <w:b/>
                <w:bCs/>
                <w:sz w:val="18"/>
                <w:szCs w:val="18"/>
              </w:rPr>
              <w:t>(from all sources of water)</w:t>
            </w:r>
          </w:p>
        </w:tc>
        <w:tc>
          <w:tcPr>
            <w:tcW w:w="420" w:type="pct"/>
            <w:tcBorders>
              <w:bottom w:val="single" w:sz="12" w:space="0" w:color="auto"/>
            </w:tcBorders>
            <w:shd w:val="clear" w:color="auto" w:fill="B6DDE8" w:themeFill="accent5" w:themeFillTint="66"/>
            <w:vAlign w:val="center"/>
            <w:hideMark/>
          </w:tcPr>
          <w:p w14:paraId="41B43CDD" w14:textId="77777777" w:rsidR="00B27BEC" w:rsidRPr="00B27BEC" w:rsidRDefault="00B27BEC" w:rsidP="00B27BEC">
            <w:pPr>
              <w:jc w:val="center"/>
              <w:rPr>
                <w:b/>
                <w:bCs/>
                <w:color w:val="auto"/>
                <w:sz w:val="18"/>
                <w:szCs w:val="18"/>
              </w:rPr>
            </w:pPr>
            <w:r w:rsidRPr="00B27BEC">
              <w:rPr>
                <w:b/>
                <w:bCs/>
                <w:color w:val="auto"/>
                <w:sz w:val="18"/>
                <w:szCs w:val="18"/>
              </w:rPr>
              <w:t>Environmental demands for water (all sources)</w:t>
            </w:r>
          </w:p>
        </w:tc>
        <w:tc>
          <w:tcPr>
            <w:tcW w:w="711" w:type="pct"/>
            <w:tcBorders>
              <w:bottom w:val="single" w:sz="12" w:space="0" w:color="auto"/>
            </w:tcBorders>
            <w:shd w:val="clear" w:color="auto" w:fill="B6DDE8" w:themeFill="accent5" w:themeFillTint="66"/>
            <w:vAlign w:val="center"/>
            <w:hideMark/>
          </w:tcPr>
          <w:p w14:paraId="3A8FBC55" w14:textId="77777777" w:rsidR="00B27BEC" w:rsidRPr="00B27BEC" w:rsidRDefault="00B27BEC" w:rsidP="00B27BEC">
            <w:pPr>
              <w:jc w:val="center"/>
              <w:rPr>
                <w:b/>
                <w:bCs/>
                <w:color w:val="auto"/>
                <w:sz w:val="18"/>
                <w:szCs w:val="18"/>
              </w:rPr>
            </w:pPr>
            <w:r w:rsidRPr="00B27BEC">
              <w:rPr>
                <w:b/>
                <w:bCs/>
                <w:color w:val="auto"/>
                <w:sz w:val="18"/>
                <w:szCs w:val="18"/>
              </w:rPr>
              <w:t>Potential Commonwealth environmental water contribution?</w:t>
            </w:r>
          </w:p>
        </w:tc>
        <w:tc>
          <w:tcPr>
            <w:tcW w:w="513" w:type="pct"/>
            <w:tcBorders>
              <w:bottom w:val="single" w:sz="12" w:space="0" w:color="auto"/>
              <w:right w:val="single" w:sz="12" w:space="0" w:color="auto"/>
            </w:tcBorders>
            <w:shd w:val="clear" w:color="auto" w:fill="B6DDE8" w:themeFill="accent5" w:themeFillTint="66"/>
            <w:vAlign w:val="center"/>
            <w:hideMark/>
          </w:tcPr>
          <w:p w14:paraId="3738DEBF" w14:textId="77777777" w:rsidR="00B27BEC" w:rsidRPr="00B27BEC" w:rsidRDefault="00B27BEC" w:rsidP="00B27BEC">
            <w:pPr>
              <w:jc w:val="center"/>
              <w:rPr>
                <w:b/>
                <w:bCs/>
                <w:color w:val="auto"/>
                <w:sz w:val="18"/>
                <w:szCs w:val="18"/>
              </w:rPr>
            </w:pPr>
            <w:r w:rsidRPr="00B27BEC">
              <w:rPr>
                <w:b/>
                <w:bCs/>
                <w:color w:val="auto"/>
                <w:sz w:val="18"/>
                <w:szCs w:val="18"/>
              </w:rPr>
              <w:t>Likely urgency of demand in 2021–22 if watering occurred as planned in 2020–21</w:t>
            </w:r>
          </w:p>
        </w:tc>
      </w:tr>
      <w:tr w:rsidR="00B27BEC" w:rsidRPr="00B27BEC" w14:paraId="553F208C" w14:textId="77777777" w:rsidTr="00B27BEC">
        <w:trPr>
          <w:trHeight w:val="4115"/>
        </w:trPr>
        <w:tc>
          <w:tcPr>
            <w:tcW w:w="403" w:type="pct"/>
            <w:vMerge w:val="restart"/>
            <w:tcBorders>
              <w:top w:val="single" w:sz="12" w:space="0" w:color="auto"/>
              <w:left w:val="single" w:sz="12" w:space="0" w:color="auto"/>
              <w:right w:val="single" w:sz="4" w:space="0" w:color="auto"/>
            </w:tcBorders>
            <w:shd w:val="clear" w:color="auto" w:fill="auto"/>
          </w:tcPr>
          <w:p w14:paraId="1B947B24" w14:textId="77777777" w:rsidR="00B27BEC" w:rsidRPr="00B27BEC" w:rsidRDefault="00B27BEC" w:rsidP="00B27BEC">
            <w:pPr>
              <w:rPr>
                <w:spacing w:val="-1"/>
                <w:sz w:val="18"/>
              </w:rPr>
            </w:pPr>
            <w:r w:rsidRPr="00B27BEC">
              <w:rPr>
                <w:b/>
                <w:bCs/>
                <w:spacing w:val="-1"/>
                <w:sz w:val="18"/>
              </w:rPr>
              <w:t>Border Rivers main channels:</w:t>
            </w:r>
            <w:r w:rsidRPr="00B27BEC">
              <w:rPr>
                <w:spacing w:val="-1"/>
                <w:sz w:val="18"/>
              </w:rPr>
              <w:t xml:space="preserve"> </w:t>
            </w:r>
            <w:r w:rsidRPr="00B27BEC">
              <w:rPr>
                <w:b/>
                <w:bCs/>
                <w:spacing w:val="-1"/>
                <w:sz w:val="18"/>
              </w:rPr>
              <w:t>Dumaresq, Severn (NSW), Macintyre, lower Macintyre to Mungindi (including Weir River)</w:t>
            </w:r>
          </w:p>
          <w:p w14:paraId="2A44CE73" w14:textId="77777777" w:rsidR="00B27BEC" w:rsidRPr="00B27BEC" w:rsidRDefault="00B27BEC" w:rsidP="00B27BEC">
            <w:pPr>
              <w:rPr>
                <w:rFonts w:cstheme="minorHAnsi"/>
                <w:bCs/>
                <w:color w:val="000000" w:themeColor="text1"/>
                <w:sz w:val="18"/>
                <w:szCs w:val="18"/>
              </w:rPr>
            </w:pPr>
            <w:r w:rsidRPr="00B27BEC">
              <w:rPr>
                <w:rFonts w:cstheme="minorHAnsi"/>
                <w:bCs/>
                <w:color w:val="000000" w:themeColor="text1"/>
                <w:sz w:val="18"/>
                <w:szCs w:val="18"/>
              </w:rPr>
              <w:t>Native fish</w:t>
            </w:r>
          </w:p>
          <w:p w14:paraId="2CB0D85C" w14:textId="77777777" w:rsidR="00B27BEC" w:rsidRPr="00B27BEC" w:rsidRDefault="00B27BEC" w:rsidP="00B27BEC">
            <w:pPr>
              <w:rPr>
                <w:rFonts w:cstheme="minorHAnsi"/>
                <w:bCs/>
                <w:color w:val="000000" w:themeColor="text1"/>
                <w:sz w:val="18"/>
                <w:szCs w:val="18"/>
              </w:rPr>
            </w:pPr>
            <w:r w:rsidRPr="00B27BEC">
              <w:rPr>
                <w:rFonts w:cstheme="minorHAnsi"/>
                <w:bCs/>
                <w:color w:val="000000" w:themeColor="text1"/>
                <w:sz w:val="18"/>
                <w:szCs w:val="18"/>
              </w:rPr>
              <w:t>Instream aquatic ecosystems</w:t>
            </w:r>
          </w:p>
          <w:p w14:paraId="17691F4F" w14:textId="77777777" w:rsidR="00B27BEC" w:rsidRPr="00B27BEC" w:rsidRDefault="00B27BEC" w:rsidP="00B27BEC">
            <w:pPr>
              <w:rPr>
                <w:spacing w:val="-1"/>
                <w:sz w:val="18"/>
              </w:rPr>
            </w:pPr>
          </w:p>
          <w:p w14:paraId="36E2E407" w14:textId="77777777" w:rsidR="00B27BEC" w:rsidRPr="00B27BEC" w:rsidRDefault="00B27BEC" w:rsidP="00B27BEC">
            <w:pPr>
              <w:rPr>
                <w:spacing w:val="-1"/>
                <w:sz w:val="18"/>
              </w:rPr>
            </w:pPr>
          </w:p>
        </w:tc>
        <w:tc>
          <w:tcPr>
            <w:tcW w:w="421" w:type="pct"/>
            <w:vMerge w:val="restart"/>
            <w:tcBorders>
              <w:top w:val="single" w:sz="12" w:space="0" w:color="auto"/>
              <w:left w:val="single" w:sz="4" w:space="0" w:color="auto"/>
              <w:bottom w:val="single" w:sz="4" w:space="0" w:color="auto"/>
              <w:right w:val="single" w:sz="4" w:space="0" w:color="auto"/>
            </w:tcBorders>
          </w:tcPr>
          <w:p w14:paraId="3952C193" w14:textId="77777777" w:rsidR="00B27BEC" w:rsidRPr="00B27BEC" w:rsidRDefault="00B27BEC" w:rsidP="00B27BEC">
            <w:pPr>
              <w:rPr>
                <w:sz w:val="18"/>
              </w:rPr>
            </w:pPr>
            <w:r w:rsidRPr="00B27BEC">
              <w:rPr>
                <w:sz w:val="18"/>
              </w:rPr>
              <w:t xml:space="preserve">Native fish resilience, reproduction, conditioning and maintenance. </w:t>
            </w:r>
          </w:p>
          <w:p w14:paraId="36D906DC" w14:textId="77777777" w:rsidR="00B27BEC" w:rsidRPr="00B27BEC" w:rsidRDefault="00B27BEC" w:rsidP="00B27BEC">
            <w:pPr>
              <w:rPr>
                <w:sz w:val="18"/>
              </w:rPr>
            </w:pPr>
            <w:r w:rsidRPr="00B27BEC">
              <w:rPr>
                <w:sz w:val="18"/>
              </w:rPr>
              <w:t xml:space="preserve">Maintain in-channel habitats during low flows, water quality and longitudinal connectivity. </w:t>
            </w:r>
          </w:p>
          <w:p w14:paraId="3EE8F353" w14:textId="77777777" w:rsidR="00B27BEC" w:rsidRPr="00B27BEC" w:rsidRDefault="00B27BEC" w:rsidP="00B27BEC">
            <w:pPr>
              <w:rPr>
                <w:sz w:val="18"/>
              </w:rPr>
            </w:pPr>
            <w:r w:rsidRPr="00B27BEC">
              <w:rPr>
                <w:sz w:val="18"/>
              </w:rPr>
              <w:t xml:space="preserve">Instream aquatic ecosystem processes e.g. scouring habitat inundation </w:t>
            </w:r>
          </w:p>
          <w:p w14:paraId="09CB82FC" w14:textId="77777777" w:rsidR="00B27BEC" w:rsidRPr="00B27BEC" w:rsidRDefault="00B27BEC" w:rsidP="00B27BEC">
            <w:pPr>
              <w:rPr>
                <w:sz w:val="18"/>
              </w:rPr>
            </w:pPr>
            <w:r w:rsidRPr="00B27BEC">
              <w:rPr>
                <w:color w:val="FFFFFF" w:themeColor="background1"/>
                <w:sz w:val="18"/>
              </w:rPr>
              <w:t xml:space="preserve">Instream aquatic ecosystem processes e.g. scouring </w:t>
            </w:r>
          </w:p>
          <w:p w14:paraId="5F6CAA21" w14:textId="77777777" w:rsidR="00B27BEC" w:rsidRPr="00B27BEC" w:rsidRDefault="00B27BEC" w:rsidP="00B27BEC">
            <w:pPr>
              <w:rPr>
                <w:sz w:val="18"/>
              </w:rPr>
            </w:pPr>
          </w:p>
        </w:tc>
        <w:tc>
          <w:tcPr>
            <w:tcW w:w="852" w:type="pct"/>
            <w:tcBorders>
              <w:top w:val="single" w:sz="12" w:space="0" w:color="auto"/>
              <w:left w:val="single" w:sz="4" w:space="0" w:color="auto"/>
              <w:bottom w:val="single" w:sz="4" w:space="0" w:color="auto"/>
            </w:tcBorders>
            <w:shd w:val="clear" w:color="auto" w:fill="auto"/>
          </w:tcPr>
          <w:p w14:paraId="66C790BF" w14:textId="77777777" w:rsidR="00B27BEC" w:rsidRPr="00B27BEC" w:rsidRDefault="00B27BEC" w:rsidP="00B27BEC">
            <w:pPr>
              <w:spacing w:after="60"/>
              <w:rPr>
                <w:b/>
                <w:bCs/>
                <w:spacing w:val="-1"/>
                <w:sz w:val="18"/>
              </w:rPr>
            </w:pPr>
            <w:r w:rsidRPr="00B27BEC">
              <w:rPr>
                <w:b/>
                <w:bCs/>
                <w:spacing w:val="-1"/>
                <w:sz w:val="18"/>
              </w:rPr>
              <w:t xml:space="preserve">Baseflows, flow variability and connectivity </w:t>
            </w:r>
          </w:p>
          <w:p w14:paraId="1108EAA6" w14:textId="77777777" w:rsidR="00B27BEC" w:rsidRPr="00B27BEC" w:rsidRDefault="00B27BEC" w:rsidP="00B27BEC">
            <w:pPr>
              <w:spacing w:after="60"/>
              <w:rPr>
                <w:spacing w:val="-1"/>
                <w:sz w:val="18"/>
              </w:rPr>
            </w:pPr>
            <w:r w:rsidRPr="00B27BEC">
              <w:rPr>
                <w:spacing w:val="-1"/>
                <w:sz w:val="18"/>
                <w:u w:val="single"/>
              </w:rPr>
              <w:t>Dumaresq</w:t>
            </w:r>
            <w:r w:rsidRPr="00B27BEC">
              <w:rPr>
                <w:spacing w:val="-1"/>
                <w:sz w:val="18"/>
              </w:rPr>
              <w:t xml:space="preserve"> </w:t>
            </w:r>
          </w:p>
          <w:p w14:paraId="1E1E8E11" w14:textId="77777777" w:rsidR="00B27BEC" w:rsidRPr="00B27BEC" w:rsidRDefault="00B27BEC" w:rsidP="00B27BEC">
            <w:pPr>
              <w:spacing w:after="60"/>
              <w:rPr>
                <w:spacing w:val="-1"/>
                <w:sz w:val="18"/>
              </w:rPr>
            </w:pPr>
            <w:r w:rsidRPr="00B27BEC">
              <w:rPr>
                <w:spacing w:val="-1"/>
                <w:sz w:val="18"/>
              </w:rPr>
              <w:t xml:space="preserve">100 ML/day baseflow (BF) at Glenarbon </w:t>
            </w:r>
          </w:p>
          <w:p w14:paraId="153CD8A7" w14:textId="77777777" w:rsidR="00B27BEC" w:rsidRPr="00B27BEC" w:rsidRDefault="00B27BEC" w:rsidP="00B27BEC">
            <w:pPr>
              <w:spacing w:after="60"/>
              <w:rPr>
                <w:spacing w:val="-1"/>
                <w:sz w:val="18"/>
              </w:rPr>
            </w:pPr>
            <w:r w:rsidRPr="00B27BEC">
              <w:rPr>
                <w:spacing w:val="-1"/>
                <w:sz w:val="18"/>
                <w:u w:val="single"/>
              </w:rPr>
              <w:t>Severn/Macintyre Rivers</w:t>
            </w:r>
            <w:r w:rsidRPr="00B27BEC">
              <w:rPr>
                <w:spacing w:val="-1"/>
                <w:sz w:val="18"/>
              </w:rPr>
              <w:t xml:space="preserve"> </w:t>
            </w:r>
          </w:p>
          <w:p w14:paraId="5A50342A" w14:textId="77777777" w:rsidR="00B27BEC" w:rsidRPr="00B27BEC" w:rsidRDefault="00B27BEC" w:rsidP="00B27BEC">
            <w:pPr>
              <w:spacing w:after="60"/>
              <w:rPr>
                <w:spacing w:val="-1"/>
                <w:sz w:val="18"/>
              </w:rPr>
            </w:pPr>
            <w:r w:rsidRPr="00B27BEC">
              <w:rPr>
                <w:spacing w:val="-1"/>
                <w:sz w:val="18"/>
              </w:rPr>
              <w:t xml:space="preserve">50 ML/day BF at Ducca Marrin </w:t>
            </w:r>
          </w:p>
          <w:p w14:paraId="51EE239F" w14:textId="77777777" w:rsidR="00B27BEC" w:rsidRPr="00B27BEC" w:rsidRDefault="00B27BEC" w:rsidP="00B27BEC">
            <w:pPr>
              <w:spacing w:after="60"/>
              <w:rPr>
                <w:spacing w:val="-1"/>
                <w:sz w:val="18"/>
              </w:rPr>
            </w:pPr>
            <w:r w:rsidRPr="00B27BEC">
              <w:rPr>
                <w:spacing w:val="-1"/>
                <w:sz w:val="18"/>
                <w:u w:val="single"/>
              </w:rPr>
              <w:t>Lower Macintyre River</w:t>
            </w:r>
            <w:r w:rsidRPr="00B27BEC">
              <w:rPr>
                <w:spacing w:val="-1"/>
                <w:sz w:val="18"/>
              </w:rPr>
              <w:t xml:space="preserve"> </w:t>
            </w:r>
          </w:p>
          <w:p w14:paraId="37D967F9" w14:textId="77777777" w:rsidR="00B27BEC" w:rsidRPr="00B27BEC" w:rsidRDefault="00B27BEC" w:rsidP="00B27BEC">
            <w:pPr>
              <w:spacing w:after="60"/>
              <w:rPr>
                <w:spacing w:val="-1"/>
                <w:sz w:val="18"/>
              </w:rPr>
            </w:pPr>
            <w:r w:rsidRPr="00B27BEC">
              <w:rPr>
                <w:spacing w:val="-1"/>
                <w:sz w:val="18"/>
              </w:rPr>
              <w:t xml:space="preserve">400 ML/day at Mungindi for connectivity </w:t>
            </w:r>
          </w:p>
          <w:p w14:paraId="2A7693CD" w14:textId="77777777" w:rsidR="00B27BEC" w:rsidRPr="00B27BEC" w:rsidRDefault="00B27BEC" w:rsidP="00B27BEC">
            <w:pPr>
              <w:spacing w:after="60"/>
              <w:rPr>
                <w:spacing w:val="-1"/>
                <w:sz w:val="18"/>
              </w:rPr>
            </w:pPr>
            <w:r w:rsidRPr="00B27BEC">
              <w:rPr>
                <w:spacing w:val="-1"/>
                <w:sz w:val="18"/>
              </w:rPr>
              <w:t>Duration and frequency of baseflows dependent on outcomes required (e.g. 7 days in Sept–March in 1 in 1–2 years to provide connectivity and sufficient depth for fish movement).</w:t>
            </w:r>
          </w:p>
        </w:tc>
        <w:tc>
          <w:tcPr>
            <w:tcW w:w="646" w:type="pct"/>
            <w:tcBorders>
              <w:top w:val="single" w:sz="12" w:space="0" w:color="auto"/>
              <w:bottom w:val="single" w:sz="4" w:space="0" w:color="auto"/>
            </w:tcBorders>
            <w:shd w:val="clear" w:color="auto" w:fill="auto"/>
          </w:tcPr>
          <w:p w14:paraId="2210D8DF" w14:textId="77777777" w:rsidR="00B27BEC" w:rsidRPr="00B27BEC" w:rsidRDefault="00B27BEC" w:rsidP="00B27BEC">
            <w:pPr>
              <w:spacing w:after="60"/>
              <w:rPr>
                <w:spacing w:val="-1"/>
                <w:sz w:val="18"/>
              </w:rPr>
            </w:pPr>
            <w:r w:rsidRPr="00B27BEC">
              <w:rPr>
                <w:spacing w:val="-1"/>
                <w:sz w:val="18"/>
              </w:rPr>
              <w:t xml:space="preserve">As required in extreme dry conditions or to provide variability. </w:t>
            </w:r>
          </w:p>
          <w:p w14:paraId="7B5C9BBB" w14:textId="77777777" w:rsidR="00B27BEC" w:rsidRPr="00B27BEC" w:rsidRDefault="00B27BEC" w:rsidP="00B27BEC">
            <w:pPr>
              <w:spacing w:after="60"/>
              <w:rPr>
                <w:spacing w:val="-1"/>
                <w:sz w:val="18"/>
              </w:rPr>
            </w:pPr>
            <w:r w:rsidRPr="00B27BEC">
              <w:rPr>
                <w:spacing w:val="-1"/>
                <w:sz w:val="18"/>
              </w:rPr>
              <w:t>Potential triggers extended cease-to-flow: &lt;10 ML/day for more than 25 days gauged at Glenarbon (Dumaresq) and &lt;2 ML/day at Ducca Marrin (Severn) impacting on persistence of larger waterholes in the Dumaresq or Severn)</w:t>
            </w:r>
          </w:p>
          <w:p w14:paraId="2ACF4208" w14:textId="77777777" w:rsidR="00B27BEC" w:rsidRPr="00B27BEC" w:rsidRDefault="00B27BEC" w:rsidP="00B27BEC">
            <w:pPr>
              <w:spacing w:after="60"/>
              <w:rPr>
                <w:spacing w:val="-1"/>
                <w:sz w:val="18"/>
              </w:rPr>
            </w:pPr>
            <w:r w:rsidRPr="00B27BEC">
              <w:rPr>
                <w:spacing w:val="-1"/>
                <w:sz w:val="18"/>
              </w:rPr>
              <w:t>To provide variability (triggers: cease to flow (&lt;30ML/d) for more than 30 days at Mungindi).</w:t>
            </w:r>
          </w:p>
        </w:tc>
        <w:tc>
          <w:tcPr>
            <w:tcW w:w="1034" w:type="pct"/>
            <w:tcBorders>
              <w:top w:val="single" w:sz="12" w:space="0" w:color="auto"/>
              <w:bottom w:val="single" w:sz="4" w:space="0" w:color="auto"/>
            </w:tcBorders>
            <w:shd w:val="clear" w:color="auto" w:fill="auto"/>
            <w:vAlign w:val="center"/>
          </w:tcPr>
          <w:p w14:paraId="6C24F25D" w14:textId="77777777" w:rsidR="00B27BEC" w:rsidRPr="00B27BEC" w:rsidRDefault="00B27BEC" w:rsidP="00B27BEC">
            <w:pPr>
              <w:spacing w:after="60"/>
              <w:rPr>
                <w:spacing w:val="-1"/>
                <w:sz w:val="18"/>
                <w:u w:val="single"/>
              </w:rPr>
            </w:pPr>
            <w:r w:rsidRPr="00B27BEC">
              <w:rPr>
                <w:spacing w:val="-1"/>
                <w:sz w:val="18"/>
                <w:u w:val="single"/>
              </w:rPr>
              <w:t xml:space="preserve">Dumaresq </w:t>
            </w:r>
          </w:p>
          <w:p w14:paraId="6072C23C" w14:textId="77777777" w:rsidR="00B27BEC" w:rsidRPr="00B27BEC" w:rsidRDefault="00B27BEC" w:rsidP="00B27BEC">
            <w:pPr>
              <w:spacing w:after="60"/>
              <w:rPr>
                <w:spacing w:val="-1"/>
                <w:sz w:val="18"/>
              </w:rPr>
            </w:pPr>
            <w:r w:rsidRPr="00B27BEC">
              <w:rPr>
                <w:spacing w:val="-1"/>
                <w:sz w:val="18"/>
              </w:rPr>
              <w:t>Demands were met annually since 2012 to 2018–19. In 2019–20 demand was met but flows at Glenarbon were &lt;20 ML/day from July to September 2019 and mid-October 2019 to early February 2020. Required annually – therefore a high demand.</w:t>
            </w:r>
          </w:p>
          <w:p w14:paraId="2D9259BB" w14:textId="77777777" w:rsidR="00B27BEC" w:rsidRPr="00B27BEC" w:rsidRDefault="00B27BEC" w:rsidP="00B27BEC">
            <w:pPr>
              <w:spacing w:after="60"/>
              <w:rPr>
                <w:spacing w:val="-1"/>
                <w:sz w:val="18"/>
                <w:u w:val="single"/>
              </w:rPr>
            </w:pPr>
            <w:r w:rsidRPr="00B27BEC">
              <w:rPr>
                <w:spacing w:val="-1"/>
                <w:sz w:val="18"/>
                <w:u w:val="single"/>
              </w:rPr>
              <w:t>Severn/Macintyre</w:t>
            </w:r>
          </w:p>
          <w:p w14:paraId="62891DEB" w14:textId="77777777" w:rsidR="00B27BEC" w:rsidRPr="00B27BEC" w:rsidRDefault="00B27BEC" w:rsidP="00B27BEC">
            <w:pPr>
              <w:spacing w:after="60"/>
              <w:rPr>
                <w:spacing w:val="-1"/>
                <w:sz w:val="18"/>
              </w:rPr>
            </w:pPr>
            <w:r w:rsidRPr="00B27BEC">
              <w:rPr>
                <w:spacing w:val="-1"/>
                <w:sz w:val="18"/>
              </w:rPr>
              <w:t>Demand met annually since 2012. Demand partially met in 2019–20 (flows &gt;50 ML/day at Ducca Marrin on 18/02/2020 only, but flows were &gt;2 ML/day throughout 2019–20. Required annually – therefore a high demand.</w:t>
            </w:r>
          </w:p>
          <w:p w14:paraId="414DA90C" w14:textId="77777777" w:rsidR="00B27BEC" w:rsidRPr="00B27BEC" w:rsidRDefault="00B27BEC" w:rsidP="00B27BEC">
            <w:pPr>
              <w:spacing w:after="60"/>
              <w:rPr>
                <w:spacing w:val="-1"/>
                <w:sz w:val="18"/>
                <w:u w:val="single"/>
              </w:rPr>
            </w:pPr>
            <w:r w:rsidRPr="00B27BEC">
              <w:rPr>
                <w:spacing w:val="-1"/>
                <w:sz w:val="18"/>
                <w:u w:val="single"/>
              </w:rPr>
              <w:t>Lower Macintyre</w:t>
            </w:r>
          </w:p>
          <w:p w14:paraId="5B5B01AE" w14:textId="77777777" w:rsidR="00B27BEC" w:rsidRPr="00B27BEC" w:rsidRDefault="00B27BEC" w:rsidP="00B27BEC">
            <w:pPr>
              <w:spacing w:after="60"/>
              <w:rPr>
                <w:spacing w:val="-1"/>
                <w:sz w:val="18"/>
              </w:rPr>
            </w:pPr>
            <w:r w:rsidRPr="00B27BEC">
              <w:rPr>
                <w:spacing w:val="-1"/>
                <w:sz w:val="18"/>
              </w:rPr>
              <w:t>Demand met annually 2012–18 with exception of 2014–15. Demands not met 2018–19. Extended cease-to-flow conditions (&lt;30 ML/day) at Mungindi from June 2019 to February 2020 but demands met February–March 2020 and again in April 2020. Required annually – therefore a high demand.</w:t>
            </w:r>
          </w:p>
        </w:tc>
        <w:tc>
          <w:tcPr>
            <w:tcW w:w="420" w:type="pct"/>
            <w:tcBorders>
              <w:top w:val="single" w:sz="12" w:space="0" w:color="auto"/>
              <w:bottom w:val="single" w:sz="4" w:space="0" w:color="auto"/>
            </w:tcBorders>
            <w:shd w:val="clear" w:color="auto" w:fill="FF0000"/>
            <w:vAlign w:val="center"/>
          </w:tcPr>
          <w:p w14:paraId="4D5C65A0" w14:textId="77777777" w:rsidR="00B27BEC" w:rsidRPr="00B27BEC" w:rsidRDefault="00B27BEC" w:rsidP="00B27BEC">
            <w:pPr>
              <w:spacing w:after="0"/>
              <w:jc w:val="center"/>
              <w:rPr>
                <w:rFonts w:eastAsia="Century Gothic"/>
                <w:color w:val="auto"/>
                <w:sz w:val="18"/>
                <w:szCs w:val="18"/>
              </w:rPr>
            </w:pPr>
            <w:r w:rsidRPr="00B27BEC">
              <w:rPr>
                <w:color w:val="auto"/>
                <w:sz w:val="18"/>
              </w:rPr>
              <w:t>High</w:t>
            </w:r>
          </w:p>
        </w:tc>
        <w:tc>
          <w:tcPr>
            <w:tcW w:w="711" w:type="pct"/>
            <w:tcBorders>
              <w:top w:val="single" w:sz="12" w:space="0" w:color="auto"/>
              <w:bottom w:val="single" w:sz="4" w:space="0" w:color="auto"/>
            </w:tcBorders>
            <w:shd w:val="clear" w:color="auto" w:fill="365F91" w:themeFill="accent1" w:themeFillShade="BF"/>
            <w:vAlign w:val="center"/>
          </w:tcPr>
          <w:p w14:paraId="6CB376CD" w14:textId="77777777" w:rsidR="00B27BEC" w:rsidRPr="00B27BEC" w:rsidRDefault="00B27BEC" w:rsidP="00B27BEC">
            <w:pPr>
              <w:spacing w:after="0"/>
              <w:jc w:val="center"/>
              <w:rPr>
                <w:rFonts w:cstheme="minorHAnsi"/>
                <w:color w:val="auto"/>
                <w:sz w:val="18"/>
                <w:szCs w:val="18"/>
              </w:rPr>
            </w:pPr>
            <w:r w:rsidRPr="00B27BEC">
              <w:rPr>
                <w:rFonts w:cstheme="minorHAnsi"/>
                <w:color w:val="auto"/>
                <w:sz w:val="18"/>
                <w:szCs w:val="18"/>
              </w:rPr>
              <w:t>A high priority for watering in 2020–21, including under a low resource availability scenario.</w:t>
            </w:r>
          </w:p>
        </w:tc>
        <w:tc>
          <w:tcPr>
            <w:tcW w:w="513" w:type="pct"/>
            <w:tcBorders>
              <w:top w:val="single" w:sz="12" w:space="0" w:color="auto"/>
              <w:bottom w:val="single" w:sz="4" w:space="0" w:color="auto"/>
              <w:right w:val="single" w:sz="12" w:space="0" w:color="auto"/>
            </w:tcBorders>
            <w:shd w:val="clear" w:color="auto" w:fill="FF0000"/>
            <w:vAlign w:val="center"/>
          </w:tcPr>
          <w:p w14:paraId="3BE181D8" w14:textId="77777777" w:rsidR="00B27BEC" w:rsidRPr="00B27BEC" w:rsidRDefault="00B27BEC" w:rsidP="00B27BEC">
            <w:pPr>
              <w:spacing w:after="0"/>
              <w:jc w:val="center"/>
              <w:rPr>
                <w:color w:val="auto"/>
                <w:sz w:val="18"/>
                <w:szCs w:val="18"/>
              </w:rPr>
            </w:pPr>
            <w:r w:rsidRPr="00B27BEC">
              <w:rPr>
                <w:color w:val="auto"/>
                <w:sz w:val="18"/>
              </w:rPr>
              <w:t>High</w:t>
            </w:r>
          </w:p>
        </w:tc>
      </w:tr>
      <w:tr w:rsidR="00B27BEC" w:rsidRPr="00B27BEC" w14:paraId="6FAC6E0D" w14:textId="77777777" w:rsidTr="00B27BEC">
        <w:trPr>
          <w:trHeight w:val="1688"/>
        </w:trPr>
        <w:tc>
          <w:tcPr>
            <w:tcW w:w="403" w:type="pct"/>
            <w:vMerge/>
            <w:tcBorders>
              <w:left w:val="single" w:sz="12" w:space="0" w:color="auto"/>
              <w:right w:val="single" w:sz="4" w:space="0" w:color="auto"/>
            </w:tcBorders>
            <w:shd w:val="clear" w:color="auto" w:fill="auto"/>
          </w:tcPr>
          <w:p w14:paraId="71D075F8" w14:textId="77777777" w:rsidR="00B27BEC" w:rsidRPr="00B27BEC" w:rsidRDefault="00B27BEC" w:rsidP="00B27BEC">
            <w:pPr>
              <w:rPr>
                <w:b/>
                <w:bCs/>
                <w:color w:val="FF0000"/>
                <w:sz w:val="18"/>
                <w:szCs w:val="18"/>
              </w:rPr>
            </w:pPr>
          </w:p>
        </w:tc>
        <w:tc>
          <w:tcPr>
            <w:tcW w:w="421" w:type="pct"/>
            <w:vMerge/>
            <w:tcBorders>
              <w:left w:val="single" w:sz="4" w:space="0" w:color="auto"/>
              <w:right w:val="single" w:sz="4" w:space="0" w:color="auto"/>
            </w:tcBorders>
            <w:vAlign w:val="center"/>
          </w:tcPr>
          <w:p w14:paraId="654AA680" w14:textId="77777777" w:rsidR="00B27BEC" w:rsidRPr="00B27BEC" w:rsidRDefault="00B27BEC" w:rsidP="00B27BEC">
            <w:pPr>
              <w:rPr>
                <w:rFonts w:eastAsia="Century Gothic"/>
                <w:bCs/>
                <w:i/>
                <w:sz w:val="18"/>
                <w:szCs w:val="18"/>
              </w:rPr>
            </w:pPr>
          </w:p>
        </w:tc>
        <w:tc>
          <w:tcPr>
            <w:tcW w:w="852" w:type="pct"/>
            <w:vMerge w:val="restart"/>
            <w:tcBorders>
              <w:left w:val="single" w:sz="4" w:space="0" w:color="auto"/>
            </w:tcBorders>
            <w:shd w:val="clear" w:color="auto" w:fill="auto"/>
          </w:tcPr>
          <w:p w14:paraId="7BE25CA1" w14:textId="77777777" w:rsidR="00B27BEC" w:rsidRPr="00B27BEC" w:rsidRDefault="00B27BEC" w:rsidP="00B27BEC">
            <w:pPr>
              <w:spacing w:after="60"/>
              <w:rPr>
                <w:b/>
                <w:bCs/>
                <w:spacing w:val="-1"/>
                <w:sz w:val="18"/>
              </w:rPr>
            </w:pPr>
            <w:r w:rsidRPr="00B27BEC">
              <w:rPr>
                <w:b/>
                <w:bCs/>
                <w:spacing w:val="-1"/>
                <w:sz w:val="18"/>
              </w:rPr>
              <w:t>Fish spawning/recruitment flow targeting long-lived in-channel specialist species (small in-channel fresh for 14–34 days)</w:t>
            </w:r>
          </w:p>
          <w:p w14:paraId="36088E6A" w14:textId="77777777" w:rsidR="00B27BEC" w:rsidRPr="00B27BEC" w:rsidRDefault="00B27BEC" w:rsidP="00B27BEC">
            <w:pPr>
              <w:spacing w:after="60"/>
              <w:rPr>
                <w:spacing w:val="-1"/>
                <w:sz w:val="18"/>
                <w:u w:val="single"/>
              </w:rPr>
            </w:pPr>
            <w:r w:rsidRPr="00B27BEC">
              <w:rPr>
                <w:spacing w:val="-1"/>
                <w:sz w:val="18"/>
                <w:u w:val="single"/>
              </w:rPr>
              <w:t xml:space="preserve">Dumaresq River </w:t>
            </w:r>
          </w:p>
          <w:p w14:paraId="014C5127" w14:textId="77777777" w:rsidR="00B27BEC" w:rsidRPr="00B27BEC" w:rsidRDefault="00B27BEC" w:rsidP="00B27BEC">
            <w:pPr>
              <w:spacing w:after="60"/>
              <w:rPr>
                <w:spacing w:val="-1"/>
                <w:sz w:val="18"/>
              </w:rPr>
            </w:pPr>
            <w:r w:rsidRPr="00B27BEC">
              <w:rPr>
                <w:spacing w:val="-1"/>
                <w:sz w:val="18"/>
              </w:rPr>
              <w:t>Spawning – 515–1 040 ML/day at Roseneath for minimum 14 days (small fresh – SF)</w:t>
            </w:r>
          </w:p>
          <w:p w14:paraId="67D1F412" w14:textId="77777777" w:rsidR="00B27BEC" w:rsidRPr="00B27BEC" w:rsidRDefault="00B27BEC" w:rsidP="00B27BEC">
            <w:pPr>
              <w:spacing w:after="60"/>
              <w:rPr>
                <w:spacing w:val="-1"/>
                <w:sz w:val="18"/>
              </w:rPr>
            </w:pPr>
            <w:r w:rsidRPr="00B27BEC">
              <w:rPr>
                <w:spacing w:val="-1"/>
                <w:sz w:val="18"/>
              </w:rPr>
              <w:t xml:space="preserve">Recruitment – 340–600 ML/day at Roseneath for minimum 20 days </w:t>
            </w:r>
          </w:p>
          <w:p w14:paraId="7C8D4B80" w14:textId="77777777" w:rsidR="00B27BEC" w:rsidRPr="00B27BEC" w:rsidRDefault="00B27BEC" w:rsidP="00B27BEC">
            <w:pPr>
              <w:spacing w:after="60"/>
              <w:rPr>
                <w:spacing w:val="-1"/>
                <w:sz w:val="18"/>
                <w:u w:val="single"/>
              </w:rPr>
            </w:pPr>
            <w:r w:rsidRPr="00B27BEC">
              <w:rPr>
                <w:spacing w:val="-1"/>
                <w:sz w:val="18"/>
                <w:u w:val="single"/>
              </w:rPr>
              <w:t xml:space="preserve">NSW Severn / Macintyre rivers </w:t>
            </w:r>
          </w:p>
          <w:p w14:paraId="5396678F" w14:textId="77777777" w:rsidR="00B27BEC" w:rsidRPr="00B27BEC" w:rsidRDefault="00B27BEC" w:rsidP="00B27BEC">
            <w:pPr>
              <w:spacing w:after="60"/>
              <w:rPr>
                <w:spacing w:val="-1"/>
                <w:sz w:val="18"/>
              </w:rPr>
            </w:pPr>
            <w:r w:rsidRPr="00B27BEC">
              <w:rPr>
                <w:spacing w:val="-1"/>
                <w:sz w:val="18"/>
              </w:rPr>
              <w:t xml:space="preserve">Priming pulse – initial peak of </w:t>
            </w:r>
          </w:p>
          <w:p w14:paraId="4C0FAEBE" w14:textId="77777777" w:rsidR="00B27BEC" w:rsidRPr="00B27BEC" w:rsidRDefault="00B27BEC" w:rsidP="00B27BEC">
            <w:pPr>
              <w:spacing w:after="60"/>
              <w:rPr>
                <w:spacing w:val="-1"/>
                <w:sz w:val="18"/>
              </w:rPr>
            </w:pPr>
            <w:r w:rsidRPr="00B27BEC">
              <w:rPr>
                <w:spacing w:val="-1"/>
                <w:sz w:val="18"/>
              </w:rPr>
              <w:t>2 000 ML/day at Ducca Marrin followed by recession (duration variable) (large fresh – LF)</w:t>
            </w:r>
          </w:p>
          <w:p w14:paraId="10AF880B" w14:textId="77777777" w:rsidR="00B27BEC" w:rsidRPr="00B27BEC" w:rsidRDefault="00B27BEC" w:rsidP="00B27BEC">
            <w:pPr>
              <w:spacing w:after="60"/>
              <w:rPr>
                <w:spacing w:val="-1"/>
                <w:sz w:val="18"/>
                <w:u w:val="single"/>
              </w:rPr>
            </w:pPr>
            <w:r w:rsidRPr="00B27BEC">
              <w:rPr>
                <w:spacing w:val="-1"/>
                <w:sz w:val="18"/>
                <w:u w:val="single"/>
              </w:rPr>
              <w:t>Lower Macintyre River</w:t>
            </w:r>
          </w:p>
          <w:p w14:paraId="3902B961" w14:textId="77777777" w:rsidR="00B27BEC" w:rsidRPr="00B27BEC" w:rsidRDefault="00B27BEC" w:rsidP="00B27BEC">
            <w:pPr>
              <w:spacing w:after="60"/>
              <w:rPr>
                <w:color w:val="FF0000"/>
                <w:sz w:val="18"/>
                <w:szCs w:val="18"/>
              </w:rPr>
            </w:pPr>
            <w:r w:rsidRPr="00B27BEC">
              <w:rPr>
                <w:spacing w:val="-1"/>
                <w:sz w:val="18"/>
              </w:rPr>
              <w:t>Large scale spawning and recruitment aligned with large unregulated pulse in the Weir River post winter (at least 2 m rise and water temp &gt;23</w:t>
            </w:r>
            <w:r w:rsidRPr="00B27BEC">
              <w:rPr>
                <w:spacing w:val="-1"/>
                <w:sz w:val="18"/>
                <w:vertAlign w:val="superscript"/>
              </w:rPr>
              <w:t>o</w:t>
            </w:r>
            <w:r w:rsidRPr="00B27BEC">
              <w:rPr>
                <w:spacing w:val="-1"/>
                <w:sz w:val="18"/>
              </w:rPr>
              <w:t>C)</w:t>
            </w:r>
          </w:p>
        </w:tc>
        <w:tc>
          <w:tcPr>
            <w:tcW w:w="646" w:type="pct"/>
            <w:tcBorders>
              <w:bottom w:val="nil"/>
            </w:tcBorders>
            <w:shd w:val="clear" w:color="auto" w:fill="auto"/>
          </w:tcPr>
          <w:p w14:paraId="388E9E99" w14:textId="77777777" w:rsidR="00B27BEC" w:rsidRPr="00B27BEC" w:rsidRDefault="00B27BEC" w:rsidP="00B27BEC">
            <w:pPr>
              <w:spacing w:after="60"/>
              <w:rPr>
                <w:spacing w:val="-1"/>
                <w:sz w:val="18"/>
              </w:rPr>
            </w:pPr>
            <w:r w:rsidRPr="00B27BEC">
              <w:rPr>
                <w:spacing w:val="-1"/>
                <w:sz w:val="18"/>
              </w:rPr>
              <w:t>8 in 10 years</w:t>
            </w:r>
          </w:p>
          <w:p w14:paraId="52671DAF" w14:textId="77777777" w:rsidR="00B27BEC" w:rsidRPr="00B27BEC" w:rsidRDefault="00B27BEC" w:rsidP="00B27BEC">
            <w:pPr>
              <w:spacing w:after="60"/>
              <w:rPr>
                <w:spacing w:val="-1"/>
                <w:sz w:val="18"/>
              </w:rPr>
            </w:pPr>
            <w:r w:rsidRPr="00B27BEC">
              <w:rPr>
                <w:spacing w:val="-1"/>
                <w:sz w:val="18"/>
              </w:rPr>
              <w:t>July–Aug</w:t>
            </w:r>
          </w:p>
          <w:p w14:paraId="58EAB510" w14:textId="77777777" w:rsidR="00B27BEC" w:rsidRPr="00B27BEC" w:rsidRDefault="00B27BEC" w:rsidP="00B27BEC">
            <w:pPr>
              <w:spacing w:after="60"/>
              <w:rPr>
                <w:spacing w:val="-1"/>
                <w:sz w:val="18"/>
              </w:rPr>
            </w:pPr>
            <w:r w:rsidRPr="00B27BEC">
              <w:rPr>
                <w:spacing w:val="-1"/>
                <w:sz w:val="18"/>
              </w:rPr>
              <w:t>(Priming pulse before spawning and recruitment)</w:t>
            </w:r>
          </w:p>
          <w:p w14:paraId="3F3115A2" w14:textId="77777777" w:rsidR="00B27BEC" w:rsidRPr="00B27BEC" w:rsidRDefault="00B27BEC" w:rsidP="00B27BEC">
            <w:pPr>
              <w:spacing w:after="60"/>
              <w:rPr>
                <w:spacing w:val="-1"/>
                <w:sz w:val="18"/>
              </w:rPr>
            </w:pPr>
            <w:r w:rsidRPr="00B27BEC">
              <w:rPr>
                <w:spacing w:val="-1"/>
                <w:sz w:val="18"/>
              </w:rPr>
              <w:t>Aug–Oct</w:t>
            </w:r>
          </w:p>
          <w:p w14:paraId="5917B421" w14:textId="77777777" w:rsidR="00B27BEC" w:rsidRPr="00B27BEC" w:rsidRDefault="00B27BEC" w:rsidP="00B27BEC">
            <w:pPr>
              <w:spacing w:after="60"/>
              <w:rPr>
                <w:rFonts w:ascii="Century Gothic" w:hAnsi="Century Gothic"/>
                <w:sz w:val="18"/>
                <w:szCs w:val="18"/>
              </w:rPr>
            </w:pPr>
            <w:r w:rsidRPr="00B27BEC">
              <w:rPr>
                <w:spacing w:val="-1"/>
                <w:sz w:val="18"/>
              </w:rPr>
              <w:t>(Peak recruitment season for Murray cod and freshwater catfish</w:t>
            </w:r>
            <w:r w:rsidRPr="00B27BEC">
              <w:rPr>
                <w:rFonts w:ascii="Century Gothic" w:hAnsi="Century Gothic"/>
                <w:sz w:val="18"/>
                <w:szCs w:val="18"/>
              </w:rPr>
              <w:t>)</w:t>
            </w:r>
          </w:p>
          <w:p w14:paraId="7D662C61" w14:textId="77777777" w:rsidR="00B27BEC" w:rsidRPr="00B27BEC" w:rsidRDefault="00B27BEC" w:rsidP="00B27BEC">
            <w:pPr>
              <w:spacing w:after="60"/>
              <w:rPr>
                <w:color w:val="FF0000"/>
                <w:sz w:val="18"/>
                <w:szCs w:val="18"/>
              </w:rPr>
            </w:pPr>
          </w:p>
        </w:tc>
        <w:tc>
          <w:tcPr>
            <w:tcW w:w="1034" w:type="pct"/>
            <w:vMerge w:val="restart"/>
            <w:shd w:val="clear" w:color="auto" w:fill="auto"/>
          </w:tcPr>
          <w:p w14:paraId="53C16FA3" w14:textId="77777777" w:rsidR="00B27BEC" w:rsidRPr="00B27BEC" w:rsidRDefault="00B27BEC" w:rsidP="00B27BEC">
            <w:pPr>
              <w:spacing w:after="60"/>
              <w:rPr>
                <w:spacing w:val="-1"/>
                <w:sz w:val="18"/>
                <w:u w:val="single"/>
              </w:rPr>
            </w:pPr>
            <w:r w:rsidRPr="00B27BEC">
              <w:rPr>
                <w:spacing w:val="-1"/>
                <w:sz w:val="18"/>
                <w:u w:val="single"/>
              </w:rPr>
              <w:t>Dumaresq River and NSW Severn/Macintyre</w:t>
            </w:r>
          </w:p>
          <w:p w14:paraId="3EE4975B" w14:textId="77777777" w:rsidR="00B27BEC" w:rsidRPr="00B27BEC" w:rsidRDefault="00B27BEC" w:rsidP="00B27BEC">
            <w:pPr>
              <w:spacing w:after="60"/>
              <w:rPr>
                <w:spacing w:val="-1"/>
                <w:sz w:val="18"/>
              </w:rPr>
            </w:pPr>
            <w:r w:rsidRPr="00B27BEC">
              <w:rPr>
                <w:spacing w:val="-1"/>
                <w:sz w:val="18"/>
              </w:rPr>
              <w:t xml:space="preserve">Demands not met 2012–2015, met 2015–16 to 2017–18. Not achieved in 2018–19. Dumaresq recruitment demands not met in 2019–20 but spawning demands were met. NSW Severn/ Macintyre spawning and recruitment not met in 2019–20 (priming pulse). Moderate to high demand 2020–21, moving to moderate in 2021–22 if watering occurs as planned. </w:t>
            </w:r>
          </w:p>
          <w:p w14:paraId="628F6169" w14:textId="77777777" w:rsidR="00B27BEC" w:rsidRPr="00B27BEC" w:rsidRDefault="00B27BEC" w:rsidP="00B27BEC">
            <w:pPr>
              <w:spacing w:after="60"/>
              <w:rPr>
                <w:spacing w:val="-1"/>
                <w:sz w:val="18"/>
                <w:u w:val="single"/>
              </w:rPr>
            </w:pPr>
            <w:r w:rsidRPr="00B27BEC">
              <w:rPr>
                <w:spacing w:val="-1"/>
                <w:sz w:val="18"/>
                <w:u w:val="single"/>
              </w:rPr>
              <w:t>Lower Macintyre River</w:t>
            </w:r>
          </w:p>
          <w:p w14:paraId="3198F3CE" w14:textId="77777777" w:rsidR="00B27BEC" w:rsidRPr="00B27BEC" w:rsidRDefault="00B27BEC" w:rsidP="00B27BEC">
            <w:pPr>
              <w:spacing w:after="60"/>
              <w:rPr>
                <w:spacing w:val="-1"/>
                <w:sz w:val="18"/>
              </w:rPr>
            </w:pPr>
            <w:r w:rsidRPr="00B27BEC">
              <w:rPr>
                <w:spacing w:val="-1"/>
                <w:sz w:val="18"/>
              </w:rPr>
              <w:t xml:space="preserve">Met 2015–2017. Not met in 2017–18, 2018–19 or 2019–20. High demand 2020–21, becoming moderate to high in 2021–22 if watering occurs as planned. </w:t>
            </w:r>
          </w:p>
        </w:tc>
        <w:tc>
          <w:tcPr>
            <w:tcW w:w="420" w:type="pct"/>
            <w:shd w:val="clear" w:color="auto" w:fill="FFC000"/>
            <w:vAlign w:val="center"/>
          </w:tcPr>
          <w:p w14:paraId="53CDE693" w14:textId="77777777" w:rsidR="00B27BEC" w:rsidRPr="00B27BEC" w:rsidRDefault="00B27BEC" w:rsidP="00B27BEC">
            <w:pPr>
              <w:spacing w:after="0"/>
              <w:jc w:val="center"/>
              <w:rPr>
                <w:rFonts w:eastAsia="Century Gothic"/>
                <w:color w:val="auto"/>
                <w:sz w:val="18"/>
                <w:szCs w:val="18"/>
              </w:rPr>
            </w:pPr>
            <w:r w:rsidRPr="00B27BEC">
              <w:rPr>
                <w:rFonts w:eastAsia="Century Gothic"/>
                <w:color w:val="auto"/>
                <w:sz w:val="18"/>
                <w:szCs w:val="18"/>
              </w:rPr>
              <w:t>Moderate to High</w:t>
            </w:r>
          </w:p>
        </w:tc>
        <w:tc>
          <w:tcPr>
            <w:tcW w:w="711" w:type="pct"/>
            <w:vMerge w:val="restart"/>
            <w:shd w:val="clear" w:color="auto" w:fill="95B3D7" w:themeFill="accent1" w:themeFillTint="99"/>
            <w:vAlign w:val="center"/>
          </w:tcPr>
          <w:p w14:paraId="1D136CD9" w14:textId="77777777" w:rsidR="00B27BEC" w:rsidRPr="00B27BEC" w:rsidRDefault="00B27BEC" w:rsidP="00B27BEC">
            <w:pPr>
              <w:spacing w:after="0"/>
              <w:jc w:val="center"/>
              <w:rPr>
                <w:rFonts w:ascii="Century Gothic" w:hAnsi="Century Gothic" w:cs="Times New Roman"/>
                <w:color w:val="auto"/>
                <w:sz w:val="18"/>
                <w:szCs w:val="18"/>
              </w:rPr>
            </w:pPr>
            <w:r w:rsidRPr="00B27BEC">
              <w:rPr>
                <w:rFonts w:cstheme="minorHAnsi"/>
                <w:color w:val="auto"/>
                <w:sz w:val="18"/>
                <w:szCs w:val="18"/>
              </w:rPr>
              <w:t>Secondary priority for Commonwealth environmental watering. Will occur only if natural trigger is met, or under moderate–high resource availability. Demand may be met by other means</w:t>
            </w:r>
            <w:r w:rsidRPr="00B27BEC">
              <w:rPr>
                <w:rFonts w:ascii="Century Gothic" w:hAnsi="Century Gothic" w:cs="Times New Roman"/>
                <w:color w:val="auto"/>
                <w:sz w:val="18"/>
                <w:szCs w:val="18"/>
              </w:rPr>
              <w:t xml:space="preserve">.  </w:t>
            </w:r>
          </w:p>
        </w:tc>
        <w:tc>
          <w:tcPr>
            <w:tcW w:w="513" w:type="pct"/>
            <w:tcBorders>
              <w:right w:val="single" w:sz="12" w:space="0" w:color="auto"/>
            </w:tcBorders>
            <w:shd w:val="clear" w:color="auto" w:fill="FFC000"/>
            <w:vAlign w:val="center"/>
          </w:tcPr>
          <w:p w14:paraId="0D437356" w14:textId="77777777" w:rsidR="00B27BEC" w:rsidRPr="00B27BEC" w:rsidRDefault="00B27BEC" w:rsidP="00B27BEC">
            <w:pPr>
              <w:spacing w:after="0"/>
              <w:jc w:val="center"/>
              <w:rPr>
                <w:color w:val="auto"/>
                <w:sz w:val="18"/>
                <w:szCs w:val="18"/>
              </w:rPr>
            </w:pPr>
            <w:r w:rsidRPr="00B27BEC">
              <w:rPr>
                <w:color w:val="auto"/>
                <w:sz w:val="18"/>
                <w:szCs w:val="18"/>
              </w:rPr>
              <w:t>Moderate</w:t>
            </w:r>
          </w:p>
        </w:tc>
      </w:tr>
      <w:tr w:rsidR="00B27BEC" w:rsidRPr="00B27BEC" w14:paraId="5F01773B" w14:textId="77777777" w:rsidTr="00B27BEC">
        <w:trPr>
          <w:trHeight w:val="1914"/>
        </w:trPr>
        <w:tc>
          <w:tcPr>
            <w:tcW w:w="403" w:type="pct"/>
            <w:vMerge/>
            <w:tcBorders>
              <w:left w:val="single" w:sz="12" w:space="0" w:color="auto"/>
              <w:right w:val="single" w:sz="4" w:space="0" w:color="auto"/>
            </w:tcBorders>
            <w:shd w:val="clear" w:color="auto" w:fill="auto"/>
          </w:tcPr>
          <w:p w14:paraId="4506D153" w14:textId="77777777" w:rsidR="00B27BEC" w:rsidRPr="00B27BEC" w:rsidRDefault="00B27BEC" w:rsidP="00B27BEC">
            <w:pPr>
              <w:rPr>
                <w:b/>
                <w:bCs/>
                <w:color w:val="FF0000"/>
                <w:sz w:val="18"/>
                <w:szCs w:val="18"/>
              </w:rPr>
            </w:pPr>
          </w:p>
        </w:tc>
        <w:tc>
          <w:tcPr>
            <w:tcW w:w="421" w:type="pct"/>
            <w:vMerge/>
            <w:tcBorders>
              <w:left w:val="single" w:sz="4" w:space="0" w:color="auto"/>
              <w:right w:val="single" w:sz="4" w:space="0" w:color="auto"/>
            </w:tcBorders>
            <w:vAlign w:val="center"/>
          </w:tcPr>
          <w:p w14:paraId="31992682" w14:textId="77777777" w:rsidR="00B27BEC" w:rsidRPr="00B27BEC" w:rsidRDefault="00B27BEC" w:rsidP="00B27BEC">
            <w:pPr>
              <w:rPr>
                <w:rFonts w:eastAsia="Century Gothic"/>
                <w:bCs/>
                <w:i/>
                <w:color w:val="FFFFFF" w:themeColor="background1"/>
                <w:sz w:val="18"/>
                <w:szCs w:val="18"/>
              </w:rPr>
            </w:pPr>
          </w:p>
        </w:tc>
        <w:tc>
          <w:tcPr>
            <w:tcW w:w="852" w:type="pct"/>
            <w:vMerge/>
            <w:tcBorders>
              <w:left w:val="single" w:sz="4" w:space="0" w:color="auto"/>
            </w:tcBorders>
            <w:shd w:val="clear" w:color="auto" w:fill="auto"/>
            <w:vAlign w:val="center"/>
          </w:tcPr>
          <w:p w14:paraId="5B671C65" w14:textId="77777777" w:rsidR="00B27BEC" w:rsidRPr="00B27BEC" w:rsidRDefault="00B27BEC" w:rsidP="00B27BEC">
            <w:pPr>
              <w:spacing w:after="0"/>
              <w:rPr>
                <w:spacing w:val="-1"/>
                <w:sz w:val="18"/>
                <w:u w:val="single"/>
              </w:rPr>
            </w:pPr>
          </w:p>
        </w:tc>
        <w:tc>
          <w:tcPr>
            <w:tcW w:w="646" w:type="pct"/>
            <w:tcBorders>
              <w:top w:val="nil"/>
              <w:bottom w:val="single" w:sz="4" w:space="0" w:color="auto"/>
            </w:tcBorders>
            <w:shd w:val="clear" w:color="auto" w:fill="auto"/>
            <w:vAlign w:val="center"/>
          </w:tcPr>
          <w:p w14:paraId="1DB9405C" w14:textId="77777777" w:rsidR="00B27BEC" w:rsidRPr="00B27BEC" w:rsidRDefault="00B27BEC" w:rsidP="00B27BEC">
            <w:pPr>
              <w:spacing w:after="0"/>
              <w:rPr>
                <w:spacing w:val="-1"/>
                <w:sz w:val="18"/>
              </w:rPr>
            </w:pPr>
          </w:p>
        </w:tc>
        <w:tc>
          <w:tcPr>
            <w:tcW w:w="1034" w:type="pct"/>
            <w:vMerge/>
            <w:shd w:val="clear" w:color="auto" w:fill="auto"/>
            <w:vAlign w:val="center"/>
          </w:tcPr>
          <w:p w14:paraId="66E6D1F3" w14:textId="77777777" w:rsidR="00B27BEC" w:rsidRPr="00B27BEC" w:rsidRDefault="00B27BEC" w:rsidP="00B27BEC">
            <w:pPr>
              <w:rPr>
                <w:spacing w:val="-1"/>
                <w:sz w:val="18"/>
                <w:u w:val="single"/>
              </w:rPr>
            </w:pPr>
          </w:p>
        </w:tc>
        <w:tc>
          <w:tcPr>
            <w:tcW w:w="420" w:type="pct"/>
            <w:shd w:val="clear" w:color="auto" w:fill="FF0000"/>
            <w:vAlign w:val="center"/>
          </w:tcPr>
          <w:p w14:paraId="401150E3" w14:textId="77777777" w:rsidR="00B27BEC" w:rsidRPr="00B27BEC" w:rsidRDefault="00B27BEC" w:rsidP="00B27BEC">
            <w:pPr>
              <w:spacing w:after="0"/>
              <w:jc w:val="center"/>
              <w:rPr>
                <w:color w:val="auto"/>
                <w:spacing w:val="-1"/>
                <w:sz w:val="18"/>
              </w:rPr>
            </w:pPr>
            <w:r w:rsidRPr="00B27BEC">
              <w:rPr>
                <w:color w:val="auto"/>
                <w:spacing w:val="-1"/>
                <w:sz w:val="18"/>
              </w:rPr>
              <w:t>High</w:t>
            </w:r>
          </w:p>
        </w:tc>
        <w:tc>
          <w:tcPr>
            <w:tcW w:w="711" w:type="pct"/>
            <w:vMerge/>
            <w:shd w:val="clear" w:color="auto" w:fill="95B3D7" w:themeFill="accent1" w:themeFillTint="99"/>
            <w:vAlign w:val="center"/>
          </w:tcPr>
          <w:p w14:paraId="7358E6BC" w14:textId="77777777" w:rsidR="00B27BEC" w:rsidRPr="00B27BEC" w:rsidRDefault="00B27BEC" w:rsidP="00B27BEC">
            <w:pPr>
              <w:rPr>
                <w:color w:val="auto"/>
                <w:spacing w:val="-1"/>
                <w:sz w:val="18"/>
              </w:rPr>
            </w:pPr>
          </w:p>
        </w:tc>
        <w:tc>
          <w:tcPr>
            <w:tcW w:w="513" w:type="pct"/>
            <w:tcBorders>
              <w:right w:val="single" w:sz="12" w:space="0" w:color="auto"/>
            </w:tcBorders>
            <w:shd w:val="clear" w:color="auto" w:fill="FFC000"/>
            <w:vAlign w:val="center"/>
          </w:tcPr>
          <w:p w14:paraId="3498A512" w14:textId="77777777" w:rsidR="00B27BEC" w:rsidRPr="00B27BEC" w:rsidRDefault="00B27BEC" w:rsidP="00B27BEC">
            <w:pPr>
              <w:spacing w:after="0"/>
              <w:jc w:val="center"/>
              <w:rPr>
                <w:color w:val="auto"/>
                <w:sz w:val="18"/>
                <w:szCs w:val="18"/>
              </w:rPr>
            </w:pPr>
            <w:r w:rsidRPr="00B27BEC">
              <w:rPr>
                <w:color w:val="auto"/>
                <w:sz w:val="18"/>
                <w:szCs w:val="18"/>
              </w:rPr>
              <w:t>Moderate to High</w:t>
            </w:r>
          </w:p>
        </w:tc>
      </w:tr>
      <w:tr w:rsidR="00B27BEC" w:rsidRPr="00B27BEC" w14:paraId="500F7B59" w14:textId="77777777" w:rsidTr="00B27BEC">
        <w:trPr>
          <w:trHeight w:val="953"/>
        </w:trPr>
        <w:tc>
          <w:tcPr>
            <w:tcW w:w="403" w:type="pct"/>
            <w:vMerge/>
            <w:tcBorders>
              <w:left w:val="single" w:sz="12" w:space="0" w:color="auto"/>
              <w:right w:val="single" w:sz="4" w:space="0" w:color="auto"/>
            </w:tcBorders>
            <w:shd w:val="clear" w:color="auto" w:fill="auto"/>
          </w:tcPr>
          <w:p w14:paraId="56480E84" w14:textId="77777777" w:rsidR="00B27BEC" w:rsidRPr="00B27BEC" w:rsidRDefault="00B27BEC" w:rsidP="00B27BEC">
            <w:pPr>
              <w:rPr>
                <w:b/>
                <w:bCs/>
                <w:color w:val="FF0000"/>
                <w:sz w:val="18"/>
                <w:szCs w:val="18"/>
              </w:rPr>
            </w:pPr>
          </w:p>
        </w:tc>
        <w:tc>
          <w:tcPr>
            <w:tcW w:w="421" w:type="pct"/>
            <w:vMerge/>
            <w:tcBorders>
              <w:left w:val="single" w:sz="4" w:space="0" w:color="auto"/>
              <w:right w:val="single" w:sz="4" w:space="0" w:color="auto"/>
            </w:tcBorders>
            <w:vAlign w:val="center"/>
          </w:tcPr>
          <w:p w14:paraId="2561B000" w14:textId="77777777" w:rsidR="00B27BEC" w:rsidRPr="00B27BEC" w:rsidRDefault="00B27BEC" w:rsidP="00B27BEC">
            <w:pPr>
              <w:rPr>
                <w:rFonts w:eastAsia="Century Gothic"/>
                <w:bCs/>
                <w:i/>
                <w:color w:val="FFFFFF" w:themeColor="background1"/>
                <w:sz w:val="18"/>
                <w:szCs w:val="18"/>
              </w:rPr>
            </w:pPr>
          </w:p>
        </w:tc>
        <w:tc>
          <w:tcPr>
            <w:tcW w:w="852" w:type="pct"/>
            <w:vMerge w:val="restart"/>
            <w:tcBorders>
              <w:left w:val="single" w:sz="4" w:space="0" w:color="auto"/>
              <w:right w:val="single" w:sz="4" w:space="0" w:color="auto"/>
            </w:tcBorders>
            <w:shd w:val="clear" w:color="auto" w:fill="auto"/>
          </w:tcPr>
          <w:p w14:paraId="2FA9C5DF" w14:textId="77777777" w:rsidR="00B27BEC" w:rsidRPr="00B27BEC" w:rsidRDefault="00B27BEC" w:rsidP="00B27BEC">
            <w:pPr>
              <w:spacing w:after="60"/>
              <w:rPr>
                <w:b/>
                <w:bCs/>
                <w:spacing w:val="-1"/>
                <w:sz w:val="18"/>
              </w:rPr>
            </w:pPr>
            <w:r w:rsidRPr="00B27BEC">
              <w:rPr>
                <w:b/>
                <w:bCs/>
                <w:spacing w:val="-1"/>
                <w:sz w:val="18"/>
              </w:rPr>
              <w:t>Fish spawning/recruitment flow targeting long-lived flow dependent specialists (small to medium fresh for at least 3 days)</w:t>
            </w:r>
          </w:p>
          <w:p w14:paraId="1F18B5A2" w14:textId="77777777" w:rsidR="00B27BEC" w:rsidRPr="00B27BEC" w:rsidRDefault="00B27BEC" w:rsidP="00B27BEC">
            <w:pPr>
              <w:spacing w:after="60"/>
              <w:rPr>
                <w:spacing w:val="-1"/>
                <w:sz w:val="18"/>
                <w:u w:val="single"/>
              </w:rPr>
            </w:pPr>
            <w:r w:rsidRPr="00B27BEC">
              <w:rPr>
                <w:spacing w:val="-1"/>
                <w:sz w:val="18"/>
                <w:u w:val="single"/>
              </w:rPr>
              <w:t>Dumaresq River / NSW Severn / Macintyre rivers</w:t>
            </w:r>
          </w:p>
          <w:p w14:paraId="11FCD57B" w14:textId="77777777" w:rsidR="00B27BEC" w:rsidRPr="00B27BEC" w:rsidRDefault="00B27BEC" w:rsidP="00B27BEC">
            <w:pPr>
              <w:spacing w:after="0"/>
              <w:rPr>
                <w:spacing w:val="-1"/>
                <w:sz w:val="18"/>
                <w:u w:val="single"/>
              </w:rPr>
            </w:pPr>
            <w:r w:rsidRPr="00B27BEC">
              <w:rPr>
                <w:spacing w:val="-1"/>
                <w:sz w:val="18"/>
              </w:rPr>
              <w:t>Flow height with at least a 2 m rise and water temp &gt;23</w:t>
            </w:r>
            <w:r w:rsidRPr="00B27BEC">
              <w:rPr>
                <w:spacing w:val="-1"/>
                <w:sz w:val="18"/>
                <w:vertAlign w:val="superscript"/>
              </w:rPr>
              <w:t>o</w:t>
            </w:r>
            <w:r w:rsidRPr="00B27BEC">
              <w:rPr>
                <w:spacing w:val="-1"/>
                <w:sz w:val="18"/>
              </w:rPr>
              <w:t>C</w:t>
            </w:r>
          </w:p>
        </w:tc>
        <w:tc>
          <w:tcPr>
            <w:tcW w:w="646" w:type="pct"/>
            <w:vMerge w:val="restart"/>
            <w:tcBorders>
              <w:top w:val="single" w:sz="4" w:space="0" w:color="auto"/>
              <w:left w:val="single" w:sz="4" w:space="0" w:color="auto"/>
              <w:right w:val="single" w:sz="4" w:space="0" w:color="auto"/>
            </w:tcBorders>
            <w:shd w:val="clear" w:color="auto" w:fill="auto"/>
          </w:tcPr>
          <w:p w14:paraId="2B968A0E" w14:textId="77777777" w:rsidR="00B27BEC" w:rsidRPr="00B27BEC" w:rsidRDefault="00B27BEC" w:rsidP="00B27BEC">
            <w:pPr>
              <w:spacing w:after="0"/>
              <w:rPr>
                <w:spacing w:val="-1"/>
                <w:sz w:val="18"/>
              </w:rPr>
            </w:pPr>
            <w:r w:rsidRPr="00B27BEC">
              <w:rPr>
                <w:spacing w:val="-1"/>
                <w:sz w:val="18"/>
              </w:rPr>
              <w:t>8 in 10 years</w:t>
            </w:r>
          </w:p>
          <w:p w14:paraId="493B01AB" w14:textId="77777777" w:rsidR="00B27BEC" w:rsidRPr="00B27BEC" w:rsidRDefault="00B27BEC" w:rsidP="00B27BEC">
            <w:pPr>
              <w:spacing w:after="0"/>
              <w:rPr>
                <w:spacing w:val="-1"/>
                <w:sz w:val="18"/>
              </w:rPr>
            </w:pPr>
            <w:r w:rsidRPr="00B27BEC">
              <w:rPr>
                <w:spacing w:val="-1"/>
                <w:sz w:val="18"/>
              </w:rPr>
              <w:t>Oct–April</w:t>
            </w:r>
          </w:p>
          <w:p w14:paraId="77BBDB01" w14:textId="77777777" w:rsidR="00B27BEC" w:rsidRPr="00B27BEC" w:rsidRDefault="00B27BEC" w:rsidP="00B27BEC">
            <w:pPr>
              <w:spacing w:after="0"/>
              <w:rPr>
                <w:spacing w:val="-1"/>
                <w:sz w:val="18"/>
              </w:rPr>
            </w:pPr>
            <w:r w:rsidRPr="00B27BEC">
              <w:rPr>
                <w:spacing w:val="-1"/>
                <w:sz w:val="18"/>
              </w:rPr>
              <w:t>(Recruitment season for silver and golden perch)</w:t>
            </w:r>
          </w:p>
        </w:tc>
        <w:tc>
          <w:tcPr>
            <w:tcW w:w="1034" w:type="pct"/>
            <w:vMerge w:val="restart"/>
            <w:tcBorders>
              <w:left w:val="single" w:sz="4" w:space="0" w:color="auto"/>
            </w:tcBorders>
            <w:shd w:val="clear" w:color="auto" w:fill="auto"/>
            <w:vAlign w:val="center"/>
          </w:tcPr>
          <w:p w14:paraId="7CCDA60D" w14:textId="77777777" w:rsidR="00B27BEC" w:rsidRPr="00B27BEC" w:rsidRDefault="00B27BEC" w:rsidP="00B27BEC">
            <w:pPr>
              <w:spacing w:after="0"/>
              <w:rPr>
                <w:spacing w:val="-1"/>
                <w:sz w:val="18"/>
                <w:u w:val="single"/>
              </w:rPr>
            </w:pPr>
            <w:r w:rsidRPr="00B27BEC">
              <w:rPr>
                <w:spacing w:val="-1"/>
                <w:sz w:val="18"/>
                <w:u w:val="single"/>
              </w:rPr>
              <w:t xml:space="preserve">Dumaresq River </w:t>
            </w:r>
          </w:p>
          <w:p w14:paraId="7868481D" w14:textId="77777777" w:rsidR="00B27BEC" w:rsidRPr="00B27BEC" w:rsidRDefault="00B27BEC" w:rsidP="00B27BEC">
            <w:pPr>
              <w:spacing w:after="60"/>
              <w:rPr>
                <w:spacing w:val="-1"/>
                <w:sz w:val="18"/>
              </w:rPr>
            </w:pPr>
            <w:r w:rsidRPr="00B27BEC">
              <w:rPr>
                <w:spacing w:val="-1"/>
                <w:sz w:val="18"/>
              </w:rPr>
              <w:t xml:space="preserve">Dumaresq: Not met 2012–2015, achieved 2015–18. Not achieved 2018–19. Achieved in 2019–20 (flow spike with flow height rise at Roseneath of at least 2 m in February 2020). Moderate to high demand in 2020–21, moving to moderate if watering occurs as planned. </w:t>
            </w:r>
          </w:p>
          <w:p w14:paraId="53A3896E" w14:textId="77777777" w:rsidR="00B27BEC" w:rsidRPr="00B27BEC" w:rsidRDefault="00B27BEC" w:rsidP="00B27BEC">
            <w:pPr>
              <w:spacing w:after="0"/>
              <w:rPr>
                <w:spacing w:val="-1"/>
                <w:sz w:val="18"/>
              </w:rPr>
            </w:pPr>
            <w:r w:rsidRPr="00B27BEC">
              <w:rPr>
                <w:spacing w:val="-1"/>
                <w:sz w:val="18"/>
                <w:u w:val="single"/>
              </w:rPr>
              <w:t>Severn/Macintyre</w:t>
            </w:r>
            <w:r w:rsidRPr="00B27BEC">
              <w:rPr>
                <w:spacing w:val="-1"/>
                <w:sz w:val="18"/>
              </w:rPr>
              <w:t xml:space="preserve"> </w:t>
            </w:r>
          </w:p>
          <w:p w14:paraId="43DC1568" w14:textId="77777777" w:rsidR="00B27BEC" w:rsidRPr="00B27BEC" w:rsidRDefault="00B27BEC" w:rsidP="00B27BEC">
            <w:pPr>
              <w:spacing w:after="60"/>
              <w:rPr>
                <w:spacing w:val="-1"/>
                <w:sz w:val="18"/>
              </w:rPr>
            </w:pPr>
            <w:r w:rsidRPr="00B27BEC">
              <w:rPr>
                <w:spacing w:val="-1"/>
                <w:sz w:val="18"/>
              </w:rPr>
              <w:t xml:space="preserve">Not achieved in 2018–19 or 2019–20. Moderate to high demand in 2020–21, moving to moderate if watering occurs as planned.   </w:t>
            </w:r>
          </w:p>
          <w:p w14:paraId="6D2E0574" w14:textId="77777777" w:rsidR="00B27BEC" w:rsidRPr="00B27BEC" w:rsidRDefault="00B27BEC" w:rsidP="00B27BEC">
            <w:pPr>
              <w:spacing w:after="0"/>
              <w:rPr>
                <w:spacing w:val="-1"/>
                <w:sz w:val="18"/>
                <w:u w:val="single"/>
              </w:rPr>
            </w:pPr>
            <w:r w:rsidRPr="00B27BEC">
              <w:rPr>
                <w:spacing w:val="-1"/>
                <w:sz w:val="18"/>
                <w:u w:val="single"/>
              </w:rPr>
              <w:t>Lower Macintyre River</w:t>
            </w:r>
          </w:p>
          <w:p w14:paraId="199428B5" w14:textId="77777777" w:rsidR="00B27BEC" w:rsidRPr="00B27BEC" w:rsidRDefault="00B27BEC" w:rsidP="00B27BEC">
            <w:pPr>
              <w:rPr>
                <w:spacing w:val="-1"/>
                <w:sz w:val="18"/>
                <w:u w:val="single"/>
              </w:rPr>
            </w:pPr>
            <w:r w:rsidRPr="00B27BEC">
              <w:rPr>
                <w:spacing w:val="-1"/>
                <w:sz w:val="18"/>
              </w:rPr>
              <w:t>Demand met 2015–16 and 2016–17. Not met 2018–19 or 2019–20.  High demand in 2020–21, becoming moderate to high if watering occurs as planned.</w:t>
            </w:r>
          </w:p>
        </w:tc>
        <w:tc>
          <w:tcPr>
            <w:tcW w:w="420" w:type="pct"/>
            <w:shd w:val="clear" w:color="auto" w:fill="FFC000"/>
            <w:vAlign w:val="center"/>
          </w:tcPr>
          <w:p w14:paraId="63EA5B14" w14:textId="77777777" w:rsidR="00B27BEC" w:rsidRPr="00B27BEC" w:rsidRDefault="00B27BEC" w:rsidP="00B27BEC">
            <w:pPr>
              <w:spacing w:after="0"/>
              <w:jc w:val="center"/>
              <w:rPr>
                <w:color w:val="auto"/>
                <w:sz w:val="18"/>
                <w:szCs w:val="18"/>
              </w:rPr>
            </w:pPr>
            <w:r w:rsidRPr="00B27BEC">
              <w:rPr>
                <w:color w:val="auto"/>
                <w:sz w:val="18"/>
                <w:szCs w:val="18"/>
              </w:rPr>
              <w:t>Moderate to High</w:t>
            </w:r>
          </w:p>
        </w:tc>
        <w:tc>
          <w:tcPr>
            <w:tcW w:w="711" w:type="pct"/>
            <w:vMerge w:val="restart"/>
            <w:shd w:val="clear" w:color="auto" w:fill="95B3D7" w:themeFill="accent1" w:themeFillTint="99"/>
            <w:vAlign w:val="center"/>
          </w:tcPr>
          <w:p w14:paraId="30B4F85E" w14:textId="77777777" w:rsidR="00B27BEC" w:rsidRPr="00B27BEC" w:rsidRDefault="00B27BEC" w:rsidP="00B27BEC">
            <w:pPr>
              <w:spacing w:after="0"/>
              <w:jc w:val="center"/>
              <w:rPr>
                <w:rFonts w:cstheme="minorHAnsi"/>
                <w:color w:val="auto"/>
                <w:sz w:val="18"/>
                <w:szCs w:val="18"/>
              </w:rPr>
            </w:pPr>
            <w:r w:rsidRPr="00B27BEC">
              <w:rPr>
                <w:rFonts w:cstheme="minorHAnsi"/>
                <w:color w:val="auto"/>
                <w:sz w:val="18"/>
                <w:szCs w:val="18"/>
              </w:rPr>
              <w:t>Secondary priority for Commonwealth environmental watering. Will occur only if natural trigger is met, or under moderate–high resource availability. Demand may be met by other means</w:t>
            </w:r>
            <w:r w:rsidRPr="00B27BEC">
              <w:rPr>
                <w:rFonts w:ascii="Century Gothic" w:hAnsi="Century Gothic" w:cs="Times New Roman"/>
                <w:color w:val="auto"/>
                <w:sz w:val="18"/>
                <w:szCs w:val="18"/>
              </w:rPr>
              <w:t xml:space="preserve">.  </w:t>
            </w:r>
          </w:p>
        </w:tc>
        <w:tc>
          <w:tcPr>
            <w:tcW w:w="513" w:type="pct"/>
            <w:tcBorders>
              <w:right w:val="single" w:sz="12" w:space="0" w:color="auto"/>
            </w:tcBorders>
            <w:shd w:val="clear" w:color="auto" w:fill="FFC000"/>
            <w:vAlign w:val="center"/>
          </w:tcPr>
          <w:p w14:paraId="29A8E96B" w14:textId="77777777" w:rsidR="00B27BEC" w:rsidRPr="00B27BEC" w:rsidRDefault="00B27BEC" w:rsidP="00B27BEC">
            <w:pPr>
              <w:spacing w:after="0"/>
              <w:jc w:val="center"/>
              <w:rPr>
                <w:color w:val="auto"/>
                <w:sz w:val="18"/>
                <w:szCs w:val="18"/>
                <w:highlight w:val="lightGray"/>
              </w:rPr>
            </w:pPr>
            <w:r w:rsidRPr="00B27BEC">
              <w:rPr>
                <w:color w:val="auto"/>
                <w:sz w:val="18"/>
                <w:szCs w:val="18"/>
              </w:rPr>
              <w:t>Moderate</w:t>
            </w:r>
          </w:p>
        </w:tc>
      </w:tr>
      <w:tr w:rsidR="00B27BEC" w:rsidRPr="00B27BEC" w14:paraId="04EEDE1B" w14:textId="77777777" w:rsidTr="00B27BEC">
        <w:trPr>
          <w:trHeight w:val="1197"/>
        </w:trPr>
        <w:tc>
          <w:tcPr>
            <w:tcW w:w="403" w:type="pct"/>
            <w:vMerge/>
            <w:tcBorders>
              <w:left w:val="single" w:sz="12" w:space="0" w:color="auto"/>
              <w:right w:val="single" w:sz="4" w:space="0" w:color="auto"/>
            </w:tcBorders>
            <w:shd w:val="clear" w:color="auto" w:fill="auto"/>
          </w:tcPr>
          <w:p w14:paraId="7CFBD820" w14:textId="77777777" w:rsidR="00B27BEC" w:rsidRPr="00B27BEC" w:rsidRDefault="00B27BEC" w:rsidP="00B27BEC">
            <w:pPr>
              <w:rPr>
                <w:b/>
                <w:bCs/>
                <w:color w:val="FF0000"/>
                <w:sz w:val="18"/>
                <w:szCs w:val="18"/>
              </w:rPr>
            </w:pPr>
          </w:p>
        </w:tc>
        <w:tc>
          <w:tcPr>
            <w:tcW w:w="421" w:type="pct"/>
            <w:vMerge/>
            <w:tcBorders>
              <w:left w:val="single" w:sz="4" w:space="0" w:color="auto"/>
              <w:right w:val="single" w:sz="4" w:space="0" w:color="auto"/>
            </w:tcBorders>
            <w:vAlign w:val="center"/>
          </w:tcPr>
          <w:p w14:paraId="649F38D0" w14:textId="77777777" w:rsidR="00B27BEC" w:rsidRPr="00B27BEC" w:rsidRDefault="00B27BEC" w:rsidP="00B27BEC">
            <w:pPr>
              <w:rPr>
                <w:rFonts w:eastAsia="Century Gothic"/>
                <w:bCs/>
                <w:i/>
                <w:color w:val="FFFFFF" w:themeColor="background1"/>
                <w:sz w:val="18"/>
                <w:szCs w:val="18"/>
              </w:rPr>
            </w:pPr>
          </w:p>
        </w:tc>
        <w:tc>
          <w:tcPr>
            <w:tcW w:w="852" w:type="pct"/>
            <w:vMerge/>
            <w:tcBorders>
              <w:left w:val="single" w:sz="4" w:space="0" w:color="auto"/>
              <w:right w:val="single" w:sz="4" w:space="0" w:color="auto"/>
            </w:tcBorders>
            <w:shd w:val="clear" w:color="auto" w:fill="auto"/>
          </w:tcPr>
          <w:p w14:paraId="4B5360B3" w14:textId="77777777" w:rsidR="00B27BEC" w:rsidRPr="00B27BEC" w:rsidRDefault="00B27BEC" w:rsidP="00B27BEC">
            <w:pPr>
              <w:spacing w:after="0"/>
              <w:rPr>
                <w:b/>
                <w:bCs/>
                <w:spacing w:val="-1"/>
                <w:sz w:val="18"/>
              </w:rPr>
            </w:pPr>
          </w:p>
        </w:tc>
        <w:tc>
          <w:tcPr>
            <w:tcW w:w="646" w:type="pct"/>
            <w:vMerge/>
            <w:tcBorders>
              <w:left w:val="single" w:sz="4" w:space="0" w:color="auto"/>
              <w:right w:val="single" w:sz="4" w:space="0" w:color="auto"/>
            </w:tcBorders>
            <w:shd w:val="clear" w:color="auto" w:fill="auto"/>
            <w:vAlign w:val="center"/>
          </w:tcPr>
          <w:p w14:paraId="58B18466" w14:textId="77777777" w:rsidR="00B27BEC" w:rsidRPr="00B27BEC" w:rsidRDefault="00B27BEC" w:rsidP="00B27BEC">
            <w:pPr>
              <w:spacing w:after="0"/>
              <w:rPr>
                <w:spacing w:val="-1"/>
                <w:sz w:val="18"/>
              </w:rPr>
            </w:pPr>
          </w:p>
        </w:tc>
        <w:tc>
          <w:tcPr>
            <w:tcW w:w="1034" w:type="pct"/>
            <w:vMerge/>
            <w:tcBorders>
              <w:left w:val="single" w:sz="4" w:space="0" w:color="auto"/>
            </w:tcBorders>
            <w:shd w:val="clear" w:color="auto" w:fill="auto"/>
            <w:vAlign w:val="center"/>
          </w:tcPr>
          <w:p w14:paraId="2D3120F0" w14:textId="77777777" w:rsidR="00B27BEC" w:rsidRPr="00B27BEC" w:rsidRDefault="00B27BEC" w:rsidP="00B27BEC">
            <w:pPr>
              <w:spacing w:after="0"/>
              <w:rPr>
                <w:spacing w:val="-1"/>
                <w:sz w:val="18"/>
                <w:u w:val="single"/>
              </w:rPr>
            </w:pPr>
          </w:p>
        </w:tc>
        <w:tc>
          <w:tcPr>
            <w:tcW w:w="420" w:type="pct"/>
            <w:shd w:val="clear" w:color="auto" w:fill="FFC000"/>
            <w:vAlign w:val="center"/>
          </w:tcPr>
          <w:p w14:paraId="50C94F88" w14:textId="77777777" w:rsidR="00B27BEC" w:rsidRPr="00B27BEC" w:rsidRDefault="00B27BEC" w:rsidP="00B27BEC">
            <w:pPr>
              <w:spacing w:after="0"/>
              <w:jc w:val="center"/>
              <w:rPr>
                <w:color w:val="auto"/>
                <w:spacing w:val="-1"/>
                <w:sz w:val="18"/>
              </w:rPr>
            </w:pPr>
            <w:r w:rsidRPr="00B27BEC">
              <w:rPr>
                <w:color w:val="auto"/>
                <w:sz w:val="18"/>
                <w:szCs w:val="18"/>
              </w:rPr>
              <w:t>Moderate to High</w:t>
            </w:r>
          </w:p>
        </w:tc>
        <w:tc>
          <w:tcPr>
            <w:tcW w:w="711" w:type="pct"/>
            <w:vMerge/>
            <w:shd w:val="clear" w:color="auto" w:fill="95B3D7" w:themeFill="accent1" w:themeFillTint="99"/>
            <w:vAlign w:val="center"/>
          </w:tcPr>
          <w:p w14:paraId="55FD0506" w14:textId="77777777" w:rsidR="00B27BEC" w:rsidRPr="00B27BEC" w:rsidRDefault="00B27BEC" w:rsidP="00B27BEC">
            <w:pPr>
              <w:rPr>
                <w:color w:val="auto"/>
                <w:spacing w:val="-1"/>
                <w:sz w:val="18"/>
              </w:rPr>
            </w:pPr>
          </w:p>
        </w:tc>
        <w:tc>
          <w:tcPr>
            <w:tcW w:w="513" w:type="pct"/>
            <w:tcBorders>
              <w:right w:val="single" w:sz="12" w:space="0" w:color="auto"/>
            </w:tcBorders>
            <w:shd w:val="clear" w:color="auto" w:fill="FFC000"/>
            <w:vAlign w:val="center"/>
          </w:tcPr>
          <w:p w14:paraId="66B6913E" w14:textId="77777777" w:rsidR="00B27BEC" w:rsidRPr="00B27BEC" w:rsidRDefault="00B27BEC" w:rsidP="00B27BEC">
            <w:pPr>
              <w:spacing w:after="0"/>
              <w:jc w:val="center"/>
              <w:rPr>
                <w:color w:val="auto"/>
                <w:sz w:val="18"/>
                <w:szCs w:val="18"/>
              </w:rPr>
            </w:pPr>
            <w:r w:rsidRPr="00B27BEC">
              <w:rPr>
                <w:color w:val="auto"/>
                <w:sz w:val="18"/>
                <w:szCs w:val="18"/>
              </w:rPr>
              <w:t>Moderate</w:t>
            </w:r>
          </w:p>
        </w:tc>
      </w:tr>
      <w:tr w:rsidR="00B27BEC" w:rsidRPr="00B27BEC" w14:paraId="6CBE8FE7" w14:textId="77777777" w:rsidTr="00B27BEC">
        <w:trPr>
          <w:trHeight w:val="951"/>
        </w:trPr>
        <w:tc>
          <w:tcPr>
            <w:tcW w:w="403" w:type="pct"/>
            <w:vMerge/>
            <w:tcBorders>
              <w:left w:val="single" w:sz="12" w:space="0" w:color="auto"/>
              <w:bottom w:val="single" w:sz="12" w:space="0" w:color="auto"/>
              <w:right w:val="single" w:sz="4" w:space="0" w:color="auto"/>
            </w:tcBorders>
            <w:shd w:val="clear" w:color="auto" w:fill="auto"/>
          </w:tcPr>
          <w:p w14:paraId="5ACB5878" w14:textId="77777777" w:rsidR="00B27BEC" w:rsidRPr="00B27BEC" w:rsidRDefault="00B27BEC" w:rsidP="00B27BEC">
            <w:pPr>
              <w:rPr>
                <w:b/>
                <w:bCs/>
                <w:color w:val="FF0000"/>
                <w:sz w:val="18"/>
                <w:szCs w:val="18"/>
              </w:rPr>
            </w:pPr>
          </w:p>
        </w:tc>
        <w:tc>
          <w:tcPr>
            <w:tcW w:w="421" w:type="pct"/>
            <w:vMerge/>
            <w:tcBorders>
              <w:left w:val="single" w:sz="4" w:space="0" w:color="auto"/>
              <w:bottom w:val="single" w:sz="12" w:space="0" w:color="auto"/>
              <w:right w:val="single" w:sz="4" w:space="0" w:color="auto"/>
            </w:tcBorders>
            <w:vAlign w:val="center"/>
          </w:tcPr>
          <w:p w14:paraId="460DE94E" w14:textId="77777777" w:rsidR="00B27BEC" w:rsidRPr="00B27BEC" w:rsidRDefault="00B27BEC" w:rsidP="00B27BEC">
            <w:pPr>
              <w:rPr>
                <w:rFonts w:eastAsia="Century Gothic"/>
                <w:bCs/>
                <w:i/>
                <w:color w:val="FFFFFF" w:themeColor="background1"/>
                <w:sz w:val="18"/>
                <w:szCs w:val="18"/>
              </w:rPr>
            </w:pPr>
          </w:p>
        </w:tc>
        <w:tc>
          <w:tcPr>
            <w:tcW w:w="852" w:type="pct"/>
            <w:vMerge/>
            <w:tcBorders>
              <w:left w:val="single" w:sz="4" w:space="0" w:color="auto"/>
              <w:bottom w:val="single" w:sz="12" w:space="0" w:color="auto"/>
              <w:right w:val="single" w:sz="4" w:space="0" w:color="auto"/>
            </w:tcBorders>
            <w:shd w:val="clear" w:color="auto" w:fill="auto"/>
          </w:tcPr>
          <w:p w14:paraId="1EBC3CE4" w14:textId="77777777" w:rsidR="00B27BEC" w:rsidRPr="00B27BEC" w:rsidRDefault="00B27BEC" w:rsidP="00B27BEC">
            <w:pPr>
              <w:spacing w:after="0"/>
              <w:rPr>
                <w:b/>
                <w:bCs/>
                <w:spacing w:val="-1"/>
                <w:sz w:val="18"/>
              </w:rPr>
            </w:pPr>
          </w:p>
        </w:tc>
        <w:tc>
          <w:tcPr>
            <w:tcW w:w="646" w:type="pct"/>
            <w:vMerge/>
            <w:tcBorders>
              <w:left w:val="single" w:sz="4" w:space="0" w:color="auto"/>
              <w:bottom w:val="single" w:sz="12" w:space="0" w:color="auto"/>
              <w:right w:val="single" w:sz="4" w:space="0" w:color="auto"/>
            </w:tcBorders>
            <w:shd w:val="clear" w:color="auto" w:fill="auto"/>
            <w:vAlign w:val="center"/>
          </w:tcPr>
          <w:p w14:paraId="3678AB5B" w14:textId="77777777" w:rsidR="00B27BEC" w:rsidRPr="00B27BEC" w:rsidRDefault="00B27BEC" w:rsidP="00B27BEC">
            <w:pPr>
              <w:spacing w:after="0"/>
              <w:rPr>
                <w:spacing w:val="-1"/>
                <w:sz w:val="18"/>
              </w:rPr>
            </w:pPr>
          </w:p>
        </w:tc>
        <w:tc>
          <w:tcPr>
            <w:tcW w:w="1034" w:type="pct"/>
            <w:vMerge/>
            <w:tcBorders>
              <w:left w:val="single" w:sz="4" w:space="0" w:color="auto"/>
              <w:bottom w:val="single" w:sz="12" w:space="0" w:color="auto"/>
            </w:tcBorders>
            <w:shd w:val="clear" w:color="auto" w:fill="auto"/>
            <w:vAlign w:val="center"/>
          </w:tcPr>
          <w:p w14:paraId="4E528232" w14:textId="77777777" w:rsidR="00B27BEC" w:rsidRPr="00B27BEC" w:rsidRDefault="00B27BEC" w:rsidP="00B27BEC">
            <w:pPr>
              <w:spacing w:after="0"/>
              <w:rPr>
                <w:spacing w:val="-1"/>
                <w:sz w:val="18"/>
                <w:u w:val="single"/>
              </w:rPr>
            </w:pPr>
          </w:p>
        </w:tc>
        <w:tc>
          <w:tcPr>
            <w:tcW w:w="420" w:type="pct"/>
            <w:tcBorders>
              <w:bottom w:val="single" w:sz="12" w:space="0" w:color="auto"/>
            </w:tcBorders>
            <w:shd w:val="clear" w:color="auto" w:fill="FF0000"/>
            <w:vAlign w:val="center"/>
          </w:tcPr>
          <w:p w14:paraId="4E59A496" w14:textId="77777777" w:rsidR="00B27BEC" w:rsidRPr="00B27BEC" w:rsidRDefault="00B27BEC" w:rsidP="00B27BEC">
            <w:pPr>
              <w:spacing w:after="0"/>
              <w:jc w:val="center"/>
              <w:rPr>
                <w:color w:val="auto"/>
                <w:sz w:val="18"/>
                <w:szCs w:val="18"/>
              </w:rPr>
            </w:pPr>
            <w:r w:rsidRPr="00B27BEC">
              <w:rPr>
                <w:color w:val="auto"/>
                <w:sz w:val="18"/>
                <w:szCs w:val="18"/>
              </w:rPr>
              <w:t>High</w:t>
            </w:r>
          </w:p>
        </w:tc>
        <w:tc>
          <w:tcPr>
            <w:tcW w:w="711" w:type="pct"/>
            <w:vMerge/>
            <w:tcBorders>
              <w:bottom w:val="single" w:sz="12" w:space="0" w:color="auto"/>
            </w:tcBorders>
            <w:shd w:val="clear" w:color="auto" w:fill="95B3D7" w:themeFill="accent1" w:themeFillTint="99"/>
            <w:vAlign w:val="center"/>
          </w:tcPr>
          <w:p w14:paraId="600BE1F6" w14:textId="77777777" w:rsidR="00B27BEC" w:rsidRPr="00B27BEC" w:rsidRDefault="00B27BEC" w:rsidP="00B27BEC">
            <w:pPr>
              <w:rPr>
                <w:color w:val="auto"/>
                <w:spacing w:val="-1"/>
                <w:sz w:val="18"/>
              </w:rPr>
            </w:pPr>
          </w:p>
        </w:tc>
        <w:tc>
          <w:tcPr>
            <w:tcW w:w="513" w:type="pct"/>
            <w:tcBorders>
              <w:bottom w:val="single" w:sz="12" w:space="0" w:color="auto"/>
              <w:right w:val="single" w:sz="12" w:space="0" w:color="auto"/>
            </w:tcBorders>
            <w:shd w:val="clear" w:color="auto" w:fill="FFC000"/>
            <w:vAlign w:val="center"/>
          </w:tcPr>
          <w:p w14:paraId="42E8818B" w14:textId="77777777" w:rsidR="00B27BEC" w:rsidRPr="00B27BEC" w:rsidRDefault="00B27BEC" w:rsidP="00B27BEC">
            <w:pPr>
              <w:spacing w:after="0"/>
              <w:jc w:val="center"/>
              <w:rPr>
                <w:color w:val="auto"/>
                <w:sz w:val="18"/>
                <w:szCs w:val="18"/>
              </w:rPr>
            </w:pPr>
            <w:r w:rsidRPr="00B27BEC">
              <w:rPr>
                <w:color w:val="auto"/>
                <w:sz w:val="18"/>
                <w:szCs w:val="18"/>
              </w:rPr>
              <w:t>Moderate to High</w:t>
            </w:r>
          </w:p>
        </w:tc>
      </w:tr>
      <w:tr w:rsidR="00B27BEC" w:rsidRPr="00B27BEC" w14:paraId="3B1D86B5" w14:textId="77777777" w:rsidTr="00B27BEC">
        <w:trPr>
          <w:trHeight w:val="1209"/>
        </w:trPr>
        <w:tc>
          <w:tcPr>
            <w:tcW w:w="403" w:type="pct"/>
            <w:vMerge w:val="restart"/>
            <w:tcBorders>
              <w:top w:val="single" w:sz="12" w:space="0" w:color="auto"/>
              <w:left w:val="single" w:sz="12" w:space="0" w:color="auto"/>
              <w:right w:val="single" w:sz="4" w:space="0" w:color="auto"/>
            </w:tcBorders>
            <w:shd w:val="clear" w:color="auto" w:fill="auto"/>
          </w:tcPr>
          <w:p w14:paraId="65A38C06" w14:textId="77777777" w:rsidR="00B27BEC" w:rsidRPr="00B27BEC" w:rsidRDefault="00B27BEC" w:rsidP="00B27BEC">
            <w:pPr>
              <w:rPr>
                <w:b/>
                <w:bCs/>
                <w:color w:val="FF0000"/>
                <w:sz w:val="18"/>
                <w:szCs w:val="18"/>
              </w:rPr>
            </w:pPr>
            <w:r w:rsidRPr="00B27BEC">
              <w:rPr>
                <w:b/>
                <w:bCs/>
                <w:spacing w:val="-1"/>
                <w:sz w:val="18"/>
              </w:rPr>
              <w:lastRenderedPageBreak/>
              <w:t>Border Rivers main channels (ctd)</w:t>
            </w:r>
          </w:p>
        </w:tc>
        <w:tc>
          <w:tcPr>
            <w:tcW w:w="421" w:type="pct"/>
            <w:vMerge w:val="restart"/>
            <w:tcBorders>
              <w:top w:val="single" w:sz="12" w:space="0" w:color="auto"/>
              <w:left w:val="single" w:sz="4" w:space="0" w:color="auto"/>
              <w:right w:val="single" w:sz="4" w:space="0" w:color="auto"/>
            </w:tcBorders>
            <w:vAlign w:val="center"/>
          </w:tcPr>
          <w:p w14:paraId="4E3FACCD" w14:textId="77777777" w:rsidR="00B27BEC" w:rsidRPr="00B27BEC" w:rsidRDefault="00B27BEC" w:rsidP="00B27BEC">
            <w:pPr>
              <w:rPr>
                <w:rFonts w:eastAsia="Century Gothic"/>
                <w:bCs/>
                <w:i/>
                <w:color w:val="FFFFFF" w:themeColor="background1"/>
                <w:sz w:val="18"/>
                <w:szCs w:val="18"/>
              </w:rPr>
            </w:pPr>
          </w:p>
        </w:tc>
        <w:tc>
          <w:tcPr>
            <w:tcW w:w="852" w:type="pct"/>
            <w:vMerge w:val="restart"/>
            <w:tcBorders>
              <w:top w:val="single" w:sz="12" w:space="0" w:color="auto"/>
              <w:left w:val="single" w:sz="4" w:space="0" w:color="auto"/>
              <w:right w:val="single" w:sz="4" w:space="0" w:color="auto"/>
            </w:tcBorders>
            <w:shd w:val="clear" w:color="auto" w:fill="auto"/>
          </w:tcPr>
          <w:p w14:paraId="7BD52084" w14:textId="77777777" w:rsidR="00B27BEC" w:rsidRPr="00B27BEC" w:rsidRDefault="00B27BEC" w:rsidP="00B27BEC">
            <w:pPr>
              <w:spacing w:after="60"/>
              <w:rPr>
                <w:b/>
                <w:bCs/>
                <w:spacing w:val="-1"/>
                <w:sz w:val="18"/>
              </w:rPr>
            </w:pPr>
            <w:r w:rsidRPr="00B27BEC">
              <w:rPr>
                <w:b/>
                <w:bCs/>
                <w:spacing w:val="-1"/>
                <w:sz w:val="18"/>
              </w:rPr>
              <w:t>Fish condition and maintenance flow targeting long lived in-channel specialists and flow-dependent fish guilds (small/large fresh for minimum 5 days)</w:t>
            </w:r>
          </w:p>
          <w:p w14:paraId="3A4D654F" w14:textId="77777777" w:rsidR="00B27BEC" w:rsidRPr="00B27BEC" w:rsidRDefault="00B27BEC" w:rsidP="00B27BEC">
            <w:pPr>
              <w:spacing w:after="60"/>
              <w:rPr>
                <w:spacing w:val="-1"/>
                <w:sz w:val="18"/>
                <w:u w:val="single"/>
              </w:rPr>
            </w:pPr>
            <w:r w:rsidRPr="00B27BEC">
              <w:rPr>
                <w:spacing w:val="-1"/>
                <w:sz w:val="18"/>
                <w:u w:val="single"/>
              </w:rPr>
              <w:t xml:space="preserve">Dumaresq River </w:t>
            </w:r>
          </w:p>
          <w:p w14:paraId="46345D31" w14:textId="77777777" w:rsidR="00B27BEC" w:rsidRPr="00B27BEC" w:rsidRDefault="00B27BEC" w:rsidP="00B27BEC">
            <w:pPr>
              <w:spacing w:after="60"/>
              <w:rPr>
                <w:spacing w:val="-1"/>
                <w:sz w:val="18"/>
              </w:rPr>
            </w:pPr>
            <w:r w:rsidRPr="00B27BEC">
              <w:rPr>
                <w:spacing w:val="-1"/>
                <w:sz w:val="18"/>
              </w:rPr>
              <w:t xml:space="preserve">Up to 2 300–6 250 ML/day at Roseneath (SF) </w:t>
            </w:r>
          </w:p>
          <w:p w14:paraId="61E8044E" w14:textId="77777777" w:rsidR="00B27BEC" w:rsidRPr="00B27BEC" w:rsidRDefault="00B27BEC" w:rsidP="00B27BEC">
            <w:pPr>
              <w:spacing w:after="60"/>
              <w:rPr>
                <w:spacing w:val="-1"/>
                <w:sz w:val="18"/>
                <w:u w:val="single"/>
              </w:rPr>
            </w:pPr>
            <w:r w:rsidRPr="00B27BEC">
              <w:rPr>
                <w:spacing w:val="-1"/>
                <w:sz w:val="18"/>
                <w:u w:val="single"/>
              </w:rPr>
              <w:t xml:space="preserve">NSW Severn / Macintyre rivers </w:t>
            </w:r>
          </w:p>
          <w:p w14:paraId="1CFA0692" w14:textId="77777777" w:rsidR="00B27BEC" w:rsidRPr="00B27BEC" w:rsidRDefault="00B27BEC" w:rsidP="00B27BEC">
            <w:pPr>
              <w:spacing w:after="60"/>
              <w:rPr>
                <w:spacing w:val="-1"/>
                <w:sz w:val="18"/>
              </w:rPr>
            </w:pPr>
            <w:r w:rsidRPr="00B27BEC">
              <w:rPr>
                <w:spacing w:val="-1"/>
                <w:sz w:val="18"/>
              </w:rPr>
              <w:t>Peak up to 2 000 ML/day at Ducca Murrin (LF)</w:t>
            </w:r>
          </w:p>
          <w:p w14:paraId="3EDAC789" w14:textId="77777777" w:rsidR="00B27BEC" w:rsidRPr="00B27BEC" w:rsidRDefault="00B27BEC" w:rsidP="00B27BEC">
            <w:pPr>
              <w:spacing w:after="60"/>
              <w:rPr>
                <w:spacing w:val="-1"/>
                <w:sz w:val="18"/>
                <w:u w:val="single"/>
              </w:rPr>
            </w:pPr>
            <w:r w:rsidRPr="00B27BEC">
              <w:rPr>
                <w:spacing w:val="-1"/>
                <w:sz w:val="18"/>
                <w:u w:val="single"/>
              </w:rPr>
              <w:t xml:space="preserve">Lower Macintyre River  </w:t>
            </w:r>
          </w:p>
          <w:p w14:paraId="6A25AAF5" w14:textId="77777777" w:rsidR="00B27BEC" w:rsidRPr="00B27BEC" w:rsidRDefault="00B27BEC" w:rsidP="00B27BEC">
            <w:pPr>
              <w:spacing w:after="60"/>
              <w:rPr>
                <w:spacing w:val="-1"/>
                <w:sz w:val="18"/>
                <w:u w:val="single"/>
              </w:rPr>
            </w:pPr>
            <w:r w:rsidRPr="00B27BEC">
              <w:rPr>
                <w:spacing w:val="-1"/>
                <w:sz w:val="18"/>
              </w:rPr>
              <w:t>Natural inflows in the lower Macintyre River reach, including Weir river. Optimal flow height, duration and volume unknown.</w:t>
            </w:r>
          </w:p>
        </w:tc>
        <w:tc>
          <w:tcPr>
            <w:tcW w:w="646" w:type="pct"/>
            <w:vMerge w:val="restart"/>
            <w:tcBorders>
              <w:top w:val="single" w:sz="12" w:space="0" w:color="auto"/>
              <w:left w:val="single" w:sz="4" w:space="0" w:color="auto"/>
              <w:right w:val="single" w:sz="4" w:space="0" w:color="auto"/>
            </w:tcBorders>
            <w:shd w:val="clear" w:color="auto" w:fill="auto"/>
          </w:tcPr>
          <w:p w14:paraId="421C7130" w14:textId="77777777" w:rsidR="00B27BEC" w:rsidRPr="00B27BEC" w:rsidRDefault="00B27BEC" w:rsidP="00B27BEC">
            <w:pPr>
              <w:spacing w:after="0"/>
              <w:rPr>
                <w:spacing w:val="-1"/>
                <w:sz w:val="18"/>
              </w:rPr>
            </w:pPr>
            <w:r w:rsidRPr="00B27BEC">
              <w:rPr>
                <w:spacing w:val="-1"/>
                <w:sz w:val="18"/>
              </w:rPr>
              <w:t>1 in 1–2 years</w:t>
            </w:r>
          </w:p>
          <w:p w14:paraId="582F25C3" w14:textId="77777777" w:rsidR="00B27BEC" w:rsidRPr="00B27BEC" w:rsidRDefault="00B27BEC" w:rsidP="00B27BEC">
            <w:pPr>
              <w:spacing w:after="0"/>
              <w:rPr>
                <w:spacing w:val="-1"/>
                <w:sz w:val="18"/>
              </w:rPr>
            </w:pPr>
            <w:r w:rsidRPr="00B27BEC">
              <w:rPr>
                <w:spacing w:val="-1"/>
                <w:sz w:val="18"/>
              </w:rPr>
              <w:t>(Maximum dry interval unknown)</w:t>
            </w:r>
          </w:p>
          <w:p w14:paraId="23C89630" w14:textId="77777777" w:rsidR="00B27BEC" w:rsidRPr="00B27BEC" w:rsidRDefault="00B27BEC" w:rsidP="00B27BEC">
            <w:pPr>
              <w:spacing w:after="0"/>
              <w:rPr>
                <w:spacing w:val="-1"/>
                <w:sz w:val="18"/>
              </w:rPr>
            </w:pPr>
            <w:r w:rsidRPr="00B27BEC">
              <w:rPr>
                <w:spacing w:val="-1"/>
                <w:sz w:val="18"/>
              </w:rPr>
              <w:t>June–July</w:t>
            </w:r>
          </w:p>
          <w:p w14:paraId="61367BF0" w14:textId="77777777" w:rsidR="00B27BEC" w:rsidRPr="00B27BEC" w:rsidRDefault="00B27BEC" w:rsidP="00B27BEC">
            <w:pPr>
              <w:spacing w:after="0"/>
              <w:rPr>
                <w:spacing w:val="-1"/>
                <w:sz w:val="18"/>
              </w:rPr>
            </w:pPr>
            <w:r w:rsidRPr="00B27BEC">
              <w:rPr>
                <w:spacing w:val="-1"/>
                <w:sz w:val="18"/>
              </w:rPr>
              <w:t>(Pre-spawning conditioning)</w:t>
            </w:r>
          </w:p>
          <w:p w14:paraId="023D917D" w14:textId="77777777" w:rsidR="00B27BEC" w:rsidRPr="00B27BEC" w:rsidRDefault="00B27BEC" w:rsidP="00B27BEC">
            <w:pPr>
              <w:spacing w:after="0"/>
              <w:rPr>
                <w:spacing w:val="-1"/>
                <w:sz w:val="18"/>
              </w:rPr>
            </w:pPr>
            <w:r w:rsidRPr="00B27BEC">
              <w:rPr>
                <w:spacing w:val="-1"/>
                <w:sz w:val="18"/>
              </w:rPr>
              <w:t>March–May</w:t>
            </w:r>
          </w:p>
          <w:p w14:paraId="0F032016" w14:textId="77777777" w:rsidR="00B27BEC" w:rsidRPr="00B27BEC" w:rsidRDefault="00B27BEC" w:rsidP="00B27BEC">
            <w:pPr>
              <w:spacing w:after="0"/>
              <w:rPr>
                <w:spacing w:val="-1"/>
                <w:sz w:val="18"/>
              </w:rPr>
            </w:pPr>
            <w:r w:rsidRPr="00B27BEC">
              <w:rPr>
                <w:spacing w:val="-1"/>
                <w:sz w:val="18"/>
              </w:rPr>
              <w:t>(Pre-winter maintenance)</w:t>
            </w:r>
          </w:p>
          <w:p w14:paraId="05F29DE7" w14:textId="77777777" w:rsidR="00B27BEC" w:rsidRPr="00B27BEC" w:rsidRDefault="00B27BEC" w:rsidP="00B27BEC">
            <w:pPr>
              <w:spacing w:after="0"/>
              <w:rPr>
                <w:spacing w:val="-1"/>
                <w:sz w:val="18"/>
              </w:rPr>
            </w:pPr>
          </w:p>
        </w:tc>
        <w:tc>
          <w:tcPr>
            <w:tcW w:w="1034" w:type="pct"/>
            <w:vMerge w:val="restart"/>
            <w:tcBorders>
              <w:top w:val="single" w:sz="12" w:space="0" w:color="auto"/>
              <w:left w:val="single" w:sz="4" w:space="0" w:color="auto"/>
            </w:tcBorders>
            <w:shd w:val="clear" w:color="auto" w:fill="auto"/>
          </w:tcPr>
          <w:p w14:paraId="47A049FC" w14:textId="77777777" w:rsidR="00B27BEC" w:rsidRPr="00B27BEC" w:rsidRDefault="00B27BEC" w:rsidP="00B27BEC">
            <w:pPr>
              <w:spacing w:after="0"/>
              <w:rPr>
                <w:rFonts w:cstheme="minorHAnsi"/>
                <w:bCs/>
                <w:sz w:val="18"/>
                <w:szCs w:val="18"/>
                <w:u w:val="single"/>
              </w:rPr>
            </w:pPr>
            <w:r w:rsidRPr="00B27BEC">
              <w:rPr>
                <w:rFonts w:cstheme="minorHAnsi"/>
                <w:bCs/>
                <w:sz w:val="18"/>
                <w:szCs w:val="18"/>
                <w:u w:val="single"/>
              </w:rPr>
              <w:t xml:space="preserve">Dumaresq River </w:t>
            </w:r>
          </w:p>
          <w:p w14:paraId="6B4322AF" w14:textId="77777777" w:rsidR="00B27BEC" w:rsidRPr="00B27BEC" w:rsidRDefault="00B27BEC" w:rsidP="00B27BEC">
            <w:pPr>
              <w:spacing w:after="60"/>
              <w:rPr>
                <w:rFonts w:cstheme="minorHAnsi"/>
                <w:bCs/>
                <w:sz w:val="18"/>
                <w:szCs w:val="18"/>
              </w:rPr>
            </w:pPr>
            <w:r w:rsidRPr="00B27BEC">
              <w:rPr>
                <w:rFonts w:cstheme="minorHAnsi"/>
                <w:bCs/>
                <w:sz w:val="18"/>
                <w:szCs w:val="18"/>
              </w:rPr>
              <w:t>Not met 2018–19. Met in 2019–20 (bankfull flows at Roseneath in February 2020, peaking at 15 000 ML/day) (pre-winter maintenance). Moderate demand in 2020–21, remaining moderate if watering occurs as planned.</w:t>
            </w:r>
          </w:p>
          <w:p w14:paraId="0996811F" w14:textId="77777777" w:rsidR="00B27BEC" w:rsidRPr="00B27BEC" w:rsidRDefault="00B27BEC" w:rsidP="00B27BEC">
            <w:pPr>
              <w:spacing w:after="0"/>
              <w:rPr>
                <w:rFonts w:cstheme="minorHAnsi"/>
                <w:bCs/>
                <w:sz w:val="18"/>
                <w:szCs w:val="18"/>
                <w:u w:val="single"/>
              </w:rPr>
            </w:pPr>
            <w:r w:rsidRPr="00B27BEC">
              <w:rPr>
                <w:rFonts w:cstheme="minorHAnsi"/>
                <w:bCs/>
                <w:sz w:val="18"/>
                <w:szCs w:val="18"/>
                <w:u w:val="single"/>
              </w:rPr>
              <w:t xml:space="preserve">NSW Severn / Macintyre rivers </w:t>
            </w:r>
          </w:p>
          <w:p w14:paraId="6DE44B50" w14:textId="77777777" w:rsidR="00B27BEC" w:rsidRPr="00B27BEC" w:rsidRDefault="00B27BEC" w:rsidP="00B27BEC">
            <w:pPr>
              <w:spacing w:after="0"/>
              <w:rPr>
                <w:rFonts w:cstheme="minorHAnsi"/>
                <w:bCs/>
                <w:sz w:val="18"/>
                <w:szCs w:val="18"/>
              </w:rPr>
            </w:pPr>
            <w:r w:rsidRPr="00B27BEC">
              <w:rPr>
                <w:rFonts w:cstheme="minorHAnsi"/>
                <w:bCs/>
                <w:sz w:val="18"/>
                <w:szCs w:val="18"/>
              </w:rPr>
              <w:t xml:space="preserve">Met 2015–2018. Demand not met 2018–19 or 2019–20. High demand in 2020–21, moving to moderate to high if watering occurs as planned.  </w:t>
            </w:r>
          </w:p>
          <w:p w14:paraId="6A2A4015" w14:textId="77777777" w:rsidR="00B27BEC" w:rsidRPr="00B27BEC" w:rsidRDefault="00B27BEC" w:rsidP="00B27BEC">
            <w:pPr>
              <w:spacing w:after="0"/>
              <w:rPr>
                <w:rFonts w:cstheme="minorHAnsi"/>
                <w:bCs/>
                <w:sz w:val="18"/>
                <w:szCs w:val="18"/>
                <w:u w:val="single"/>
              </w:rPr>
            </w:pPr>
            <w:r w:rsidRPr="00B27BEC">
              <w:rPr>
                <w:rFonts w:cstheme="minorHAnsi"/>
                <w:bCs/>
                <w:sz w:val="18"/>
                <w:szCs w:val="18"/>
                <w:u w:val="single"/>
              </w:rPr>
              <w:t>Lower Macintyre River</w:t>
            </w:r>
          </w:p>
          <w:p w14:paraId="71E967ED" w14:textId="77777777" w:rsidR="00B27BEC" w:rsidRPr="00B27BEC" w:rsidRDefault="00B27BEC" w:rsidP="00B27BEC">
            <w:pPr>
              <w:rPr>
                <w:spacing w:val="-1"/>
                <w:sz w:val="18"/>
                <w:u w:val="single"/>
              </w:rPr>
            </w:pPr>
            <w:r w:rsidRPr="00B27BEC">
              <w:rPr>
                <w:rFonts w:cstheme="minorHAnsi"/>
                <w:bCs/>
                <w:sz w:val="18"/>
                <w:szCs w:val="18"/>
              </w:rPr>
              <w:t>Not met from 2017–2019. Met in 2019–20, with natural inflows in the lower Macintyre River reach, including Weir River in February–April 2020. Moderate to high demand, moving to moderate if watering occurs as planned.</w:t>
            </w:r>
          </w:p>
        </w:tc>
        <w:tc>
          <w:tcPr>
            <w:tcW w:w="420" w:type="pct"/>
            <w:tcBorders>
              <w:top w:val="single" w:sz="12" w:space="0" w:color="auto"/>
            </w:tcBorders>
            <w:shd w:val="clear" w:color="auto" w:fill="FFC000"/>
            <w:vAlign w:val="center"/>
          </w:tcPr>
          <w:p w14:paraId="2244EA6F" w14:textId="77777777" w:rsidR="00B27BEC" w:rsidRPr="00B27BEC" w:rsidRDefault="00B27BEC" w:rsidP="00B27BEC">
            <w:pPr>
              <w:spacing w:after="0"/>
              <w:jc w:val="center"/>
              <w:rPr>
                <w:color w:val="auto"/>
                <w:spacing w:val="-1"/>
                <w:sz w:val="18"/>
              </w:rPr>
            </w:pPr>
            <w:r w:rsidRPr="00B27BEC">
              <w:rPr>
                <w:color w:val="auto"/>
                <w:sz w:val="18"/>
                <w:szCs w:val="18"/>
              </w:rPr>
              <w:t>Moderate</w:t>
            </w:r>
          </w:p>
        </w:tc>
        <w:tc>
          <w:tcPr>
            <w:tcW w:w="711" w:type="pct"/>
            <w:vMerge w:val="restart"/>
            <w:tcBorders>
              <w:top w:val="single" w:sz="12" w:space="0" w:color="auto"/>
            </w:tcBorders>
            <w:shd w:val="clear" w:color="auto" w:fill="95B3D7" w:themeFill="accent1" w:themeFillTint="99"/>
            <w:vAlign w:val="center"/>
          </w:tcPr>
          <w:p w14:paraId="48E25733" w14:textId="77777777" w:rsidR="00B27BEC" w:rsidRPr="00B27BEC" w:rsidRDefault="00B27BEC" w:rsidP="00B27BEC">
            <w:pPr>
              <w:spacing w:after="0"/>
              <w:jc w:val="center"/>
              <w:rPr>
                <w:rFonts w:cstheme="minorHAnsi"/>
                <w:color w:val="auto"/>
                <w:sz w:val="18"/>
                <w:szCs w:val="18"/>
              </w:rPr>
            </w:pPr>
            <w:r w:rsidRPr="00B27BEC">
              <w:rPr>
                <w:rFonts w:cstheme="minorHAnsi"/>
                <w:color w:val="auto"/>
                <w:sz w:val="18"/>
                <w:szCs w:val="18"/>
              </w:rPr>
              <w:t>Secondary priority for Commonwealth environmental watering. Will occur only if natural trigger is met, or under moderate–high resource availability. Demand may be met by other means</w:t>
            </w:r>
            <w:r w:rsidRPr="00B27BEC">
              <w:rPr>
                <w:rFonts w:ascii="Century Gothic" w:hAnsi="Century Gothic" w:cs="Times New Roman"/>
                <w:color w:val="auto"/>
                <w:sz w:val="18"/>
                <w:szCs w:val="18"/>
              </w:rPr>
              <w:t xml:space="preserve">.  </w:t>
            </w:r>
          </w:p>
        </w:tc>
        <w:tc>
          <w:tcPr>
            <w:tcW w:w="513" w:type="pct"/>
            <w:tcBorders>
              <w:top w:val="single" w:sz="12" w:space="0" w:color="auto"/>
              <w:right w:val="single" w:sz="12" w:space="0" w:color="auto"/>
            </w:tcBorders>
            <w:shd w:val="clear" w:color="auto" w:fill="FFC000"/>
            <w:vAlign w:val="center"/>
          </w:tcPr>
          <w:p w14:paraId="2E38262E" w14:textId="77777777" w:rsidR="00B27BEC" w:rsidRPr="00B27BEC" w:rsidRDefault="00B27BEC" w:rsidP="00B27BEC">
            <w:pPr>
              <w:spacing w:after="0"/>
              <w:jc w:val="center"/>
              <w:rPr>
                <w:color w:val="auto"/>
                <w:sz w:val="18"/>
                <w:szCs w:val="18"/>
              </w:rPr>
            </w:pPr>
            <w:r w:rsidRPr="00B27BEC">
              <w:rPr>
                <w:color w:val="auto"/>
                <w:sz w:val="18"/>
                <w:szCs w:val="18"/>
              </w:rPr>
              <w:t>Moderate</w:t>
            </w:r>
          </w:p>
        </w:tc>
      </w:tr>
      <w:tr w:rsidR="00B27BEC" w:rsidRPr="00B27BEC" w14:paraId="7DEB2098" w14:textId="77777777" w:rsidTr="00B27BEC">
        <w:trPr>
          <w:trHeight w:val="1268"/>
        </w:trPr>
        <w:tc>
          <w:tcPr>
            <w:tcW w:w="403" w:type="pct"/>
            <w:vMerge/>
            <w:tcBorders>
              <w:left w:val="single" w:sz="12" w:space="0" w:color="auto"/>
              <w:right w:val="single" w:sz="4" w:space="0" w:color="auto"/>
            </w:tcBorders>
            <w:shd w:val="clear" w:color="auto" w:fill="auto"/>
          </w:tcPr>
          <w:p w14:paraId="76C598FB" w14:textId="77777777" w:rsidR="00B27BEC" w:rsidRPr="00B27BEC" w:rsidRDefault="00B27BEC" w:rsidP="00B27BEC">
            <w:pPr>
              <w:rPr>
                <w:b/>
                <w:bCs/>
                <w:color w:val="FF0000"/>
                <w:sz w:val="18"/>
                <w:szCs w:val="18"/>
              </w:rPr>
            </w:pPr>
          </w:p>
        </w:tc>
        <w:tc>
          <w:tcPr>
            <w:tcW w:w="421" w:type="pct"/>
            <w:vMerge/>
            <w:tcBorders>
              <w:left w:val="single" w:sz="4" w:space="0" w:color="auto"/>
              <w:right w:val="single" w:sz="4" w:space="0" w:color="auto"/>
            </w:tcBorders>
            <w:vAlign w:val="center"/>
          </w:tcPr>
          <w:p w14:paraId="158ABD1D" w14:textId="77777777" w:rsidR="00B27BEC" w:rsidRPr="00B27BEC" w:rsidRDefault="00B27BEC" w:rsidP="00B27BEC">
            <w:pPr>
              <w:rPr>
                <w:rFonts w:eastAsia="Century Gothic"/>
                <w:bCs/>
                <w:i/>
                <w:color w:val="FFFFFF" w:themeColor="background1"/>
                <w:sz w:val="18"/>
                <w:szCs w:val="18"/>
              </w:rPr>
            </w:pPr>
          </w:p>
        </w:tc>
        <w:tc>
          <w:tcPr>
            <w:tcW w:w="852" w:type="pct"/>
            <w:vMerge/>
            <w:tcBorders>
              <w:left w:val="single" w:sz="4" w:space="0" w:color="auto"/>
              <w:right w:val="single" w:sz="4" w:space="0" w:color="auto"/>
            </w:tcBorders>
            <w:shd w:val="clear" w:color="auto" w:fill="auto"/>
          </w:tcPr>
          <w:p w14:paraId="0685B29E" w14:textId="77777777" w:rsidR="00B27BEC" w:rsidRPr="00B27BEC" w:rsidRDefault="00B27BEC" w:rsidP="00B27BEC">
            <w:pPr>
              <w:spacing w:after="0"/>
              <w:rPr>
                <w:b/>
                <w:bCs/>
                <w:spacing w:val="-1"/>
                <w:sz w:val="18"/>
              </w:rPr>
            </w:pPr>
          </w:p>
        </w:tc>
        <w:tc>
          <w:tcPr>
            <w:tcW w:w="646" w:type="pct"/>
            <w:vMerge/>
            <w:tcBorders>
              <w:left w:val="single" w:sz="4" w:space="0" w:color="auto"/>
              <w:right w:val="single" w:sz="4" w:space="0" w:color="auto"/>
            </w:tcBorders>
            <w:shd w:val="clear" w:color="auto" w:fill="auto"/>
            <w:vAlign w:val="center"/>
          </w:tcPr>
          <w:p w14:paraId="522209E6" w14:textId="77777777" w:rsidR="00B27BEC" w:rsidRPr="00B27BEC" w:rsidRDefault="00B27BEC" w:rsidP="00B27BEC">
            <w:pPr>
              <w:spacing w:after="0"/>
              <w:rPr>
                <w:spacing w:val="-1"/>
                <w:sz w:val="18"/>
              </w:rPr>
            </w:pPr>
          </w:p>
        </w:tc>
        <w:tc>
          <w:tcPr>
            <w:tcW w:w="1034" w:type="pct"/>
            <w:vMerge/>
            <w:tcBorders>
              <w:left w:val="single" w:sz="4" w:space="0" w:color="auto"/>
            </w:tcBorders>
            <w:shd w:val="clear" w:color="auto" w:fill="auto"/>
            <w:vAlign w:val="center"/>
          </w:tcPr>
          <w:p w14:paraId="7EE2A6B9" w14:textId="77777777" w:rsidR="00B27BEC" w:rsidRPr="00B27BEC" w:rsidRDefault="00B27BEC" w:rsidP="00B27BEC">
            <w:pPr>
              <w:spacing w:after="0"/>
              <w:rPr>
                <w:rFonts w:cstheme="minorHAnsi"/>
                <w:bCs/>
                <w:sz w:val="18"/>
                <w:szCs w:val="18"/>
                <w:u w:val="single"/>
              </w:rPr>
            </w:pPr>
          </w:p>
        </w:tc>
        <w:tc>
          <w:tcPr>
            <w:tcW w:w="420" w:type="pct"/>
            <w:shd w:val="clear" w:color="auto" w:fill="FF0000"/>
            <w:vAlign w:val="center"/>
          </w:tcPr>
          <w:p w14:paraId="5823162B" w14:textId="77777777" w:rsidR="00B27BEC" w:rsidRPr="00B27BEC" w:rsidRDefault="00B27BEC" w:rsidP="00B27BEC">
            <w:pPr>
              <w:spacing w:after="0"/>
              <w:jc w:val="center"/>
              <w:rPr>
                <w:color w:val="auto"/>
                <w:spacing w:val="-1"/>
                <w:sz w:val="18"/>
              </w:rPr>
            </w:pPr>
            <w:r w:rsidRPr="00B27BEC">
              <w:rPr>
                <w:color w:val="auto"/>
                <w:sz w:val="18"/>
                <w:szCs w:val="18"/>
              </w:rPr>
              <w:t>High</w:t>
            </w:r>
          </w:p>
        </w:tc>
        <w:tc>
          <w:tcPr>
            <w:tcW w:w="711" w:type="pct"/>
            <w:vMerge/>
            <w:shd w:val="clear" w:color="auto" w:fill="95B3D7" w:themeFill="accent1" w:themeFillTint="99"/>
            <w:vAlign w:val="center"/>
          </w:tcPr>
          <w:p w14:paraId="55165F57" w14:textId="77777777" w:rsidR="00B27BEC" w:rsidRPr="00B27BEC" w:rsidRDefault="00B27BEC" w:rsidP="00B27BEC">
            <w:pPr>
              <w:rPr>
                <w:color w:val="auto"/>
                <w:spacing w:val="-1"/>
                <w:sz w:val="18"/>
              </w:rPr>
            </w:pPr>
          </w:p>
        </w:tc>
        <w:tc>
          <w:tcPr>
            <w:tcW w:w="513" w:type="pct"/>
            <w:tcBorders>
              <w:right w:val="single" w:sz="12" w:space="0" w:color="auto"/>
            </w:tcBorders>
            <w:shd w:val="clear" w:color="auto" w:fill="FFC000"/>
            <w:vAlign w:val="center"/>
          </w:tcPr>
          <w:p w14:paraId="56545FC6" w14:textId="77777777" w:rsidR="00B27BEC" w:rsidRPr="00B27BEC" w:rsidRDefault="00B27BEC" w:rsidP="00B27BEC">
            <w:pPr>
              <w:spacing w:after="0"/>
              <w:jc w:val="center"/>
              <w:rPr>
                <w:color w:val="auto"/>
                <w:sz w:val="18"/>
                <w:szCs w:val="18"/>
              </w:rPr>
            </w:pPr>
            <w:r w:rsidRPr="00B27BEC">
              <w:rPr>
                <w:color w:val="auto"/>
                <w:sz w:val="18"/>
                <w:szCs w:val="18"/>
              </w:rPr>
              <w:t>Moderate to High</w:t>
            </w:r>
          </w:p>
        </w:tc>
      </w:tr>
      <w:tr w:rsidR="00B27BEC" w:rsidRPr="00B27BEC" w14:paraId="19F66B6B" w14:textId="77777777" w:rsidTr="00B27BEC">
        <w:trPr>
          <w:trHeight w:val="969"/>
        </w:trPr>
        <w:tc>
          <w:tcPr>
            <w:tcW w:w="403" w:type="pct"/>
            <w:vMerge/>
            <w:tcBorders>
              <w:left w:val="single" w:sz="12" w:space="0" w:color="auto"/>
              <w:right w:val="single" w:sz="4" w:space="0" w:color="auto"/>
            </w:tcBorders>
            <w:shd w:val="clear" w:color="auto" w:fill="auto"/>
          </w:tcPr>
          <w:p w14:paraId="404E561D" w14:textId="77777777" w:rsidR="00B27BEC" w:rsidRPr="00B27BEC" w:rsidRDefault="00B27BEC" w:rsidP="00B27BEC">
            <w:pPr>
              <w:rPr>
                <w:b/>
                <w:bCs/>
                <w:color w:val="FF0000"/>
                <w:sz w:val="18"/>
                <w:szCs w:val="18"/>
              </w:rPr>
            </w:pPr>
          </w:p>
        </w:tc>
        <w:tc>
          <w:tcPr>
            <w:tcW w:w="421" w:type="pct"/>
            <w:vMerge/>
            <w:tcBorders>
              <w:left w:val="single" w:sz="4" w:space="0" w:color="auto"/>
              <w:right w:val="single" w:sz="4" w:space="0" w:color="auto"/>
            </w:tcBorders>
            <w:vAlign w:val="center"/>
          </w:tcPr>
          <w:p w14:paraId="184A69C9" w14:textId="77777777" w:rsidR="00B27BEC" w:rsidRPr="00B27BEC" w:rsidRDefault="00B27BEC" w:rsidP="00B27BEC">
            <w:pPr>
              <w:rPr>
                <w:rFonts w:eastAsia="Century Gothic"/>
                <w:bCs/>
                <w:i/>
                <w:color w:val="FFFFFF" w:themeColor="background1"/>
                <w:sz w:val="18"/>
                <w:szCs w:val="18"/>
              </w:rPr>
            </w:pPr>
          </w:p>
        </w:tc>
        <w:tc>
          <w:tcPr>
            <w:tcW w:w="852" w:type="pct"/>
            <w:vMerge/>
            <w:tcBorders>
              <w:left w:val="single" w:sz="4" w:space="0" w:color="auto"/>
              <w:right w:val="single" w:sz="4" w:space="0" w:color="auto"/>
            </w:tcBorders>
            <w:shd w:val="clear" w:color="auto" w:fill="auto"/>
          </w:tcPr>
          <w:p w14:paraId="79C8EFED" w14:textId="77777777" w:rsidR="00B27BEC" w:rsidRPr="00B27BEC" w:rsidRDefault="00B27BEC" w:rsidP="00B27BEC">
            <w:pPr>
              <w:spacing w:after="0"/>
              <w:rPr>
                <w:b/>
                <w:bCs/>
                <w:spacing w:val="-1"/>
                <w:sz w:val="18"/>
              </w:rPr>
            </w:pPr>
          </w:p>
        </w:tc>
        <w:tc>
          <w:tcPr>
            <w:tcW w:w="646" w:type="pct"/>
            <w:vMerge/>
            <w:tcBorders>
              <w:left w:val="single" w:sz="4" w:space="0" w:color="auto"/>
              <w:bottom w:val="single" w:sz="4" w:space="0" w:color="auto"/>
              <w:right w:val="single" w:sz="4" w:space="0" w:color="auto"/>
            </w:tcBorders>
            <w:shd w:val="clear" w:color="auto" w:fill="auto"/>
            <w:vAlign w:val="center"/>
          </w:tcPr>
          <w:p w14:paraId="2CA941DF" w14:textId="77777777" w:rsidR="00B27BEC" w:rsidRPr="00B27BEC" w:rsidRDefault="00B27BEC" w:rsidP="00B27BEC">
            <w:pPr>
              <w:spacing w:after="0"/>
              <w:rPr>
                <w:spacing w:val="-1"/>
                <w:sz w:val="18"/>
              </w:rPr>
            </w:pPr>
          </w:p>
        </w:tc>
        <w:tc>
          <w:tcPr>
            <w:tcW w:w="1034" w:type="pct"/>
            <w:vMerge/>
            <w:tcBorders>
              <w:left w:val="single" w:sz="4" w:space="0" w:color="auto"/>
            </w:tcBorders>
            <w:shd w:val="clear" w:color="auto" w:fill="auto"/>
            <w:vAlign w:val="center"/>
          </w:tcPr>
          <w:p w14:paraId="7450DBB4" w14:textId="77777777" w:rsidR="00B27BEC" w:rsidRPr="00B27BEC" w:rsidRDefault="00B27BEC" w:rsidP="00B27BEC">
            <w:pPr>
              <w:spacing w:after="0"/>
              <w:rPr>
                <w:rFonts w:cstheme="minorHAnsi"/>
                <w:bCs/>
                <w:sz w:val="18"/>
                <w:szCs w:val="18"/>
                <w:u w:val="single"/>
              </w:rPr>
            </w:pPr>
          </w:p>
        </w:tc>
        <w:tc>
          <w:tcPr>
            <w:tcW w:w="420" w:type="pct"/>
            <w:shd w:val="clear" w:color="auto" w:fill="FFC000"/>
            <w:vAlign w:val="center"/>
          </w:tcPr>
          <w:p w14:paraId="5D098478" w14:textId="77777777" w:rsidR="00B27BEC" w:rsidRPr="00B27BEC" w:rsidRDefault="00B27BEC" w:rsidP="00B27BEC">
            <w:pPr>
              <w:spacing w:after="0"/>
              <w:jc w:val="center"/>
              <w:rPr>
                <w:color w:val="auto"/>
                <w:spacing w:val="-1"/>
                <w:sz w:val="18"/>
              </w:rPr>
            </w:pPr>
            <w:r w:rsidRPr="00B27BEC">
              <w:rPr>
                <w:color w:val="auto"/>
                <w:sz w:val="18"/>
                <w:szCs w:val="18"/>
              </w:rPr>
              <w:t>Moderate to High</w:t>
            </w:r>
          </w:p>
        </w:tc>
        <w:tc>
          <w:tcPr>
            <w:tcW w:w="711" w:type="pct"/>
            <w:vMerge/>
            <w:shd w:val="clear" w:color="auto" w:fill="95B3D7" w:themeFill="accent1" w:themeFillTint="99"/>
            <w:vAlign w:val="center"/>
          </w:tcPr>
          <w:p w14:paraId="512BE801" w14:textId="77777777" w:rsidR="00B27BEC" w:rsidRPr="00B27BEC" w:rsidRDefault="00B27BEC" w:rsidP="00B27BEC">
            <w:pPr>
              <w:rPr>
                <w:color w:val="auto"/>
                <w:spacing w:val="-1"/>
                <w:sz w:val="18"/>
              </w:rPr>
            </w:pPr>
          </w:p>
        </w:tc>
        <w:tc>
          <w:tcPr>
            <w:tcW w:w="513" w:type="pct"/>
            <w:tcBorders>
              <w:right w:val="single" w:sz="12" w:space="0" w:color="auto"/>
            </w:tcBorders>
            <w:shd w:val="clear" w:color="auto" w:fill="FFC000"/>
            <w:vAlign w:val="center"/>
          </w:tcPr>
          <w:p w14:paraId="1C70443C" w14:textId="77777777" w:rsidR="00B27BEC" w:rsidRPr="00B27BEC" w:rsidRDefault="00B27BEC" w:rsidP="00B27BEC">
            <w:pPr>
              <w:spacing w:after="0"/>
              <w:jc w:val="center"/>
              <w:rPr>
                <w:color w:val="auto"/>
                <w:sz w:val="18"/>
                <w:szCs w:val="18"/>
              </w:rPr>
            </w:pPr>
            <w:r w:rsidRPr="00B27BEC">
              <w:rPr>
                <w:color w:val="auto"/>
                <w:sz w:val="18"/>
                <w:szCs w:val="18"/>
              </w:rPr>
              <w:t>Moderate</w:t>
            </w:r>
          </w:p>
        </w:tc>
      </w:tr>
      <w:tr w:rsidR="00B27BEC" w:rsidRPr="00B27BEC" w14:paraId="10D18656" w14:textId="77777777" w:rsidTr="00B27BEC">
        <w:trPr>
          <w:trHeight w:val="914"/>
        </w:trPr>
        <w:tc>
          <w:tcPr>
            <w:tcW w:w="403" w:type="pct"/>
            <w:vMerge/>
            <w:tcBorders>
              <w:left w:val="single" w:sz="12" w:space="0" w:color="auto"/>
              <w:right w:val="single" w:sz="4" w:space="0" w:color="auto"/>
            </w:tcBorders>
            <w:shd w:val="clear" w:color="auto" w:fill="auto"/>
          </w:tcPr>
          <w:p w14:paraId="1D83B580" w14:textId="77777777" w:rsidR="00B27BEC" w:rsidRPr="00B27BEC" w:rsidRDefault="00B27BEC" w:rsidP="00B27BEC">
            <w:pPr>
              <w:rPr>
                <w:b/>
                <w:bCs/>
                <w:color w:val="FF0000"/>
                <w:sz w:val="18"/>
                <w:szCs w:val="18"/>
              </w:rPr>
            </w:pPr>
          </w:p>
        </w:tc>
        <w:tc>
          <w:tcPr>
            <w:tcW w:w="421" w:type="pct"/>
            <w:vMerge w:val="restart"/>
            <w:tcBorders>
              <w:left w:val="single" w:sz="4" w:space="0" w:color="auto"/>
              <w:right w:val="single" w:sz="4" w:space="0" w:color="auto"/>
            </w:tcBorders>
          </w:tcPr>
          <w:p w14:paraId="60D6A9DE" w14:textId="77777777" w:rsidR="00B27BEC" w:rsidRPr="00B27BEC" w:rsidRDefault="00B27BEC" w:rsidP="00B27BEC">
            <w:pPr>
              <w:spacing w:after="0"/>
              <w:rPr>
                <w:rFonts w:cstheme="minorHAnsi"/>
                <w:bCs/>
                <w:sz w:val="18"/>
                <w:szCs w:val="18"/>
              </w:rPr>
            </w:pPr>
            <w:r w:rsidRPr="00B27BEC">
              <w:rPr>
                <w:rFonts w:cstheme="minorHAnsi"/>
                <w:bCs/>
                <w:sz w:val="18"/>
                <w:szCs w:val="18"/>
              </w:rPr>
              <w:t xml:space="preserve">Fish movement/spawning/ reproduction/ recruitment flows targeting short-lived stable low flow spawning fish species. </w:t>
            </w:r>
          </w:p>
          <w:p w14:paraId="263F9699" w14:textId="77777777" w:rsidR="00B27BEC" w:rsidRPr="00B27BEC" w:rsidRDefault="00B27BEC" w:rsidP="00B27BEC">
            <w:pPr>
              <w:spacing w:after="0"/>
              <w:rPr>
                <w:rFonts w:cstheme="minorHAnsi"/>
                <w:b/>
                <w:color w:val="auto"/>
                <w:sz w:val="18"/>
                <w:szCs w:val="18"/>
              </w:rPr>
            </w:pPr>
          </w:p>
          <w:p w14:paraId="7081231A" w14:textId="77777777" w:rsidR="00B27BEC" w:rsidRPr="00B27BEC" w:rsidRDefault="00B27BEC" w:rsidP="00B27BEC">
            <w:pPr>
              <w:rPr>
                <w:rFonts w:eastAsia="Century Gothic"/>
                <w:bCs/>
                <w:i/>
                <w:color w:val="FFFFFF" w:themeColor="background1"/>
                <w:sz w:val="18"/>
                <w:szCs w:val="18"/>
              </w:rPr>
            </w:pPr>
          </w:p>
        </w:tc>
        <w:tc>
          <w:tcPr>
            <w:tcW w:w="852" w:type="pct"/>
            <w:vMerge w:val="restart"/>
            <w:tcBorders>
              <w:left w:val="single" w:sz="4" w:space="0" w:color="auto"/>
            </w:tcBorders>
            <w:shd w:val="clear" w:color="auto" w:fill="auto"/>
            <w:vAlign w:val="center"/>
          </w:tcPr>
          <w:p w14:paraId="252C8D24" w14:textId="77777777" w:rsidR="00B27BEC" w:rsidRPr="00B27BEC" w:rsidRDefault="00B27BEC" w:rsidP="00B27BEC">
            <w:pPr>
              <w:spacing w:after="60"/>
              <w:rPr>
                <w:rFonts w:cstheme="minorHAnsi"/>
                <w:b/>
                <w:bCs/>
                <w:color w:val="auto"/>
                <w:sz w:val="18"/>
                <w:szCs w:val="18"/>
                <w:vertAlign w:val="superscript"/>
              </w:rPr>
            </w:pPr>
            <w:r w:rsidRPr="00B27BEC">
              <w:rPr>
                <w:rFonts w:cstheme="minorHAnsi"/>
                <w:b/>
                <w:bCs/>
                <w:color w:val="auto"/>
                <w:sz w:val="18"/>
                <w:szCs w:val="18"/>
              </w:rPr>
              <w:t>Stable low flow for 7–60 days (spawning*/ reproduction/recruitment)</w:t>
            </w:r>
          </w:p>
          <w:p w14:paraId="392F58BF" w14:textId="77777777" w:rsidR="00B27BEC" w:rsidRPr="00B27BEC" w:rsidRDefault="00B27BEC" w:rsidP="00B27BEC">
            <w:pPr>
              <w:spacing w:after="60"/>
              <w:rPr>
                <w:rFonts w:cstheme="minorHAnsi"/>
                <w:i/>
                <w:color w:val="auto"/>
                <w:sz w:val="18"/>
                <w:szCs w:val="18"/>
              </w:rPr>
            </w:pPr>
            <w:r w:rsidRPr="00B27BEC">
              <w:rPr>
                <w:rFonts w:cstheme="minorHAnsi"/>
                <w:i/>
                <w:color w:val="auto"/>
                <w:sz w:val="18"/>
                <w:szCs w:val="18"/>
              </w:rPr>
              <w:t>* A minimum stable low flow 7–21 days needed for spawning</w:t>
            </w:r>
          </w:p>
          <w:p w14:paraId="686C79D7" w14:textId="77777777" w:rsidR="00B27BEC" w:rsidRPr="00B27BEC" w:rsidRDefault="00B27BEC" w:rsidP="00B27BEC">
            <w:pPr>
              <w:spacing w:after="60"/>
              <w:rPr>
                <w:rFonts w:cstheme="minorHAnsi"/>
                <w:color w:val="auto"/>
                <w:sz w:val="18"/>
                <w:szCs w:val="18"/>
                <w:u w:val="single"/>
              </w:rPr>
            </w:pPr>
            <w:r w:rsidRPr="00B27BEC">
              <w:rPr>
                <w:rFonts w:cstheme="minorHAnsi"/>
                <w:color w:val="auto"/>
                <w:sz w:val="18"/>
                <w:szCs w:val="18"/>
                <w:u w:val="single"/>
              </w:rPr>
              <w:t>Dumaresq River</w:t>
            </w:r>
          </w:p>
          <w:p w14:paraId="248B20DF" w14:textId="77777777" w:rsidR="00B27BEC" w:rsidRPr="00B27BEC" w:rsidRDefault="00B27BEC" w:rsidP="00B27BEC">
            <w:pPr>
              <w:spacing w:after="60"/>
              <w:rPr>
                <w:rFonts w:cstheme="minorHAnsi"/>
                <w:color w:val="auto"/>
                <w:sz w:val="18"/>
                <w:szCs w:val="18"/>
              </w:rPr>
            </w:pPr>
            <w:r w:rsidRPr="00B27BEC">
              <w:rPr>
                <w:rFonts w:cstheme="minorHAnsi"/>
                <w:color w:val="auto"/>
                <w:sz w:val="18"/>
                <w:szCs w:val="18"/>
              </w:rPr>
              <w:t>Up to 100 ML/day at Roseneath (BF)</w:t>
            </w:r>
          </w:p>
          <w:p w14:paraId="0878D6D8" w14:textId="77777777" w:rsidR="00B27BEC" w:rsidRPr="00B27BEC" w:rsidRDefault="00B27BEC" w:rsidP="00B27BEC">
            <w:pPr>
              <w:spacing w:after="60"/>
              <w:rPr>
                <w:rFonts w:cstheme="minorHAnsi"/>
                <w:color w:val="auto"/>
                <w:sz w:val="18"/>
                <w:szCs w:val="18"/>
                <w:u w:val="single"/>
              </w:rPr>
            </w:pPr>
            <w:r w:rsidRPr="00B27BEC">
              <w:rPr>
                <w:rFonts w:cstheme="minorHAnsi"/>
                <w:color w:val="auto"/>
                <w:sz w:val="18"/>
                <w:szCs w:val="18"/>
                <w:u w:val="single"/>
              </w:rPr>
              <w:t>NSW Severn and Macintyre rivers</w:t>
            </w:r>
          </w:p>
          <w:p w14:paraId="1ED6C90E" w14:textId="77777777" w:rsidR="00B27BEC" w:rsidRPr="00B27BEC" w:rsidRDefault="00B27BEC" w:rsidP="00B27BEC">
            <w:pPr>
              <w:spacing w:after="60"/>
              <w:rPr>
                <w:spacing w:val="-1"/>
                <w:sz w:val="18"/>
                <w:u w:val="single"/>
              </w:rPr>
            </w:pPr>
            <w:r w:rsidRPr="00B27BEC">
              <w:rPr>
                <w:rFonts w:cstheme="minorHAnsi"/>
                <w:color w:val="auto"/>
                <w:sz w:val="18"/>
                <w:szCs w:val="18"/>
              </w:rPr>
              <w:t>50 ML/day at Ducca Marrin (BF)</w:t>
            </w:r>
          </w:p>
        </w:tc>
        <w:tc>
          <w:tcPr>
            <w:tcW w:w="646" w:type="pct"/>
            <w:vMerge w:val="restart"/>
            <w:tcBorders>
              <w:top w:val="single" w:sz="4" w:space="0" w:color="auto"/>
            </w:tcBorders>
            <w:shd w:val="clear" w:color="auto" w:fill="auto"/>
          </w:tcPr>
          <w:p w14:paraId="30EBD47C" w14:textId="77777777" w:rsidR="00B27BEC" w:rsidRPr="00B27BEC" w:rsidRDefault="00B27BEC" w:rsidP="00B27BEC">
            <w:pPr>
              <w:spacing w:after="0"/>
              <w:rPr>
                <w:rFonts w:cstheme="minorHAnsi"/>
                <w:color w:val="auto"/>
                <w:sz w:val="18"/>
                <w:szCs w:val="18"/>
              </w:rPr>
            </w:pPr>
            <w:r w:rsidRPr="00B27BEC">
              <w:rPr>
                <w:rFonts w:cstheme="minorHAnsi"/>
                <w:color w:val="auto"/>
                <w:sz w:val="18"/>
                <w:szCs w:val="18"/>
              </w:rPr>
              <w:t>1 in 1–2 years</w:t>
            </w:r>
          </w:p>
          <w:p w14:paraId="62436DF0" w14:textId="77777777" w:rsidR="00B27BEC" w:rsidRPr="00B27BEC" w:rsidRDefault="00B27BEC" w:rsidP="00B27BEC">
            <w:pPr>
              <w:spacing w:after="0"/>
              <w:rPr>
                <w:rFonts w:cstheme="minorHAnsi"/>
                <w:color w:val="auto"/>
                <w:sz w:val="18"/>
                <w:szCs w:val="18"/>
              </w:rPr>
            </w:pPr>
            <w:r w:rsidRPr="00B27BEC">
              <w:rPr>
                <w:rFonts w:cstheme="minorHAnsi"/>
                <w:color w:val="auto"/>
                <w:sz w:val="18"/>
                <w:szCs w:val="18"/>
              </w:rPr>
              <w:t>(low uncertainty)</w:t>
            </w:r>
          </w:p>
          <w:p w14:paraId="4FDD88AC" w14:textId="77777777" w:rsidR="00B27BEC" w:rsidRPr="00B27BEC" w:rsidRDefault="00B27BEC" w:rsidP="00B27BEC">
            <w:pPr>
              <w:spacing w:after="0"/>
              <w:rPr>
                <w:rFonts w:cstheme="minorHAnsi"/>
                <w:color w:val="auto"/>
                <w:sz w:val="18"/>
                <w:szCs w:val="18"/>
              </w:rPr>
            </w:pPr>
            <w:r w:rsidRPr="00B27BEC">
              <w:rPr>
                <w:rFonts w:cstheme="minorHAnsi"/>
                <w:color w:val="auto"/>
                <w:sz w:val="18"/>
                <w:szCs w:val="18"/>
              </w:rPr>
              <w:t>Up to 3 years</w:t>
            </w:r>
          </w:p>
          <w:p w14:paraId="00D10B53" w14:textId="77777777" w:rsidR="00B27BEC" w:rsidRPr="00B27BEC" w:rsidRDefault="00B27BEC" w:rsidP="00B27BEC">
            <w:pPr>
              <w:spacing w:after="0"/>
              <w:rPr>
                <w:rFonts w:cstheme="minorHAnsi"/>
                <w:color w:val="auto"/>
                <w:sz w:val="18"/>
                <w:szCs w:val="18"/>
              </w:rPr>
            </w:pPr>
            <w:r w:rsidRPr="00B27BEC">
              <w:rPr>
                <w:rFonts w:cstheme="minorHAnsi"/>
                <w:color w:val="auto"/>
                <w:sz w:val="18"/>
                <w:szCs w:val="18"/>
              </w:rPr>
              <w:t>(high uncertainty)</w:t>
            </w:r>
          </w:p>
          <w:p w14:paraId="6EAC24A6" w14:textId="77777777" w:rsidR="00B27BEC" w:rsidRPr="00B27BEC" w:rsidRDefault="00B27BEC" w:rsidP="00B27BEC">
            <w:pPr>
              <w:spacing w:after="0"/>
              <w:rPr>
                <w:rFonts w:cstheme="minorHAnsi"/>
                <w:color w:val="auto"/>
                <w:sz w:val="18"/>
                <w:szCs w:val="18"/>
              </w:rPr>
            </w:pPr>
            <w:r w:rsidRPr="00B27BEC">
              <w:rPr>
                <w:rFonts w:cstheme="minorHAnsi"/>
                <w:color w:val="auto"/>
                <w:sz w:val="18"/>
                <w:szCs w:val="18"/>
              </w:rPr>
              <w:t>Sept–Dec</w:t>
            </w:r>
          </w:p>
          <w:p w14:paraId="5D06E8AB" w14:textId="77777777" w:rsidR="00B27BEC" w:rsidRPr="00B27BEC" w:rsidRDefault="00B27BEC" w:rsidP="00B27BEC">
            <w:pPr>
              <w:spacing w:after="0"/>
              <w:rPr>
                <w:spacing w:val="-1"/>
                <w:sz w:val="18"/>
              </w:rPr>
            </w:pPr>
            <w:r w:rsidRPr="00B27BEC">
              <w:rPr>
                <w:rFonts w:cstheme="minorHAnsi"/>
                <w:color w:val="auto"/>
                <w:sz w:val="18"/>
                <w:szCs w:val="18"/>
              </w:rPr>
              <w:t>(Peak spawning season for olive perchlet, includes purple-spotted gudgeon)</w:t>
            </w:r>
          </w:p>
        </w:tc>
        <w:tc>
          <w:tcPr>
            <w:tcW w:w="1034" w:type="pct"/>
            <w:vMerge w:val="restart"/>
            <w:shd w:val="clear" w:color="auto" w:fill="auto"/>
          </w:tcPr>
          <w:p w14:paraId="6D18D0F1" w14:textId="77777777" w:rsidR="00B27BEC" w:rsidRPr="00B27BEC" w:rsidRDefault="00B27BEC" w:rsidP="00B27BEC">
            <w:pPr>
              <w:spacing w:after="60"/>
              <w:rPr>
                <w:rFonts w:cstheme="minorHAnsi"/>
                <w:bCs/>
                <w:sz w:val="18"/>
                <w:szCs w:val="18"/>
                <w:u w:val="single"/>
              </w:rPr>
            </w:pPr>
            <w:r w:rsidRPr="00B27BEC">
              <w:rPr>
                <w:rFonts w:cstheme="minorHAnsi"/>
                <w:bCs/>
                <w:sz w:val="18"/>
                <w:szCs w:val="18"/>
                <w:u w:val="single"/>
              </w:rPr>
              <w:t xml:space="preserve">Dumaresq River </w:t>
            </w:r>
          </w:p>
          <w:p w14:paraId="6C14B22C" w14:textId="77777777" w:rsidR="00B27BEC" w:rsidRPr="00B27BEC" w:rsidRDefault="00B27BEC" w:rsidP="00B27BEC">
            <w:pPr>
              <w:spacing w:after="60"/>
              <w:rPr>
                <w:rFonts w:cstheme="minorHAnsi"/>
                <w:bCs/>
                <w:sz w:val="18"/>
                <w:szCs w:val="18"/>
              </w:rPr>
            </w:pPr>
            <w:r w:rsidRPr="00B27BEC">
              <w:rPr>
                <w:rFonts w:cstheme="minorHAnsi"/>
                <w:bCs/>
                <w:sz w:val="18"/>
                <w:szCs w:val="18"/>
              </w:rPr>
              <w:t xml:space="preserve">Met 2015–16, 2016–17 and 2018–19. Not met in 2019–20. Moderate to high demand in 2020–21, moving to moderate if watering occurs as planned. </w:t>
            </w:r>
          </w:p>
          <w:p w14:paraId="71042F4D" w14:textId="77777777" w:rsidR="00B27BEC" w:rsidRPr="00B27BEC" w:rsidRDefault="00B27BEC" w:rsidP="00B27BEC">
            <w:pPr>
              <w:spacing w:after="60"/>
              <w:rPr>
                <w:rFonts w:cstheme="minorHAnsi"/>
                <w:bCs/>
                <w:sz w:val="18"/>
                <w:szCs w:val="18"/>
                <w:u w:val="single"/>
              </w:rPr>
            </w:pPr>
            <w:r w:rsidRPr="00B27BEC">
              <w:rPr>
                <w:rFonts w:cstheme="minorHAnsi"/>
                <w:bCs/>
                <w:sz w:val="18"/>
                <w:szCs w:val="18"/>
                <w:u w:val="single"/>
              </w:rPr>
              <w:t xml:space="preserve">Severn and Macintyre rivers </w:t>
            </w:r>
          </w:p>
          <w:p w14:paraId="48979DC6" w14:textId="77777777" w:rsidR="00B27BEC" w:rsidRPr="00B27BEC" w:rsidRDefault="00B27BEC" w:rsidP="00B27BEC">
            <w:pPr>
              <w:spacing w:after="60"/>
              <w:rPr>
                <w:spacing w:val="-1"/>
                <w:sz w:val="18"/>
                <w:u w:val="single"/>
              </w:rPr>
            </w:pPr>
            <w:r w:rsidRPr="00B27BEC">
              <w:rPr>
                <w:rFonts w:cstheme="minorHAnsi"/>
                <w:bCs/>
                <w:sz w:val="18"/>
                <w:szCs w:val="18"/>
              </w:rPr>
              <w:t xml:space="preserve">Stable flows not met 2015–20. High to critical demand in 2020–21, moving to high if watering occurs as planned. </w:t>
            </w:r>
          </w:p>
        </w:tc>
        <w:tc>
          <w:tcPr>
            <w:tcW w:w="420" w:type="pct"/>
            <w:shd w:val="clear" w:color="auto" w:fill="FFC000"/>
            <w:vAlign w:val="center"/>
          </w:tcPr>
          <w:p w14:paraId="7B8C980E" w14:textId="77777777" w:rsidR="00B27BEC" w:rsidRPr="00B27BEC" w:rsidRDefault="00B27BEC" w:rsidP="00B27BEC">
            <w:pPr>
              <w:spacing w:after="0"/>
              <w:jc w:val="center"/>
              <w:rPr>
                <w:color w:val="auto"/>
                <w:spacing w:val="-1"/>
                <w:sz w:val="18"/>
              </w:rPr>
            </w:pPr>
            <w:r w:rsidRPr="00B27BEC">
              <w:rPr>
                <w:rFonts w:hAnsi="Century Gothic"/>
                <w:color w:val="auto"/>
                <w:sz w:val="18"/>
                <w:szCs w:val="18"/>
              </w:rPr>
              <w:t>Moderate to High</w:t>
            </w:r>
          </w:p>
        </w:tc>
        <w:tc>
          <w:tcPr>
            <w:tcW w:w="711" w:type="pct"/>
            <w:vMerge w:val="restart"/>
            <w:shd w:val="clear" w:color="auto" w:fill="95B3D7" w:themeFill="accent1" w:themeFillTint="99"/>
            <w:vAlign w:val="center"/>
          </w:tcPr>
          <w:p w14:paraId="5BB25D33" w14:textId="77777777" w:rsidR="00B27BEC" w:rsidRPr="00B27BEC" w:rsidRDefault="00B27BEC" w:rsidP="00B27BEC">
            <w:pPr>
              <w:jc w:val="center"/>
              <w:rPr>
                <w:rFonts w:hAnsi="Century Gothic"/>
                <w:color w:val="auto"/>
                <w:sz w:val="18"/>
                <w:szCs w:val="18"/>
              </w:rPr>
            </w:pPr>
            <w:r w:rsidRPr="00B27BEC">
              <w:rPr>
                <w:rFonts w:cstheme="minorHAnsi"/>
                <w:color w:val="auto"/>
                <w:sz w:val="18"/>
                <w:szCs w:val="18"/>
              </w:rPr>
              <w:t>Secondary priority for Commonwealth environmental watering. Will occur only if natural trigger is met, or under moderate–high resource availability. Demand may be met by other means</w:t>
            </w:r>
            <w:r w:rsidRPr="00B27BEC">
              <w:rPr>
                <w:rFonts w:ascii="Century Gothic" w:hAnsi="Century Gothic" w:cs="Times New Roman"/>
                <w:color w:val="auto"/>
                <w:sz w:val="18"/>
                <w:szCs w:val="18"/>
              </w:rPr>
              <w:t xml:space="preserve">.  </w:t>
            </w:r>
          </w:p>
        </w:tc>
        <w:tc>
          <w:tcPr>
            <w:tcW w:w="513" w:type="pct"/>
            <w:tcBorders>
              <w:right w:val="single" w:sz="12" w:space="0" w:color="auto"/>
            </w:tcBorders>
            <w:shd w:val="clear" w:color="auto" w:fill="FFC000"/>
            <w:vAlign w:val="center"/>
          </w:tcPr>
          <w:p w14:paraId="64AE6124" w14:textId="77777777" w:rsidR="00B27BEC" w:rsidRPr="00B27BEC" w:rsidRDefault="00B27BEC" w:rsidP="00B27BEC">
            <w:pPr>
              <w:spacing w:after="0"/>
              <w:jc w:val="center"/>
              <w:rPr>
                <w:color w:val="auto"/>
                <w:sz w:val="18"/>
                <w:szCs w:val="18"/>
              </w:rPr>
            </w:pPr>
            <w:r w:rsidRPr="00B27BEC">
              <w:rPr>
                <w:rFonts w:hAnsi="Century Gothic"/>
                <w:color w:val="auto"/>
                <w:sz w:val="18"/>
                <w:szCs w:val="18"/>
              </w:rPr>
              <w:t>Moderate</w:t>
            </w:r>
          </w:p>
        </w:tc>
      </w:tr>
      <w:tr w:rsidR="00B27BEC" w:rsidRPr="00B27BEC" w14:paraId="54AF4460" w14:textId="77777777" w:rsidTr="00B27BEC">
        <w:trPr>
          <w:trHeight w:val="1620"/>
        </w:trPr>
        <w:tc>
          <w:tcPr>
            <w:tcW w:w="403" w:type="pct"/>
            <w:vMerge/>
            <w:tcBorders>
              <w:left w:val="single" w:sz="12" w:space="0" w:color="auto"/>
              <w:right w:val="single" w:sz="4" w:space="0" w:color="auto"/>
            </w:tcBorders>
            <w:shd w:val="clear" w:color="auto" w:fill="auto"/>
          </w:tcPr>
          <w:p w14:paraId="511B4611" w14:textId="77777777" w:rsidR="00B27BEC" w:rsidRPr="00B27BEC" w:rsidRDefault="00B27BEC" w:rsidP="00B27BEC">
            <w:pPr>
              <w:rPr>
                <w:b/>
                <w:bCs/>
                <w:color w:val="FF0000"/>
                <w:sz w:val="18"/>
                <w:szCs w:val="18"/>
              </w:rPr>
            </w:pPr>
          </w:p>
        </w:tc>
        <w:tc>
          <w:tcPr>
            <w:tcW w:w="421" w:type="pct"/>
            <w:vMerge/>
            <w:tcBorders>
              <w:left w:val="single" w:sz="4" w:space="0" w:color="auto"/>
              <w:right w:val="single" w:sz="4" w:space="0" w:color="auto"/>
            </w:tcBorders>
          </w:tcPr>
          <w:p w14:paraId="1E5BD631" w14:textId="77777777" w:rsidR="00B27BEC" w:rsidRPr="00B27BEC" w:rsidRDefault="00B27BEC" w:rsidP="00B27BEC">
            <w:pPr>
              <w:spacing w:after="0"/>
              <w:rPr>
                <w:rFonts w:cstheme="minorHAnsi"/>
                <w:bCs/>
                <w:sz w:val="18"/>
                <w:szCs w:val="18"/>
              </w:rPr>
            </w:pPr>
          </w:p>
        </w:tc>
        <w:tc>
          <w:tcPr>
            <w:tcW w:w="852" w:type="pct"/>
            <w:vMerge/>
            <w:tcBorders>
              <w:left w:val="single" w:sz="4" w:space="0" w:color="auto"/>
            </w:tcBorders>
            <w:shd w:val="clear" w:color="auto" w:fill="auto"/>
            <w:vAlign w:val="center"/>
          </w:tcPr>
          <w:p w14:paraId="4434CB60" w14:textId="77777777" w:rsidR="00B27BEC" w:rsidRPr="00B27BEC" w:rsidRDefault="00B27BEC" w:rsidP="00B27BEC">
            <w:pPr>
              <w:spacing w:after="0"/>
              <w:rPr>
                <w:rFonts w:cstheme="minorHAnsi"/>
                <w:b/>
                <w:bCs/>
                <w:color w:val="auto"/>
                <w:sz w:val="18"/>
                <w:szCs w:val="18"/>
              </w:rPr>
            </w:pPr>
          </w:p>
        </w:tc>
        <w:tc>
          <w:tcPr>
            <w:tcW w:w="646" w:type="pct"/>
            <w:vMerge/>
            <w:tcBorders>
              <w:bottom w:val="single" w:sz="4" w:space="0" w:color="auto"/>
            </w:tcBorders>
            <w:shd w:val="clear" w:color="auto" w:fill="auto"/>
            <w:vAlign w:val="center"/>
          </w:tcPr>
          <w:p w14:paraId="386AF6D8" w14:textId="77777777" w:rsidR="00B27BEC" w:rsidRPr="00B27BEC" w:rsidRDefault="00B27BEC" w:rsidP="00B27BEC">
            <w:pPr>
              <w:spacing w:after="0"/>
              <w:rPr>
                <w:rFonts w:cstheme="minorHAnsi"/>
                <w:color w:val="auto"/>
                <w:sz w:val="18"/>
                <w:szCs w:val="18"/>
              </w:rPr>
            </w:pPr>
          </w:p>
        </w:tc>
        <w:tc>
          <w:tcPr>
            <w:tcW w:w="1034" w:type="pct"/>
            <w:vMerge/>
            <w:shd w:val="clear" w:color="auto" w:fill="auto"/>
          </w:tcPr>
          <w:p w14:paraId="7A8C958E" w14:textId="77777777" w:rsidR="00B27BEC" w:rsidRPr="00B27BEC" w:rsidRDefault="00B27BEC" w:rsidP="00B27BEC">
            <w:pPr>
              <w:spacing w:after="60"/>
              <w:rPr>
                <w:rFonts w:cstheme="minorHAnsi"/>
                <w:bCs/>
                <w:sz w:val="18"/>
                <w:szCs w:val="18"/>
                <w:u w:val="single"/>
              </w:rPr>
            </w:pPr>
          </w:p>
        </w:tc>
        <w:tc>
          <w:tcPr>
            <w:tcW w:w="420" w:type="pct"/>
            <w:shd w:val="clear" w:color="auto" w:fill="FF0000"/>
            <w:vAlign w:val="center"/>
          </w:tcPr>
          <w:p w14:paraId="7E5267A9" w14:textId="77777777" w:rsidR="00B27BEC" w:rsidRPr="00B27BEC" w:rsidRDefault="00B27BEC" w:rsidP="00B27BEC">
            <w:pPr>
              <w:spacing w:after="0"/>
              <w:jc w:val="center"/>
              <w:rPr>
                <w:color w:val="auto"/>
                <w:spacing w:val="-1"/>
                <w:sz w:val="18"/>
              </w:rPr>
            </w:pPr>
            <w:r w:rsidRPr="00B27BEC">
              <w:rPr>
                <w:rFonts w:hAnsi="Century Gothic"/>
                <w:color w:val="auto"/>
                <w:sz w:val="18"/>
                <w:szCs w:val="18"/>
              </w:rPr>
              <w:t>High to Critical</w:t>
            </w:r>
          </w:p>
        </w:tc>
        <w:tc>
          <w:tcPr>
            <w:tcW w:w="711" w:type="pct"/>
            <w:vMerge/>
            <w:shd w:val="clear" w:color="auto" w:fill="95B3D7" w:themeFill="accent1" w:themeFillTint="99"/>
            <w:vAlign w:val="center"/>
          </w:tcPr>
          <w:p w14:paraId="3A5FC0FF" w14:textId="77777777" w:rsidR="00B27BEC" w:rsidRPr="00B27BEC" w:rsidRDefault="00B27BEC" w:rsidP="00B27BEC">
            <w:pPr>
              <w:rPr>
                <w:color w:val="auto"/>
                <w:spacing w:val="-1"/>
                <w:sz w:val="18"/>
              </w:rPr>
            </w:pPr>
          </w:p>
        </w:tc>
        <w:tc>
          <w:tcPr>
            <w:tcW w:w="513" w:type="pct"/>
            <w:tcBorders>
              <w:right w:val="single" w:sz="12" w:space="0" w:color="auto"/>
            </w:tcBorders>
            <w:shd w:val="clear" w:color="auto" w:fill="FF0000"/>
            <w:vAlign w:val="center"/>
          </w:tcPr>
          <w:p w14:paraId="067BC132" w14:textId="77777777" w:rsidR="00B27BEC" w:rsidRPr="00B27BEC" w:rsidRDefault="00B27BEC" w:rsidP="00B27BEC">
            <w:pPr>
              <w:spacing w:after="0"/>
              <w:jc w:val="center"/>
              <w:rPr>
                <w:color w:val="auto"/>
                <w:sz w:val="18"/>
                <w:szCs w:val="18"/>
              </w:rPr>
            </w:pPr>
            <w:r w:rsidRPr="00B27BEC">
              <w:rPr>
                <w:rFonts w:hAnsi="Century Gothic"/>
                <w:color w:val="auto"/>
                <w:sz w:val="18"/>
                <w:szCs w:val="18"/>
              </w:rPr>
              <w:t>High</w:t>
            </w:r>
          </w:p>
        </w:tc>
      </w:tr>
      <w:tr w:rsidR="00B27BEC" w:rsidRPr="00B27BEC" w14:paraId="2D2C308B" w14:textId="77777777" w:rsidTr="00B27BEC">
        <w:trPr>
          <w:trHeight w:val="1058"/>
        </w:trPr>
        <w:tc>
          <w:tcPr>
            <w:tcW w:w="403" w:type="pct"/>
            <w:vMerge/>
            <w:tcBorders>
              <w:left w:val="single" w:sz="12" w:space="0" w:color="auto"/>
              <w:right w:val="single" w:sz="4" w:space="0" w:color="auto"/>
            </w:tcBorders>
            <w:shd w:val="clear" w:color="auto" w:fill="auto"/>
          </w:tcPr>
          <w:p w14:paraId="62DEECF7" w14:textId="77777777" w:rsidR="00B27BEC" w:rsidRPr="00B27BEC" w:rsidRDefault="00B27BEC" w:rsidP="00B27BEC">
            <w:pPr>
              <w:rPr>
                <w:b/>
                <w:bCs/>
                <w:color w:val="FF0000"/>
                <w:sz w:val="18"/>
                <w:szCs w:val="18"/>
              </w:rPr>
            </w:pPr>
          </w:p>
        </w:tc>
        <w:tc>
          <w:tcPr>
            <w:tcW w:w="421" w:type="pct"/>
            <w:vMerge w:val="restart"/>
            <w:tcBorders>
              <w:left w:val="single" w:sz="4" w:space="0" w:color="auto"/>
              <w:right w:val="single" w:sz="4" w:space="0" w:color="auto"/>
            </w:tcBorders>
          </w:tcPr>
          <w:p w14:paraId="1D35B49F" w14:textId="77777777" w:rsidR="00B27BEC" w:rsidRPr="00B27BEC" w:rsidRDefault="00B27BEC" w:rsidP="00B27BEC">
            <w:pPr>
              <w:rPr>
                <w:rFonts w:cstheme="minorHAnsi"/>
                <w:bCs/>
                <w:sz w:val="18"/>
                <w:szCs w:val="18"/>
              </w:rPr>
            </w:pPr>
            <w:r w:rsidRPr="00B27BEC">
              <w:rPr>
                <w:rFonts w:cstheme="minorHAnsi"/>
                <w:bCs/>
                <w:sz w:val="18"/>
                <w:szCs w:val="18"/>
              </w:rPr>
              <w:t>Scouring, inundate inter-connected riparian areas and improved longitudinal connectivity for fish movement, (including maintenance and conditioning) of all native species</w:t>
            </w:r>
          </w:p>
          <w:p w14:paraId="305EF907" w14:textId="77777777" w:rsidR="00B27BEC" w:rsidRPr="00B27BEC" w:rsidRDefault="00B27BEC" w:rsidP="00B27BEC">
            <w:pPr>
              <w:rPr>
                <w:rFonts w:eastAsia="Century Gothic"/>
                <w:bCs/>
                <w:i/>
                <w:color w:val="FFFFFF" w:themeColor="background1"/>
                <w:sz w:val="18"/>
                <w:szCs w:val="18"/>
              </w:rPr>
            </w:pPr>
          </w:p>
        </w:tc>
        <w:tc>
          <w:tcPr>
            <w:tcW w:w="852" w:type="pct"/>
            <w:vMerge w:val="restart"/>
            <w:tcBorders>
              <w:left w:val="single" w:sz="4" w:space="0" w:color="auto"/>
            </w:tcBorders>
            <w:shd w:val="clear" w:color="auto" w:fill="auto"/>
          </w:tcPr>
          <w:p w14:paraId="46843D09" w14:textId="77777777" w:rsidR="00B27BEC" w:rsidRPr="00B27BEC" w:rsidRDefault="00B27BEC" w:rsidP="00B27BEC">
            <w:pPr>
              <w:spacing w:after="60"/>
              <w:rPr>
                <w:rFonts w:cstheme="minorHAnsi"/>
                <w:b/>
                <w:sz w:val="18"/>
                <w:szCs w:val="18"/>
              </w:rPr>
            </w:pPr>
            <w:r w:rsidRPr="00B27BEC">
              <w:rPr>
                <w:rFonts w:cstheme="minorHAnsi"/>
                <w:b/>
                <w:sz w:val="18"/>
                <w:szCs w:val="18"/>
              </w:rPr>
              <w:t>Large in</w:t>
            </w:r>
            <w:r w:rsidRPr="00B27BEC">
              <w:rPr>
                <w:rFonts w:cstheme="minorHAnsi"/>
                <w:b/>
                <w:sz w:val="18"/>
                <w:szCs w:val="18"/>
              </w:rPr>
              <w:noBreakHyphen/>
              <w:t>channel fresh (Aug–Dec)</w:t>
            </w:r>
          </w:p>
          <w:p w14:paraId="5A2664A6" w14:textId="77777777" w:rsidR="00B27BEC" w:rsidRPr="00B27BEC" w:rsidRDefault="00B27BEC" w:rsidP="00B27BEC">
            <w:pPr>
              <w:spacing w:after="60"/>
              <w:rPr>
                <w:rFonts w:cstheme="minorHAnsi"/>
                <w:bCs/>
                <w:sz w:val="18"/>
                <w:szCs w:val="18"/>
                <w:u w:val="single"/>
              </w:rPr>
            </w:pPr>
            <w:r w:rsidRPr="00B27BEC">
              <w:rPr>
                <w:rFonts w:cstheme="minorHAnsi"/>
                <w:bCs/>
                <w:sz w:val="18"/>
                <w:szCs w:val="18"/>
                <w:u w:val="single"/>
              </w:rPr>
              <w:t>Dumaresq River</w:t>
            </w:r>
          </w:p>
          <w:p w14:paraId="0DF0211B" w14:textId="77777777" w:rsidR="00B27BEC" w:rsidRPr="00B27BEC" w:rsidRDefault="00B27BEC" w:rsidP="00B27BEC">
            <w:pPr>
              <w:spacing w:after="60"/>
              <w:rPr>
                <w:rFonts w:cstheme="minorHAnsi"/>
                <w:bCs/>
                <w:sz w:val="18"/>
                <w:szCs w:val="18"/>
              </w:rPr>
            </w:pPr>
            <w:r w:rsidRPr="00B27BEC">
              <w:rPr>
                <w:rFonts w:cstheme="minorHAnsi"/>
                <w:bCs/>
                <w:sz w:val="18"/>
                <w:szCs w:val="18"/>
              </w:rPr>
              <w:t>Peak between 6 250–19 000 ML/day at Roseneath (LF)</w:t>
            </w:r>
          </w:p>
          <w:p w14:paraId="5032B265" w14:textId="77777777" w:rsidR="00B27BEC" w:rsidRPr="00B27BEC" w:rsidRDefault="00B27BEC" w:rsidP="00B27BEC">
            <w:pPr>
              <w:spacing w:after="60"/>
              <w:rPr>
                <w:rFonts w:cstheme="minorHAnsi"/>
                <w:bCs/>
                <w:sz w:val="18"/>
                <w:szCs w:val="18"/>
                <w:u w:val="single"/>
              </w:rPr>
            </w:pPr>
            <w:r w:rsidRPr="00B27BEC">
              <w:rPr>
                <w:rFonts w:cstheme="minorHAnsi"/>
                <w:bCs/>
                <w:sz w:val="18"/>
                <w:szCs w:val="18"/>
                <w:u w:val="single"/>
              </w:rPr>
              <w:t>NSW Severn and Macintyre rivers</w:t>
            </w:r>
          </w:p>
          <w:p w14:paraId="43F29F43" w14:textId="77777777" w:rsidR="00B27BEC" w:rsidRPr="00B27BEC" w:rsidRDefault="00B27BEC" w:rsidP="00B27BEC">
            <w:pPr>
              <w:spacing w:after="60"/>
              <w:rPr>
                <w:rFonts w:cstheme="minorHAnsi"/>
                <w:bCs/>
                <w:sz w:val="18"/>
                <w:szCs w:val="18"/>
              </w:rPr>
            </w:pPr>
            <w:r w:rsidRPr="00B27BEC">
              <w:rPr>
                <w:rFonts w:cstheme="minorHAnsi"/>
                <w:bCs/>
                <w:sz w:val="18"/>
                <w:szCs w:val="18"/>
              </w:rPr>
              <w:t>Flows &gt;2 000 ML/day at Ducca Marrin to change periphyton species (LF)</w:t>
            </w:r>
          </w:p>
        </w:tc>
        <w:tc>
          <w:tcPr>
            <w:tcW w:w="646" w:type="pct"/>
            <w:vMerge w:val="restart"/>
            <w:tcBorders>
              <w:top w:val="single" w:sz="4" w:space="0" w:color="auto"/>
            </w:tcBorders>
            <w:shd w:val="clear" w:color="auto" w:fill="auto"/>
          </w:tcPr>
          <w:p w14:paraId="4DD4AD9F" w14:textId="77777777" w:rsidR="00B27BEC" w:rsidRPr="00B27BEC" w:rsidRDefault="00B27BEC" w:rsidP="00B27BEC">
            <w:pPr>
              <w:spacing w:after="0"/>
              <w:rPr>
                <w:rFonts w:cstheme="minorHAnsi"/>
                <w:bCs/>
                <w:sz w:val="18"/>
                <w:szCs w:val="18"/>
              </w:rPr>
            </w:pPr>
            <w:r w:rsidRPr="00B27BEC">
              <w:rPr>
                <w:rFonts w:cstheme="minorHAnsi"/>
                <w:bCs/>
                <w:sz w:val="18"/>
                <w:szCs w:val="18"/>
              </w:rPr>
              <w:t>All reaches</w:t>
            </w:r>
          </w:p>
          <w:p w14:paraId="73159642" w14:textId="77777777" w:rsidR="00B27BEC" w:rsidRPr="00B27BEC" w:rsidRDefault="00B27BEC" w:rsidP="00B27BEC">
            <w:pPr>
              <w:spacing w:after="0"/>
              <w:rPr>
                <w:rFonts w:cstheme="minorHAnsi"/>
                <w:bCs/>
                <w:sz w:val="18"/>
                <w:szCs w:val="18"/>
              </w:rPr>
            </w:pPr>
            <w:r w:rsidRPr="00B27BEC">
              <w:rPr>
                <w:rFonts w:cstheme="minorHAnsi"/>
                <w:bCs/>
                <w:sz w:val="18"/>
                <w:szCs w:val="18"/>
              </w:rPr>
              <w:t>Up to 3 years for scouring</w:t>
            </w:r>
          </w:p>
          <w:p w14:paraId="1E325897" w14:textId="77777777" w:rsidR="00B27BEC" w:rsidRPr="00B27BEC" w:rsidRDefault="00B27BEC" w:rsidP="00B27BEC">
            <w:pPr>
              <w:spacing w:after="0"/>
              <w:rPr>
                <w:rFonts w:cstheme="minorHAnsi"/>
                <w:bCs/>
                <w:sz w:val="18"/>
                <w:szCs w:val="18"/>
              </w:rPr>
            </w:pPr>
            <w:r w:rsidRPr="00B27BEC">
              <w:rPr>
                <w:rFonts w:cstheme="minorHAnsi"/>
                <w:bCs/>
                <w:sz w:val="18"/>
                <w:szCs w:val="18"/>
              </w:rPr>
              <w:t>(Max. dry interval unknown)</w:t>
            </w:r>
          </w:p>
          <w:p w14:paraId="0C7D6104" w14:textId="77777777" w:rsidR="00B27BEC" w:rsidRPr="00B27BEC" w:rsidRDefault="00B27BEC" w:rsidP="00B27BEC">
            <w:pPr>
              <w:spacing w:after="0"/>
              <w:rPr>
                <w:rFonts w:cstheme="minorHAnsi"/>
                <w:bCs/>
                <w:sz w:val="18"/>
                <w:szCs w:val="18"/>
              </w:rPr>
            </w:pPr>
            <w:r w:rsidRPr="00B27BEC">
              <w:rPr>
                <w:rFonts w:cstheme="minorHAnsi"/>
                <w:bCs/>
                <w:sz w:val="18"/>
                <w:szCs w:val="18"/>
              </w:rPr>
              <w:t>Anytime</w:t>
            </w:r>
          </w:p>
          <w:p w14:paraId="40FF86DB" w14:textId="77777777" w:rsidR="00B27BEC" w:rsidRPr="00B27BEC" w:rsidRDefault="00B27BEC" w:rsidP="00B27BEC">
            <w:pPr>
              <w:spacing w:after="0"/>
              <w:rPr>
                <w:rFonts w:cstheme="minorHAnsi"/>
                <w:bCs/>
                <w:sz w:val="18"/>
                <w:szCs w:val="18"/>
              </w:rPr>
            </w:pPr>
            <w:r w:rsidRPr="00B27BEC">
              <w:rPr>
                <w:rFonts w:cstheme="minorHAnsi"/>
                <w:bCs/>
                <w:sz w:val="18"/>
                <w:szCs w:val="18"/>
              </w:rPr>
              <w:t>(only if naturally occurring)</w:t>
            </w:r>
          </w:p>
        </w:tc>
        <w:tc>
          <w:tcPr>
            <w:tcW w:w="1034" w:type="pct"/>
            <w:vMerge w:val="restart"/>
            <w:shd w:val="clear" w:color="auto" w:fill="auto"/>
          </w:tcPr>
          <w:p w14:paraId="25E56670" w14:textId="77777777" w:rsidR="00B27BEC" w:rsidRPr="00B27BEC" w:rsidRDefault="00B27BEC" w:rsidP="00B27BEC">
            <w:pPr>
              <w:spacing w:after="60"/>
              <w:rPr>
                <w:rFonts w:cstheme="minorHAnsi"/>
                <w:bCs/>
                <w:sz w:val="18"/>
                <w:szCs w:val="18"/>
                <w:u w:val="single"/>
              </w:rPr>
            </w:pPr>
            <w:r w:rsidRPr="00B27BEC">
              <w:rPr>
                <w:rFonts w:cstheme="minorHAnsi"/>
                <w:bCs/>
                <w:sz w:val="18"/>
                <w:szCs w:val="18"/>
                <w:u w:val="single"/>
              </w:rPr>
              <w:t>Dumaresq River</w:t>
            </w:r>
          </w:p>
          <w:p w14:paraId="6C979939" w14:textId="77777777" w:rsidR="00B27BEC" w:rsidRPr="00B27BEC" w:rsidRDefault="00B27BEC" w:rsidP="00B27BEC">
            <w:pPr>
              <w:spacing w:after="60"/>
              <w:rPr>
                <w:rFonts w:cstheme="minorHAnsi"/>
                <w:bCs/>
                <w:sz w:val="18"/>
                <w:szCs w:val="18"/>
              </w:rPr>
            </w:pPr>
            <w:r w:rsidRPr="00B27BEC">
              <w:rPr>
                <w:rFonts w:cstheme="minorHAnsi"/>
                <w:bCs/>
                <w:sz w:val="18"/>
                <w:szCs w:val="18"/>
              </w:rPr>
              <w:t xml:space="preserve">Achieved 2016–17, not achieved 2017–18, 2018–19 or 2019–20 (within August–Dec time window). Assessed as moderate to high for 2020–21, moving to moderate if watering occurs as planned.   </w:t>
            </w:r>
          </w:p>
          <w:p w14:paraId="0EDE04F0" w14:textId="77777777" w:rsidR="00B27BEC" w:rsidRPr="00B27BEC" w:rsidRDefault="00B27BEC" w:rsidP="00B27BEC">
            <w:pPr>
              <w:spacing w:after="60"/>
              <w:rPr>
                <w:rFonts w:cstheme="minorHAnsi"/>
                <w:bCs/>
                <w:sz w:val="18"/>
                <w:szCs w:val="18"/>
                <w:u w:val="single"/>
              </w:rPr>
            </w:pPr>
            <w:r w:rsidRPr="00B27BEC">
              <w:rPr>
                <w:rFonts w:cstheme="minorHAnsi"/>
                <w:bCs/>
                <w:sz w:val="18"/>
                <w:szCs w:val="18"/>
                <w:u w:val="single"/>
              </w:rPr>
              <w:t>NSW Severn and Macintyre rivers</w:t>
            </w:r>
          </w:p>
          <w:p w14:paraId="76702DF2" w14:textId="77777777" w:rsidR="00B27BEC" w:rsidRPr="00B27BEC" w:rsidRDefault="00B27BEC" w:rsidP="00B27BEC">
            <w:pPr>
              <w:spacing w:after="60"/>
              <w:rPr>
                <w:rFonts w:cstheme="minorHAnsi"/>
                <w:bCs/>
                <w:sz w:val="18"/>
                <w:szCs w:val="18"/>
              </w:rPr>
            </w:pPr>
            <w:r w:rsidRPr="00B27BEC">
              <w:rPr>
                <w:rFonts w:cstheme="minorHAnsi"/>
                <w:bCs/>
                <w:sz w:val="18"/>
                <w:szCs w:val="18"/>
              </w:rPr>
              <w:t xml:space="preserve">Achieved in 2016–17, 2017–18 and 2018–19. Not achieved in 2019–20. Assessed as low to moderate, remaining low if watering occurs as planned. </w:t>
            </w:r>
          </w:p>
        </w:tc>
        <w:tc>
          <w:tcPr>
            <w:tcW w:w="420" w:type="pct"/>
            <w:shd w:val="clear" w:color="auto" w:fill="FFC000"/>
            <w:vAlign w:val="center"/>
          </w:tcPr>
          <w:p w14:paraId="489F970C" w14:textId="77777777" w:rsidR="00B27BEC" w:rsidRPr="00B27BEC" w:rsidRDefault="00B27BEC" w:rsidP="00B27BEC">
            <w:pPr>
              <w:spacing w:after="0"/>
              <w:jc w:val="center"/>
              <w:rPr>
                <w:color w:val="auto"/>
                <w:spacing w:val="-1"/>
                <w:sz w:val="18"/>
              </w:rPr>
            </w:pPr>
            <w:r w:rsidRPr="00B27BEC">
              <w:rPr>
                <w:rFonts w:hAnsi="Century Gothic"/>
                <w:color w:val="auto"/>
                <w:sz w:val="18"/>
                <w:szCs w:val="18"/>
              </w:rPr>
              <w:t>Moderate to High</w:t>
            </w:r>
          </w:p>
        </w:tc>
        <w:tc>
          <w:tcPr>
            <w:tcW w:w="711" w:type="pct"/>
            <w:vMerge w:val="restart"/>
            <w:shd w:val="clear" w:color="auto" w:fill="95B3D7" w:themeFill="accent1" w:themeFillTint="99"/>
            <w:vAlign w:val="center"/>
          </w:tcPr>
          <w:p w14:paraId="2D728432" w14:textId="77777777" w:rsidR="00B27BEC" w:rsidRPr="00B27BEC" w:rsidRDefault="00B27BEC" w:rsidP="00B27BEC">
            <w:pPr>
              <w:jc w:val="center"/>
              <w:rPr>
                <w:rFonts w:hAnsi="Century Gothic"/>
                <w:color w:val="auto"/>
                <w:sz w:val="18"/>
                <w:szCs w:val="18"/>
              </w:rPr>
            </w:pPr>
            <w:r w:rsidRPr="00B27BEC">
              <w:rPr>
                <w:rFonts w:cstheme="minorHAnsi"/>
                <w:color w:val="auto"/>
                <w:sz w:val="18"/>
                <w:szCs w:val="18"/>
              </w:rPr>
              <w:t>Secondary priority for Commonwealth environmental watering. Will occur only if natural trigger is met, or under moderate–high resource availability. Demand may be met by other means</w:t>
            </w:r>
            <w:r w:rsidRPr="00B27BEC">
              <w:rPr>
                <w:rFonts w:ascii="Century Gothic" w:hAnsi="Century Gothic" w:cs="Times New Roman"/>
                <w:color w:val="auto"/>
                <w:sz w:val="18"/>
                <w:szCs w:val="18"/>
              </w:rPr>
              <w:t xml:space="preserve">.  </w:t>
            </w:r>
          </w:p>
        </w:tc>
        <w:tc>
          <w:tcPr>
            <w:tcW w:w="513" w:type="pct"/>
            <w:tcBorders>
              <w:right w:val="single" w:sz="12" w:space="0" w:color="auto"/>
            </w:tcBorders>
            <w:shd w:val="clear" w:color="auto" w:fill="FFC000"/>
            <w:vAlign w:val="center"/>
          </w:tcPr>
          <w:p w14:paraId="1D464E07" w14:textId="77777777" w:rsidR="00B27BEC" w:rsidRPr="00B27BEC" w:rsidRDefault="00B27BEC" w:rsidP="00B27BEC">
            <w:pPr>
              <w:spacing w:after="0"/>
              <w:jc w:val="center"/>
              <w:rPr>
                <w:color w:val="auto"/>
                <w:sz w:val="18"/>
                <w:szCs w:val="18"/>
              </w:rPr>
            </w:pPr>
            <w:r w:rsidRPr="00B27BEC">
              <w:rPr>
                <w:rFonts w:hAnsi="Century Gothic"/>
                <w:color w:val="auto"/>
                <w:sz w:val="18"/>
                <w:szCs w:val="18"/>
              </w:rPr>
              <w:t>Moderate</w:t>
            </w:r>
          </w:p>
        </w:tc>
      </w:tr>
      <w:tr w:rsidR="00B27BEC" w:rsidRPr="00B27BEC" w14:paraId="129FCD6A" w14:textId="77777777" w:rsidTr="00B27BEC">
        <w:trPr>
          <w:trHeight w:val="1616"/>
        </w:trPr>
        <w:tc>
          <w:tcPr>
            <w:tcW w:w="403" w:type="pct"/>
            <w:vMerge/>
            <w:tcBorders>
              <w:left w:val="single" w:sz="12" w:space="0" w:color="auto"/>
              <w:right w:val="single" w:sz="4" w:space="0" w:color="auto"/>
            </w:tcBorders>
            <w:shd w:val="clear" w:color="auto" w:fill="auto"/>
          </w:tcPr>
          <w:p w14:paraId="134F21B6" w14:textId="77777777" w:rsidR="00B27BEC" w:rsidRPr="00B27BEC" w:rsidRDefault="00B27BEC" w:rsidP="00B27BEC">
            <w:pPr>
              <w:rPr>
                <w:b/>
                <w:bCs/>
                <w:color w:val="FF0000"/>
                <w:sz w:val="18"/>
                <w:szCs w:val="18"/>
              </w:rPr>
            </w:pPr>
          </w:p>
        </w:tc>
        <w:tc>
          <w:tcPr>
            <w:tcW w:w="421" w:type="pct"/>
            <w:vMerge/>
            <w:tcBorders>
              <w:left w:val="single" w:sz="4" w:space="0" w:color="auto"/>
              <w:right w:val="single" w:sz="4" w:space="0" w:color="auto"/>
            </w:tcBorders>
          </w:tcPr>
          <w:p w14:paraId="5DCCF518" w14:textId="77777777" w:rsidR="00B27BEC" w:rsidRPr="00B27BEC" w:rsidRDefault="00B27BEC" w:rsidP="00B27BEC">
            <w:pPr>
              <w:rPr>
                <w:rFonts w:cstheme="minorHAnsi"/>
                <w:bCs/>
                <w:sz w:val="18"/>
                <w:szCs w:val="18"/>
              </w:rPr>
            </w:pPr>
          </w:p>
        </w:tc>
        <w:tc>
          <w:tcPr>
            <w:tcW w:w="852" w:type="pct"/>
            <w:vMerge/>
            <w:tcBorders>
              <w:left w:val="single" w:sz="4" w:space="0" w:color="auto"/>
            </w:tcBorders>
            <w:shd w:val="clear" w:color="auto" w:fill="auto"/>
          </w:tcPr>
          <w:p w14:paraId="1AE3797B" w14:textId="77777777" w:rsidR="00B27BEC" w:rsidRPr="00B27BEC" w:rsidRDefault="00B27BEC" w:rsidP="00B27BEC">
            <w:pPr>
              <w:spacing w:after="0"/>
              <w:rPr>
                <w:rFonts w:cstheme="minorHAnsi"/>
                <w:b/>
                <w:sz w:val="18"/>
                <w:szCs w:val="18"/>
              </w:rPr>
            </w:pPr>
          </w:p>
        </w:tc>
        <w:tc>
          <w:tcPr>
            <w:tcW w:w="646" w:type="pct"/>
            <w:vMerge/>
            <w:shd w:val="clear" w:color="auto" w:fill="auto"/>
          </w:tcPr>
          <w:p w14:paraId="23B81C68" w14:textId="77777777" w:rsidR="00B27BEC" w:rsidRPr="00B27BEC" w:rsidRDefault="00B27BEC" w:rsidP="00B27BEC">
            <w:pPr>
              <w:spacing w:after="0"/>
              <w:rPr>
                <w:rFonts w:cstheme="minorHAnsi"/>
                <w:bCs/>
                <w:sz w:val="18"/>
                <w:szCs w:val="18"/>
              </w:rPr>
            </w:pPr>
          </w:p>
        </w:tc>
        <w:tc>
          <w:tcPr>
            <w:tcW w:w="1034" w:type="pct"/>
            <w:vMerge/>
            <w:shd w:val="clear" w:color="auto" w:fill="auto"/>
          </w:tcPr>
          <w:p w14:paraId="69268883" w14:textId="77777777" w:rsidR="00B27BEC" w:rsidRPr="00B27BEC" w:rsidRDefault="00B27BEC" w:rsidP="00B27BEC">
            <w:pPr>
              <w:spacing w:after="0"/>
              <w:rPr>
                <w:rFonts w:cstheme="minorHAnsi"/>
                <w:bCs/>
                <w:sz w:val="18"/>
                <w:szCs w:val="18"/>
                <w:u w:val="single"/>
              </w:rPr>
            </w:pPr>
          </w:p>
        </w:tc>
        <w:tc>
          <w:tcPr>
            <w:tcW w:w="420" w:type="pct"/>
            <w:shd w:val="clear" w:color="auto" w:fill="92D050"/>
            <w:vAlign w:val="center"/>
          </w:tcPr>
          <w:p w14:paraId="064FF56A" w14:textId="77777777" w:rsidR="00B27BEC" w:rsidRPr="00B27BEC" w:rsidRDefault="00B27BEC" w:rsidP="00B27BEC">
            <w:pPr>
              <w:spacing w:after="0"/>
              <w:jc w:val="center"/>
              <w:rPr>
                <w:color w:val="auto"/>
                <w:spacing w:val="-1"/>
                <w:sz w:val="18"/>
              </w:rPr>
            </w:pPr>
            <w:r w:rsidRPr="00B27BEC">
              <w:rPr>
                <w:rFonts w:hAnsi="Century Gothic"/>
                <w:color w:val="auto"/>
                <w:sz w:val="18"/>
                <w:szCs w:val="18"/>
              </w:rPr>
              <w:t>Low to Moderate</w:t>
            </w:r>
          </w:p>
        </w:tc>
        <w:tc>
          <w:tcPr>
            <w:tcW w:w="711" w:type="pct"/>
            <w:vMerge/>
            <w:shd w:val="clear" w:color="auto" w:fill="95B3D7" w:themeFill="accent1" w:themeFillTint="99"/>
            <w:vAlign w:val="center"/>
          </w:tcPr>
          <w:p w14:paraId="4486A598" w14:textId="77777777" w:rsidR="00B27BEC" w:rsidRPr="00B27BEC" w:rsidRDefault="00B27BEC" w:rsidP="00B27BEC">
            <w:pPr>
              <w:rPr>
                <w:color w:val="auto"/>
                <w:spacing w:val="-1"/>
                <w:sz w:val="18"/>
              </w:rPr>
            </w:pPr>
          </w:p>
        </w:tc>
        <w:tc>
          <w:tcPr>
            <w:tcW w:w="513" w:type="pct"/>
            <w:tcBorders>
              <w:right w:val="single" w:sz="12" w:space="0" w:color="auto"/>
            </w:tcBorders>
            <w:shd w:val="clear" w:color="auto" w:fill="92D050"/>
            <w:vAlign w:val="center"/>
          </w:tcPr>
          <w:p w14:paraId="7C8B99FF" w14:textId="77777777" w:rsidR="00B27BEC" w:rsidRPr="00B27BEC" w:rsidRDefault="00B27BEC" w:rsidP="00B27BEC">
            <w:pPr>
              <w:spacing w:after="0"/>
              <w:jc w:val="center"/>
              <w:rPr>
                <w:color w:val="auto"/>
                <w:sz w:val="18"/>
                <w:szCs w:val="18"/>
              </w:rPr>
            </w:pPr>
            <w:r w:rsidRPr="00B27BEC">
              <w:rPr>
                <w:rFonts w:hAnsi="Century Gothic"/>
                <w:color w:val="auto"/>
                <w:sz w:val="18"/>
                <w:szCs w:val="18"/>
              </w:rPr>
              <w:t>Low</w:t>
            </w:r>
          </w:p>
        </w:tc>
      </w:tr>
      <w:tr w:rsidR="00B27BEC" w:rsidRPr="00B27BEC" w14:paraId="1097170D" w14:textId="77777777" w:rsidTr="00B27BEC">
        <w:trPr>
          <w:trHeight w:val="3539"/>
        </w:trPr>
        <w:tc>
          <w:tcPr>
            <w:tcW w:w="403" w:type="pct"/>
            <w:vMerge/>
            <w:tcBorders>
              <w:left w:val="single" w:sz="12" w:space="0" w:color="auto"/>
              <w:bottom w:val="single" w:sz="12" w:space="0" w:color="auto"/>
              <w:right w:val="single" w:sz="4" w:space="0" w:color="auto"/>
            </w:tcBorders>
            <w:shd w:val="clear" w:color="auto" w:fill="auto"/>
          </w:tcPr>
          <w:p w14:paraId="17982610" w14:textId="77777777" w:rsidR="00B27BEC" w:rsidRPr="00B27BEC" w:rsidRDefault="00B27BEC" w:rsidP="00B27BEC">
            <w:pPr>
              <w:rPr>
                <w:b/>
                <w:bCs/>
                <w:color w:val="FF0000"/>
                <w:sz w:val="18"/>
                <w:szCs w:val="18"/>
              </w:rPr>
            </w:pPr>
          </w:p>
        </w:tc>
        <w:tc>
          <w:tcPr>
            <w:tcW w:w="421" w:type="pct"/>
            <w:tcBorders>
              <w:left w:val="single" w:sz="4" w:space="0" w:color="auto"/>
              <w:bottom w:val="single" w:sz="12" w:space="0" w:color="auto"/>
              <w:right w:val="single" w:sz="4" w:space="0" w:color="auto"/>
            </w:tcBorders>
          </w:tcPr>
          <w:p w14:paraId="42F90363" w14:textId="77777777" w:rsidR="00B27BEC" w:rsidRPr="00B27BEC" w:rsidRDefault="00B27BEC" w:rsidP="00B27BEC">
            <w:pPr>
              <w:spacing w:after="0"/>
              <w:rPr>
                <w:rFonts w:cstheme="minorHAnsi"/>
                <w:bCs/>
                <w:color w:val="auto"/>
                <w:sz w:val="18"/>
                <w:szCs w:val="18"/>
              </w:rPr>
            </w:pPr>
            <w:r w:rsidRPr="00B27BEC">
              <w:rPr>
                <w:rFonts w:cstheme="minorHAnsi"/>
                <w:bCs/>
                <w:color w:val="auto"/>
                <w:sz w:val="18"/>
                <w:szCs w:val="18"/>
              </w:rPr>
              <w:t>Inundate key habitat (large woody debris), support key ecosystem functions (nutrient, sediment and carbon cycling) and support recruitment opportunities for a range of native aquatic species (fish, frogs, turtles and invertebrates)</w:t>
            </w:r>
          </w:p>
          <w:p w14:paraId="6603C30E" w14:textId="77777777" w:rsidR="00B27BEC" w:rsidRPr="00B27BEC" w:rsidRDefault="00B27BEC" w:rsidP="00B27BEC">
            <w:pPr>
              <w:spacing w:after="0"/>
              <w:rPr>
                <w:rFonts w:ascii="Century Gothic" w:hAnsi="Century Gothic" w:cs="Times New Roman"/>
                <w:bCs/>
                <w:sz w:val="18"/>
                <w:szCs w:val="18"/>
              </w:rPr>
            </w:pPr>
          </w:p>
          <w:p w14:paraId="395EE4FA" w14:textId="77777777" w:rsidR="00B27BEC" w:rsidRPr="00B27BEC" w:rsidRDefault="00B27BEC" w:rsidP="00B27BEC">
            <w:pPr>
              <w:rPr>
                <w:rFonts w:cstheme="minorHAnsi"/>
                <w:bCs/>
                <w:sz w:val="18"/>
                <w:szCs w:val="18"/>
              </w:rPr>
            </w:pPr>
          </w:p>
        </w:tc>
        <w:tc>
          <w:tcPr>
            <w:tcW w:w="852" w:type="pct"/>
            <w:tcBorders>
              <w:left w:val="single" w:sz="4" w:space="0" w:color="auto"/>
              <w:bottom w:val="single" w:sz="12" w:space="0" w:color="auto"/>
            </w:tcBorders>
            <w:shd w:val="clear" w:color="auto" w:fill="auto"/>
          </w:tcPr>
          <w:p w14:paraId="08830C16" w14:textId="77777777" w:rsidR="00B27BEC" w:rsidRPr="00B27BEC" w:rsidRDefault="00B27BEC" w:rsidP="00B27BEC">
            <w:pPr>
              <w:spacing w:after="0"/>
              <w:rPr>
                <w:rFonts w:cstheme="minorHAnsi"/>
                <w:b/>
                <w:sz w:val="18"/>
                <w:szCs w:val="18"/>
              </w:rPr>
            </w:pPr>
            <w:r w:rsidRPr="00B27BEC">
              <w:rPr>
                <w:rFonts w:cstheme="minorHAnsi"/>
                <w:b/>
                <w:sz w:val="18"/>
                <w:szCs w:val="18"/>
              </w:rPr>
              <w:t>Small in-channel fresh</w:t>
            </w:r>
          </w:p>
          <w:p w14:paraId="2673637D" w14:textId="77777777" w:rsidR="00B27BEC" w:rsidRPr="00B27BEC" w:rsidRDefault="00B27BEC" w:rsidP="00B27BEC">
            <w:pPr>
              <w:spacing w:after="0"/>
              <w:rPr>
                <w:rFonts w:cstheme="minorHAnsi"/>
                <w:bCs/>
                <w:sz w:val="18"/>
                <w:szCs w:val="18"/>
                <w:u w:val="single"/>
              </w:rPr>
            </w:pPr>
            <w:r w:rsidRPr="00B27BEC">
              <w:rPr>
                <w:rFonts w:cstheme="minorHAnsi"/>
                <w:bCs/>
                <w:sz w:val="18"/>
                <w:szCs w:val="18"/>
                <w:u w:val="single"/>
              </w:rPr>
              <w:t xml:space="preserve">Lower Macintyre and Barwon Rivers </w:t>
            </w:r>
          </w:p>
          <w:p w14:paraId="33BC6E6E" w14:textId="77777777" w:rsidR="00B27BEC" w:rsidRPr="00B27BEC" w:rsidRDefault="00B27BEC" w:rsidP="00B27BEC">
            <w:pPr>
              <w:spacing w:after="0"/>
              <w:rPr>
                <w:rFonts w:cstheme="minorHAnsi"/>
                <w:b/>
                <w:sz w:val="18"/>
                <w:szCs w:val="18"/>
              </w:rPr>
            </w:pPr>
            <w:r w:rsidRPr="00B27BEC">
              <w:rPr>
                <w:rFonts w:cstheme="minorHAnsi"/>
                <w:bCs/>
                <w:sz w:val="18"/>
                <w:szCs w:val="18"/>
              </w:rPr>
              <w:t>4 000 ML/day at Mungindi (end of system) for a minimum 5–11 days (SF).</w:t>
            </w:r>
          </w:p>
        </w:tc>
        <w:tc>
          <w:tcPr>
            <w:tcW w:w="646" w:type="pct"/>
            <w:tcBorders>
              <w:top w:val="single" w:sz="4" w:space="0" w:color="auto"/>
              <w:bottom w:val="single" w:sz="12" w:space="0" w:color="auto"/>
            </w:tcBorders>
            <w:shd w:val="clear" w:color="auto" w:fill="auto"/>
          </w:tcPr>
          <w:p w14:paraId="5EE53864" w14:textId="77777777" w:rsidR="00B27BEC" w:rsidRPr="00B27BEC" w:rsidRDefault="00B27BEC" w:rsidP="00B27BEC">
            <w:pPr>
              <w:spacing w:after="0"/>
              <w:rPr>
                <w:rFonts w:cstheme="minorHAnsi"/>
                <w:bCs/>
                <w:color w:val="auto"/>
                <w:sz w:val="18"/>
                <w:szCs w:val="18"/>
              </w:rPr>
            </w:pPr>
            <w:r w:rsidRPr="00B27BEC">
              <w:rPr>
                <w:rFonts w:cstheme="minorHAnsi"/>
                <w:bCs/>
                <w:color w:val="auto"/>
                <w:sz w:val="18"/>
                <w:szCs w:val="18"/>
              </w:rPr>
              <w:t xml:space="preserve">1 in 3–4 years </w:t>
            </w:r>
          </w:p>
          <w:p w14:paraId="1AB14AA4" w14:textId="77777777" w:rsidR="00B27BEC" w:rsidRPr="00B27BEC" w:rsidRDefault="00B27BEC" w:rsidP="00B27BEC">
            <w:pPr>
              <w:spacing w:after="0"/>
              <w:rPr>
                <w:rFonts w:cstheme="minorHAnsi"/>
                <w:bCs/>
                <w:color w:val="auto"/>
                <w:sz w:val="18"/>
                <w:szCs w:val="18"/>
              </w:rPr>
            </w:pPr>
            <w:r w:rsidRPr="00B27BEC">
              <w:rPr>
                <w:rFonts w:cstheme="minorHAnsi"/>
                <w:bCs/>
                <w:color w:val="auto"/>
                <w:sz w:val="18"/>
                <w:szCs w:val="18"/>
              </w:rPr>
              <w:t>(Max. dry interval of 7–14 years</w:t>
            </w:r>
          </w:p>
          <w:p w14:paraId="1E894827" w14:textId="77777777" w:rsidR="00B27BEC" w:rsidRPr="00B27BEC" w:rsidRDefault="00B27BEC" w:rsidP="00B27BEC">
            <w:pPr>
              <w:spacing w:after="0"/>
              <w:rPr>
                <w:rFonts w:cstheme="minorHAnsi"/>
                <w:bCs/>
                <w:color w:val="auto"/>
                <w:sz w:val="18"/>
                <w:szCs w:val="18"/>
              </w:rPr>
            </w:pPr>
            <w:r w:rsidRPr="00B27BEC">
              <w:rPr>
                <w:rFonts w:cstheme="minorHAnsi"/>
                <w:bCs/>
                <w:color w:val="auto"/>
                <w:sz w:val="18"/>
                <w:szCs w:val="18"/>
              </w:rPr>
              <w:t>Oct–Dec (inundate habitat)</w:t>
            </w:r>
          </w:p>
          <w:p w14:paraId="13A1BA17" w14:textId="77777777" w:rsidR="00B27BEC" w:rsidRPr="00B27BEC" w:rsidRDefault="00B27BEC" w:rsidP="00B27BEC">
            <w:pPr>
              <w:spacing w:after="0"/>
              <w:rPr>
                <w:rFonts w:cstheme="minorHAnsi"/>
                <w:bCs/>
                <w:color w:val="auto"/>
                <w:sz w:val="18"/>
                <w:szCs w:val="18"/>
              </w:rPr>
            </w:pPr>
            <w:r w:rsidRPr="00B27BEC">
              <w:rPr>
                <w:rFonts w:cstheme="minorHAnsi"/>
                <w:bCs/>
                <w:color w:val="auto"/>
                <w:sz w:val="18"/>
                <w:szCs w:val="18"/>
              </w:rPr>
              <w:t>1 in 2–3 years</w:t>
            </w:r>
          </w:p>
          <w:p w14:paraId="3E6CC77E" w14:textId="77777777" w:rsidR="00B27BEC" w:rsidRPr="00B27BEC" w:rsidRDefault="00B27BEC" w:rsidP="00B27BEC">
            <w:pPr>
              <w:spacing w:after="0"/>
              <w:rPr>
                <w:rFonts w:cstheme="minorHAnsi"/>
                <w:bCs/>
                <w:color w:val="auto"/>
                <w:sz w:val="18"/>
                <w:szCs w:val="18"/>
              </w:rPr>
            </w:pPr>
            <w:r w:rsidRPr="00B27BEC">
              <w:rPr>
                <w:rFonts w:cstheme="minorHAnsi"/>
                <w:bCs/>
                <w:color w:val="auto"/>
                <w:sz w:val="18"/>
                <w:szCs w:val="18"/>
              </w:rPr>
              <w:t>(Max. dry interval of 6–8 years</w:t>
            </w:r>
          </w:p>
          <w:p w14:paraId="6E2DFD05" w14:textId="77777777" w:rsidR="00B27BEC" w:rsidRPr="00B27BEC" w:rsidRDefault="00B27BEC" w:rsidP="00B27BEC">
            <w:pPr>
              <w:spacing w:after="0"/>
              <w:rPr>
                <w:rFonts w:cstheme="minorHAnsi"/>
                <w:bCs/>
                <w:color w:val="auto"/>
                <w:sz w:val="18"/>
                <w:szCs w:val="18"/>
              </w:rPr>
            </w:pPr>
            <w:r w:rsidRPr="00B27BEC">
              <w:rPr>
                <w:rFonts w:cstheme="minorHAnsi"/>
                <w:bCs/>
                <w:color w:val="auto"/>
                <w:sz w:val="18"/>
                <w:szCs w:val="18"/>
              </w:rPr>
              <w:t xml:space="preserve">Oct–Mar </w:t>
            </w:r>
          </w:p>
          <w:p w14:paraId="75509742" w14:textId="77777777" w:rsidR="00B27BEC" w:rsidRPr="00B27BEC" w:rsidRDefault="00B27BEC" w:rsidP="00B27BEC">
            <w:pPr>
              <w:spacing w:after="0"/>
              <w:rPr>
                <w:rFonts w:cstheme="minorHAnsi"/>
                <w:bCs/>
                <w:color w:val="auto"/>
                <w:sz w:val="18"/>
                <w:szCs w:val="18"/>
              </w:rPr>
            </w:pPr>
            <w:r w:rsidRPr="00B27BEC">
              <w:rPr>
                <w:rFonts w:cstheme="minorHAnsi"/>
                <w:bCs/>
                <w:color w:val="auto"/>
                <w:sz w:val="18"/>
                <w:szCs w:val="18"/>
              </w:rPr>
              <w:t>(support key ecosystem functions)</w:t>
            </w:r>
          </w:p>
          <w:p w14:paraId="2FC7B54A" w14:textId="77777777" w:rsidR="00B27BEC" w:rsidRPr="00B27BEC" w:rsidRDefault="00B27BEC" w:rsidP="00B27BEC">
            <w:pPr>
              <w:spacing w:after="0"/>
              <w:rPr>
                <w:rFonts w:cstheme="minorHAnsi"/>
                <w:bCs/>
                <w:color w:val="auto"/>
                <w:sz w:val="18"/>
                <w:szCs w:val="18"/>
              </w:rPr>
            </w:pPr>
            <w:r w:rsidRPr="00B27BEC">
              <w:rPr>
                <w:rFonts w:cstheme="minorHAnsi"/>
                <w:bCs/>
                <w:color w:val="auto"/>
                <w:sz w:val="18"/>
                <w:szCs w:val="18"/>
              </w:rPr>
              <w:t xml:space="preserve">Occur twice a year every 1 in 3–4 years </w:t>
            </w:r>
          </w:p>
          <w:p w14:paraId="1B82AA88" w14:textId="77777777" w:rsidR="00B27BEC" w:rsidRPr="00B27BEC" w:rsidRDefault="00B27BEC" w:rsidP="00B27BEC">
            <w:pPr>
              <w:spacing w:after="0"/>
              <w:rPr>
                <w:rFonts w:cstheme="minorHAnsi"/>
                <w:bCs/>
                <w:color w:val="auto"/>
                <w:sz w:val="18"/>
                <w:szCs w:val="18"/>
              </w:rPr>
            </w:pPr>
            <w:r w:rsidRPr="00B27BEC">
              <w:rPr>
                <w:rFonts w:cstheme="minorHAnsi"/>
                <w:bCs/>
                <w:color w:val="auto"/>
                <w:sz w:val="18"/>
                <w:szCs w:val="18"/>
              </w:rPr>
              <w:t>(max. dry interval unknown)</w:t>
            </w:r>
          </w:p>
          <w:p w14:paraId="7ED4E44A" w14:textId="77777777" w:rsidR="00B27BEC" w:rsidRPr="00B27BEC" w:rsidRDefault="00B27BEC" w:rsidP="00B27BEC">
            <w:pPr>
              <w:spacing w:after="0"/>
              <w:rPr>
                <w:rFonts w:cstheme="minorHAnsi"/>
                <w:bCs/>
                <w:color w:val="auto"/>
                <w:sz w:val="18"/>
                <w:szCs w:val="18"/>
              </w:rPr>
            </w:pPr>
            <w:r w:rsidRPr="00B27BEC">
              <w:rPr>
                <w:rFonts w:cstheme="minorHAnsi"/>
                <w:bCs/>
                <w:color w:val="auto"/>
                <w:sz w:val="18"/>
                <w:szCs w:val="18"/>
              </w:rPr>
              <w:t>Oct–Dec</w:t>
            </w:r>
          </w:p>
          <w:p w14:paraId="4846F6A0" w14:textId="77777777" w:rsidR="00B27BEC" w:rsidRPr="00B27BEC" w:rsidRDefault="00B27BEC" w:rsidP="00B27BEC">
            <w:pPr>
              <w:spacing w:after="0"/>
              <w:rPr>
                <w:rFonts w:cstheme="minorHAnsi"/>
                <w:bCs/>
                <w:sz w:val="18"/>
                <w:szCs w:val="18"/>
              </w:rPr>
            </w:pPr>
            <w:r w:rsidRPr="00B27BEC">
              <w:rPr>
                <w:rFonts w:cstheme="minorHAnsi"/>
                <w:bCs/>
                <w:color w:val="auto"/>
                <w:sz w:val="18"/>
                <w:szCs w:val="18"/>
              </w:rPr>
              <w:t>(needs of threatened native fish)</w:t>
            </w:r>
          </w:p>
        </w:tc>
        <w:tc>
          <w:tcPr>
            <w:tcW w:w="1034" w:type="pct"/>
            <w:tcBorders>
              <w:bottom w:val="single" w:sz="12" w:space="0" w:color="auto"/>
            </w:tcBorders>
            <w:shd w:val="clear" w:color="auto" w:fill="auto"/>
          </w:tcPr>
          <w:p w14:paraId="657028D2" w14:textId="77777777" w:rsidR="00B27BEC" w:rsidRPr="00B27BEC" w:rsidRDefault="00B27BEC" w:rsidP="00B27BEC">
            <w:pPr>
              <w:spacing w:before="40" w:after="0"/>
              <w:rPr>
                <w:rFonts w:cstheme="minorHAnsi"/>
                <w:bCs/>
                <w:color w:val="auto"/>
                <w:sz w:val="18"/>
                <w:szCs w:val="18"/>
              </w:rPr>
            </w:pPr>
            <w:r w:rsidRPr="00B27BEC">
              <w:rPr>
                <w:rFonts w:cstheme="minorHAnsi"/>
                <w:bCs/>
                <w:color w:val="auto"/>
                <w:sz w:val="18"/>
                <w:szCs w:val="18"/>
                <w:u w:val="single"/>
              </w:rPr>
              <w:t>(Inundate habitat and meet needs of threatened fish species (Oct–Dec)</w:t>
            </w:r>
            <w:r w:rsidRPr="00B27BEC">
              <w:rPr>
                <w:rFonts w:cstheme="minorHAnsi"/>
                <w:bCs/>
                <w:color w:val="auto"/>
                <w:sz w:val="18"/>
                <w:szCs w:val="18"/>
              </w:rPr>
              <w:t xml:space="preserve"> </w:t>
            </w:r>
          </w:p>
          <w:p w14:paraId="1ADAF22F" w14:textId="77777777" w:rsidR="00B27BEC" w:rsidRPr="00B27BEC" w:rsidRDefault="00B27BEC" w:rsidP="00B27BEC">
            <w:pPr>
              <w:spacing w:before="40" w:after="0"/>
              <w:rPr>
                <w:rFonts w:cstheme="minorHAnsi"/>
                <w:bCs/>
                <w:color w:val="auto"/>
                <w:sz w:val="18"/>
                <w:szCs w:val="18"/>
              </w:rPr>
            </w:pPr>
            <w:r w:rsidRPr="00B27BEC">
              <w:rPr>
                <w:rFonts w:cstheme="minorHAnsi"/>
                <w:bCs/>
                <w:color w:val="auto"/>
                <w:sz w:val="18"/>
                <w:szCs w:val="18"/>
              </w:rPr>
              <w:t xml:space="preserve">Last met 2016 (not met 2013, 2014 or 2015). Not met 2017–18, 2018–19 or 2019–20. Environmental demand high in 2020–21, moving to moderate to high if watering occurs as planned. </w:t>
            </w:r>
          </w:p>
          <w:p w14:paraId="5C89AC25" w14:textId="77777777" w:rsidR="00B27BEC" w:rsidRPr="00B27BEC" w:rsidRDefault="00B27BEC" w:rsidP="00B27BEC">
            <w:pPr>
              <w:spacing w:before="40" w:after="0"/>
              <w:rPr>
                <w:rFonts w:cstheme="minorHAnsi"/>
                <w:bCs/>
                <w:color w:val="auto"/>
                <w:sz w:val="18"/>
                <w:szCs w:val="18"/>
              </w:rPr>
            </w:pPr>
            <w:r w:rsidRPr="00B27BEC">
              <w:rPr>
                <w:rFonts w:cstheme="minorHAnsi"/>
                <w:bCs/>
                <w:color w:val="auto"/>
                <w:sz w:val="18"/>
                <w:szCs w:val="18"/>
                <w:u w:val="single"/>
              </w:rPr>
              <w:t>Oct–March (key ecosystem functions)</w:t>
            </w:r>
            <w:r w:rsidRPr="00B27BEC">
              <w:rPr>
                <w:rFonts w:cstheme="minorHAnsi"/>
                <w:bCs/>
                <w:color w:val="auto"/>
                <w:sz w:val="18"/>
                <w:szCs w:val="18"/>
              </w:rPr>
              <w:t xml:space="preserve"> </w:t>
            </w:r>
          </w:p>
          <w:p w14:paraId="289DF4B0" w14:textId="77777777" w:rsidR="00B27BEC" w:rsidRPr="00B27BEC" w:rsidRDefault="00B27BEC" w:rsidP="00B27BEC">
            <w:pPr>
              <w:spacing w:after="0"/>
              <w:rPr>
                <w:rFonts w:cstheme="minorHAnsi"/>
                <w:bCs/>
                <w:sz w:val="18"/>
                <w:szCs w:val="18"/>
                <w:u w:val="single"/>
              </w:rPr>
            </w:pPr>
            <w:r w:rsidRPr="00B27BEC">
              <w:rPr>
                <w:rFonts w:cstheme="minorHAnsi"/>
                <w:bCs/>
                <w:color w:val="auto"/>
                <w:sz w:val="18"/>
                <w:szCs w:val="18"/>
              </w:rPr>
              <w:t>Met in 2012–13 (not met between 2013–14 and 2018–19). Partially met in 2019–20 (mean daily flows at Mungindi &gt;4 000 ML/day for five days between 23 February 2020 and 27 February 2020). Environmental demand high, moving to moderate to high if watering occurs as planned.</w:t>
            </w:r>
          </w:p>
        </w:tc>
        <w:tc>
          <w:tcPr>
            <w:tcW w:w="420" w:type="pct"/>
            <w:tcBorders>
              <w:bottom w:val="single" w:sz="12" w:space="0" w:color="auto"/>
            </w:tcBorders>
            <w:shd w:val="clear" w:color="auto" w:fill="FF0000"/>
            <w:vAlign w:val="center"/>
          </w:tcPr>
          <w:p w14:paraId="4EC0D755" w14:textId="77777777" w:rsidR="00B27BEC" w:rsidRPr="00B27BEC" w:rsidRDefault="00B27BEC" w:rsidP="00B27BEC">
            <w:pPr>
              <w:spacing w:after="0"/>
              <w:jc w:val="center"/>
              <w:rPr>
                <w:color w:val="auto"/>
                <w:spacing w:val="-1"/>
                <w:sz w:val="18"/>
              </w:rPr>
            </w:pPr>
            <w:r w:rsidRPr="00B27BEC">
              <w:rPr>
                <w:rFonts w:hAnsi="Century Gothic"/>
                <w:color w:val="auto"/>
                <w:sz w:val="18"/>
                <w:szCs w:val="18"/>
              </w:rPr>
              <w:t>High</w:t>
            </w:r>
          </w:p>
        </w:tc>
        <w:tc>
          <w:tcPr>
            <w:tcW w:w="711" w:type="pct"/>
            <w:tcBorders>
              <w:bottom w:val="single" w:sz="12" w:space="0" w:color="auto"/>
            </w:tcBorders>
            <w:shd w:val="clear" w:color="auto" w:fill="A6A6A6" w:themeFill="background1" w:themeFillShade="A6"/>
            <w:vAlign w:val="center"/>
          </w:tcPr>
          <w:p w14:paraId="5711B816" w14:textId="77777777" w:rsidR="00B27BEC" w:rsidRPr="00B27BEC" w:rsidRDefault="00B27BEC" w:rsidP="00B27BEC">
            <w:pPr>
              <w:jc w:val="center"/>
              <w:rPr>
                <w:color w:val="auto"/>
                <w:spacing w:val="-1"/>
                <w:sz w:val="18"/>
              </w:rPr>
            </w:pPr>
            <w:r w:rsidRPr="00B27BEC">
              <w:rPr>
                <w:rFonts w:cstheme="minorHAnsi"/>
                <w:color w:val="auto"/>
                <w:sz w:val="18"/>
                <w:szCs w:val="18"/>
              </w:rPr>
              <w:t>Unable to receive Commonwealth environmental water due to constraints.</w:t>
            </w:r>
          </w:p>
        </w:tc>
        <w:tc>
          <w:tcPr>
            <w:tcW w:w="513" w:type="pct"/>
            <w:tcBorders>
              <w:bottom w:val="single" w:sz="12" w:space="0" w:color="auto"/>
              <w:right w:val="single" w:sz="12" w:space="0" w:color="auto"/>
            </w:tcBorders>
            <w:shd w:val="clear" w:color="auto" w:fill="FFC000"/>
            <w:vAlign w:val="center"/>
          </w:tcPr>
          <w:p w14:paraId="5DD00685" w14:textId="77777777" w:rsidR="00B27BEC" w:rsidRPr="00B27BEC" w:rsidRDefault="00B27BEC" w:rsidP="00B27BEC">
            <w:pPr>
              <w:spacing w:after="0"/>
              <w:jc w:val="center"/>
              <w:rPr>
                <w:color w:val="auto"/>
                <w:sz w:val="18"/>
                <w:szCs w:val="18"/>
              </w:rPr>
            </w:pPr>
            <w:r w:rsidRPr="00B27BEC">
              <w:rPr>
                <w:rFonts w:hAnsi="Century Gothic"/>
                <w:color w:val="auto"/>
                <w:sz w:val="18"/>
                <w:szCs w:val="18"/>
              </w:rPr>
              <w:t>Moderate to High</w:t>
            </w:r>
          </w:p>
        </w:tc>
      </w:tr>
      <w:tr w:rsidR="00B27BEC" w:rsidRPr="00B27BEC" w14:paraId="6C846482" w14:textId="77777777" w:rsidTr="00B27BEC">
        <w:trPr>
          <w:trHeight w:val="925"/>
        </w:trPr>
        <w:tc>
          <w:tcPr>
            <w:tcW w:w="403" w:type="pct"/>
            <w:vMerge w:val="restart"/>
            <w:tcBorders>
              <w:top w:val="single" w:sz="12" w:space="0" w:color="auto"/>
              <w:left w:val="single" w:sz="12" w:space="0" w:color="auto"/>
              <w:right w:val="single" w:sz="4" w:space="0" w:color="auto"/>
            </w:tcBorders>
            <w:shd w:val="clear" w:color="auto" w:fill="auto"/>
          </w:tcPr>
          <w:p w14:paraId="0F5C156F" w14:textId="77777777" w:rsidR="00B27BEC" w:rsidRPr="00B27BEC" w:rsidRDefault="00B27BEC" w:rsidP="00B27BEC">
            <w:pPr>
              <w:spacing w:after="0"/>
              <w:rPr>
                <w:b/>
                <w:bCs/>
                <w:spacing w:val="-1"/>
                <w:sz w:val="18"/>
              </w:rPr>
            </w:pPr>
            <w:r w:rsidRPr="00B27BEC">
              <w:rPr>
                <w:b/>
                <w:bCs/>
                <w:spacing w:val="-1"/>
                <w:sz w:val="18"/>
              </w:rPr>
              <w:lastRenderedPageBreak/>
              <w:t xml:space="preserve">In channel assets – Boomi River </w:t>
            </w:r>
          </w:p>
          <w:p w14:paraId="5AAEF048" w14:textId="77777777" w:rsidR="00B27BEC" w:rsidRPr="00B27BEC" w:rsidRDefault="00B27BEC" w:rsidP="00B27BEC">
            <w:pPr>
              <w:rPr>
                <w:b/>
                <w:bCs/>
                <w:color w:val="FF0000"/>
                <w:sz w:val="18"/>
                <w:szCs w:val="18"/>
              </w:rPr>
            </w:pPr>
          </w:p>
        </w:tc>
        <w:tc>
          <w:tcPr>
            <w:tcW w:w="421" w:type="pct"/>
            <w:vMerge w:val="restart"/>
            <w:tcBorders>
              <w:top w:val="single" w:sz="12" w:space="0" w:color="auto"/>
              <w:left w:val="single" w:sz="4" w:space="0" w:color="auto"/>
              <w:right w:val="single" w:sz="4" w:space="0" w:color="auto"/>
            </w:tcBorders>
          </w:tcPr>
          <w:p w14:paraId="0444D366" w14:textId="77777777" w:rsidR="00B27BEC" w:rsidRPr="00B27BEC" w:rsidRDefault="00B27BEC" w:rsidP="00B27BEC">
            <w:pPr>
              <w:rPr>
                <w:rFonts w:cstheme="minorHAnsi"/>
                <w:bCs/>
                <w:sz w:val="18"/>
                <w:szCs w:val="18"/>
              </w:rPr>
            </w:pPr>
            <w:r w:rsidRPr="00B27BEC">
              <w:rPr>
                <w:rFonts w:cstheme="minorHAnsi"/>
                <w:bCs/>
                <w:color w:val="auto"/>
                <w:sz w:val="18"/>
                <w:szCs w:val="18"/>
              </w:rPr>
              <w:t>Inundate key habitat Boomi (large woody debris and fallen timber on bench platforms and inset floodplain areas), native fish assets (including recorded or expected threatened native fish species).</w:t>
            </w:r>
            <w:r w:rsidRPr="00B27BEC">
              <w:t xml:space="preserve"> </w:t>
            </w:r>
          </w:p>
        </w:tc>
        <w:tc>
          <w:tcPr>
            <w:tcW w:w="852" w:type="pct"/>
            <w:vMerge w:val="restart"/>
            <w:tcBorders>
              <w:top w:val="single" w:sz="12" w:space="0" w:color="auto"/>
              <w:left w:val="single" w:sz="4" w:space="0" w:color="auto"/>
            </w:tcBorders>
            <w:shd w:val="clear" w:color="auto" w:fill="auto"/>
          </w:tcPr>
          <w:p w14:paraId="5F6EB057" w14:textId="77777777" w:rsidR="00B27BEC" w:rsidRPr="00B27BEC" w:rsidRDefault="00B27BEC" w:rsidP="00B27BEC">
            <w:pPr>
              <w:spacing w:after="60"/>
              <w:rPr>
                <w:rFonts w:cstheme="minorHAnsi"/>
                <w:sz w:val="18"/>
                <w:szCs w:val="18"/>
              </w:rPr>
            </w:pPr>
            <w:r w:rsidRPr="00B27BEC">
              <w:rPr>
                <w:rFonts w:cstheme="minorHAnsi"/>
                <w:sz w:val="18"/>
                <w:szCs w:val="18"/>
              </w:rPr>
              <w:t>BF (&gt;5 ML/day) for 7 days (Sept–Mar) at Boomi River upstream of Boomi Weir Offtake</w:t>
            </w:r>
          </w:p>
          <w:p w14:paraId="346FF3F7" w14:textId="77777777" w:rsidR="00B27BEC" w:rsidRPr="00B27BEC" w:rsidRDefault="00B27BEC" w:rsidP="00B27BEC">
            <w:pPr>
              <w:spacing w:after="60"/>
              <w:rPr>
                <w:rFonts w:cstheme="minorHAnsi"/>
                <w:sz w:val="18"/>
                <w:szCs w:val="18"/>
              </w:rPr>
            </w:pPr>
            <w:r w:rsidRPr="00B27BEC">
              <w:rPr>
                <w:rFonts w:cstheme="minorHAnsi"/>
                <w:sz w:val="18"/>
                <w:szCs w:val="18"/>
              </w:rPr>
              <w:t xml:space="preserve">SF1 (&gt;20 ML/day at Boomi River upstream of Boomi Weir Offtake) for minimum 10 days (Oct–Apr) </w:t>
            </w:r>
          </w:p>
          <w:p w14:paraId="45EF15F5" w14:textId="77777777" w:rsidR="00B27BEC" w:rsidRPr="00B27BEC" w:rsidRDefault="00B27BEC" w:rsidP="00B27BEC">
            <w:pPr>
              <w:spacing w:after="60"/>
              <w:rPr>
                <w:rFonts w:cstheme="minorHAnsi"/>
                <w:sz w:val="18"/>
                <w:szCs w:val="18"/>
              </w:rPr>
            </w:pPr>
            <w:r w:rsidRPr="00B27BEC">
              <w:rPr>
                <w:rFonts w:cstheme="minorHAnsi"/>
                <w:sz w:val="18"/>
                <w:szCs w:val="18"/>
              </w:rPr>
              <w:t xml:space="preserve">SF2 20–750 ML/day for minimum 14 days (Sept–Apr) </w:t>
            </w:r>
          </w:p>
          <w:p w14:paraId="002A3FEF" w14:textId="77777777" w:rsidR="00B27BEC" w:rsidRPr="00B27BEC" w:rsidRDefault="00B27BEC" w:rsidP="00B27BEC">
            <w:pPr>
              <w:spacing w:after="60"/>
              <w:rPr>
                <w:rFonts w:cstheme="minorHAnsi"/>
                <w:sz w:val="18"/>
                <w:szCs w:val="18"/>
              </w:rPr>
            </w:pPr>
            <w:r w:rsidRPr="00B27BEC">
              <w:rPr>
                <w:rFonts w:cstheme="minorHAnsi"/>
                <w:sz w:val="18"/>
                <w:szCs w:val="18"/>
              </w:rPr>
              <w:t xml:space="preserve">LF1 (&gt;750 ML/day) for 5 days (Jul–Sept) </w:t>
            </w:r>
          </w:p>
          <w:p w14:paraId="6FE364D3" w14:textId="77777777" w:rsidR="00B27BEC" w:rsidRPr="00B27BEC" w:rsidRDefault="00B27BEC" w:rsidP="00B27BEC">
            <w:pPr>
              <w:spacing w:after="60"/>
              <w:rPr>
                <w:rFonts w:cstheme="minorHAnsi"/>
                <w:b/>
                <w:sz w:val="18"/>
                <w:szCs w:val="18"/>
              </w:rPr>
            </w:pPr>
            <w:r w:rsidRPr="00B27BEC">
              <w:rPr>
                <w:rFonts w:cstheme="minorHAnsi"/>
                <w:sz w:val="18"/>
                <w:szCs w:val="18"/>
              </w:rPr>
              <w:t xml:space="preserve">LF2 (&gt;750 ML/day) for five days (Oct–Apr)  </w:t>
            </w:r>
          </w:p>
        </w:tc>
        <w:tc>
          <w:tcPr>
            <w:tcW w:w="646" w:type="pct"/>
            <w:vMerge w:val="restart"/>
            <w:tcBorders>
              <w:top w:val="single" w:sz="12" w:space="0" w:color="auto"/>
            </w:tcBorders>
            <w:shd w:val="clear" w:color="auto" w:fill="auto"/>
          </w:tcPr>
          <w:p w14:paraId="019FEAEB" w14:textId="77777777" w:rsidR="00B27BEC" w:rsidRPr="00B27BEC" w:rsidRDefault="00B27BEC" w:rsidP="00B27BEC">
            <w:pPr>
              <w:spacing w:after="0"/>
              <w:rPr>
                <w:rFonts w:cstheme="minorHAnsi"/>
                <w:bCs/>
                <w:color w:val="auto"/>
                <w:sz w:val="18"/>
                <w:szCs w:val="18"/>
              </w:rPr>
            </w:pPr>
            <w:r w:rsidRPr="00B27BEC">
              <w:rPr>
                <w:rFonts w:cstheme="minorHAnsi"/>
                <w:bCs/>
                <w:color w:val="auto"/>
                <w:sz w:val="18"/>
                <w:szCs w:val="18"/>
              </w:rPr>
              <w:t>1 in 1–2 years (75%) (baseflow) (max. dry interval unknown)</w:t>
            </w:r>
          </w:p>
          <w:p w14:paraId="6F03E966" w14:textId="77777777" w:rsidR="00B27BEC" w:rsidRPr="00B27BEC" w:rsidRDefault="00B27BEC" w:rsidP="00B27BEC">
            <w:pPr>
              <w:spacing w:after="0"/>
              <w:rPr>
                <w:rFonts w:cstheme="minorHAnsi"/>
                <w:bCs/>
                <w:color w:val="auto"/>
                <w:sz w:val="18"/>
                <w:szCs w:val="18"/>
              </w:rPr>
            </w:pPr>
            <w:r w:rsidRPr="00B27BEC">
              <w:rPr>
                <w:rFonts w:cstheme="minorHAnsi"/>
                <w:bCs/>
                <w:color w:val="auto"/>
                <w:sz w:val="18"/>
                <w:szCs w:val="18"/>
              </w:rPr>
              <w:t>Annual (100%) (SF1) (max. dry interval 1 year)</w:t>
            </w:r>
          </w:p>
          <w:p w14:paraId="041DD875" w14:textId="77777777" w:rsidR="00B27BEC" w:rsidRPr="00B27BEC" w:rsidRDefault="00B27BEC" w:rsidP="00B27BEC">
            <w:pPr>
              <w:spacing w:after="0"/>
              <w:rPr>
                <w:rFonts w:cstheme="minorHAnsi"/>
                <w:bCs/>
                <w:color w:val="auto"/>
                <w:sz w:val="18"/>
                <w:szCs w:val="18"/>
              </w:rPr>
            </w:pPr>
            <w:r w:rsidRPr="00B27BEC">
              <w:rPr>
                <w:rFonts w:cstheme="minorHAnsi"/>
                <w:bCs/>
                <w:color w:val="auto"/>
                <w:sz w:val="18"/>
                <w:szCs w:val="18"/>
              </w:rPr>
              <w:t>1 in 1–2 years (75%) (SF2) (LF1)</w:t>
            </w:r>
          </w:p>
          <w:p w14:paraId="0805BCD3" w14:textId="77777777" w:rsidR="00B27BEC" w:rsidRPr="00B27BEC" w:rsidRDefault="00B27BEC" w:rsidP="00B27BEC">
            <w:pPr>
              <w:spacing w:after="0"/>
              <w:rPr>
                <w:rFonts w:cstheme="minorHAnsi"/>
                <w:bCs/>
                <w:color w:val="auto"/>
                <w:sz w:val="18"/>
                <w:szCs w:val="18"/>
              </w:rPr>
            </w:pPr>
            <w:r w:rsidRPr="00B27BEC">
              <w:rPr>
                <w:rFonts w:cstheme="minorHAnsi"/>
                <w:bCs/>
                <w:color w:val="auto"/>
                <w:sz w:val="18"/>
                <w:szCs w:val="18"/>
              </w:rPr>
              <w:t>1 in 1–2 years ((75%) (LF1)</w:t>
            </w:r>
          </w:p>
          <w:p w14:paraId="5F29A698" w14:textId="77777777" w:rsidR="00B27BEC" w:rsidRPr="00B27BEC" w:rsidRDefault="00B27BEC" w:rsidP="00B27BEC">
            <w:pPr>
              <w:spacing w:after="0"/>
              <w:rPr>
                <w:rFonts w:cstheme="minorHAnsi"/>
                <w:bCs/>
                <w:sz w:val="18"/>
                <w:szCs w:val="18"/>
              </w:rPr>
            </w:pPr>
            <w:r w:rsidRPr="00B27BEC">
              <w:rPr>
                <w:rFonts w:cstheme="minorHAnsi"/>
                <w:bCs/>
                <w:color w:val="auto"/>
                <w:sz w:val="18"/>
                <w:szCs w:val="18"/>
              </w:rPr>
              <w:t>1 in 2–3 years (42%) (commencing as a rising flow only) (LF2)</w:t>
            </w:r>
          </w:p>
        </w:tc>
        <w:tc>
          <w:tcPr>
            <w:tcW w:w="1034" w:type="pct"/>
            <w:vMerge w:val="restart"/>
            <w:tcBorders>
              <w:top w:val="single" w:sz="12" w:space="0" w:color="auto"/>
            </w:tcBorders>
            <w:shd w:val="clear" w:color="auto" w:fill="auto"/>
          </w:tcPr>
          <w:p w14:paraId="5BE8FB0B" w14:textId="77777777" w:rsidR="00B27BEC" w:rsidRPr="00B27BEC" w:rsidRDefault="00B27BEC" w:rsidP="00B27BEC">
            <w:pPr>
              <w:spacing w:after="60"/>
              <w:rPr>
                <w:rFonts w:cstheme="minorHAnsi"/>
                <w:bCs/>
                <w:color w:val="auto"/>
                <w:sz w:val="18"/>
                <w:szCs w:val="18"/>
              </w:rPr>
            </w:pPr>
            <w:r w:rsidRPr="00B27BEC">
              <w:rPr>
                <w:rFonts w:cstheme="minorHAnsi"/>
                <w:bCs/>
                <w:color w:val="auto"/>
                <w:sz w:val="18"/>
                <w:szCs w:val="18"/>
              </w:rPr>
              <w:t xml:space="preserve">Base flow met annually since 2013–14. Required every 1–2 years so moderate environmental demand, moving to low if watering occurs as planned.  </w:t>
            </w:r>
          </w:p>
          <w:p w14:paraId="13F3CF6F" w14:textId="77777777" w:rsidR="00B27BEC" w:rsidRPr="00B27BEC" w:rsidRDefault="00B27BEC" w:rsidP="00B27BEC">
            <w:pPr>
              <w:spacing w:after="60"/>
              <w:rPr>
                <w:rFonts w:cstheme="minorHAnsi"/>
                <w:bCs/>
                <w:color w:val="auto"/>
                <w:sz w:val="18"/>
                <w:szCs w:val="18"/>
              </w:rPr>
            </w:pPr>
            <w:r w:rsidRPr="00B27BEC">
              <w:rPr>
                <w:rFonts w:cstheme="minorHAnsi"/>
                <w:bCs/>
                <w:color w:val="auto"/>
                <w:sz w:val="18"/>
                <w:szCs w:val="18"/>
              </w:rPr>
              <w:t xml:space="preserve">SF1 met in each year between 2013–14 and 2019–20. Required annually, therefore a high environmental demand. </w:t>
            </w:r>
          </w:p>
          <w:p w14:paraId="0B698129" w14:textId="77777777" w:rsidR="00B27BEC" w:rsidRPr="00B27BEC" w:rsidRDefault="00B27BEC" w:rsidP="00B27BEC">
            <w:pPr>
              <w:spacing w:after="60"/>
              <w:rPr>
                <w:rFonts w:cstheme="minorHAnsi"/>
                <w:bCs/>
                <w:color w:val="auto"/>
                <w:sz w:val="18"/>
                <w:szCs w:val="18"/>
              </w:rPr>
            </w:pPr>
            <w:r w:rsidRPr="00B27BEC">
              <w:rPr>
                <w:rFonts w:cstheme="minorHAnsi"/>
                <w:bCs/>
                <w:color w:val="auto"/>
                <w:sz w:val="18"/>
                <w:szCs w:val="18"/>
              </w:rPr>
              <w:t>SF2 met in each year between 2013–14 and 2019–20. Required every 1–2 years so moderate environmental demand, moving to low if watering occurs as planned.</w:t>
            </w:r>
          </w:p>
          <w:p w14:paraId="698CBF55" w14:textId="77777777" w:rsidR="00B27BEC" w:rsidRPr="00B27BEC" w:rsidRDefault="00B27BEC" w:rsidP="00B27BEC">
            <w:pPr>
              <w:spacing w:after="60"/>
              <w:rPr>
                <w:rFonts w:cstheme="minorHAnsi"/>
                <w:bCs/>
                <w:color w:val="auto"/>
                <w:sz w:val="18"/>
                <w:szCs w:val="18"/>
              </w:rPr>
            </w:pPr>
            <w:r w:rsidRPr="00B27BEC">
              <w:rPr>
                <w:rFonts w:cstheme="minorHAnsi"/>
                <w:bCs/>
                <w:color w:val="auto"/>
                <w:sz w:val="18"/>
                <w:szCs w:val="18"/>
              </w:rPr>
              <w:t xml:space="preserve">LF1 Not met since 2013–14. Required every 1–2 years, therefore a critical environmental demand. </w:t>
            </w:r>
          </w:p>
          <w:p w14:paraId="57951DFB" w14:textId="77777777" w:rsidR="00B27BEC" w:rsidRPr="00B27BEC" w:rsidRDefault="00B27BEC" w:rsidP="00B27BEC">
            <w:pPr>
              <w:spacing w:after="60"/>
              <w:rPr>
                <w:rFonts w:cstheme="minorHAnsi"/>
                <w:bCs/>
                <w:sz w:val="18"/>
                <w:szCs w:val="18"/>
                <w:u w:val="single"/>
              </w:rPr>
            </w:pPr>
            <w:r w:rsidRPr="00B27BEC">
              <w:rPr>
                <w:rFonts w:cstheme="minorHAnsi"/>
                <w:bCs/>
                <w:color w:val="auto"/>
                <w:sz w:val="18"/>
                <w:szCs w:val="18"/>
              </w:rPr>
              <w:t xml:space="preserve">LF2 Not met in 2013–14, 2014–15, 2015–16, 2017–18 or 2018–19, but met in 2016–17 and 2019–20. Required every 2–3 years, therefore a moderate environmental demand moving to low–moderate if watering occurs as planned.  </w:t>
            </w:r>
          </w:p>
        </w:tc>
        <w:tc>
          <w:tcPr>
            <w:tcW w:w="420" w:type="pct"/>
            <w:tcBorders>
              <w:top w:val="single" w:sz="12" w:space="0" w:color="auto"/>
            </w:tcBorders>
            <w:shd w:val="clear" w:color="auto" w:fill="FFC000"/>
            <w:vAlign w:val="center"/>
          </w:tcPr>
          <w:p w14:paraId="0EAC1AED" w14:textId="77777777" w:rsidR="00B27BEC" w:rsidRPr="00B27BEC" w:rsidRDefault="00B27BEC" w:rsidP="00B27BEC">
            <w:pPr>
              <w:spacing w:after="0"/>
              <w:jc w:val="center"/>
              <w:rPr>
                <w:color w:val="auto"/>
                <w:spacing w:val="-1"/>
                <w:sz w:val="18"/>
              </w:rPr>
            </w:pPr>
            <w:r w:rsidRPr="00B27BEC">
              <w:rPr>
                <w:rFonts w:cstheme="minorHAnsi"/>
                <w:color w:val="auto"/>
                <w:sz w:val="18"/>
                <w:szCs w:val="18"/>
              </w:rPr>
              <w:t>Moderate</w:t>
            </w:r>
          </w:p>
        </w:tc>
        <w:tc>
          <w:tcPr>
            <w:tcW w:w="711" w:type="pct"/>
            <w:vMerge w:val="restart"/>
            <w:tcBorders>
              <w:top w:val="single" w:sz="12" w:space="0" w:color="auto"/>
            </w:tcBorders>
            <w:shd w:val="clear" w:color="auto" w:fill="auto"/>
            <w:vAlign w:val="center"/>
          </w:tcPr>
          <w:p w14:paraId="7B91A96C" w14:textId="77777777" w:rsidR="00B27BEC" w:rsidRPr="00B27BEC" w:rsidRDefault="00B27BEC" w:rsidP="00B27BEC">
            <w:pPr>
              <w:jc w:val="center"/>
              <w:rPr>
                <w:color w:val="auto"/>
                <w:spacing w:val="-1"/>
                <w:sz w:val="18"/>
              </w:rPr>
            </w:pPr>
            <w:r w:rsidRPr="00B27BEC">
              <w:rPr>
                <w:rFonts w:cstheme="minorHAnsi"/>
                <w:color w:val="auto"/>
                <w:sz w:val="18"/>
                <w:szCs w:val="18"/>
              </w:rPr>
              <w:t>A low priority for Commonwealth environmental water contribution under low water resource availability scenarios, however Commonwealth unregulated entitlements could contribute unregulated flows, if triggered.</w:t>
            </w:r>
          </w:p>
        </w:tc>
        <w:tc>
          <w:tcPr>
            <w:tcW w:w="513" w:type="pct"/>
            <w:tcBorders>
              <w:top w:val="single" w:sz="12" w:space="0" w:color="auto"/>
              <w:right w:val="single" w:sz="12" w:space="0" w:color="auto"/>
            </w:tcBorders>
            <w:shd w:val="clear" w:color="auto" w:fill="92D050"/>
            <w:vAlign w:val="center"/>
          </w:tcPr>
          <w:p w14:paraId="1E1D7E56" w14:textId="77777777" w:rsidR="00B27BEC" w:rsidRPr="00B27BEC" w:rsidRDefault="00B27BEC" w:rsidP="00B27BEC">
            <w:pPr>
              <w:spacing w:after="0"/>
              <w:jc w:val="center"/>
              <w:rPr>
                <w:color w:val="auto"/>
                <w:sz w:val="18"/>
                <w:szCs w:val="18"/>
              </w:rPr>
            </w:pPr>
            <w:r w:rsidRPr="00B27BEC">
              <w:rPr>
                <w:rFonts w:cstheme="minorHAnsi"/>
                <w:color w:val="auto"/>
                <w:sz w:val="18"/>
                <w:szCs w:val="18"/>
              </w:rPr>
              <w:t>Low</w:t>
            </w:r>
          </w:p>
        </w:tc>
      </w:tr>
      <w:tr w:rsidR="00B27BEC" w:rsidRPr="00B27BEC" w14:paraId="671F45E2" w14:textId="77777777" w:rsidTr="00B27BEC">
        <w:trPr>
          <w:trHeight w:val="834"/>
        </w:trPr>
        <w:tc>
          <w:tcPr>
            <w:tcW w:w="403" w:type="pct"/>
            <w:vMerge/>
            <w:tcBorders>
              <w:left w:val="single" w:sz="12" w:space="0" w:color="auto"/>
              <w:right w:val="single" w:sz="4" w:space="0" w:color="auto"/>
            </w:tcBorders>
            <w:shd w:val="clear" w:color="auto" w:fill="auto"/>
          </w:tcPr>
          <w:p w14:paraId="2E10C311" w14:textId="77777777" w:rsidR="00B27BEC" w:rsidRPr="00B27BEC" w:rsidRDefault="00B27BEC" w:rsidP="00B27BEC">
            <w:pPr>
              <w:spacing w:after="0"/>
              <w:rPr>
                <w:spacing w:val="-1"/>
                <w:sz w:val="18"/>
              </w:rPr>
            </w:pPr>
          </w:p>
        </w:tc>
        <w:tc>
          <w:tcPr>
            <w:tcW w:w="421" w:type="pct"/>
            <w:vMerge/>
            <w:tcBorders>
              <w:left w:val="single" w:sz="4" w:space="0" w:color="auto"/>
              <w:right w:val="single" w:sz="4" w:space="0" w:color="auto"/>
            </w:tcBorders>
          </w:tcPr>
          <w:p w14:paraId="5418361F" w14:textId="77777777" w:rsidR="00B27BEC" w:rsidRPr="00B27BEC" w:rsidRDefault="00B27BEC" w:rsidP="00B27BEC">
            <w:pPr>
              <w:rPr>
                <w:rFonts w:cstheme="minorHAnsi"/>
                <w:bCs/>
                <w:color w:val="auto"/>
                <w:sz w:val="18"/>
                <w:szCs w:val="18"/>
              </w:rPr>
            </w:pPr>
          </w:p>
        </w:tc>
        <w:tc>
          <w:tcPr>
            <w:tcW w:w="852" w:type="pct"/>
            <w:vMerge/>
            <w:tcBorders>
              <w:left w:val="single" w:sz="4" w:space="0" w:color="auto"/>
            </w:tcBorders>
            <w:shd w:val="clear" w:color="auto" w:fill="auto"/>
          </w:tcPr>
          <w:p w14:paraId="3FE12006" w14:textId="77777777" w:rsidR="00B27BEC" w:rsidRPr="00B27BEC" w:rsidRDefault="00B27BEC" w:rsidP="00B27BEC">
            <w:pPr>
              <w:spacing w:after="60"/>
              <w:rPr>
                <w:rFonts w:cstheme="minorHAnsi"/>
                <w:sz w:val="18"/>
                <w:szCs w:val="18"/>
              </w:rPr>
            </w:pPr>
          </w:p>
        </w:tc>
        <w:tc>
          <w:tcPr>
            <w:tcW w:w="646" w:type="pct"/>
            <w:vMerge/>
            <w:shd w:val="clear" w:color="auto" w:fill="auto"/>
          </w:tcPr>
          <w:p w14:paraId="3A965B13" w14:textId="77777777" w:rsidR="00B27BEC" w:rsidRPr="00B27BEC" w:rsidRDefault="00B27BEC" w:rsidP="00B27BEC">
            <w:pPr>
              <w:spacing w:after="0"/>
              <w:rPr>
                <w:rFonts w:cstheme="minorHAnsi"/>
                <w:bCs/>
                <w:color w:val="auto"/>
                <w:sz w:val="18"/>
                <w:szCs w:val="18"/>
              </w:rPr>
            </w:pPr>
          </w:p>
        </w:tc>
        <w:tc>
          <w:tcPr>
            <w:tcW w:w="1034" w:type="pct"/>
            <w:vMerge/>
            <w:shd w:val="clear" w:color="auto" w:fill="auto"/>
          </w:tcPr>
          <w:p w14:paraId="3530BA06" w14:textId="77777777" w:rsidR="00B27BEC" w:rsidRPr="00B27BEC" w:rsidRDefault="00B27BEC" w:rsidP="00B27BEC">
            <w:pPr>
              <w:spacing w:after="60"/>
              <w:rPr>
                <w:rFonts w:cstheme="minorHAnsi"/>
                <w:bCs/>
                <w:color w:val="auto"/>
                <w:sz w:val="18"/>
                <w:szCs w:val="18"/>
              </w:rPr>
            </w:pPr>
          </w:p>
        </w:tc>
        <w:tc>
          <w:tcPr>
            <w:tcW w:w="420" w:type="pct"/>
            <w:shd w:val="clear" w:color="auto" w:fill="FF0000"/>
            <w:vAlign w:val="center"/>
          </w:tcPr>
          <w:p w14:paraId="295D5504" w14:textId="77777777" w:rsidR="00B27BEC" w:rsidRPr="00B27BEC" w:rsidRDefault="00B27BEC" w:rsidP="00B27BEC">
            <w:pPr>
              <w:spacing w:after="0"/>
              <w:jc w:val="center"/>
              <w:rPr>
                <w:color w:val="auto"/>
                <w:spacing w:val="-1"/>
                <w:sz w:val="18"/>
              </w:rPr>
            </w:pPr>
            <w:r w:rsidRPr="00B27BEC">
              <w:rPr>
                <w:rFonts w:cstheme="minorHAnsi"/>
                <w:color w:val="auto"/>
                <w:sz w:val="18"/>
                <w:szCs w:val="18"/>
              </w:rPr>
              <w:t>High</w:t>
            </w:r>
          </w:p>
        </w:tc>
        <w:tc>
          <w:tcPr>
            <w:tcW w:w="711" w:type="pct"/>
            <w:vMerge/>
            <w:shd w:val="clear" w:color="auto" w:fill="auto"/>
            <w:vAlign w:val="center"/>
          </w:tcPr>
          <w:p w14:paraId="7C935650" w14:textId="77777777" w:rsidR="00B27BEC" w:rsidRPr="00B27BEC" w:rsidRDefault="00B27BEC" w:rsidP="00B27BEC">
            <w:pPr>
              <w:rPr>
                <w:color w:val="auto"/>
                <w:spacing w:val="-1"/>
                <w:sz w:val="18"/>
              </w:rPr>
            </w:pPr>
          </w:p>
        </w:tc>
        <w:tc>
          <w:tcPr>
            <w:tcW w:w="513" w:type="pct"/>
            <w:tcBorders>
              <w:right w:val="single" w:sz="12" w:space="0" w:color="auto"/>
            </w:tcBorders>
            <w:shd w:val="clear" w:color="auto" w:fill="FF0000"/>
            <w:vAlign w:val="center"/>
          </w:tcPr>
          <w:p w14:paraId="3B632F6D" w14:textId="77777777" w:rsidR="00B27BEC" w:rsidRPr="00B27BEC" w:rsidRDefault="00B27BEC" w:rsidP="00B27BEC">
            <w:pPr>
              <w:spacing w:after="0"/>
              <w:jc w:val="center"/>
              <w:rPr>
                <w:color w:val="auto"/>
                <w:sz w:val="18"/>
                <w:szCs w:val="18"/>
              </w:rPr>
            </w:pPr>
            <w:r w:rsidRPr="00B27BEC">
              <w:rPr>
                <w:rFonts w:cstheme="minorHAnsi"/>
                <w:color w:val="auto"/>
                <w:sz w:val="18"/>
                <w:szCs w:val="18"/>
              </w:rPr>
              <w:t>High</w:t>
            </w:r>
          </w:p>
        </w:tc>
      </w:tr>
      <w:tr w:rsidR="00B27BEC" w:rsidRPr="00B27BEC" w14:paraId="38EF890C" w14:textId="77777777" w:rsidTr="00B27BEC">
        <w:trPr>
          <w:trHeight w:val="846"/>
        </w:trPr>
        <w:tc>
          <w:tcPr>
            <w:tcW w:w="403" w:type="pct"/>
            <w:vMerge/>
            <w:tcBorders>
              <w:left w:val="single" w:sz="12" w:space="0" w:color="auto"/>
              <w:right w:val="single" w:sz="4" w:space="0" w:color="auto"/>
            </w:tcBorders>
            <w:shd w:val="clear" w:color="auto" w:fill="auto"/>
          </w:tcPr>
          <w:p w14:paraId="35C8CE69" w14:textId="77777777" w:rsidR="00B27BEC" w:rsidRPr="00B27BEC" w:rsidRDefault="00B27BEC" w:rsidP="00B27BEC">
            <w:pPr>
              <w:spacing w:after="0"/>
              <w:rPr>
                <w:spacing w:val="-1"/>
                <w:sz w:val="18"/>
              </w:rPr>
            </w:pPr>
          </w:p>
        </w:tc>
        <w:tc>
          <w:tcPr>
            <w:tcW w:w="421" w:type="pct"/>
            <w:vMerge/>
            <w:tcBorders>
              <w:left w:val="single" w:sz="4" w:space="0" w:color="auto"/>
              <w:right w:val="single" w:sz="4" w:space="0" w:color="auto"/>
            </w:tcBorders>
          </w:tcPr>
          <w:p w14:paraId="73A36DC7" w14:textId="77777777" w:rsidR="00B27BEC" w:rsidRPr="00B27BEC" w:rsidRDefault="00B27BEC" w:rsidP="00B27BEC">
            <w:pPr>
              <w:rPr>
                <w:rFonts w:cstheme="minorHAnsi"/>
                <w:bCs/>
                <w:color w:val="auto"/>
                <w:sz w:val="18"/>
                <w:szCs w:val="18"/>
              </w:rPr>
            </w:pPr>
          </w:p>
        </w:tc>
        <w:tc>
          <w:tcPr>
            <w:tcW w:w="852" w:type="pct"/>
            <w:vMerge/>
            <w:tcBorders>
              <w:left w:val="single" w:sz="4" w:space="0" w:color="auto"/>
            </w:tcBorders>
            <w:shd w:val="clear" w:color="auto" w:fill="auto"/>
          </w:tcPr>
          <w:p w14:paraId="5FB7711D" w14:textId="77777777" w:rsidR="00B27BEC" w:rsidRPr="00B27BEC" w:rsidRDefault="00B27BEC" w:rsidP="00B27BEC">
            <w:pPr>
              <w:spacing w:after="60"/>
              <w:rPr>
                <w:rFonts w:cstheme="minorHAnsi"/>
                <w:sz w:val="18"/>
                <w:szCs w:val="18"/>
              </w:rPr>
            </w:pPr>
          </w:p>
        </w:tc>
        <w:tc>
          <w:tcPr>
            <w:tcW w:w="646" w:type="pct"/>
            <w:vMerge/>
            <w:shd w:val="clear" w:color="auto" w:fill="auto"/>
          </w:tcPr>
          <w:p w14:paraId="1B7B4F43" w14:textId="77777777" w:rsidR="00B27BEC" w:rsidRPr="00B27BEC" w:rsidRDefault="00B27BEC" w:rsidP="00B27BEC">
            <w:pPr>
              <w:spacing w:after="0"/>
              <w:rPr>
                <w:rFonts w:cstheme="minorHAnsi"/>
                <w:bCs/>
                <w:color w:val="auto"/>
                <w:sz w:val="18"/>
                <w:szCs w:val="18"/>
              </w:rPr>
            </w:pPr>
          </w:p>
        </w:tc>
        <w:tc>
          <w:tcPr>
            <w:tcW w:w="1034" w:type="pct"/>
            <w:vMerge/>
            <w:shd w:val="clear" w:color="auto" w:fill="auto"/>
          </w:tcPr>
          <w:p w14:paraId="649C7C21" w14:textId="77777777" w:rsidR="00B27BEC" w:rsidRPr="00B27BEC" w:rsidRDefault="00B27BEC" w:rsidP="00B27BEC">
            <w:pPr>
              <w:spacing w:after="60"/>
              <w:rPr>
                <w:rFonts w:cstheme="minorHAnsi"/>
                <w:bCs/>
                <w:color w:val="auto"/>
                <w:sz w:val="18"/>
                <w:szCs w:val="18"/>
              </w:rPr>
            </w:pPr>
          </w:p>
        </w:tc>
        <w:tc>
          <w:tcPr>
            <w:tcW w:w="420" w:type="pct"/>
            <w:shd w:val="clear" w:color="auto" w:fill="FFC000"/>
            <w:vAlign w:val="center"/>
          </w:tcPr>
          <w:p w14:paraId="6252E011" w14:textId="77777777" w:rsidR="00B27BEC" w:rsidRPr="00B27BEC" w:rsidRDefault="00B27BEC" w:rsidP="00B27BEC">
            <w:pPr>
              <w:spacing w:after="0"/>
              <w:jc w:val="center"/>
              <w:rPr>
                <w:color w:val="auto"/>
                <w:spacing w:val="-1"/>
                <w:sz w:val="18"/>
              </w:rPr>
            </w:pPr>
            <w:r w:rsidRPr="00B27BEC">
              <w:rPr>
                <w:rFonts w:cstheme="minorHAnsi"/>
                <w:color w:val="auto"/>
                <w:sz w:val="18"/>
                <w:szCs w:val="18"/>
              </w:rPr>
              <w:t>Moderate</w:t>
            </w:r>
          </w:p>
        </w:tc>
        <w:tc>
          <w:tcPr>
            <w:tcW w:w="711" w:type="pct"/>
            <w:vMerge/>
            <w:shd w:val="clear" w:color="auto" w:fill="auto"/>
            <w:vAlign w:val="center"/>
          </w:tcPr>
          <w:p w14:paraId="206AE377" w14:textId="77777777" w:rsidR="00B27BEC" w:rsidRPr="00B27BEC" w:rsidRDefault="00B27BEC" w:rsidP="00B27BEC">
            <w:pPr>
              <w:rPr>
                <w:color w:val="auto"/>
                <w:spacing w:val="-1"/>
                <w:sz w:val="18"/>
              </w:rPr>
            </w:pPr>
          </w:p>
        </w:tc>
        <w:tc>
          <w:tcPr>
            <w:tcW w:w="513" w:type="pct"/>
            <w:tcBorders>
              <w:right w:val="single" w:sz="12" w:space="0" w:color="auto"/>
            </w:tcBorders>
            <w:shd w:val="clear" w:color="auto" w:fill="92D050"/>
            <w:vAlign w:val="center"/>
          </w:tcPr>
          <w:p w14:paraId="3FA5064D" w14:textId="77777777" w:rsidR="00B27BEC" w:rsidRPr="00B27BEC" w:rsidRDefault="00B27BEC" w:rsidP="00B27BEC">
            <w:pPr>
              <w:spacing w:after="0"/>
              <w:jc w:val="center"/>
              <w:rPr>
                <w:color w:val="auto"/>
                <w:sz w:val="18"/>
                <w:szCs w:val="18"/>
              </w:rPr>
            </w:pPr>
            <w:r w:rsidRPr="00B27BEC">
              <w:rPr>
                <w:rFonts w:cstheme="minorHAnsi"/>
                <w:color w:val="auto"/>
                <w:sz w:val="18"/>
                <w:szCs w:val="18"/>
              </w:rPr>
              <w:t>Low</w:t>
            </w:r>
          </w:p>
        </w:tc>
      </w:tr>
      <w:tr w:rsidR="00B27BEC" w:rsidRPr="00B27BEC" w14:paraId="4627939D" w14:textId="77777777" w:rsidTr="00B27BEC">
        <w:trPr>
          <w:trHeight w:val="830"/>
        </w:trPr>
        <w:tc>
          <w:tcPr>
            <w:tcW w:w="403" w:type="pct"/>
            <w:vMerge/>
            <w:tcBorders>
              <w:left w:val="single" w:sz="12" w:space="0" w:color="auto"/>
              <w:right w:val="single" w:sz="4" w:space="0" w:color="auto"/>
            </w:tcBorders>
            <w:shd w:val="clear" w:color="auto" w:fill="auto"/>
          </w:tcPr>
          <w:p w14:paraId="5869595D" w14:textId="77777777" w:rsidR="00B27BEC" w:rsidRPr="00B27BEC" w:rsidRDefault="00B27BEC" w:rsidP="00B27BEC">
            <w:pPr>
              <w:spacing w:after="0"/>
              <w:rPr>
                <w:spacing w:val="-1"/>
                <w:sz w:val="18"/>
              </w:rPr>
            </w:pPr>
          </w:p>
        </w:tc>
        <w:tc>
          <w:tcPr>
            <w:tcW w:w="421" w:type="pct"/>
            <w:vMerge/>
            <w:tcBorders>
              <w:left w:val="single" w:sz="4" w:space="0" w:color="auto"/>
              <w:right w:val="single" w:sz="4" w:space="0" w:color="auto"/>
            </w:tcBorders>
          </w:tcPr>
          <w:p w14:paraId="5C9633FA" w14:textId="77777777" w:rsidR="00B27BEC" w:rsidRPr="00B27BEC" w:rsidRDefault="00B27BEC" w:rsidP="00B27BEC">
            <w:pPr>
              <w:rPr>
                <w:rFonts w:cstheme="minorHAnsi"/>
                <w:bCs/>
                <w:color w:val="auto"/>
                <w:sz w:val="18"/>
                <w:szCs w:val="18"/>
              </w:rPr>
            </w:pPr>
          </w:p>
        </w:tc>
        <w:tc>
          <w:tcPr>
            <w:tcW w:w="852" w:type="pct"/>
            <w:vMerge/>
            <w:tcBorders>
              <w:left w:val="single" w:sz="4" w:space="0" w:color="auto"/>
            </w:tcBorders>
            <w:shd w:val="clear" w:color="auto" w:fill="auto"/>
          </w:tcPr>
          <w:p w14:paraId="0954ECF1" w14:textId="77777777" w:rsidR="00B27BEC" w:rsidRPr="00B27BEC" w:rsidRDefault="00B27BEC" w:rsidP="00B27BEC">
            <w:pPr>
              <w:spacing w:after="60"/>
              <w:rPr>
                <w:rFonts w:cstheme="minorHAnsi"/>
                <w:sz w:val="18"/>
                <w:szCs w:val="18"/>
              </w:rPr>
            </w:pPr>
          </w:p>
        </w:tc>
        <w:tc>
          <w:tcPr>
            <w:tcW w:w="646" w:type="pct"/>
            <w:vMerge/>
            <w:shd w:val="clear" w:color="auto" w:fill="auto"/>
          </w:tcPr>
          <w:p w14:paraId="1A129B57" w14:textId="77777777" w:rsidR="00B27BEC" w:rsidRPr="00B27BEC" w:rsidRDefault="00B27BEC" w:rsidP="00B27BEC">
            <w:pPr>
              <w:spacing w:after="0"/>
              <w:rPr>
                <w:rFonts w:cstheme="minorHAnsi"/>
                <w:bCs/>
                <w:color w:val="auto"/>
                <w:sz w:val="18"/>
                <w:szCs w:val="18"/>
              </w:rPr>
            </w:pPr>
          </w:p>
        </w:tc>
        <w:tc>
          <w:tcPr>
            <w:tcW w:w="1034" w:type="pct"/>
            <w:vMerge/>
            <w:shd w:val="clear" w:color="auto" w:fill="auto"/>
          </w:tcPr>
          <w:p w14:paraId="56DE1E83" w14:textId="77777777" w:rsidR="00B27BEC" w:rsidRPr="00B27BEC" w:rsidRDefault="00B27BEC" w:rsidP="00B27BEC">
            <w:pPr>
              <w:spacing w:after="60"/>
              <w:rPr>
                <w:rFonts w:cstheme="minorHAnsi"/>
                <w:bCs/>
                <w:color w:val="auto"/>
                <w:sz w:val="18"/>
                <w:szCs w:val="18"/>
              </w:rPr>
            </w:pPr>
          </w:p>
        </w:tc>
        <w:tc>
          <w:tcPr>
            <w:tcW w:w="420" w:type="pct"/>
            <w:shd w:val="clear" w:color="auto" w:fill="C00000"/>
            <w:vAlign w:val="center"/>
          </w:tcPr>
          <w:p w14:paraId="2245737D" w14:textId="77777777" w:rsidR="00B27BEC" w:rsidRPr="00B27BEC" w:rsidRDefault="00B27BEC" w:rsidP="00B27BEC">
            <w:pPr>
              <w:spacing w:after="0"/>
              <w:jc w:val="center"/>
              <w:rPr>
                <w:color w:val="auto"/>
                <w:spacing w:val="-1"/>
                <w:sz w:val="18"/>
              </w:rPr>
            </w:pPr>
            <w:r w:rsidRPr="00B27BEC">
              <w:rPr>
                <w:rFonts w:cstheme="minorHAnsi"/>
                <w:color w:val="auto"/>
                <w:sz w:val="18"/>
                <w:szCs w:val="18"/>
              </w:rPr>
              <w:t>Critical</w:t>
            </w:r>
          </w:p>
        </w:tc>
        <w:tc>
          <w:tcPr>
            <w:tcW w:w="711" w:type="pct"/>
            <w:vMerge/>
            <w:shd w:val="clear" w:color="auto" w:fill="auto"/>
            <w:vAlign w:val="center"/>
          </w:tcPr>
          <w:p w14:paraId="5D6C4B77" w14:textId="77777777" w:rsidR="00B27BEC" w:rsidRPr="00B27BEC" w:rsidRDefault="00B27BEC" w:rsidP="00B27BEC">
            <w:pPr>
              <w:rPr>
                <w:color w:val="auto"/>
                <w:spacing w:val="-1"/>
                <w:sz w:val="18"/>
              </w:rPr>
            </w:pPr>
          </w:p>
        </w:tc>
        <w:tc>
          <w:tcPr>
            <w:tcW w:w="513" w:type="pct"/>
            <w:tcBorders>
              <w:right w:val="single" w:sz="12" w:space="0" w:color="auto"/>
            </w:tcBorders>
            <w:shd w:val="clear" w:color="auto" w:fill="C00000"/>
            <w:vAlign w:val="center"/>
          </w:tcPr>
          <w:p w14:paraId="1E97F1E5" w14:textId="77777777" w:rsidR="00B27BEC" w:rsidRPr="00B27BEC" w:rsidRDefault="00B27BEC" w:rsidP="00B27BEC">
            <w:pPr>
              <w:spacing w:after="0"/>
              <w:jc w:val="center"/>
              <w:rPr>
                <w:color w:val="auto"/>
                <w:sz w:val="18"/>
                <w:szCs w:val="18"/>
              </w:rPr>
            </w:pPr>
            <w:r w:rsidRPr="00B27BEC">
              <w:rPr>
                <w:rFonts w:cstheme="minorHAnsi"/>
                <w:color w:val="auto"/>
                <w:sz w:val="18"/>
                <w:szCs w:val="18"/>
              </w:rPr>
              <w:t>Critical</w:t>
            </w:r>
          </w:p>
        </w:tc>
      </w:tr>
      <w:tr w:rsidR="00B27BEC" w:rsidRPr="00B27BEC" w14:paraId="22EE81B0" w14:textId="77777777" w:rsidTr="00B27BEC">
        <w:trPr>
          <w:trHeight w:val="842"/>
        </w:trPr>
        <w:tc>
          <w:tcPr>
            <w:tcW w:w="403" w:type="pct"/>
            <w:vMerge/>
            <w:tcBorders>
              <w:left w:val="single" w:sz="12" w:space="0" w:color="auto"/>
              <w:bottom w:val="single" w:sz="12" w:space="0" w:color="auto"/>
              <w:right w:val="single" w:sz="4" w:space="0" w:color="auto"/>
            </w:tcBorders>
            <w:shd w:val="clear" w:color="auto" w:fill="auto"/>
          </w:tcPr>
          <w:p w14:paraId="7756DB6D" w14:textId="77777777" w:rsidR="00B27BEC" w:rsidRPr="00B27BEC" w:rsidRDefault="00B27BEC" w:rsidP="00B27BEC">
            <w:pPr>
              <w:spacing w:after="0"/>
              <w:rPr>
                <w:spacing w:val="-1"/>
                <w:sz w:val="18"/>
              </w:rPr>
            </w:pPr>
          </w:p>
        </w:tc>
        <w:tc>
          <w:tcPr>
            <w:tcW w:w="421" w:type="pct"/>
            <w:vMerge/>
            <w:tcBorders>
              <w:left w:val="single" w:sz="4" w:space="0" w:color="auto"/>
              <w:bottom w:val="single" w:sz="12" w:space="0" w:color="auto"/>
              <w:right w:val="single" w:sz="4" w:space="0" w:color="auto"/>
            </w:tcBorders>
          </w:tcPr>
          <w:p w14:paraId="5A2CEC4B" w14:textId="77777777" w:rsidR="00B27BEC" w:rsidRPr="00B27BEC" w:rsidRDefault="00B27BEC" w:rsidP="00B27BEC">
            <w:pPr>
              <w:rPr>
                <w:rFonts w:cstheme="minorHAnsi"/>
                <w:bCs/>
                <w:color w:val="auto"/>
                <w:sz w:val="18"/>
                <w:szCs w:val="18"/>
              </w:rPr>
            </w:pPr>
          </w:p>
        </w:tc>
        <w:tc>
          <w:tcPr>
            <w:tcW w:w="852" w:type="pct"/>
            <w:vMerge/>
            <w:tcBorders>
              <w:left w:val="single" w:sz="4" w:space="0" w:color="auto"/>
              <w:bottom w:val="single" w:sz="12" w:space="0" w:color="auto"/>
            </w:tcBorders>
            <w:shd w:val="clear" w:color="auto" w:fill="auto"/>
          </w:tcPr>
          <w:p w14:paraId="0871D14A" w14:textId="77777777" w:rsidR="00B27BEC" w:rsidRPr="00B27BEC" w:rsidRDefault="00B27BEC" w:rsidP="00B27BEC">
            <w:pPr>
              <w:spacing w:after="60"/>
              <w:rPr>
                <w:rFonts w:cstheme="minorHAnsi"/>
                <w:sz w:val="18"/>
                <w:szCs w:val="18"/>
              </w:rPr>
            </w:pPr>
          </w:p>
        </w:tc>
        <w:tc>
          <w:tcPr>
            <w:tcW w:w="646" w:type="pct"/>
            <w:vMerge/>
            <w:tcBorders>
              <w:bottom w:val="single" w:sz="12" w:space="0" w:color="auto"/>
            </w:tcBorders>
            <w:shd w:val="clear" w:color="auto" w:fill="auto"/>
          </w:tcPr>
          <w:p w14:paraId="1176C7C5" w14:textId="77777777" w:rsidR="00B27BEC" w:rsidRPr="00B27BEC" w:rsidRDefault="00B27BEC" w:rsidP="00B27BEC">
            <w:pPr>
              <w:spacing w:after="0"/>
              <w:rPr>
                <w:rFonts w:cstheme="minorHAnsi"/>
                <w:bCs/>
                <w:color w:val="auto"/>
                <w:sz w:val="18"/>
                <w:szCs w:val="18"/>
              </w:rPr>
            </w:pPr>
          </w:p>
        </w:tc>
        <w:tc>
          <w:tcPr>
            <w:tcW w:w="1034" w:type="pct"/>
            <w:vMerge/>
            <w:tcBorders>
              <w:bottom w:val="single" w:sz="12" w:space="0" w:color="auto"/>
            </w:tcBorders>
            <w:shd w:val="clear" w:color="auto" w:fill="auto"/>
          </w:tcPr>
          <w:p w14:paraId="14DA99C6" w14:textId="77777777" w:rsidR="00B27BEC" w:rsidRPr="00B27BEC" w:rsidRDefault="00B27BEC" w:rsidP="00B27BEC">
            <w:pPr>
              <w:spacing w:after="60"/>
              <w:rPr>
                <w:rFonts w:cstheme="minorHAnsi"/>
                <w:bCs/>
                <w:color w:val="auto"/>
                <w:sz w:val="18"/>
                <w:szCs w:val="18"/>
              </w:rPr>
            </w:pPr>
          </w:p>
        </w:tc>
        <w:tc>
          <w:tcPr>
            <w:tcW w:w="420" w:type="pct"/>
            <w:tcBorders>
              <w:bottom w:val="single" w:sz="12" w:space="0" w:color="auto"/>
            </w:tcBorders>
            <w:shd w:val="clear" w:color="auto" w:fill="FFC000"/>
            <w:vAlign w:val="center"/>
          </w:tcPr>
          <w:p w14:paraId="214A062A" w14:textId="77777777" w:rsidR="00B27BEC" w:rsidRPr="00B27BEC" w:rsidRDefault="00B27BEC" w:rsidP="00B27BEC">
            <w:pPr>
              <w:spacing w:after="0"/>
              <w:jc w:val="center"/>
              <w:rPr>
                <w:color w:val="auto"/>
                <w:spacing w:val="-1"/>
                <w:sz w:val="18"/>
              </w:rPr>
            </w:pPr>
            <w:r w:rsidRPr="00B27BEC">
              <w:rPr>
                <w:rFonts w:cstheme="minorHAnsi"/>
                <w:color w:val="auto"/>
                <w:sz w:val="18"/>
                <w:szCs w:val="18"/>
              </w:rPr>
              <w:t>Moderate</w:t>
            </w:r>
          </w:p>
        </w:tc>
        <w:tc>
          <w:tcPr>
            <w:tcW w:w="711" w:type="pct"/>
            <w:vMerge/>
            <w:tcBorders>
              <w:bottom w:val="single" w:sz="12" w:space="0" w:color="auto"/>
            </w:tcBorders>
            <w:shd w:val="clear" w:color="auto" w:fill="auto"/>
            <w:vAlign w:val="center"/>
          </w:tcPr>
          <w:p w14:paraId="2FDB4CCE" w14:textId="77777777" w:rsidR="00B27BEC" w:rsidRPr="00B27BEC" w:rsidRDefault="00B27BEC" w:rsidP="00B27BEC">
            <w:pPr>
              <w:rPr>
                <w:color w:val="auto"/>
                <w:spacing w:val="-1"/>
                <w:sz w:val="18"/>
              </w:rPr>
            </w:pPr>
          </w:p>
        </w:tc>
        <w:tc>
          <w:tcPr>
            <w:tcW w:w="513" w:type="pct"/>
            <w:tcBorders>
              <w:bottom w:val="single" w:sz="12" w:space="0" w:color="auto"/>
              <w:right w:val="single" w:sz="12" w:space="0" w:color="auto"/>
            </w:tcBorders>
            <w:shd w:val="clear" w:color="auto" w:fill="92D050"/>
            <w:vAlign w:val="center"/>
          </w:tcPr>
          <w:p w14:paraId="0B1E429F" w14:textId="77777777" w:rsidR="00B27BEC" w:rsidRPr="00B27BEC" w:rsidRDefault="00B27BEC" w:rsidP="00B27BEC">
            <w:pPr>
              <w:spacing w:after="0"/>
              <w:jc w:val="center"/>
              <w:rPr>
                <w:color w:val="auto"/>
                <w:sz w:val="18"/>
                <w:szCs w:val="18"/>
              </w:rPr>
            </w:pPr>
            <w:r w:rsidRPr="00B27BEC">
              <w:rPr>
                <w:rFonts w:cstheme="minorHAnsi"/>
                <w:color w:val="auto"/>
                <w:sz w:val="18"/>
                <w:szCs w:val="18"/>
              </w:rPr>
              <w:t>Low to Moderate</w:t>
            </w:r>
          </w:p>
        </w:tc>
      </w:tr>
      <w:tr w:rsidR="00B27BEC" w:rsidRPr="00B27BEC" w14:paraId="73B4BD1F" w14:textId="77777777" w:rsidTr="005F58BB">
        <w:trPr>
          <w:trHeight w:val="2591"/>
        </w:trPr>
        <w:tc>
          <w:tcPr>
            <w:tcW w:w="403" w:type="pct"/>
            <w:tcBorders>
              <w:top w:val="single" w:sz="12" w:space="0" w:color="auto"/>
              <w:left w:val="single" w:sz="12" w:space="0" w:color="auto"/>
              <w:bottom w:val="single" w:sz="12" w:space="0" w:color="auto"/>
              <w:right w:val="single" w:sz="4" w:space="0" w:color="auto"/>
            </w:tcBorders>
            <w:shd w:val="clear" w:color="auto" w:fill="auto"/>
          </w:tcPr>
          <w:p w14:paraId="32F2120F" w14:textId="77777777" w:rsidR="00B27BEC" w:rsidRPr="00B27BEC" w:rsidRDefault="00B27BEC" w:rsidP="00B27BEC">
            <w:pPr>
              <w:contextualSpacing/>
              <w:rPr>
                <w:rFonts w:cstheme="minorHAnsi"/>
                <w:b/>
                <w:sz w:val="18"/>
                <w:szCs w:val="18"/>
              </w:rPr>
            </w:pPr>
            <w:r w:rsidRPr="00B27BEC">
              <w:rPr>
                <w:rFonts w:cstheme="minorHAnsi"/>
                <w:b/>
                <w:sz w:val="18"/>
                <w:szCs w:val="18"/>
              </w:rPr>
              <w:t>Anabranches downstream of Yetman/Texas</w:t>
            </w:r>
          </w:p>
          <w:p w14:paraId="0BAB8A1E" w14:textId="77777777" w:rsidR="00B27BEC" w:rsidRPr="00B27BEC" w:rsidRDefault="00B27BEC" w:rsidP="00B27BEC">
            <w:pPr>
              <w:rPr>
                <w:rFonts w:cstheme="minorHAnsi"/>
                <w:b/>
                <w:bCs/>
                <w:color w:val="FF0000"/>
                <w:sz w:val="18"/>
                <w:szCs w:val="18"/>
              </w:rPr>
            </w:pPr>
            <w:r w:rsidRPr="00B27BEC">
              <w:rPr>
                <w:rFonts w:cstheme="minorHAnsi"/>
                <w:sz w:val="18"/>
                <w:szCs w:val="18"/>
              </w:rPr>
              <w:t>Nutrient and carbon cycling, enhanced primary production.</w:t>
            </w:r>
          </w:p>
          <w:p w14:paraId="4EDE4B02" w14:textId="77777777" w:rsidR="00B27BEC" w:rsidRPr="00B27BEC" w:rsidRDefault="00B27BEC" w:rsidP="00B27BEC">
            <w:pPr>
              <w:contextualSpacing/>
              <w:rPr>
                <w:rFonts w:cstheme="minorHAnsi"/>
                <w:b/>
                <w:bCs/>
                <w:color w:val="FF0000"/>
                <w:sz w:val="18"/>
                <w:szCs w:val="18"/>
              </w:rPr>
            </w:pPr>
            <w:r w:rsidRPr="00B27BEC">
              <w:rPr>
                <w:rFonts w:cstheme="minorHAnsi"/>
                <w:sz w:val="18"/>
                <w:szCs w:val="18"/>
              </w:rPr>
              <w:t>Support fish movement and condition.</w:t>
            </w:r>
          </w:p>
        </w:tc>
        <w:tc>
          <w:tcPr>
            <w:tcW w:w="421" w:type="pct"/>
            <w:tcBorders>
              <w:top w:val="single" w:sz="12" w:space="0" w:color="auto"/>
              <w:left w:val="single" w:sz="4" w:space="0" w:color="auto"/>
              <w:bottom w:val="single" w:sz="12" w:space="0" w:color="auto"/>
              <w:right w:val="single" w:sz="4" w:space="0" w:color="auto"/>
            </w:tcBorders>
          </w:tcPr>
          <w:p w14:paraId="40F068B6" w14:textId="77777777" w:rsidR="00B27BEC" w:rsidRPr="00B27BEC" w:rsidRDefault="00B27BEC" w:rsidP="00B27BEC">
            <w:pPr>
              <w:rPr>
                <w:rFonts w:cstheme="minorHAnsi"/>
                <w:bCs/>
                <w:color w:val="auto"/>
                <w:sz w:val="18"/>
                <w:szCs w:val="18"/>
              </w:rPr>
            </w:pPr>
            <w:r w:rsidRPr="00B27BEC">
              <w:rPr>
                <w:rFonts w:cstheme="minorHAnsi"/>
                <w:color w:val="auto"/>
                <w:sz w:val="18"/>
                <w:szCs w:val="18"/>
              </w:rPr>
              <w:t xml:space="preserve">Infrastructure assisted watering to maintain refuge habitat E.g. Morella watercourse lagoons (if agreed with landholders) 1 500–4 000 ML per action (infrastructure assisted) </w:t>
            </w:r>
            <w:r w:rsidRPr="00B27BEC">
              <w:rPr>
                <w:rFonts w:cstheme="minorHAnsi"/>
                <w:color w:val="000000" w:themeColor="text1"/>
                <w:sz w:val="18"/>
                <w:szCs w:val="18"/>
              </w:rPr>
              <w:t>to target specific wetlands with long-term flow deficit</w:t>
            </w:r>
          </w:p>
        </w:tc>
        <w:tc>
          <w:tcPr>
            <w:tcW w:w="852" w:type="pct"/>
            <w:tcBorders>
              <w:top w:val="single" w:sz="12" w:space="0" w:color="auto"/>
              <w:left w:val="single" w:sz="4" w:space="0" w:color="auto"/>
              <w:bottom w:val="single" w:sz="12" w:space="0" w:color="auto"/>
            </w:tcBorders>
            <w:shd w:val="clear" w:color="auto" w:fill="auto"/>
          </w:tcPr>
          <w:p w14:paraId="61EDF7EA" w14:textId="77777777" w:rsidR="00B27BEC" w:rsidRPr="00B27BEC" w:rsidRDefault="00B27BEC" w:rsidP="00B27BEC">
            <w:pPr>
              <w:spacing w:after="0"/>
              <w:rPr>
                <w:rFonts w:cstheme="minorHAnsi"/>
                <w:sz w:val="18"/>
                <w:szCs w:val="18"/>
              </w:rPr>
            </w:pPr>
            <w:r w:rsidRPr="00B27BEC">
              <w:rPr>
                <w:rFonts w:cstheme="minorHAnsi"/>
                <w:color w:val="auto"/>
                <w:sz w:val="18"/>
                <w:szCs w:val="18"/>
              </w:rPr>
              <w:t xml:space="preserve">1 500–4 000 ML per action (infrastructure assisted) </w:t>
            </w:r>
            <w:r w:rsidRPr="00B27BEC">
              <w:rPr>
                <w:rFonts w:cstheme="minorHAnsi"/>
                <w:color w:val="000000" w:themeColor="text1"/>
                <w:sz w:val="18"/>
                <w:szCs w:val="18"/>
              </w:rPr>
              <w:t>to target specific wetlands with long-term flow deficit</w:t>
            </w:r>
          </w:p>
        </w:tc>
        <w:tc>
          <w:tcPr>
            <w:tcW w:w="646" w:type="pct"/>
            <w:tcBorders>
              <w:top w:val="single" w:sz="12" w:space="0" w:color="auto"/>
              <w:bottom w:val="single" w:sz="12" w:space="0" w:color="auto"/>
            </w:tcBorders>
            <w:shd w:val="clear" w:color="auto" w:fill="auto"/>
          </w:tcPr>
          <w:p w14:paraId="014CB822" w14:textId="77777777" w:rsidR="00B27BEC" w:rsidRPr="00B27BEC" w:rsidRDefault="00B27BEC" w:rsidP="00B27BEC">
            <w:pPr>
              <w:spacing w:after="0"/>
              <w:rPr>
                <w:rFonts w:cstheme="minorHAnsi"/>
                <w:bCs/>
                <w:color w:val="auto"/>
                <w:sz w:val="18"/>
                <w:szCs w:val="18"/>
              </w:rPr>
            </w:pPr>
            <w:r w:rsidRPr="00B27BEC">
              <w:rPr>
                <w:rFonts w:cstheme="minorHAnsi"/>
                <w:sz w:val="18"/>
                <w:szCs w:val="18"/>
              </w:rPr>
              <w:t>Maximum: up to 10 years between filling (Morella watercourse)</w:t>
            </w:r>
          </w:p>
        </w:tc>
        <w:tc>
          <w:tcPr>
            <w:tcW w:w="1034" w:type="pct"/>
            <w:tcBorders>
              <w:top w:val="single" w:sz="12" w:space="0" w:color="auto"/>
              <w:bottom w:val="single" w:sz="12" w:space="0" w:color="auto"/>
            </w:tcBorders>
            <w:shd w:val="clear" w:color="auto" w:fill="auto"/>
          </w:tcPr>
          <w:p w14:paraId="7740A7F2" w14:textId="77777777" w:rsidR="00B27BEC" w:rsidRPr="00B27BEC" w:rsidRDefault="00B27BEC" w:rsidP="00B27BEC">
            <w:pPr>
              <w:spacing w:after="0"/>
              <w:rPr>
                <w:rFonts w:cstheme="minorHAnsi"/>
                <w:bCs/>
                <w:color w:val="auto"/>
                <w:sz w:val="18"/>
                <w:szCs w:val="18"/>
              </w:rPr>
            </w:pPr>
            <w:r w:rsidRPr="00B27BEC">
              <w:rPr>
                <w:rFonts w:cstheme="minorHAnsi"/>
                <w:bCs/>
                <w:color w:val="auto"/>
                <w:sz w:val="18"/>
                <w:szCs w:val="18"/>
              </w:rPr>
              <w:t xml:space="preserve">Little to no inflows since 2010, however local rainfall provided some water to Morella watercourse and Boobera Lagoon in 2019–20. Moderate environmental demand, moving to low–moderate if watering occurs as planned. </w:t>
            </w:r>
          </w:p>
        </w:tc>
        <w:tc>
          <w:tcPr>
            <w:tcW w:w="420" w:type="pct"/>
            <w:tcBorders>
              <w:top w:val="single" w:sz="12" w:space="0" w:color="auto"/>
              <w:bottom w:val="single" w:sz="12" w:space="0" w:color="auto"/>
            </w:tcBorders>
            <w:shd w:val="clear" w:color="auto" w:fill="FFC000"/>
            <w:vAlign w:val="center"/>
          </w:tcPr>
          <w:p w14:paraId="0677E694" w14:textId="77777777" w:rsidR="00B27BEC" w:rsidRPr="00B27BEC" w:rsidRDefault="00B27BEC" w:rsidP="00B27BEC">
            <w:pPr>
              <w:spacing w:after="0"/>
              <w:jc w:val="center"/>
              <w:rPr>
                <w:color w:val="auto"/>
                <w:spacing w:val="-1"/>
                <w:sz w:val="18"/>
              </w:rPr>
            </w:pPr>
            <w:r w:rsidRPr="00B27BEC">
              <w:rPr>
                <w:rFonts w:cstheme="minorHAnsi"/>
                <w:color w:val="auto"/>
                <w:sz w:val="18"/>
                <w:szCs w:val="18"/>
              </w:rPr>
              <w:t>Moderate</w:t>
            </w:r>
          </w:p>
        </w:tc>
        <w:tc>
          <w:tcPr>
            <w:tcW w:w="711" w:type="pct"/>
            <w:tcBorders>
              <w:top w:val="single" w:sz="12" w:space="0" w:color="auto"/>
              <w:bottom w:val="single" w:sz="12" w:space="0" w:color="auto"/>
            </w:tcBorders>
            <w:shd w:val="clear" w:color="auto" w:fill="A6A6A6" w:themeFill="background1" w:themeFillShade="A6"/>
            <w:vAlign w:val="center"/>
          </w:tcPr>
          <w:p w14:paraId="40D57DED" w14:textId="77777777" w:rsidR="00B27BEC" w:rsidRPr="00B27BEC" w:rsidRDefault="00B27BEC" w:rsidP="00B27BEC">
            <w:pPr>
              <w:jc w:val="center"/>
              <w:rPr>
                <w:color w:val="auto"/>
                <w:spacing w:val="-1"/>
                <w:sz w:val="18"/>
              </w:rPr>
            </w:pPr>
            <w:r w:rsidRPr="00B27BEC">
              <w:rPr>
                <w:rFonts w:cstheme="minorHAnsi"/>
                <w:color w:val="auto"/>
                <w:sz w:val="18"/>
                <w:szCs w:val="18"/>
              </w:rPr>
              <w:t>Additional information needed before supporting a watering action.</w:t>
            </w:r>
          </w:p>
        </w:tc>
        <w:tc>
          <w:tcPr>
            <w:tcW w:w="513" w:type="pct"/>
            <w:tcBorders>
              <w:top w:val="single" w:sz="12" w:space="0" w:color="auto"/>
              <w:bottom w:val="single" w:sz="12" w:space="0" w:color="auto"/>
              <w:right w:val="single" w:sz="12" w:space="0" w:color="auto"/>
            </w:tcBorders>
            <w:shd w:val="clear" w:color="auto" w:fill="92D050"/>
            <w:vAlign w:val="center"/>
          </w:tcPr>
          <w:p w14:paraId="594CD5D9" w14:textId="77777777" w:rsidR="00B27BEC" w:rsidRPr="00B27BEC" w:rsidRDefault="00B27BEC" w:rsidP="00B27BEC">
            <w:pPr>
              <w:spacing w:after="0"/>
              <w:jc w:val="center"/>
              <w:rPr>
                <w:color w:val="auto"/>
                <w:sz w:val="18"/>
                <w:szCs w:val="18"/>
              </w:rPr>
            </w:pPr>
            <w:r w:rsidRPr="00B27BEC">
              <w:rPr>
                <w:rFonts w:cstheme="minorHAnsi"/>
                <w:color w:val="auto"/>
                <w:sz w:val="18"/>
                <w:szCs w:val="18"/>
              </w:rPr>
              <w:t>Low</w:t>
            </w:r>
          </w:p>
        </w:tc>
      </w:tr>
      <w:tr w:rsidR="00B27BEC" w:rsidRPr="00B27BEC" w14:paraId="74B71BD8" w14:textId="77777777" w:rsidTr="005F58BB">
        <w:trPr>
          <w:trHeight w:val="205"/>
        </w:trPr>
        <w:tc>
          <w:tcPr>
            <w:tcW w:w="403" w:type="pct"/>
            <w:vMerge w:val="restart"/>
            <w:tcBorders>
              <w:top w:val="single" w:sz="12" w:space="0" w:color="auto"/>
              <w:left w:val="single" w:sz="12" w:space="0" w:color="auto"/>
              <w:bottom w:val="single" w:sz="4" w:space="0" w:color="auto"/>
              <w:right w:val="single" w:sz="4" w:space="0" w:color="auto"/>
            </w:tcBorders>
            <w:shd w:val="clear" w:color="auto" w:fill="auto"/>
          </w:tcPr>
          <w:p w14:paraId="77C83F8D" w14:textId="77777777" w:rsidR="00B27BEC" w:rsidRPr="00B27BEC" w:rsidRDefault="00B27BEC" w:rsidP="00B27BEC">
            <w:pPr>
              <w:spacing w:after="0"/>
              <w:rPr>
                <w:rFonts w:cstheme="minorHAnsi"/>
                <w:b/>
                <w:color w:val="auto"/>
                <w:sz w:val="18"/>
                <w:szCs w:val="18"/>
              </w:rPr>
            </w:pPr>
            <w:r w:rsidRPr="00B27BEC">
              <w:rPr>
                <w:rFonts w:cstheme="minorHAnsi"/>
                <w:b/>
                <w:color w:val="auto"/>
                <w:sz w:val="18"/>
                <w:szCs w:val="18"/>
              </w:rPr>
              <w:t>Wetlands, lagoons and billabongs</w:t>
            </w:r>
          </w:p>
          <w:p w14:paraId="583AF6A3" w14:textId="77777777" w:rsidR="00B27BEC" w:rsidRPr="00B27BEC" w:rsidRDefault="00B27BEC" w:rsidP="00B27BEC">
            <w:pPr>
              <w:spacing w:after="0"/>
              <w:rPr>
                <w:rFonts w:cstheme="minorHAnsi"/>
                <w:b/>
                <w:color w:val="auto"/>
                <w:sz w:val="18"/>
                <w:szCs w:val="18"/>
              </w:rPr>
            </w:pPr>
          </w:p>
          <w:p w14:paraId="6914B323" w14:textId="77777777" w:rsidR="00B27BEC" w:rsidRPr="00B27BEC" w:rsidRDefault="00B27BEC" w:rsidP="00B27BEC">
            <w:pPr>
              <w:spacing w:after="0"/>
              <w:rPr>
                <w:spacing w:val="-1"/>
                <w:sz w:val="18"/>
              </w:rPr>
            </w:pPr>
          </w:p>
        </w:tc>
        <w:tc>
          <w:tcPr>
            <w:tcW w:w="421" w:type="pct"/>
            <w:vMerge w:val="restart"/>
            <w:tcBorders>
              <w:top w:val="single" w:sz="12" w:space="0" w:color="auto"/>
              <w:left w:val="single" w:sz="4" w:space="0" w:color="auto"/>
              <w:right w:val="single" w:sz="4" w:space="0" w:color="auto"/>
            </w:tcBorders>
          </w:tcPr>
          <w:p w14:paraId="5A294371" w14:textId="77777777" w:rsidR="00B27BEC" w:rsidRPr="00B27BEC" w:rsidRDefault="00B27BEC" w:rsidP="00B27BEC">
            <w:pPr>
              <w:rPr>
                <w:rFonts w:cstheme="minorHAnsi"/>
                <w:color w:val="auto"/>
                <w:sz w:val="18"/>
                <w:szCs w:val="18"/>
              </w:rPr>
            </w:pPr>
            <w:r w:rsidRPr="00B27BEC">
              <w:rPr>
                <w:rFonts w:cstheme="minorHAnsi"/>
                <w:color w:val="auto"/>
                <w:sz w:val="18"/>
                <w:szCs w:val="18"/>
              </w:rPr>
              <w:t>Support movement, spawning and recruitment of aquatic species.</w:t>
            </w:r>
          </w:p>
          <w:p w14:paraId="7C0D3E4F" w14:textId="77777777" w:rsidR="00B27BEC" w:rsidRPr="00B27BEC" w:rsidRDefault="00B27BEC" w:rsidP="00B27BEC">
            <w:pPr>
              <w:rPr>
                <w:rFonts w:cstheme="minorHAnsi"/>
                <w:color w:val="auto"/>
                <w:sz w:val="18"/>
                <w:szCs w:val="18"/>
              </w:rPr>
            </w:pPr>
            <w:r w:rsidRPr="00B27BEC">
              <w:rPr>
                <w:rFonts w:cstheme="minorHAnsi"/>
                <w:color w:val="auto"/>
                <w:sz w:val="18"/>
                <w:szCs w:val="18"/>
              </w:rPr>
              <w:t>Riparian vegetation health.</w:t>
            </w:r>
          </w:p>
          <w:p w14:paraId="231C4AFF" w14:textId="77777777" w:rsidR="00B27BEC" w:rsidRPr="00B27BEC" w:rsidRDefault="00B27BEC" w:rsidP="00B27BEC">
            <w:pPr>
              <w:rPr>
                <w:rFonts w:cstheme="minorHAnsi"/>
                <w:b/>
                <w:color w:val="auto"/>
                <w:sz w:val="18"/>
                <w:szCs w:val="18"/>
              </w:rPr>
            </w:pPr>
            <w:r w:rsidRPr="00B27BEC">
              <w:rPr>
                <w:rFonts w:cstheme="minorHAnsi"/>
                <w:color w:val="auto"/>
                <w:sz w:val="18"/>
                <w:szCs w:val="18"/>
              </w:rPr>
              <w:t>Nutrient and carbon cycling</w:t>
            </w:r>
          </w:p>
          <w:p w14:paraId="0F75DA81" w14:textId="77777777" w:rsidR="00B27BEC" w:rsidRPr="00B27BEC" w:rsidRDefault="00B27BEC" w:rsidP="00B27BEC">
            <w:pPr>
              <w:rPr>
                <w:rFonts w:cstheme="minorHAnsi"/>
                <w:b/>
                <w:color w:val="auto"/>
                <w:sz w:val="18"/>
                <w:szCs w:val="18"/>
              </w:rPr>
            </w:pPr>
            <w:r w:rsidRPr="00B27BEC">
              <w:rPr>
                <w:rFonts w:cstheme="minorHAnsi"/>
                <w:color w:val="auto"/>
                <w:sz w:val="18"/>
                <w:szCs w:val="18"/>
              </w:rPr>
              <w:t>Maintain refuge for aquatic biota and fish</w:t>
            </w:r>
          </w:p>
          <w:p w14:paraId="374C2D61" w14:textId="77777777" w:rsidR="00B27BEC" w:rsidRPr="00B27BEC" w:rsidRDefault="00B27BEC" w:rsidP="00B27BEC">
            <w:pPr>
              <w:rPr>
                <w:rFonts w:cstheme="minorHAnsi"/>
                <w:color w:val="auto"/>
                <w:sz w:val="18"/>
                <w:szCs w:val="18"/>
              </w:rPr>
            </w:pPr>
            <w:r w:rsidRPr="00B27BEC">
              <w:rPr>
                <w:rFonts w:cstheme="minorHAnsi"/>
                <w:color w:val="auto"/>
                <w:sz w:val="18"/>
                <w:szCs w:val="18"/>
              </w:rPr>
              <w:t>Lateral and longitudinal connectivity, support movement, spawning and recruitment of aquatic species.</w:t>
            </w:r>
          </w:p>
          <w:p w14:paraId="0075A3A8" w14:textId="77777777" w:rsidR="00B27BEC" w:rsidRPr="00B27BEC" w:rsidRDefault="00B27BEC" w:rsidP="00B27BEC">
            <w:pPr>
              <w:rPr>
                <w:rFonts w:cstheme="minorHAnsi"/>
                <w:bCs/>
                <w:color w:val="auto"/>
                <w:sz w:val="18"/>
                <w:szCs w:val="18"/>
              </w:rPr>
            </w:pPr>
            <w:r w:rsidRPr="00B27BEC">
              <w:rPr>
                <w:rFonts w:cstheme="minorHAnsi"/>
                <w:color w:val="auto"/>
                <w:sz w:val="18"/>
                <w:szCs w:val="18"/>
              </w:rPr>
              <w:t>Maintain riparian habitat for other species i.e. water birds</w:t>
            </w:r>
          </w:p>
        </w:tc>
        <w:tc>
          <w:tcPr>
            <w:tcW w:w="852" w:type="pct"/>
            <w:vMerge w:val="restart"/>
            <w:tcBorders>
              <w:top w:val="single" w:sz="12" w:space="0" w:color="auto"/>
              <w:left w:val="single" w:sz="4" w:space="0" w:color="auto"/>
            </w:tcBorders>
            <w:shd w:val="clear" w:color="auto" w:fill="auto"/>
          </w:tcPr>
          <w:p w14:paraId="3C140719" w14:textId="77777777" w:rsidR="00B27BEC" w:rsidRPr="00B27BEC" w:rsidRDefault="00B27BEC" w:rsidP="00B27BEC">
            <w:pPr>
              <w:spacing w:after="60"/>
              <w:rPr>
                <w:rFonts w:cstheme="minorHAnsi"/>
                <w:b/>
                <w:color w:val="auto"/>
                <w:sz w:val="18"/>
                <w:szCs w:val="18"/>
              </w:rPr>
            </w:pPr>
            <w:r w:rsidRPr="00B27BEC">
              <w:rPr>
                <w:rFonts w:cstheme="minorHAnsi"/>
                <w:b/>
                <w:color w:val="auto"/>
                <w:sz w:val="18"/>
                <w:szCs w:val="18"/>
              </w:rPr>
              <w:t>Connection to</w:t>
            </w:r>
          </w:p>
          <w:p w14:paraId="67612438" w14:textId="77777777" w:rsidR="00B27BEC" w:rsidRPr="00B27BEC" w:rsidRDefault="00B27BEC" w:rsidP="00B27BEC">
            <w:pPr>
              <w:spacing w:after="60"/>
              <w:rPr>
                <w:rFonts w:cstheme="minorHAnsi"/>
                <w:b/>
                <w:color w:val="auto"/>
                <w:sz w:val="18"/>
                <w:szCs w:val="18"/>
              </w:rPr>
            </w:pPr>
            <w:r w:rsidRPr="00B27BEC">
              <w:rPr>
                <w:rFonts w:cstheme="minorHAnsi"/>
                <w:b/>
                <w:color w:val="auto"/>
                <w:sz w:val="18"/>
                <w:szCs w:val="18"/>
              </w:rPr>
              <w:t>lower Dumaresq wetlands / NSW Severn wetlands</w:t>
            </w:r>
          </w:p>
          <w:p w14:paraId="14B7715B" w14:textId="77777777" w:rsidR="00B27BEC" w:rsidRPr="00B27BEC" w:rsidRDefault="00B27BEC" w:rsidP="00B27BEC">
            <w:pPr>
              <w:spacing w:after="60"/>
              <w:rPr>
                <w:rFonts w:cstheme="minorHAnsi"/>
                <w:color w:val="auto"/>
                <w:sz w:val="18"/>
                <w:szCs w:val="18"/>
                <w:u w:val="single"/>
              </w:rPr>
            </w:pPr>
            <w:r w:rsidRPr="00B27BEC">
              <w:rPr>
                <w:rFonts w:cstheme="minorHAnsi"/>
                <w:color w:val="auto"/>
                <w:sz w:val="18"/>
                <w:szCs w:val="18"/>
                <w:u w:val="single"/>
              </w:rPr>
              <w:t>Dumaresq River</w:t>
            </w:r>
          </w:p>
          <w:p w14:paraId="5C8470F2" w14:textId="77777777" w:rsidR="00B27BEC" w:rsidRPr="00B27BEC" w:rsidRDefault="00B27BEC" w:rsidP="00B27BEC">
            <w:pPr>
              <w:spacing w:after="60"/>
              <w:rPr>
                <w:rFonts w:cstheme="minorHAnsi"/>
                <w:color w:val="auto"/>
                <w:sz w:val="18"/>
                <w:szCs w:val="18"/>
              </w:rPr>
            </w:pPr>
            <w:r w:rsidRPr="00B27BEC">
              <w:rPr>
                <w:rFonts w:cstheme="minorHAnsi"/>
                <w:color w:val="auto"/>
                <w:sz w:val="18"/>
                <w:szCs w:val="18"/>
              </w:rPr>
              <w:t>SF to connect &gt;30% of wetlands in the Dumaresq reach</w:t>
            </w:r>
          </w:p>
          <w:p w14:paraId="5FEDD94A" w14:textId="77777777" w:rsidR="00B27BEC" w:rsidRPr="00B27BEC" w:rsidRDefault="00B27BEC" w:rsidP="00B27BEC">
            <w:pPr>
              <w:spacing w:after="60"/>
              <w:rPr>
                <w:rFonts w:cstheme="minorHAnsi"/>
                <w:color w:val="auto"/>
                <w:sz w:val="18"/>
                <w:szCs w:val="18"/>
              </w:rPr>
            </w:pPr>
            <w:r w:rsidRPr="00B27BEC">
              <w:rPr>
                <w:rFonts w:cstheme="minorHAnsi"/>
                <w:color w:val="auto"/>
                <w:sz w:val="18"/>
                <w:szCs w:val="18"/>
              </w:rPr>
              <w:t>&gt; 1 040 ML/day at Roseneath (SF)</w:t>
            </w:r>
          </w:p>
          <w:p w14:paraId="42B5E2DE" w14:textId="77777777" w:rsidR="00B27BEC" w:rsidRPr="00B27BEC" w:rsidRDefault="00B27BEC" w:rsidP="00B27BEC">
            <w:pPr>
              <w:spacing w:after="60"/>
              <w:rPr>
                <w:rFonts w:cstheme="minorHAnsi"/>
                <w:color w:val="auto"/>
                <w:sz w:val="18"/>
                <w:szCs w:val="18"/>
                <w:u w:val="single"/>
              </w:rPr>
            </w:pPr>
            <w:r w:rsidRPr="00B27BEC">
              <w:rPr>
                <w:rFonts w:cstheme="minorHAnsi"/>
                <w:color w:val="auto"/>
                <w:sz w:val="18"/>
                <w:szCs w:val="18"/>
                <w:u w:val="single"/>
              </w:rPr>
              <w:t>NSW Severn and Macintyre rivers</w:t>
            </w:r>
            <w:r w:rsidRPr="00B27BEC">
              <w:rPr>
                <w:rFonts w:cstheme="minorHAnsi"/>
                <w:color w:val="auto"/>
                <w:sz w:val="18"/>
                <w:szCs w:val="18"/>
              </w:rPr>
              <w:t>:</w:t>
            </w:r>
          </w:p>
          <w:p w14:paraId="56CD4992" w14:textId="77777777" w:rsidR="00B27BEC" w:rsidRPr="00B27BEC" w:rsidRDefault="00B27BEC" w:rsidP="00B27BEC">
            <w:pPr>
              <w:spacing w:after="60"/>
              <w:rPr>
                <w:rFonts w:cstheme="minorHAnsi"/>
                <w:sz w:val="18"/>
                <w:szCs w:val="18"/>
              </w:rPr>
            </w:pPr>
            <w:r w:rsidRPr="00B27BEC">
              <w:rPr>
                <w:rFonts w:cstheme="minorHAnsi"/>
                <w:color w:val="auto"/>
                <w:sz w:val="18"/>
                <w:szCs w:val="18"/>
              </w:rPr>
              <w:t>1 200 ML/day at Ducca Marrin (LF) to connect upper reach wetlands</w:t>
            </w:r>
          </w:p>
        </w:tc>
        <w:tc>
          <w:tcPr>
            <w:tcW w:w="646" w:type="pct"/>
            <w:vMerge w:val="restart"/>
            <w:tcBorders>
              <w:top w:val="single" w:sz="12" w:space="0" w:color="auto"/>
            </w:tcBorders>
            <w:shd w:val="clear" w:color="auto" w:fill="auto"/>
          </w:tcPr>
          <w:p w14:paraId="1C8C4799" w14:textId="77777777" w:rsidR="00B27BEC" w:rsidRPr="00B27BEC" w:rsidRDefault="00B27BEC" w:rsidP="00B27BEC">
            <w:pPr>
              <w:spacing w:after="0"/>
              <w:rPr>
                <w:rFonts w:cstheme="minorHAnsi"/>
                <w:color w:val="auto"/>
                <w:sz w:val="18"/>
                <w:szCs w:val="18"/>
              </w:rPr>
            </w:pPr>
            <w:r w:rsidRPr="00B27BEC">
              <w:rPr>
                <w:rFonts w:cstheme="minorHAnsi"/>
                <w:color w:val="auto"/>
                <w:sz w:val="18"/>
                <w:szCs w:val="18"/>
              </w:rPr>
              <w:t>1 in 3 to 4 years for wetland vegetation</w:t>
            </w:r>
          </w:p>
          <w:p w14:paraId="4CA37F17" w14:textId="77777777" w:rsidR="00B27BEC" w:rsidRPr="00B27BEC" w:rsidRDefault="00B27BEC" w:rsidP="00B27BEC">
            <w:pPr>
              <w:spacing w:after="0"/>
              <w:rPr>
                <w:rFonts w:cstheme="minorHAnsi"/>
                <w:sz w:val="18"/>
                <w:szCs w:val="18"/>
              </w:rPr>
            </w:pPr>
            <w:r w:rsidRPr="00B27BEC">
              <w:rPr>
                <w:rFonts w:cstheme="minorHAnsi"/>
                <w:color w:val="auto"/>
                <w:sz w:val="18"/>
                <w:szCs w:val="18"/>
              </w:rPr>
              <w:t>1 in 2 to 3 years for fish outcomes</w:t>
            </w:r>
          </w:p>
          <w:p w14:paraId="374F6C46" w14:textId="77777777" w:rsidR="00B27BEC" w:rsidRPr="00B27BEC" w:rsidRDefault="00B27BEC" w:rsidP="00B27BEC">
            <w:pPr>
              <w:spacing w:after="0"/>
              <w:rPr>
                <w:rFonts w:cstheme="minorHAnsi"/>
                <w:bCs/>
                <w:color w:val="auto"/>
                <w:sz w:val="18"/>
                <w:szCs w:val="18"/>
              </w:rPr>
            </w:pPr>
          </w:p>
        </w:tc>
        <w:tc>
          <w:tcPr>
            <w:tcW w:w="1034" w:type="pct"/>
            <w:vMerge w:val="restart"/>
            <w:tcBorders>
              <w:top w:val="single" w:sz="12" w:space="0" w:color="auto"/>
            </w:tcBorders>
            <w:shd w:val="clear" w:color="auto" w:fill="auto"/>
          </w:tcPr>
          <w:p w14:paraId="7CF987E0" w14:textId="77777777" w:rsidR="00B27BEC" w:rsidRPr="00B27BEC" w:rsidRDefault="00B27BEC" w:rsidP="00B27BEC">
            <w:pPr>
              <w:spacing w:after="60"/>
              <w:rPr>
                <w:rFonts w:cstheme="minorHAnsi"/>
                <w:sz w:val="18"/>
                <w:szCs w:val="18"/>
                <w:u w:val="single"/>
              </w:rPr>
            </w:pPr>
            <w:r w:rsidRPr="00B27BEC">
              <w:rPr>
                <w:rFonts w:cstheme="minorHAnsi"/>
                <w:sz w:val="18"/>
                <w:szCs w:val="18"/>
                <w:u w:val="single"/>
              </w:rPr>
              <w:t>Dumaresq River</w:t>
            </w:r>
          </w:p>
          <w:p w14:paraId="0BDEA366" w14:textId="77777777" w:rsidR="00B27BEC" w:rsidRPr="00B27BEC" w:rsidRDefault="00B27BEC" w:rsidP="00B27BEC">
            <w:pPr>
              <w:spacing w:after="60"/>
              <w:rPr>
                <w:rFonts w:cstheme="minorHAnsi"/>
                <w:sz w:val="18"/>
                <w:szCs w:val="18"/>
              </w:rPr>
            </w:pPr>
            <w:r w:rsidRPr="00B27BEC">
              <w:rPr>
                <w:rFonts w:cstheme="minorHAnsi"/>
                <w:sz w:val="18"/>
                <w:szCs w:val="18"/>
              </w:rPr>
              <w:t xml:space="preserve">Demands met 2017–18, 2018–19, and 2019–20 but not met between 2012–2017. Low demand, remaining low if watering occurs as planned. </w:t>
            </w:r>
          </w:p>
          <w:p w14:paraId="772F3FD1" w14:textId="77777777" w:rsidR="00B27BEC" w:rsidRPr="00B27BEC" w:rsidRDefault="00B27BEC" w:rsidP="00B27BEC">
            <w:pPr>
              <w:spacing w:after="60"/>
              <w:rPr>
                <w:rFonts w:cstheme="minorHAnsi"/>
                <w:sz w:val="18"/>
                <w:szCs w:val="18"/>
                <w:u w:val="single"/>
              </w:rPr>
            </w:pPr>
          </w:p>
          <w:p w14:paraId="6AB024DE" w14:textId="77777777" w:rsidR="00B27BEC" w:rsidRPr="00B27BEC" w:rsidRDefault="00B27BEC" w:rsidP="00B27BEC">
            <w:pPr>
              <w:spacing w:after="60"/>
              <w:rPr>
                <w:rFonts w:cstheme="minorHAnsi"/>
                <w:sz w:val="18"/>
                <w:szCs w:val="18"/>
                <w:u w:val="single"/>
              </w:rPr>
            </w:pPr>
          </w:p>
          <w:p w14:paraId="028340E1" w14:textId="77777777" w:rsidR="00B27BEC" w:rsidRPr="00B27BEC" w:rsidRDefault="00B27BEC" w:rsidP="00B27BEC">
            <w:pPr>
              <w:spacing w:after="60"/>
              <w:rPr>
                <w:rFonts w:cstheme="minorHAnsi"/>
                <w:sz w:val="18"/>
                <w:szCs w:val="18"/>
                <w:u w:val="single"/>
              </w:rPr>
            </w:pPr>
          </w:p>
          <w:p w14:paraId="005C9E41" w14:textId="77777777" w:rsidR="00B27BEC" w:rsidRPr="00B27BEC" w:rsidRDefault="00B27BEC" w:rsidP="00B27BEC">
            <w:pPr>
              <w:spacing w:after="60"/>
              <w:rPr>
                <w:rFonts w:cstheme="minorHAnsi"/>
                <w:bCs/>
                <w:sz w:val="18"/>
                <w:szCs w:val="18"/>
              </w:rPr>
            </w:pPr>
            <w:r w:rsidRPr="00B27BEC">
              <w:rPr>
                <w:rFonts w:cstheme="minorHAnsi"/>
                <w:sz w:val="18"/>
                <w:szCs w:val="18"/>
                <w:u w:val="single"/>
              </w:rPr>
              <w:t>NSW Severn and Macintyre rivers</w:t>
            </w:r>
          </w:p>
          <w:p w14:paraId="7C2FE506" w14:textId="77777777" w:rsidR="00B27BEC" w:rsidRPr="00B27BEC" w:rsidRDefault="00B27BEC" w:rsidP="00B27BEC">
            <w:pPr>
              <w:spacing w:after="60"/>
              <w:rPr>
                <w:rFonts w:cstheme="minorHAnsi"/>
                <w:bCs/>
                <w:color w:val="auto"/>
                <w:sz w:val="18"/>
                <w:szCs w:val="18"/>
              </w:rPr>
            </w:pPr>
            <w:r w:rsidRPr="00B27BEC">
              <w:rPr>
                <w:rFonts w:cstheme="minorHAnsi"/>
                <w:bCs/>
                <w:sz w:val="18"/>
                <w:szCs w:val="18"/>
              </w:rPr>
              <w:t xml:space="preserve">Met annually from 2012 to 2018–19 but not met in 2019–20. Moderate environmental demand, moving to low if watering occurs as planned. </w:t>
            </w:r>
          </w:p>
        </w:tc>
        <w:tc>
          <w:tcPr>
            <w:tcW w:w="420" w:type="pct"/>
            <w:tcBorders>
              <w:top w:val="single" w:sz="12" w:space="0" w:color="auto"/>
            </w:tcBorders>
            <w:shd w:val="clear" w:color="auto" w:fill="92D050"/>
            <w:vAlign w:val="center"/>
          </w:tcPr>
          <w:p w14:paraId="54721DF8" w14:textId="77777777" w:rsidR="00B27BEC" w:rsidRPr="00B27BEC" w:rsidRDefault="00B27BEC" w:rsidP="00B27BEC">
            <w:pPr>
              <w:spacing w:after="0"/>
              <w:jc w:val="center"/>
              <w:rPr>
                <w:color w:val="auto"/>
                <w:spacing w:val="-1"/>
                <w:sz w:val="18"/>
              </w:rPr>
            </w:pPr>
            <w:r w:rsidRPr="00B27BEC">
              <w:rPr>
                <w:rFonts w:cstheme="minorHAnsi"/>
                <w:color w:val="auto"/>
                <w:sz w:val="18"/>
                <w:szCs w:val="18"/>
              </w:rPr>
              <w:t>Low</w:t>
            </w:r>
          </w:p>
        </w:tc>
        <w:tc>
          <w:tcPr>
            <w:tcW w:w="711" w:type="pct"/>
            <w:tcBorders>
              <w:top w:val="single" w:sz="12" w:space="0" w:color="auto"/>
            </w:tcBorders>
            <w:shd w:val="clear" w:color="auto" w:fill="auto"/>
            <w:vAlign w:val="center"/>
          </w:tcPr>
          <w:p w14:paraId="38F49A6C" w14:textId="77777777" w:rsidR="00B27BEC" w:rsidRPr="00B27BEC" w:rsidRDefault="00B27BEC" w:rsidP="00B27BEC">
            <w:pPr>
              <w:jc w:val="center"/>
              <w:rPr>
                <w:color w:val="auto"/>
                <w:spacing w:val="-1"/>
                <w:sz w:val="18"/>
              </w:rPr>
            </w:pPr>
            <w:r w:rsidRPr="00B27BEC">
              <w:rPr>
                <w:rFonts w:cstheme="minorHAnsi"/>
                <w:color w:val="auto"/>
                <w:sz w:val="18"/>
                <w:szCs w:val="18"/>
              </w:rPr>
              <w:t>A low priority for CEW under low to moderate water resource availability scenarios. Potential for contribution under a high water resource availability scenario, in conjunction with similar flow requirements for fish outcomes</w:t>
            </w:r>
          </w:p>
        </w:tc>
        <w:tc>
          <w:tcPr>
            <w:tcW w:w="513" w:type="pct"/>
            <w:tcBorders>
              <w:top w:val="single" w:sz="12" w:space="0" w:color="auto"/>
              <w:right w:val="single" w:sz="12" w:space="0" w:color="auto"/>
            </w:tcBorders>
            <w:shd w:val="clear" w:color="auto" w:fill="92D050"/>
            <w:vAlign w:val="center"/>
          </w:tcPr>
          <w:p w14:paraId="1AD4E738" w14:textId="77777777" w:rsidR="00B27BEC" w:rsidRPr="00B27BEC" w:rsidRDefault="00B27BEC" w:rsidP="00B27BEC">
            <w:pPr>
              <w:spacing w:after="0"/>
              <w:jc w:val="center"/>
              <w:rPr>
                <w:color w:val="auto"/>
                <w:sz w:val="18"/>
                <w:szCs w:val="18"/>
              </w:rPr>
            </w:pPr>
            <w:r w:rsidRPr="00B27BEC">
              <w:rPr>
                <w:color w:val="auto"/>
                <w:sz w:val="18"/>
                <w:szCs w:val="18"/>
              </w:rPr>
              <w:t>Low</w:t>
            </w:r>
          </w:p>
        </w:tc>
      </w:tr>
      <w:tr w:rsidR="00B27BEC" w:rsidRPr="00B27BEC" w14:paraId="1FE4A44D" w14:textId="77777777" w:rsidTr="005F58BB">
        <w:trPr>
          <w:trHeight w:val="1239"/>
        </w:trPr>
        <w:tc>
          <w:tcPr>
            <w:tcW w:w="403" w:type="pct"/>
            <w:vMerge/>
            <w:tcBorders>
              <w:top w:val="single" w:sz="12" w:space="0" w:color="auto"/>
              <w:left w:val="single" w:sz="12" w:space="0" w:color="auto"/>
              <w:bottom w:val="single" w:sz="4" w:space="0" w:color="auto"/>
              <w:right w:val="single" w:sz="4" w:space="0" w:color="auto"/>
            </w:tcBorders>
            <w:shd w:val="clear" w:color="auto" w:fill="auto"/>
          </w:tcPr>
          <w:p w14:paraId="2FB418C4" w14:textId="77777777" w:rsidR="00B27BEC" w:rsidRPr="00B27BEC" w:rsidRDefault="00B27BEC" w:rsidP="00B27BEC">
            <w:pPr>
              <w:spacing w:after="0"/>
              <w:rPr>
                <w:rFonts w:cstheme="minorHAnsi"/>
                <w:bCs/>
                <w:color w:val="auto"/>
                <w:sz w:val="18"/>
                <w:szCs w:val="18"/>
              </w:rPr>
            </w:pPr>
          </w:p>
        </w:tc>
        <w:tc>
          <w:tcPr>
            <w:tcW w:w="421" w:type="pct"/>
            <w:vMerge/>
            <w:tcBorders>
              <w:left w:val="single" w:sz="4" w:space="0" w:color="auto"/>
              <w:right w:val="single" w:sz="4" w:space="0" w:color="auto"/>
            </w:tcBorders>
          </w:tcPr>
          <w:p w14:paraId="2B26F53D" w14:textId="77777777" w:rsidR="00B27BEC" w:rsidRPr="00B27BEC" w:rsidRDefault="00B27BEC" w:rsidP="00B27BEC">
            <w:pPr>
              <w:spacing w:after="0"/>
              <w:contextualSpacing/>
              <w:rPr>
                <w:rFonts w:cstheme="minorHAnsi"/>
                <w:color w:val="auto"/>
                <w:sz w:val="18"/>
                <w:szCs w:val="18"/>
              </w:rPr>
            </w:pPr>
          </w:p>
        </w:tc>
        <w:tc>
          <w:tcPr>
            <w:tcW w:w="852" w:type="pct"/>
            <w:vMerge/>
            <w:tcBorders>
              <w:left w:val="single" w:sz="4" w:space="0" w:color="auto"/>
            </w:tcBorders>
            <w:shd w:val="clear" w:color="auto" w:fill="auto"/>
          </w:tcPr>
          <w:p w14:paraId="109AFD6E" w14:textId="77777777" w:rsidR="00B27BEC" w:rsidRPr="00B27BEC" w:rsidRDefault="00B27BEC" w:rsidP="00B27BEC">
            <w:pPr>
              <w:spacing w:after="0"/>
              <w:rPr>
                <w:rFonts w:cstheme="minorHAnsi"/>
                <w:b/>
                <w:color w:val="auto"/>
                <w:sz w:val="18"/>
                <w:szCs w:val="18"/>
              </w:rPr>
            </w:pPr>
          </w:p>
        </w:tc>
        <w:tc>
          <w:tcPr>
            <w:tcW w:w="646" w:type="pct"/>
            <w:vMerge/>
            <w:shd w:val="clear" w:color="auto" w:fill="auto"/>
          </w:tcPr>
          <w:p w14:paraId="24F91764" w14:textId="77777777" w:rsidR="00B27BEC" w:rsidRPr="00B27BEC" w:rsidRDefault="00B27BEC" w:rsidP="00B27BEC">
            <w:pPr>
              <w:spacing w:after="0"/>
              <w:rPr>
                <w:rFonts w:cstheme="minorHAnsi"/>
                <w:color w:val="auto"/>
                <w:sz w:val="18"/>
                <w:szCs w:val="18"/>
              </w:rPr>
            </w:pPr>
          </w:p>
        </w:tc>
        <w:tc>
          <w:tcPr>
            <w:tcW w:w="1034" w:type="pct"/>
            <w:vMerge/>
            <w:shd w:val="clear" w:color="auto" w:fill="auto"/>
          </w:tcPr>
          <w:p w14:paraId="0303142D" w14:textId="77777777" w:rsidR="00B27BEC" w:rsidRPr="00B27BEC" w:rsidRDefault="00B27BEC" w:rsidP="00B27BEC">
            <w:pPr>
              <w:spacing w:after="0"/>
              <w:rPr>
                <w:rFonts w:cstheme="minorHAnsi"/>
                <w:sz w:val="18"/>
                <w:szCs w:val="18"/>
                <w:u w:val="single"/>
              </w:rPr>
            </w:pPr>
          </w:p>
        </w:tc>
        <w:tc>
          <w:tcPr>
            <w:tcW w:w="420" w:type="pct"/>
            <w:shd w:val="clear" w:color="auto" w:fill="FFC000"/>
            <w:vAlign w:val="center"/>
          </w:tcPr>
          <w:p w14:paraId="2829A258" w14:textId="77777777" w:rsidR="00B27BEC" w:rsidRPr="00B27BEC" w:rsidRDefault="00B27BEC" w:rsidP="00B27BEC">
            <w:pPr>
              <w:spacing w:after="0"/>
              <w:jc w:val="center"/>
              <w:rPr>
                <w:color w:val="auto"/>
                <w:spacing w:val="-1"/>
                <w:sz w:val="18"/>
              </w:rPr>
            </w:pPr>
            <w:r w:rsidRPr="00B27BEC">
              <w:rPr>
                <w:rFonts w:cstheme="minorHAnsi"/>
                <w:color w:val="auto"/>
                <w:sz w:val="18"/>
                <w:szCs w:val="18"/>
              </w:rPr>
              <w:t>Moderate</w:t>
            </w:r>
          </w:p>
        </w:tc>
        <w:tc>
          <w:tcPr>
            <w:tcW w:w="711" w:type="pct"/>
            <w:shd w:val="clear" w:color="auto" w:fill="auto"/>
            <w:vAlign w:val="center"/>
          </w:tcPr>
          <w:p w14:paraId="6045D2F3" w14:textId="77777777" w:rsidR="00B27BEC" w:rsidRPr="00B27BEC" w:rsidRDefault="00B27BEC" w:rsidP="00B27BEC">
            <w:pPr>
              <w:jc w:val="center"/>
              <w:rPr>
                <w:color w:val="auto"/>
                <w:spacing w:val="-1"/>
                <w:sz w:val="18"/>
              </w:rPr>
            </w:pPr>
            <w:r w:rsidRPr="00B27BEC">
              <w:rPr>
                <w:rFonts w:cstheme="minorHAnsi"/>
                <w:color w:val="auto"/>
                <w:sz w:val="18"/>
                <w:szCs w:val="18"/>
              </w:rPr>
              <w:t>A low priority for CEW under low water resource availability scenarios, however, Commonwealth unregulated entitlements could contribute unregulated flows, if triggered.</w:t>
            </w:r>
          </w:p>
        </w:tc>
        <w:tc>
          <w:tcPr>
            <w:tcW w:w="513" w:type="pct"/>
            <w:tcBorders>
              <w:right w:val="single" w:sz="12" w:space="0" w:color="auto"/>
            </w:tcBorders>
            <w:shd w:val="clear" w:color="auto" w:fill="92D050"/>
            <w:vAlign w:val="center"/>
          </w:tcPr>
          <w:p w14:paraId="71BAA1F8" w14:textId="77777777" w:rsidR="00B27BEC" w:rsidRPr="00B27BEC" w:rsidRDefault="00B27BEC" w:rsidP="00B27BEC">
            <w:pPr>
              <w:spacing w:after="0"/>
              <w:jc w:val="center"/>
              <w:rPr>
                <w:color w:val="auto"/>
                <w:sz w:val="18"/>
                <w:szCs w:val="18"/>
              </w:rPr>
            </w:pPr>
            <w:r w:rsidRPr="00B27BEC">
              <w:rPr>
                <w:color w:val="auto"/>
                <w:sz w:val="18"/>
                <w:szCs w:val="18"/>
              </w:rPr>
              <w:t>Low</w:t>
            </w:r>
          </w:p>
        </w:tc>
      </w:tr>
      <w:tr w:rsidR="00B27BEC" w:rsidRPr="00B27BEC" w14:paraId="28151209" w14:textId="77777777" w:rsidTr="005F58BB">
        <w:trPr>
          <w:trHeight w:val="1604"/>
        </w:trPr>
        <w:tc>
          <w:tcPr>
            <w:tcW w:w="403" w:type="pct"/>
            <w:vMerge w:val="restart"/>
            <w:tcBorders>
              <w:top w:val="single" w:sz="4" w:space="0" w:color="auto"/>
              <w:left w:val="single" w:sz="12" w:space="0" w:color="auto"/>
              <w:right w:val="single" w:sz="4" w:space="0" w:color="auto"/>
            </w:tcBorders>
            <w:shd w:val="clear" w:color="auto" w:fill="auto"/>
          </w:tcPr>
          <w:p w14:paraId="217FE588" w14:textId="77777777" w:rsidR="00B27BEC" w:rsidRPr="00B27BEC" w:rsidRDefault="00B27BEC" w:rsidP="00B27BEC">
            <w:pPr>
              <w:spacing w:after="0"/>
              <w:rPr>
                <w:spacing w:val="-1"/>
                <w:sz w:val="18"/>
              </w:rPr>
            </w:pPr>
            <w:r w:rsidRPr="00B27BEC">
              <w:rPr>
                <w:rFonts w:cstheme="minorHAnsi"/>
                <w:b/>
                <w:color w:val="auto"/>
                <w:sz w:val="18"/>
                <w:szCs w:val="18"/>
              </w:rPr>
              <w:lastRenderedPageBreak/>
              <w:t xml:space="preserve">Wetlands, lagoons and billabongs </w:t>
            </w:r>
            <w:r w:rsidRPr="00B27BEC">
              <w:rPr>
                <w:spacing w:val="-1"/>
                <w:sz w:val="18"/>
              </w:rPr>
              <w:t>(ctd)</w:t>
            </w:r>
          </w:p>
        </w:tc>
        <w:tc>
          <w:tcPr>
            <w:tcW w:w="421" w:type="pct"/>
            <w:vMerge w:val="restart"/>
            <w:tcBorders>
              <w:left w:val="single" w:sz="4" w:space="0" w:color="auto"/>
              <w:right w:val="single" w:sz="4" w:space="0" w:color="auto"/>
            </w:tcBorders>
          </w:tcPr>
          <w:p w14:paraId="429557CA" w14:textId="77777777" w:rsidR="00B27BEC" w:rsidRPr="00B27BEC" w:rsidRDefault="00B27BEC" w:rsidP="00B27BEC">
            <w:pPr>
              <w:spacing w:after="0"/>
              <w:rPr>
                <w:rFonts w:cstheme="minorHAnsi"/>
                <w:spacing w:val="-1"/>
                <w:sz w:val="18"/>
                <w:szCs w:val="18"/>
              </w:rPr>
            </w:pPr>
            <w:r w:rsidRPr="00B27BEC">
              <w:rPr>
                <w:rFonts w:cstheme="minorHAnsi"/>
                <w:sz w:val="18"/>
                <w:szCs w:val="18"/>
              </w:rPr>
              <w:t>Fish (all guilds) and other aquatic dependent biota</w:t>
            </w:r>
            <w:r w:rsidRPr="00B27BEC">
              <w:rPr>
                <w:rFonts w:cstheme="minorHAnsi"/>
                <w:spacing w:val="-4"/>
                <w:sz w:val="18"/>
                <w:szCs w:val="18"/>
              </w:rPr>
              <w:t xml:space="preserve"> </w:t>
            </w:r>
            <w:r w:rsidRPr="00B27BEC">
              <w:rPr>
                <w:rFonts w:cstheme="minorHAnsi"/>
                <w:spacing w:val="-1"/>
                <w:sz w:val="18"/>
                <w:szCs w:val="18"/>
              </w:rPr>
              <w:t>refuge</w:t>
            </w:r>
          </w:p>
          <w:p w14:paraId="7655C1DD" w14:textId="77777777" w:rsidR="00B27BEC" w:rsidRPr="00B27BEC" w:rsidRDefault="00B27BEC" w:rsidP="00B27BEC">
            <w:pPr>
              <w:rPr>
                <w:rFonts w:cstheme="minorHAnsi"/>
                <w:bCs/>
                <w:color w:val="auto"/>
                <w:sz w:val="18"/>
                <w:szCs w:val="18"/>
              </w:rPr>
            </w:pPr>
            <w:r w:rsidRPr="00B27BEC">
              <w:rPr>
                <w:rFonts w:cstheme="minorHAnsi"/>
                <w:spacing w:val="-1"/>
                <w:sz w:val="18"/>
                <w:szCs w:val="18"/>
              </w:rPr>
              <w:t>Aquatic</w:t>
            </w:r>
            <w:r w:rsidRPr="00B27BEC">
              <w:rPr>
                <w:rFonts w:cstheme="minorHAnsi"/>
                <w:spacing w:val="23"/>
                <w:w w:val="99"/>
                <w:sz w:val="18"/>
                <w:szCs w:val="18"/>
              </w:rPr>
              <w:t xml:space="preserve"> </w:t>
            </w:r>
            <w:r w:rsidRPr="00B27BEC">
              <w:rPr>
                <w:rFonts w:cstheme="minorHAnsi"/>
                <w:spacing w:val="-1"/>
                <w:sz w:val="18"/>
                <w:szCs w:val="18"/>
              </w:rPr>
              <w:t>ecosystems</w:t>
            </w:r>
          </w:p>
        </w:tc>
        <w:tc>
          <w:tcPr>
            <w:tcW w:w="852" w:type="pct"/>
            <w:vMerge w:val="restart"/>
            <w:tcBorders>
              <w:left w:val="single" w:sz="4" w:space="0" w:color="auto"/>
            </w:tcBorders>
            <w:shd w:val="clear" w:color="auto" w:fill="auto"/>
          </w:tcPr>
          <w:p w14:paraId="52FB2130" w14:textId="77777777" w:rsidR="00B27BEC" w:rsidRPr="00B27BEC" w:rsidRDefault="00B27BEC" w:rsidP="00B27BEC">
            <w:pPr>
              <w:spacing w:after="60"/>
              <w:rPr>
                <w:rFonts w:cstheme="minorHAnsi"/>
                <w:b/>
                <w:sz w:val="18"/>
                <w:szCs w:val="18"/>
              </w:rPr>
            </w:pPr>
            <w:r w:rsidRPr="00B27BEC">
              <w:rPr>
                <w:rFonts w:cstheme="minorHAnsi"/>
                <w:b/>
                <w:sz w:val="18"/>
                <w:szCs w:val="18"/>
              </w:rPr>
              <w:t>Connection to</w:t>
            </w:r>
          </w:p>
          <w:p w14:paraId="0735097B" w14:textId="77777777" w:rsidR="00B27BEC" w:rsidRPr="00B27BEC" w:rsidRDefault="00B27BEC" w:rsidP="00B27BEC">
            <w:pPr>
              <w:spacing w:after="60"/>
              <w:rPr>
                <w:rFonts w:cstheme="minorHAnsi"/>
                <w:b/>
                <w:sz w:val="18"/>
                <w:szCs w:val="18"/>
              </w:rPr>
            </w:pPr>
            <w:r w:rsidRPr="00B27BEC">
              <w:rPr>
                <w:rFonts w:cstheme="minorHAnsi"/>
                <w:b/>
                <w:sz w:val="18"/>
                <w:szCs w:val="18"/>
              </w:rPr>
              <w:t>lower Macintyre River wetlands</w:t>
            </w:r>
          </w:p>
          <w:p w14:paraId="18B95B66" w14:textId="77777777" w:rsidR="00B27BEC" w:rsidRPr="00B27BEC" w:rsidRDefault="00B27BEC" w:rsidP="00B27BEC">
            <w:pPr>
              <w:spacing w:after="60"/>
              <w:rPr>
                <w:rFonts w:cstheme="minorHAnsi"/>
                <w:sz w:val="18"/>
                <w:szCs w:val="18"/>
                <w:u w:val="single"/>
              </w:rPr>
            </w:pPr>
            <w:r w:rsidRPr="00B27BEC">
              <w:rPr>
                <w:rFonts w:cstheme="minorHAnsi"/>
                <w:sz w:val="18"/>
                <w:szCs w:val="18"/>
                <w:u w:val="single"/>
              </w:rPr>
              <w:t>Connect wetlands and anabranches - Goondiwindi to Mungindi</w:t>
            </w:r>
          </w:p>
          <w:p w14:paraId="19F415E0" w14:textId="77777777" w:rsidR="00B27BEC" w:rsidRPr="00B27BEC" w:rsidRDefault="00B27BEC" w:rsidP="00B27BEC">
            <w:pPr>
              <w:autoSpaceDE w:val="0"/>
              <w:autoSpaceDN w:val="0"/>
              <w:adjustRightInd w:val="0"/>
              <w:spacing w:after="60"/>
              <w:rPr>
                <w:rFonts w:cstheme="minorHAnsi"/>
                <w:spacing w:val="-2"/>
                <w:sz w:val="18"/>
                <w:szCs w:val="18"/>
              </w:rPr>
            </w:pPr>
            <w:r w:rsidRPr="00B27BEC">
              <w:rPr>
                <w:rFonts w:cstheme="minorHAnsi"/>
                <w:spacing w:val="-2"/>
                <w:sz w:val="18"/>
                <w:szCs w:val="18"/>
              </w:rPr>
              <w:t xml:space="preserve">&gt;20 000 ML/day (low connectivity) (bankfull-small overbank flow) </w:t>
            </w:r>
          </w:p>
          <w:p w14:paraId="43F7E03B" w14:textId="77777777" w:rsidR="00B27BEC" w:rsidRPr="00B27BEC" w:rsidRDefault="00B27BEC" w:rsidP="00B27BEC">
            <w:pPr>
              <w:autoSpaceDE w:val="0"/>
              <w:autoSpaceDN w:val="0"/>
              <w:adjustRightInd w:val="0"/>
              <w:spacing w:after="60"/>
              <w:rPr>
                <w:rFonts w:cstheme="minorHAnsi"/>
                <w:spacing w:val="-2"/>
                <w:sz w:val="18"/>
                <w:szCs w:val="18"/>
                <w:vertAlign w:val="superscript"/>
              </w:rPr>
            </w:pPr>
            <w:r w:rsidRPr="00B27BEC">
              <w:rPr>
                <w:rFonts w:cstheme="minorHAnsi"/>
                <w:spacing w:val="-2"/>
                <w:sz w:val="18"/>
                <w:szCs w:val="18"/>
              </w:rPr>
              <w:t>&gt;60 000 ML/day (high connectivity) (large overbank event) at Goondiwindi for 7 days</w:t>
            </w:r>
          </w:p>
          <w:p w14:paraId="17621792" w14:textId="77777777" w:rsidR="00B27BEC" w:rsidRPr="00B27BEC" w:rsidRDefault="00B27BEC" w:rsidP="00B27BEC">
            <w:pPr>
              <w:spacing w:after="60"/>
              <w:rPr>
                <w:rFonts w:cstheme="minorHAnsi"/>
                <w:sz w:val="18"/>
                <w:szCs w:val="18"/>
                <w:u w:val="single"/>
              </w:rPr>
            </w:pPr>
            <w:r w:rsidRPr="00B27BEC">
              <w:rPr>
                <w:rFonts w:cstheme="minorHAnsi"/>
                <w:sz w:val="18"/>
                <w:szCs w:val="18"/>
                <w:u w:val="single"/>
              </w:rPr>
              <w:t>Low level wetland connection in Lower Macintyre</w:t>
            </w:r>
          </w:p>
          <w:p w14:paraId="292EF13D" w14:textId="77777777" w:rsidR="00B27BEC" w:rsidRPr="00B27BEC" w:rsidRDefault="00B27BEC" w:rsidP="00B27BEC">
            <w:pPr>
              <w:spacing w:after="60"/>
              <w:rPr>
                <w:rFonts w:cstheme="minorHAnsi"/>
                <w:sz w:val="18"/>
                <w:szCs w:val="18"/>
              </w:rPr>
            </w:pPr>
            <w:r w:rsidRPr="00B27BEC">
              <w:rPr>
                <w:rFonts w:cstheme="minorHAnsi"/>
                <w:sz w:val="18"/>
                <w:szCs w:val="18"/>
              </w:rPr>
              <w:t xml:space="preserve">10 000–15 000 ML/day at Goondiwindi (bankfull) </w:t>
            </w:r>
          </w:p>
          <w:p w14:paraId="08E989A7" w14:textId="77777777" w:rsidR="00B27BEC" w:rsidRPr="00B27BEC" w:rsidRDefault="00B27BEC" w:rsidP="00B27BEC">
            <w:pPr>
              <w:spacing w:after="60"/>
              <w:rPr>
                <w:rFonts w:cstheme="minorHAnsi"/>
                <w:sz w:val="18"/>
                <w:szCs w:val="18"/>
              </w:rPr>
            </w:pPr>
            <w:r w:rsidRPr="00B27BEC">
              <w:rPr>
                <w:rFonts w:cstheme="minorHAnsi"/>
                <w:sz w:val="18"/>
                <w:szCs w:val="18"/>
              </w:rPr>
              <w:t xml:space="preserve">4 000–6 000 ML/day at Terrewah (LF and bankfull) for 4–8 days in Oct–Mar </w:t>
            </w:r>
          </w:p>
        </w:tc>
        <w:tc>
          <w:tcPr>
            <w:tcW w:w="646" w:type="pct"/>
            <w:vMerge w:val="restart"/>
            <w:tcBorders>
              <w:top w:val="single" w:sz="4" w:space="0" w:color="auto"/>
            </w:tcBorders>
            <w:shd w:val="clear" w:color="auto" w:fill="auto"/>
          </w:tcPr>
          <w:p w14:paraId="02529301" w14:textId="77777777" w:rsidR="00B27BEC" w:rsidRPr="00B27BEC" w:rsidRDefault="00B27BEC" w:rsidP="00B27BEC">
            <w:pPr>
              <w:spacing w:after="0"/>
              <w:rPr>
                <w:rFonts w:cstheme="minorHAnsi"/>
                <w:color w:val="auto"/>
                <w:sz w:val="18"/>
                <w:szCs w:val="18"/>
              </w:rPr>
            </w:pPr>
            <w:r w:rsidRPr="00B27BEC">
              <w:rPr>
                <w:rFonts w:cstheme="minorHAnsi"/>
                <w:color w:val="auto"/>
                <w:sz w:val="18"/>
                <w:szCs w:val="18"/>
              </w:rPr>
              <w:t>1 in 3–4 years for wetland vegetation</w:t>
            </w:r>
          </w:p>
          <w:p w14:paraId="34DE3DD8" w14:textId="77777777" w:rsidR="00B27BEC" w:rsidRPr="00B27BEC" w:rsidRDefault="00B27BEC" w:rsidP="00B27BEC">
            <w:pPr>
              <w:spacing w:after="0"/>
              <w:rPr>
                <w:rFonts w:cstheme="minorHAnsi"/>
                <w:color w:val="auto"/>
                <w:sz w:val="18"/>
                <w:szCs w:val="18"/>
              </w:rPr>
            </w:pPr>
            <w:r w:rsidRPr="00B27BEC">
              <w:rPr>
                <w:rFonts w:cstheme="minorHAnsi"/>
                <w:color w:val="auto"/>
                <w:sz w:val="18"/>
                <w:szCs w:val="18"/>
              </w:rPr>
              <w:t>1 in 2–3 years for native fish outcomes</w:t>
            </w:r>
          </w:p>
          <w:p w14:paraId="4CF74EF4" w14:textId="77777777" w:rsidR="00B27BEC" w:rsidRPr="00B27BEC" w:rsidRDefault="00B27BEC" w:rsidP="00B27BEC">
            <w:pPr>
              <w:spacing w:after="0"/>
              <w:rPr>
                <w:rFonts w:cstheme="minorHAnsi"/>
                <w:bCs/>
                <w:color w:val="auto"/>
                <w:sz w:val="18"/>
                <w:szCs w:val="18"/>
              </w:rPr>
            </w:pPr>
            <w:r w:rsidRPr="00B27BEC">
              <w:rPr>
                <w:rFonts w:cstheme="minorHAnsi"/>
                <w:color w:val="auto"/>
                <w:sz w:val="18"/>
                <w:szCs w:val="18"/>
              </w:rPr>
              <w:t>Every 3 years for small fish outcomes</w:t>
            </w:r>
          </w:p>
        </w:tc>
        <w:tc>
          <w:tcPr>
            <w:tcW w:w="1034" w:type="pct"/>
            <w:vMerge w:val="restart"/>
            <w:shd w:val="clear" w:color="auto" w:fill="auto"/>
          </w:tcPr>
          <w:p w14:paraId="469CBC0F" w14:textId="77777777" w:rsidR="00B27BEC" w:rsidRPr="00B27BEC" w:rsidRDefault="00B27BEC" w:rsidP="00B27BEC">
            <w:pPr>
              <w:spacing w:after="60"/>
              <w:rPr>
                <w:rFonts w:cstheme="minorHAnsi"/>
                <w:color w:val="auto"/>
                <w:spacing w:val="-2"/>
                <w:sz w:val="18"/>
                <w:szCs w:val="18"/>
              </w:rPr>
            </w:pPr>
            <w:r w:rsidRPr="00B27BEC">
              <w:rPr>
                <w:rFonts w:cstheme="minorHAnsi"/>
                <w:color w:val="auto"/>
                <w:spacing w:val="-2"/>
                <w:sz w:val="18"/>
                <w:szCs w:val="18"/>
                <w:u w:val="single"/>
              </w:rPr>
              <w:t>Connectivity for wetlands and anabranches from Goondiwindi to Mungindi</w:t>
            </w:r>
            <w:r w:rsidRPr="00B27BEC">
              <w:rPr>
                <w:rFonts w:cstheme="minorHAnsi"/>
                <w:color w:val="auto"/>
                <w:spacing w:val="-2"/>
                <w:sz w:val="18"/>
                <w:szCs w:val="18"/>
              </w:rPr>
              <w:t xml:space="preserve"> </w:t>
            </w:r>
          </w:p>
          <w:p w14:paraId="05E767FD" w14:textId="77777777" w:rsidR="00B27BEC" w:rsidRPr="00B27BEC" w:rsidRDefault="00B27BEC" w:rsidP="00B27BEC">
            <w:pPr>
              <w:spacing w:after="60"/>
              <w:rPr>
                <w:rFonts w:cstheme="minorHAnsi"/>
                <w:color w:val="auto"/>
                <w:spacing w:val="-2"/>
                <w:sz w:val="18"/>
                <w:szCs w:val="18"/>
              </w:rPr>
            </w:pPr>
            <w:r w:rsidRPr="00B27BEC">
              <w:rPr>
                <w:rFonts w:cstheme="minorHAnsi"/>
                <w:color w:val="auto"/>
                <w:spacing w:val="-2"/>
                <w:sz w:val="18"/>
                <w:szCs w:val="18"/>
              </w:rPr>
              <w:t xml:space="preserve">Not met since 2012–13. High to critical environmental demand, moving to moderate if watering occurs as planned.  </w:t>
            </w:r>
          </w:p>
          <w:p w14:paraId="198D14E7" w14:textId="77777777" w:rsidR="00B27BEC" w:rsidRPr="00B27BEC" w:rsidRDefault="00B27BEC" w:rsidP="00B27BEC">
            <w:pPr>
              <w:spacing w:after="60"/>
              <w:rPr>
                <w:rFonts w:cstheme="minorHAnsi"/>
                <w:color w:val="auto"/>
                <w:spacing w:val="-2"/>
                <w:sz w:val="18"/>
                <w:szCs w:val="18"/>
                <w:u w:val="single"/>
              </w:rPr>
            </w:pPr>
            <w:r w:rsidRPr="00B27BEC">
              <w:rPr>
                <w:rFonts w:cstheme="minorHAnsi"/>
                <w:color w:val="auto"/>
                <w:spacing w:val="-2"/>
                <w:sz w:val="18"/>
                <w:szCs w:val="18"/>
                <w:u w:val="single"/>
              </w:rPr>
              <w:t>Low level wetland connections in Lower Macintyre</w:t>
            </w:r>
          </w:p>
          <w:p w14:paraId="54679A0A" w14:textId="77777777" w:rsidR="00B27BEC" w:rsidRPr="00B27BEC" w:rsidRDefault="00B27BEC" w:rsidP="00B27BEC">
            <w:pPr>
              <w:spacing w:after="60"/>
              <w:rPr>
                <w:rFonts w:cstheme="minorHAnsi"/>
                <w:bCs/>
                <w:color w:val="auto"/>
                <w:sz w:val="18"/>
                <w:szCs w:val="18"/>
              </w:rPr>
            </w:pPr>
            <w:r w:rsidRPr="00B27BEC">
              <w:rPr>
                <w:rFonts w:cstheme="minorHAnsi"/>
                <w:color w:val="auto"/>
                <w:spacing w:val="-2"/>
                <w:sz w:val="18"/>
                <w:szCs w:val="18"/>
              </w:rPr>
              <w:t xml:space="preserve">Not met from 2012–13 to 2018–19. Met in 2019–20 (flows at Goondiwindi &gt;10 000 ML/day 16–22 February 2020 and flows at Terrewah &gt;4 000 ML/day from 16–26 February 2020). Low environmental demand, remaining low if watering occurs as planned. </w:t>
            </w:r>
          </w:p>
        </w:tc>
        <w:tc>
          <w:tcPr>
            <w:tcW w:w="420" w:type="pct"/>
            <w:shd w:val="clear" w:color="auto" w:fill="FF0000"/>
            <w:vAlign w:val="center"/>
          </w:tcPr>
          <w:p w14:paraId="258D4D59" w14:textId="77777777" w:rsidR="00B27BEC" w:rsidRPr="00B27BEC" w:rsidRDefault="00B27BEC" w:rsidP="00B27BEC">
            <w:pPr>
              <w:spacing w:after="0"/>
              <w:jc w:val="center"/>
              <w:rPr>
                <w:color w:val="auto"/>
                <w:spacing w:val="-1"/>
                <w:sz w:val="18"/>
              </w:rPr>
            </w:pPr>
            <w:r w:rsidRPr="00B27BEC">
              <w:rPr>
                <w:rFonts w:cstheme="minorHAnsi"/>
                <w:color w:val="auto"/>
                <w:sz w:val="18"/>
                <w:szCs w:val="18"/>
              </w:rPr>
              <w:t>High to Critical</w:t>
            </w:r>
          </w:p>
        </w:tc>
        <w:tc>
          <w:tcPr>
            <w:tcW w:w="711" w:type="pct"/>
            <w:vMerge w:val="restart"/>
            <w:shd w:val="clear" w:color="auto" w:fill="A6A6A6" w:themeFill="background1" w:themeFillShade="A6"/>
            <w:vAlign w:val="center"/>
          </w:tcPr>
          <w:p w14:paraId="38DD0F66" w14:textId="77777777" w:rsidR="00B27BEC" w:rsidRPr="00B27BEC" w:rsidRDefault="00B27BEC" w:rsidP="00B27BEC">
            <w:pPr>
              <w:jc w:val="center"/>
              <w:rPr>
                <w:color w:val="auto"/>
                <w:spacing w:val="-1"/>
                <w:sz w:val="18"/>
              </w:rPr>
            </w:pPr>
            <w:r w:rsidRPr="00B27BEC">
              <w:rPr>
                <w:rFonts w:cstheme="minorHAnsi"/>
                <w:color w:val="auto"/>
                <w:sz w:val="18"/>
                <w:szCs w:val="18"/>
              </w:rPr>
              <w:t>Unable to receive Commonwealth environmental water due to constraints. (Unregulated entitlements could contribute to flows at Goondiwindi if there are in-range announced flows)</w:t>
            </w:r>
          </w:p>
        </w:tc>
        <w:tc>
          <w:tcPr>
            <w:tcW w:w="513" w:type="pct"/>
            <w:tcBorders>
              <w:right w:val="single" w:sz="12" w:space="0" w:color="auto"/>
            </w:tcBorders>
            <w:shd w:val="clear" w:color="auto" w:fill="FFC000"/>
            <w:vAlign w:val="center"/>
          </w:tcPr>
          <w:p w14:paraId="13A47B26" w14:textId="77777777" w:rsidR="00B27BEC" w:rsidRPr="00B27BEC" w:rsidRDefault="00B27BEC" w:rsidP="00B27BEC">
            <w:pPr>
              <w:spacing w:after="0"/>
              <w:jc w:val="center"/>
              <w:rPr>
                <w:color w:val="auto"/>
                <w:sz w:val="18"/>
                <w:szCs w:val="18"/>
              </w:rPr>
            </w:pPr>
            <w:r w:rsidRPr="00B27BEC">
              <w:rPr>
                <w:rFonts w:cstheme="minorHAnsi"/>
                <w:color w:val="auto"/>
                <w:sz w:val="18"/>
                <w:szCs w:val="18"/>
              </w:rPr>
              <w:t>Moderate</w:t>
            </w:r>
          </w:p>
        </w:tc>
      </w:tr>
      <w:tr w:rsidR="00B27BEC" w:rsidRPr="00B27BEC" w14:paraId="452F2BCA" w14:textId="77777777" w:rsidTr="00B27BEC">
        <w:trPr>
          <w:trHeight w:val="1283"/>
        </w:trPr>
        <w:tc>
          <w:tcPr>
            <w:tcW w:w="403" w:type="pct"/>
            <w:vMerge/>
            <w:tcBorders>
              <w:left w:val="single" w:sz="12" w:space="0" w:color="auto"/>
              <w:right w:val="single" w:sz="4" w:space="0" w:color="auto"/>
            </w:tcBorders>
            <w:shd w:val="clear" w:color="auto" w:fill="auto"/>
          </w:tcPr>
          <w:p w14:paraId="4B61A3B5" w14:textId="77777777" w:rsidR="00B27BEC" w:rsidRPr="00B27BEC" w:rsidRDefault="00B27BEC" w:rsidP="00B27BEC">
            <w:pPr>
              <w:spacing w:after="0"/>
              <w:rPr>
                <w:spacing w:val="-1"/>
                <w:sz w:val="18"/>
              </w:rPr>
            </w:pPr>
          </w:p>
        </w:tc>
        <w:tc>
          <w:tcPr>
            <w:tcW w:w="421" w:type="pct"/>
            <w:vMerge/>
            <w:tcBorders>
              <w:left w:val="single" w:sz="4" w:space="0" w:color="auto"/>
              <w:right w:val="single" w:sz="4" w:space="0" w:color="auto"/>
            </w:tcBorders>
          </w:tcPr>
          <w:p w14:paraId="7BD238AF" w14:textId="77777777" w:rsidR="00B27BEC" w:rsidRPr="00B27BEC" w:rsidRDefault="00B27BEC" w:rsidP="00B27BEC">
            <w:pPr>
              <w:spacing w:after="0"/>
              <w:rPr>
                <w:rFonts w:cstheme="minorHAnsi"/>
                <w:sz w:val="18"/>
                <w:szCs w:val="18"/>
              </w:rPr>
            </w:pPr>
          </w:p>
        </w:tc>
        <w:tc>
          <w:tcPr>
            <w:tcW w:w="852" w:type="pct"/>
            <w:vMerge/>
            <w:tcBorders>
              <w:left w:val="single" w:sz="4" w:space="0" w:color="auto"/>
            </w:tcBorders>
            <w:shd w:val="clear" w:color="auto" w:fill="auto"/>
          </w:tcPr>
          <w:p w14:paraId="4AD57AEC" w14:textId="77777777" w:rsidR="00B27BEC" w:rsidRPr="00B27BEC" w:rsidRDefault="00B27BEC" w:rsidP="00B27BEC">
            <w:pPr>
              <w:spacing w:after="0"/>
              <w:rPr>
                <w:rFonts w:cstheme="minorHAnsi"/>
                <w:b/>
                <w:sz w:val="18"/>
                <w:szCs w:val="18"/>
              </w:rPr>
            </w:pPr>
          </w:p>
        </w:tc>
        <w:tc>
          <w:tcPr>
            <w:tcW w:w="646" w:type="pct"/>
            <w:vMerge/>
            <w:shd w:val="clear" w:color="auto" w:fill="auto"/>
          </w:tcPr>
          <w:p w14:paraId="7AD9988E" w14:textId="77777777" w:rsidR="00B27BEC" w:rsidRPr="00B27BEC" w:rsidRDefault="00B27BEC" w:rsidP="00B27BEC">
            <w:pPr>
              <w:spacing w:after="0"/>
              <w:rPr>
                <w:rFonts w:cstheme="minorHAnsi"/>
                <w:color w:val="auto"/>
                <w:sz w:val="18"/>
                <w:szCs w:val="18"/>
              </w:rPr>
            </w:pPr>
          </w:p>
        </w:tc>
        <w:tc>
          <w:tcPr>
            <w:tcW w:w="1034" w:type="pct"/>
            <w:vMerge/>
            <w:shd w:val="clear" w:color="auto" w:fill="auto"/>
          </w:tcPr>
          <w:p w14:paraId="08BE8436" w14:textId="77777777" w:rsidR="00B27BEC" w:rsidRPr="00B27BEC" w:rsidRDefault="00B27BEC" w:rsidP="00B27BEC">
            <w:pPr>
              <w:spacing w:after="0"/>
              <w:rPr>
                <w:rFonts w:cstheme="minorHAnsi"/>
                <w:color w:val="auto"/>
                <w:spacing w:val="-2"/>
                <w:sz w:val="18"/>
                <w:szCs w:val="18"/>
                <w:u w:val="single"/>
              </w:rPr>
            </w:pPr>
          </w:p>
        </w:tc>
        <w:tc>
          <w:tcPr>
            <w:tcW w:w="420" w:type="pct"/>
            <w:shd w:val="clear" w:color="auto" w:fill="92D050"/>
            <w:vAlign w:val="center"/>
          </w:tcPr>
          <w:p w14:paraId="0FE2D294" w14:textId="77777777" w:rsidR="00B27BEC" w:rsidRPr="00B27BEC" w:rsidRDefault="00B27BEC" w:rsidP="00B27BEC">
            <w:pPr>
              <w:spacing w:after="0"/>
              <w:jc w:val="center"/>
              <w:rPr>
                <w:color w:val="auto"/>
                <w:spacing w:val="-1"/>
                <w:sz w:val="18"/>
              </w:rPr>
            </w:pPr>
            <w:r w:rsidRPr="00B27BEC">
              <w:rPr>
                <w:rFonts w:hAnsi="Century Gothic"/>
                <w:color w:val="auto"/>
                <w:sz w:val="18"/>
                <w:szCs w:val="18"/>
              </w:rPr>
              <w:t>Low</w:t>
            </w:r>
          </w:p>
        </w:tc>
        <w:tc>
          <w:tcPr>
            <w:tcW w:w="711" w:type="pct"/>
            <w:vMerge/>
            <w:shd w:val="clear" w:color="auto" w:fill="A6A6A6" w:themeFill="background1" w:themeFillShade="A6"/>
            <w:vAlign w:val="center"/>
          </w:tcPr>
          <w:p w14:paraId="0BB52BC5" w14:textId="77777777" w:rsidR="00B27BEC" w:rsidRPr="00B27BEC" w:rsidRDefault="00B27BEC" w:rsidP="00B27BEC">
            <w:pPr>
              <w:rPr>
                <w:color w:val="auto"/>
                <w:spacing w:val="-1"/>
                <w:sz w:val="18"/>
              </w:rPr>
            </w:pPr>
          </w:p>
        </w:tc>
        <w:tc>
          <w:tcPr>
            <w:tcW w:w="513" w:type="pct"/>
            <w:tcBorders>
              <w:right w:val="single" w:sz="12" w:space="0" w:color="auto"/>
            </w:tcBorders>
            <w:shd w:val="clear" w:color="auto" w:fill="92D050"/>
            <w:vAlign w:val="center"/>
          </w:tcPr>
          <w:p w14:paraId="405CDA4A" w14:textId="77777777" w:rsidR="00B27BEC" w:rsidRPr="00B27BEC" w:rsidRDefault="00B27BEC" w:rsidP="00B27BEC">
            <w:pPr>
              <w:spacing w:after="0"/>
              <w:jc w:val="center"/>
              <w:rPr>
                <w:color w:val="auto"/>
                <w:sz w:val="18"/>
                <w:szCs w:val="18"/>
              </w:rPr>
            </w:pPr>
            <w:r w:rsidRPr="00B27BEC">
              <w:rPr>
                <w:rFonts w:hAnsi="Century Gothic"/>
                <w:color w:val="auto"/>
                <w:sz w:val="18"/>
                <w:szCs w:val="18"/>
              </w:rPr>
              <w:t>Low</w:t>
            </w:r>
          </w:p>
        </w:tc>
      </w:tr>
    </w:tbl>
    <w:p w14:paraId="3DAFB53B" w14:textId="77777777" w:rsidR="00B27BEC" w:rsidRPr="00B27BEC" w:rsidRDefault="00B27BEC" w:rsidP="00B27BEC">
      <w:pPr>
        <w:rPr>
          <w:rFonts w:hAnsi="Century Gothic"/>
          <w:sz w:val="18"/>
          <w:szCs w:val="18"/>
        </w:rPr>
      </w:pPr>
      <w:r w:rsidRPr="00B27BEC">
        <w:rPr>
          <w:rFonts w:hAnsi="Century Gothic"/>
          <w:sz w:val="18"/>
          <w:szCs w:val="18"/>
        </w:rPr>
        <w:t>Note: contributions to meet Barwon</w:t>
      </w:r>
      <w:r w:rsidRPr="00B27BEC">
        <w:rPr>
          <w:rFonts w:hAnsi="Century Gothic"/>
          <w:sz w:val="18"/>
          <w:szCs w:val="18"/>
        </w:rPr>
        <w:t>–</w:t>
      </w:r>
      <w:r w:rsidRPr="00B27BEC">
        <w:rPr>
          <w:rFonts w:hAnsi="Century Gothic"/>
          <w:sz w:val="18"/>
          <w:szCs w:val="18"/>
        </w:rPr>
        <w:t>Darling environmental requirements may be considered subject to water availability, antecedent conditions, and environmental demands. Refer to CEWO</w:t>
      </w:r>
      <w:r w:rsidRPr="00B27BEC">
        <w:rPr>
          <w:rFonts w:hAnsi="Century Gothic"/>
          <w:sz w:val="18"/>
          <w:szCs w:val="18"/>
        </w:rPr>
        <w:t>’</w:t>
      </w:r>
      <w:r w:rsidRPr="00B27BEC">
        <w:rPr>
          <w:rFonts w:hAnsi="Century Gothic"/>
          <w:sz w:val="18"/>
          <w:szCs w:val="18"/>
        </w:rPr>
        <w:t>s Water Management Plan 2020-21: Chapter 3.7 Barwon</w:t>
      </w:r>
      <w:r w:rsidRPr="00B27BEC">
        <w:rPr>
          <w:rFonts w:hAnsi="Century Gothic"/>
          <w:sz w:val="18"/>
          <w:szCs w:val="18"/>
        </w:rPr>
        <w:t>–</w:t>
      </w:r>
      <w:r w:rsidRPr="00B27BEC">
        <w:rPr>
          <w:rFonts w:hAnsi="Century Gothic"/>
          <w:sz w:val="18"/>
          <w:szCs w:val="18"/>
        </w:rPr>
        <w:t>Darling.</w:t>
      </w:r>
    </w:p>
    <w:p w14:paraId="18C871E7" w14:textId="77777777" w:rsidR="00B27BEC" w:rsidRPr="00B27BEC" w:rsidRDefault="00B27BEC" w:rsidP="00B27BEC">
      <w:pPr>
        <w:rPr>
          <w:rFonts w:hAnsi="Century Gothic"/>
          <w:sz w:val="18"/>
          <w:szCs w:val="18"/>
        </w:rPr>
      </w:pPr>
      <w:r w:rsidRPr="00B27BEC">
        <w:rPr>
          <w:rFonts w:hAnsi="Century Gothic"/>
          <w:sz w:val="18"/>
          <w:szCs w:val="18"/>
        </w:rPr>
        <w:t>All watering history sourced from advice from NSW Department of Planning, Industry and Environment and Queensland partner agencies, WaterNSW Water Balance Reports, and data from the following gauges (WaterNSW 2020 and DNRME 2020):</w:t>
      </w:r>
    </w:p>
    <w:tbl>
      <w:tblPr>
        <w:tblStyle w:val="TableGrid4"/>
        <w:tblpPr w:leftFromText="180" w:rightFromText="180" w:vertAnchor="text" w:horzAnchor="margin" w:tblpY="26"/>
        <w:tblW w:w="436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95"/>
        <w:gridCol w:w="7011"/>
        <w:gridCol w:w="7267"/>
      </w:tblGrid>
      <w:tr w:rsidR="00B27BEC" w:rsidRPr="00B27BEC" w14:paraId="6AE1DE84" w14:textId="77777777" w:rsidTr="003C6B50">
        <w:trPr>
          <w:cnfStyle w:val="100000000000" w:firstRow="1" w:lastRow="0" w:firstColumn="0" w:lastColumn="0" w:oddVBand="0" w:evenVBand="0" w:oddHBand="0" w:evenHBand="0" w:firstRowFirstColumn="0" w:firstRowLastColumn="0" w:lastRowFirstColumn="0" w:lastRowLastColumn="0"/>
          <w:cantSplit/>
          <w:trHeight w:val="90"/>
        </w:trPr>
        <w:tc>
          <w:tcPr>
            <w:tcW w:w="1257" w:type="pct"/>
          </w:tcPr>
          <w:p w14:paraId="5CC659BF" w14:textId="77777777" w:rsidR="00B27BEC" w:rsidRPr="00B27BEC" w:rsidRDefault="00B27BEC" w:rsidP="003C6B50">
            <w:pPr>
              <w:numPr>
                <w:ilvl w:val="2"/>
                <w:numId w:val="0"/>
              </w:numPr>
              <w:ind w:left="1107" w:hanging="1107"/>
              <w:rPr>
                <w:rFonts w:hAnsi="Century Gothic"/>
                <w:sz w:val="18"/>
                <w:szCs w:val="18"/>
              </w:rPr>
            </w:pPr>
            <w:r w:rsidRPr="00B27BEC">
              <w:rPr>
                <w:rFonts w:hAnsi="Century Gothic"/>
                <w:sz w:val="18"/>
                <w:szCs w:val="18"/>
              </w:rPr>
              <w:t xml:space="preserve">416040: Dumaresq River at Glenarbon </w:t>
            </w:r>
          </w:p>
          <w:p w14:paraId="406DE262" w14:textId="77777777" w:rsidR="00B27BEC" w:rsidRPr="00B27BEC" w:rsidRDefault="00B27BEC" w:rsidP="003C6B50">
            <w:pPr>
              <w:numPr>
                <w:ilvl w:val="2"/>
                <w:numId w:val="0"/>
              </w:numPr>
              <w:ind w:left="1107" w:hanging="1107"/>
              <w:rPr>
                <w:rFonts w:hAnsi="Century Gothic"/>
                <w:sz w:val="18"/>
                <w:szCs w:val="18"/>
              </w:rPr>
            </w:pPr>
            <w:r w:rsidRPr="00B27BEC">
              <w:rPr>
                <w:rFonts w:hAnsi="Century Gothic"/>
                <w:sz w:val="18"/>
                <w:szCs w:val="18"/>
              </w:rPr>
              <w:t xml:space="preserve">416067 Severn River at Ducca Marrin </w:t>
            </w:r>
          </w:p>
          <w:p w14:paraId="5912C788" w14:textId="77777777" w:rsidR="003C6B50" w:rsidRDefault="00B27BEC" w:rsidP="003C6B50">
            <w:pPr>
              <w:numPr>
                <w:ilvl w:val="2"/>
                <w:numId w:val="0"/>
              </w:numPr>
              <w:ind w:left="1107" w:hanging="1107"/>
              <w:rPr>
                <w:rFonts w:hAnsi="Century Gothic"/>
                <w:sz w:val="18"/>
                <w:szCs w:val="18"/>
              </w:rPr>
            </w:pPr>
            <w:r w:rsidRPr="00B27BEC">
              <w:rPr>
                <w:rFonts w:hAnsi="Century Gothic"/>
                <w:sz w:val="18"/>
                <w:szCs w:val="18"/>
              </w:rPr>
              <w:t>416001: Barwon River at Mungindi</w:t>
            </w:r>
          </w:p>
          <w:p w14:paraId="529295F4" w14:textId="7ADBB099" w:rsidR="00B27BEC" w:rsidRPr="00B27BEC" w:rsidRDefault="00B27BEC" w:rsidP="003C6B50">
            <w:pPr>
              <w:numPr>
                <w:ilvl w:val="2"/>
                <w:numId w:val="0"/>
              </w:numPr>
              <w:ind w:left="1107" w:hanging="1107"/>
              <w:rPr>
                <w:rFonts w:hAnsi="Century Gothic"/>
                <w:sz w:val="18"/>
                <w:szCs w:val="18"/>
              </w:rPr>
            </w:pPr>
            <w:r w:rsidRPr="00B27BEC">
              <w:rPr>
                <w:rFonts w:hAnsi="Century Gothic"/>
                <w:sz w:val="18"/>
                <w:szCs w:val="18"/>
              </w:rPr>
              <w:t xml:space="preserve">416011: Dumaresq River at Roseneath </w:t>
            </w:r>
          </w:p>
          <w:p w14:paraId="5C8F8F00" w14:textId="77777777" w:rsidR="00B27BEC" w:rsidRPr="00B27BEC" w:rsidRDefault="00B27BEC" w:rsidP="003C6B50">
            <w:pPr>
              <w:numPr>
                <w:ilvl w:val="2"/>
                <w:numId w:val="0"/>
              </w:numPr>
              <w:ind w:left="1107" w:hanging="1107"/>
              <w:rPr>
                <w:rFonts w:hAnsi="Century Gothic"/>
                <w:sz w:val="18"/>
                <w:szCs w:val="18"/>
              </w:rPr>
            </w:pPr>
            <w:r w:rsidRPr="00B27BEC">
              <w:rPr>
                <w:rFonts w:hAnsi="Century Gothic"/>
                <w:sz w:val="18"/>
                <w:szCs w:val="18"/>
              </w:rPr>
              <w:t xml:space="preserve">416207A: Weir River at Mascot </w:t>
            </w:r>
          </w:p>
        </w:tc>
        <w:tc>
          <w:tcPr>
            <w:tcW w:w="1838" w:type="pct"/>
          </w:tcPr>
          <w:p w14:paraId="0A6DD948" w14:textId="77777777" w:rsidR="00B27BEC" w:rsidRPr="00B27BEC" w:rsidRDefault="00B27BEC" w:rsidP="003C6B50">
            <w:pPr>
              <w:numPr>
                <w:ilvl w:val="2"/>
                <w:numId w:val="0"/>
              </w:numPr>
              <w:ind w:left="1107" w:hanging="1102"/>
              <w:rPr>
                <w:rFonts w:hAnsi="Century Gothic"/>
                <w:sz w:val="18"/>
                <w:szCs w:val="18"/>
              </w:rPr>
            </w:pPr>
            <w:r w:rsidRPr="00B27BEC">
              <w:rPr>
                <w:rFonts w:hAnsi="Century Gothic"/>
                <w:sz w:val="18"/>
                <w:szCs w:val="18"/>
              </w:rPr>
              <w:t>416201A: Macintyre River at Goondiwindi</w:t>
            </w:r>
          </w:p>
          <w:p w14:paraId="3335504F" w14:textId="77777777" w:rsidR="00B27BEC" w:rsidRPr="00B27BEC" w:rsidRDefault="00B27BEC" w:rsidP="003C6B50">
            <w:pPr>
              <w:numPr>
                <w:ilvl w:val="2"/>
                <w:numId w:val="0"/>
              </w:numPr>
              <w:ind w:left="1107" w:hanging="1102"/>
              <w:rPr>
                <w:rFonts w:ascii="Verdana" w:hAnsi="Verdana" w:cs="Times New Roman"/>
                <w:sz w:val="19"/>
                <w:szCs w:val="19"/>
              </w:rPr>
            </w:pPr>
            <w:r w:rsidRPr="00B27BEC">
              <w:rPr>
                <w:rFonts w:hAnsi="Century Gothic"/>
                <w:sz w:val="18"/>
                <w:szCs w:val="18"/>
              </w:rPr>
              <w:t xml:space="preserve">416047: Macintyre River at Terrewah </w:t>
            </w:r>
          </w:p>
          <w:p w14:paraId="1F56C689" w14:textId="77777777" w:rsidR="00B27BEC" w:rsidRPr="00B27BEC" w:rsidRDefault="00B27BEC" w:rsidP="003C6B50">
            <w:pPr>
              <w:numPr>
                <w:ilvl w:val="2"/>
                <w:numId w:val="0"/>
              </w:numPr>
              <w:ind w:left="1107" w:hanging="1102"/>
              <w:rPr>
                <w:rFonts w:hAnsi="Century Gothic"/>
                <w:sz w:val="18"/>
                <w:szCs w:val="18"/>
              </w:rPr>
            </w:pPr>
            <w:r w:rsidRPr="00B27BEC">
              <w:rPr>
                <w:rFonts w:hAnsi="Century Gothic"/>
                <w:sz w:val="18"/>
                <w:szCs w:val="18"/>
              </w:rPr>
              <w:t xml:space="preserve">416037: Boomi River at Boomi Weir offtake </w:t>
            </w:r>
          </w:p>
          <w:p w14:paraId="5F0B3575" w14:textId="77777777" w:rsidR="00B27BEC" w:rsidRPr="00B27BEC" w:rsidRDefault="00B27BEC" w:rsidP="003C6B50">
            <w:pPr>
              <w:numPr>
                <w:ilvl w:val="2"/>
                <w:numId w:val="0"/>
              </w:numPr>
              <w:ind w:left="1107" w:hanging="1102"/>
              <w:rPr>
                <w:rFonts w:hAnsi="Century Gothic"/>
                <w:sz w:val="18"/>
                <w:szCs w:val="18"/>
              </w:rPr>
            </w:pPr>
          </w:p>
        </w:tc>
        <w:tc>
          <w:tcPr>
            <w:tcW w:w="1905" w:type="pct"/>
            <w:shd w:val="clear" w:color="auto" w:fill="auto"/>
          </w:tcPr>
          <w:p w14:paraId="4C0EB27A" w14:textId="77777777" w:rsidR="00B27BEC" w:rsidRPr="00B27BEC" w:rsidRDefault="00B27BEC" w:rsidP="00B27BEC">
            <w:pPr>
              <w:numPr>
                <w:ilvl w:val="2"/>
                <w:numId w:val="0"/>
              </w:numPr>
              <w:ind w:left="1107" w:hanging="369"/>
              <w:rPr>
                <w:rFonts w:hAnsi="Century Gothic"/>
                <w:sz w:val="18"/>
                <w:szCs w:val="18"/>
              </w:rPr>
            </w:pPr>
          </w:p>
        </w:tc>
      </w:tr>
    </w:tbl>
    <w:p w14:paraId="762252E1" w14:textId="77777777" w:rsidR="00B27BEC" w:rsidRPr="00B27BEC" w:rsidRDefault="00B27BEC" w:rsidP="003C6B50">
      <w:pPr>
        <w:spacing w:after="0"/>
        <w:rPr>
          <w:rFonts w:cs="Times New Roman"/>
          <w:color w:val="auto"/>
          <w:szCs w:val="22"/>
          <w:lang w:eastAsia="en-US"/>
        </w:rPr>
      </w:pPr>
      <w:r w:rsidRPr="00B27BEC">
        <w:rPr>
          <w:rFonts w:ascii="Consolas" w:hAnsi="Consolas" w:cs="Times New Roman"/>
          <w:noProof/>
          <w:color w:val="auto"/>
          <w:sz w:val="21"/>
          <w:szCs w:val="21"/>
          <w:lang w:eastAsia="en-US"/>
        </w:rPr>
        <w:drawing>
          <wp:inline distT="0" distB="0" distL="0" distR="0" wp14:anchorId="3372343E" wp14:editId="3F4AF315">
            <wp:extent cx="10534650" cy="2119102"/>
            <wp:effectExtent l="0" t="0" r="0" b="0"/>
            <wp:docPr id="25" name="Picture 1">
              <a:extLst xmlns:a="http://schemas.openxmlformats.org/drawingml/2006/main">
                <a:ext uri="{FF2B5EF4-FFF2-40B4-BE49-F238E27FC236}">
                  <a16:creationId xmlns:a16="http://schemas.microsoft.com/office/drawing/2014/main" id="{76316543-2CED-44E2-9F32-6E7B524826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6316543-2CED-44E2-9F32-6E7B5248266B}"/>
                        </a:ext>
                      </a:extLst>
                    </pic:cNvPr>
                    <pic:cNvPicPr>
                      <a:picLocks noChangeAspect="1"/>
                    </pic:cNvPicPr>
                  </pic:nvPicPr>
                  <pic:blipFill>
                    <a:blip r:embed="rId67"/>
                    <a:stretch>
                      <a:fillRect/>
                    </a:stretch>
                  </pic:blipFill>
                  <pic:spPr>
                    <a:xfrm>
                      <a:off x="0" y="0"/>
                      <a:ext cx="10566294" cy="2125467"/>
                    </a:xfrm>
                    <a:prstGeom prst="rect">
                      <a:avLst/>
                    </a:prstGeom>
                  </pic:spPr>
                </pic:pic>
              </a:graphicData>
            </a:graphic>
          </wp:inline>
        </w:drawing>
      </w:r>
    </w:p>
    <w:p w14:paraId="1DD2755B" w14:textId="77777777" w:rsidR="00B27BEC" w:rsidRPr="00B27BEC" w:rsidRDefault="00B27BEC" w:rsidP="00B27BEC">
      <w:pPr>
        <w:spacing w:after="240"/>
        <w:rPr>
          <w:rFonts w:ascii="Century Gothic" w:hAnsi="Century Gothic" w:cs="Arial"/>
          <w:noProof/>
          <w:color w:val="0000FF"/>
          <w:u w:val="single"/>
        </w:rPr>
        <w:sectPr w:rsidR="00B27BEC" w:rsidRPr="00B27BEC" w:rsidSect="003737D8">
          <w:footerReference w:type="first" r:id="rId68"/>
          <w:footnotePr>
            <w:numFmt w:val="chicago"/>
          </w:footnotePr>
          <w:pgSz w:w="23814" w:h="16839" w:orient="landscape" w:code="8"/>
          <w:pgMar w:top="1134" w:right="992" w:bottom="851" w:left="964" w:header="567" w:footer="397" w:gutter="0"/>
          <w:cols w:space="708"/>
          <w:docGrid w:linePitch="360"/>
        </w:sectPr>
      </w:pPr>
    </w:p>
    <w:bookmarkEnd w:id="69"/>
    <w:p w14:paraId="2DECE207" w14:textId="77777777" w:rsidR="00B27BEC" w:rsidRPr="00B27BEC" w:rsidRDefault="00B27BEC" w:rsidP="005D79EF">
      <w:pPr>
        <w:keepNext/>
        <w:numPr>
          <w:ilvl w:val="2"/>
          <w:numId w:val="30"/>
        </w:numPr>
        <w:spacing w:before="240" w:after="240"/>
        <w:outlineLvl w:val="2"/>
        <w:rPr>
          <w:color w:val="5F497A" w:themeColor="accent4" w:themeShade="BF"/>
          <w:sz w:val="26"/>
          <w:szCs w:val="24"/>
          <w:lang w:val="en-GB"/>
        </w:rPr>
      </w:pPr>
      <w:r w:rsidRPr="00B27BEC">
        <w:rPr>
          <w:color w:val="5F497A" w:themeColor="accent4" w:themeShade="BF"/>
          <w:sz w:val="26"/>
          <w:szCs w:val="24"/>
          <w:lang w:val="en-GB"/>
        </w:rPr>
        <w:lastRenderedPageBreak/>
        <w:t>Water delivery in 2020–21</w:t>
      </w:r>
    </w:p>
    <w:p w14:paraId="73A7E255" w14:textId="77777777" w:rsidR="00B27BEC" w:rsidRPr="00B27BEC" w:rsidRDefault="00B27BEC" w:rsidP="00B27BEC">
      <w:r w:rsidRPr="00B27BEC">
        <w:t xml:space="preserve">Based on the demand for water for the environment, water availability (supply), and catchment conditions, the overall purpose for managing Commonwealth water for the environment in the Border Rivers catchment in 2020–21 (subject to water resource availability improving significantly) is to avoid damage and protect the health and resilience of aquatic ecosystems. This includes in-channel habitats, drought refugia and fish condition and resilience, particularly in the Border Rivers main channels. </w:t>
      </w:r>
    </w:p>
    <w:p w14:paraId="0AA2D523" w14:textId="77777777" w:rsidR="00B27BEC" w:rsidRPr="00B27BEC" w:rsidRDefault="00B27BEC" w:rsidP="00B27BEC">
      <w:r w:rsidRPr="00B27BEC">
        <w:t xml:space="preserve">In the Border Rivers catchment, the capacity to deliver regulated water for the environment in 2020–21 is contingent on an increase in water availability, and there being no further restrictions on accessing water from Glenlyon and/or Pindari Dams. It also requires there to be sufficient reserves in the dams to resume normal river operations. </w:t>
      </w:r>
    </w:p>
    <w:p w14:paraId="23D755BD" w14:textId="77777777" w:rsidR="00B27BEC" w:rsidRPr="00B27BEC" w:rsidRDefault="00B27BEC" w:rsidP="00B27BEC">
      <w:r w:rsidRPr="00B27BEC">
        <w:t>Consistent with the demands and purpose identified, the CEWO is considering supplying water for the environment to the following actions in 2020–21.</w:t>
      </w:r>
    </w:p>
    <w:p w14:paraId="17010C14" w14:textId="77777777" w:rsidR="00B27BEC" w:rsidRPr="00B27BEC" w:rsidRDefault="00B27BEC" w:rsidP="00B27BEC">
      <w:r w:rsidRPr="00B27BEC">
        <w:t xml:space="preserve">Subject to an increase in water availability, and in some cases the occurrence of other flow events, deliver water to: </w:t>
      </w:r>
    </w:p>
    <w:p w14:paraId="1E391BA2" w14:textId="77777777" w:rsidR="00B27BEC" w:rsidRPr="00B27BEC" w:rsidRDefault="00B27BEC" w:rsidP="003C6B50">
      <w:pPr>
        <w:pStyle w:val="DotStyle1"/>
      </w:pPr>
      <w:r w:rsidRPr="00B27BEC">
        <w:t xml:space="preserve">Avoid extended cease to flow conditions, provide flowing water habitats, and maintain suitable river depth. This will help to support native fish and other native aquatic animals such as freshwater mussels and shellfish, shrimp, platypus, turtles, frogs, water dragons, water rats (rakali).  </w:t>
      </w:r>
    </w:p>
    <w:p w14:paraId="0FE5CA74" w14:textId="77777777" w:rsidR="00B27BEC" w:rsidRPr="00B27BEC" w:rsidRDefault="00B27BEC" w:rsidP="003C6B50">
      <w:pPr>
        <w:pStyle w:val="DotStyle1"/>
      </w:pPr>
      <w:r w:rsidRPr="00B27BEC">
        <w:t xml:space="preserve">Contribute to suitable flow regimes to help maintain and restore instream and riparian vegetation at important sites in the Dumaresq, Severn and Macintyre systems. </w:t>
      </w:r>
    </w:p>
    <w:p w14:paraId="7D948B3F" w14:textId="77777777" w:rsidR="00B27BEC" w:rsidRPr="00B27BEC" w:rsidRDefault="00B27BEC" w:rsidP="003C6B50">
      <w:pPr>
        <w:pStyle w:val="DotStyle1"/>
      </w:pPr>
      <w:r w:rsidRPr="00B27BEC">
        <w:t>Contribute to suitable flow regimes in the Dumaresq, Macintyre and Severn rivers to support priming, reproduction, conditioning and movement opportunities for native fish communities, including Murray cod, silver perch, freshwater catfish, purple-spotted gudgeon and olive perchlet.</w:t>
      </w:r>
    </w:p>
    <w:p w14:paraId="46AED830" w14:textId="77777777" w:rsidR="00B27BEC" w:rsidRPr="00B27BEC" w:rsidRDefault="00B27BEC" w:rsidP="003C6B50">
      <w:pPr>
        <w:pStyle w:val="DotStyle1"/>
      </w:pPr>
      <w:r w:rsidRPr="00B27BEC">
        <w:t xml:space="preserve">Contribute to suitable flow regimes to support refuges, feeding resources and breeding opportunities for waterbirds including listed migratory and threatened species, and species of economic, social and cultural importance. </w:t>
      </w:r>
    </w:p>
    <w:p w14:paraId="3CA87D48" w14:textId="77777777" w:rsidR="00B27BEC" w:rsidRPr="00B27BEC" w:rsidRDefault="00B27BEC" w:rsidP="00B27BEC">
      <w:r w:rsidRPr="00B27BEC">
        <w:t xml:space="preserve">As in previous years, the use of Commonwealth water for the environment in the Border Rivers will be adaptively managed throughout 2020–21, in response to changing water resource availability and environmental conditions and demands. </w:t>
      </w:r>
    </w:p>
    <w:p w14:paraId="26DB16D0" w14:textId="77777777" w:rsidR="00B27BEC" w:rsidRPr="00B27BEC" w:rsidRDefault="00B27BEC" w:rsidP="005D79EF">
      <w:pPr>
        <w:keepNext/>
        <w:numPr>
          <w:ilvl w:val="2"/>
          <w:numId w:val="30"/>
        </w:numPr>
        <w:spacing w:before="240" w:after="240"/>
        <w:outlineLvl w:val="2"/>
        <w:rPr>
          <w:color w:val="5F497A" w:themeColor="accent4" w:themeShade="BF"/>
          <w:sz w:val="26"/>
          <w:szCs w:val="24"/>
          <w:lang w:val="en-GB"/>
        </w:rPr>
      </w:pPr>
      <w:r w:rsidRPr="00B27BEC">
        <w:rPr>
          <w:color w:val="5F497A" w:themeColor="accent4" w:themeShade="BF"/>
          <w:sz w:val="26"/>
          <w:szCs w:val="24"/>
          <w:lang w:val="en-GB"/>
        </w:rPr>
        <w:t>Monitoring and Lessons learned</w:t>
      </w:r>
    </w:p>
    <w:p w14:paraId="3E06F35E" w14:textId="77777777" w:rsidR="00B27BEC" w:rsidRPr="00B27BEC" w:rsidRDefault="00B27BEC" w:rsidP="00CD6F25">
      <w:pPr>
        <w:keepNext/>
        <w:numPr>
          <w:ilvl w:val="3"/>
          <w:numId w:val="13"/>
        </w:numPr>
        <w:spacing w:before="240" w:after="240"/>
        <w:ind w:left="709" w:hanging="709"/>
        <w:outlineLvl w:val="3"/>
        <w:rPr>
          <w:rFonts w:cs="Arial"/>
          <w:i/>
          <w:color w:val="5F497A" w:themeColor="accent4" w:themeShade="BF"/>
          <w:sz w:val="26"/>
          <w:szCs w:val="24"/>
          <w:lang w:val="en-GB"/>
        </w:rPr>
      </w:pPr>
      <w:r w:rsidRPr="00B27BEC">
        <w:rPr>
          <w:rFonts w:cs="Arial"/>
          <w:i/>
          <w:color w:val="5F497A" w:themeColor="accent4" w:themeShade="BF"/>
          <w:sz w:val="26"/>
          <w:szCs w:val="24"/>
          <w:lang w:val="en-GB"/>
        </w:rPr>
        <w:t>Monitoring</w:t>
      </w:r>
    </w:p>
    <w:p w14:paraId="2BB333C4" w14:textId="77777777" w:rsidR="00B27BEC" w:rsidRPr="00B27BEC" w:rsidRDefault="00B27BEC" w:rsidP="00B27BEC">
      <w:bookmarkStart w:id="70" w:name="_Hlk39498475"/>
      <w:r w:rsidRPr="00B27BEC">
        <w:t xml:space="preserve">In the Border Rivers Catchment, monitoring is undertaken by NSW and Queensland agencies including NSW DPI – Fisheries (native fish), NSW DPIE Water (water quality) and Queensland DNRME, DAF and DES. The CEWO has also funded a number of short-term intervention monitoring projects to evaluate the environmental responses of native fish, and to map aquatic habitat in the Dumaresq and Macintyre Rivers. </w:t>
      </w:r>
    </w:p>
    <w:p w14:paraId="14D5BF25" w14:textId="77777777" w:rsidR="00B27BEC" w:rsidRPr="00B27BEC" w:rsidRDefault="00B27BEC" w:rsidP="00B27BEC">
      <w:pPr>
        <w:tabs>
          <w:tab w:val="left" w:pos="851"/>
        </w:tabs>
        <w:spacing w:before="120" w:after="0"/>
        <w:rPr>
          <w:rFonts w:ascii="Century Gothic" w:hAnsi="Century Gothic" w:cs="Angsana New"/>
          <w:color w:val="auto"/>
          <w:szCs w:val="22"/>
          <w:lang w:eastAsia="zh-CN" w:bidi="th-TH"/>
        </w:rPr>
      </w:pPr>
      <w:r w:rsidRPr="00B27BEC">
        <w:t xml:space="preserve">Details of monitoring activities funded by the CEWO in the Border Rivers Catchment can be found at: </w:t>
      </w:r>
      <w:hyperlink r:id="rId69" w:history="1">
        <w:r w:rsidRPr="00B27BEC">
          <w:rPr>
            <w:color w:val="0000FF"/>
            <w:u w:val="single"/>
          </w:rPr>
          <w:t>https://www.environment.gov.au/water/cewo/catchment/border-rivers/monitoring</w:t>
        </w:r>
      </w:hyperlink>
    </w:p>
    <w:bookmarkEnd w:id="70"/>
    <w:p w14:paraId="6712B938" w14:textId="77777777" w:rsidR="00B27BEC" w:rsidRPr="00B27BEC" w:rsidRDefault="00B27BEC" w:rsidP="00B27BEC">
      <w:pPr>
        <w:spacing w:after="0"/>
        <w:rPr>
          <w:rFonts w:cs="Arial"/>
          <w:i/>
          <w:color w:val="5F497A" w:themeColor="accent4" w:themeShade="BF"/>
          <w:sz w:val="26"/>
          <w:szCs w:val="24"/>
          <w:lang w:val="en-GB"/>
        </w:rPr>
      </w:pPr>
      <w:r w:rsidRPr="00B27BEC">
        <w:br w:type="page"/>
      </w:r>
    </w:p>
    <w:p w14:paraId="54587DD2" w14:textId="77777777" w:rsidR="00B27BEC" w:rsidRPr="00B27BEC" w:rsidRDefault="00B27BEC" w:rsidP="00CD6F25">
      <w:pPr>
        <w:keepNext/>
        <w:numPr>
          <w:ilvl w:val="3"/>
          <w:numId w:val="13"/>
        </w:numPr>
        <w:spacing w:before="240" w:after="240"/>
        <w:ind w:left="709" w:hanging="709"/>
        <w:outlineLvl w:val="3"/>
        <w:rPr>
          <w:rFonts w:cs="Arial"/>
          <w:i/>
          <w:color w:val="5F497A" w:themeColor="accent4" w:themeShade="BF"/>
          <w:sz w:val="26"/>
          <w:szCs w:val="24"/>
          <w:lang w:val="en-GB"/>
        </w:rPr>
      </w:pPr>
      <w:r w:rsidRPr="00B27BEC">
        <w:rPr>
          <w:rFonts w:cs="Arial"/>
          <w:i/>
          <w:color w:val="5F497A" w:themeColor="accent4" w:themeShade="BF"/>
          <w:sz w:val="26"/>
          <w:szCs w:val="24"/>
          <w:lang w:val="en-GB"/>
        </w:rPr>
        <w:lastRenderedPageBreak/>
        <w:t>Lessons learned</w:t>
      </w:r>
    </w:p>
    <w:p w14:paraId="61DFD161" w14:textId="77777777" w:rsidR="00B27BEC" w:rsidRPr="00B27BEC" w:rsidRDefault="00B27BEC" w:rsidP="00B27BEC">
      <w:r w:rsidRPr="00B27BEC">
        <w:t>Outcomes from monitoring and lessons learned in previous years are a critical component for the effective and efficient use of Commonwealth water for the environment. These learnings are incorporated into the way environmental water is managed.</w:t>
      </w:r>
    </w:p>
    <w:p w14:paraId="62706C40" w14:textId="77777777" w:rsidR="00B27BEC" w:rsidRPr="00B27BEC" w:rsidRDefault="00B27BEC" w:rsidP="00B27BEC">
      <w:r w:rsidRPr="00B27BEC">
        <w:t>Key findings from fish</w:t>
      </w:r>
      <w:r w:rsidRPr="00B27BEC">
        <w:rPr>
          <w:rFonts w:cs="Times New Roman"/>
          <w:vertAlign w:val="superscript"/>
        </w:rPr>
        <w:footnoteReference w:id="10"/>
      </w:r>
      <w:r w:rsidRPr="00B27BEC">
        <w:t>, aquatic habitat</w:t>
      </w:r>
      <w:r w:rsidRPr="00B27BEC">
        <w:rPr>
          <w:rFonts w:cs="Times New Roman"/>
          <w:vertAlign w:val="superscript"/>
        </w:rPr>
        <w:footnoteReference w:id="11"/>
      </w:r>
      <w:r w:rsidRPr="00B27BEC">
        <w:t xml:space="preserve"> and flow monitoring</w:t>
      </w:r>
      <w:r w:rsidRPr="00B27BEC">
        <w:rPr>
          <w:rFonts w:cs="Times New Roman"/>
          <w:vertAlign w:val="superscript"/>
        </w:rPr>
        <w:footnoteReference w:id="12"/>
      </w:r>
      <w:r w:rsidRPr="00B27BEC">
        <w:t xml:space="preserve"> in the Border Rivers Catchment is summarised in Table 3.</w:t>
      </w:r>
    </w:p>
    <w:p w14:paraId="0DF5B050" w14:textId="68D3EF9C" w:rsidR="00B27BEC" w:rsidRPr="00B27BEC" w:rsidRDefault="00B27BEC" w:rsidP="00B27BEC">
      <w:r w:rsidRPr="00B27BEC">
        <w:rPr>
          <w:b/>
        </w:rPr>
        <w:t xml:space="preserve">Table </w:t>
      </w:r>
      <w:r w:rsidRPr="00B27BEC">
        <w:rPr>
          <w:b/>
        </w:rPr>
        <w:fldChar w:fldCharType="begin"/>
      </w:r>
      <w:r w:rsidRPr="00B27BEC">
        <w:rPr>
          <w:b/>
        </w:rPr>
        <w:instrText xml:space="preserve"> SEQ Table \* ARABIC </w:instrText>
      </w:r>
      <w:r w:rsidRPr="00B27BEC">
        <w:rPr>
          <w:b/>
        </w:rPr>
        <w:fldChar w:fldCharType="separate"/>
      </w:r>
      <w:r w:rsidR="001B2852">
        <w:rPr>
          <w:b/>
          <w:noProof/>
        </w:rPr>
        <w:t>8</w:t>
      </w:r>
      <w:r w:rsidRPr="00B27BEC">
        <w:rPr>
          <w:b/>
        </w:rPr>
        <w:fldChar w:fldCharType="end"/>
      </w:r>
      <w:r w:rsidRPr="00B27BEC">
        <w:t>:  Key lessons learned in the Border Rivers Catchment</w:t>
      </w:r>
    </w:p>
    <w:tbl>
      <w:tblPr>
        <w:tblStyle w:val="TableGrid4"/>
        <w:tblW w:w="0" w:type="auto"/>
        <w:tblLook w:val="04A0" w:firstRow="1" w:lastRow="0" w:firstColumn="1" w:lastColumn="0" w:noHBand="0" w:noVBand="1"/>
      </w:tblPr>
      <w:tblGrid>
        <w:gridCol w:w="1685"/>
        <w:gridCol w:w="8113"/>
      </w:tblGrid>
      <w:tr w:rsidR="00B27BEC" w:rsidRPr="00B27BEC" w14:paraId="56FA0DC4" w14:textId="77777777" w:rsidTr="00B27BEC">
        <w:trPr>
          <w:cnfStyle w:val="100000000000" w:firstRow="1" w:lastRow="0" w:firstColumn="0" w:lastColumn="0" w:oddVBand="0" w:evenVBand="0" w:oddHBand="0" w:evenHBand="0" w:firstRowFirstColumn="0" w:firstRowLastColumn="0" w:lastRowFirstColumn="0" w:lastRowLastColumn="0"/>
          <w:tblHeader/>
        </w:trPr>
        <w:tc>
          <w:tcPr>
            <w:tcW w:w="1696" w:type="dxa"/>
            <w:shd w:val="clear" w:color="auto" w:fill="B6DDE8" w:themeFill="accent5" w:themeFillTint="66"/>
          </w:tcPr>
          <w:p w14:paraId="2579B778" w14:textId="77777777" w:rsidR="00B27BEC" w:rsidRPr="00B27BEC" w:rsidRDefault="00B27BEC" w:rsidP="00B27BEC">
            <w:pPr>
              <w:outlineLvl w:val="7"/>
              <w:rPr>
                <w:b/>
              </w:rPr>
            </w:pPr>
            <w:r w:rsidRPr="00B27BEC">
              <w:rPr>
                <w:rFonts w:cstheme="minorHAnsi"/>
                <w:b/>
                <w:szCs w:val="22"/>
                <w:lang w:val="en-GB" w:eastAsia="en-US"/>
              </w:rPr>
              <w:t>Theme</w:t>
            </w:r>
          </w:p>
        </w:tc>
        <w:tc>
          <w:tcPr>
            <w:tcW w:w="8358" w:type="dxa"/>
            <w:shd w:val="clear" w:color="auto" w:fill="B6DDE8" w:themeFill="accent5" w:themeFillTint="66"/>
          </w:tcPr>
          <w:p w14:paraId="4980383B" w14:textId="77777777" w:rsidR="00B27BEC" w:rsidRPr="00B27BEC" w:rsidRDefault="00B27BEC" w:rsidP="00B27BEC">
            <w:pPr>
              <w:numPr>
                <w:ilvl w:val="2"/>
                <w:numId w:val="0"/>
              </w:numPr>
              <w:ind w:left="44"/>
              <w:rPr>
                <w:b/>
              </w:rPr>
            </w:pPr>
            <w:r w:rsidRPr="00B27BEC">
              <w:rPr>
                <w:b/>
              </w:rPr>
              <w:t>Lesson learned</w:t>
            </w:r>
          </w:p>
        </w:tc>
      </w:tr>
      <w:tr w:rsidR="00B27BEC" w:rsidRPr="00B27BEC" w14:paraId="4401D959" w14:textId="77777777" w:rsidTr="00B27BEC">
        <w:trPr>
          <w:cnfStyle w:val="000000100000" w:firstRow="0" w:lastRow="0" w:firstColumn="0" w:lastColumn="0" w:oddVBand="0" w:evenVBand="0" w:oddHBand="1" w:evenHBand="0" w:firstRowFirstColumn="0" w:firstRowLastColumn="0" w:lastRowFirstColumn="0" w:lastRowLastColumn="0"/>
        </w:trPr>
        <w:tc>
          <w:tcPr>
            <w:tcW w:w="1696" w:type="dxa"/>
            <w:shd w:val="clear" w:color="auto" w:fill="B6DDE8" w:themeFill="accent5" w:themeFillTint="66"/>
          </w:tcPr>
          <w:p w14:paraId="51EF0C57" w14:textId="77777777" w:rsidR="00B27BEC" w:rsidRPr="00B27BEC" w:rsidRDefault="00B27BEC" w:rsidP="00B27BEC">
            <w:pPr>
              <w:outlineLvl w:val="7"/>
              <w:rPr>
                <w:rFonts w:cstheme="minorHAnsi"/>
                <w:szCs w:val="22"/>
                <w:lang w:val="en-GB" w:eastAsia="en-US"/>
              </w:rPr>
            </w:pPr>
            <w:r w:rsidRPr="00B27BEC">
              <w:rPr>
                <w:rFonts w:cstheme="minorHAnsi"/>
                <w:szCs w:val="22"/>
                <w:lang w:val="en-GB" w:eastAsia="en-US"/>
              </w:rPr>
              <w:t xml:space="preserve">Native fish and aquatic invertebrates </w:t>
            </w:r>
          </w:p>
        </w:tc>
        <w:tc>
          <w:tcPr>
            <w:tcW w:w="8358" w:type="dxa"/>
          </w:tcPr>
          <w:p w14:paraId="5AB95446" w14:textId="691E5380" w:rsidR="00B27BEC" w:rsidRPr="00B27BEC" w:rsidRDefault="00B27BEC" w:rsidP="00B27BEC">
            <w:pPr>
              <w:pStyle w:val="DotStyle1"/>
            </w:pPr>
            <w:r w:rsidRPr="00B27BEC">
              <w:t>Water for the environment benefits the relatively healthy and diverse native fish community in the Border Rivers, which includes a number of nationally and state listed threatened species (e.g. Murray cod, olive perchlet). For example, water for the environment helps maintain habitat, supports condition and recruitment, and provides opportunities for movement and increased productivity.</w:t>
            </w:r>
          </w:p>
          <w:p w14:paraId="12E2E623" w14:textId="77777777" w:rsidR="00B27BEC" w:rsidRPr="00B27BEC" w:rsidRDefault="00B27BEC" w:rsidP="00B27BEC">
            <w:pPr>
              <w:pStyle w:val="DotStyle1"/>
            </w:pPr>
            <w:r w:rsidRPr="00B27BEC">
              <w:t>The unregulated Weir River in the Border Rivers catchment has relatively healthy spawning and recruitment of golden perch, which are largely absent from other areas in the Border Rivers.</w:t>
            </w:r>
          </w:p>
          <w:p w14:paraId="25A384FD" w14:textId="77777777" w:rsidR="00B27BEC" w:rsidRPr="00B27BEC" w:rsidRDefault="00B27BEC" w:rsidP="00B27BEC">
            <w:pPr>
              <w:pStyle w:val="DotStyle1"/>
            </w:pPr>
            <w:r w:rsidRPr="00B27BEC">
              <w:t xml:space="preserve">Water for the environment in the Border Rivers during late winter/early spring contributes to increased Murray cod and freshwater catfish spawning and recruitment. It also provides benefits to unspecked hardyhead, Murray-Darling rainbowfish and carp gudgeon (abundance, spawning and recruitment). </w:t>
            </w:r>
          </w:p>
          <w:p w14:paraId="0D31A133" w14:textId="77777777" w:rsidR="00B27BEC" w:rsidRPr="00B27BEC" w:rsidRDefault="00B27BEC" w:rsidP="00B27BEC">
            <w:pPr>
              <w:pStyle w:val="DotStyle1"/>
            </w:pPr>
            <w:r w:rsidRPr="00B27BEC">
              <w:t>Rapid assessment of priority refuge pools in parts of the Border Rivers through the NSW native fish drought response process suggests that the Lower Macintyre fish community may be in relatively poor condition. Extensive die-off of freshwater mussels was also observed at some sites.</w:t>
            </w:r>
            <w:r w:rsidRPr="00B27BEC">
              <w:rPr>
                <w:rFonts w:ascii="Arial" w:hAnsi="Arial" w:cs="Arial"/>
              </w:rPr>
              <w:t xml:space="preserve"> </w:t>
            </w:r>
            <w:r w:rsidRPr="00B27BEC">
              <w:t xml:space="preserve">There are also concerns about the status of the Darling River hardyhead in the Border Rivers. </w:t>
            </w:r>
          </w:p>
        </w:tc>
      </w:tr>
      <w:tr w:rsidR="00B27BEC" w:rsidRPr="00B27BEC" w14:paraId="73BC5861" w14:textId="77777777" w:rsidTr="00B27BEC">
        <w:trPr>
          <w:cnfStyle w:val="000000010000" w:firstRow="0" w:lastRow="0" w:firstColumn="0" w:lastColumn="0" w:oddVBand="0" w:evenVBand="0" w:oddHBand="0" w:evenHBand="1" w:firstRowFirstColumn="0" w:firstRowLastColumn="0" w:lastRowFirstColumn="0" w:lastRowLastColumn="0"/>
        </w:trPr>
        <w:tc>
          <w:tcPr>
            <w:tcW w:w="1696" w:type="dxa"/>
            <w:shd w:val="clear" w:color="auto" w:fill="B6DDE8" w:themeFill="accent5" w:themeFillTint="66"/>
          </w:tcPr>
          <w:p w14:paraId="15FC118A" w14:textId="77777777" w:rsidR="00B27BEC" w:rsidRPr="00B27BEC" w:rsidRDefault="00B27BEC" w:rsidP="00B27BEC">
            <w:pPr>
              <w:outlineLvl w:val="7"/>
              <w:rPr>
                <w:rFonts w:cstheme="minorHAnsi"/>
                <w:szCs w:val="22"/>
                <w:lang w:val="en-GB" w:eastAsia="en-US"/>
              </w:rPr>
            </w:pPr>
            <w:r w:rsidRPr="00B27BEC">
              <w:rPr>
                <w:rFonts w:cstheme="minorHAnsi"/>
                <w:szCs w:val="22"/>
                <w:lang w:val="en-GB" w:eastAsia="en-US"/>
              </w:rPr>
              <w:t xml:space="preserve">Aquatic habitat </w:t>
            </w:r>
          </w:p>
        </w:tc>
        <w:tc>
          <w:tcPr>
            <w:tcW w:w="8358" w:type="dxa"/>
          </w:tcPr>
          <w:p w14:paraId="02398552" w14:textId="77777777" w:rsidR="00B27BEC" w:rsidRPr="00B27BEC" w:rsidRDefault="00B27BEC" w:rsidP="00B27BEC">
            <w:pPr>
              <w:pStyle w:val="DotStyle1"/>
            </w:pPr>
            <w:r w:rsidRPr="00B27BEC">
              <w:t>Mapping of aquatic habitat features in parts of the Border Rivers (Dumaresq from Pike Creek to connection with the Macintyre) has identified habitat that is important for native fish and other animals. Riparian vegetation condition was also mapped. Key habitat features noted included large woody habitat, refuge pools, and bars and benches.</w:t>
            </w:r>
          </w:p>
        </w:tc>
      </w:tr>
      <w:tr w:rsidR="00B27BEC" w:rsidRPr="00B27BEC" w14:paraId="627001E1" w14:textId="77777777" w:rsidTr="00B27BEC">
        <w:trPr>
          <w:cnfStyle w:val="000000100000" w:firstRow="0" w:lastRow="0" w:firstColumn="0" w:lastColumn="0" w:oddVBand="0" w:evenVBand="0" w:oddHBand="1" w:evenHBand="0" w:firstRowFirstColumn="0" w:firstRowLastColumn="0" w:lastRowFirstColumn="0" w:lastRowLastColumn="0"/>
        </w:trPr>
        <w:tc>
          <w:tcPr>
            <w:tcW w:w="1696" w:type="dxa"/>
            <w:shd w:val="clear" w:color="auto" w:fill="B6DDE8" w:themeFill="accent5" w:themeFillTint="66"/>
          </w:tcPr>
          <w:p w14:paraId="1B9766EC" w14:textId="77777777" w:rsidR="00B27BEC" w:rsidRPr="00B27BEC" w:rsidRDefault="00B27BEC" w:rsidP="00B27BEC">
            <w:pPr>
              <w:outlineLvl w:val="7"/>
              <w:rPr>
                <w:rFonts w:cstheme="minorHAnsi"/>
                <w:szCs w:val="22"/>
                <w:lang w:val="en-GB" w:eastAsia="en-US"/>
              </w:rPr>
            </w:pPr>
            <w:r w:rsidRPr="00B27BEC">
              <w:rPr>
                <w:rFonts w:cstheme="minorHAnsi"/>
                <w:szCs w:val="22"/>
                <w:lang w:val="en-GB" w:eastAsia="en-US"/>
              </w:rPr>
              <w:t>Connectivity</w:t>
            </w:r>
          </w:p>
        </w:tc>
        <w:tc>
          <w:tcPr>
            <w:tcW w:w="8358" w:type="dxa"/>
          </w:tcPr>
          <w:p w14:paraId="1A542282" w14:textId="77777777" w:rsidR="00B27BEC" w:rsidRPr="00B27BEC" w:rsidRDefault="00B27BEC" w:rsidP="00B27BEC">
            <w:pPr>
              <w:pStyle w:val="DotStyle1"/>
            </w:pPr>
            <w:r w:rsidRPr="00B27BEC">
              <w:t>Recent learnings from water management in the Border Rivers and connection with the downstream Barwon–Darling suggest that:</w:t>
            </w:r>
          </w:p>
          <w:p w14:paraId="28BCA69A" w14:textId="77777777" w:rsidR="00B27BEC" w:rsidRPr="00B27BEC" w:rsidRDefault="00B27BEC" w:rsidP="00B27BEC">
            <w:pPr>
              <w:pStyle w:val="DotStyle2"/>
            </w:pPr>
            <w:r w:rsidRPr="00B27BEC">
              <w:t xml:space="preserve">The volume of water needed to replenish waterholes and allow for seepage is much greater if a river has already ceased-to-flow and antecedent conditions are dry, compared to when a river is still flowing. </w:t>
            </w:r>
          </w:p>
          <w:p w14:paraId="68501F76" w14:textId="77777777" w:rsidR="00B27BEC" w:rsidRPr="00B27BEC" w:rsidRDefault="00B27BEC" w:rsidP="00B27BEC">
            <w:pPr>
              <w:pStyle w:val="DotStyle2"/>
            </w:pPr>
            <w:r w:rsidRPr="00B27BEC">
              <w:t>Within catchment water requirements need to be balanced with broader system needs when environmental water availability is low.</w:t>
            </w:r>
          </w:p>
          <w:p w14:paraId="64D3D093" w14:textId="77777777" w:rsidR="00B27BEC" w:rsidRPr="00B27BEC" w:rsidRDefault="00B27BEC" w:rsidP="00B27BEC">
            <w:pPr>
              <w:pStyle w:val="DotStyle2"/>
            </w:pPr>
            <w:r w:rsidRPr="00B27BEC">
              <w:t xml:space="preserve">Travel times for regulated releases from storage need to be considered when coordinating flows between systems. </w:t>
            </w:r>
          </w:p>
          <w:p w14:paraId="2CF58805" w14:textId="77777777" w:rsidR="00B27BEC" w:rsidRPr="00B27BEC" w:rsidRDefault="00B27BEC" w:rsidP="00B27BEC">
            <w:pPr>
              <w:pStyle w:val="DotStyle1"/>
            </w:pPr>
            <w:r w:rsidRPr="00B27BEC">
              <w:t xml:space="preserve">The Northern Connectivity Event in 2017–18 and the Northern Fish Flow in 2018–19 have highlighted the importance of coordinated flow delivery and protection of environmental flows from the Border Rivers and Gwydir system into the Barwon–Darling. Further monitoring undertaken by Queensland DRNME and NSW DPI – Fisheries will help to better understand the role of protecting unregulated tributary </w:t>
            </w:r>
            <w:r w:rsidRPr="00B27BEC">
              <w:lastRenderedPageBreak/>
              <w:t xml:space="preserve">flows for waterhole persistence and connectivity, water quality, and native fish response. </w:t>
            </w:r>
          </w:p>
        </w:tc>
      </w:tr>
      <w:tr w:rsidR="00B27BEC" w:rsidRPr="00B27BEC" w14:paraId="61A7A641" w14:textId="77777777" w:rsidTr="00B27BEC">
        <w:trPr>
          <w:cnfStyle w:val="000000010000" w:firstRow="0" w:lastRow="0" w:firstColumn="0" w:lastColumn="0" w:oddVBand="0" w:evenVBand="0" w:oddHBand="0" w:evenHBand="1" w:firstRowFirstColumn="0" w:firstRowLastColumn="0" w:lastRowFirstColumn="0" w:lastRowLastColumn="0"/>
        </w:trPr>
        <w:tc>
          <w:tcPr>
            <w:tcW w:w="1696" w:type="dxa"/>
            <w:shd w:val="clear" w:color="auto" w:fill="B6DDE8" w:themeFill="accent5" w:themeFillTint="66"/>
          </w:tcPr>
          <w:p w14:paraId="7E04FB50" w14:textId="77777777" w:rsidR="00B27BEC" w:rsidRPr="00B27BEC" w:rsidRDefault="00B27BEC" w:rsidP="00B27BEC">
            <w:pPr>
              <w:outlineLvl w:val="7"/>
            </w:pPr>
            <w:r w:rsidRPr="00B27BEC">
              <w:rPr>
                <w:rFonts w:cstheme="minorHAnsi"/>
                <w:szCs w:val="22"/>
                <w:lang w:val="en-GB" w:eastAsia="en-US"/>
              </w:rPr>
              <w:lastRenderedPageBreak/>
              <w:t>Other aquatic animals</w:t>
            </w:r>
          </w:p>
        </w:tc>
        <w:tc>
          <w:tcPr>
            <w:tcW w:w="8358" w:type="dxa"/>
          </w:tcPr>
          <w:p w14:paraId="202A1F74" w14:textId="77777777" w:rsidR="00B27BEC" w:rsidRPr="00B27BEC" w:rsidRDefault="00B27BEC" w:rsidP="00B27BEC">
            <w:pPr>
              <w:pStyle w:val="DotStyle1"/>
            </w:pPr>
            <w:r w:rsidRPr="00B27BEC">
              <w:t xml:space="preserve">There are platypus colonies in the Border Rivers catchment, including in the Severn River (Sundown National Park, near Ashford and reaches downstream of Pindari Dam), Tenterfield Creek; the Dumaresq River downstream of Glenlyon Dam; and also possibly Macintyre Brook. There are historical records of platypus in lowland areas of the Border Rivers as far downstream as Goondiwindi, but these populations are no longer present. </w:t>
            </w:r>
          </w:p>
          <w:p w14:paraId="0B05747E" w14:textId="77777777" w:rsidR="00B27BEC" w:rsidRPr="00B27BEC" w:rsidRDefault="00B27BEC" w:rsidP="00B27BEC">
            <w:pPr>
              <w:pStyle w:val="DotStyle1"/>
            </w:pPr>
            <w:r w:rsidRPr="00B27BEC">
              <w:t xml:space="preserve">Delivery of the Pindari stimulus flow in previous years (NSW planned environmental water) took the flow needs of platypus into account, and research in other parts of Australia has also sought to better understand their environmental flow needs. The Rakali or native water rat is also widespread throughout the Border Rivers but little is known about their flow requirements in the catchment. </w:t>
            </w:r>
          </w:p>
          <w:p w14:paraId="6B52C6F5" w14:textId="77777777" w:rsidR="00B27BEC" w:rsidRPr="00B27BEC" w:rsidRDefault="00B27BEC" w:rsidP="00B27BEC">
            <w:pPr>
              <w:pStyle w:val="DotStyle1"/>
            </w:pPr>
            <w:r w:rsidRPr="00B27BEC">
              <w:t xml:space="preserve">Additional information on these water dependent species is required to better inform the future management of water for the environment. </w:t>
            </w:r>
          </w:p>
        </w:tc>
      </w:tr>
    </w:tbl>
    <w:p w14:paraId="77A1F230" w14:textId="77777777" w:rsidR="00B27BEC" w:rsidRPr="00B27BEC" w:rsidRDefault="00B27BEC" w:rsidP="00B27BEC">
      <w:pPr>
        <w:spacing w:after="240"/>
        <w:rPr>
          <w:rFonts w:ascii="Arial" w:hAnsi="Arial" w:cs="Arial"/>
          <w:color w:val="auto"/>
          <w:sz w:val="20"/>
          <w:lang w:val="en-US" w:eastAsia="en-US"/>
        </w:rPr>
      </w:pPr>
    </w:p>
    <w:p w14:paraId="1AD50ED4" w14:textId="77777777" w:rsidR="00B27BEC" w:rsidRPr="00B27BEC" w:rsidRDefault="00B27BEC" w:rsidP="00B27BEC">
      <w:pPr>
        <w:spacing w:after="0"/>
        <w:rPr>
          <w:rFonts w:ascii="Century Gothic" w:hAnsi="Century Gothic" w:cs="Times New Roman"/>
          <w:color w:val="auto"/>
          <w:sz w:val="20"/>
          <w:lang w:val="en-US" w:eastAsia="en-US"/>
        </w:rPr>
      </w:pPr>
      <w:r w:rsidRPr="00B27BEC">
        <w:rPr>
          <w:rFonts w:ascii="Century Gothic" w:hAnsi="Century Gothic"/>
        </w:rPr>
        <w:br w:type="page"/>
      </w:r>
    </w:p>
    <w:p w14:paraId="7AA6AA5D" w14:textId="77777777" w:rsidR="00B27BEC" w:rsidRPr="00B27BEC" w:rsidRDefault="00B27BEC" w:rsidP="005D79EF">
      <w:pPr>
        <w:keepNext/>
        <w:numPr>
          <w:ilvl w:val="2"/>
          <w:numId w:val="30"/>
        </w:numPr>
        <w:spacing w:before="240" w:after="240"/>
        <w:outlineLvl w:val="2"/>
        <w:rPr>
          <w:color w:val="5F497A" w:themeColor="accent4" w:themeShade="BF"/>
          <w:sz w:val="26"/>
          <w:szCs w:val="24"/>
          <w:lang w:val="en-GB"/>
        </w:rPr>
      </w:pPr>
      <w:r w:rsidRPr="00B27BEC">
        <w:rPr>
          <w:color w:val="5F497A" w:themeColor="accent4" w:themeShade="BF"/>
          <w:sz w:val="26"/>
          <w:szCs w:val="24"/>
          <w:lang w:val="en-GB"/>
        </w:rPr>
        <w:lastRenderedPageBreak/>
        <w:t>Bibliography</w:t>
      </w:r>
    </w:p>
    <w:p w14:paraId="66E29956" w14:textId="77777777" w:rsidR="00B27BEC" w:rsidRPr="00B27BEC" w:rsidRDefault="00B27BEC" w:rsidP="00B27BEC">
      <w:r w:rsidRPr="00B27BEC">
        <w:t>Bino, G., Grant, T.R. and Kingsford, R.T. (2015). Life history and dynamics of a platypus (Ornithorhynchus anatinus) population: four decades of mark-recapture surveys. Scientific Reports 5:  p. 16073 DOI: 10.1038/srep16073</w:t>
      </w:r>
    </w:p>
    <w:p w14:paraId="1E215348" w14:textId="77777777" w:rsidR="00B27BEC" w:rsidRPr="00B27BEC" w:rsidRDefault="00B27BEC" w:rsidP="00B27BEC">
      <w:r w:rsidRPr="00B27BEC">
        <w:t>Bino, G., Kingsford R.T., Grant, T., Taylor M.D. and Vogelnest, L. (2018). Use of implanted acoustic tags to assess platypus movement behaviour across different spatial and temporal scales. Scientific Reports 81(1): 5117. DOI: </w:t>
      </w:r>
      <w:hyperlink r:id="rId70" w:history="1">
        <w:r w:rsidRPr="00B27BEC">
          <w:t>10.1038/s41598-018-23461-9</w:t>
        </w:r>
      </w:hyperlink>
      <w:r w:rsidRPr="00B27BEC">
        <w:t> </w:t>
      </w:r>
    </w:p>
    <w:p w14:paraId="7F84BF3A" w14:textId="77777777" w:rsidR="00B27BEC" w:rsidRPr="00B27BEC" w:rsidRDefault="00B27BEC" w:rsidP="00B27BEC">
      <w:r w:rsidRPr="00B27BEC">
        <w:t xml:space="preserve">Bino, G., Kingsford, R.T. and Wintle. B. (2020). A stitch in time – Synergistic impacts to platypus metapopulation extinction risk. Biological Conservation 242: 108399. DOI: </w:t>
      </w:r>
      <w:hyperlink r:id="rId71" w:tgtFrame="_blank" w:tooltip="Persistent link using digital object identifier" w:history="1">
        <w:r w:rsidRPr="00B27BEC">
          <w:t>10.1016/j.biocon.2019.108399</w:t>
        </w:r>
      </w:hyperlink>
    </w:p>
    <w:p w14:paraId="22A91E9D" w14:textId="77777777" w:rsidR="00B27BEC" w:rsidRPr="00B27BEC" w:rsidRDefault="00B27BEC" w:rsidP="00B27BEC">
      <w:pPr>
        <w:rPr>
          <w:rFonts w:cstheme="minorHAnsi"/>
          <w:szCs w:val="22"/>
        </w:rPr>
      </w:pPr>
      <w:r w:rsidRPr="00B27BEC">
        <w:rPr>
          <w:rFonts w:cstheme="minorHAnsi"/>
          <w:szCs w:val="22"/>
        </w:rPr>
        <w:t xml:space="preserve">Bureau of Meteorology (2020). </w:t>
      </w:r>
      <w:r w:rsidRPr="00B27BEC">
        <w:rPr>
          <w:i/>
          <w:iCs/>
          <w:szCs w:val="22"/>
          <w:lang w:val="en"/>
        </w:rPr>
        <w:t xml:space="preserve">Rainfall—The chance of above median for July to September 2020. </w:t>
      </w:r>
      <w:hyperlink r:id="rId72" w:anchor="/rainfall/median/seasonal/0" w:history="1">
        <w:r w:rsidRPr="00B27BEC">
          <w:rPr>
            <w:rFonts w:cstheme="minorHAnsi"/>
            <w:color w:val="0000FF"/>
            <w:szCs w:val="22"/>
            <w:u w:val="single"/>
          </w:rPr>
          <w:t>http://www.bom.gov.au/climate/outlooks/#/rainfall/median/seasonal/0</w:t>
        </w:r>
      </w:hyperlink>
      <w:r w:rsidRPr="00B27BEC">
        <w:rPr>
          <w:rFonts w:cstheme="minorHAnsi"/>
          <w:szCs w:val="22"/>
        </w:rPr>
        <w:t xml:space="preserve"> </w:t>
      </w:r>
    </w:p>
    <w:p w14:paraId="4D084154" w14:textId="77777777" w:rsidR="00B27BEC" w:rsidRPr="00B27BEC" w:rsidRDefault="00B27BEC" w:rsidP="00B27BEC">
      <w:pPr>
        <w:rPr>
          <w:rFonts w:cstheme="minorHAnsi"/>
          <w:szCs w:val="22"/>
        </w:rPr>
      </w:pPr>
      <w:r w:rsidRPr="00B27BEC">
        <w:rPr>
          <w:rFonts w:cstheme="minorHAnsi"/>
          <w:szCs w:val="22"/>
        </w:rPr>
        <w:t xml:space="preserve">Bureau of Meteorology (2020). </w:t>
      </w:r>
      <w:r w:rsidRPr="00B27BEC">
        <w:rPr>
          <w:i/>
          <w:iCs/>
          <w:szCs w:val="22"/>
          <w:lang w:val="en"/>
        </w:rPr>
        <w:t xml:space="preserve">Rainfall—The chance of above median for August to October 2020. </w:t>
      </w:r>
      <w:hyperlink r:id="rId73" w:anchor="/rainfall/median/seasonal/1" w:history="1">
        <w:r w:rsidRPr="00B27BEC">
          <w:rPr>
            <w:rFonts w:cstheme="minorHAnsi"/>
            <w:color w:val="0000FF"/>
            <w:szCs w:val="22"/>
            <w:u w:val="single"/>
          </w:rPr>
          <w:t>http://www.bom.gov.au/climate/outlooks/#/rainfall/median/seasonal/1</w:t>
        </w:r>
      </w:hyperlink>
      <w:r w:rsidRPr="00B27BEC">
        <w:rPr>
          <w:rFonts w:cstheme="minorHAnsi"/>
          <w:szCs w:val="22"/>
        </w:rPr>
        <w:t xml:space="preserve"> </w:t>
      </w:r>
    </w:p>
    <w:p w14:paraId="50BF1A9E" w14:textId="77777777" w:rsidR="00B27BEC" w:rsidRPr="00B27BEC" w:rsidRDefault="00B27BEC" w:rsidP="00B27BEC">
      <w:r w:rsidRPr="00B27BEC">
        <w:t xml:space="preserve">Department of Agriculture, Water and the Environment (DAWE) (2020). </w:t>
      </w:r>
      <w:r w:rsidRPr="00B27BEC">
        <w:rPr>
          <w:i/>
          <w:iCs/>
        </w:rPr>
        <w:t>Final report on the Northern Connectivity Event (April–July 2018</w:t>
      </w:r>
      <w:r w:rsidRPr="00B27BEC">
        <w:t xml:space="preserve">). Department of Agriculture, Water and the Environment, Canberra. </w:t>
      </w:r>
      <w:hyperlink r:id="rId74" w:history="1">
        <w:r w:rsidRPr="00B27BEC">
          <w:rPr>
            <w:rFonts w:cs="Times New Roman"/>
            <w:color w:val="0000FF"/>
            <w:u w:val="single"/>
          </w:rPr>
          <w:t>https://www.environment.gov.au/system/files/resources/f0f4e105-b7b6-49c1-87aa-d1d9d33a3cc7/files/final-report-northern-connectivity-event-2018.pdf</w:t>
        </w:r>
      </w:hyperlink>
      <w:r w:rsidRPr="00B27BEC">
        <w:t xml:space="preserve"> </w:t>
      </w:r>
    </w:p>
    <w:p w14:paraId="4E6CF6D7" w14:textId="77777777" w:rsidR="00B27BEC" w:rsidRPr="00B27BEC" w:rsidRDefault="00B27BEC" w:rsidP="00B27BEC">
      <w:r w:rsidRPr="00B27BEC">
        <w:t xml:space="preserve">Hawke, T., Bino, G., and Kingsford, R.T. (2019). A silent demise: Historical insights into population changes of the iconic platypus (Ornithorhynchus anatinus). Global Ecology and Conservation 20: </w:t>
      </w:r>
      <w:r w:rsidRPr="00B27BEC">
        <w:rPr>
          <w:rFonts w:ascii="Arial" w:hAnsi="Arial" w:cs="Arial"/>
          <w:color w:val="2E2E2E"/>
          <w:sz w:val="21"/>
          <w:szCs w:val="21"/>
        </w:rPr>
        <w:t xml:space="preserve">e00720. </w:t>
      </w:r>
      <w:r w:rsidRPr="00B27BEC">
        <w:t>DOI:</w:t>
      </w:r>
      <w:hyperlink r:id="rId75" w:tgtFrame="_blank" w:tooltip="Persistent link using digital object identifier" w:history="1">
        <w:r w:rsidRPr="00B27BEC">
          <w:t>10.1016/j.gecco.2019.e00720</w:t>
        </w:r>
      </w:hyperlink>
    </w:p>
    <w:p w14:paraId="45466EF8" w14:textId="77777777" w:rsidR="00B27BEC" w:rsidRPr="00B27BEC" w:rsidRDefault="00B27BEC" w:rsidP="00B27BEC">
      <w:pPr>
        <w:rPr>
          <w:rFonts w:cs="Times New Roman"/>
          <w:color w:val="0000FF"/>
          <w:u w:val="single"/>
        </w:rPr>
      </w:pPr>
      <w:r w:rsidRPr="00B27BEC">
        <w:t xml:space="preserve">Murray-Darling Basin Authority (MDBA) (2018). </w:t>
      </w:r>
      <w:r w:rsidRPr="00B27BEC">
        <w:rPr>
          <w:i/>
          <w:iCs/>
        </w:rPr>
        <w:t>Observed Flows in the Barwon–Darling 1990–2017: A Hydrologic Investigation (Technical Report).</w:t>
      </w:r>
      <w:r w:rsidRPr="00B27BEC">
        <w:t xml:space="preserve"> Murray-Darling Basin Authority, Canberra. </w:t>
      </w:r>
      <w:hyperlink r:id="rId76" w:history="1">
        <w:r w:rsidRPr="00B27BEC">
          <w:rPr>
            <w:rFonts w:cs="Times New Roman"/>
            <w:color w:val="0000FF"/>
            <w:u w:val="single"/>
          </w:rPr>
          <w:t>https://www.mdba.gov.au/sites/default/files/pubs/observed-flows-barwon-darling.pdf</w:t>
        </w:r>
      </w:hyperlink>
      <w:r w:rsidRPr="00B27BEC">
        <w:rPr>
          <w:rFonts w:cs="Times New Roman"/>
          <w:color w:val="0000FF"/>
          <w:u w:val="single"/>
        </w:rPr>
        <w:t xml:space="preserve"> </w:t>
      </w:r>
    </w:p>
    <w:p w14:paraId="3A1C0A45" w14:textId="77777777" w:rsidR="00B27BEC" w:rsidRPr="00B27BEC" w:rsidRDefault="00B27BEC" w:rsidP="00B27BEC">
      <w:r w:rsidRPr="00B27BEC">
        <w:t xml:space="preserve">Northern Basin Aboriginal Nations Limited (NBAN Ltd) (2020). </w:t>
      </w:r>
      <w:r w:rsidRPr="00B27BEC">
        <w:rPr>
          <w:i/>
          <w:iCs/>
        </w:rPr>
        <w:t>First Nations environmental water guidance report</w:t>
      </w:r>
      <w:r w:rsidRPr="00B27BEC">
        <w:t xml:space="preserve">. Provided to the CEWO. </w:t>
      </w:r>
    </w:p>
    <w:p w14:paraId="60C2BB4D" w14:textId="77777777" w:rsidR="00B27BEC" w:rsidRPr="00B27BEC" w:rsidRDefault="00B27BEC" w:rsidP="00B27BEC">
      <w:r w:rsidRPr="00B27BEC">
        <w:t xml:space="preserve">NSW DPIE (2020). </w:t>
      </w:r>
      <w:r w:rsidRPr="00B27BEC">
        <w:rPr>
          <w:i/>
          <w:iCs/>
        </w:rPr>
        <w:t xml:space="preserve">Water allocation statement: NSW river regulated water sources (1 July 2020). </w:t>
      </w:r>
      <w:r w:rsidRPr="00B27BEC">
        <w:t xml:space="preserve">NSW Department of Planning, Industry and Environment, Sydney. </w:t>
      </w:r>
      <w:hyperlink r:id="rId77" w:history="1">
        <w:r w:rsidRPr="00B27BEC">
          <w:rPr>
            <w:rFonts w:cs="Times New Roman"/>
            <w:color w:val="0000FF"/>
            <w:u w:val="single"/>
          </w:rPr>
          <w:t>https://www.industry.nsw.gov.au/__data/assets/pdf_file/0012/313032/WAS-Regulated-Rivers-20200701.pdf</w:t>
        </w:r>
      </w:hyperlink>
    </w:p>
    <w:p w14:paraId="299868B1" w14:textId="77777777" w:rsidR="00B27BEC" w:rsidRPr="00B27BEC" w:rsidRDefault="00B27BEC" w:rsidP="00B27BEC">
      <w:r w:rsidRPr="00B27BEC">
        <w:t xml:space="preserve">NSW Department of Primary Industries (NSW DPI) (2007). </w:t>
      </w:r>
      <w:r w:rsidRPr="00B27BEC">
        <w:rPr>
          <w:i/>
          <w:iCs/>
        </w:rPr>
        <w:t>Endangered ecological communities in NSW: Lowland Darling River aquatic ecological community</w:t>
      </w:r>
      <w:r w:rsidRPr="00B27BEC">
        <w:t xml:space="preserve">. NSW Department of Primary Industries Threatened Species Unit, Port Stephens, NSW. </w:t>
      </w:r>
      <w:hyperlink r:id="rId78" w:history="1">
        <w:r w:rsidRPr="00B27BEC">
          <w:rPr>
            <w:rFonts w:cs="Times New Roman"/>
            <w:color w:val="0000FF"/>
            <w:u w:val="single"/>
          </w:rPr>
          <w:t>https://www.dpi.nsw.gov.au/__data/assets/pdf_file/0003/634557/Lowland-Darling-River-aquatic-ecological-community.pdf</w:t>
        </w:r>
      </w:hyperlink>
    </w:p>
    <w:p w14:paraId="56F52178" w14:textId="77777777" w:rsidR="00B27BEC" w:rsidRPr="00B27BEC" w:rsidRDefault="00B27BEC" w:rsidP="00B27BEC">
      <w:r w:rsidRPr="00B27BEC">
        <w:t xml:space="preserve">NSW DPI (2018a). </w:t>
      </w:r>
      <w:r w:rsidRPr="00B27BEC">
        <w:rPr>
          <w:i/>
          <w:iCs/>
        </w:rPr>
        <w:t>Primefact: Darling river snail: notopala sublineata</w:t>
      </w:r>
      <w:r w:rsidRPr="00B27BEC">
        <w:t xml:space="preserve">. NSW Department of Primary Industries, Nelson Bay NSW. </w:t>
      </w:r>
    </w:p>
    <w:p w14:paraId="1511EA43" w14:textId="77777777" w:rsidR="00B27BEC" w:rsidRPr="00B27BEC" w:rsidRDefault="00B27BEC" w:rsidP="00B27BEC">
      <w:r w:rsidRPr="00B27BEC">
        <w:t xml:space="preserve">NSW DPI (2018b). </w:t>
      </w:r>
      <w:r w:rsidRPr="00B27BEC">
        <w:rPr>
          <w:i/>
          <w:iCs/>
        </w:rPr>
        <w:t>Mapping the Dumaresq: Aquatic Habitat Mapping to Inform Water Management</w:t>
      </w:r>
      <w:r w:rsidRPr="00B27BEC">
        <w:t>.  Report prepared for Commonwealth Environmental Water Office. NSW Department of Primary Industries (Aquatic Habitat Rehabilitation Unit, Dubbo).</w:t>
      </w:r>
    </w:p>
    <w:p w14:paraId="6B54D4DE" w14:textId="77777777" w:rsidR="00B27BEC" w:rsidRPr="00B27BEC" w:rsidRDefault="00B27BEC" w:rsidP="00B27BEC">
      <w:r w:rsidRPr="00B27BEC">
        <w:t xml:space="preserve">NSW DPI and Queensland Department of Agriculture and Fisheries (QDAF) (2019). </w:t>
      </w:r>
      <w:r w:rsidRPr="00B27BEC">
        <w:rPr>
          <w:i/>
          <w:iCs/>
        </w:rPr>
        <w:t>Fish and Flows Intervention Monitoring in the Border Rivers – Final Report 2019</w:t>
      </w:r>
      <w:r w:rsidRPr="00B27BEC">
        <w:t>. Report prepared for the Commonwealth Environmental Water Office. NSW Department of Primary Industries, Tamworth</w:t>
      </w:r>
    </w:p>
    <w:p w14:paraId="30774242" w14:textId="77777777" w:rsidR="00B27BEC" w:rsidRPr="00B27BEC" w:rsidRDefault="00B27BEC" w:rsidP="00B27BEC">
      <w:r w:rsidRPr="00B27BEC">
        <w:t xml:space="preserve">Queensland Department of Environment and Resource Management (QDERM) (2010). </w:t>
      </w:r>
      <w:r w:rsidRPr="00B27BEC">
        <w:rPr>
          <w:i/>
          <w:iCs/>
        </w:rPr>
        <w:t>Environmental Conditions and Spawning of Golden Perch (Macquaria ambigua Richardson, 1845) in the Border Rivers</w:t>
      </w:r>
      <w:r w:rsidRPr="00B27BEC">
        <w:t>. Department of Environment and Resource Management, Brisbane, Queensland.</w:t>
      </w:r>
    </w:p>
    <w:p w14:paraId="6A35B052" w14:textId="77777777" w:rsidR="00B27BEC" w:rsidRPr="00B27BEC" w:rsidRDefault="00B27BEC" w:rsidP="00B27BEC">
      <w:r w:rsidRPr="00B27BEC">
        <w:lastRenderedPageBreak/>
        <w:t xml:space="preserve">Queensland Department of Natural Resources, Mines and Energy (QDNRME) (2018). </w:t>
      </w:r>
      <w:r w:rsidRPr="00B27BEC">
        <w:rPr>
          <w:i/>
          <w:iCs/>
        </w:rPr>
        <w:t>Review of Water Plan (Border Rivers) 2003 - Summary of Monitoring</w:t>
      </w:r>
      <w:r w:rsidRPr="00B27BEC">
        <w:t xml:space="preserve">. Department of Natural Resources, Mines and Energy, Toowoomba. </w:t>
      </w:r>
    </w:p>
    <w:p w14:paraId="28BA2B88" w14:textId="77777777" w:rsidR="00B27BEC" w:rsidRPr="00B27BEC" w:rsidRDefault="00B27BEC" w:rsidP="00B27BEC">
      <w:r w:rsidRPr="00B27BEC">
        <w:t>Serena, M. and Grant, T. (2017). Effect of flow on platypus (Ornithorhynchus anatinus) reproduction and related population processes in the upper Shoalhaven River. Australian Journal of Zoology 65: DOI: </w:t>
      </w:r>
      <w:hyperlink r:id="rId79" w:tgtFrame="_blank" w:history="1">
        <w:r w:rsidRPr="00B27BEC">
          <w:rPr>
            <w:rFonts w:ascii="Arial" w:hAnsi="Arial" w:cs="Arial"/>
            <w:color w:val="0000FF"/>
            <w:sz w:val="18"/>
            <w:szCs w:val="18"/>
            <w:u w:val="single"/>
            <w:bdr w:val="none" w:sz="0" w:space="0" w:color="auto" w:frame="1"/>
          </w:rPr>
          <w:t>10.1071/ZO17025</w:t>
        </w:r>
      </w:hyperlink>
    </w:p>
    <w:p w14:paraId="0924CFE9" w14:textId="77777777" w:rsidR="00B27BEC" w:rsidRPr="00B27BEC" w:rsidRDefault="00B27BEC" w:rsidP="00B27BEC">
      <w:r w:rsidRPr="00B27BEC">
        <w:t xml:space="preserve">State of New South Wales and the Office of the Environment and Heritage (2018). </w:t>
      </w:r>
      <w:r w:rsidRPr="00B27BEC">
        <w:rPr>
          <w:i/>
          <w:iCs/>
        </w:rPr>
        <w:t>NSW Border Rivers Long-Term Water Plan Parts A and B – draft for exhibition</w:t>
      </w:r>
      <w:r w:rsidRPr="00B27BEC">
        <w:t xml:space="preserve">. State of New South Wales and the Office of the Environment and Heritage, Sydney. </w:t>
      </w:r>
      <w:hyperlink r:id="rId80" w:history="1">
        <w:r w:rsidRPr="00B27BEC">
          <w:rPr>
            <w:rFonts w:cs="Times New Roman"/>
            <w:color w:val="0000FF"/>
            <w:u w:val="single"/>
          </w:rPr>
          <w:t>https://www.environment.nsw.gov.au/-/media/OEH/Corporate-Site/Documents/Water/Water-for-the-environment/border-rivers-long-term-water-plan-part-a-part-b-180604.pdf</w:t>
        </w:r>
      </w:hyperlink>
    </w:p>
    <w:p w14:paraId="6448C667" w14:textId="77777777" w:rsidR="00B27BEC" w:rsidRPr="00B27BEC" w:rsidRDefault="00B27BEC" w:rsidP="00B27BEC">
      <w:r w:rsidRPr="00B27BEC">
        <w:t xml:space="preserve">Water New South Wales (WaterNSW). (2020). </w:t>
      </w:r>
      <w:r w:rsidRPr="00B27BEC">
        <w:rPr>
          <w:i/>
          <w:iCs/>
        </w:rPr>
        <w:t>Regional water availability report – 11 May 2020</w:t>
      </w:r>
      <w:r w:rsidRPr="00B27BEC">
        <w:t xml:space="preserve">. WaterNSW, Sydney. </w:t>
      </w:r>
      <w:hyperlink r:id="rId81" w:history="1">
        <w:r w:rsidRPr="00B27BEC">
          <w:rPr>
            <w:rFonts w:cs="Times New Roman"/>
            <w:color w:val="0000FF"/>
            <w:u w:val="single"/>
          </w:rPr>
          <w:t>https://www.waternsw.com.au/__data/assets/pdf_file/0009/156798/Water-Availability-Report-11-May-2020.PDF</w:t>
        </w:r>
      </w:hyperlink>
      <w:r w:rsidRPr="00B27BEC">
        <w:t xml:space="preserve"> </w:t>
      </w:r>
    </w:p>
    <w:p w14:paraId="56F0566D" w14:textId="77777777" w:rsidR="00B27BEC" w:rsidRPr="00B27BEC" w:rsidRDefault="00B27BEC" w:rsidP="00B27BEC"/>
    <w:p w14:paraId="3680EA7C" w14:textId="77777777" w:rsidR="0071217B" w:rsidRDefault="0071217B">
      <w:pPr>
        <w:spacing w:after="0"/>
      </w:pPr>
      <w:r>
        <w:br w:type="page"/>
      </w:r>
    </w:p>
    <w:p w14:paraId="6442C078" w14:textId="77777777" w:rsidR="00CD6F25" w:rsidRPr="00CD6F25" w:rsidRDefault="00CD6F25" w:rsidP="0057535E">
      <w:pPr>
        <w:pStyle w:val="Heading2"/>
        <w:rPr>
          <w:rFonts w:ascii="Century Gothic" w:hAnsi="Century Gothic"/>
          <w:noProof/>
        </w:rPr>
      </w:pPr>
      <w:r w:rsidRPr="00CD6F25">
        <w:lastRenderedPageBreak/>
        <w:t xml:space="preserve">Condamine–Balonne </w:t>
      </w:r>
    </w:p>
    <w:p w14:paraId="6FDE9C53" w14:textId="77777777" w:rsidR="00CD6F25" w:rsidRPr="00CD6F25" w:rsidRDefault="00CD6F25" w:rsidP="0057535E">
      <w:pPr>
        <w:pStyle w:val="Heading3"/>
      </w:pPr>
      <w:r w:rsidRPr="00CD6F25">
        <w:t>Region overview</w:t>
      </w:r>
    </w:p>
    <w:p w14:paraId="4A200919" w14:textId="77777777" w:rsidR="00CD6F25" w:rsidRPr="00CD6F25" w:rsidRDefault="00CD6F25" w:rsidP="0057535E">
      <w:pPr>
        <w:pStyle w:val="Heading4"/>
      </w:pPr>
      <w:r w:rsidRPr="00CD6F25">
        <w:t>River system</w:t>
      </w:r>
    </w:p>
    <w:p w14:paraId="4A09E21E" w14:textId="2614C88E" w:rsidR="00CD6F25" w:rsidRPr="00CD6F25" w:rsidRDefault="00CD6F25" w:rsidP="00CD6F25">
      <w:r w:rsidRPr="00CD6F25">
        <w:t>The Condamine–Balonne system is one of the largest catchments in the Murray–Darling Basin and covers the north eastern corner of the Basin. The system is bounded by the Moonie catchment to the east, the Warrego catchment to the west and the Barwon River in the south (</w:t>
      </w:r>
      <w:r w:rsidRPr="00CD6F25">
        <w:fldChar w:fldCharType="begin"/>
      </w:r>
      <w:r w:rsidRPr="00CD6F25">
        <w:instrText xml:space="preserve"> REF _Ref475454230 \h  \* MERGEFORMAT </w:instrText>
      </w:r>
      <w:r w:rsidRPr="00CD6F25">
        <w:fldChar w:fldCharType="separate"/>
      </w:r>
      <w:r w:rsidR="001B2852" w:rsidRPr="001B2852">
        <w:t xml:space="preserve">Figure </w:t>
      </w:r>
      <w:r w:rsidR="001B2852" w:rsidRPr="001B2852">
        <w:rPr>
          <w:noProof/>
        </w:rPr>
        <w:t>5</w:t>
      </w:r>
      <w:r w:rsidRPr="00CD6F25">
        <w:fldChar w:fldCharType="end"/>
      </w:r>
      <w:r w:rsidRPr="00CD6F25">
        <w:t xml:space="preserve">). The main rivers of the catchment, the Condamine and the Maranoa, rise in elevated country in Queensland. Two-thirds of the catchment is flat floodplain country, with a complex system of rivers and creeks joining and breaking away from the Balonne River as it moves downstream of St George. This system of creeks, channels and flat floodplain areas is generally referred to as the Lower Balonne Floodplain. </w:t>
      </w:r>
    </w:p>
    <w:p w14:paraId="78347129" w14:textId="77777777" w:rsidR="00CD6F25" w:rsidRPr="00CD6F25" w:rsidRDefault="00CD6F25" w:rsidP="00CD6F25">
      <w:r w:rsidRPr="00CD6F25">
        <w:t>While a few main waterways of the catchment flow to the Barwon River, most end in lakes and wetlands in south west Queensland and north-west New South Wales (NSW). Most of the catchment is located in Queensland with only 16 per cent in NSW.</w:t>
      </w:r>
    </w:p>
    <w:p w14:paraId="0EE6310D" w14:textId="77777777" w:rsidR="00CD6F25" w:rsidRPr="00CD6F25" w:rsidRDefault="00CD6F25" w:rsidP="00CD6F25">
      <w:r w:rsidRPr="00CD6F25">
        <w:t>The catchment’s extensive floodplains provide habitat for a diverse range of plants, including endangered vegetation communities. The region also provides habitat for waterbirds, native fish and many vulnerable and endangered species. There are several wetlands of national importance in the region as well as the Ramsar-listed Narran Lake Nature Reserve.</w:t>
      </w:r>
    </w:p>
    <w:p w14:paraId="2FF47CA4" w14:textId="77777777" w:rsidR="00CD6F25" w:rsidRPr="00CD6F25" w:rsidRDefault="00CD6F25" w:rsidP="00CD6F25">
      <w:r w:rsidRPr="00CD6F25">
        <w:t>The extent of river regulation in the Condamine–Balonne is low. Public dams account for only 13 per cent of stored water in the catchment. The two largest public storages are Leslie Dam (106 gigalitres) near Warwick, and Beardmore Dam (82 gigalitres) near St George, which were built in the 1960s to secure town water and irrigation supplies.</w:t>
      </w:r>
    </w:p>
    <w:p w14:paraId="515E6CE7" w14:textId="77777777" w:rsidR="00CD6F25" w:rsidRPr="00CD6F25" w:rsidRDefault="00CD6F25" w:rsidP="00CD6F25">
      <w:r w:rsidRPr="00CD6F25">
        <w:t xml:space="preserve">Large-scale irrigation in the region is supported by large capacity pumps or large regulating structures that divert water during natural flow events into on-farm storages for later use. Most of the water use and entitlement is in the form of diversion of river flows and water during natural flow events that breaks out of rivers and becomes overland flows across floodplains. </w:t>
      </w:r>
    </w:p>
    <w:p w14:paraId="2E84C524" w14:textId="77777777" w:rsidR="00CD6F25" w:rsidRPr="00CD6F25" w:rsidRDefault="00CD6F25" w:rsidP="0057535E">
      <w:pPr>
        <w:pStyle w:val="Heading4"/>
      </w:pPr>
      <w:r w:rsidRPr="00CD6F25">
        <w:t>Traditional Owners</w:t>
      </w:r>
    </w:p>
    <w:p w14:paraId="368BCD25" w14:textId="77777777" w:rsidR="00CD6F25" w:rsidRPr="00CD6F25" w:rsidRDefault="00CD6F25" w:rsidP="00CD6F25">
      <w:r w:rsidRPr="00CD6F25">
        <w:t xml:space="preserve">The lands of the Condamine–Balonne catchment have been important to Aboriginal people for thousands of years. Many First Nations retain a connection with the region, and their history, culture and livelihoods are closely intertwined with its river systems. First Nations of the region include Barunggam, Bidjara, Bigambul, Euahlayi, Gomeroi/Kamilaroi, Giabel, Githabul, Gunggari, Guwamu/Kooma, Jarowair, Kambuwal, Mandandanji, Murrawarri, and Wakka Wakka. </w:t>
      </w:r>
    </w:p>
    <w:p w14:paraId="2C49E0D4" w14:textId="77777777" w:rsidR="00CD6F25" w:rsidRPr="00CD6F25" w:rsidRDefault="00CD6F25" w:rsidP="0057535E">
      <w:pPr>
        <w:pStyle w:val="Heading4"/>
      </w:pPr>
      <w:r w:rsidRPr="00CD6F25">
        <w:t>Important sites and values</w:t>
      </w:r>
    </w:p>
    <w:p w14:paraId="2942FD6F" w14:textId="77777777" w:rsidR="00CD6F25" w:rsidRPr="00CD6F25" w:rsidRDefault="00CD6F25" w:rsidP="00CD6F25">
      <w:r w:rsidRPr="00CD6F25">
        <w:t>The floodplains of the Condamine–Balonne catchment are ecologically significant because they support endangered ecological communities, such as the brigalow–gidgee woodland/shrubland in the Mulga Lands and Darling Riverine Plains Bioregions. The wetlands support a diverse range of flora and fauna providing habitat for migratory birds and vulnerable and endangered species, such as silver perch, Murray cod, freckled duck, Australian painted snipe, the great egret and the cattle egret.</w:t>
      </w:r>
    </w:p>
    <w:p w14:paraId="0A014BB1" w14:textId="77777777" w:rsidR="00CD6F25" w:rsidRPr="00CD6F25" w:rsidRDefault="00CD6F25" w:rsidP="00CD6F25">
      <w:r w:rsidRPr="00CD6F25">
        <w:t>Wetlands of national importance include the Great Artesian Basin Springs, Lake Broadwater, The Gums Lagoon, the Culgoa River Floodplain, and the Dalrymple and Blackfellow creeks.</w:t>
      </w:r>
    </w:p>
    <w:p w14:paraId="6EC179E6" w14:textId="77777777" w:rsidR="00CD6F25" w:rsidRPr="00CD6F25" w:rsidRDefault="00CD6F25" w:rsidP="00CD6F25">
      <w:r w:rsidRPr="00CD6F25">
        <w:t xml:space="preserve">The Lower Balonne is a complex floodplain channel system containing a number of nationally significant wetlands, as well as the internationally significant Narran Lake Nature Reserve, which includes significant areas of Ramsar-listed wetlands. </w:t>
      </w:r>
    </w:p>
    <w:p w14:paraId="698DBEF0" w14:textId="77777777" w:rsidR="003C6B50" w:rsidRDefault="003C6B50">
      <w:pPr>
        <w:spacing w:after="0"/>
        <w:rPr>
          <w:rFonts w:ascii="Calibri" w:hAnsi="Calibri" w:cs="Calibri"/>
          <w:i/>
          <w:color w:val="5F497A" w:themeColor="accent4" w:themeShade="BF"/>
          <w:szCs w:val="22"/>
          <w:lang w:val="en-GB" w:eastAsia="en-US"/>
        </w:rPr>
      </w:pPr>
      <w:bookmarkStart w:id="71" w:name="_Hlk40337695"/>
      <w:r>
        <w:rPr>
          <w:rFonts w:ascii="Calibri" w:hAnsi="Calibri" w:cs="Calibri"/>
          <w:i/>
          <w:color w:val="5F497A" w:themeColor="accent4" w:themeShade="BF"/>
          <w:szCs w:val="22"/>
          <w:lang w:val="en-GB" w:eastAsia="en-US"/>
        </w:rPr>
        <w:br w:type="page"/>
      </w:r>
    </w:p>
    <w:p w14:paraId="047F40C7" w14:textId="77777777" w:rsidR="003C6B50" w:rsidRPr="003C6B50" w:rsidRDefault="003C6B50" w:rsidP="00CD6F25">
      <w:pPr>
        <w:keepNext/>
        <w:spacing w:before="120"/>
        <w:outlineLvl w:val="4"/>
        <w:rPr>
          <w:rFonts w:ascii="Calibri" w:hAnsi="Calibri" w:cs="Calibri"/>
          <w:iCs/>
          <w:color w:val="auto"/>
          <w:szCs w:val="22"/>
          <w:lang w:val="en-GB" w:eastAsia="en-US"/>
        </w:rPr>
      </w:pPr>
    </w:p>
    <w:p w14:paraId="37D0A266" w14:textId="7DE2E52F" w:rsidR="00CD6F25" w:rsidRPr="00CD6F25" w:rsidRDefault="00CD6F25" w:rsidP="00CD6F25">
      <w:pPr>
        <w:keepNext/>
        <w:spacing w:before="120"/>
        <w:outlineLvl w:val="4"/>
        <w:rPr>
          <w:rFonts w:ascii="Calibri" w:hAnsi="Calibri" w:cs="Calibri"/>
          <w:i/>
          <w:color w:val="5F497A" w:themeColor="accent4" w:themeShade="BF"/>
          <w:szCs w:val="22"/>
          <w:lang w:val="en-GB" w:eastAsia="en-US"/>
        </w:rPr>
      </w:pPr>
      <w:r w:rsidRPr="00CD6F25">
        <w:rPr>
          <w:rFonts w:ascii="Calibri" w:hAnsi="Calibri" w:cs="Calibri"/>
          <w:i/>
          <w:color w:val="5F497A" w:themeColor="accent4" w:themeShade="BF"/>
          <w:szCs w:val="22"/>
          <w:lang w:val="en-GB" w:eastAsia="en-US"/>
        </w:rPr>
        <w:t xml:space="preserve">Narran Lake Nature Reserve </w:t>
      </w:r>
    </w:p>
    <w:bookmarkEnd w:id="71"/>
    <w:p w14:paraId="59F30296" w14:textId="77777777" w:rsidR="00CD6F25" w:rsidRPr="00CD6F25" w:rsidRDefault="00CD6F25" w:rsidP="00CD6F25">
      <w:r w:rsidRPr="00CD6F25">
        <w:t>The Ramsar site within the Narran Lake Nature Reserve is in north-west NSW about 50 kilometres east of Brewarrina. One section of the site was listed under the convention in 1999, and a further 3 104 hectares were added in 2015. The site was extended to capture more breeding and feeding habitat for waterbirds. Currently the site covers a total area of 8 447 hectares and comprises the whole floodplain area within Narran Lake Nature Reserve. The site was listed under the Ramsar Convention because of its significant values, which include:</w:t>
      </w:r>
    </w:p>
    <w:p w14:paraId="5AB72508" w14:textId="77777777" w:rsidR="00CD6F25" w:rsidRPr="00CD6F25" w:rsidRDefault="00CD6F25" w:rsidP="00CD6F25">
      <w:pPr>
        <w:pStyle w:val="DotStyle1"/>
      </w:pPr>
      <w:r w:rsidRPr="00CD6F25">
        <w:t>some of the largest expanses of lignum in NSW</w:t>
      </w:r>
    </w:p>
    <w:p w14:paraId="3F149D5E" w14:textId="77777777" w:rsidR="00CD6F25" w:rsidRPr="00CD6F25" w:rsidRDefault="00CD6F25" w:rsidP="00CD6F25">
      <w:pPr>
        <w:pStyle w:val="DotStyle1"/>
      </w:pPr>
      <w:r w:rsidRPr="00CD6F25">
        <w:t>the ability to support:</w:t>
      </w:r>
    </w:p>
    <w:p w14:paraId="14E5E37C" w14:textId="77777777" w:rsidR="00CD6F25" w:rsidRPr="00CD6F25" w:rsidRDefault="00CD6F25" w:rsidP="00CD6F25">
      <w:pPr>
        <w:pStyle w:val="DotStyle2"/>
      </w:pPr>
      <w:r w:rsidRPr="00CD6F25">
        <w:t>three wetland dependent threatened species – Australasian bittern, Murray cod and winged peppercress</w:t>
      </w:r>
    </w:p>
    <w:p w14:paraId="5254D8B3" w14:textId="77777777" w:rsidR="00CD6F25" w:rsidRPr="00CD6F25" w:rsidRDefault="00CD6F25" w:rsidP="00CD6F25">
      <w:pPr>
        <w:pStyle w:val="DotStyle2"/>
      </w:pPr>
      <w:r w:rsidRPr="00CD6F25">
        <w:t>a large number of migratory bird species, including 19 listed under international agreements</w:t>
      </w:r>
    </w:p>
    <w:p w14:paraId="1C0A1DE7" w14:textId="77777777" w:rsidR="00CD6F25" w:rsidRPr="00CD6F25" w:rsidRDefault="00CD6F25" w:rsidP="00CD6F25">
      <w:pPr>
        <w:pStyle w:val="DotStyle2"/>
      </w:pPr>
      <w:r w:rsidRPr="00CD6F25">
        <w:t>substantial breeding of waterbirds, including colonial nesting species such as ibises, cormorants, egrets and spoonbills.</w:t>
      </w:r>
    </w:p>
    <w:p w14:paraId="4B29D659" w14:textId="77777777" w:rsidR="00CD6F25" w:rsidRPr="00CD6F25" w:rsidRDefault="00CD6F25" w:rsidP="00CD6F25">
      <w:pPr>
        <w:pStyle w:val="DotStyle1"/>
      </w:pPr>
      <w:r w:rsidRPr="00CD6F25">
        <w:t>the capacity to provide drought refuge for waterbirds following floods.</w:t>
      </w:r>
    </w:p>
    <w:p w14:paraId="1F10ED59" w14:textId="77777777" w:rsidR="00CD6F25" w:rsidRPr="00CD6F25" w:rsidRDefault="00CD6F25" w:rsidP="00CD6F25">
      <w:r w:rsidRPr="00CD6F25">
        <w:t xml:space="preserve">The Nature Reserve is also important to Aboriginal people and they are involved in managing the site through the Narran Lake Nature Reserve Aboriginal Co-Management Committee. Key values of the site for Aboriginal people include: </w:t>
      </w:r>
    </w:p>
    <w:p w14:paraId="676E4114" w14:textId="77777777" w:rsidR="00CD6F25" w:rsidRPr="00CD6F25" w:rsidRDefault="00CD6F25" w:rsidP="00CD6F25">
      <w:pPr>
        <w:pStyle w:val="DotStyle1"/>
      </w:pPr>
      <w:r w:rsidRPr="00CD6F25">
        <w:t>being a traditional meeting place for Aboriginal tribes in the region</w:t>
      </w:r>
    </w:p>
    <w:p w14:paraId="0BC37CA0" w14:textId="77777777" w:rsidR="00CD6F25" w:rsidRPr="00CD6F25" w:rsidRDefault="00CD6F25" w:rsidP="00CD6F25">
      <w:pPr>
        <w:pStyle w:val="DotStyle1"/>
      </w:pPr>
      <w:r w:rsidRPr="00CD6F25">
        <w:t>several Dreaming paths culminate at the lakes</w:t>
      </w:r>
    </w:p>
    <w:p w14:paraId="6590D03A" w14:textId="77777777" w:rsidR="00CD6F25" w:rsidRPr="00CD6F25" w:rsidRDefault="00CD6F25" w:rsidP="00CD6F25">
      <w:pPr>
        <w:pStyle w:val="DotStyle1"/>
      </w:pPr>
      <w:r w:rsidRPr="00CD6F25">
        <w:t>containing many relatively undisturbed Aboriginal objects.</w:t>
      </w:r>
    </w:p>
    <w:p w14:paraId="7F91338F" w14:textId="77777777" w:rsidR="00CD6F25" w:rsidRPr="00CD6F25" w:rsidRDefault="00CD6F25" w:rsidP="0057535E">
      <w:pPr>
        <w:pStyle w:val="Heading4"/>
      </w:pPr>
      <w:r w:rsidRPr="00CD6F25">
        <w:t>Stakeholder engagement</w:t>
      </w:r>
    </w:p>
    <w:p w14:paraId="0073E3C6" w14:textId="77777777" w:rsidR="00CD6F25" w:rsidRPr="00CD6F25" w:rsidRDefault="00CD6F25" w:rsidP="00CD6F25">
      <w:pPr>
        <w:rPr>
          <w:color w:val="auto"/>
        </w:rPr>
      </w:pPr>
      <w:r w:rsidRPr="00CD6F25">
        <w:t>In the Condamine–Balonne system, the planning and management of Commonwealth water for the environment is undertaken in conjunction with a range of partners and stakeholder groups. Key stakeholders include the Queensland Departments of Natural Resources, Mines and Energy (DNRME), Environment and Science (DES) and Agriculture and Fisheries, NSW Department of Planning, Industry and Environment (DPIE), NSW Department of Primary Industries (DPI) – Fisheries, SunWater, WaterNSW, the Narran Lake Nature Reserve Aboriginal Co-Management Committee, and the Lower Balonne Working Group.</w:t>
      </w:r>
    </w:p>
    <w:p w14:paraId="78F5C8EA" w14:textId="77777777" w:rsidR="00CD6F25" w:rsidRPr="00CD6F25" w:rsidRDefault="00CD6F25" w:rsidP="00CD6F25">
      <w:pPr>
        <w:rPr>
          <w:color w:val="auto"/>
        </w:rPr>
        <w:sectPr w:rsidR="00CD6F25" w:rsidRPr="00CD6F25" w:rsidSect="003737D8">
          <w:headerReference w:type="default" r:id="rId82"/>
          <w:footerReference w:type="default" r:id="rId83"/>
          <w:footerReference w:type="first" r:id="rId84"/>
          <w:pgSz w:w="11906" w:h="16838"/>
          <w:pgMar w:top="1134" w:right="1134" w:bottom="851" w:left="964" w:header="567" w:footer="397" w:gutter="0"/>
          <w:cols w:space="708"/>
          <w:docGrid w:linePitch="360"/>
        </w:sectPr>
      </w:pPr>
    </w:p>
    <w:p w14:paraId="0829BCBD" w14:textId="77777777" w:rsidR="00CD6F25" w:rsidRPr="00CD6F25" w:rsidRDefault="00CD6F25" w:rsidP="00CD6F25"/>
    <w:p w14:paraId="443A43C0" w14:textId="77777777" w:rsidR="00CD6F25" w:rsidRPr="00CD6F25" w:rsidRDefault="00CD6F25" w:rsidP="00CD6F25"/>
    <w:p w14:paraId="0A45F339" w14:textId="77777777" w:rsidR="00CD6F25" w:rsidRPr="00CD6F25" w:rsidRDefault="00CD6F25" w:rsidP="00CD6F25"/>
    <w:p w14:paraId="38907659" w14:textId="77777777" w:rsidR="00CD6F25" w:rsidRPr="00CD6F25" w:rsidRDefault="00CD6F25" w:rsidP="00CD6F25">
      <w:r w:rsidRPr="00CD6F25">
        <w:rPr>
          <w:noProof/>
        </w:rPr>
        <mc:AlternateContent>
          <mc:Choice Requires="wps">
            <w:drawing>
              <wp:anchor distT="0" distB="0" distL="114300" distR="114300" simplePos="0" relativeHeight="251663370" behindDoc="0" locked="0" layoutInCell="1" allowOverlap="1" wp14:anchorId="4F2697BA" wp14:editId="16978ABF">
                <wp:simplePos x="0" y="0"/>
                <wp:positionH relativeFrom="column">
                  <wp:posOffset>2185914</wp:posOffset>
                </wp:positionH>
                <wp:positionV relativeFrom="paragraph">
                  <wp:posOffset>3286013</wp:posOffset>
                </wp:positionV>
                <wp:extent cx="3503944" cy="507149"/>
                <wp:effectExtent l="38100" t="0" r="20320" b="83820"/>
                <wp:wrapNone/>
                <wp:docPr id="31" name="Straight Arrow Connector 31"/>
                <wp:cNvGraphicFramePr/>
                <a:graphic xmlns:a="http://schemas.openxmlformats.org/drawingml/2006/main">
                  <a:graphicData uri="http://schemas.microsoft.com/office/word/2010/wordprocessingShape">
                    <wps:wsp>
                      <wps:cNvCnPr/>
                      <wps:spPr>
                        <a:xfrm flipH="1">
                          <a:off x="0" y="0"/>
                          <a:ext cx="3503944" cy="507149"/>
                        </a:xfrm>
                        <a:prstGeom prst="straightConnector1">
                          <a:avLst/>
                        </a:prstGeom>
                        <a:noFill/>
                        <a:ln w="127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3E0D64E" id="Straight Arrow Connector 31" o:spid="_x0000_s1026" type="#_x0000_t32" style="position:absolute;margin-left:172.1pt;margin-top:258.75pt;width:275.9pt;height:39.95pt;flip:x;z-index:251663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" strokecolor="windowText" strokeweight="1pt">
                <v:stroke endarrow="block"/>
              </v:shape>
            </w:pict>
          </mc:Fallback>
        </mc:AlternateContent>
      </w:r>
      <w:r w:rsidRPr="00CD6F25">
        <w:rPr>
          <w:noProof/>
        </w:rPr>
        <w:drawing>
          <wp:anchor distT="0" distB="0" distL="114300" distR="114300" simplePos="0" relativeHeight="251662346" behindDoc="0" locked="0" layoutInCell="1" allowOverlap="1" wp14:anchorId="4EB28280" wp14:editId="31453C6C">
            <wp:simplePos x="0" y="0"/>
            <wp:positionH relativeFrom="column">
              <wp:posOffset>5680075</wp:posOffset>
            </wp:positionH>
            <wp:positionV relativeFrom="paragraph">
              <wp:posOffset>255905</wp:posOffset>
            </wp:positionV>
            <wp:extent cx="3728720" cy="3041650"/>
            <wp:effectExtent l="0" t="0" r="5080" b="6350"/>
            <wp:wrapThrough wrapText="bothSides">
              <wp:wrapPolygon edited="0">
                <wp:start x="0" y="0"/>
                <wp:lineTo x="0" y="21510"/>
                <wp:lineTo x="21519" y="21510"/>
                <wp:lineTo x="21519"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BEBA8EAE-BF5A-486C-A8C5-ECC9F3942E4B}">
                          <a14:imgProps xmlns:a14="http://schemas.microsoft.com/office/drawing/2010/main">
                            <a14:imgLayer r:embed="rId8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728720" cy="3041650"/>
                    </a:xfrm>
                    <a:prstGeom prst="rect">
                      <a:avLst/>
                    </a:prstGeom>
                    <a:noFill/>
                  </pic:spPr>
                </pic:pic>
              </a:graphicData>
            </a:graphic>
            <wp14:sizeRelH relativeFrom="margin">
              <wp14:pctWidth>0</wp14:pctWidth>
            </wp14:sizeRelH>
            <wp14:sizeRelV relativeFrom="margin">
              <wp14:pctHeight>0</wp14:pctHeight>
            </wp14:sizeRelV>
          </wp:anchor>
        </w:drawing>
      </w:r>
      <w:r w:rsidRPr="00CD6F25">
        <w:rPr>
          <w:rFonts w:ascii="Century Gothic"/>
          <w:b/>
          <w:noProof/>
        </w:rPr>
        <w:drawing>
          <wp:anchor distT="0" distB="0" distL="114300" distR="114300" simplePos="0" relativeHeight="251660298" behindDoc="1" locked="0" layoutInCell="1" allowOverlap="1" wp14:anchorId="482BBF7E" wp14:editId="515E30D2">
            <wp:simplePos x="0" y="0"/>
            <wp:positionH relativeFrom="margin">
              <wp:align>left</wp:align>
            </wp:positionH>
            <wp:positionV relativeFrom="paragraph">
              <wp:posOffset>245745</wp:posOffset>
            </wp:positionV>
            <wp:extent cx="5467350" cy="4250055"/>
            <wp:effectExtent l="0" t="0" r="0" b="0"/>
            <wp:wrapTight wrapText="bothSides">
              <wp:wrapPolygon edited="0">
                <wp:start x="0" y="0"/>
                <wp:lineTo x="0" y="21494"/>
                <wp:lineTo x="21525" y="21494"/>
                <wp:lineTo x="21525" y="0"/>
                <wp:lineTo x="0" y="0"/>
              </wp:wrapPolygon>
            </wp:wrapTight>
            <wp:docPr id="34" name="Picture 34" descr="Figure 1: Map of the Condamine-Balonne&#10;&#10;A map of the Condamine-Balonne and surrounding systems including major towns and tributaries. The map also shows an inset of the internationally significant Narran Lakes system, including Long Arm, Back Lake, and Clear Lake in the Ramsa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pbook_nth.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69712" cy="4251970"/>
                    </a:xfrm>
                    <a:prstGeom prst="rect">
                      <a:avLst/>
                    </a:prstGeom>
                  </pic:spPr>
                </pic:pic>
              </a:graphicData>
            </a:graphic>
            <wp14:sizeRelH relativeFrom="margin">
              <wp14:pctWidth>0</wp14:pctWidth>
            </wp14:sizeRelH>
            <wp14:sizeRelV relativeFrom="margin">
              <wp14:pctHeight>0</wp14:pctHeight>
            </wp14:sizeRelV>
          </wp:anchor>
        </w:drawing>
      </w:r>
    </w:p>
    <w:p w14:paraId="1919075B" w14:textId="77777777" w:rsidR="00CD6F25" w:rsidRPr="00CD6F25" w:rsidRDefault="00CD6F25" w:rsidP="00CD6F25"/>
    <w:p w14:paraId="703BEB6C" w14:textId="77777777" w:rsidR="00CD6F25" w:rsidRPr="00CD6F25" w:rsidRDefault="00CD6F25" w:rsidP="00CD6F25">
      <w:r w:rsidRPr="00CD6F25">
        <w:rPr>
          <w:rFonts w:ascii="Century Gothic"/>
          <w:b/>
          <w:noProof/>
        </w:rPr>
        <mc:AlternateContent>
          <mc:Choice Requires="wps">
            <w:drawing>
              <wp:anchor distT="0" distB="0" distL="114300" distR="114300" simplePos="0" relativeHeight="251661322" behindDoc="0" locked="0" layoutInCell="1" allowOverlap="1" wp14:anchorId="2583BF48" wp14:editId="4A4E0293">
                <wp:simplePos x="0" y="0"/>
                <wp:positionH relativeFrom="column">
                  <wp:posOffset>1587500</wp:posOffset>
                </wp:positionH>
                <wp:positionV relativeFrom="paragraph">
                  <wp:posOffset>220345</wp:posOffset>
                </wp:positionV>
                <wp:extent cx="596900" cy="241300"/>
                <wp:effectExtent l="0" t="0" r="12700" b="25400"/>
                <wp:wrapNone/>
                <wp:docPr id="32" name="Rectangle 32"/>
                <wp:cNvGraphicFramePr/>
                <a:graphic xmlns:a="http://schemas.openxmlformats.org/drawingml/2006/main">
                  <a:graphicData uri="http://schemas.microsoft.com/office/word/2010/wordprocessingShape">
                    <wps:wsp>
                      <wps:cNvSpPr/>
                      <wps:spPr>
                        <a:xfrm>
                          <a:off x="0" y="0"/>
                          <a:ext cx="596900" cy="2413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9FF507" id="Rectangle 32" o:spid="_x0000_s1026" style="position:absolute;margin-left:125pt;margin-top:17.35pt;width:47pt;height:19pt;z-index:2516613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" filled="f" strokecolor="windowText" strokeweight=".5pt"/>
            </w:pict>
          </mc:Fallback>
        </mc:AlternateContent>
      </w:r>
    </w:p>
    <w:p w14:paraId="45C3855F" w14:textId="77777777" w:rsidR="00CD6F25" w:rsidRPr="00CD6F25" w:rsidRDefault="00CD6F25" w:rsidP="00CD6F25"/>
    <w:p w14:paraId="78E06028" w14:textId="77777777" w:rsidR="00CD6F25" w:rsidRPr="00CD6F25" w:rsidRDefault="00CD6F25" w:rsidP="00CD6F25"/>
    <w:p w14:paraId="52D5C5C8" w14:textId="77777777" w:rsidR="00CD6F25" w:rsidRPr="00CD6F25" w:rsidRDefault="00CD6F25" w:rsidP="00CD6F25"/>
    <w:p w14:paraId="6E116F2E" w14:textId="2B13C499" w:rsidR="00CD6F25" w:rsidRPr="00CD6F25" w:rsidRDefault="00CD6F25" w:rsidP="00CD6F25">
      <w:bookmarkStart w:id="72" w:name="_Ref475454230"/>
      <w:r w:rsidRPr="00CD6F25">
        <w:rPr>
          <w:b/>
        </w:rPr>
        <w:t xml:space="preserve">Figure </w:t>
      </w:r>
      <w:r w:rsidRPr="00CD6F25">
        <w:rPr>
          <w:b/>
        </w:rPr>
        <w:fldChar w:fldCharType="begin"/>
      </w:r>
      <w:r w:rsidRPr="00CD6F25">
        <w:rPr>
          <w:b/>
        </w:rPr>
        <w:instrText xml:space="preserve"> SEQ Figure \* ARABIC </w:instrText>
      </w:r>
      <w:r w:rsidRPr="00CD6F25">
        <w:rPr>
          <w:b/>
        </w:rPr>
        <w:fldChar w:fldCharType="separate"/>
      </w:r>
      <w:r w:rsidR="001B2852">
        <w:rPr>
          <w:b/>
          <w:noProof/>
        </w:rPr>
        <w:t>5</w:t>
      </w:r>
      <w:r w:rsidRPr="00CD6F25">
        <w:rPr>
          <w:b/>
        </w:rPr>
        <w:fldChar w:fldCharType="end"/>
      </w:r>
      <w:bookmarkEnd w:id="72"/>
      <w:r w:rsidRPr="00CD6F25">
        <w:t>: Map of the Condamine–Balonne and surrounding systems, including an inset of the internationally significant Narran Lakes system.</w:t>
      </w:r>
    </w:p>
    <w:p w14:paraId="2DE33CA3" w14:textId="77777777" w:rsidR="00CD6F25" w:rsidRPr="00CD6F25" w:rsidRDefault="00CD6F25" w:rsidP="00CD6F25"/>
    <w:p w14:paraId="0199F5B0" w14:textId="77777777" w:rsidR="00CD6F25" w:rsidRPr="00CD6F25" w:rsidRDefault="00CD6F25" w:rsidP="00CD6F25">
      <w:pPr>
        <w:sectPr w:rsidR="00CD6F25" w:rsidRPr="00CD6F25" w:rsidSect="003737D8">
          <w:pgSz w:w="16838" w:h="11906" w:orient="landscape"/>
          <w:pgMar w:top="1134" w:right="992" w:bottom="851" w:left="964" w:header="567" w:footer="397" w:gutter="0"/>
          <w:cols w:space="708"/>
          <w:docGrid w:linePitch="360"/>
        </w:sectPr>
      </w:pPr>
    </w:p>
    <w:p w14:paraId="0A730475" w14:textId="77777777" w:rsidR="00CD6F25" w:rsidRPr="00CD6F25" w:rsidRDefault="00CD6F25" w:rsidP="0057535E">
      <w:pPr>
        <w:pStyle w:val="Heading3"/>
      </w:pPr>
      <w:r w:rsidRPr="00CD6F25">
        <w:lastRenderedPageBreak/>
        <w:t>Environmental objectives</w:t>
      </w:r>
    </w:p>
    <w:p w14:paraId="797EB3B9" w14:textId="77777777" w:rsidR="00CD6F25" w:rsidRPr="00CD6F25" w:rsidRDefault="00CD6F25" w:rsidP="00CD6F25">
      <w:r w:rsidRPr="00CD6F25">
        <w:t>Based on long-term environmental objectives in the Basin Plan, relevant state long-term watering plans, site management plans (including Ramsar site ecological character descriptions), and best available knowledge, the following objectives are relevant for environmental watering in the Condamine–Balonne system.</w:t>
      </w:r>
    </w:p>
    <w:p w14:paraId="0CC1C6E5" w14:textId="77777777" w:rsidR="00CD6F25" w:rsidRPr="00CD6F25" w:rsidRDefault="00CD6F25" w:rsidP="00CD6F25">
      <w:bookmarkStart w:id="73" w:name="_Hlk40872460"/>
      <w:r w:rsidRPr="00CD6F25">
        <w:t>Because of the generally unregulated nature of the Condamine–Balonne system, the objectives that can be achieved in a particular year may vary and are highly dependent on catchment conditions and rainfall events. These objectives will continue to be revised as part of the Commonwealth Environmental Water Office’s (CEWO) commitment to adaptive management.</w:t>
      </w:r>
    </w:p>
    <w:bookmarkEnd w:id="73"/>
    <w:p w14:paraId="00F7F2AC" w14:textId="77777777" w:rsidR="00CD6F25" w:rsidRPr="00CD6F25" w:rsidRDefault="00CD6F25" w:rsidP="00CD6F25">
      <w:r w:rsidRPr="00CD6F25">
        <w:rPr>
          <w:b/>
        </w:rPr>
        <w:t>Vegetation</w:t>
      </w:r>
      <w:r w:rsidRPr="00CD6F25">
        <w:t>: Maintain and improve the condition, growth and survival of riparian, in-channel, floodplain and wetland vegetation.</w:t>
      </w:r>
    </w:p>
    <w:p w14:paraId="43255BCB" w14:textId="77777777" w:rsidR="00CD6F25" w:rsidRPr="00CD6F25" w:rsidRDefault="00CD6F25" w:rsidP="00CD6F25">
      <w:pPr>
        <w:rPr>
          <w:rFonts w:ascii="Century Gothic" w:hAnsi="Century Gothic"/>
          <w:sz w:val="20"/>
        </w:rPr>
      </w:pPr>
      <w:r w:rsidRPr="00CD6F25">
        <w:rPr>
          <w:b/>
        </w:rPr>
        <w:t>Waterbirds</w:t>
      </w:r>
      <w:r w:rsidRPr="00CD6F25">
        <w:t>: Maintain foraging, roosting and breeding habitats at targeted sites on the floodplain to support waterbirds.</w:t>
      </w:r>
      <w:r w:rsidRPr="00CD6F25">
        <w:rPr>
          <w:rFonts w:ascii="Century Gothic" w:hAnsi="Century Gothic"/>
          <w:sz w:val="20"/>
        </w:rPr>
        <w:t xml:space="preserve"> </w:t>
      </w:r>
      <w:r w:rsidRPr="00CD6F25">
        <w:t xml:space="preserve"> </w:t>
      </w:r>
    </w:p>
    <w:p w14:paraId="0B3F5424" w14:textId="77777777" w:rsidR="00CD6F25" w:rsidRPr="00CD6F25" w:rsidRDefault="00CD6F25" w:rsidP="00CD6F25">
      <w:r w:rsidRPr="00CD6F25">
        <w:rPr>
          <w:b/>
        </w:rPr>
        <w:t>Native fish</w:t>
      </w:r>
      <w:r w:rsidRPr="00CD6F25">
        <w:t>: Improve habitat condition, and support different life stages (migration, spawning, recruitment and refuge), natural flow variability, and connectivity between river channels, wetlands, anabranches and floodplains.</w:t>
      </w:r>
    </w:p>
    <w:p w14:paraId="178B9C68" w14:textId="77777777" w:rsidR="00CD6F25" w:rsidRPr="00CD6F25" w:rsidRDefault="00CD6F25" w:rsidP="00CD6F25">
      <w:r w:rsidRPr="00CD6F25">
        <w:rPr>
          <w:b/>
        </w:rPr>
        <w:t>Other vertebrates</w:t>
      </w:r>
      <w:r w:rsidRPr="00CD6F25">
        <w:t>: Support survival and recruitment of other native aquatic species, including frogs and turtles.</w:t>
      </w:r>
    </w:p>
    <w:p w14:paraId="61FC0584" w14:textId="77777777" w:rsidR="00CD6F25" w:rsidRPr="00CD6F25" w:rsidRDefault="00CD6F25" w:rsidP="00CD6F25">
      <w:r w:rsidRPr="00CD6F25">
        <w:rPr>
          <w:b/>
          <w:bCs/>
        </w:rPr>
        <w:t>Invertebrates:</w:t>
      </w:r>
      <w:r w:rsidRPr="00CD6F25">
        <w:t xml:space="preserve"> Maintain and improve the micro and macroinvertebrate communities by providing a variety of habitat and flow conditions.</w:t>
      </w:r>
    </w:p>
    <w:p w14:paraId="1C6C7A96" w14:textId="77777777" w:rsidR="00CD6F25" w:rsidRPr="00CD6F25" w:rsidRDefault="00CD6F25" w:rsidP="00CD6F25">
      <w:r w:rsidRPr="00CD6F25">
        <w:rPr>
          <w:b/>
        </w:rPr>
        <w:t>Connectivity</w:t>
      </w:r>
      <w:r w:rsidRPr="00CD6F25">
        <w:t xml:space="preserve">: Support longitudinal connectivity, including with the Barwon River, and lateral connectivity with and between the rivers, wetlands and floodplain systems. </w:t>
      </w:r>
    </w:p>
    <w:p w14:paraId="08A799F9" w14:textId="77777777" w:rsidR="00CD6F25" w:rsidRPr="00CD6F25" w:rsidRDefault="00CD6F25" w:rsidP="00CD6F25">
      <w:r w:rsidRPr="00CD6F25">
        <w:rPr>
          <w:b/>
        </w:rPr>
        <w:t>Processes/water quality/resilience</w:t>
      </w:r>
      <w:r w:rsidRPr="00CD6F25">
        <w:t>: Support key ecosystem functions, biotic dispersal and promote productivity; maintain water quality in channels and pools; and maintain drought refuge habitat.</w:t>
      </w:r>
    </w:p>
    <w:p w14:paraId="20CA91E4" w14:textId="77777777" w:rsidR="00CD6F25" w:rsidRPr="00CD6F25" w:rsidRDefault="00CD6F25" w:rsidP="0057535E">
      <w:pPr>
        <w:pStyle w:val="Heading3"/>
      </w:pPr>
      <w:bookmarkStart w:id="74" w:name="_Hlk42787435"/>
      <w:r w:rsidRPr="00CD6F25">
        <w:t>First Nations environmental objectives</w:t>
      </w:r>
    </w:p>
    <w:p w14:paraId="164BA6A8" w14:textId="665AE5F9" w:rsidR="00CD6F25" w:rsidRPr="00CD6F25" w:rsidRDefault="00CD6F25" w:rsidP="00CD6F25">
      <w:r w:rsidRPr="00CD6F25">
        <w:t>Representatives of the First Nations peoples of the Condamine-Balonne system have identified environmental objectives for their country for 2020–21 (</w:t>
      </w:r>
      <w:r w:rsidRPr="00CD6F25">
        <w:fldChar w:fldCharType="begin"/>
      </w:r>
      <w:r w:rsidRPr="00CD6F25">
        <w:instrText xml:space="preserve"> REF _Ref43972962 \h  \* MERGEFORMAT </w:instrText>
      </w:r>
      <w:r w:rsidRPr="00CD6F25">
        <w:fldChar w:fldCharType="separate"/>
      </w:r>
      <w:r w:rsidR="001B2852" w:rsidRPr="001B2852">
        <w:t>Table 9</w:t>
      </w:r>
      <w:r w:rsidRPr="00CD6F25">
        <w:fldChar w:fldCharType="end"/>
      </w:r>
      <w:r w:rsidRPr="00CD6F25">
        <w:t xml:space="preserve">). These objectives were developed through the First Nations Environmental Guidance project undertaken by the Northern Basin Aboriginal Nations organisation. </w:t>
      </w:r>
    </w:p>
    <w:p w14:paraId="6F4531CD" w14:textId="77777777" w:rsidR="00CD6F25" w:rsidRPr="00CD6F25" w:rsidRDefault="00CD6F25" w:rsidP="00CD6F25">
      <w:r w:rsidRPr="00CD6F25">
        <w:rPr>
          <w:rFonts w:cs="Calibri"/>
        </w:rPr>
        <w:t>Some of these objectives sit outside the scope of water for the environment to influence, while for others, the link between water for the environment and the site or species is not well understood. </w:t>
      </w:r>
    </w:p>
    <w:p w14:paraId="4C947D35" w14:textId="77777777" w:rsidR="00CD6F25" w:rsidRPr="00CD6F25" w:rsidRDefault="00CD6F25" w:rsidP="00CD6F25">
      <w:r w:rsidRPr="00CD6F25">
        <w:t>The CEWO is committed to working with First Nations groups to better understand their objectives. The CEWO will use environmental flows to contribute to these objectives where possible and where this is consistent with the Commonwealth Environmental Water Holder’s statutory responsibility of protecting and restoring environmental assets in the Basin.</w:t>
      </w:r>
    </w:p>
    <w:p w14:paraId="77943E48" w14:textId="77777777" w:rsidR="00CD6F25" w:rsidRPr="00CD6F25" w:rsidRDefault="00CD6F25" w:rsidP="00CD6F25">
      <w:pPr>
        <w:spacing w:after="0"/>
        <w:rPr>
          <w:b/>
        </w:rPr>
      </w:pPr>
      <w:bookmarkStart w:id="75" w:name="_Ref43387807"/>
      <w:bookmarkStart w:id="76" w:name="_Hlk42786923"/>
      <w:r w:rsidRPr="00CD6F25">
        <w:rPr>
          <w:b/>
        </w:rPr>
        <w:br w:type="page"/>
      </w:r>
    </w:p>
    <w:p w14:paraId="0D263CCE" w14:textId="641F4C88" w:rsidR="00CD6F25" w:rsidRPr="00CD6F25" w:rsidRDefault="00CD6F25" w:rsidP="00CD6F25">
      <w:bookmarkStart w:id="77" w:name="_Ref43972962"/>
      <w:r w:rsidRPr="00CD6F25">
        <w:rPr>
          <w:b/>
        </w:rPr>
        <w:lastRenderedPageBreak/>
        <w:t xml:space="preserve">Table </w:t>
      </w:r>
      <w:r w:rsidRPr="00CD6F25">
        <w:rPr>
          <w:b/>
        </w:rPr>
        <w:fldChar w:fldCharType="begin"/>
      </w:r>
      <w:r w:rsidRPr="00CD6F25">
        <w:rPr>
          <w:b/>
        </w:rPr>
        <w:instrText xml:space="preserve"> SEQ Table \* ARABIC </w:instrText>
      </w:r>
      <w:r w:rsidRPr="00CD6F25">
        <w:rPr>
          <w:b/>
        </w:rPr>
        <w:fldChar w:fldCharType="separate"/>
      </w:r>
      <w:r w:rsidR="001B2852">
        <w:rPr>
          <w:b/>
          <w:noProof/>
        </w:rPr>
        <w:t>9</w:t>
      </w:r>
      <w:r w:rsidRPr="00CD6F25">
        <w:rPr>
          <w:b/>
        </w:rPr>
        <w:fldChar w:fldCharType="end"/>
      </w:r>
      <w:bookmarkEnd w:id="77"/>
      <w:r w:rsidRPr="00CD6F25">
        <w:t>:</w:t>
      </w:r>
      <w:bookmarkEnd w:id="75"/>
      <w:r w:rsidRPr="00CD6F25">
        <w:t xml:space="preserve"> First Nations environmental objectives for the Condamine-Balonne system for 2020–21 (NBAN Ltd. 2020)</w:t>
      </w:r>
    </w:p>
    <w:tbl>
      <w:tblPr>
        <w:tblStyle w:val="TableGrid13"/>
        <w:tblW w:w="9781" w:type="dxa"/>
        <w:tblInd w:w="-5" w:type="dxa"/>
        <w:tblBorders>
          <w:insideH w:val="none" w:sz="0" w:space="0" w:color="auto"/>
          <w:insideV w:val="none" w:sz="0" w:space="0" w:color="auto"/>
        </w:tblBorders>
        <w:tblLook w:val="04A0" w:firstRow="1" w:lastRow="0" w:firstColumn="1" w:lastColumn="0" w:noHBand="0" w:noVBand="1"/>
      </w:tblPr>
      <w:tblGrid>
        <w:gridCol w:w="9781"/>
      </w:tblGrid>
      <w:tr w:rsidR="00CD6F25" w:rsidRPr="00CD6F25" w14:paraId="451D5B63" w14:textId="77777777" w:rsidTr="00AA0841">
        <w:tc>
          <w:tcPr>
            <w:tcW w:w="9781" w:type="dxa"/>
            <w:tcBorders>
              <w:top w:val="single" w:sz="4" w:space="0" w:color="auto"/>
              <w:bottom w:val="nil"/>
            </w:tcBorders>
            <w:shd w:val="clear" w:color="auto" w:fill="B6DDE8" w:themeFill="accent5" w:themeFillTint="66"/>
            <w:vAlign w:val="center"/>
          </w:tcPr>
          <w:p w14:paraId="0EF76D00" w14:textId="77777777" w:rsidR="00CD6F25" w:rsidRPr="00CD6F25" w:rsidRDefault="00CD6F25" w:rsidP="00CD6F25">
            <w:pPr>
              <w:rPr>
                <w:b/>
                <w:szCs w:val="22"/>
              </w:rPr>
            </w:pPr>
            <w:r w:rsidRPr="00CD6F25">
              <w:rPr>
                <w:b/>
                <w:szCs w:val="22"/>
              </w:rPr>
              <w:t xml:space="preserve"> River flows and Connectivity</w:t>
            </w:r>
          </w:p>
        </w:tc>
      </w:tr>
      <w:tr w:rsidR="00CD6F25" w:rsidRPr="00CD6F25" w14:paraId="5A55FEE5" w14:textId="77777777" w:rsidTr="00AA0841">
        <w:tc>
          <w:tcPr>
            <w:tcW w:w="9781" w:type="dxa"/>
            <w:tcBorders>
              <w:top w:val="nil"/>
              <w:bottom w:val="single" w:sz="4" w:space="0" w:color="auto"/>
            </w:tcBorders>
          </w:tcPr>
          <w:p w14:paraId="1247BC42" w14:textId="77777777" w:rsidR="00CD6F25" w:rsidRPr="00CD6F25" w:rsidRDefault="00CD6F25" w:rsidP="00CD6F25">
            <w:pPr>
              <w:rPr>
                <w:szCs w:val="22"/>
              </w:rPr>
            </w:pPr>
            <w:r w:rsidRPr="00CD6F25">
              <w:rPr>
                <w:rFonts w:ascii="Calibri" w:hAnsi="Calibri" w:cs="Calibri"/>
                <w:i/>
                <w:color w:val="5F497A" w:themeColor="accent4" w:themeShade="BF"/>
                <w:szCs w:val="22"/>
              </w:rPr>
              <w:t>Upper Condamine:</w:t>
            </w:r>
            <w:r w:rsidRPr="00CD6F25">
              <w:rPr>
                <w:szCs w:val="22"/>
              </w:rPr>
              <w:t xml:space="preserve"> </w:t>
            </w:r>
            <w:r w:rsidRPr="00CD6F25">
              <w:rPr>
                <w:rFonts w:eastAsia="ArialMT" w:cs="ArialMT"/>
                <w:color w:val="222222"/>
                <w:szCs w:val="22"/>
              </w:rPr>
              <w:t>Maintain a healthy sustainable flow so that native animal and plant species can thrive to benefit everyone.</w:t>
            </w:r>
          </w:p>
          <w:p w14:paraId="650DFAE7" w14:textId="77777777" w:rsidR="00CD6F25" w:rsidRPr="00CD6F25" w:rsidRDefault="00CD6F25" w:rsidP="00CD6F25">
            <w:pPr>
              <w:rPr>
                <w:szCs w:val="22"/>
              </w:rPr>
            </w:pPr>
            <w:r w:rsidRPr="00CD6F25">
              <w:rPr>
                <w:rFonts w:ascii="Calibri" w:hAnsi="Calibri" w:cs="Calibri"/>
                <w:i/>
                <w:color w:val="5F497A" w:themeColor="accent4" w:themeShade="BF"/>
                <w:szCs w:val="22"/>
              </w:rPr>
              <w:t>Maranoa-Balonne priority sites:</w:t>
            </w:r>
            <w:r w:rsidRPr="00CD6F25">
              <w:rPr>
                <w:szCs w:val="22"/>
              </w:rPr>
              <w:t xml:space="preserve"> The junction between Maranoa and Balonne rivers; the Lakes that feed off the Maranoa River</w:t>
            </w:r>
          </w:p>
          <w:p w14:paraId="645F6255" w14:textId="77777777" w:rsidR="00CD6F25" w:rsidRPr="00CD6F25" w:rsidRDefault="00CD6F25" w:rsidP="00CD6F25">
            <w:pPr>
              <w:rPr>
                <w:szCs w:val="22"/>
              </w:rPr>
            </w:pPr>
            <w:r w:rsidRPr="00CD6F25">
              <w:rPr>
                <w:rFonts w:ascii="Calibri" w:hAnsi="Calibri" w:cs="Calibri"/>
                <w:i/>
                <w:color w:val="5F497A" w:themeColor="accent4" w:themeShade="BF"/>
                <w:szCs w:val="22"/>
              </w:rPr>
              <w:t>Maranoa-Balonne river connectivity:</w:t>
            </w:r>
            <w:r w:rsidRPr="00CD6F25">
              <w:rPr>
                <w:szCs w:val="22"/>
              </w:rPr>
              <w:t xml:space="preserve"> Flowing water throughout the system, at all times. There are hardly any fish in the Maranoa because of Beardmore Dam.</w:t>
            </w:r>
          </w:p>
          <w:p w14:paraId="3A4C3EBB" w14:textId="77777777" w:rsidR="00CD6F25" w:rsidRPr="00CD6F25" w:rsidRDefault="00CD6F25" w:rsidP="00CD6F25">
            <w:pPr>
              <w:rPr>
                <w:szCs w:val="22"/>
              </w:rPr>
            </w:pPr>
            <w:r w:rsidRPr="00CD6F25">
              <w:rPr>
                <w:rFonts w:ascii="Calibri" w:hAnsi="Calibri" w:cs="Calibri"/>
                <w:i/>
                <w:color w:val="5F497A" w:themeColor="accent4" w:themeShade="BF"/>
                <w:szCs w:val="22"/>
              </w:rPr>
              <w:t>Narran Lakes:</w:t>
            </w:r>
            <w:r w:rsidRPr="00CD6F25">
              <w:rPr>
                <w:szCs w:val="22"/>
              </w:rPr>
              <w:t xml:space="preserve"> Sufficient flows to support an abundance of birdlife and bird eggs, as well as fish for food during gatherings.</w:t>
            </w:r>
          </w:p>
          <w:p w14:paraId="1A0F5C56" w14:textId="77777777" w:rsidR="00CD6F25" w:rsidRPr="00CD6F25" w:rsidRDefault="00CD6F25" w:rsidP="00CD6F25">
            <w:pPr>
              <w:rPr>
                <w:szCs w:val="22"/>
              </w:rPr>
            </w:pPr>
            <w:r w:rsidRPr="00CD6F25">
              <w:rPr>
                <w:rFonts w:ascii="Calibri" w:hAnsi="Calibri" w:cs="Calibri"/>
                <w:i/>
                <w:color w:val="5F497A" w:themeColor="accent4" w:themeShade="BF"/>
                <w:szCs w:val="22"/>
              </w:rPr>
              <w:t>Culgoa and Nebine rivers:</w:t>
            </w:r>
            <w:r w:rsidRPr="00CD6F25">
              <w:rPr>
                <w:szCs w:val="22"/>
              </w:rPr>
              <w:t xml:space="preserve"> Low and medium flows in both the Culgoa and Nebine Rivers; sufficient flows to increase and protect the health of the rivers; maintain natural flows and restore historical timing of flows. Maintain connectivity.</w:t>
            </w:r>
          </w:p>
        </w:tc>
      </w:tr>
      <w:tr w:rsidR="00CD6F25" w:rsidRPr="00CD6F25" w14:paraId="6A9F6EEB" w14:textId="77777777" w:rsidTr="00AA0841">
        <w:tc>
          <w:tcPr>
            <w:tcW w:w="9781" w:type="dxa"/>
            <w:tcBorders>
              <w:top w:val="single" w:sz="4" w:space="0" w:color="auto"/>
              <w:bottom w:val="nil"/>
            </w:tcBorders>
            <w:shd w:val="clear" w:color="auto" w:fill="B6DDE8" w:themeFill="accent5" w:themeFillTint="66"/>
          </w:tcPr>
          <w:p w14:paraId="3020851D" w14:textId="77777777" w:rsidR="00CD6F25" w:rsidRPr="00CD6F25" w:rsidRDefault="00CD6F25" w:rsidP="00CD6F25">
            <w:pPr>
              <w:rPr>
                <w:b/>
                <w:szCs w:val="22"/>
              </w:rPr>
            </w:pPr>
            <w:r w:rsidRPr="00CD6F25">
              <w:rPr>
                <w:b/>
                <w:szCs w:val="22"/>
              </w:rPr>
              <w:t>Native Vegetation</w:t>
            </w:r>
          </w:p>
        </w:tc>
      </w:tr>
      <w:tr w:rsidR="00CD6F25" w:rsidRPr="00CD6F25" w14:paraId="64E48FD6" w14:textId="77777777" w:rsidTr="00AA0841">
        <w:tc>
          <w:tcPr>
            <w:tcW w:w="9781" w:type="dxa"/>
            <w:tcBorders>
              <w:top w:val="nil"/>
              <w:bottom w:val="single" w:sz="4" w:space="0" w:color="auto"/>
            </w:tcBorders>
          </w:tcPr>
          <w:p w14:paraId="016F0EDB" w14:textId="77777777" w:rsidR="00CD6F25" w:rsidRPr="00CD6F25" w:rsidRDefault="00CD6F25" w:rsidP="00CD6F25">
            <w:pPr>
              <w:rPr>
                <w:szCs w:val="22"/>
              </w:rPr>
            </w:pPr>
            <w:r w:rsidRPr="00CD6F25">
              <w:rPr>
                <w:rFonts w:ascii="Calibri" w:hAnsi="Calibri" w:cs="Calibri"/>
                <w:i/>
                <w:color w:val="5F497A" w:themeColor="accent4" w:themeShade="BF"/>
                <w:szCs w:val="22"/>
              </w:rPr>
              <w:t>Upper Condamine indicator species:</w:t>
            </w:r>
            <w:r w:rsidRPr="00CD6F25">
              <w:rPr>
                <w:szCs w:val="22"/>
              </w:rPr>
              <w:t xml:space="preserve"> River gum, bulrush, water lily, sedges, sandalwood</w:t>
            </w:r>
            <w:r w:rsidRPr="00CD6F25">
              <w:rPr>
                <w:szCs w:val="22"/>
                <w:vertAlign w:val="superscript"/>
              </w:rPr>
              <w:t>i</w:t>
            </w:r>
            <w:r w:rsidRPr="00CD6F25">
              <w:rPr>
                <w:szCs w:val="22"/>
              </w:rPr>
              <w:t>, iron bark (poplar box)</w:t>
            </w:r>
            <w:r w:rsidRPr="00CD6F25">
              <w:rPr>
                <w:szCs w:val="22"/>
                <w:vertAlign w:val="superscript"/>
              </w:rPr>
              <w:t>i</w:t>
            </w:r>
            <w:r w:rsidRPr="00CD6F25">
              <w:rPr>
                <w:szCs w:val="22"/>
              </w:rPr>
              <w:t>.</w:t>
            </w:r>
          </w:p>
          <w:p w14:paraId="1C99A71A" w14:textId="77777777" w:rsidR="00CD6F25" w:rsidRPr="00CD6F25" w:rsidRDefault="00CD6F25" w:rsidP="00CD6F25">
            <w:pPr>
              <w:rPr>
                <w:szCs w:val="22"/>
              </w:rPr>
            </w:pPr>
            <w:r w:rsidRPr="00CD6F25">
              <w:rPr>
                <w:rFonts w:ascii="Calibri" w:hAnsi="Calibri" w:cs="Calibri"/>
                <w:i/>
                <w:color w:val="5F497A" w:themeColor="accent4" w:themeShade="BF"/>
                <w:szCs w:val="22"/>
              </w:rPr>
              <w:t>Maranoa -Balonne indicator species:</w:t>
            </w:r>
            <w:r w:rsidRPr="00CD6F25">
              <w:rPr>
                <w:szCs w:val="22"/>
              </w:rPr>
              <w:t xml:space="preserve"> Iron bark</w:t>
            </w:r>
            <w:r w:rsidRPr="00CD6F25">
              <w:rPr>
                <w:szCs w:val="22"/>
                <w:vertAlign w:val="superscript"/>
              </w:rPr>
              <w:t xml:space="preserve"> i</w:t>
            </w:r>
            <w:r w:rsidRPr="00CD6F25">
              <w:rPr>
                <w:szCs w:val="22"/>
              </w:rPr>
              <w:t>, blackberries</w:t>
            </w:r>
            <w:r w:rsidRPr="00CD6F25">
              <w:rPr>
                <w:szCs w:val="22"/>
                <w:vertAlign w:val="superscript"/>
              </w:rPr>
              <w:t xml:space="preserve"> i</w:t>
            </w:r>
            <w:r w:rsidRPr="00CD6F25">
              <w:rPr>
                <w:szCs w:val="22"/>
              </w:rPr>
              <w:t>, wild bananas</w:t>
            </w:r>
            <w:r w:rsidRPr="00CD6F25">
              <w:rPr>
                <w:szCs w:val="22"/>
                <w:vertAlign w:val="superscript"/>
              </w:rPr>
              <w:t xml:space="preserve"> i</w:t>
            </w:r>
            <w:r w:rsidRPr="00CD6F25">
              <w:rPr>
                <w:szCs w:val="22"/>
              </w:rPr>
              <w:t>, salt bush, black box, snotty gobble (mistletoe)</w:t>
            </w:r>
            <w:r w:rsidRPr="00CD6F25">
              <w:rPr>
                <w:szCs w:val="22"/>
                <w:vertAlign w:val="superscript"/>
              </w:rPr>
              <w:t xml:space="preserve"> i</w:t>
            </w:r>
            <w:r w:rsidRPr="00CD6F25">
              <w:rPr>
                <w:szCs w:val="22"/>
              </w:rPr>
              <w:t>.</w:t>
            </w:r>
          </w:p>
          <w:p w14:paraId="4DAC451F" w14:textId="77777777" w:rsidR="00CD6F25" w:rsidRPr="00CD6F25" w:rsidRDefault="00CD6F25" w:rsidP="00CD6F25">
            <w:pPr>
              <w:rPr>
                <w:szCs w:val="22"/>
              </w:rPr>
            </w:pPr>
            <w:r w:rsidRPr="00CD6F25">
              <w:rPr>
                <w:rFonts w:ascii="Calibri" w:hAnsi="Calibri" w:cs="Calibri"/>
                <w:i/>
                <w:color w:val="5F497A" w:themeColor="accent4" w:themeShade="BF"/>
                <w:szCs w:val="22"/>
              </w:rPr>
              <w:t>Culgoa and Nebine rivers indicator species:</w:t>
            </w:r>
            <w:r w:rsidRPr="00CD6F25">
              <w:rPr>
                <w:szCs w:val="22"/>
              </w:rPr>
              <w:t xml:space="preserve"> Lignum, water grasses, river redgum, Willbill, black box, coolabah, and snotty gobble (mistletoe)</w:t>
            </w:r>
            <w:r w:rsidRPr="00CD6F25">
              <w:rPr>
                <w:szCs w:val="22"/>
                <w:vertAlign w:val="superscript"/>
              </w:rPr>
              <w:t xml:space="preserve"> i</w:t>
            </w:r>
            <w:r w:rsidRPr="00CD6F25">
              <w:rPr>
                <w:szCs w:val="22"/>
              </w:rPr>
              <w:t>.</w:t>
            </w:r>
          </w:p>
        </w:tc>
      </w:tr>
      <w:tr w:rsidR="00CD6F25" w:rsidRPr="00CD6F25" w14:paraId="4F1B00BC" w14:textId="77777777" w:rsidTr="00AA0841">
        <w:tc>
          <w:tcPr>
            <w:tcW w:w="9781" w:type="dxa"/>
            <w:tcBorders>
              <w:top w:val="single" w:sz="4" w:space="0" w:color="auto"/>
              <w:bottom w:val="nil"/>
            </w:tcBorders>
            <w:shd w:val="clear" w:color="auto" w:fill="B6DDE8" w:themeFill="accent5" w:themeFillTint="66"/>
          </w:tcPr>
          <w:p w14:paraId="2F6EF789" w14:textId="77777777" w:rsidR="00CD6F25" w:rsidRPr="00CD6F25" w:rsidRDefault="00CD6F25" w:rsidP="00CD6F25">
            <w:pPr>
              <w:rPr>
                <w:b/>
                <w:szCs w:val="22"/>
              </w:rPr>
            </w:pPr>
            <w:r w:rsidRPr="00CD6F25">
              <w:rPr>
                <w:b/>
                <w:szCs w:val="22"/>
              </w:rPr>
              <w:t>Native Birds</w:t>
            </w:r>
          </w:p>
        </w:tc>
      </w:tr>
      <w:tr w:rsidR="00CD6F25" w:rsidRPr="00CD6F25" w14:paraId="7DC078CA" w14:textId="77777777" w:rsidTr="00AA0841">
        <w:tc>
          <w:tcPr>
            <w:tcW w:w="9781" w:type="dxa"/>
            <w:tcBorders>
              <w:top w:val="nil"/>
              <w:bottom w:val="single" w:sz="4" w:space="0" w:color="auto"/>
            </w:tcBorders>
          </w:tcPr>
          <w:p w14:paraId="59F80E74" w14:textId="77777777" w:rsidR="00CD6F25" w:rsidRPr="00CD6F25" w:rsidRDefault="00CD6F25" w:rsidP="00CD6F25">
            <w:pPr>
              <w:rPr>
                <w:szCs w:val="22"/>
              </w:rPr>
            </w:pPr>
            <w:r w:rsidRPr="00CD6F25">
              <w:rPr>
                <w:rFonts w:ascii="Calibri" w:hAnsi="Calibri" w:cs="Calibri"/>
                <w:i/>
                <w:color w:val="5F497A" w:themeColor="accent4" w:themeShade="BF"/>
                <w:szCs w:val="22"/>
              </w:rPr>
              <w:t>Upper Condamine indicator species:</w:t>
            </w:r>
            <w:r w:rsidRPr="00CD6F25">
              <w:rPr>
                <w:rFonts w:cs="Arial"/>
                <w:color w:val="222222"/>
                <w:szCs w:val="22"/>
              </w:rPr>
              <w:t xml:space="preserve"> Kookaburra</w:t>
            </w:r>
            <w:r w:rsidRPr="00CD6F25">
              <w:rPr>
                <w:szCs w:val="22"/>
                <w:vertAlign w:val="superscript"/>
              </w:rPr>
              <w:t xml:space="preserve"> i</w:t>
            </w:r>
            <w:r w:rsidRPr="00CD6F25">
              <w:rPr>
                <w:rFonts w:cs="Arial"/>
                <w:color w:val="222222"/>
                <w:szCs w:val="22"/>
              </w:rPr>
              <w:t>, kingfisher, black cockatoo</w:t>
            </w:r>
            <w:r w:rsidRPr="00CD6F25">
              <w:rPr>
                <w:szCs w:val="22"/>
                <w:vertAlign w:val="superscript"/>
              </w:rPr>
              <w:t xml:space="preserve"> i</w:t>
            </w:r>
            <w:r w:rsidRPr="00CD6F25">
              <w:rPr>
                <w:rFonts w:cs="Arial"/>
                <w:color w:val="222222"/>
                <w:szCs w:val="22"/>
              </w:rPr>
              <w:t>, crimson wing, duck, water hen, shag.</w:t>
            </w:r>
          </w:p>
          <w:p w14:paraId="1C4F5009" w14:textId="77777777" w:rsidR="00CD6F25" w:rsidRPr="00CD6F25" w:rsidRDefault="00CD6F25" w:rsidP="00CD6F25">
            <w:pPr>
              <w:rPr>
                <w:rFonts w:cs="Arial"/>
                <w:color w:val="222222"/>
                <w:szCs w:val="22"/>
              </w:rPr>
            </w:pPr>
            <w:r w:rsidRPr="00CD6F25">
              <w:rPr>
                <w:rFonts w:ascii="Calibri" w:hAnsi="Calibri" w:cs="Calibri"/>
                <w:i/>
                <w:color w:val="5F497A" w:themeColor="accent4" w:themeShade="BF"/>
                <w:szCs w:val="22"/>
              </w:rPr>
              <w:t>Maranoa -Balonne indicator species:</w:t>
            </w:r>
            <w:r w:rsidRPr="00CD6F25">
              <w:rPr>
                <w:rFonts w:cs="Arial"/>
                <w:color w:val="222222"/>
                <w:szCs w:val="22"/>
              </w:rPr>
              <w:t xml:space="preserve"> Night owl</w:t>
            </w:r>
            <w:r w:rsidRPr="00CD6F25">
              <w:rPr>
                <w:szCs w:val="22"/>
                <w:vertAlign w:val="superscript"/>
              </w:rPr>
              <w:t xml:space="preserve"> i</w:t>
            </w:r>
            <w:r w:rsidRPr="00CD6F25">
              <w:rPr>
                <w:rFonts w:cs="Arial"/>
                <w:color w:val="222222"/>
                <w:szCs w:val="22"/>
              </w:rPr>
              <w:t>, barking owl</w:t>
            </w:r>
            <w:r w:rsidRPr="00CD6F25">
              <w:rPr>
                <w:szCs w:val="22"/>
                <w:vertAlign w:val="superscript"/>
              </w:rPr>
              <w:t>i</w:t>
            </w:r>
            <w:r w:rsidRPr="00CD6F25">
              <w:rPr>
                <w:rFonts w:cs="Arial"/>
                <w:color w:val="222222"/>
                <w:szCs w:val="22"/>
              </w:rPr>
              <w:t>, pelican, eagle</w:t>
            </w:r>
            <w:r w:rsidRPr="00CD6F25">
              <w:rPr>
                <w:szCs w:val="22"/>
                <w:vertAlign w:val="superscript"/>
              </w:rPr>
              <w:t>i</w:t>
            </w:r>
            <w:r w:rsidRPr="00CD6F25">
              <w:rPr>
                <w:rFonts w:cs="Arial"/>
                <w:color w:val="222222"/>
                <w:szCs w:val="22"/>
              </w:rPr>
              <w:t>, black hawk</w:t>
            </w:r>
            <w:r w:rsidRPr="00CD6F25">
              <w:rPr>
                <w:szCs w:val="22"/>
                <w:vertAlign w:val="superscript"/>
              </w:rPr>
              <w:t>i</w:t>
            </w:r>
            <w:r w:rsidRPr="00CD6F25">
              <w:rPr>
                <w:rFonts w:cs="Arial"/>
                <w:color w:val="222222"/>
                <w:szCs w:val="22"/>
              </w:rPr>
              <w:t>, white dove</w:t>
            </w:r>
            <w:r w:rsidRPr="00CD6F25">
              <w:rPr>
                <w:szCs w:val="22"/>
                <w:vertAlign w:val="superscript"/>
              </w:rPr>
              <w:t>i</w:t>
            </w:r>
            <w:r w:rsidRPr="00CD6F25">
              <w:rPr>
                <w:rFonts w:cs="Arial"/>
                <w:color w:val="222222"/>
                <w:szCs w:val="22"/>
              </w:rPr>
              <w:t>, brolga.</w:t>
            </w:r>
          </w:p>
          <w:p w14:paraId="29BE1F38" w14:textId="77777777" w:rsidR="00CD6F25" w:rsidRPr="00CD6F25" w:rsidRDefault="00CD6F25" w:rsidP="00CD6F25">
            <w:pPr>
              <w:rPr>
                <w:szCs w:val="22"/>
              </w:rPr>
            </w:pPr>
            <w:r w:rsidRPr="00CD6F25">
              <w:rPr>
                <w:rFonts w:ascii="Calibri" w:hAnsi="Calibri" w:cs="Calibri"/>
                <w:i/>
                <w:color w:val="5F497A" w:themeColor="accent4" w:themeShade="BF"/>
                <w:szCs w:val="22"/>
              </w:rPr>
              <w:t>Culgoa and Nebine rivers indicator species:</w:t>
            </w:r>
            <w:r w:rsidRPr="00CD6F25">
              <w:rPr>
                <w:rFonts w:cs="Arial"/>
                <w:color w:val="222222"/>
                <w:szCs w:val="22"/>
              </w:rPr>
              <w:t xml:space="preserve"> Duck, pelican, heron, ibis, brolga, bush turkey</w:t>
            </w:r>
            <w:r w:rsidRPr="00CD6F25">
              <w:rPr>
                <w:szCs w:val="22"/>
                <w:vertAlign w:val="superscript"/>
              </w:rPr>
              <w:t>i</w:t>
            </w:r>
            <w:r w:rsidRPr="00CD6F25">
              <w:rPr>
                <w:rFonts w:cs="Arial"/>
                <w:color w:val="222222"/>
                <w:szCs w:val="22"/>
              </w:rPr>
              <w:t>, kingfisher, black duck, wood duck and bustard.</w:t>
            </w:r>
          </w:p>
        </w:tc>
      </w:tr>
      <w:tr w:rsidR="00CD6F25" w:rsidRPr="00CD6F25" w14:paraId="3F9C5A2C" w14:textId="77777777" w:rsidTr="00AA0841">
        <w:tc>
          <w:tcPr>
            <w:tcW w:w="9781" w:type="dxa"/>
            <w:tcBorders>
              <w:top w:val="single" w:sz="4" w:space="0" w:color="auto"/>
              <w:bottom w:val="nil"/>
            </w:tcBorders>
            <w:shd w:val="clear" w:color="auto" w:fill="B6DDE8" w:themeFill="accent5" w:themeFillTint="66"/>
          </w:tcPr>
          <w:p w14:paraId="5BE6C83B" w14:textId="77777777" w:rsidR="00CD6F25" w:rsidRPr="00CD6F25" w:rsidRDefault="00CD6F25" w:rsidP="00CD6F25">
            <w:pPr>
              <w:rPr>
                <w:b/>
                <w:szCs w:val="22"/>
              </w:rPr>
            </w:pPr>
            <w:r w:rsidRPr="00CD6F25">
              <w:rPr>
                <w:b/>
                <w:szCs w:val="22"/>
              </w:rPr>
              <w:t>Native Animals</w:t>
            </w:r>
          </w:p>
        </w:tc>
      </w:tr>
      <w:tr w:rsidR="00CD6F25" w:rsidRPr="00CD6F25" w14:paraId="22315326" w14:textId="77777777" w:rsidTr="00AA0841">
        <w:tc>
          <w:tcPr>
            <w:tcW w:w="9781" w:type="dxa"/>
            <w:tcBorders>
              <w:top w:val="nil"/>
              <w:bottom w:val="single" w:sz="4" w:space="0" w:color="auto"/>
            </w:tcBorders>
          </w:tcPr>
          <w:p w14:paraId="6C3C228C" w14:textId="77777777" w:rsidR="00CD6F25" w:rsidRPr="00CD6F25" w:rsidRDefault="00CD6F25" w:rsidP="00CD6F25">
            <w:pPr>
              <w:rPr>
                <w:szCs w:val="22"/>
              </w:rPr>
            </w:pPr>
            <w:r w:rsidRPr="00CD6F25">
              <w:rPr>
                <w:rFonts w:ascii="Calibri" w:hAnsi="Calibri" w:cs="Calibri"/>
                <w:i/>
                <w:color w:val="5F497A" w:themeColor="accent4" w:themeShade="BF"/>
                <w:szCs w:val="22"/>
              </w:rPr>
              <w:t>Upper Condamine indicator species:</w:t>
            </w:r>
            <w:r w:rsidRPr="00CD6F25">
              <w:rPr>
                <w:rFonts w:cs="Arial"/>
                <w:color w:val="222222"/>
                <w:szCs w:val="22"/>
              </w:rPr>
              <w:t xml:space="preserve"> River blackfish, spiny crayfish, cod, yellowbelly, platypus</w:t>
            </w:r>
            <w:r w:rsidRPr="00CD6F25">
              <w:rPr>
                <w:szCs w:val="22"/>
                <w:vertAlign w:val="superscript"/>
              </w:rPr>
              <w:t>i</w:t>
            </w:r>
            <w:r w:rsidRPr="00CD6F25">
              <w:rPr>
                <w:rFonts w:cs="Arial"/>
                <w:color w:val="222222"/>
                <w:szCs w:val="22"/>
              </w:rPr>
              <w:t>, catfish, mussel, crayfish, turtle.</w:t>
            </w:r>
          </w:p>
          <w:p w14:paraId="5A064985" w14:textId="77777777" w:rsidR="00CD6F25" w:rsidRPr="00CD6F25" w:rsidRDefault="00CD6F25" w:rsidP="00CD6F25">
            <w:pPr>
              <w:rPr>
                <w:rFonts w:cs="Arial"/>
                <w:color w:val="222222"/>
                <w:szCs w:val="22"/>
              </w:rPr>
            </w:pPr>
            <w:r w:rsidRPr="00CD6F25">
              <w:rPr>
                <w:rFonts w:ascii="Calibri" w:hAnsi="Calibri" w:cs="Calibri"/>
                <w:bCs/>
                <w:i/>
                <w:color w:val="5F497A" w:themeColor="accent4" w:themeShade="BF"/>
                <w:szCs w:val="22"/>
              </w:rPr>
              <w:t>Maranoa -Balonne indicator species</w:t>
            </w:r>
            <w:r w:rsidRPr="00CD6F25">
              <w:rPr>
                <w:rFonts w:ascii="Calibri" w:hAnsi="Calibri" w:cs="Calibri"/>
                <w:i/>
                <w:color w:val="5F497A" w:themeColor="accent4" w:themeShade="BF"/>
                <w:szCs w:val="22"/>
              </w:rPr>
              <w:t>:</w:t>
            </w:r>
            <w:r w:rsidRPr="00CD6F25">
              <w:rPr>
                <w:rFonts w:cs="Arial"/>
                <w:color w:val="222222"/>
                <w:szCs w:val="22"/>
              </w:rPr>
              <w:t xml:space="preserve"> Tiger snake</w:t>
            </w:r>
            <w:r w:rsidRPr="00CD6F25">
              <w:rPr>
                <w:szCs w:val="22"/>
                <w:vertAlign w:val="superscript"/>
              </w:rPr>
              <w:t xml:space="preserve"> i</w:t>
            </w:r>
            <w:r w:rsidRPr="00CD6F25">
              <w:rPr>
                <w:rFonts w:cs="Arial"/>
                <w:color w:val="222222"/>
                <w:szCs w:val="22"/>
              </w:rPr>
              <w:t>, carpet snake</w:t>
            </w:r>
            <w:r w:rsidRPr="00CD6F25">
              <w:rPr>
                <w:szCs w:val="22"/>
                <w:vertAlign w:val="superscript"/>
              </w:rPr>
              <w:t xml:space="preserve"> i</w:t>
            </w:r>
            <w:r w:rsidRPr="00CD6F25">
              <w:rPr>
                <w:rFonts w:cs="Arial"/>
                <w:color w:val="222222"/>
                <w:szCs w:val="22"/>
              </w:rPr>
              <w:t>, black goanna</w:t>
            </w:r>
            <w:r w:rsidRPr="00CD6F25">
              <w:rPr>
                <w:szCs w:val="22"/>
                <w:vertAlign w:val="superscript"/>
              </w:rPr>
              <w:t xml:space="preserve"> i</w:t>
            </w:r>
            <w:r w:rsidRPr="00CD6F25">
              <w:rPr>
                <w:rFonts w:cs="Arial"/>
                <w:color w:val="222222"/>
                <w:szCs w:val="22"/>
              </w:rPr>
              <w:t>, red kangaroo</w:t>
            </w:r>
            <w:r w:rsidRPr="00CD6F25">
              <w:rPr>
                <w:szCs w:val="22"/>
                <w:vertAlign w:val="superscript"/>
              </w:rPr>
              <w:t xml:space="preserve"> i</w:t>
            </w:r>
            <w:r w:rsidRPr="00CD6F25">
              <w:rPr>
                <w:rFonts w:cs="Arial"/>
                <w:color w:val="222222"/>
                <w:szCs w:val="22"/>
              </w:rPr>
              <w:t>, native bee</w:t>
            </w:r>
            <w:r w:rsidRPr="00CD6F25">
              <w:rPr>
                <w:szCs w:val="22"/>
                <w:vertAlign w:val="superscript"/>
              </w:rPr>
              <w:t xml:space="preserve"> i</w:t>
            </w:r>
            <w:r w:rsidRPr="00CD6F25">
              <w:rPr>
                <w:rFonts w:cs="Arial"/>
                <w:color w:val="222222"/>
                <w:szCs w:val="22"/>
              </w:rPr>
              <w:t>, brown frog, crucifix Frog, yellowbelly, cod.</w:t>
            </w:r>
          </w:p>
          <w:p w14:paraId="3E3F6C7A" w14:textId="77777777" w:rsidR="00CD6F25" w:rsidRPr="00CD6F25" w:rsidRDefault="00CD6F25" w:rsidP="00CD6F25">
            <w:pPr>
              <w:rPr>
                <w:rFonts w:cs="Arial"/>
                <w:color w:val="222222"/>
                <w:szCs w:val="22"/>
              </w:rPr>
            </w:pPr>
            <w:r w:rsidRPr="00CD6F25">
              <w:rPr>
                <w:rFonts w:ascii="Calibri" w:hAnsi="Calibri" w:cs="Calibri"/>
                <w:bCs/>
                <w:i/>
                <w:color w:val="5F497A" w:themeColor="accent4" w:themeShade="BF"/>
                <w:szCs w:val="22"/>
              </w:rPr>
              <w:t>Culgoa and Nebine rivers indicator species</w:t>
            </w:r>
            <w:r w:rsidRPr="00CD6F25">
              <w:rPr>
                <w:szCs w:val="22"/>
              </w:rPr>
              <w:t>:</w:t>
            </w:r>
            <w:r w:rsidRPr="00CD6F25">
              <w:rPr>
                <w:rFonts w:cs="Arial"/>
                <w:color w:val="222222"/>
                <w:szCs w:val="22"/>
              </w:rPr>
              <w:t xml:space="preserve"> Yellowbelly, booglies, black bream (silver perch), cod, shrimps, mussels, catfish, turtles, water spiders, wallabies</w:t>
            </w:r>
            <w:r w:rsidRPr="00CD6F25">
              <w:rPr>
                <w:szCs w:val="22"/>
                <w:vertAlign w:val="superscript"/>
              </w:rPr>
              <w:t xml:space="preserve"> i</w:t>
            </w:r>
            <w:r w:rsidRPr="00CD6F25">
              <w:rPr>
                <w:rFonts w:cs="Arial"/>
                <w:color w:val="222222"/>
                <w:szCs w:val="22"/>
              </w:rPr>
              <w:t>, goanna</w:t>
            </w:r>
            <w:r w:rsidRPr="00CD6F25">
              <w:rPr>
                <w:szCs w:val="22"/>
                <w:vertAlign w:val="superscript"/>
              </w:rPr>
              <w:t xml:space="preserve"> i</w:t>
            </w:r>
            <w:r w:rsidRPr="00CD6F25">
              <w:rPr>
                <w:rFonts w:cs="Arial"/>
                <w:color w:val="222222"/>
                <w:szCs w:val="22"/>
              </w:rPr>
              <w:t>, emu</w:t>
            </w:r>
            <w:r w:rsidRPr="00CD6F25">
              <w:rPr>
                <w:szCs w:val="22"/>
                <w:vertAlign w:val="superscript"/>
              </w:rPr>
              <w:t xml:space="preserve"> i</w:t>
            </w:r>
            <w:r w:rsidRPr="00CD6F25">
              <w:rPr>
                <w:rFonts w:cs="Arial"/>
                <w:color w:val="222222"/>
                <w:szCs w:val="22"/>
              </w:rPr>
              <w:t xml:space="preserve"> and frogs.</w:t>
            </w:r>
          </w:p>
        </w:tc>
      </w:tr>
      <w:tr w:rsidR="00CD6F25" w:rsidRPr="00CD6F25" w14:paraId="5C43F223" w14:textId="77777777" w:rsidTr="00AA0841">
        <w:tc>
          <w:tcPr>
            <w:tcW w:w="9781" w:type="dxa"/>
            <w:tcBorders>
              <w:top w:val="single" w:sz="4" w:space="0" w:color="auto"/>
            </w:tcBorders>
            <w:shd w:val="clear" w:color="auto" w:fill="B6DDE8" w:themeFill="accent5" w:themeFillTint="66"/>
          </w:tcPr>
          <w:p w14:paraId="594F8F93" w14:textId="77777777" w:rsidR="00CD6F25" w:rsidRPr="00CD6F25" w:rsidRDefault="00CD6F25" w:rsidP="00CD6F25">
            <w:pPr>
              <w:rPr>
                <w:b/>
                <w:szCs w:val="22"/>
              </w:rPr>
            </w:pPr>
            <w:r w:rsidRPr="00CD6F25">
              <w:rPr>
                <w:b/>
                <w:szCs w:val="22"/>
              </w:rPr>
              <w:t>Connecting with Country</w:t>
            </w:r>
          </w:p>
        </w:tc>
      </w:tr>
      <w:tr w:rsidR="00CD6F25" w:rsidRPr="00CD6F25" w14:paraId="0989338C" w14:textId="77777777" w:rsidTr="00AA0841">
        <w:tc>
          <w:tcPr>
            <w:tcW w:w="9781" w:type="dxa"/>
            <w:tcBorders>
              <w:bottom w:val="single" w:sz="12" w:space="0" w:color="auto"/>
            </w:tcBorders>
          </w:tcPr>
          <w:p w14:paraId="35AD0C98" w14:textId="77777777" w:rsidR="00CD6F25" w:rsidRPr="00CD6F25" w:rsidRDefault="00CD6F25" w:rsidP="00CD6F25">
            <w:pPr>
              <w:rPr>
                <w:szCs w:val="22"/>
              </w:rPr>
            </w:pPr>
            <w:r w:rsidRPr="00CD6F25">
              <w:rPr>
                <w:rFonts w:ascii="Calibri" w:hAnsi="Calibri" w:cs="Calibri"/>
                <w:i/>
                <w:color w:val="5F497A" w:themeColor="accent4" w:themeShade="BF"/>
                <w:szCs w:val="22"/>
              </w:rPr>
              <w:t>Upper Condamine:</w:t>
            </w:r>
            <w:r w:rsidRPr="00CD6F25">
              <w:rPr>
                <w:szCs w:val="22"/>
              </w:rPr>
              <w:t xml:space="preserve"> </w:t>
            </w:r>
            <w:r w:rsidRPr="00CD6F25">
              <w:rPr>
                <w:rFonts w:eastAsia="ArialMT"/>
                <w:szCs w:val="22"/>
              </w:rPr>
              <w:t>Water quality to ensure downstream river health.</w:t>
            </w:r>
          </w:p>
          <w:p w14:paraId="4AC901EE" w14:textId="77777777" w:rsidR="00CD6F25" w:rsidRPr="00CD6F25" w:rsidRDefault="00CD6F25" w:rsidP="00CD6F25">
            <w:pPr>
              <w:rPr>
                <w:rFonts w:eastAsia="ArialMT"/>
                <w:szCs w:val="22"/>
              </w:rPr>
            </w:pPr>
            <w:r w:rsidRPr="00CD6F25">
              <w:rPr>
                <w:rFonts w:ascii="Calibri" w:hAnsi="Calibri" w:cs="Calibri"/>
                <w:bCs/>
                <w:i/>
                <w:color w:val="5F497A" w:themeColor="accent4" w:themeShade="BF"/>
                <w:szCs w:val="22"/>
              </w:rPr>
              <w:t>Maranoa -Balonne:</w:t>
            </w:r>
            <w:r w:rsidRPr="00CD6F25">
              <w:rPr>
                <w:rFonts w:eastAsia="ArialMT"/>
                <w:szCs w:val="22"/>
              </w:rPr>
              <w:t xml:space="preserve"> Ceremonies based around water.</w:t>
            </w:r>
          </w:p>
          <w:p w14:paraId="1C5BD1B8" w14:textId="77777777" w:rsidR="00CD6F25" w:rsidRPr="00CD6F25" w:rsidRDefault="00CD6F25" w:rsidP="00CD6F25">
            <w:pPr>
              <w:rPr>
                <w:szCs w:val="22"/>
              </w:rPr>
            </w:pPr>
            <w:r w:rsidRPr="00CD6F25">
              <w:rPr>
                <w:rFonts w:ascii="Calibri" w:hAnsi="Calibri" w:cs="Calibri"/>
                <w:i/>
                <w:color w:val="5F497A" w:themeColor="accent4" w:themeShade="BF"/>
                <w:szCs w:val="22"/>
              </w:rPr>
              <w:t>Culgoa and Nebine rivers</w:t>
            </w:r>
            <w:r w:rsidRPr="00CD6F25">
              <w:rPr>
                <w:szCs w:val="22"/>
              </w:rPr>
              <w:t>: Increased populations of native birds, as they are a food source and totemic species, which are important for Gatherings.</w:t>
            </w:r>
          </w:p>
        </w:tc>
      </w:tr>
    </w:tbl>
    <w:p w14:paraId="6F8B4212" w14:textId="77777777" w:rsidR="00CD6F25" w:rsidRPr="00CD6F25" w:rsidRDefault="00CD6F25" w:rsidP="00CD6F25">
      <w:pPr>
        <w:rPr>
          <w:sz w:val="20"/>
          <w:lang w:val="en-GB"/>
        </w:rPr>
      </w:pPr>
      <w:r w:rsidRPr="00CD6F25">
        <w:rPr>
          <w:vertAlign w:val="superscript"/>
        </w:rPr>
        <w:t>i</w:t>
      </w:r>
      <w:r w:rsidRPr="00CD6F25">
        <w:rPr>
          <w:sz w:val="20"/>
          <w:lang w:val="en-GB"/>
        </w:rPr>
        <w:t xml:space="preserve"> </w:t>
      </w:r>
      <w:r w:rsidRPr="00CD6F25">
        <w:rPr>
          <w:sz w:val="20"/>
        </w:rPr>
        <w:t>Water for the environment targeting other environmental outcomes may influence this species or objective</w:t>
      </w:r>
    </w:p>
    <w:p w14:paraId="4C729FEE" w14:textId="77777777" w:rsidR="00CD6F25" w:rsidRPr="00CD6F25" w:rsidRDefault="00CD6F25" w:rsidP="00CD6F25">
      <w:pPr>
        <w:spacing w:after="0"/>
      </w:pPr>
    </w:p>
    <w:bookmarkEnd w:id="74"/>
    <w:bookmarkEnd w:id="76"/>
    <w:p w14:paraId="646E3CCF" w14:textId="77777777" w:rsidR="00CD6F25" w:rsidRPr="00CD6F25" w:rsidRDefault="00CD6F25" w:rsidP="0057535E">
      <w:pPr>
        <w:pStyle w:val="Heading3"/>
      </w:pPr>
      <w:r w:rsidRPr="00CD6F25">
        <w:lastRenderedPageBreak/>
        <w:t>Recent conditions and seasonal outlook</w:t>
      </w:r>
    </w:p>
    <w:p w14:paraId="741FB8BF" w14:textId="77777777" w:rsidR="00CD6F25" w:rsidRPr="00CD6F25" w:rsidRDefault="00CD6F25" w:rsidP="0057535E">
      <w:pPr>
        <w:pStyle w:val="Heading4"/>
      </w:pPr>
      <w:r w:rsidRPr="00CD6F25">
        <w:t>Recent conditions and environmental water use</w:t>
      </w:r>
    </w:p>
    <w:p w14:paraId="7FFF78A2" w14:textId="77777777" w:rsidR="00CD6F25" w:rsidRPr="00CD6F25" w:rsidRDefault="00CD6F25" w:rsidP="00CD6F25">
      <w:r w:rsidRPr="00CD6F25">
        <w:t xml:space="preserve">The Condamine–Balonne system experienced very hot and dry conditions between July 2017 and January 2020, with rainfall being well below average, and maximum temperatures the highest on record for some months. Flows passed St George have also been extremely low during this time.  </w:t>
      </w:r>
    </w:p>
    <w:p w14:paraId="06C3EBCC" w14:textId="77777777" w:rsidR="00CD6F25" w:rsidRPr="00CD6F25" w:rsidRDefault="00CD6F25" w:rsidP="00CD6F25">
      <w:r w:rsidRPr="00CD6F25">
        <w:t xml:space="preserve">These factors resulted in some downstream sections of the Narran River not flowing for over 650 days, and the Culgoa River for 390 days. These long periods of low or no flow saw a reduction in the number and quality of refuge pools within the river channels of the Lower Balonne floodplain. The reduction in drought refuges is likely to have had a significant impact on the aquatic communities of the Culgoa, Narran and Birrie/Bokhara River systems. </w:t>
      </w:r>
    </w:p>
    <w:p w14:paraId="253997D9" w14:textId="77777777" w:rsidR="00CD6F25" w:rsidRPr="00CD6F25" w:rsidRDefault="00CD6F25" w:rsidP="00CD6F25">
      <w:r w:rsidRPr="00CD6F25">
        <w:t>During late summer and early autumn 2020, widespread rainfall occurred across most of the Condamine</w:t>
      </w:r>
      <w:r w:rsidRPr="00CD6F25">
        <w:noBreakHyphen/>
        <w:t xml:space="preserve">Balonne system. This saw most parts of the system receive around 100 mm of rain. During this period, a series intense summer storms saw 200-350 mm of rain fall across the mid and upper sections of the Condamine and Maranoa catchments.  </w:t>
      </w:r>
    </w:p>
    <w:p w14:paraId="2D833627" w14:textId="5B52529F" w:rsidR="00CD6F25" w:rsidRPr="00CD6F25" w:rsidRDefault="00CD6F25" w:rsidP="00CD6F25">
      <w:r w:rsidRPr="00CD6F25">
        <w:t xml:space="preserve">The rainfall generated significant flows particularly in the Condamine and Maranoa Rivers with flows at St George peaking at around 190 000 ML/d. The flows recorded at St George passed the full length of the Lower Balonne system filling the three lakes within the Narran Lake Nature Reserve. It also connected to the Barwon and Darling rivers. Flow rates and total flow volumes for various parts of the Lower Balonne network are shown in </w:t>
      </w:r>
      <w:r w:rsidRPr="00CD6F25">
        <w:fldChar w:fldCharType="begin"/>
      </w:r>
      <w:r w:rsidRPr="00CD6F25">
        <w:instrText xml:space="preserve"> REF _Ref43973031 \h  \* MERGEFORMAT </w:instrText>
      </w:r>
      <w:r w:rsidRPr="00CD6F25">
        <w:fldChar w:fldCharType="separate"/>
      </w:r>
      <w:r w:rsidR="001B2852" w:rsidRPr="001B2852">
        <w:t>Table 10</w:t>
      </w:r>
      <w:r w:rsidRPr="00CD6F25">
        <w:fldChar w:fldCharType="end"/>
      </w:r>
      <w:r w:rsidRPr="00CD6F25">
        <w:t>.</w:t>
      </w:r>
    </w:p>
    <w:p w14:paraId="1DC1333D" w14:textId="2A90377A" w:rsidR="00CD6F25" w:rsidRPr="00CD6F25" w:rsidRDefault="00CD6F25" w:rsidP="00CD6F25">
      <w:bookmarkStart w:id="78" w:name="_Ref43973031"/>
      <w:r w:rsidRPr="00CD6F25">
        <w:rPr>
          <w:b/>
        </w:rPr>
        <w:t xml:space="preserve">Table </w:t>
      </w:r>
      <w:r w:rsidRPr="00CD6F25">
        <w:rPr>
          <w:b/>
        </w:rPr>
        <w:fldChar w:fldCharType="begin"/>
      </w:r>
      <w:r w:rsidRPr="00CD6F25">
        <w:rPr>
          <w:b/>
        </w:rPr>
        <w:instrText xml:space="preserve"> SEQ Table \* ARABIC </w:instrText>
      </w:r>
      <w:r w:rsidRPr="00CD6F25">
        <w:rPr>
          <w:b/>
        </w:rPr>
        <w:fldChar w:fldCharType="separate"/>
      </w:r>
      <w:r w:rsidR="001B2852">
        <w:rPr>
          <w:b/>
          <w:noProof/>
        </w:rPr>
        <w:t>10</w:t>
      </w:r>
      <w:r w:rsidRPr="00CD6F25">
        <w:rPr>
          <w:b/>
        </w:rPr>
        <w:fldChar w:fldCharType="end"/>
      </w:r>
      <w:bookmarkEnd w:id="78"/>
      <w:r w:rsidRPr="00CD6F25">
        <w:t>: Maximum flow rate, duration and total flow volume at key flow gauges across the Lower Balonne distributaries</w:t>
      </w:r>
    </w:p>
    <w:tbl>
      <w:tblPr>
        <w:tblStyle w:val="TableGrid5"/>
        <w:tblW w:w="9634" w:type="dxa"/>
        <w:tblLook w:val="04A0" w:firstRow="1" w:lastRow="0" w:firstColumn="1" w:lastColumn="0" w:noHBand="0" w:noVBand="1"/>
      </w:tblPr>
      <w:tblGrid>
        <w:gridCol w:w="1809"/>
        <w:gridCol w:w="3998"/>
        <w:gridCol w:w="1275"/>
        <w:gridCol w:w="1276"/>
        <w:gridCol w:w="1276"/>
      </w:tblGrid>
      <w:tr w:rsidR="00CD6F25" w:rsidRPr="00CD6F25" w14:paraId="2E9F3D48" w14:textId="77777777" w:rsidTr="00AA0841">
        <w:trPr>
          <w:cnfStyle w:val="100000000000" w:firstRow="1" w:lastRow="0" w:firstColumn="0" w:lastColumn="0" w:oddVBand="0" w:evenVBand="0" w:oddHBand="0" w:evenHBand="0" w:firstRowFirstColumn="0" w:firstRowLastColumn="0" w:lastRowFirstColumn="0" w:lastRowLastColumn="0"/>
        </w:trPr>
        <w:tc>
          <w:tcPr>
            <w:tcW w:w="1809" w:type="dxa"/>
            <w:shd w:val="clear" w:color="auto" w:fill="B6DDE8" w:themeFill="accent5" w:themeFillTint="66"/>
            <w:vAlign w:val="center"/>
          </w:tcPr>
          <w:p w14:paraId="17D76010" w14:textId="77777777" w:rsidR="00CD6F25" w:rsidRPr="00CD6F25" w:rsidRDefault="00CD6F25" w:rsidP="00CD6F25">
            <w:pPr>
              <w:rPr>
                <w:b/>
                <w:bCs/>
              </w:rPr>
            </w:pPr>
            <w:r w:rsidRPr="00CD6F25">
              <w:rPr>
                <w:b/>
                <w:bCs/>
              </w:rPr>
              <w:t>Site</w:t>
            </w:r>
          </w:p>
        </w:tc>
        <w:tc>
          <w:tcPr>
            <w:tcW w:w="3998" w:type="dxa"/>
            <w:shd w:val="clear" w:color="auto" w:fill="B6DDE8" w:themeFill="accent5" w:themeFillTint="66"/>
            <w:vAlign w:val="center"/>
          </w:tcPr>
          <w:p w14:paraId="3C8D026E" w14:textId="77777777" w:rsidR="00CD6F25" w:rsidRPr="00CD6F25" w:rsidRDefault="00CD6F25" w:rsidP="00CD6F25">
            <w:pPr>
              <w:rPr>
                <w:b/>
                <w:bCs/>
              </w:rPr>
            </w:pPr>
            <w:r w:rsidRPr="00CD6F25">
              <w:rPr>
                <w:b/>
                <w:bCs/>
              </w:rPr>
              <w:t>Description</w:t>
            </w:r>
          </w:p>
        </w:tc>
        <w:tc>
          <w:tcPr>
            <w:tcW w:w="1275" w:type="dxa"/>
            <w:shd w:val="clear" w:color="auto" w:fill="B6DDE8" w:themeFill="accent5" w:themeFillTint="66"/>
          </w:tcPr>
          <w:p w14:paraId="08A30DC8" w14:textId="77777777" w:rsidR="00CD6F25" w:rsidRPr="00CD6F25" w:rsidRDefault="00CD6F25" w:rsidP="00CD6F25">
            <w:pPr>
              <w:jc w:val="center"/>
              <w:rPr>
                <w:b/>
                <w:bCs/>
              </w:rPr>
            </w:pPr>
            <w:r w:rsidRPr="00CD6F25">
              <w:rPr>
                <w:b/>
                <w:bCs/>
              </w:rPr>
              <w:t>Maximum Flow Rate (ML/d)</w:t>
            </w:r>
          </w:p>
        </w:tc>
        <w:tc>
          <w:tcPr>
            <w:tcW w:w="1276" w:type="dxa"/>
            <w:shd w:val="clear" w:color="auto" w:fill="B6DDE8" w:themeFill="accent5" w:themeFillTint="66"/>
          </w:tcPr>
          <w:p w14:paraId="725460A2" w14:textId="77777777" w:rsidR="00CD6F25" w:rsidRPr="00CD6F25" w:rsidRDefault="00CD6F25" w:rsidP="00CD6F25">
            <w:pPr>
              <w:jc w:val="center"/>
              <w:rPr>
                <w:b/>
                <w:bCs/>
              </w:rPr>
            </w:pPr>
            <w:r w:rsidRPr="00CD6F25">
              <w:rPr>
                <w:b/>
                <w:bCs/>
              </w:rPr>
              <w:t>Flow Duration (Days)</w:t>
            </w:r>
          </w:p>
        </w:tc>
        <w:tc>
          <w:tcPr>
            <w:tcW w:w="1276" w:type="dxa"/>
            <w:shd w:val="clear" w:color="auto" w:fill="B6DDE8" w:themeFill="accent5" w:themeFillTint="66"/>
          </w:tcPr>
          <w:p w14:paraId="2A0C22C9" w14:textId="77777777" w:rsidR="00CD6F25" w:rsidRPr="00CD6F25" w:rsidRDefault="00CD6F25" w:rsidP="00CD6F25">
            <w:pPr>
              <w:jc w:val="center"/>
              <w:rPr>
                <w:b/>
                <w:bCs/>
              </w:rPr>
            </w:pPr>
            <w:r w:rsidRPr="00CD6F25">
              <w:rPr>
                <w:b/>
                <w:bCs/>
              </w:rPr>
              <w:t>Total Flow Volume (ML)</w:t>
            </w:r>
          </w:p>
        </w:tc>
      </w:tr>
      <w:tr w:rsidR="00CD6F25" w:rsidRPr="00CD6F25" w14:paraId="11A8B340" w14:textId="77777777" w:rsidTr="00AA0841">
        <w:trPr>
          <w:cnfStyle w:val="000000100000" w:firstRow="0" w:lastRow="0" w:firstColumn="0" w:lastColumn="0" w:oddVBand="0" w:evenVBand="0" w:oddHBand="1" w:evenHBand="0" w:firstRowFirstColumn="0" w:firstRowLastColumn="0" w:lastRowFirstColumn="0" w:lastRowLastColumn="0"/>
        </w:trPr>
        <w:tc>
          <w:tcPr>
            <w:tcW w:w="1809" w:type="dxa"/>
            <w:vAlign w:val="center"/>
          </w:tcPr>
          <w:p w14:paraId="2DFEB8D7" w14:textId="77777777" w:rsidR="00CD6F25" w:rsidRPr="00CD6F25" w:rsidRDefault="00CD6F25" w:rsidP="00CD6F25">
            <w:r w:rsidRPr="00CD6F25">
              <w:t xml:space="preserve">Wilby Wilby (Narran River) </w:t>
            </w:r>
          </w:p>
        </w:tc>
        <w:tc>
          <w:tcPr>
            <w:tcW w:w="3998" w:type="dxa"/>
            <w:vAlign w:val="center"/>
          </w:tcPr>
          <w:p w14:paraId="2005E719" w14:textId="77777777" w:rsidR="00CD6F25" w:rsidRPr="00CD6F25" w:rsidRDefault="00CD6F25" w:rsidP="00CD6F25">
            <w:r w:rsidRPr="00CD6F25">
              <w:t xml:space="preserve">Located mid-way between the Queensland/NSW border and the </w:t>
            </w:r>
            <w:bookmarkStart w:id="79" w:name="_Hlk40427137"/>
            <w:r w:rsidRPr="00CD6F25">
              <w:t>Narran Lake Nature Reserve</w:t>
            </w:r>
            <w:bookmarkEnd w:id="79"/>
          </w:p>
        </w:tc>
        <w:tc>
          <w:tcPr>
            <w:tcW w:w="1275" w:type="dxa"/>
            <w:vAlign w:val="center"/>
          </w:tcPr>
          <w:p w14:paraId="1D7F7F81" w14:textId="77777777" w:rsidR="00CD6F25" w:rsidRPr="00CD6F25" w:rsidRDefault="00CD6F25" w:rsidP="00CD6F25">
            <w:pPr>
              <w:jc w:val="center"/>
            </w:pPr>
            <w:r w:rsidRPr="00CD6F25">
              <w:t>5 700</w:t>
            </w:r>
          </w:p>
        </w:tc>
        <w:tc>
          <w:tcPr>
            <w:tcW w:w="1276" w:type="dxa"/>
            <w:vAlign w:val="center"/>
          </w:tcPr>
          <w:p w14:paraId="3F4B2E09" w14:textId="77777777" w:rsidR="00CD6F25" w:rsidRPr="00CD6F25" w:rsidRDefault="00CD6F25" w:rsidP="00CD6F25">
            <w:pPr>
              <w:jc w:val="center"/>
            </w:pPr>
            <w:r w:rsidRPr="00CD6F25">
              <w:t xml:space="preserve">~55 </w:t>
            </w:r>
          </w:p>
        </w:tc>
        <w:tc>
          <w:tcPr>
            <w:tcW w:w="1276" w:type="dxa"/>
            <w:vAlign w:val="center"/>
          </w:tcPr>
          <w:p w14:paraId="4231F59F" w14:textId="77777777" w:rsidR="00CD6F25" w:rsidRPr="00CD6F25" w:rsidRDefault="00CD6F25" w:rsidP="00CD6F25">
            <w:pPr>
              <w:jc w:val="center"/>
            </w:pPr>
            <w:r w:rsidRPr="00CD6F25">
              <w:t>89 000</w:t>
            </w:r>
          </w:p>
        </w:tc>
      </w:tr>
      <w:tr w:rsidR="00CD6F25" w:rsidRPr="00CD6F25" w14:paraId="3031BEDD" w14:textId="77777777" w:rsidTr="00AA0841">
        <w:trPr>
          <w:cnfStyle w:val="000000010000" w:firstRow="0" w:lastRow="0" w:firstColumn="0" w:lastColumn="0" w:oddVBand="0" w:evenVBand="0" w:oddHBand="0" w:evenHBand="1" w:firstRowFirstColumn="0" w:firstRowLastColumn="0" w:lastRowFirstColumn="0" w:lastRowLastColumn="0"/>
        </w:trPr>
        <w:tc>
          <w:tcPr>
            <w:tcW w:w="1809" w:type="dxa"/>
            <w:vAlign w:val="center"/>
          </w:tcPr>
          <w:p w14:paraId="0FF1539A" w14:textId="77777777" w:rsidR="00CD6F25" w:rsidRPr="00CD6F25" w:rsidRDefault="00CD6F25" w:rsidP="00CD6F25">
            <w:r w:rsidRPr="00CD6F25">
              <w:t>Narran Park (Narran River)</w:t>
            </w:r>
          </w:p>
        </w:tc>
        <w:tc>
          <w:tcPr>
            <w:tcW w:w="3998" w:type="dxa"/>
            <w:vAlign w:val="center"/>
          </w:tcPr>
          <w:p w14:paraId="3820FB03" w14:textId="77777777" w:rsidR="00CD6F25" w:rsidRPr="00CD6F25" w:rsidRDefault="00CD6F25" w:rsidP="00CD6F25">
            <w:r w:rsidRPr="00CD6F25">
              <w:t xml:space="preserve">Located on the western boundary of the Narran Lake Nature Reserve </w:t>
            </w:r>
          </w:p>
        </w:tc>
        <w:tc>
          <w:tcPr>
            <w:tcW w:w="1275" w:type="dxa"/>
            <w:vAlign w:val="center"/>
          </w:tcPr>
          <w:p w14:paraId="644A612D" w14:textId="77777777" w:rsidR="00CD6F25" w:rsidRPr="00CD6F25" w:rsidRDefault="00CD6F25" w:rsidP="00CD6F25">
            <w:pPr>
              <w:jc w:val="center"/>
            </w:pPr>
            <w:r w:rsidRPr="00CD6F25">
              <w:t>3 300</w:t>
            </w:r>
          </w:p>
        </w:tc>
        <w:tc>
          <w:tcPr>
            <w:tcW w:w="1276" w:type="dxa"/>
            <w:vAlign w:val="center"/>
          </w:tcPr>
          <w:p w14:paraId="147EF94E" w14:textId="77777777" w:rsidR="00CD6F25" w:rsidRPr="00CD6F25" w:rsidRDefault="00CD6F25" w:rsidP="00CD6F25">
            <w:pPr>
              <w:jc w:val="center"/>
            </w:pPr>
            <w:r w:rsidRPr="00CD6F25">
              <w:t xml:space="preserve">~55 </w:t>
            </w:r>
          </w:p>
        </w:tc>
        <w:tc>
          <w:tcPr>
            <w:tcW w:w="1276" w:type="dxa"/>
            <w:vAlign w:val="center"/>
          </w:tcPr>
          <w:p w14:paraId="662EE5C6" w14:textId="77777777" w:rsidR="00CD6F25" w:rsidRPr="00CD6F25" w:rsidRDefault="00CD6F25" w:rsidP="00CD6F25">
            <w:pPr>
              <w:jc w:val="center"/>
            </w:pPr>
            <w:r w:rsidRPr="00CD6F25">
              <w:t>61 000</w:t>
            </w:r>
          </w:p>
        </w:tc>
      </w:tr>
      <w:tr w:rsidR="00CD6F25" w:rsidRPr="00CD6F25" w14:paraId="462BA180" w14:textId="77777777" w:rsidTr="00AA0841">
        <w:trPr>
          <w:cnfStyle w:val="000000100000" w:firstRow="0" w:lastRow="0" w:firstColumn="0" w:lastColumn="0" w:oddVBand="0" w:evenVBand="0" w:oddHBand="1" w:evenHBand="0" w:firstRowFirstColumn="0" w:firstRowLastColumn="0" w:lastRowFirstColumn="0" w:lastRowLastColumn="0"/>
        </w:trPr>
        <w:tc>
          <w:tcPr>
            <w:tcW w:w="1809" w:type="dxa"/>
            <w:vAlign w:val="center"/>
          </w:tcPr>
          <w:p w14:paraId="7F73E744" w14:textId="77777777" w:rsidR="00CD6F25" w:rsidRPr="00CD6F25" w:rsidRDefault="00CD6F25" w:rsidP="00CD6F25">
            <w:pPr>
              <w:spacing w:after="0"/>
            </w:pPr>
            <w:r w:rsidRPr="00CD6F25">
              <w:t xml:space="preserve">Brenda </w:t>
            </w:r>
          </w:p>
          <w:p w14:paraId="1C7C2ABE" w14:textId="77777777" w:rsidR="00CD6F25" w:rsidRPr="00CD6F25" w:rsidRDefault="00CD6F25" w:rsidP="00CD6F25">
            <w:r w:rsidRPr="00CD6F25">
              <w:t>(Culgoa River)</w:t>
            </w:r>
          </w:p>
        </w:tc>
        <w:tc>
          <w:tcPr>
            <w:tcW w:w="3998" w:type="dxa"/>
            <w:vAlign w:val="center"/>
          </w:tcPr>
          <w:p w14:paraId="62808B6B" w14:textId="77777777" w:rsidR="00CD6F25" w:rsidRPr="00CD6F25" w:rsidRDefault="00CD6F25" w:rsidP="00CD6F25">
            <w:r w:rsidRPr="00CD6F25">
              <w:t>Located near the Queensland/NSW border</w:t>
            </w:r>
          </w:p>
        </w:tc>
        <w:tc>
          <w:tcPr>
            <w:tcW w:w="1275" w:type="dxa"/>
            <w:vAlign w:val="center"/>
          </w:tcPr>
          <w:p w14:paraId="78718440" w14:textId="77777777" w:rsidR="00CD6F25" w:rsidRPr="00CD6F25" w:rsidRDefault="00CD6F25" w:rsidP="00CD6F25">
            <w:pPr>
              <w:jc w:val="center"/>
            </w:pPr>
            <w:r w:rsidRPr="00CD6F25">
              <w:t>14 000</w:t>
            </w:r>
          </w:p>
        </w:tc>
        <w:tc>
          <w:tcPr>
            <w:tcW w:w="1276" w:type="dxa"/>
            <w:vAlign w:val="center"/>
          </w:tcPr>
          <w:p w14:paraId="35EB792C" w14:textId="77777777" w:rsidR="00CD6F25" w:rsidRPr="00CD6F25" w:rsidRDefault="00CD6F25" w:rsidP="00CD6F25">
            <w:pPr>
              <w:jc w:val="center"/>
            </w:pPr>
            <w:r w:rsidRPr="00CD6F25">
              <w:t xml:space="preserve">&gt;80 </w:t>
            </w:r>
          </w:p>
        </w:tc>
        <w:tc>
          <w:tcPr>
            <w:tcW w:w="1276" w:type="dxa"/>
            <w:vAlign w:val="center"/>
          </w:tcPr>
          <w:p w14:paraId="25945272" w14:textId="77777777" w:rsidR="00CD6F25" w:rsidRPr="00CD6F25" w:rsidRDefault="00CD6F25" w:rsidP="00CD6F25">
            <w:pPr>
              <w:jc w:val="center"/>
            </w:pPr>
            <w:r w:rsidRPr="00CD6F25">
              <w:t>174 000</w:t>
            </w:r>
          </w:p>
        </w:tc>
      </w:tr>
      <w:tr w:rsidR="00CD6F25" w:rsidRPr="00CD6F25" w14:paraId="2EAFFEA2" w14:textId="77777777" w:rsidTr="00AA0841">
        <w:trPr>
          <w:cnfStyle w:val="000000010000" w:firstRow="0" w:lastRow="0" w:firstColumn="0" w:lastColumn="0" w:oddVBand="0" w:evenVBand="0" w:oddHBand="0" w:evenHBand="1" w:firstRowFirstColumn="0" w:firstRowLastColumn="0" w:lastRowFirstColumn="0" w:lastRowLastColumn="0"/>
        </w:trPr>
        <w:tc>
          <w:tcPr>
            <w:tcW w:w="1809" w:type="dxa"/>
            <w:vAlign w:val="center"/>
          </w:tcPr>
          <w:p w14:paraId="12DF8D49" w14:textId="77777777" w:rsidR="00CD6F25" w:rsidRPr="00CD6F25" w:rsidRDefault="00CD6F25" w:rsidP="00CD6F25">
            <w:r w:rsidRPr="00CD6F25">
              <w:t>Downstream of Collerina (Culgoa River)</w:t>
            </w:r>
          </w:p>
        </w:tc>
        <w:tc>
          <w:tcPr>
            <w:tcW w:w="3998" w:type="dxa"/>
            <w:vAlign w:val="center"/>
          </w:tcPr>
          <w:p w14:paraId="253BDE92" w14:textId="77777777" w:rsidR="00CD6F25" w:rsidRPr="00CD6F25" w:rsidRDefault="00CD6F25" w:rsidP="00CD6F25">
            <w:r w:rsidRPr="00CD6F25">
              <w:t xml:space="preserve">Downstream of where Nebine and Birrie systems connect to the Culgoa River.  The most downstream gauge </w:t>
            </w:r>
          </w:p>
        </w:tc>
        <w:tc>
          <w:tcPr>
            <w:tcW w:w="1275" w:type="dxa"/>
            <w:vAlign w:val="center"/>
          </w:tcPr>
          <w:p w14:paraId="04D65199" w14:textId="77777777" w:rsidR="00CD6F25" w:rsidRPr="00CD6F25" w:rsidRDefault="00CD6F25" w:rsidP="00CD6F25">
            <w:pPr>
              <w:jc w:val="center"/>
            </w:pPr>
            <w:r w:rsidRPr="00CD6F25">
              <w:t>8 800</w:t>
            </w:r>
          </w:p>
        </w:tc>
        <w:tc>
          <w:tcPr>
            <w:tcW w:w="1276" w:type="dxa"/>
            <w:vAlign w:val="center"/>
          </w:tcPr>
          <w:p w14:paraId="2D0503CB" w14:textId="77777777" w:rsidR="00CD6F25" w:rsidRPr="00CD6F25" w:rsidRDefault="00CD6F25" w:rsidP="00CD6F25">
            <w:pPr>
              <w:jc w:val="center"/>
            </w:pPr>
            <w:r w:rsidRPr="00CD6F25">
              <w:t>&gt;85</w:t>
            </w:r>
          </w:p>
        </w:tc>
        <w:tc>
          <w:tcPr>
            <w:tcW w:w="1276" w:type="dxa"/>
            <w:vAlign w:val="center"/>
          </w:tcPr>
          <w:p w14:paraId="346F58D7" w14:textId="77777777" w:rsidR="00CD6F25" w:rsidRPr="00CD6F25" w:rsidRDefault="00CD6F25" w:rsidP="00CD6F25">
            <w:pPr>
              <w:jc w:val="center"/>
            </w:pPr>
            <w:r w:rsidRPr="00CD6F25">
              <w:t>176 000</w:t>
            </w:r>
          </w:p>
        </w:tc>
      </w:tr>
      <w:tr w:rsidR="00CD6F25" w:rsidRPr="00CD6F25" w14:paraId="2C95498F" w14:textId="77777777" w:rsidTr="00AA0841">
        <w:trPr>
          <w:cnfStyle w:val="000000100000" w:firstRow="0" w:lastRow="0" w:firstColumn="0" w:lastColumn="0" w:oddVBand="0" w:evenVBand="0" w:oddHBand="1" w:evenHBand="0" w:firstRowFirstColumn="0" w:firstRowLastColumn="0" w:lastRowFirstColumn="0" w:lastRowLastColumn="0"/>
        </w:trPr>
        <w:tc>
          <w:tcPr>
            <w:tcW w:w="1809" w:type="dxa"/>
            <w:vAlign w:val="center"/>
          </w:tcPr>
          <w:p w14:paraId="30C84E1E" w14:textId="77777777" w:rsidR="00CD6F25" w:rsidRPr="00CD6F25" w:rsidRDefault="00CD6F25" w:rsidP="00CD6F25">
            <w:r w:rsidRPr="00CD6F25">
              <w:t>Bokhara (Bokhara River)</w:t>
            </w:r>
          </w:p>
        </w:tc>
        <w:tc>
          <w:tcPr>
            <w:tcW w:w="3998" w:type="dxa"/>
            <w:vAlign w:val="center"/>
          </w:tcPr>
          <w:p w14:paraId="0F699065" w14:textId="77777777" w:rsidR="00CD6F25" w:rsidRPr="00CD6F25" w:rsidRDefault="00CD6F25" w:rsidP="00CD6F25">
            <w:r w:rsidRPr="00CD6F25">
              <w:t xml:space="preserve">The most downstream gauge </w:t>
            </w:r>
          </w:p>
        </w:tc>
        <w:tc>
          <w:tcPr>
            <w:tcW w:w="1275" w:type="dxa"/>
            <w:vAlign w:val="center"/>
          </w:tcPr>
          <w:p w14:paraId="5FD52EB5" w14:textId="77777777" w:rsidR="00CD6F25" w:rsidRPr="00CD6F25" w:rsidRDefault="00CD6F25" w:rsidP="00CD6F25">
            <w:pPr>
              <w:jc w:val="center"/>
            </w:pPr>
            <w:r w:rsidRPr="00CD6F25">
              <w:t>2 100</w:t>
            </w:r>
          </w:p>
        </w:tc>
        <w:tc>
          <w:tcPr>
            <w:tcW w:w="1276" w:type="dxa"/>
            <w:vAlign w:val="center"/>
          </w:tcPr>
          <w:p w14:paraId="106DC28E" w14:textId="77777777" w:rsidR="00CD6F25" w:rsidRPr="00CD6F25" w:rsidRDefault="00CD6F25" w:rsidP="00CD6F25">
            <w:pPr>
              <w:jc w:val="center"/>
            </w:pPr>
            <w:r w:rsidRPr="00CD6F25">
              <w:t>~60</w:t>
            </w:r>
          </w:p>
        </w:tc>
        <w:tc>
          <w:tcPr>
            <w:tcW w:w="1276" w:type="dxa"/>
            <w:vAlign w:val="center"/>
          </w:tcPr>
          <w:p w14:paraId="5DCD6B2B" w14:textId="77777777" w:rsidR="00CD6F25" w:rsidRPr="00CD6F25" w:rsidRDefault="00CD6F25" w:rsidP="00CD6F25">
            <w:pPr>
              <w:jc w:val="center"/>
            </w:pPr>
            <w:r w:rsidRPr="00CD6F25">
              <w:t>32 000</w:t>
            </w:r>
          </w:p>
        </w:tc>
      </w:tr>
    </w:tbl>
    <w:p w14:paraId="7633ACDE" w14:textId="77777777" w:rsidR="00CD6F25" w:rsidRPr="00CD6F25" w:rsidRDefault="00CD6F25" w:rsidP="00CD6F25">
      <w:pPr>
        <w:spacing w:before="240"/>
      </w:pPr>
      <w:r w:rsidRPr="00CD6F25">
        <w:t>As part of these flows, over 150 000 megalitres of Commonwealth water for the environment, along with 10 000 megalitres contributed by Cubbie Station helped to enhance the condition of the Lower Balonne system.  </w:t>
      </w:r>
    </w:p>
    <w:p w14:paraId="377BAA26" w14:textId="77777777" w:rsidR="00CD6F25" w:rsidRPr="00CD6F25" w:rsidRDefault="00CD6F25" w:rsidP="00CD6F25">
      <w:r w:rsidRPr="00CD6F25">
        <w:t>To further enhance the condition of habitat within the Narran Lakes Nature Reserve Ramsar Site, the Commonwealth implemented the Narran Lakes Water Reimbursement Project. Through this project, a water allocation holder that was legally entitled to pump water from rivers that flow to the Narran Lakes was provided with a grant not to pump from the flow event. The grant contributed a further 9 000 megalitres of water for the environment, most of which inundated the Ramsar site.</w:t>
      </w:r>
    </w:p>
    <w:p w14:paraId="62D3E001" w14:textId="77777777" w:rsidR="003C6B50" w:rsidRDefault="003C6B50">
      <w:pPr>
        <w:spacing w:after="0"/>
      </w:pPr>
      <w:r>
        <w:br w:type="page"/>
      </w:r>
    </w:p>
    <w:p w14:paraId="1E3B440E" w14:textId="0A6F170C" w:rsidR="00CD6F25" w:rsidRPr="00CD6F25" w:rsidRDefault="00CD6F25" w:rsidP="00CD6F25">
      <w:r w:rsidRPr="00CD6F25">
        <w:lastRenderedPageBreak/>
        <w:t>The project was a pilot (or ‘interim measure’) from which the lessons learned will support any future implementation of event-based mechanisms. Event-based mechanisms are a ‘Toolkit measure’ under the Intergovernmental Agreement on Water Reform in the Murray–Darling Basin. The CEWO will evaluate the benefits from the trial before any consideration of any future implementation of event-based mechanisms.</w:t>
      </w:r>
    </w:p>
    <w:p w14:paraId="62AE952A" w14:textId="77777777" w:rsidR="00CD6F25" w:rsidRPr="00CD6F25" w:rsidRDefault="00CD6F25" w:rsidP="00CD6F25">
      <w:r w:rsidRPr="00CD6F25">
        <w:t xml:space="preserve">Before these flows, floodplain and terminal wetland systems, including the Narran Lakes Nature Reserve Ramsar site, had not been inundated for an extended period. The last time flows where sufficient to enter Clear Lake (the largest of the Lakes contained with the Ramsar Site) was in October 2016. Similarly, core lignum areas within the Ramsar site had not been completely inundated since March 2013, and extensive inundation of the broader Lower Balonne floodplain had not occurred since February 2012. The extended period between watering events has resulted in a significant decline in the condition of lignum shrublands across the Ramsar site as well as riparian and floodplain vegetation communities located across the entire Lower Balonne floodplain. </w:t>
      </w:r>
    </w:p>
    <w:p w14:paraId="5E9D626B" w14:textId="77777777" w:rsidR="00CD6F25" w:rsidRPr="00CD6F25" w:rsidRDefault="00CD6F25" w:rsidP="0057535E">
      <w:pPr>
        <w:pStyle w:val="Heading4"/>
      </w:pPr>
      <w:r w:rsidRPr="00CD6F25">
        <w:t>Seasonal outlook</w:t>
      </w:r>
    </w:p>
    <w:p w14:paraId="56D58DDE" w14:textId="77777777" w:rsidR="00CD6F25" w:rsidRPr="00CD6F25" w:rsidRDefault="00CD6F25" w:rsidP="00CD6F25">
      <w:r w:rsidRPr="00CD6F25">
        <w:t>According to the Bureau of Meteorology outlook on 2 July 2020, above median rainfall is forecast to occur across the Condamine–Balonne system from winter through into spring. While this forecast suggests that the recent severe dry conditions may continue to ease somewhat, follow up rain over the forthcoming summer is needed to ensure continued recovery from the drought. Wetter conditions can return suddenly in the northern Basin. Maximum temperatures are also forecast to remain above average over the coming months.</w:t>
      </w:r>
    </w:p>
    <w:p w14:paraId="59B0662C" w14:textId="77777777" w:rsidR="00CD6F25" w:rsidRPr="00CD6F25" w:rsidRDefault="00CD6F25" w:rsidP="0057535E">
      <w:pPr>
        <w:pStyle w:val="Heading4"/>
      </w:pPr>
      <w:r w:rsidRPr="00CD6F25">
        <w:t>Water availability</w:t>
      </w:r>
    </w:p>
    <w:p w14:paraId="5F4C8EBC" w14:textId="77777777" w:rsidR="00CD6F25" w:rsidRPr="00CD6F25" w:rsidRDefault="00CD6F25" w:rsidP="00CD6F25">
      <w:r w:rsidRPr="00CD6F25">
        <w:t xml:space="preserve">The Condamine–Balonne’s two main public storages have a combined storage volume of 188 gigalitres, while the average annual stream flow at St George is 1 305 gigalitres. Thus, entitlements reliant on regulated releases from these storages are relatively small compared to the entitlements used to access unregulated or natural flow events. Consistent with this, Commonwealth environmental water holdings in the Condamine–Balonne system are almost exclusively made up of unregulated entitlements and can only be sourced as a share of an unregulated flow event determined by entitlement conditions.  </w:t>
      </w:r>
    </w:p>
    <w:p w14:paraId="170C9997" w14:textId="77777777" w:rsidR="00CD6F25" w:rsidRPr="00CD6F25" w:rsidRDefault="00CD6F25" w:rsidP="00CD6F25">
      <w:r w:rsidRPr="00CD6F25">
        <w:t>Availability of water for the environment in the Condamine–Balonne depends on the nature of flow events that occur. Unregulated entitlements provide opportunistic access to unregulated river flows and overland flows when water resource plan rules are triggered, and a period of access is announced. Each entitlement will contribute to restoring in-stream flows reflecting its particular flow access windows, take rates and location. Daily, instantaneous, annual or multi-year limits cap overall diversions in any given year or flow event, and likewise the in-stream contributions that can be attributed to unregulated Commonwealth entitlements.</w:t>
      </w:r>
    </w:p>
    <w:p w14:paraId="596D00C8" w14:textId="77777777" w:rsidR="00CD6F25" w:rsidRPr="00CD6F25" w:rsidRDefault="00CD6F25" w:rsidP="0057535E">
      <w:pPr>
        <w:pStyle w:val="Heading4"/>
      </w:pPr>
      <w:r w:rsidRPr="00CD6F25">
        <w:t>Environmental demands</w:t>
      </w:r>
    </w:p>
    <w:p w14:paraId="45C3EB12" w14:textId="77777777" w:rsidR="00CD6F25" w:rsidRPr="00CD6F25" w:rsidRDefault="00CD6F25" w:rsidP="00CD6F25">
      <w:r w:rsidRPr="00CD6F25">
        <w:t xml:space="preserve">Considering the prolonged drought and the need to support recovery of key assets, there are a number of environmental demands that require water in 2020–21. </w:t>
      </w:r>
    </w:p>
    <w:p w14:paraId="081DF965" w14:textId="5429AB6C" w:rsidR="00CD6F25" w:rsidRPr="00CD6F25" w:rsidRDefault="00CD6F25" w:rsidP="00CD6F25">
      <w:r w:rsidRPr="00CD6F25">
        <w:t xml:space="preserve">The environmental water demands for assets in the Condamine-Balonne system in 2020–21 are represented in </w:t>
      </w:r>
      <w:r w:rsidRPr="00CD6F25">
        <w:fldChar w:fldCharType="begin"/>
      </w:r>
      <w:r w:rsidRPr="00CD6F25">
        <w:instrText xml:space="preserve"> REF _Ref43974419 \h  \* MERGEFORMAT </w:instrText>
      </w:r>
      <w:r w:rsidRPr="00CD6F25">
        <w:fldChar w:fldCharType="separate"/>
      </w:r>
      <w:r w:rsidR="001B2852" w:rsidRPr="001B2852">
        <w:t xml:space="preserve">Table </w:t>
      </w:r>
      <w:r w:rsidR="001B2852" w:rsidRPr="001B2852">
        <w:rPr>
          <w:noProof/>
        </w:rPr>
        <w:t>11</w:t>
      </w:r>
      <w:r w:rsidRPr="00CD6F25">
        <w:fldChar w:fldCharType="end"/>
      </w:r>
      <w:r w:rsidRPr="00CD6F25">
        <w:t>. Note that the capacity to contribute to these environmental demands is contingent on the nature of flow events that occur in the catchment.</w:t>
      </w:r>
    </w:p>
    <w:p w14:paraId="00F541BB" w14:textId="77777777" w:rsidR="00CD6F25" w:rsidRPr="00CD6F25" w:rsidRDefault="00CD6F25" w:rsidP="00CD6F25">
      <w:pPr>
        <w:spacing w:after="240"/>
        <w:rPr>
          <w:rFonts w:ascii="Century Gothic" w:hAnsi="Century Gothic" w:cs="Times New Roman"/>
          <w:color w:val="auto"/>
          <w:sz w:val="20"/>
          <w:lang w:val="en-US" w:eastAsia="en-US"/>
        </w:rPr>
        <w:sectPr w:rsidR="00CD6F25" w:rsidRPr="00CD6F25" w:rsidSect="003737D8">
          <w:pgSz w:w="11906" w:h="16838"/>
          <w:pgMar w:top="1134" w:right="1133" w:bottom="851" w:left="964" w:header="567" w:footer="397" w:gutter="0"/>
          <w:cols w:space="708"/>
          <w:docGrid w:linePitch="360"/>
        </w:sectPr>
      </w:pPr>
    </w:p>
    <w:p w14:paraId="5BE75296" w14:textId="79D430AE" w:rsidR="00CD6F25" w:rsidRPr="00CD6F25" w:rsidRDefault="00CD6F25" w:rsidP="00CD6F25">
      <w:pPr>
        <w:rPr>
          <w:rFonts w:eastAsia="Century Gothic" w:hAnsi="Century Gothic"/>
          <w:bCs/>
          <w:spacing w:val="-1"/>
          <w:sz w:val="18"/>
          <w:szCs w:val="18"/>
        </w:rPr>
      </w:pPr>
      <w:bookmarkStart w:id="80" w:name="_Ref43974419"/>
      <w:r w:rsidRPr="00CD6F25">
        <w:rPr>
          <w:b/>
        </w:rPr>
        <w:lastRenderedPageBreak/>
        <w:t xml:space="preserve">Table </w:t>
      </w:r>
      <w:r w:rsidRPr="00CD6F25">
        <w:rPr>
          <w:b/>
        </w:rPr>
        <w:fldChar w:fldCharType="begin"/>
      </w:r>
      <w:r w:rsidRPr="00CD6F25">
        <w:rPr>
          <w:b/>
        </w:rPr>
        <w:instrText xml:space="preserve"> SEQ Table \* ARABIC </w:instrText>
      </w:r>
      <w:r w:rsidRPr="00CD6F25">
        <w:rPr>
          <w:b/>
        </w:rPr>
        <w:fldChar w:fldCharType="separate"/>
      </w:r>
      <w:r w:rsidR="001B2852">
        <w:rPr>
          <w:b/>
          <w:noProof/>
        </w:rPr>
        <w:t>11</w:t>
      </w:r>
      <w:r w:rsidRPr="00CD6F25">
        <w:rPr>
          <w:b/>
        </w:rPr>
        <w:fldChar w:fldCharType="end"/>
      </w:r>
      <w:bookmarkEnd w:id="80"/>
      <w:r w:rsidRPr="00CD6F25">
        <w:t>: Environmental demands, priority for watering in 2020–21 and outlook for coming year in the Condamine-Balonne System.</w:t>
      </w:r>
      <w:r w:rsidRPr="00CD6F25">
        <w:rPr>
          <w:rFonts w:eastAsia="Century Gothic" w:hAnsi="Century Gothic"/>
          <w:bCs/>
          <w:spacing w:val="-1"/>
          <w:sz w:val="18"/>
          <w:szCs w:val="18"/>
        </w:rPr>
        <w:t xml:space="preserve"> </w:t>
      </w:r>
    </w:p>
    <w:tbl>
      <w:tblPr>
        <w:tblW w:w="21972" w:type="dxa"/>
        <w:tblInd w:w="-15" w:type="dxa"/>
        <w:tblLayout w:type="fixed"/>
        <w:tblCellMar>
          <w:left w:w="28" w:type="dxa"/>
          <w:right w:w="28" w:type="dxa"/>
        </w:tblCellMar>
        <w:tblLook w:val="04A0" w:firstRow="1" w:lastRow="0" w:firstColumn="1" w:lastColumn="0" w:noHBand="0" w:noVBand="1"/>
        <w:tblCaption w:val="Table 3: Environmental demands and priorities for active management of Commonwealth environmental water in the Lower Balonne for 2019–20"/>
        <w:tblDescription w:val="Table 3: Environmental demands and priorities for active management of Commonwealth environmental water in the Lower Balonne for 2019–20"/>
      </w:tblPr>
      <w:tblGrid>
        <w:gridCol w:w="1843"/>
        <w:gridCol w:w="1559"/>
        <w:gridCol w:w="3969"/>
        <w:gridCol w:w="1418"/>
        <w:gridCol w:w="5954"/>
        <w:gridCol w:w="1984"/>
        <w:gridCol w:w="2977"/>
        <w:gridCol w:w="2268"/>
      </w:tblGrid>
      <w:tr w:rsidR="00CD6F25" w:rsidRPr="00CD6F25" w14:paraId="1D2B3815" w14:textId="77777777" w:rsidTr="00AA0841">
        <w:trPr>
          <w:trHeight w:val="349"/>
          <w:tblHeader/>
        </w:trPr>
        <w:tc>
          <w:tcPr>
            <w:tcW w:w="1843" w:type="dxa"/>
            <w:vMerge w:val="restart"/>
            <w:tcBorders>
              <w:top w:val="single" w:sz="12" w:space="0" w:color="auto"/>
              <w:left w:val="single" w:sz="12" w:space="0" w:color="auto"/>
              <w:right w:val="single" w:sz="4" w:space="0" w:color="auto"/>
            </w:tcBorders>
            <w:shd w:val="clear" w:color="auto" w:fill="B6DDE8" w:themeFill="accent5" w:themeFillTint="66"/>
            <w:vAlign w:val="center"/>
          </w:tcPr>
          <w:p w14:paraId="5458326A" w14:textId="77777777" w:rsidR="00CD6F25" w:rsidRPr="00CD6F25" w:rsidRDefault="00CD6F25" w:rsidP="00CD6F25">
            <w:pPr>
              <w:spacing w:before="60" w:after="60"/>
              <w:jc w:val="center"/>
              <w:rPr>
                <w:rFonts w:cstheme="minorHAnsi"/>
                <w:b/>
                <w:bCs/>
                <w:color w:val="auto"/>
                <w:sz w:val="18"/>
                <w:szCs w:val="18"/>
              </w:rPr>
            </w:pPr>
            <w:r w:rsidRPr="00CD6F25">
              <w:rPr>
                <w:rFonts w:cstheme="minorHAnsi"/>
                <w:b/>
                <w:bCs/>
                <w:color w:val="auto"/>
                <w:sz w:val="18"/>
                <w:szCs w:val="18"/>
              </w:rPr>
              <w:t>Environmental assets</w:t>
            </w:r>
          </w:p>
        </w:tc>
        <w:tc>
          <w:tcPr>
            <w:tcW w:w="6946" w:type="dxa"/>
            <w:gridSpan w:val="3"/>
            <w:tcBorders>
              <w:top w:val="single" w:sz="12" w:space="0" w:color="auto"/>
              <w:left w:val="single" w:sz="4" w:space="0" w:color="auto"/>
              <w:bottom w:val="single" w:sz="8" w:space="0" w:color="000000"/>
              <w:right w:val="single" w:sz="4" w:space="0" w:color="auto"/>
            </w:tcBorders>
            <w:shd w:val="clear" w:color="auto" w:fill="B6DDE8" w:themeFill="accent5" w:themeFillTint="66"/>
            <w:vAlign w:val="center"/>
          </w:tcPr>
          <w:p w14:paraId="5692DD5B" w14:textId="77777777" w:rsidR="00CD6F25" w:rsidRPr="00CD6F25" w:rsidRDefault="00CD6F25" w:rsidP="00CD6F25">
            <w:pPr>
              <w:spacing w:before="60" w:after="60"/>
              <w:jc w:val="center"/>
              <w:rPr>
                <w:rFonts w:cstheme="minorHAnsi"/>
                <w:b/>
                <w:bCs/>
                <w:color w:val="auto"/>
                <w:sz w:val="18"/>
                <w:szCs w:val="18"/>
              </w:rPr>
            </w:pPr>
            <w:r w:rsidRPr="00CD6F25">
              <w:rPr>
                <w:rFonts w:cstheme="minorHAnsi"/>
                <w:b/>
                <w:bCs/>
                <w:color w:val="auto"/>
                <w:sz w:val="18"/>
                <w:szCs w:val="18"/>
              </w:rPr>
              <w:t xml:space="preserve">Indicative demand (for </w:t>
            </w:r>
            <w:r w:rsidRPr="00CD6F25">
              <w:rPr>
                <w:rFonts w:cstheme="minorHAnsi"/>
                <w:b/>
                <w:bCs/>
                <w:color w:val="auto"/>
                <w:sz w:val="18"/>
                <w:szCs w:val="18"/>
                <w:u w:val="single"/>
              </w:rPr>
              <w:t>all sources of water</w:t>
            </w:r>
            <w:r w:rsidRPr="00CD6F25">
              <w:rPr>
                <w:rFonts w:cstheme="minorHAnsi"/>
                <w:b/>
                <w:bCs/>
                <w:color w:val="auto"/>
                <w:sz w:val="18"/>
                <w:szCs w:val="18"/>
              </w:rPr>
              <w:t xml:space="preserve"> in the system)</w:t>
            </w:r>
          </w:p>
        </w:tc>
        <w:tc>
          <w:tcPr>
            <w:tcW w:w="5954" w:type="dxa"/>
            <w:tcBorders>
              <w:top w:val="single" w:sz="12" w:space="0" w:color="auto"/>
              <w:left w:val="single" w:sz="4" w:space="0" w:color="auto"/>
              <w:bottom w:val="single" w:sz="4" w:space="0" w:color="auto"/>
              <w:right w:val="single" w:sz="4" w:space="0" w:color="auto"/>
            </w:tcBorders>
            <w:shd w:val="clear" w:color="auto" w:fill="B6DDE8" w:themeFill="accent5" w:themeFillTint="66"/>
            <w:vAlign w:val="center"/>
          </w:tcPr>
          <w:p w14:paraId="5B42C586" w14:textId="77777777" w:rsidR="00CD6F25" w:rsidRPr="00CD6F25" w:rsidRDefault="00CD6F25" w:rsidP="00CD6F25">
            <w:pPr>
              <w:spacing w:before="60" w:after="60"/>
              <w:jc w:val="center"/>
              <w:rPr>
                <w:rFonts w:cstheme="minorHAnsi"/>
                <w:b/>
                <w:bCs/>
                <w:color w:val="auto"/>
                <w:sz w:val="18"/>
                <w:szCs w:val="18"/>
              </w:rPr>
            </w:pPr>
            <w:r w:rsidRPr="00CD6F25">
              <w:rPr>
                <w:rFonts w:cstheme="minorHAnsi"/>
                <w:b/>
                <w:bCs/>
                <w:color w:val="auto"/>
                <w:sz w:val="18"/>
                <w:szCs w:val="18"/>
              </w:rPr>
              <w:t>Watering history</w:t>
            </w:r>
          </w:p>
        </w:tc>
        <w:tc>
          <w:tcPr>
            <w:tcW w:w="4961" w:type="dxa"/>
            <w:gridSpan w:val="2"/>
            <w:tcBorders>
              <w:top w:val="single" w:sz="12" w:space="0" w:color="auto"/>
              <w:left w:val="single" w:sz="4" w:space="0" w:color="auto"/>
              <w:bottom w:val="single" w:sz="4" w:space="0" w:color="auto"/>
              <w:right w:val="single" w:sz="4" w:space="0" w:color="auto"/>
            </w:tcBorders>
            <w:shd w:val="clear" w:color="auto" w:fill="B6DDE8" w:themeFill="accent5" w:themeFillTint="66"/>
            <w:vAlign w:val="center"/>
          </w:tcPr>
          <w:p w14:paraId="2BA07AE0" w14:textId="77777777" w:rsidR="00CD6F25" w:rsidRPr="00CD6F25" w:rsidRDefault="00CD6F25" w:rsidP="00CD6F25">
            <w:pPr>
              <w:spacing w:before="60" w:after="60"/>
              <w:jc w:val="center"/>
              <w:rPr>
                <w:rFonts w:cstheme="minorHAnsi"/>
                <w:b/>
                <w:bCs/>
                <w:color w:val="auto"/>
                <w:sz w:val="18"/>
                <w:szCs w:val="18"/>
              </w:rPr>
            </w:pPr>
            <w:r w:rsidRPr="00CD6F25">
              <w:rPr>
                <w:rFonts w:cstheme="minorHAnsi"/>
                <w:b/>
                <w:bCs/>
                <w:color w:val="auto"/>
                <w:sz w:val="18"/>
                <w:szCs w:val="18"/>
              </w:rPr>
              <w:t>2020–2021</w:t>
            </w:r>
          </w:p>
        </w:tc>
        <w:tc>
          <w:tcPr>
            <w:tcW w:w="2268" w:type="dxa"/>
            <w:tcBorders>
              <w:top w:val="single" w:sz="12" w:space="0" w:color="auto"/>
              <w:left w:val="single" w:sz="4" w:space="0" w:color="auto"/>
              <w:bottom w:val="single" w:sz="4" w:space="0" w:color="auto"/>
              <w:right w:val="single" w:sz="12" w:space="0" w:color="auto"/>
            </w:tcBorders>
            <w:shd w:val="clear" w:color="auto" w:fill="B6DDE8" w:themeFill="accent5" w:themeFillTint="66"/>
          </w:tcPr>
          <w:p w14:paraId="4696AB02" w14:textId="77777777" w:rsidR="00CD6F25" w:rsidRPr="00CD6F25" w:rsidRDefault="00CD6F25" w:rsidP="00CD6F25">
            <w:pPr>
              <w:spacing w:before="60" w:after="60"/>
              <w:jc w:val="center"/>
              <w:rPr>
                <w:rFonts w:cstheme="minorHAnsi"/>
                <w:b/>
                <w:bCs/>
                <w:color w:val="auto"/>
                <w:sz w:val="18"/>
                <w:szCs w:val="18"/>
              </w:rPr>
            </w:pPr>
            <w:r w:rsidRPr="00CD6F25">
              <w:rPr>
                <w:rFonts w:cstheme="minorHAnsi"/>
                <w:b/>
                <w:bCs/>
                <w:color w:val="auto"/>
                <w:sz w:val="18"/>
                <w:szCs w:val="18"/>
              </w:rPr>
              <w:t>Implications for future demands</w:t>
            </w:r>
          </w:p>
        </w:tc>
      </w:tr>
      <w:tr w:rsidR="00CD6F25" w:rsidRPr="00CD6F25" w14:paraId="4B68E134" w14:textId="77777777" w:rsidTr="00AA0841">
        <w:trPr>
          <w:trHeight w:val="633"/>
          <w:tblHeader/>
        </w:trPr>
        <w:tc>
          <w:tcPr>
            <w:tcW w:w="1843" w:type="dxa"/>
            <w:vMerge/>
            <w:tcBorders>
              <w:left w:val="single" w:sz="12" w:space="0" w:color="auto"/>
              <w:bottom w:val="nil"/>
              <w:right w:val="single" w:sz="4" w:space="0" w:color="auto"/>
            </w:tcBorders>
            <w:shd w:val="clear" w:color="auto" w:fill="B6DDE8" w:themeFill="accent5" w:themeFillTint="66"/>
            <w:vAlign w:val="center"/>
            <w:hideMark/>
          </w:tcPr>
          <w:p w14:paraId="1E1334A1" w14:textId="77777777" w:rsidR="00CD6F25" w:rsidRPr="00CD6F25" w:rsidRDefault="00CD6F25" w:rsidP="00CD6F25">
            <w:pPr>
              <w:spacing w:before="60" w:after="60"/>
              <w:jc w:val="center"/>
              <w:rPr>
                <w:rFonts w:cstheme="minorHAnsi"/>
                <w:b/>
                <w:bCs/>
                <w:color w:val="auto"/>
                <w:sz w:val="18"/>
                <w:szCs w:val="18"/>
              </w:rPr>
            </w:pPr>
          </w:p>
        </w:tc>
        <w:tc>
          <w:tcPr>
            <w:tcW w:w="1559" w:type="dxa"/>
            <w:tcBorders>
              <w:top w:val="single" w:sz="4" w:space="0" w:color="auto"/>
              <w:left w:val="single" w:sz="4" w:space="0" w:color="auto"/>
              <w:bottom w:val="single" w:sz="8" w:space="0" w:color="000000"/>
              <w:right w:val="single" w:sz="4" w:space="0" w:color="auto"/>
            </w:tcBorders>
            <w:shd w:val="clear" w:color="auto" w:fill="B6DDE8" w:themeFill="accent5" w:themeFillTint="66"/>
            <w:vAlign w:val="center"/>
            <w:hideMark/>
          </w:tcPr>
          <w:p w14:paraId="61D6C466" w14:textId="77777777" w:rsidR="00CD6F25" w:rsidRPr="00CD6F25" w:rsidRDefault="00CD6F25" w:rsidP="00CD6F25">
            <w:pPr>
              <w:spacing w:before="60" w:after="60"/>
              <w:jc w:val="center"/>
              <w:rPr>
                <w:rFonts w:cstheme="minorHAnsi"/>
                <w:b/>
                <w:bCs/>
                <w:color w:val="auto"/>
                <w:sz w:val="18"/>
                <w:szCs w:val="18"/>
              </w:rPr>
            </w:pPr>
            <w:r w:rsidRPr="00CD6F25">
              <w:rPr>
                <w:rFonts w:cstheme="minorHAnsi"/>
                <w:b/>
                <w:bCs/>
                <w:color w:val="auto"/>
                <w:sz w:val="18"/>
                <w:szCs w:val="18"/>
              </w:rPr>
              <w:t>Physical and process assets</w:t>
            </w:r>
          </w:p>
        </w:tc>
        <w:tc>
          <w:tcPr>
            <w:tcW w:w="3969" w:type="dxa"/>
            <w:tcBorders>
              <w:top w:val="single" w:sz="4" w:space="0" w:color="auto"/>
              <w:left w:val="nil"/>
              <w:bottom w:val="single" w:sz="12" w:space="0" w:color="auto"/>
              <w:right w:val="single" w:sz="4" w:space="0" w:color="auto"/>
            </w:tcBorders>
            <w:shd w:val="clear" w:color="auto" w:fill="B6DDE8" w:themeFill="accent5" w:themeFillTint="66"/>
            <w:vAlign w:val="center"/>
            <w:hideMark/>
          </w:tcPr>
          <w:p w14:paraId="07397AF0" w14:textId="77777777" w:rsidR="00CD6F25" w:rsidRPr="00CD6F25" w:rsidRDefault="00CD6F25" w:rsidP="00CD6F25">
            <w:pPr>
              <w:spacing w:before="60" w:after="60"/>
              <w:jc w:val="center"/>
              <w:rPr>
                <w:rFonts w:cstheme="minorHAnsi"/>
                <w:b/>
                <w:bCs/>
                <w:color w:val="auto"/>
                <w:sz w:val="18"/>
                <w:szCs w:val="18"/>
              </w:rPr>
            </w:pPr>
            <w:r w:rsidRPr="00CD6F25">
              <w:rPr>
                <w:rFonts w:cstheme="minorHAnsi"/>
                <w:b/>
                <w:bCs/>
                <w:color w:val="auto"/>
                <w:sz w:val="18"/>
                <w:szCs w:val="18"/>
              </w:rPr>
              <w:t>Flow/volume</w:t>
            </w:r>
          </w:p>
        </w:tc>
        <w:tc>
          <w:tcPr>
            <w:tcW w:w="1418" w:type="dxa"/>
            <w:tcBorders>
              <w:top w:val="single" w:sz="4" w:space="0" w:color="auto"/>
              <w:left w:val="single" w:sz="4" w:space="0" w:color="auto"/>
              <w:bottom w:val="single" w:sz="8" w:space="0" w:color="000000"/>
              <w:right w:val="single" w:sz="4" w:space="0" w:color="auto"/>
            </w:tcBorders>
            <w:shd w:val="clear" w:color="auto" w:fill="B6DDE8" w:themeFill="accent5" w:themeFillTint="66"/>
            <w:vAlign w:val="center"/>
            <w:hideMark/>
          </w:tcPr>
          <w:p w14:paraId="432E02A8" w14:textId="77777777" w:rsidR="00CD6F25" w:rsidRPr="00CD6F25" w:rsidRDefault="00CD6F25" w:rsidP="00CD6F25">
            <w:pPr>
              <w:spacing w:before="60" w:after="60"/>
              <w:jc w:val="center"/>
              <w:rPr>
                <w:rFonts w:cstheme="minorHAnsi"/>
                <w:b/>
                <w:bCs/>
                <w:color w:val="auto"/>
                <w:sz w:val="18"/>
                <w:szCs w:val="18"/>
              </w:rPr>
            </w:pPr>
            <w:r w:rsidRPr="00CD6F25">
              <w:rPr>
                <w:rFonts w:cstheme="minorHAnsi"/>
                <w:b/>
                <w:bCs/>
                <w:color w:val="auto"/>
                <w:sz w:val="18"/>
                <w:szCs w:val="18"/>
              </w:rPr>
              <w:t>Average required frequency (maximum interval)</w:t>
            </w:r>
          </w:p>
        </w:tc>
        <w:tc>
          <w:tcPr>
            <w:tcW w:w="5954" w:type="dxa"/>
            <w:tcBorders>
              <w:top w:val="single" w:sz="4" w:space="0" w:color="auto"/>
              <w:left w:val="single" w:sz="4" w:space="0" w:color="auto"/>
              <w:bottom w:val="single" w:sz="12" w:space="0" w:color="auto"/>
              <w:right w:val="single" w:sz="4" w:space="0" w:color="auto"/>
            </w:tcBorders>
            <w:shd w:val="clear" w:color="auto" w:fill="B6DDE8" w:themeFill="accent5" w:themeFillTint="66"/>
            <w:vAlign w:val="center"/>
          </w:tcPr>
          <w:p w14:paraId="5728CD15" w14:textId="77777777" w:rsidR="00CD6F25" w:rsidRPr="00CD6F25" w:rsidRDefault="00CD6F25" w:rsidP="00CD6F25">
            <w:pPr>
              <w:spacing w:before="60" w:after="60"/>
              <w:jc w:val="center"/>
              <w:rPr>
                <w:rFonts w:cstheme="minorHAnsi"/>
                <w:b/>
                <w:bCs/>
                <w:color w:val="auto"/>
                <w:sz w:val="18"/>
                <w:szCs w:val="18"/>
              </w:rPr>
            </w:pPr>
          </w:p>
          <w:p w14:paraId="5350879A" w14:textId="77777777" w:rsidR="00CD6F25" w:rsidRPr="00CD6F25" w:rsidRDefault="00CD6F25" w:rsidP="00CD6F25">
            <w:pPr>
              <w:spacing w:before="60" w:after="60"/>
              <w:jc w:val="center"/>
              <w:rPr>
                <w:rFonts w:cstheme="minorHAnsi"/>
                <w:b/>
                <w:bCs/>
                <w:color w:val="auto"/>
                <w:sz w:val="18"/>
                <w:szCs w:val="18"/>
              </w:rPr>
            </w:pPr>
            <w:r w:rsidRPr="00CD6F25">
              <w:rPr>
                <w:rFonts w:cstheme="minorHAnsi"/>
                <w:b/>
                <w:bCs/>
                <w:color w:val="auto"/>
                <w:sz w:val="18"/>
                <w:szCs w:val="18"/>
              </w:rPr>
              <w:t>(from all sources of water)</w:t>
            </w:r>
          </w:p>
        </w:tc>
        <w:tc>
          <w:tcPr>
            <w:tcW w:w="1984" w:type="dxa"/>
            <w:tcBorders>
              <w:top w:val="single" w:sz="4" w:space="0" w:color="auto"/>
              <w:left w:val="single" w:sz="4" w:space="0" w:color="auto"/>
              <w:bottom w:val="nil"/>
              <w:right w:val="single" w:sz="4" w:space="0" w:color="auto"/>
            </w:tcBorders>
            <w:shd w:val="clear" w:color="auto" w:fill="B6DDE8" w:themeFill="accent5" w:themeFillTint="66"/>
            <w:vAlign w:val="center"/>
            <w:hideMark/>
          </w:tcPr>
          <w:p w14:paraId="536F0B24" w14:textId="77777777" w:rsidR="00CD6F25" w:rsidRPr="00CD6F25" w:rsidRDefault="00CD6F25" w:rsidP="00CD6F25">
            <w:pPr>
              <w:spacing w:before="60" w:after="60"/>
              <w:jc w:val="center"/>
              <w:rPr>
                <w:rFonts w:cstheme="minorHAnsi"/>
                <w:b/>
                <w:bCs/>
                <w:color w:val="auto"/>
                <w:sz w:val="18"/>
                <w:szCs w:val="18"/>
              </w:rPr>
            </w:pPr>
            <w:r w:rsidRPr="00CD6F25">
              <w:rPr>
                <w:rFonts w:cstheme="minorHAnsi"/>
                <w:b/>
                <w:bCs/>
                <w:color w:val="auto"/>
                <w:sz w:val="18"/>
                <w:szCs w:val="18"/>
              </w:rPr>
              <w:t>Environmental demands for water</w:t>
            </w:r>
          </w:p>
        </w:tc>
        <w:tc>
          <w:tcPr>
            <w:tcW w:w="2977" w:type="dxa"/>
            <w:tcBorders>
              <w:top w:val="single" w:sz="4" w:space="0" w:color="auto"/>
              <w:left w:val="single" w:sz="4" w:space="0" w:color="auto"/>
              <w:bottom w:val="nil"/>
              <w:right w:val="single" w:sz="4" w:space="0" w:color="auto"/>
            </w:tcBorders>
            <w:shd w:val="clear" w:color="auto" w:fill="B6DDE8" w:themeFill="accent5" w:themeFillTint="66"/>
            <w:vAlign w:val="center"/>
          </w:tcPr>
          <w:p w14:paraId="660B4901" w14:textId="77777777" w:rsidR="00CD6F25" w:rsidRPr="00CD6F25" w:rsidRDefault="00CD6F25" w:rsidP="00CD6F25">
            <w:pPr>
              <w:spacing w:before="60" w:after="60"/>
              <w:jc w:val="center"/>
              <w:rPr>
                <w:rFonts w:cstheme="minorHAnsi"/>
                <w:b/>
                <w:bCs/>
                <w:color w:val="auto"/>
                <w:sz w:val="18"/>
                <w:szCs w:val="18"/>
              </w:rPr>
            </w:pPr>
            <w:r w:rsidRPr="00CD6F25">
              <w:rPr>
                <w:rFonts w:cstheme="minorHAnsi"/>
                <w:b/>
                <w:bCs/>
                <w:color w:val="auto"/>
                <w:sz w:val="18"/>
                <w:szCs w:val="18"/>
              </w:rPr>
              <w:t>Potential Commonwealth environmental water contribution</w:t>
            </w:r>
          </w:p>
        </w:tc>
        <w:tc>
          <w:tcPr>
            <w:tcW w:w="2268" w:type="dxa"/>
            <w:tcBorders>
              <w:top w:val="single" w:sz="4" w:space="0" w:color="auto"/>
              <w:left w:val="single" w:sz="4" w:space="0" w:color="auto"/>
              <w:bottom w:val="nil"/>
              <w:right w:val="single" w:sz="12" w:space="0" w:color="auto"/>
            </w:tcBorders>
            <w:shd w:val="clear" w:color="auto" w:fill="B6DDE8" w:themeFill="accent5" w:themeFillTint="66"/>
          </w:tcPr>
          <w:p w14:paraId="59FC9EE7" w14:textId="77777777" w:rsidR="00CD6F25" w:rsidRPr="00CD6F25" w:rsidRDefault="00CD6F25" w:rsidP="00CD6F25">
            <w:pPr>
              <w:spacing w:before="60" w:after="60"/>
              <w:jc w:val="center"/>
              <w:rPr>
                <w:rFonts w:cstheme="minorHAnsi"/>
                <w:b/>
                <w:bCs/>
                <w:color w:val="auto"/>
                <w:sz w:val="18"/>
                <w:szCs w:val="18"/>
              </w:rPr>
            </w:pPr>
            <w:r w:rsidRPr="00CD6F25">
              <w:rPr>
                <w:rFonts w:cstheme="minorHAnsi"/>
                <w:b/>
                <w:bCs/>
                <w:color w:val="auto"/>
                <w:sz w:val="18"/>
                <w:szCs w:val="18"/>
              </w:rPr>
              <w:t>Likely urgency of demand in 2021–22 if watering occurred as planned in 2020–21</w:t>
            </w:r>
          </w:p>
        </w:tc>
      </w:tr>
      <w:tr w:rsidR="00CD6F25" w:rsidRPr="00CD6F25" w14:paraId="3846948A" w14:textId="77777777" w:rsidTr="00AA0841">
        <w:trPr>
          <w:trHeight w:val="712"/>
        </w:trPr>
        <w:tc>
          <w:tcPr>
            <w:tcW w:w="1843" w:type="dxa"/>
            <w:vMerge w:val="restart"/>
            <w:tcBorders>
              <w:top w:val="single" w:sz="12" w:space="0" w:color="auto"/>
              <w:left w:val="single" w:sz="12" w:space="0" w:color="auto"/>
              <w:right w:val="single" w:sz="4" w:space="0" w:color="auto"/>
            </w:tcBorders>
            <w:shd w:val="clear" w:color="auto" w:fill="auto"/>
            <w:hideMark/>
          </w:tcPr>
          <w:p w14:paraId="11946734" w14:textId="77777777" w:rsidR="00CD6F25" w:rsidRPr="00CD6F25" w:rsidRDefault="00CD6F25" w:rsidP="00CD6F25">
            <w:pPr>
              <w:rPr>
                <w:rFonts w:cstheme="minorHAnsi"/>
                <w:b/>
                <w:bCs/>
                <w:color w:val="auto"/>
                <w:sz w:val="18"/>
                <w:szCs w:val="18"/>
              </w:rPr>
            </w:pPr>
            <w:r w:rsidRPr="00CD6F25">
              <w:rPr>
                <w:rFonts w:cstheme="minorHAnsi"/>
                <w:b/>
                <w:bCs/>
                <w:color w:val="auto"/>
                <w:sz w:val="18"/>
                <w:szCs w:val="18"/>
              </w:rPr>
              <w:t>Lower Balonne River channels (Culgoa River, Narran River and inner distributary channels) and Barwon–Darling</w:t>
            </w:r>
          </w:p>
        </w:tc>
        <w:tc>
          <w:tcPr>
            <w:tcW w:w="1559" w:type="dxa"/>
            <w:vMerge w:val="restart"/>
            <w:tcBorders>
              <w:top w:val="single" w:sz="12" w:space="0" w:color="auto"/>
              <w:left w:val="single" w:sz="4" w:space="0" w:color="auto"/>
              <w:right w:val="single" w:sz="4" w:space="0" w:color="auto"/>
            </w:tcBorders>
            <w:shd w:val="clear" w:color="auto" w:fill="auto"/>
            <w:vAlign w:val="center"/>
            <w:hideMark/>
          </w:tcPr>
          <w:p w14:paraId="0547EB2B" w14:textId="77777777" w:rsidR="00CD6F25" w:rsidRPr="00CD6F25" w:rsidRDefault="00CD6F25" w:rsidP="00CD6F25">
            <w:pPr>
              <w:ind w:left="111"/>
              <w:rPr>
                <w:rFonts w:cstheme="minorHAnsi"/>
                <w:color w:val="auto"/>
                <w:sz w:val="18"/>
                <w:szCs w:val="18"/>
              </w:rPr>
            </w:pPr>
            <w:r w:rsidRPr="00CD6F25">
              <w:rPr>
                <w:rFonts w:cstheme="minorHAnsi"/>
                <w:color w:val="auto"/>
                <w:sz w:val="18"/>
                <w:szCs w:val="18"/>
              </w:rPr>
              <w:t>Drought refuge (waterholes)</w:t>
            </w:r>
          </w:p>
        </w:tc>
        <w:tc>
          <w:tcPr>
            <w:tcW w:w="3969" w:type="dxa"/>
            <w:tcBorders>
              <w:top w:val="single" w:sz="12" w:space="0" w:color="auto"/>
              <w:left w:val="nil"/>
              <w:right w:val="single" w:sz="4" w:space="0" w:color="auto"/>
            </w:tcBorders>
            <w:shd w:val="clear" w:color="auto" w:fill="auto"/>
            <w:vAlign w:val="center"/>
            <w:hideMark/>
          </w:tcPr>
          <w:p w14:paraId="331589B8"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Flow reaches end of all channels within a three-month period, indicated by:</w:t>
            </w:r>
          </w:p>
        </w:tc>
        <w:tc>
          <w:tcPr>
            <w:tcW w:w="1418" w:type="dxa"/>
            <w:vMerge w:val="restart"/>
            <w:tcBorders>
              <w:top w:val="single" w:sz="12" w:space="0" w:color="auto"/>
              <w:left w:val="single" w:sz="4" w:space="0" w:color="auto"/>
              <w:right w:val="single" w:sz="4" w:space="0" w:color="auto"/>
            </w:tcBorders>
            <w:shd w:val="clear" w:color="auto" w:fill="auto"/>
            <w:vAlign w:val="center"/>
            <w:hideMark/>
          </w:tcPr>
          <w:p w14:paraId="5C511B0E"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Annually</w:t>
            </w:r>
          </w:p>
          <w:p w14:paraId="2E87BF4E"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(no longer than 12 months between last flow)</w:t>
            </w:r>
          </w:p>
        </w:tc>
        <w:tc>
          <w:tcPr>
            <w:tcW w:w="5954" w:type="dxa"/>
            <w:vMerge w:val="restart"/>
            <w:tcBorders>
              <w:top w:val="single" w:sz="12" w:space="0" w:color="auto"/>
              <w:left w:val="single" w:sz="4" w:space="0" w:color="auto"/>
              <w:right w:val="single" w:sz="4" w:space="0" w:color="auto"/>
            </w:tcBorders>
            <w:shd w:val="clear" w:color="auto" w:fill="auto"/>
            <w:vAlign w:val="center"/>
          </w:tcPr>
          <w:p w14:paraId="28C2D74C" w14:textId="77777777" w:rsidR="00CD6F25" w:rsidRPr="00CD6F25" w:rsidRDefault="00CD6F25" w:rsidP="00CD6F25">
            <w:pPr>
              <w:spacing w:before="120"/>
              <w:jc w:val="center"/>
              <w:rPr>
                <w:rFonts w:cstheme="minorHAnsi"/>
                <w:color w:val="auto"/>
                <w:sz w:val="18"/>
                <w:szCs w:val="18"/>
                <w:u w:val="single"/>
              </w:rPr>
            </w:pPr>
            <w:r w:rsidRPr="00CD6F25">
              <w:rPr>
                <w:rFonts w:cstheme="minorHAnsi"/>
                <w:color w:val="auto"/>
                <w:sz w:val="18"/>
                <w:szCs w:val="18"/>
              </w:rPr>
              <w:t>Water is required annually to replenish refugial waterholes (contributing to persistence, connectivity and quality). Since 2009–10, flow requirements for the maintenance of drought refuges have generally been met. Requirements specified for the Bokhara and Culgoa have been met each year since 2009–10.  The requirements specified for the Birrie and Bokhara systems are more difficult to achieve, with the Birrie requirement met 8 out of 11 years and the Narran requirement met 10 out of 11 years.  While a filling flow recently passed through each of the 4 targets systems (March–April 2020), these flows are needed each year, so the requirement remains high.</w:t>
            </w:r>
          </w:p>
        </w:tc>
        <w:tc>
          <w:tcPr>
            <w:tcW w:w="1984" w:type="dxa"/>
            <w:vMerge w:val="restart"/>
            <w:tcBorders>
              <w:top w:val="single" w:sz="12" w:space="0" w:color="auto"/>
              <w:left w:val="single" w:sz="4" w:space="0" w:color="auto"/>
              <w:right w:val="single" w:sz="4" w:space="0" w:color="auto"/>
            </w:tcBorders>
            <w:shd w:val="clear" w:color="auto" w:fill="FF0000"/>
            <w:vAlign w:val="center"/>
            <w:hideMark/>
          </w:tcPr>
          <w:p w14:paraId="55CA4EC8"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 xml:space="preserve">High </w:t>
            </w:r>
          </w:p>
          <w:p w14:paraId="4D3D3622"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br/>
            </w:r>
          </w:p>
        </w:tc>
        <w:tc>
          <w:tcPr>
            <w:tcW w:w="2977" w:type="dxa"/>
            <w:vMerge w:val="restart"/>
            <w:tcBorders>
              <w:top w:val="single" w:sz="12" w:space="0" w:color="auto"/>
              <w:left w:val="single" w:sz="4" w:space="0" w:color="auto"/>
              <w:right w:val="single" w:sz="12" w:space="0" w:color="auto"/>
            </w:tcBorders>
            <w:shd w:val="clear" w:color="auto" w:fill="95B3D7" w:themeFill="accent1" w:themeFillTint="99"/>
            <w:vAlign w:val="center"/>
            <w:hideMark/>
          </w:tcPr>
          <w:p w14:paraId="40528A46" w14:textId="77777777" w:rsidR="00CD6F25" w:rsidRPr="00CD6F25" w:rsidRDefault="00CD6F25" w:rsidP="00CD6F25">
            <w:pPr>
              <w:shd w:val="clear" w:color="auto" w:fill="95B3D7" w:themeFill="accent1" w:themeFillTint="99"/>
              <w:spacing w:before="60" w:after="60"/>
              <w:jc w:val="center"/>
              <w:rPr>
                <w:rFonts w:cstheme="minorHAnsi"/>
                <w:color w:val="auto"/>
                <w:sz w:val="18"/>
                <w:szCs w:val="18"/>
              </w:rPr>
            </w:pPr>
            <w:r w:rsidRPr="00CD6F25">
              <w:rPr>
                <w:rFonts w:cstheme="minorHAnsi"/>
                <w:b/>
                <w:bCs/>
                <w:color w:val="auto"/>
                <w:sz w:val="18"/>
                <w:szCs w:val="18"/>
              </w:rPr>
              <w:t>Moderate priority for CEW under all water resource availability scenarios.</w:t>
            </w:r>
            <w:r w:rsidRPr="00CD6F25">
              <w:rPr>
                <w:rFonts w:cstheme="minorHAnsi"/>
                <w:color w:val="auto"/>
                <w:sz w:val="18"/>
                <w:szCs w:val="18"/>
              </w:rPr>
              <w:br/>
              <w:t xml:space="preserve">The demand should be met by planned environmental water (environmental stock and domestic flows). After a water harvesting event has been announced, water left in the river as a result of the Commonwealth owning licences will be distributed across channels in the lower Balonne. </w:t>
            </w:r>
          </w:p>
          <w:p w14:paraId="398F63B1" w14:textId="77777777" w:rsidR="00CD6F25" w:rsidRPr="00CD6F25" w:rsidRDefault="00CD6F25" w:rsidP="00CD6F25">
            <w:pPr>
              <w:spacing w:before="60" w:after="60"/>
              <w:jc w:val="center"/>
              <w:rPr>
                <w:rFonts w:cstheme="minorHAnsi"/>
                <w:color w:val="auto"/>
                <w:sz w:val="18"/>
                <w:szCs w:val="18"/>
              </w:rPr>
            </w:pPr>
            <w:r w:rsidRPr="00CD6F25">
              <w:rPr>
                <w:rFonts w:cstheme="minorHAnsi"/>
                <w:color w:val="auto"/>
                <w:sz w:val="18"/>
                <w:szCs w:val="18"/>
              </w:rPr>
              <w:t xml:space="preserve"> </w:t>
            </w:r>
            <w:r w:rsidRPr="00CD6F25">
              <w:rPr>
                <w:rFonts w:cstheme="minorHAnsi"/>
                <w:color w:val="auto"/>
                <w:sz w:val="18"/>
                <w:szCs w:val="18"/>
              </w:rPr>
              <w:br/>
            </w:r>
          </w:p>
        </w:tc>
        <w:tc>
          <w:tcPr>
            <w:tcW w:w="2268" w:type="dxa"/>
            <w:vMerge w:val="restart"/>
            <w:tcBorders>
              <w:top w:val="single" w:sz="12" w:space="0" w:color="auto"/>
              <w:left w:val="single" w:sz="4" w:space="0" w:color="auto"/>
              <w:right w:val="single" w:sz="12" w:space="0" w:color="auto"/>
            </w:tcBorders>
            <w:shd w:val="clear" w:color="auto" w:fill="FF0000"/>
            <w:vAlign w:val="center"/>
          </w:tcPr>
          <w:p w14:paraId="4CF042FC"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High</w:t>
            </w:r>
          </w:p>
        </w:tc>
      </w:tr>
      <w:tr w:rsidR="00CD6F25" w:rsidRPr="00CD6F25" w14:paraId="4ADDDC33" w14:textId="77777777" w:rsidTr="00AA0841">
        <w:trPr>
          <w:trHeight w:val="399"/>
        </w:trPr>
        <w:tc>
          <w:tcPr>
            <w:tcW w:w="1843" w:type="dxa"/>
            <w:vMerge/>
            <w:tcBorders>
              <w:left w:val="single" w:sz="12" w:space="0" w:color="auto"/>
              <w:right w:val="single" w:sz="4" w:space="0" w:color="auto"/>
            </w:tcBorders>
            <w:vAlign w:val="center"/>
            <w:hideMark/>
          </w:tcPr>
          <w:p w14:paraId="06BD478E" w14:textId="77777777" w:rsidR="00CD6F25" w:rsidRPr="00CD6F25" w:rsidRDefault="00CD6F25" w:rsidP="00CD6F25">
            <w:pPr>
              <w:rPr>
                <w:rFonts w:cstheme="minorHAnsi"/>
                <w:b/>
                <w:bCs/>
                <w:color w:val="auto"/>
                <w:sz w:val="18"/>
                <w:szCs w:val="18"/>
              </w:rPr>
            </w:pPr>
          </w:p>
        </w:tc>
        <w:tc>
          <w:tcPr>
            <w:tcW w:w="1559" w:type="dxa"/>
            <w:vMerge/>
            <w:tcBorders>
              <w:left w:val="single" w:sz="4" w:space="0" w:color="auto"/>
              <w:right w:val="single" w:sz="4" w:space="0" w:color="auto"/>
            </w:tcBorders>
            <w:vAlign w:val="center"/>
            <w:hideMark/>
          </w:tcPr>
          <w:p w14:paraId="266EC8C3" w14:textId="77777777" w:rsidR="00CD6F25" w:rsidRPr="00CD6F25" w:rsidRDefault="00CD6F25" w:rsidP="00CD6F25">
            <w:pPr>
              <w:ind w:left="111"/>
              <w:rPr>
                <w:rFonts w:cstheme="minorHAnsi"/>
                <w:color w:val="auto"/>
                <w:sz w:val="18"/>
                <w:szCs w:val="18"/>
              </w:rPr>
            </w:pPr>
          </w:p>
        </w:tc>
        <w:tc>
          <w:tcPr>
            <w:tcW w:w="3969" w:type="dxa"/>
            <w:tcBorders>
              <w:left w:val="nil"/>
              <w:right w:val="single" w:sz="4" w:space="0" w:color="auto"/>
            </w:tcBorders>
            <w:shd w:val="clear" w:color="auto" w:fill="auto"/>
            <w:vAlign w:val="center"/>
            <w:hideMark/>
          </w:tcPr>
          <w:p w14:paraId="0318A0D5" w14:textId="77777777" w:rsidR="00CD6F25" w:rsidRPr="00CD6F25" w:rsidRDefault="00CD6F25" w:rsidP="005D79EF">
            <w:pPr>
              <w:numPr>
                <w:ilvl w:val="0"/>
                <w:numId w:val="32"/>
              </w:numPr>
              <w:ind w:left="252" w:hanging="142"/>
              <w:rPr>
                <w:rFonts w:cstheme="minorHAnsi"/>
                <w:color w:val="auto"/>
                <w:sz w:val="18"/>
                <w:szCs w:val="18"/>
              </w:rPr>
            </w:pPr>
            <w:r w:rsidRPr="00CD6F25">
              <w:rPr>
                <w:rFonts w:cstheme="minorHAnsi"/>
                <w:color w:val="auto"/>
                <w:sz w:val="18"/>
                <w:szCs w:val="18"/>
              </w:rPr>
              <w:t>30 ML/day Birrie River @ Talawanta for 1 day</w:t>
            </w:r>
          </w:p>
        </w:tc>
        <w:tc>
          <w:tcPr>
            <w:tcW w:w="1418" w:type="dxa"/>
            <w:vMerge/>
            <w:tcBorders>
              <w:left w:val="single" w:sz="4" w:space="0" w:color="auto"/>
              <w:right w:val="single" w:sz="4" w:space="0" w:color="auto"/>
            </w:tcBorders>
            <w:vAlign w:val="center"/>
            <w:hideMark/>
          </w:tcPr>
          <w:p w14:paraId="62DEC380" w14:textId="77777777" w:rsidR="00CD6F25" w:rsidRPr="00CD6F25" w:rsidRDefault="00CD6F25" w:rsidP="00CD6F25">
            <w:pPr>
              <w:ind w:left="109"/>
              <w:rPr>
                <w:rFonts w:cstheme="minorHAnsi"/>
                <w:color w:val="auto"/>
                <w:sz w:val="18"/>
                <w:szCs w:val="18"/>
              </w:rPr>
            </w:pPr>
          </w:p>
        </w:tc>
        <w:tc>
          <w:tcPr>
            <w:tcW w:w="5954" w:type="dxa"/>
            <w:vMerge/>
            <w:tcBorders>
              <w:left w:val="single" w:sz="4" w:space="0" w:color="auto"/>
              <w:right w:val="single" w:sz="4" w:space="0" w:color="auto"/>
            </w:tcBorders>
            <w:shd w:val="clear" w:color="auto" w:fill="auto"/>
            <w:vAlign w:val="center"/>
          </w:tcPr>
          <w:p w14:paraId="16FEE138" w14:textId="77777777" w:rsidR="00CD6F25" w:rsidRPr="00CD6F25" w:rsidRDefault="00CD6F25" w:rsidP="00CD6F25">
            <w:pPr>
              <w:spacing w:before="120" w:line="276" w:lineRule="auto"/>
              <w:jc w:val="center"/>
              <w:rPr>
                <w:rFonts w:cstheme="minorHAnsi"/>
                <w:color w:val="auto"/>
                <w:sz w:val="18"/>
                <w:szCs w:val="18"/>
              </w:rPr>
            </w:pPr>
          </w:p>
        </w:tc>
        <w:tc>
          <w:tcPr>
            <w:tcW w:w="1984" w:type="dxa"/>
            <w:vMerge/>
            <w:tcBorders>
              <w:left w:val="single" w:sz="4" w:space="0" w:color="auto"/>
              <w:right w:val="single" w:sz="4" w:space="0" w:color="auto"/>
            </w:tcBorders>
            <w:shd w:val="clear" w:color="auto" w:fill="FF0000"/>
            <w:vAlign w:val="center"/>
            <w:hideMark/>
          </w:tcPr>
          <w:p w14:paraId="4B12D20C" w14:textId="77777777" w:rsidR="00CD6F25" w:rsidRPr="00CD6F25" w:rsidRDefault="00CD6F25" w:rsidP="00CD6F25">
            <w:pPr>
              <w:jc w:val="center"/>
              <w:rPr>
                <w:rFonts w:cstheme="minorHAnsi"/>
                <w:bCs/>
                <w:color w:val="auto"/>
                <w:sz w:val="18"/>
                <w:szCs w:val="18"/>
              </w:rPr>
            </w:pPr>
          </w:p>
        </w:tc>
        <w:tc>
          <w:tcPr>
            <w:tcW w:w="2977" w:type="dxa"/>
            <w:vMerge/>
            <w:tcBorders>
              <w:left w:val="single" w:sz="4" w:space="0" w:color="auto"/>
              <w:right w:val="single" w:sz="12" w:space="0" w:color="auto"/>
            </w:tcBorders>
            <w:shd w:val="clear" w:color="auto" w:fill="95B3D7" w:themeFill="accent1" w:themeFillTint="99"/>
            <w:vAlign w:val="center"/>
            <w:hideMark/>
          </w:tcPr>
          <w:p w14:paraId="2C10F2BF" w14:textId="77777777" w:rsidR="00CD6F25" w:rsidRPr="00CD6F25" w:rsidRDefault="00CD6F25" w:rsidP="00CD6F25">
            <w:pPr>
              <w:spacing w:before="60" w:after="60"/>
              <w:jc w:val="center"/>
              <w:rPr>
                <w:rFonts w:cstheme="minorHAnsi"/>
                <w:color w:val="auto"/>
                <w:sz w:val="18"/>
                <w:szCs w:val="18"/>
              </w:rPr>
            </w:pPr>
          </w:p>
        </w:tc>
        <w:tc>
          <w:tcPr>
            <w:tcW w:w="2268" w:type="dxa"/>
            <w:vMerge/>
            <w:tcBorders>
              <w:left w:val="single" w:sz="4" w:space="0" w:color="auto"/>
              <w:right w:val="single" w:sz="12" w:space="0" w:color="auto"/>
            </w:tcBorders>
            <w:shd w:val="clear" w:color="auto" w:fill="FF0000"/>
          </w:tcPr>
          <w:p w14:paraId="213D61CE" w14:textId="77777777" w:rsidR="00CD6F25" w:rsidRPr="00CD6F25" w:rsidRDefault="00CD6F25" w:rsidP="00CD6F25">
            <w:pPr>
              <w:jc w:val="center"/>
              <w:rPr>
                <w:rFonts w:cstheme="minorHAnsi"/>
                <w:bCs/>
                <w:color w:val="auto"/>
                <w:sz w:val="18"/>
                <w:szCs w:val="18"/>
              </w:rPr>
            </w:pPr>
          </w:p>
        </w:tc>
      </w:tr>
      <w:tr w:rsidR="00CD6F25" w:rsidRPr="00CD6F25" w14:paraId="1ECF1BA9" w14:textId="77777777" w:rsidTr="00AA0841">
        <w:trPr>
          <w:trHeight w:val="399"/>
        </w:trPr>
        <w:tc>
          <w:tcPr>
            <w:tcW w:w="1843" w:type="dxa"/>
            <w:vMerge/>
            <w:tcBorders>
              <w:left w:val="single" w:sz="12" w:space="0" w:color="auto"/>
              <w:right w:val="single" w:sz="4" w:space="0" w:color="auto"/>
            </w:tcBorders>
            <w:vAlign w:val="center"/>
          </w:tcPr>
          <w:p w14:paraId="3C556B7E" w14:textId="77777777" w:rsidR="00CD6F25" w:rsidRPr="00CD6F25" w:rsidRDefault="00CD6F25" w:rsidP="00CD6F25">
            <w:pPr>
              <w:rPr>
                <w:rFonts w:cstheme="minorHAnsi"/>
                <w:b/>
                <w:bCs/>
                <w:color w:val="auto"/>
                <w:sz w:val="18"/>
                <w:szCs w:val="18"/>
              </w:rPr>
            </w:pPr>
          </w:p>
        </w:tc>
        <w:tc>
          <w:tcPr>
            <w:tcW w:w="1559" w:type="dxa"/>
            <w:vMerge/>
            <w:tcBorders>
              <w:left w:val="single" w:sz="4" w:space="0" w:color="auto"/>
              <w:right w:val="single" w:sz="4" w:space="0" w:color="auto"/>
            </w:tcBorders>
            <w:vAlign w:val="center"/>
          </w:tcPr>
          <w:p w14:paraId="340987E2" w14:textId="77777777" w:rsidR="00CD6F25" w:rsidRPr="00CD6F25" w:rsidRDefault="00CD6F25" w:rsidP="00CD6F25">
            <w:pPr>
              <w:ind w:left="111"/>
              <w:rPr>
                <w:rFonts w:cstheme="minorHAnsi"/>
                <w:color w:val="auto"/>
                <w:sz w:val="18"/>
                <w:szCs w:val="18"/>
              </w:rPr>
            </w:pPr>
          </w:p>
        </w:tc>
        <w:tc>
          <w:tcPr>
            <w:tcW w:w="3969" w:type="dxa"/>
            <w:tcBorders>
              <w:left w:val="nil"/>
              <w:right w:val="single" w:sz="4" w:space="0" w:color="auto"/>
            </w:tcBorders>
            <w:shd w:val="clear" w:color="auto" w:fill="auto"/>
            <w:vAlign w:val="center"/>
          </w:tcPr>
          <w:p w14:paraId="6CAEAB09" w14:textId="77777777" w:rsidR="00CD6F25" w:rsidRPr="00CD6F25" w:rsidRDefault="00CD6F25" w:rsidP="005D79EF">
            <w:pPr>
              <w:numPr>
                <w:ilvl w:val="0"/>
                <w:numId w:val="32"/>
              </w:numPr>
              <w:ind w:left="252" w:hanging="142"/>
              <w:rPr>
                <w:rFonts w:cstheme="minorHAnsi"/>
                <w:color w:val="auto"/>
                <w:sz w:val="18"/>
                <w:szCs w:val="18"/>
              </w:rPr>
            </w:pPr>
            <w:r w:rsidRPr="00CD6F25">
              <w:rPr>
                <w:rFonts w:cstheme="minorHAnsi"/>
                <w:color w:val="auto"/>
                <w:sz w:val="18"/>
                <w:szCs w:val="18"/>
              </w:rPr>
              <w:t>30 ML/day Bokhara River @ Bokhara for 1 day</w:t>
            </w:r>
          </w:p>
        </w:tc>
        <w:tc>
          <w:tcPr>
            <w:tcW w:w="1418" w:type="dxa"/>
            <w:vMerge/>
            <w:tcBorders>
              <w:left w:val="single" w:sz="4" w:space="0" w:color="auto"/>
              <w:right w:val="single" w:sz="4" w:space="0" w:color="auto"/>
            </w:tcBorders>
            <w:vAlign w:val="center"/>
          </w:tcPr>
          <w:p w14:paraId="03E4727B" w14:textId="77777777" w:rsidR="00CD6F25" w:rsidRPr="00CD6F25" w:rsidRDefault="00CD6F25" w:rsidP="00CD6F25">
            <w:pPr>
              <w:ind w:left="109"/>
              <w:rPr>
                <w:rFonts w:cstheme="minorHAnsi"/>
                <w:color w:val="auto"/>
                <w:sz w:val="18"/>
                <w:szCs w:val="18"/>
              </w:rPr>
            </w:pPr>
          </w:p>
        </w:tc>
        <w:tc>
          <w:tcPr>
            <w:tcW w:w="5954" w:type="dxa"/>
            <w:vMerge/>
            <w:tcBorders>
              <w:left w:val="single" w:sz="4" w:space="0" w:color="auto"/>
              <w:right w:val="single" w:sz="4" w:space="0" w:color="auto"/>
            </w:tcBorders>
            <w:shd w:val="clear" w:color="auto" w:fill="auto"/>
            <w:vAlign w:val="center"/>
          </w:tcPr>
          <w:p w14:paraId="6E08960C" w14:textId="77777777" w:rsidR="00CD6F25" w:rsidRPr="00CD6F25" w:rsidRDefault="00CD6F25" w:rsidP="00CD6F25">
            <w:pPr>
              <w:spacing w:before="120" w:line="276" w:lineRule="auto"/>
              <w:jc w:val="center"/>
              <w:rPr>
                <w:rFonts w:cstheme="minorHAnsi"/>
                <w:color w:val="auto"/>
                <w:sz w:val="18"/>
                <w:szCs w:val="18"/>
              </w:rPr>
            </w:pPr>
          </w:p>
        </w:tc>
        <w:tc>
          <w:tcPr>
            <w:tcW w:w="1984" w:type="dxa"/>
            <w:vMerge/>
            <w:tcBorders>
              <w:left w:val="single" w:sz="4" w:space="0" w:color="auto"/>
              <w:right w:val="single" w:sz="4" w:space="0" w:color="auto"/>
            </w:tcBorders>
            <w:shd w:val="clear" w:color="auto" w:fill="FF0000"/>
            <w:vAlign w:val="center"/>
          </w:tcPr>
          <w:p w14:paraId="5A71417E" w14:textId="77777777" w:rsidR="00CD6F25" w:rsidRPr="00CD6F25" w:rsidRDefault="00CD6F25" w:rsidP="00CD6F25">
            <w:pPr>
              <w:jc w:val="center"/>
              <w:rPr>
                <w:rFonts w:cstheme="minorHAnsi"/>
                <w:bCs/>
                <w:color w:val="auto"/>
                <w:sz w:val="18"/>
                <w:szCs w:val="18"/>
              </w:rPr>
            </w:pPr>
          </w:p>
        </w:tc>
        <w:tc>
          <w:tcPr>
            <w:tcW w:w="2977" w:type="dxa"/>
            <w:vMerge/>
            <w:tcBorders>
              <w:left w:val="single" w:sz="4" w:space="0" w:color="auto"/>
              <w:right w:val="single" w:sz="12" w:space="0" w:color="auto"/>
            </w:tcBorders>
            <w:shd w:val="clear" w:color="auto" w:fill="95B3D7" w:themeFill="accent1" w:themeFillTint="99"/>
            <w:vAlign w:val="center"/>
          </w:tcPr>
          <w:p w14:paraId="45EA77C8" w14:textId="77777777" w:rsidR="00CD6F25" w:rsidRPr="00CD6F25" w:rsidRDefault="00CD6F25" w:rsidP="00CD6F25">
            <w:pPr>
              <w:spacing w:before="60" w:after="60"/>
              <w:jc w:val="center"/>
              <w:rPr>
                <w:rFonts w:cstheme="minorHAnsi"/>
                <w:color w:val="auto"/>
                <w:sz w:val="18"/>
                <w:szCs w:val="18"/>
              </w:rPr>
            </w:pPr>
          </w:p>
        </w:tc>
        <w:tc>
          <w:tcPr>
            <w:tcW w:w="2268" w:type="dxa"/>
            <w:vMerge/>
            <w:tcBorders>
              <w:left w:val="single" w:sz="4" w:space="0" w:color="auto"/>
              <w:right w:val="single" w:sz="12" w:space="0" w:color="auto"/>
            </w:tcBorders>
            <w:shd w:val="clear" w:color="auto" w:fill="FF0000"/>
          </w:tcPr>
          <w:p w14:paraId="4F021AE8" w14:textId="77777777" w:rsidR="00CD6F25" w:rsidRPr="00CD6F25" w:rsidRDefault="00CD6F25" w:rsidP="00CD6F25">
            <w:pPr>
              <w:jc w:val="center"/>
              <w:rPr>
                <w:rFonts w:cstheme="minorHAnsi"/>
                <w:bCs/>
                <w:color w:val="auto"/>
                <w:sz w:val="18"/>
                <w:szCs w:val="18"/>
              </w:rPr>
            </w:pPr>
          </w:p>
        </w:tc>
      </w:tr>
      <w:tr w:rsidR="00CD6F25" w:rsidRPr="00CD6F25" w14:paraId="733A7464" w14:textId="77777777" w:rsidTr="00AA0841">
        <w:trPr>
          <w:trHeight w:val="160"/>
        </w:trPr>
        <w:tc>
          <w:tcPr>
            <w:tcW w:w="1843" w:type="dxa"/>
            <w:vMerge/>
            <w:tcBorders>
              <w:left w:val="single" w:sz="12" w:space="0" w:color="auto"/>
              <w:right w:val="single" w:sz="4" w:space="0" w:color="auto"/>
            </w:tcBorders>
            <w:vAlign w:val="center"/>
            <w:hideMark/>
          </w:tcPr>
          <w:p w14:paraId="0A64F305" w14:textId="77777777" w:rsidR="00CD6F25" w:rsidRPr="00CD6F25" w:rsidRDefault="00CD6F25" w:rsidP="00CD6F25">
            <w:pPr>
              <w:rPr>
                <w:rFonts w:cstheme="minorHAnsi"/>
                <w:b/>
                <w:bCs/>
                <w:color w:val="auto"/>
                <w:sz w:val="18"/>
                <w:szCs w:val="18"/>
              </w:rPr>
            </w:pPr>
          </w:p>
        </w:tc>
        <w:tc>
          <w:tcPr>
            <w:tcW w:w="1559" w:type="dxa"/>
            <w:vMerge/>
            <w:tcBorders>
              <w:left w:val="single" w:sz="4" w:space="0" w:color="auto"/>
              <w:right w:val="single" w:sz="4" w:space="0" w:color="auto"/>
            </w:tcBorders>
            <w:vAlign w:val="center"/>
            <w:hideMark/>
          </w:tcPr>
          <w:p w14:paraId="5DCBCB60" w14:textId="77777777" w:rsidR="00CD6F25" w:rsidRPr="00CD6F25" w:rsidRDefault="00CD6F25" w:rsidP="00CD6F25">
            <w:pPr>
              <w:ind w:left="111"/>
              <w:rPr>
                <w:rFonts w:cstheme="minorHAnsi"/>
                <w:color w:val="auto"/>
                <w:sz w:val="18"/>
                <w:szCs w:val="18"/>
              </w:rPr>
            </w:pPr>
          </w:p>
        </w:tc>
        <w:tc>
          <w:tcPr>
            <w:tcW w:w="3969" w:type="dxa"/>
            <w:tcBorders>
              <w:left w:val="nil"/>
              <w:right w:val="single" w:sz="4" w:space="0" w:color="auto"/>
            </w:tcBorders>
            <w:shd w:val="clear" w:color="auto" w:fill="auto"/>
            <w:vAlign w:val="center"/>
            <w:hideMark/>
          </w:tcPr>
          <w:p w14:paraId="6E46036E" w14:textId="77777777" w:rsidR="00CD6F25" w:rsidRPr="00CD6F25" w:rsidRDefault="00CD6F25" w:rsidP="005D79EF">
            <w:pPr>
              <w:numPr>
                <w:ilvl w:val="0"/>
                <w:numId w:val="32"/>
              </w:numPr>
              <w:ind w:left="252" w:hanging="142"/>
              <w:rPr>
                <w:rFonts w:cstheme="minorHAnsi"/>
                <w:color w:val="auto"/>
                <w:sz w:val="18"/>
                <w:szCs w:val="18"/>
              </w:rPr>
            </w:pPr>
            <w:r w:rsidRPr="00CD6F25">
              <w:rPr>
                <w:rFonts w:cstheme="minorHAnsi"/>
                <w:color w:val="auto"/>
                <w:sz w:val="18"/>
                <w:szCs w:val="18"/>
              </w:rPr>
              <w:t>30 ML/day Culgoa River @ Weilmoringle for 1 day</w:t>
            </w:r>
          </w:p>
        </w:tc>
        <w:tc>
          <w:tcPr>
            <w:tcW w:w="1418" w:type="dxa"/>
            <w:vMerge/>
            <w:tcBorders>
              <w:left w:val="single" w:sz="4" w:space="0" w:color="auto"/>
              <w:right w:val="single" w:sz="4" w:space="0" w:color="auto"/>
            </w:tcBorders>
            <w:vAlign w:val="center"/>
            <w:hideMark/>
          </w:tcPr>
          <w:p w14:paraId="0EFE7FD6" w14:textId="77777777" w:rsidR="00CD6F25" w:rsidRPr="00CD6F25" w:rsidRDefault="00CD6F25" w:rsidP="00CD6F25">
            <w:pPr>
              <w:ind w:left="109"/>
              <w:rPr>
                <w:rFonts w:cstheme="minorHAnsi"/>
                <w:color w:val="auto"/>
                <w:sz w:val="18"/>
                <w:szCs w:val="18"/>
              </w:rPr>
            </w:pPr>
          </w:p>
        </w:tc>
        <w:tc>
          <w:tcPr>
            <w:tcW w:w="5954" w:type="dxa"/>
            <w:vMerge/>
            <w:tcBorders>
              <w:left w:val="single" w:sz="4" w:space="0" w:color="auto"/>
              <w:right w:val="single" w:sz="4" w:space="0" w:color="auto"/>
            </w:tcBorders>
            <w:shd w:val="clear" w:color="auto" w:fill="auto"/>
            <w:vAlign w:val="center"/>
          </w:tcPr>
          <w:p w14:paraId="547AE55F" w14:textId="77777777" w:rsidR="00CD6F25" w:rsidRPr="00CD6F25" w:rsidRDefault="00CD6F25" w:rsidP="00CD6F25">
            <w:pPr>
              <w:spacing w:before="120" w:line="276" w:lineRule="auto"/>
              <w:jc w:val="center"/>
              <w:rPr>
                <w:rFonts w:cstheme="minorHAnsi"/>
                <w:color w:val="auto"/>
                <w:sz w:val="18"/>
                <w:szCs w:val="18"/>
              </w:rPr>
            </w:pPr>
          </w:p>
        </w:tc>
        <w:tc>
          <w:tcPr>
            <w:tcW w:w="1984" w:type="dxa"/>
            <w:vMerge/>
            <w:tcBorders>
              <w:left w:val="single" w:sz="4" w:space="0" w:color="auto"/>
              <w:right w:val="single" w:sz="4" w:space="0" w:color="auto"/>
            </w:tcBorders>
            <w:shd w:val="clear" w:color="auto" w:fill="FF0000"/>
            <w:vAlign w:val="center"/>
            <w:hideMark/>
          </w:tcPr>
          <w:p w14:paraId="09BE42EF" w14:textId="77777777" w:rsidR="00CD6F25" w:rsidRPr="00CD6F25" w:rsidRDefault="00CD6F25" w:rsidP="00CD6F25">
            <w:pPr>
              <w:jc w:val="center"/>
              <w:rPr>
                <w:rFonts w:cstheme="minorHAnsi"/>
                <w:bCs/>
                <w:color w:val="auto"/>
                <w:sz w:val="18"/>
                <w:szCs w:val="18"/>
              </w:rPr>
            </w:pPr>
          </w:p>
        </w:tc>
        <w:tc>
          <w:tcPr>
            <w:tcW w:w="2977" w:type="dxa"/>
            <w:vMerge/>
            <w:tcBorders>
              <w:left w:val="single" w:sz="4" w:space="0" w:color="auto"/>
              <w:right w:val="single" w:sz="12" w:space="0" w:color="auto"/>
            </w:tcBorders>
            <w:shd w:val="clear" w:color="auto" w:fill="95B3D7" w:themeFill="accent1" w:themeFillTint="99"/>
            <w:vAlign w:val="center"/>
            <w:hideMark/>
          </w:tcPr>
          <w:p w14:paraId="631A80FF" w14:textId="77777777" w:rsidR="00CD6F25" w:rsidRPr="00CD6F25" w:rsidRDefault="00CD6F25" w:rsidP="00CD6F25">
            <w:pPr>
              <w:spacing w:before="60" w:after="60"/>
              <w:jc w:val="center"/>
              <w:rPr>
                <w:rFonts w:cstheme="minorHAnsi"/>
                <w:color w:val="auto"/>
                <w:sz w:val="18"/>
                <w:szCs w:val="18"/>
              </w:rPr>
            </w:pPr>
          </w:p>
        </w:tc>
        <w:tc>
          <w:tcPr>
            <w:tcW w:w="2268" w:type="dxa"/>
            <w:vMerge/>
            <w:tcBorders>
              <w:left w:val="single" w:sz="4" w:space="0" w:color="auto"/>
              <w:right w:val="single" w:sz="12" w:space="0" w:color="auto"/>
            </w:tcBorders>
            <w:shd w:val="clear" w:color="auto" w:fill="FF0000"/>
          </w:tcPr>
          <w:p w14:paraId="0AD39CFE" w14:textId="77777777" w:rsidR="00CD6F25" w:rsidRPr="00CD6F25" w:rsidRDefault="00CD6F25" w:rsidP="00CD6F25">
            <w:pPr>
              <w:jc w:val="center"/>
              <w:rPr>
                <w:rFonts w:cstheme="minorHAnsi"/>
                <w:bCs/>
                <w:color w:val="auto"/>
                <w:sz w:val="18"/>
                <w:szCs w:val="18"/>
              </w:rPr>
            </w:pPr>
          </w:p>
        </w:tc>
      </w:tr>
      <w:tr w:rsidR="00CD6F25" w:rsidRPr="00CD6F25" w14:paraId="307C6AE7" w14:textId="77777777" w:rsidTr="00AA0841">
        <w:trPr>
          <w:trHeight w:val="934"/>
        </w:trPr>
        <w:tc>
          <w:tcPr>
            <w:tcW w:w="1843" w:type="dxa"/>
            <w:vMerge/>
            <w:tcBorders>
              <w:left w:val="single" w:sz="12" w:space="0" w:color="auto"/>
              <w:right w:val="single" w:sz="4" w:space="0" w:color="auto"/>
            </w:tcBorders>
            <w:vAlign w:val="center"/>
            <w:hideMark/>
          </w:tcPr>
          <w:p w14:paraId="24902268" w14:textId="77777777" w:rsidR="00CD6F25" w:rsidRPr="00CD6F25" w:rsidRDefault="00CD6F25" w:rsidP="00CD6F25">
            <w:pPr>
              <w:rPr>
                <w:rFonts w:cstheme="minorHAnsi"/>
                <w:b/>
                <w:bCs/>
                <w:color w:val="auto"/>
                <w:sz w:val="18"/>
                <w:szCs w:val="18"/>
              </w:rPr>
            </w:pPr>
          </w:p>
        </w:tc>
        <w:tc>
          <w:tcPr>
            <w:tcW w:w="1559" w:type="dxa"/>
            <w:vMerge/>
            <w:tcBorders>
              <w:left w:val="single" w:sz="4" w:space="0" w:color="auto"/>
              <w:bottom w:val="single" w:sz="8" w:space="0" w:color="000000"/>
              <w:right w:val="single" w:sz="4" w:space="0" w:color="auto"/>
            </w:tcBorders>
            <w:vAlign w:val="center"/>
            <w:hideMark/>
          </w:tcPr>
          <w:p w14:paraId="4884AFD8" w14:textId="77777777" w:rsidR="00CD6F25" w:rsidRPr="00CD6F25" w:rsidRDefault="00CD6F25" w:rsidP="00CD6F25">
            <w:pPr>
              <w:ind w:left="111"/>
              <w:rPr>
                <w:rFonts w:cstheme="minorHAnsi"/>
                <w:color w:val="auto"/>
                <w:sz w:val="18"/>
                <w:szCs w:val="18"/>
              </w:rPr>
            </w:pPr>
          </w:p>
        </w:tc>
        <w:tc>
          <w:tcPr>
            <w:tcW w:w="3969" w:type="dxa"/>
            <w:tcBorders>
              <w:left w:val="nil"/>
              <w:bottom w:val="single" w:sz="8" w:space="0" w:color="auto"/>
              <w:right w:val="single" w:sz="4" w:space="0" w:color="auto"/>
            </w:tcBorders>
            <w:shd w:val="clear" w:color="auto" w:fill="auto"/>
            <w:vAlign w:val="center"/>
            <w:hideMark/>
          </w:tcPr>
          <w:p w14:paraId="255AD6EC" w14:textId="77777777" w:rsidR="00CD6F25" w:rsidRPr="00CD6F25" w:rsidRDefault="00CD6F25" w:rsidP="005D79EF">
            <w:pPr>
              <w:numPr>
                <w:ilvl w:val="0"/>
                <w:numId w:val="32"/>
              </w:numPr>
              <w:ind w:left="252" w:hanging="142"/>
              <w:rPr>
                <w:rFonts w:cstheme="minorHAnsi"/>
                <w:color w:val="auto"/>
                <w:sz w:val="18"/>
                <w:szCs w:val="18"/>
              </w:rPr>
            </w:pPr>
            <w:r w:rsidRPr="00CD6F25">
              <w:rPr>
                <w:rFonts w:cstheme="minorHAnsi"/>
                <w:color w:val="auto"/>
                <w:sz w:val="18"/>
                <w:szCs w:val="18"/>
              </w:rPr>
              <w:t>30 ML/d Narran River @ Narran Park for 1 day</w:t>
            </w:r>
          </w:p>
        </w:tc>
        <w:tc>
          <w:tcPr>
            <w:tcW w:w="1418" w:type="dxa"/>
            <w:vMerge/>
            <w:tcBorders>
              <w:left w:val="single" w:sz="4" w:space="0" w:color="auto"/>
              <w:bottom w:val="single" w:sz="8" w:space="0" w:color="auto"/>
              <w:right w:val="single" w:sz="4" w:space="0" w:color="auto"/>
            </w:tcBorders>
            <w:vAlign w:val="center"/>
            <w:hideMark/>
          </w:tcPr>
          <w:p w14:paraId="28F3F354" w14:textId="77777777" w:rsidR="00CD6F25" w:rsidRPr="00CD6F25" w:rsidRDefault="00CD6F25" w:rsidP="00CD6F25">
            <w:pPr>
              <w:ind w:left="109"/>
              <w:rPr>
                <w:rFonts w:cstheme="minorHAnsi"/>
                <w:color w:val="auto"/>
                <w:sz w:val="18"/>
                <w:szCs w:val="18"/>
              </w:rPr>
            </w:pPr>
          </w:p>
        </w:tc>
        <w:tc>
          <w:tcPr>
            <w:tcW w:w="5954" w:type="dxa"/>
            <w:vMerge/>
            <w:tcBorders>
              <w:left w:val="single" w:sz="4" w:space="0" w:color="auto"/>
              <w:bottom w:val="single" w:sz="4" w:space="0" w:color="auto"/>
              <w:right w:val="single" w:sz="4" w:space="0" w:color="auto"/>
            </w:tcBorders>
            <w:shd w:val="clear" w:color="auto" w:fill="auto"/>
            <w:vAlign w:val="center"/>
          </w:tcPr>
          <w:p w14:paraId="31CA9DF5" w14:textId="77777777" w:rsidR="00CD6F25" w:rsidRPr="00CD6F25" w:rsidRDefault="00CD6F25" w:rsidP="00CD6F25">
            <w:pPr>
              <w:spacing w:before="120" w:line="276" w:lineRule="auto"/>
              <w:jc w:val="center"/>
              <w:rPr>
                <w:rFonts w:cstheme="minorHAnsi"/>
                <w:color w:val="auto"/>
                <w:sz w:val="18"/>
                <w:szCs w:val="18"/>
                <w:u w:val="single"/>
              </w:rPr>
            </w:pPr>
          </w:p>
        </w:tc>
        <w:tc>
          <w:tcPr>
            <w:tcW w:w="1984" w:type="dxa"/>
            <w:vMerge/>
            <w:tcBorders>
              <w:left w:val="single" w:sz="4" w:space="0" w:color="auto"/>
              <w:bottom w:val="single" w:sz="8" w:space="0" w:color="000000"/>
              <w:right w:val="single" w:sz="4" w:space="0" w:color="auto"/>
            </w:tcBorders>
            <w:shd w:val="clear" w:color="auto" w:fill="FF0000"/>
            <w:vAlign w:val="center"/>
            <w:hideMark/>
          </w:tcPr>
          <w:p w14:paraId="451A7B92" w14:textId="77777777" w:rsidR="00CD6F25" w:rsidRPr="00CD6F25" w:rsidRDefault="00CD6F25" w:rsidP="00CD6F25">
            <w:pPr>
              <w:jc w:val="center"/>
              <w:rPr>
                <w:rFonts w:cstheme="minorHAnsi"/>
                <w:bCs/>
                <w:color w:val="auto"/>
                <w:sz w:val="18"/>
                <w:szCs w:val="18"/>
              </w:rPr>
            </w:pPr>
          </w:p>
        </w:tc>
        <w:tc>
          <w:tcPr>
            <w:tcW w:w="2977" w:type="dxa"/>
            <w:vMerge/>
            <w:tcBorders>
              <w:left w:val="single" w:sz="4" w:space="0" w:color="auto"/>
              <w:bottom w:val="single" w:sz="8" w:space="0" w:color="000000"/>
              <w:right w:val="single" w:sz="12" w:space="0" w:color="auto"/>
            </w:tcBorders>
            <w:shd w:val="clear" w:color="auto" w:fill="95B3D7" w:themeFill="accent1" w:themeFillTint="99"/>
            <w:vAlign w:val="center"/>
            <w:hideMark/>
          </w:tcPr>
          <w:p w14:paraId="24037964" w14:textId="77777777" w:rsidR="00CD6F25" w:rsidRPr="00CD6F25" w:rsidRDefault="00CD6F25" w:rsidP="00CD6F25">
            <w:pPr>
              <w:spacing w:before="60" w:after="60"/>
              <w:jc w:val="center"/>
              <w:rPr>
                <w:rFonts w:cstheme="minorHAnsi"/>
                <w:color w:val="auto"/>
                <w:sz w:val="18"/>
                <w:szCs w:val="18"/>
              </w:rPr>
            </w:pPr>
          </w:p>
        </w:tc>
        <w:tc>
          <w:tcPr>
            <w:tcW w:w="2268" w:type="dxa"/>
            <w:vMerge/>
            <w:tcBorders>
              <w:left w:val="single" w:sz="4" w:space="0" w:color="auto"/>
              <w:bottom w:val="single" w:sz="8" w:space="0" w:color="000000"/>
              <w:right w:val="single" w:sz="12" w:space="0" w:color="auto"/>
            </w:tcBorders>
            <w:shd w:val="clear" w:color="auto" w:fill="FF0000"/>
          </w:tcPr>
          <w:p w14:paraId="3454B3A4" w14:textId="77777777" w:rsidR="00CD6F25" w:rsidRPr="00CD6F25" w:rsidRDefault="00CD6F25" w:rsidP="00CD6F25">
            <w:pPr>
              <w:jc w:val="center"/>
              <w:rPr>
                <w:rFonts w:cstheme="minorHAnsi"/>
                <w:bCs/>
                <w:color w:val="auto"/>
                <w:sz w:val="18"/>
                <w:szCs w:val="18"/>
              </w:rPr>
            </w:pPr>
          </w:p>
        </w:tc>
      </w:tr>
      <w:tr w:rsidR="00CD6F25" w:rsidRPr="00CD6F25" w14:paraId="19D1448C" w14:textId="77777777" w:rsidTr="00AA0841">
        <w:trPr>
          <w:trHeight w:val="2018"/>
        </w:trPr>
        <w:tc>
          <w:tcPr>
            <w:tcW w:w="1843" w:type="dxa"/>
            <w:vMerge/>
            <w:tcBorders>
              <w:left w:val="single" w:sz="12" w:space="0" w:color="auto"/>
              <w:right w:val="single" w:sz="4" w:space="0" w:color="auto"/>
            </w:tcBorders>
            <w:vAlign w:val="center"/>
          </w:tcPr>
          <w:p w14:paraId="301DEEF8" w14:textId="77777777" w:rsidR="00CD6F25" w:rsidRPr="00CD6F25" w:rsidRDefault="00CD6F25" w:rsidP="00CD6F25">
            <w:pPr>
              <w:rPr>
                <w:rFonts w:cstheme="minorHAnsi"/>
                <w:b/>
                <w:bCs/>
                <w:color w:val="auto"/>
                <w:sz w:val="18"/>
                <w:szCs w:val="18"/>
              </w:rPr>
            </w:pPr>
          </w:p>
        </w:tc>
        <w:tc>
          <w:tcPr>
            <w:tcW w:w="1559" w:type="dxa"/>
            <w:tcBorders>
              <w:top w:val="nil"/>
              <w:left w:val="single" w:sz="4" w:space="0" w:color="auto"/>
              <w:bottom w:val="single" w:sz="4" w:space="0" w:color="auto"/>
              <w:right w:val="single" w:sz="4" w:space="0" w:color="auto"/>
            </w:tcBorders>
            <w:shd w:val="clear" w:color="auto" w:fill="auto"/>
            <w:vAlign w:val="center"/>
          </w:tcPr>
          <w:p w14:paraId="07656BC6" w14:textId="77777777" w:rsidR="00CD6F25" w:rsidRPr="00CD6F25" w:rsidRDefault="00CD6F25" w:rsidP="00CD6F25">
            <w:pPr>
              <w:ind w:left="111"/>
              <w:rPr>
                <w:rFonts w:cstheme="minorHAnsi"/>
                <w:color w:val="auto"/>
                <w:sz w:val="18"/>
                <w:szCs w:val="18"/>
              </w:rPr>
            </w:pPr>
            <w:r w:rsidRPr="00CD6F25">
              <w:rPr>
                <w:rFonts w:cstheme="minorHAnsi"/>
                <w:color w:val="auto"/>
                <w:sz w:val="18"/>
                <w:szCs w:val="18"/>
              </w:rPr>
              <w:t>Culgoa River – longitudinal connectivity</w:t>
            </w:r>
          </w:p>
        </w:tc>
        <w:tc>
          <w:tcPr>
            <w:tcW w:w="3969" w:type="dxa"/>
            <w:tcBorders>
              <w:top w:val="single" w:sz="8" w:space="0" w:color="auto"/>
              <w:left w:val="nil"/>
              <w:bottom w:val="single" w:sz="4" w:space="0" w:color="auto"/>
              <w:right w:val="single" w:sz="4" w:space="0" w:color="auto"/>
            </w:tcBorders>
            <w:shd w:val="clear" w:color="auto" w:fill="auto"/>
            <w:vAlign w:val="center"/>
          </w:tcPr>
          <w:p w14:paraId="58E44FF0"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Small in channel fresh</w:t>
            </w:r>
            <w:r w:rsidRPr="00CD6F25">
              <w:rPr>
                <w:rFonts w:cstheme="minorHAnsi"/>
                <w:color w:val="auto"/>
                <w:sz w:val="18"/>
                <w:szCs w:val="18"/>
              </w:rPr>
              <w:br/>
              <w:t>1 000 ML/day @ Brenda for 7 days</w:t>
            </w:r>
          </w:p>
        </w:tc>
        <w:tc>
          <w:tcPr>
            <w:tcW w:w="1418" w:type="dxa"/>
            <w:tcBorders>
              <w:top w:val="single" w:sz="8" w:space="0" w:color="auto"/>
              <w:left w:val="nil"/>
              <w:bottom w:val="single" w:sz="4" w:space="0" w:color="auto"/>
              <w:right w:val="single" w:sz="4" w:space="0" w:color="auto"/>
            </w:tcBorders>
            <w:shd w:val="clear" w:color="auto" w:fill="auto"/>
            <w:vAlign w:val="center"/>
          </w:tcPr>
          <w:p w14:paraId="49DB8F31"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8 in 10 years</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14:paraId="07111EF3" w14:textId="77777777" w:rsidR="00CD6F25" w:rsidRPr="00CD6F25" w:rsidRDefault="00CD6F25" w:rsidP="00CD6F25">
            <w:pPr>
              <w:spacing w:before="120"/>
              <w:jc w:val="center"/>
              <w:rPr>
                <w:rFonts w:cstheme="minorHAnsi"/>
                <w:color w:val="auto"/>
                <w:sz w:val="18"/>
                <w:szCs w:val="18"/>
              </w:rPr>
            </w:pPr>
            <w:r w:rsidRPr="00CD6F25">
              <w:rPr>
                <w:rFonts w:cstheme="minorHAnsi"/>
                <w:color w:val="auto"/>
                <w:sz w:val="18"/>
                <w:szCs w:val="18"/>
              </w:rPr>
              <w:t>Small freshes have occurred 7 in 10 years, including the flow event during March–April 2020. However, the average required frequency has not been met so the requirement for this demand is high.</w:t>
            </w:r>
          </w:p>
        </w:tc>
        <w:tc>
          <w:tcPr>
            <w:tcW w:w="1984" w:type="dxa"/>
            <w:tcBorders>
              <w:top w:val="nil"/>
              <w:left w:val="single" w:sz="4" w:space="0" w:color="auto"/>
              <w:bottom w:val="single" w:sz="4" w:space="0" w:color="auto"/>
              <w:right w:val="single" w:sz="4" w:space="0" w:color="auto"/>
            </w:tcBorders>
            <w:shd w:val="clear" w:color="000000" w:fill="FF0000"/>
            <w:vAlign w:val="center"/>
          </w:tcPr>
          <w:p w14:paraId="36DD0314"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High</w:t>
            </w:r>
          </w:p>
        </w:tc>
        <w:tc>
          <w:tcPr>
            <w:tcW w:w="2977" w:type="dxa"/>
            <w:tcBorders>
              <w:top w:val="nil"/>
              <w:left w:val="nil"/>
              <w:bottom w:val="single" w:sz="4" w:space="0" w:color="auto"/>
              <w:right w:val="single" w:sz="4" w:space="0" w:color="auto"/>
            </w:tcBorders>
            <w:shd w:val="clear" w:color="auto" w:fill="365F91" w:themeFill="accent1" w:themeFillShade="BF"/>
            <w:vAlign w:val="center"/>
          </w:tcPr>
          <w:p w14:paraId="57CBF5F3" w14:textId="77777777" w:rsidR="00CD6F25" w:rsidRPr="00CD6F25" w:rsidRDefault="00CD6F25" w:rsidP="00CD6F25">
            <w:pPr>
              <w:spacing w:before="60" w:after="60"/>
              <w:jc w:val="center"/>
              <w:rPr>
                <w:rFonts w:cstheme="minorHAnsi"/>
                <w:color w:val="auto"/>
                <w:sz w:val="18"/>
                <w:szCs w:val="18"/>
              </w:rPr>
            </w:pPr>
            <w:r w:rsidRPr="00CD6F25">
              <w:rPr>
                <w:rFonts w:cstheme="minorHAnsi"/>
                <w:color w:val="auto"/>
                <w:sz w:val="18"/>
                <w:szCs w:val="18"/>
              </w:rPr>
              <w:t>A high priority for CEW under all water resource availability scenarios.</w:t>
            </w:r>
          </w:p>
        </w:tc>
        <w:tc>
          <w:tcPr>
            <w:tcW w:w="2268" w:type="dxa"/>
            <w:tcBorders>
              <w:top w:val="nil"/>
              <w:left w:val="single" w:sz="4" w:space="0" w:color="auto"/>
              <w:bottom w:val="single" w:sz="4" w:space="0" w:color="auto"/>
              <w:right w:val="single" w:sz="12" w:space="0" w:color="auto"/>
            </w:tcBorders>
            <w:shd w:val="clear" w:color="auto" w:fill="FF0000"/>
            <w:vAlign w:val="center"/>
          </w:tcPr>
          <w:p w14:paraId="46A74365"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High</w:t>
            </w:r>
          </w:p>
        </w:tc>
      </w:tr>
      <w:tr w:rsidR="00CD6F25" w:rsidRPr="00CD6F25" w14:paraId="140D1F14" w14:textId="77777777" w:rsidTr="00AA0841">
        <w:trPr>
          <w:trHeight w:val="1756"/>
        </w:trPr>
        <w:tc>
          <w:tcPr>
            <w:tcW w:w="1843" w:type="dxa"/>
            <w:vMerge/>
            <w:tcBorders>
              <w:left w:val="single" w:sz="12" w:space="0" w:color="auto"/>
              <w:right w:val="single" w:sz="4" w:space="0" w:color="auto"/>
            </w:tcBorders>
            <w:vAlign w:val="center"/>
            <w:hideMark/>
          </w:tcPr>
          <w:p w14:paraId="0C3F73F2" w14:textId="77777777" w:rsidR="00CD6F25" w:rsidRPr="00CD6F25" w:rsidRDefault="00CD6F25" w:rsidP="00CD6F25">
            <w:pPr>
              <w:rPr>
                <w:rFonts w:cstheme="minorHAnsi"/>
                <w:b/>
                <w:bCs/>
                <w:color w:val="auto"/>
                <w:sz w:val="18"/>
                <w:szCs w:val="18"/>
              </w:rPr>
            </w:pPr>
          </w:p>
        </w:tc>
        <w:tc>
          <w:tcPr>
            <w:tcW w:w="1559" w:type="dxa"/>
            <w:tcBorders>
              <w:top w:val="single" w:sz="4" w:space="0" w:color="auto"/>
              <w:left w:val="single" w:sz="4" w:space="0" w:color="auto"/>
              <w:bottom w:val="single" w:sz="8" w:space="0" w:color="auto"/>
              <w:right w:val="single" w:sz="4" w:space="0" w:color="auto"/>
            </w:tcBorders>
            <w:shd w:val="clear" w:color="auto" w:fill="auto"/>
            <w:vAlign w:val="center"/>
            <w:hideMark/>
          </w:tcPr>
          <w:p w14:paraId="794FD085" w14:textId="77777777" w:rsidR="00CD6F25" w:rsidRPr="00CD6F25" w:rsidRDefault="00CD6F25" w:rsidP="00CD6F25">
            <w:pPr>
              <w:ind w:left="111"/>
              <w:rPr>
                <w:rFonts w:cstheme="minorHAnsi"/>
                <w:color w:val="auto"/>
                <w:sz w:val="18"/>
                <w:szCs w:val="18"/>
              </w:rPr>
            </w:pPr>
            <w:r w:rsidRPr="00CD6F25">
              <w:rPr>
                <w:rFonts w:cstheme="minorHAnsi"/>
                <w:color w:val="auto"/>
                <w:sz w:val="18"/>
                <w:szCs w:val="18"/>
              </w:rPr>
              <w:t>Narran River – fish migration</w:t>
            </w:r>
          </w:p>
        </w:tc>
        <w:tc>
          <w:tcPr>
            <w:tcW w:w="3969" w:type="dxa"/>
            <w:tcBorders>
              <w:top w:val="single" w:sz="4" w:space="0" w:color="auto"/>
              <w:left w:val="nil"/>
              <w:bottom w:val="single" w:sz="8" w:space="0" w:color="auto"/>
              <w:right w:val="single" w:sz="4" w:space="0" w:color="auto"/>
            </w:tcBorders>
            <w:shd w:val="clear" w:color="auto" w:fill="auto"/>
            <w:vAlign w:val="center"/>
            <w:hideMark/>
          </w:tcPr>
          <w:p w14:paraId="05FF74B5"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Large in-channel fresh</w:t>
            </w:r>
            <w:r w:rsidRPr="00CD6F25">
              <w:rPr>
                <w:rFonts w:cstheme="minorHAnsi"/>
                <w:color w:val="auto"/>
                <w:sz w:val="18"/>
                <w:szCs w:val="18"/>
              </w:rPr>
              <w:br/>
              <w:t>1 700 ML/day @ Wilby Wilby (August–May) for 14 days</w:t>
            </w:r>
          </w:p>
        </w:tc>
        <w:tc>
          <w:tcPr>
            <w:tcW w:w="1418" w:type="dxa"/>
            <w:tcBorders>
              <w:top w:val="single" w:sz="4" w:space="0" w:color="auto"/>
              <w:left w:val="nil"/>
              <w:bottom w:val="single" w:sz="8" w:space="0" w:color="auto"/>
              <w:right w:val="single" w:sz="4" w:space="0" w:color="auto"/>
            </w:tcBorders>
            <w:shd w:val="clear" w:color="auto" w:fill="auto"/>
            <w:vAlign w:val="center"/>
            <w:hideMark/>
          </w:tcPr>
          <w:p w14:paraId="342CF6EE"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4–6 in 10 years</w:t>
            </w:r>
          </w:p>
        </w:tc>
        <w:tc>
          <w:tcPr>
            <w:tcW w:w="59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09E4A0" w14:textId="77777777" w:rsidR="00CD6F25" w:rsidRPr="00CD6F25" w:rsidRDefault="00CD6F25" w:rsidP="00CD6F25">
            <w:pPr>
              <w:spacing w:before="120"/>
              <w:jc w:val="center"/>
              <w:rPr>
                <w:rFonts w:cstheme="minorHAnsi"/>
                <w:color w:val="auto"/>
                <w:sz w:val="18"/>
                <w:szCs w:val="18"/>
              </w:rPr>
            </w:pPr>
            <w:r w:rsidRPr="00CD6F25">
              <w:rPr>
                <w:rFonts w:cstheme="minorHAnsi"/>
                <w:color w:val="auto"/>
                <w:sz w:val="18"/>
                <w:szCs w:val="18"/>
              </w:rPr>
              <w:t>Large in-channel freshes have been met in 4 of the past 10 years, including during March–April 2020. While the average required frequency has been met, the requirement was not achieved during the period between the 2012–13 and 2019–20 water years. To increase recruitment opportunities, the requirement for this demand is high.</w:t>
            </w:r>
          </w:p>
        </w:tc>
        <w:tc>
          <w:tcPr>
            <w:tcW w:w="1984" w:type="dxa"/>
            <w:tcBorders>
              <w:top w:val="single" w:sz="4" w:space="0" w:color="auto"/>
              <w:left w:val="single" w:sz="4" w:space="0" w:color="auto"/>
              <w:bottom w:val="single" w:sz="8" w:space="0" w:color="auto"/>
              <w:right w:val="single" w:sz="4" w:space="0" w:color="auto"/>
            </w:tcBorders>
            <w:shd w:val="clear" w:color="auto" w:fill="FF0000"/>
            <w:vAlign w:val="center"/>
            <w:hideMark/>
          </w:tcPr>
          <w:p w14:paraId="629491A2"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High</w:t>
            </w:r>
          </w:p>
        </w:tc>
        <w:tc>
          <w:tcPr>
            <w:tcW w:w="2977" w:type="dxa"/>
            <w:tcBorders>
              <w:top w:val="single" w:sz="4" w:space="0" w:color="auto"/>
              <w:left w:val="nil"/>
              <w:bottom w:val="single" w:sz="8" w:space="0" w:color="auto"/>
              <w:right w:val="single" w:sz="4" w:space="0" w:color="auto"/>
            </w:tcBorders>
            <w:shd w:val="clear" w:color="auto" w:fill="365F91" w:themeFill="accent1" w:themeFillShade="BF"/>
            <w:vAlign w:val="center"/>
            <w:hideMark/>
          </w:tcPr>
          <w:p w14:paraId="78A3E6F0" w14:textId="77777777" w:rsidR="00CD6F25" w:rsidRPr="00CD6F25" w:rsidRDefault="00CD6F25" w:rsidP="00CD6F25">
            <w:pPr>
              <w:spacing w:before="60" w:after="60"/>
              <w:jc w:val="center"/>
              <w:rPr>
                <w:rFonts w:cstheme="minorHAnsi"/>
                <w:color w:val="auto"/>
                <w:sz w:val="18"/>
                <w:szCs w:val="18"/>
              </w:rPr>
            </w:pPr>
            <w:r w:rsidRPr="00CD6F25">
              <w:rPr>
                <w:rFonts w:cstheme="minorHAnsi"/>
                <w:color w:val="auto"/>
                <w:sz w:val="18"/>
                <w:szCs w:val="18"/>
              </w:rPr>
              <w:t xml:space="preserve">A high priority for CEW under all water resource availability scenarios. </w:t>
            </w:r>
          </w:p>
        </w:tc>
        <w:tc>
          <w:tcPr>
            <w:tcW w:w="2268" w:type="dxa"/>
            <w:tcBorders>
              <w:top w:val="single" w:sz="4" w:space="0" w:color="auto"/>
              <w:left w:val="single" w:sz="4" w:space="0" w:color="auto"/>
              <w:bottom w:val="single" w:sz="8" w:space="0" w:color="auto"/>
              <w:right w:val="single" w:sz="12" w:space="0" w:color="auto"/>
            </w:tcBorders>
            <w:shd w:val="clear" w:color="auto" w:fill="FFC000"/>
            <w:vAlign w:val="center"/>
          </w:tcPr>
          <w:p w14:paraId="42DF8564"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Moderate</w:t>
            </w:r>
          </w:p>
        </w:tc>
      </w:tr>
      <w:tr w:rsidR="00CD6F25" w:rsidRPr="00CD6F25" w14:paraId="430FF315" w14:textId="77777777" w:rsidTr="00AA0841">
        <w:trPr>
          <w:trHeight w:val="1597"/>
        </w:trPr>
        <w:tc>
          <w:tcPr>
            <w:tcW w:w="1843" w:type="dxa"/>
            <w:vMerge/>
            <w:tcBorders>
              <w:left w:val="single" w:sz="12" w:space="0" w:color="auto"/>
              <w:bottom w:val="single" w:sz="12" w:space="0" w:color="auto"/>
              <w:right w:val="single" w:sz="4" w:space="0" w:color="auto"/>
            </w:tcBorders>
            <w:vAlign w:val="center"/>
            <w:hideMark/>
          </w:tcPr>
          <w:p w14:paraId="566DFC42" w14:textId="77777777" w:rsidR="00CD6F25" w:rsidRPr="00CD6F25" w:rsidRDefault="00CD6F25" w:rsidP="00CD6F25">
            <w:pPr>
              <w:rPr>
                <w:rFonts w:cstheme="minorHAnsi"/>
                <w:b/>
                <w:bCs/>
                <w:color w:val="auto"/>
                <w:sz w:val="18"/>
                <w:szCs w:val="18"/>
              </w:rPr>
            </w:pPr>
          </w:p>
        </w:tc>
        <w:tc>
          <w:tcPr>
            <w:tcW w:w="1559" w:type="dxa"/>
            <w:tcBorders>
              <w:top w:val="nil"/>
              <w:left w:val="single" w:sz="4" w:space="0" w:color="auto"/>
              <w:bottom w:val="single" w:sz="12" w:space="0" w:color="auto"/>
              <w:right w:val="single" w:sz="4" w:space="0" w:color="auto"/>
            </w:tcBorders>
            <w:shd w:val="clear" w:color="auto" w:fill="auto"/>
            <w:vAlign w:val="center"/>
            <w:hideMark/>
          </w:tcPr>
          <w:p w14:paraId="54736071" w14:textId="77777777" w:rsidR="00CD6F25" w:rsidRPr="00CD6F25" w:rsidRDefault="00CD6F25" w:rsidP="00CD6F25">
            <w:pPr>
              <w:ind w:left="111"/>
              <w:rPr>
                <w:rFonts w:cstheme="minorHAnsi"/>
                <w:color w:val="auto"/>
                <w:sz w:val="18"/>
                <w:szCs w:val="18"/>
              </w:rPr>
            </w:pPr>
            <w:r w:rsidRPr="00CD6F25">
              <w:rPr>
                <w:rFonts w:cstheme="minorHAnsi"/>
                <w:color w:val="auto"/>
                <w:sz w:val="18"/>
                <w:szCs w:val="18"/>
              </w:rPr>
              <w:t xml:space="preserve">Culgoa River – fish migration </w:t>
            </w:r>
          </w:p>
        </w:tc>
        <w:tc>
          <w:tcPr>
            <w:tcW w:w="3969" w:type="dxa"/>
            <w:tcBorders>
              <w:top w:val="nil"/>
              <w:left w:val="nil"/>
              <w:bottom w:val="single" w:sz="12" w:space="0" w:color="auto"/>
              <w:right w:val="single" w:sz="4" w:space="0" w:color="auto"/>
            </w:tcBorders>
            <w:shd w:val="clear" w:color="auto" w:fill="auto"/>
            <w:vAlign w:val="center"/>
            <w:hideMark/>
          </w:tcPr>
          <w:p w14:paraId="6947C18A"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Large in-channel fresh</w:t>
            </w:r>
            <w:r w:rsidRPr="00CD6F25">
              <w:rPr>
                <w:rFonts w:cstheme="minorHAnsi"/>
                <w:color w:val="auto"/>
                <w:sz w:val="18"/>
                <w:szCs w:val="18"/>
              </w:rPr>
              <w:br/>
              <w:t xml:space="preserve">3 500 ML/day @ Brenda (August–May) for 14 days </w:t>
            </w:r>
          </w:p>
        </w:tc>
        <w:tc>
          <w:tcPr>
            <w:tcW w:w="1418" w:type="dxa"/>
            <w:tcBorders>
              <w:top w:val="nil"/>
              <w:left w:val="nil"/>
              <w:bottom w:val="single" w:sz="12" w:space="0" w:color="auto"/>
              <w:right w:val="single" w:sz="4" w:space="0" w:color="auto"/>
            </w:tcBorders>
            <w:shd w:val="clear" w:color="auto" w:fill="auto"/>
            <w:vAlign w:val="center"/>
            <w:hideMark/>
          </w:tcPr>
          <w:p w14:paraId="00D8B9F5"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4–6 in 10 years</w:t>
            </w:r>
          </w:p>
        </w:tc>
        <w:tc>
          <w:tcPr>
            <w:tcW w:w="5954" w:type="dxa"/>
            <w:tcBorders>
              <w:top w:val="single" w:sz="4" w:space="0" w:color="auto"/>
              <w:left w:val="single" w:sz="4" w:space="0" w:color="auto"/>
              <w:bottom w:val="single" w:sz="12" w:space="0" w:color="auto"/>
              <w:right w:val="single" w:sz="4" w:space="0" w:color="auto"/>
            </w:tcBorders>
            <w:shd w:val="clear" w:color="auto" w:fill="FFFFFF" w:themeFill="background1"/>
            <w:vAlign w:val="center"/>
          </w:tcPr>
          <w:p w14:paraId="156291EC" w14:textId="77777777" w:rsidR="00CD6F25" w:rsidRPr="00CD6F25" w:rsidRDefault="00CD6F25" w:rsidP="00CD6F25">
            <w:pPr>
              <w:spacing w:before="120"/>
              <w:jc w:val="center"/>
              <w:rPr>
                <w:rFonts w:cstheme="minorHAnsi"/>
                <w:color w:val="auto"/>
                <w:sz w:val="18"/>
                <w:szCs w:val="18"/>
              </w:rPr>
            </w:pPr>
            <w:r w:rsidRPr="00CD6F25">
              <w:rPr>
                <w:rFonts w:cstheme="minorHAnsi"/>
                <w:color w:val="auto"/>
                <w:sz w:val="18"/>
                <w:szCs w:val="18"/>
              </w:rPr>
              <w:t>The last large in-channel fresh that met the demand occurred 8 years ago, which exceeds or approaches the lifespan of short-lived fish species. A large fresh is required in 2020–21 to provide opportunities for the dispersal and recruitment of native fish species.</w:t>
            </w:r>
          </w:p>
        </w:tc>
        <w:tc>
          <w:tcPr>
            <w:tcW w:w="1984" w:type="dxa"/>
            <w:tcBorders>
              <w:top w:val="nil"/>
              <w:left w:val="single" w:sz="4" w:space="0" w:color="auto"/>
              <w:bottom w:val="single" w:sz="12" w:space="0" w:color="auto"/>
              <w:right w:val="single" w:sz="4" w:space="0" w:color="auto"/>
            </w:tcBorders>
            <w:shd w:val="clear" w:color="000000" w:fill="C00000"/>
            <w:vAlign w:val="center"/>
            <w:hideMark/>
          </w:tcPr>
          <w:p w14:paraId="0184BAC5"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Critical</w:t>
            </w:r>
            <w:r w:rsidRPr="00CD6F25">
              <w:rPr>
                <w:rFonts w:cstheme="minorHAnsi"/>
                <w:bCs/>
                <w:color w:val="auto"/>
                <w:sz w:val="18"/>
                <w:szCs w:val="18"/>
              </w:rPr>
              <w:br/>
            </w:r>
          </w:p>
        </w:tc>
        <w:tc>
          <w:tcPr>
            <w:tcW w:w="2977" w:type="dxa"/>
            <w:tcBorders>
              <w:top w:val="nil"/>
              <w:left w:val="nil"/>
              <w:bottom w:val="single" w:sz="12" w:space="0" w:color="auto"/>
              <w:right w:val="single" w:sz="4" w:space="0" w:color="auto"/>
            </w:tcBorders>
            <w:shd w:val="clear" w:color="auto" w:fill="95B3D7" w:themeFill="accent1" w:themeFillTint="99"/>
            <w:vAlign w:val="center"/>
            <w:hideMark/>
          </w:tcPr>
          <w:p w14:paraId="5BFDC0BD" w14:textId="77777777" w:rsidR="00CD6F25" w:rsidRPr="00CD6F25" w:rsidRDefault="00CD6F25" w:rsidP="00CD6F25">
            <w:pPr>
              <w:shd w:val="clear" w:color="auto" w:fill="95B3D7" w:themeFill="accent1" w:themeFillTint="99"/>
              <w:spacing w:before="60" w:after="60"/>
              <w:jc w:val="center"/>
              <w:rPr>
                <w:rFonts w:cstheme="minorHAnsi"/>
                <w:color w:val="auto"/>
                <w:sz w:val="18"/>
                <w:szCs w:val="18"/>
              </w:rPr>
            </w:pPr>
            <w:r w:rsidRPr="00CD6F25">
              <w:rPr>
                <w:rFonts w:cstheme="minorHAnsi"/>
                <w:color w:val="auto"/>
                <w:sz w:val="18"/>
                <w:szCs w:val="18"/>
              </w:rPr>
              <w:t>Possible use of CEW, however, requires further investigation. Uncertain if sufficient additional flows could be obtained, and would likely have to target one channel not whole system.</w:t>
            </w:r>
          </w:p>
        </w:tc>
        <w:tc>
          <w:tcPr>
            <w:tcW w:w="2268" w:type="dxa"/>
            <w:tcBorders>
              <w:top w:val="nil"/>
              <w:left w:val="single" w:sz="4" w:space="0" w:color="auto"/>
              <w:bottom w:val="single" w:sz="12" w:space="0" w:color="auto"/>
              <w:right w:val="single" w:sz="12" w:space="0" w:color="auto"/>
            </w:tcBorders>
            <w:shd w:val="clear" w:color="auto" w:fill="FF0000"/>
            <w:vAlign w:val="center"/>
          </w:tcPr>
          <w:p w14:paraId="30D7F874"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High</w:t>
            </w:r>
          </w:p>
          <w:p w14:paraId="6863430B" w14:textId="77777777" w:rsidR="00CD6F25" w:rsidRPr="00CD6F25" w:rsidRDefault="00CD6F25" w:rsidP="00CD6F25">
            <w:pPr>
              <w:spacing w:after="0"/>
              <w:jc w:val="center"/>
              <w:rPr>
                <w:rFonts w:cstheme="minorHAnsi"/>
                <w:bCs/>
                <w:color w:val="auto"/>
                <w:sz w:val="18"/>
                <w:szCs w:val="18"/>
              </w:rPr>
            </w:pPr>
          </w:p>
        </w:tc>
      </w:tr>
      <w:tr w:rsidR="00CD6F25" w:rsidRPr="00CD6F25" w14:paraId="1906E7C4" w14:textId="77777777" w:rsidTr="00AA0841">
        <w:trPr>
          <w:trHeight w:val="764"/>
        </w:trPr>
        <w:tc>
          <w:tcPr>
            <w:tcW w:w="1843" w:type="dxa"/>
            <w:vMerge w:val="restart"/>
            <w:tcBorders>
              <w:top w:val="single" w:sz="12" w:space="0" w:color="auto"/>
              <w:left w:val="single" w:sz="12" w:space="0" w:color="auto"/>
              <w:bottom w:val="single" w:sz="12" w:space="0" w:color="auto"/>
              <w:right w:val="single" w:sz="4" w:space="0" w:color="auto"/>
            </w:tcBorders>
            <w:shd w:val="clear" w:color="auto" w:fill="auto"/>
            <w:hideMark/>
          </w:tcPr>
          <w:p w14:paraId="55ED50A8" w14:textId="77777777" w:rsidR="00CD6F25" w:rsidRPr="00CD6F25" w:rsidRDefault="00CD6F25" w:rsidP="00CD6F25">
            <w:pPr>
              <w:rPr>
                <w:rFonts w:cstheme="minorHAnsi"/>
                <w:b/>
                <w:bCs/>
                <w:color w:val="auto"/>
                <w:sz w:val="18"/>
                <w:szCs w:val="18"/>
              </w:rPr>
            </w:pPr>
            <w:r w:rsidRPr="00CD6F25">
              <w:rPr>
                <w:rFonts w:cstheme="minorHAnsi"/>
                <w:b/>
                <w:bCs/>
                <w:color w:val="auto"/>
                <w:sz w:val="18"/>
                <w:szCs w:val="18"/>
              </w:rPr>
              <w:t>Lower Balonne River floodplain</w:t>
            </w:r>
          </w:p>
        </w:tc>
        <w:tc>
          <w:tcPr>
            <w:tcW w:w="1559" w:type="dxa"/>
            <w:tcBorders>
              <w:top w:val="single" w:sz="12" w:space="0" w:color="auto"/>
              <w:left w:val="single" w:sz="4" w:space="0" w:color="auto"/>
              <w:bottom w:val="single" w:sz="8" w:space="0" w:color="auto"/>
              <w:right w:val="single" w:sz="4" w:space="0" w:color="auto"/>
            </w:tcBorders>
            <w:shd w:val="clear" w:color="auto" w:fill="auto"/>
            <w:vAlign w:val="center"/>
            <w:hideMark/>
          </w:tcPr>
          <w:p w14:paraId="0C3C29AE" w14:textId="77777777" w:rsidR="00CD6F25" w:rsidRPr="00CD6F25" w:rsidRDefault="00CD6F25" w:rsidP="00CD6F25">
            <w:pPr>
              <w:ind w:left="111"/>
              <w:rPr>
                <w:rFonts w:cstheme="minorHAnsi"/>
                <w:color w:val="auto"/>
                <w:sz w:val="18"/>
                <w:szCs w:val="18"/>
              </w:rPr>
            </w:pPr>
            <w:r w:rsidRPr="00CD6F25">
              <w:rPr>
                <w:rFonts w:cstheme="minorHAnsi"/>
                <w:color w:val="auto"/>
                <w:sz w:val="18"/>
                <w:szCs w:val="18"/>
              </w:rPr>
              <w:t>Connectivity with the riparian zone</w:t>
            </w:r>
          </w:p>
        </w:tc>
        <w:tc>
          <w:tcPr>
            <w:tcW w:w="3969" w:type="dxa"/>
            <w:tcBorders>
              <w:top w:val="single" w:sz="12" w:space="0" w:color="auto"/>
              <w:left w:val="nil"/>
              <w:bottom w:val="single" w:sz="8" w:space="0" w:color="auto"/>
              <w:right w:val="single" w:sz="4" w:space="0" w:color="auto"/>
            </w:tcBorders>
            <w:shd w:val="clear" w:color="auto" w:fill="auto"/>
            <w:vAlign w:val="center"/>
            <w:hideMark/>
          </w:tcPr>
          <w:p w14:paraId="7B17BA38"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 xml:space="preserve">9 200 ML/day Culgoa River @ Brenda for 12 days </w:t>
            </w:r>
          </w:p>
        </w:tc>
        <w:tc>
          <w:tcPr>
            <w:tcW w:w="1418" w:type="dxa"/>
            <w:tcBorders>
              <w:top w:val="single" w:sz="12" w:space="0" w:color="auto"/>
              <w:left w:val="nil"/>
              <w:bottom w:val="single" w:sz="8" w:space="0" w:color="auto"/>
              <w:right w:val="single" w:sz="4" w:space="0" w:color="auto"/>
            </w:tcBorders>
            <w:shd w:val="clear" w:color="auto" w:fill="auto"/>
            <w:vAlign w:val="center"/>
            <w:hideMark/>
          </w:tcPr>
          <w:p w14:paraId="584FF785"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Every 2–3 years</w:t>
            </w:r>
          </w:p>
        </w:tc>
        <w:tc>
          <w:tcPr>
            <w:tcW w:w="5954" w:type="dxa"/>
            <w:tcBorders>
              <w:top w:val="single" w:sz="12" w:space="0" w:color="auto"/>
              <w:left w:val="single" w:sz="4" w:space="0" w:color="auto"/>
              <w:bottom w:val="single" w:sz="4" w:space="0" w:color="auto"/>
              <w:right w:val="single" w:sz="4" w:space="0" w:color="auto"/>
            </w:tcBorders>
            <w:shd w:val="clear" w:color="auto" w:fill="FFFFFF" w:themeFill="background1"/>
            <w:vAlign w:val="center"/>
          </w:tcPr>
          <w:p w14:paraId="0ED788DA" w14:textId="77777777" w:rsidR="00CD6F25" w:rsidRPr="00CD6F25" w:rsidRDefault="00CD6F25" w:rsidP="00CD6F25">
            <w:pPr>
              <w:spacing w:before="120"/>
              <w:jc w:val="center"/>
              <w:rPr>
                <w:rFonts w:cstheme="minorHAnsi"/>
                <w:color w:val="auto"/>
                <w:sz w:val="18"/>
                <w:szCs w:val="18"/>
              </w:rPr>
            </w:pPr>
            <w:r w:rsidRPr="00CD6F25">
              <w:rPr>
                <w:rFonts w:cstheme="minorHAnsi"/>
                <w:color w:val="auto"/>
                <w:sz w:val="18"/>
                <w:szCs w:val="18"/>
              </w:rPr>
              <w:t>The last flow of this magnitude occurred 8 years ago, which exceeds the critical interval (3 years) to maintain condition of river red gum, ephemeral wetlands and lignum communities. Inundation is required in 2020–21 to maintain ecosystem health and function.</w:t>
            </w:r>
          </w:p>
        </w:tc>
        <w:tc>
          <w:tcPr>
            <w:tcW w:w="1984" w:type="dxa"/>
            <w:tcBorders>
              <w:top w:val="single" w:sz="12" w:space="0" w:color="auto"/>
              <w:left w:val="single" w:sz="4" w:space="0" w:color="auto"/>
              <w:bottom w:val="single" w:sz="8" w:space="0" w:color="auto"/>
              <w:right w:val="single" w:sz="4" w:space="0" w:color="auto"/>
            </w:tcBorders>
            <w:shd w:val="clear" w:color="000000" w:fill="C00000"/>
            <w:vAlign w:val="center"/>
            <w:hideMark/>
          </w:tcPr>
          <w:p w14:paraId="7DA9DD5F"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Critical</w:t>
            </w:r>
            <w:r w:rsidRPr="00CD6F25">
              <w:rPr>
                <w:rFonts w:cstheme="minorHAnsi"/>
                <w:bCs/>
                <w:color w:val="auto"/>
                <w:sz w:val="18"/>
                <w:szCs w:val="18"/>
              </w:rPr>
              <w:br/>
            </w:r>
          </w:p>
        </w:tc>
        <w:tc>
          <w:tcPr>
            <w:tcW w:w="2977" w:type="dxa"/>
            <w:tcBorders>
              <w:top w:val="single" w:sz="12" w:space="0" w:color="auto"/>
              <w:left w:val="nil"/>
              <w:bottom w:val="single" w:sz="8" w:space="0" w:color="auto"/>
              <w:right w:val="single" w:sz="4" w:space="0" w:color="auto"/>
            </w:tcBorders>
            <w:shd w:val="clear" w:color="auto" w:fill="95B3D7" w:themeFill="accent1" w:themeFillTint="99"/>
            <w:vAlign w:val="center"/>
            <w:hideMark/>
          </w:tcPr>
          <w:p w14:paraId="789E7EF8" w14:textId="77777777" w:rsidR="00CD6F25" w:rsidRPr="00CD6F25" w:rsidRDefault="00CD6F25" w:rsidP="00CD6F25">
            <w:pPr>
              <w:shd w:val="clear" w:color="auto" w:fill="95B3D7" w:themeFill="accent1" w:themeFillTint="99"/>
              <w:spacing w:before="60" w:after="60"/>
              <w:jc w:val="center"/>
              <w:rPr>
                <w:rFonts w:cstheme="minorHAnsi"/>
                <w:color w:val="auto"/>
                <w:sz w:val="18"/>
                <w:szCs w:val="18"/>
              </w:rPr>
            </w:pPr>
            <w:r w:rsidRPr="00CD6F25">
              <w:rPr>
                <w:rFonts w:cstheme="minorHAnsi"/>
                <w:color w:val="auto"/>
                <w:sz w:val="18"/>
                <w:szCs w:val="18"/>
              </w:rPr>
              <w:t>Possible use of EW, however, requires further investigation, including ecological outcomes from watering.</w:t>
            </w:r>
          </w:p>
        </w:tc>
        <w:tc>
          <w:tcPr>
            <w:tcW w:w="2268" w:type="dxa"/>
            <w:tcBorders>
              <w:top w:val="single" w:sz="12" w:space="0" w:color="auto"/>
              <w:left w:val="single" w:sz="4" w:space="0" w:color="auto"/>
              <w:bottom w:val="single" w:sz="8" w:space="0" w:color="auto"/>
              <w:right w:val="single" w:sz="12" w:space="0" w:color="auto"/>
            </w:tcBorders>
            <w:shd w:val="clear" w:color="auto" w:fill="FF0000"/>
            <w:vAlign w:val="center"/>
          </w:tcPr>
          <w:p w14:paraId="7379DADD"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High</w:t>
            </w:r>
          </w:p>
          <w:p w14:paraId="24CE4A58" w14:textId="77777777" w:rsidR="00CD6F25" w:rsidRPr="00CD6F25" w:rsidRDefault="00CD6F25" w:rsidP="00CD6F25">
            <w:pPr>
              <w:jc w:val="center"/>
              <w:rPr>
                <w:rFonts w:cstheme="minorHAnsi"/>
                <w:bCs/>
                <w:color w:val="auto"/>
                <w:sz w:val="18"/>
                <w:szCs w:val="18"/>
              </w:rPr>
            </w:pPr>
          </w:p>
        </w:tc>
      </w:tr>
      <w:tr w:rsidR="00CD6F25" w:rsidRPr="00CD6F25" w14:paraId="6962B968" w14:textId="77777777" w:rsidTr="00AA0841">
        <w:trPr>
          <w:trHeight w:val="705"/>
        </w:trPr>
        <w:tc>
          <w:tcPr>
            <w:tcW w:w="1843" w:type="dxa"/>
            <w:vMerge/>
            <w:tcBorders>
              <w:top w:val="nil"/>
              <w:left w:val="single" w:sz="12" w:space="0" w:color="auto"/>
              <w:bottom w:val="single" w:sz="12" w:space="0" w:color="auto"/>
              <w:right w:val="single" w:sz="4" w:space="0" w:color="auto"/>
            </w:tcBorders>
            <w:vAlign w:val="center"/>
            <w:hideMark/>
          </w:tcPr>
          <w:p w14:paraId="38F5FCDB" w14:textId="77777777" w:rsidR="00CD6F25" w:rsidRPr="00CD6F25" w:rsidRDefault="00CD6F25" w:rsidP="00CD6F25">
            <w:pPr>
              <w:rPr>
                <w:rFonts w:cstheme="minorHAnsi"/>
                <w:b/>
                <w:bCs/>
                <w:color w:val="auto"/>
                <w:sz w:val="18"/>
                <w:szCs w:val="18"/>
              </w:rPr>
            </w:pPr>
          </w:p>
        </w:tc>
        <w:tc>
          <w:tcPr>
            <w:tcW w:w="1559" w:type="dxa"/>
            <w:tcBorders>
              <w:top w:val="nil"/>
              <w:left w:val="single" w:sz="4" w:space="0" w:color="auto"/>
              <w:bottom w:val="single" w:sz="8" w:space="0" w:color="auto"/>
              <w:right w:val="single" w:sz="4" w:space="0" w:color="auto"/>
            </w:tcBorders>
            <w:shd w:val="clear" w:color="auto" w:fill="auto"/>
            <w:vAlign w:val="center"/>
            <w:hideMark/>
          </w:tcPr>
          <w:p w14:paraId="4FF22F4E" w14:textId="77777777" w:rsidR="00CD6F25" w:rsidRPr="00CD6F25" w:rsidRDefault="00CD6F25" w:rsidP="00CD6F25">
            <w:pPr>
              <w:ind w:left="111"/>
              <w:rPr>
                <w:rFonts w:cstheme="minorHAnsi"/>
                <w:color w:val="auto"/>
                <w:sz w:val="18"/>
                <w:szCs w:val="18"/>
              </w:rPr>
            </w:pPr>
            <w:r w:rsidRPr="00CD6F25">
              <w:rPr>
                <w:rFonts w:cstheme="minorHAnsi"/>
                <w:color w:val="auto"/>
                <w:sz w:val="18"/>
                <w:szCs w:val="18"/>
              </w:rPr>
              <w:t>Connectivity with the inner floodplain</w:t>
            </w:r>
          </w:p>
        </w:tc>
        <w:tc>
          <w:tcPr>
            <w:tcW w:w="3969" w:type="dxa"/>
            <w:tcBorders>
              <w:top w:val="nil"/>
              <w:left w:val="nil"/>
              <w:bottom w:val="single" w:sz="8" w:space="0" w:color="auto"/>
              <w:right w:val="single" w:sz="4" w:space="0" w:color="auto"/>
            </w:tcBorders>
            <w:shd w:val="clear" w:color="auto" w:fill="auto"/>
            <w:vAlign w:val="center"/>
            <w:hideMark/>
          </w:tcPr>
          <w:p w14:paraId="190DA3B2"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 xml:space="preserve">15 000 ML/day Culgoa River @ Brenda for 10 days </w:t>
            </w:r>
          </w:p>
        </w:tc>
        <w:tc>
          <w:tcPr>
            <w:tcW w:w="1418" w:type="dxa"/>
            <w:tcBorders>
              <w:top w:val="nil"/>
              <w:left w:val="nil"/>
              <w:bottom w:val="single" w:sz="8" w:space="0" w:color="auto"/>
              <w:right w:val="single" w:sz="4" w:space="0" w:color="auto"/>
            </w:tcBorders>
            <w:shd w:val="clear" w:color="auto" w:fill="auto"/>
            <w:vAlign w:val="center"/>
            <w:hideMark/>
          </w:tcPr>
          <w:p w14:paraId="3B4DADC5"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Every 3.5–4 years</w:t>
            </w:r>
          </w:p>
        </w:tc>
        <w:tc>
          <w:tcPr>
            <w:tcW w:w="59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102AB2" w14:textId="77777777" w:rsidR="00CD6F25" w:rsidRPr="00CD6F25" w:rsidRDefault="00CD6F25" w:rsidP="00CD6F25">
            <w:pPr>
              <w:spacing w:before="120"/>
              <w:jc w:val="center"/>
              <w:rPr>
                <w:rFonts w:cstheme="minorHAnsi"/>
                <w:color w:val="auto"/>
                <w:sz w:val="18"/>
                <w:szCs w:val="18"/>
              </w:rPr>
            </w:pPr>
            <w:r w:rsidRPr="00CD6F25">
              <w:rPr>
                <w:rFonts w:cstheme="minorHAnsi"/>
                <w:color w:val="auto"/>
                <w:sz w:val="18"/>
                <w:szCs w:val="18"/>
              </w:rPr>
              <w:t>The last flow of this magnitude occurred 8 years ago. Inundation is required in 2020–21 to maintain ecosystem health and function.</w:t>
            </w:r>
          </w:p>
        </w:tc>
        <w:tc>
          <w:tcPr>
            <w:tcW w:w="1984" w:type="dxa"/>
            <w:tcBorders>
              <w:top w:val="nil"/>
              <w:left w:val="single" w:sz="4" w:space="0" w:color="auto"/>
              <w:bottom w:val="single" w:sz="8" w:space="0" w:color="auto"/>
              <w:right w:val="single" w:sz="4" w:space="0" w:color="auto"/>
            </w:tcBorders>
            <w:shd w:val="clear" w:color="auto" w:fill="C00000"/>
            <w:vAlign w:val="center"/>
            <w:hideMark/>
          </w:tcPr>
          <w:p w14:paraId="3D42B71F"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Critical</w:t>
            </w:r>
            <w:r w:rsidRPr="00CD6F25">
              <w:rPr>
                <w:rFonts w:cstheme="minorHAnsi"/>
                <w:bCs/>
                <w:color w:val="auto"/>
                <w:sz w:val="18"/>
                <w:szCs w:val="18"/>
              </w:rPr>
              <w:br/>
            </w:r>
          </w:p>
        </w:tc>
        <w:tc>
          <w:tcPr>
            <w:tcW w:w="2977" w:type="dxa"/>
            <w:tcBorders>
              <w:top w:val="nil"/>
              <w:left w:val="nil"/>
              <w:bottom w:val="single" w:sz="8" w:space="0" w:color="auto"/>
              <w:right w:val="single" w:sz="4" w:space="0" w:color="auto"/>
            </w:tcBorders>
            <w:shd w:val="clear" w:color="auto" w:fill="FFFFFF" w:themeFill="background1"/>
            <w:vAlign w:val="center"/>
            <w:hideMark/>
          </w:tcPr>
          <w:p w14:paraId="4377EC8A" w14:textId="77777777" w:rsidR="00CD6F25" w:rsidRPr="00CD6F25" w:rsidRDefault="00CD6F25" w:rsidP="00CD6F25">
            <w:pPr>
              <w:spacing w:before="60" w:after="60"/>
              <w:jc w:val="center"/>
              <w:rPr>
                <w:rFonts w:cstheme="minorHAnsi"/>
                <w:color w:val="auto"/>
                <w:sz w:val="18"/>
                <w:szCs w:val="18"/>
                <w:shd w:val="clear" w:color="auto" w:fill="FFFFFF" w:themeFill="background1"/>
              </w:rPr>
            </w:pPr>
            <w:r w:rsidRPr="00CD6F25">
              <w:rPr>
                <w:rFonts w:cstheme="minorHAnsi"/>
                <w:color w:val="auto"/>
                <w:sz w:val="18"/>
                <w:szCs w:val="18"/>
                <w:shd w:val="clear" w:color="auto" w:fill="FFFFFF" w:themeFill="background1"/>
              </w:rPr>
              <w:t xml:space="preserve">Low priority for use of CEW. Benefit of supplying additional Commonwealth environmental water would be negligible. </w:t>
            </w:r>
          </w:p>
        </w:tc>
        <w:tc>
          <w:tcPr>
            <w:tcW w:w="2268" w:type="dxa"/>
            <w:tcBorders>
              <w:top w:val="nil"/>
              <w:left w:val="single" w:sz="4" w:space="0" w:color="auto"/>
              <w:bottom w:val="single" w:sz="8" w:space="0" w:color="auto"/>
              <w:right w:val="single" w:sz="12" w:space="0" w:color="auto"/>
            </w:tcBorders>
            <w:shd w:val="clear" w:color="auto" w:fill="FF0000"/>
            <w:vAlign w:val="center"/>
          </w:tcPr>
          <w:p w14:paraId="6ABA4086"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High</w:t>
            </w:r>
          </w:p>
          <w:p w14:paraId="064A3F15" w14:textId="77777777" w:rsidR="00CD6F25" w:rsidRPr="00CD6F25" w:rsidRDefault="00CD6F25" w:rsidP="00CD6F25">
            <w:pPr>
              <w:spacing w:after="0"/>
              <w:jc w:val="center"/>
              <w:rPr>
                <w:rFonts w:cstheme="minorHAnsi"/>
                <w:bCs/>
                <w:color w:val="auto"/>
                <w:sz w:val="18"/>
                <w:szCs w:val="18"/>
              </w:rPr>
            </w:pPr>
          </w:p>
        </w:tc>
      </w:tr>
      <w:tr w:rsidR="00CD6F25" w:rsidRPr="00CD6F25" w14:paraId="52CADEA2" w14:textId="77777777" w:rsidTr="00AA0841">
        <w:trPr>
          <w:trHeight w:val="531"/>
        </w:trPr>
        <w:tc>
          <w:tcPr>
            <w:tcW w:w="1843" w:type="dxa"/>
            <w:vMerge/>
            <w:tcBorders>
              <w:top w:val="nil"/>
              <w:left w:val="single" w:sz="12" w:space="0" w:color="auto"/>
              <w:bottom w:val="single" w:sz="12" w:space="0" w:color="auto"/>
              <w:right w:val="single" w:sz="4" w:space="0" w:color="auto"/>
            </w:tcBorders>
            <w:vAlign w:val="center"/>
            <w:hideMark/>
          </w:tcPr>
          <w:p w14:paraId="0B6FAE24" w14:textId="77777777" w:rsidR="00CD6F25" w:rsidRPr="00CD6F25" w:rsidRDefault="00CD6F25" w:rsidP="00CD6F25">
            <w:pPr>
              <w:rPr>
                <w:rFonts w:cstheme="minorHAnsi"/>
                <w:b/>
                <w:bCs/>
                <w:color w:val="auto"/>
                <w:sz w:val="18"/>
                <w:szCs w:val="18"/>
              </w:rPr>
            </w:pPr>
          </w:p>
        </w:tc>
        <w:tc>
          <w:tcPr>
            <w:tcW w:w="1559" w:type="dxa"/>
            <w:tcBorders>
              <w:top w:val="nil"/>
              <w:left w:val="single" w:sz="4" w:space="0" w:color="auto"/>
              <w:bottom w:val="single" w:sz="8" w:space="0" w:color="auto"/>
              <w:right w:val="single" w:sz="4" w:space="0" w:color="auto"/>
            </w:tcBorders>
            <w:shd w:val="clear" w:color="auto" w:fill="auto"/>
            <w:vAlign w:val="center"/>
            <w:hideMark/>
          </w:tcPr>
          <w:p w14:paraId="56784902" w14:textId="77777777" w:rsidR="00CD6F25" w:rsidRPr="00CD6F25" w:rsidRDefault="00CD6F25" w:rsidP="00CD6F25">
            <w:pPr>
              <w:ind w:left="111"/>
              <w:rPr>
                <w:rFonts w:cstheme="minorHAnsi"/>
                <w:color w:val="auto"/>
                <w:sz w:val="18"/>
                <w:szCs w:val="18"/>
              </w:rPr>
            </w:pPr>
            <w:r w:rsidRPr="00CD6F25">
              <w:rPr>
                <w:rFonts w:cstheme="minorHAnsi"/>
                <w:color w:val="auto"/>
                <w:sz w:val="18"/>
                <w:szCs w:val="18"/>
              </w:rPr>
              <w:t>Connectivity with the mid floodplain</w:t>
            </w:r>
          </w:p>
        </w:tc>
        <w:tc>
          <w:tcPr>
            <w:tcW w:w="3969" w:type="dxa"/>
            <w:tcBorders>
              <w:top w:val="nil"/>
              <w:left w:val="nil"/>
              <w:bottom w:val="single" w:sz="8" w:space="0" w:color="auto"/>
              <w:right w:val="single" w:sz="4" w:space="0" w:color="auto"/>
            </w:tcBorders>
            <w:shd w:val="clear" w:color="auto" w:fill="auto"/>
            <w:vAlign w:val="center"/>
            <w:hideMark/>
          </w:tcPr>
          <w:p w14:paraId="5F95B8D4"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24 500 ML/day Culgoa River @ Brenda for 7 days</w:t>
            </w:r>
          </w:p>
        </w:tc>
        <w:tc>
          <w:tcPr>
            <w:tcW w:w="1418" w:type="dxa"/>
            <w:tcBorders>
              <w:top w:val="nil"/>
              <w:left w:val="nil"/>
              <w:bottom w:val="single" w:sz="8" w:space="0" w:color="auto"/>
              <w:right w:val="single" w:sz="4" w:space="0" w:color="auto"/>
            </w:tcBorders>
            <w:shd w:val="clear" w:color="auto" w:fill="auto"/>
            <w:vAlign w:val="center"/>
            <w:hideMark/>
          </w:tcPr>
          <w:p w14:paraId="0DE07476"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Every 6–8 years</w:t>
            </w:r>
          </w:p>
        </w:tc>
        <w:tc>
          <w:tcPr>
            <w:tcW w:w="59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E0855E" w14:textId="77777777" w:rsidR="00CD6F25" w:rsidRPr="00CD6F25" w:rsidRDefault="00CD6F25" w:rsidP="00CD6F25">
            <w:pPr>
              <w:spacing w:before="120"/>
              <w:jc w:val="center"/>
              <w:rPr>
                <w:rFonts w:cstheme="minorHAnsi"/>
                <w:color w:val="auto"/>
                <w:sz w:val="18"/>
                <w:szCs w:val="18"/>
              </w:rPr>
            </w:pPr>
            <w:r w:rsidRPr="00CD6F25">
              <w:rPr>
                <w:rFonts w:cstheme="minorHAnsi"/>
                <w:color w:val="auto"/>
                <w:sz w:val="18"/>
                <w:szCs w:val="18"/>
              </w:rPr>
              <w:t>The last flow that met the demand occurred 8 years ago. Inundation is required within the next year to maintain ecosystem health and function</w:t>
            </w:r>
          </w:p>
        </w:tc>
        <w:tc>
          <w:tcPr>
            <w:tcW w:w="1984" w:type="dxa"/>
            <w:tcBorders>
              <w:top w:val="nil"/>
              <w:left w:val="single" w:sz="4" w:space="0" w:color="auto"/>
              <w:bottom w:val="single" w:sz="8" w:space="0" w:color="auto"/>
              <w:right w:val="single" w:sz="4" w:space="0" w:color="auto"/>
            </w:tcBorders>
            <w:shd w:val="clear" w:color="auto" w:fill="FF0000"/>
            <w:vAlign w:val="center"/>
            <w:hideMark/>
          </w:tcPr>
          <w:p w14:paraId="1E695153"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High</w:t>
            </w:r>
            <w:r w:rsidRPr="00CD6F25">
              <w:rPr>
                <w:rFonts w:cstheme="minorHAnsi"/>
                <w:bCs/>
                <w:color w:val="auto"/>
                <w:sz w:val="18"/>
                <w:szCs w:val="18"/>
              </w:rPr>
              <w:br/>
            </w:r>
          </w:p>
        </w:tc>
        <w:tc>
          <w:tcPr>
            <w:tcW w:w="2977" w:type="dxa"/>
            <w:tcBorders>
              <w:top w:val="nil"/>
              <w:left w:val="nil"/>
              <w:bottom w:val="single" w:sz="8" w:space="0" w:color="auto"/>
              <w:right w:val="single" w:sz="4" w:space="0" w:color="auto"/>
            </w:tcBorders>
            <w:shd w:val="clear" w:color="auto" w:fill="auto"/>
            <w:vAlign w:val="center"/>
            <w:hideMark/>
          </w:tcPr>
          <w:p w14:paraId="49619F77" w14:textId="77777777" w:rsidR="00CD6F25" w:rsidRPr="00CD6F25" w:rsidRDefault="00CD6F25" w:rsidP="00CD6F25">
            <w:pPr>
              <w:spacing w:before="60" w:after="60"/>
              <w:jc w:val="center"/>
              <w:rPr>
                <w:rFonts w:cstheme="minorHAnsi"/>
                <w:color w:val="auto"/>
                <w:sz w:val="18"/>
                <w:szCs w:val="18"/>
                <w:shd w:val="clear" w:color="auto" w:fill="FFFFFF" w:themeFill="background1"/>
              </w:rPr>
            </w:pPr>
            <w:r w:rsidRPr="00CD6F25">
              <w:rPr>
                <w:rFonts w:cstheme="minorHAnsi"/>
                <w:color w:val="auto"/>
                <w:sz w:val="18"/>
                <w:szCs w:val="18"/>
                <w:shd w:val="clear" w:color="auto" w:fill="FFFFFF" w:themeFill="background1"/>
              </w:rPr>
              <w:t>Low priority for use of CEW. Benefit of supplying additional Commonwealth environmental water would be negligible.</w:t>
            </w:r>
          </w:p>
        </w:tc>
        <w:tc>
          <w:tcPr>
            <w:tcW w:w="2268" w:type="dxa"/>
            <w:tcBorders>
              <w:top w:val="nil"/>
              <w:left w:val="single" w:sz="4" w:space="0" w:color="auto"/>
              <w:bottom w:val="single" w:sz="8" w:space="0" w:color="auto"/>
              <w:right w:val="single" w:sz="12" w:space="0" w:color="auto"/>
            </w:tcBorders>
            <w:shd w:val="clear" w:color="auto" w:fill="92D050"/>
            <w:vAlign w:val="center"/>
          </w:tcPr>
          <w:p w14:paraId="412F688E"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Low</w:t>
            </w:r>
          </w:p>
        </w:tc>
      </w:tr>
      <w:tr w:rsidR="00CD6F25" w:rsidRPr="00CD6F25" w14:paraId="48970270" w14:textId="77777777" w:rsidTr="00AA0841">
        <w:trPr>
          <w:trHeight w:val="969"/>
        </w:trPr>
        <w:tc>
          <w:tcPr>
            <w:tcW w:w="1843" w:type="dxa"/>
            <w:vMerge/>
            <w:tcBorders>
              <w:top w:val="single" w:sz="12" w:space="0" w:color="auto"/>
              <w:left w:val="single" w:sz="12" w:space="0" w:color="auto"/>
              <w:bottom w:val="single" w:sz="12" w:space="0" w:color="auto"/>
              <w:right w:val="single" w:sz="4" w:space="0" w:color="auto"/>
            </w:tcBorders>
            <w:vAlign w:val="center"/>
            <w:hideMark/>
          </w:tcPr>
          <w:p w14:paraId="4BCBDEE4" w14:textId="77777777" w:rsidR="00CD6F25" w:rsidRPr="00CD6F25" w:rsidRDefault="00CD6F25" w:rsidP="00CD6F25">
            <w:pPr>
              <w:rPr>
                <w:rFonts w:cstheme="minorHAnsi"/>
                <w:b/>
                <w:bCs/>
                <w:color w:val="auto"/>
                <w:sz w:val="18"/>
                <w:szCs w:val="18"/>
              </w:rPr>
            </w:pPr>
          </w:p>
        </w:tc>
        <w:tc>
          <w:tcPr>
            <w:tcW w:w="1559" w:type="dxa"/>
            <w:tcBorders>
              <w:top w:val="nil"/>
              <w:left w:val="single" w:sz="4" w:space="0" w:color="auto"/>
              <w:bottom w:val="single" w:sz="12" w:space="0" w:color="auto"/>
              <w:right w:val="single" w:sz="4" w:space="0" w:color="auto"/>
            </w:tcBorders>
            <w:shd w:val="clear" w:color="auto" w:fill="auto"/>
            <w:vAlign w:val="center"/>
            <w:hideMark/>
          </w:tcPr>
          <w:p w14:paraId="6732BC33" w14:textId="77777777" w:rsidR="00CD6F25" w:rsidRPr="00CD6F25" w:rsidRDefault="00CD6F25" w:rsidP="00CD6F25">
            <w:pPr>
              <w:ind w:left="111"/>
              <w:rPr>
                <w:rFonts w:cstheme="minorHAnsi"/>
                <w:color w:val="auto"/>
                <w:sz w:val="18"/>
                <w:szCs w:val="18"/>
              </w:rPr>
            </w:pPr>
            <w:r w:rsidRPr="00CD6F25">
              <w:rPr>
                <w:rFonts w:cstheme="minorHAnsi"/>
                <w:color w:val="auto"/>
                <w:sz w:val="18"/>
                <w:szCs w:val="18"/>
              </w:rPr>
              <w:t>Connectivity with outer floodplain</w:t>
            </w:r>
          </w:p>
        </w:tc>
        <w:tc>
          <w:tcPr>
            <w:tcW w:w="3969" w:type="dxa"/>
            <w:tcBorders>
              <w:top w:val="nil"/>
              <w:left w:val="nil"/>
              <w:bottom w:val="single" w:sz="12" w:space="0" w:color="auto"/>
              <w:right w:val="single" w:sz="4" w:space="0" w:color="auto"/>
            </w:tcBorders>
            <w:shd w:val="clear" w:color="auto" w:fill="auto"/>
            <w:vAlign w:val="center"/>
            <w:hideMark/>
          </w:tcPr>
          <w:p w14:paraId="206AD588"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38 000 ML/day Culgoa River @ Brenda for 6 days</w:t>
            </w:r>
          </w:p>
        </w:tc>
        <w:tc>
          <w:tcPr>
            <w:tcW w:w="1418" w:type="dxa"/>
            <w:tcBorders>
              <w:top w:val="nil"/>
              <w:left w:val="nil"/>
              <w:bottom w:val="single" w:sz="12" w:space="0" w:color="auto"/>
              <w:right w:val="single" w:sz="4" w:space="0" w:color="auto"/>
            </w:tcBorders>
            <w:shd w:val="clear" w:color="auto" w:fill="auto"/>
            <w:vAlign w:val="center"/>
            <w:hideMark/>
          </w:tcPr>
          <w:p w14:paraId="3D8E968D"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Every 10–20 years</w:t>
            </w:r>
          </w:p>
        </w:tc>
        <w:tc>
          <w:tcPr>
            <w:tcW w:w="5954" w:type="dxa"/>
            <w:tcBorders>
              <w:top w:val="single" w:sz="4" w:space="0" w:color="auto"/>
              <w:left w:val="single" w:sz="4" w:space="0" w:color="auto"/>
              <w:bottom w:val="single" w:sz="12" w:space="0" w:color="auto"/>
              <w:right w:val="single" w:sz="4" w:space="0" w:color="auto"/>
            </w:tcBorders>
            <w:shd w:val="clear" w:color="auto" w:fill="FFFFFF" w:themeFill="background1"/>
            <w:vAlign w:val="center"/>
          </w:tcPr>
          <w:p w14:paraId="22327864" w14:textId="77777777" w:rsidR="00CD6F25" w:rsidRPr="00CD6F25" w:rsidRDefault="00CD6F25" w:rsidP="00CD6F25">
            <w:pPr>
              <w:spacing w:before="120"/>
              <w:jc w:val="center"/>
              <w:rPr>
                <w:rFonts w:cstheme="minorHAnsi"/>
                <w:color w:val="auto"/>
                <w:sz w:val="18"/>
                <w:szCs w:val="18"/>
              </w:rPr>
            </w:pPr>
            <w:r w:rsidRPr="00CD6F25">
              <w:rPr>
                <w:rFonts w:cstheme="minorHAnsi"/>
                <w:color w:val="auto"/>
                <w:sz w:val="18"/>
                <w:szCs w:val="18"/>
              </w:rPr>
              <w:t>The last flow that met the demand occurred 8 years ago. Critical interval for inundation will be in 2021–22.</w:t>
            </w:r>
          </w:p>
        </w:tc>
        <w:tc>
          <w:tcPr>
            <w:tcW w:w="1984" w:type="dxa"/>
            <w:tcBorders>
              <w:top w:val="nil"/>
              <w:left w:val="single" w:sz="4" w:space="0" w:color="auto"/>
              <w:bottom w:val="single" w:sz="12" w:space="0" w:color="auto"/>
              <w:right w:val="single" w:sz="4" w:space="0" w:color="auto"/>
            </w:tcBorders>
            <w:shd w:val="clear" w:color="auto" w:fill="92D050"/>
            <w:vAlign w:val="center"/>
            <w:hideMark/>
          </w:tcPr>
          <w:p w14:paraId="05414DA7"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Low</w:t>
            </w:r>
            <w:r w:rsidRPr="00CD6F25">
              <w:rPr>
                <w:rFonts w:cstheme="minorHAnsi"/>
                <w:bCs/>
                <w:color w:val="auto"/>
                <w:sz w:val="18"/>
                <w:szCs w:val="18"/>
              </w:rPr>
              <w:br/>
            </w:r>
          </w:p>
        </w:tc>
        <w:tc>
          <w:tcPr>
            <w:tcW w:w="2977" w:type="dxa"/>
            <w:tcBorders>
              <w:top w:val="nil"/>
              <w:left w:val="nil"/>
              <w:bottom w:val="single" w:sz="12" w:space="0" w:color="auto"/>
              <w:right w:val="single" w:sz="4" w:space="0" w:color="auto"/>
            </w:tcBorders>
            <w:shd w:val="clear" w:color="auto" w:fill="auto"/>
            <w:vAlign w:val="center"/>
            <w:hideMark/>
          </w:tcPr>
          <w:p w14:paraId="354CB16C" w14:textId="77777777" w:rsidR="00CD6F25" w:rsidRPr="00CD6F25" w:rsidRDefault="00CD6F25" w:rsidP="00CD6F25">
            <w:pPr>
              <w:spacing w:before="60" w:after="60"/>
              <w:jc w:val="center"/>
              <w:rPr>
                <w:rFonts w:cstheme="minorHAnsi"/>
                <w:color w:val="auto"/>
                <w:sz w:val="18"/>
                <w:szCs w:val="18"/>
                <w:shd w:val="clear" w:color="auto" w:fill="FFFFFF" w:themeFill="background1"/>
              </w:rPr>
            </w:pPr>
            <w:r w:rsidRPr="00CD6F25">
              <w:rPr>
                <w:rFonts w:cstheme="minorHAnsi"/>
                <w:color w:val="auto"/>
                <w:sz w:val="18"/>
                <w:szCs w:val="18"/>
                <w:shd w:val="clear" w:color="auto" w:fill="FFFFFF" w:themeFill="background1"/>
              </w:rPr>
              <w:t>Low priority for use of CEW. Benefit of additional Commonwealth environmental water would be negligible.</w:t>
            </w:r>
          </w:p>
        </w:tc>
        <w:tc>
          <w:tcPr>
            <w:tcW w:w="2268" w:type="dxa"/>
            <w:tcBorders>
              <w:top w:val="nil"/>
              <w:left w:val="single" w:sz="4" w:space="0" w:color="auto"/>
              <w:bottom w:val="single" w:sz="12" w:space="0" w:color="auto"/>
              <w:right w:val="single" w:sz="12" w:space="0" w:color="auto"/>
            </w:tcBorders>
            <w:shd w:val="clear" w:color="auto" w:fill="92D050"/>
            <w:vAlign w:val="center"/>
          </w:tcPr>
          <w:p w14:paraId="5A3F4716"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Low</w:t>
            </w:r>
          </w:p>
        </w:tc>
      </w:tr>
      <w:tr w:rsidR="00CD6F25" w:rsidRPr="00CD6F25" w14:paraId="26C0F5A5" w14:textId="77777777" w:rsidTr="00AA0841">
        <w:trPr>
          <w:trHeight w:val="1273"/>
        </w:trPr>
        <w:tc>
          <w:tcPr>
            <w:tcW w:w="1843" w:type="dxa"/>
            <w:vMerge w:val="restart"/>
            <w:tcBorders>
              <w:top w:val="single" w:sz="12" w:space="0" w:color="auto"/>
              <w:left w:val="single" w:sz="12" w:space="0" w:color="auto"/>
              <w:bottom w:val="single" w:sz="12" w:space="0" w:color="auto"/>
              <w:right w:val="single" w:sz="4" w:space="0" w:color="auto"/>
            </w:tcBorders>
            <w:shd w:val="clear" w:color="auto" w:fill="auto"/>
            <w:hideMark/>
          </w:tcPr>
          <w:p w14:paraId="64456EA8" w14:textId="77777777" w:rsidR="00CD6F25" w:rsidRPr="00CD6F25" w:rsidRDefault="00CD6F25" w:rsidP="00CD6F25">
            <w:pPr>
              <w:rPr>
                <w:rFonts w:cstheme="minorHAnsi"/>
                <w:b/>
                <w:bCs/>
                <w:color w:val="auto"/>
                <w:sz w:val="18"/>
                <w:szCs w:val="18"/>
              </w:rPr>
            </w:pPr>
            <w:r w:rsidRPr="00CD6F25">
              <w:rPr>
                <w:rFonts w:cstheme="minorHAnsi"/>
                <w:b/>
                <w:bCs/>
                <w:color w:val="auto"/>
                <w:sz w:val="18"/>
                <w:szCs w:val="18"/>
              </w:rPr>
              <w:lastRenderedPageBreak/>
              <w:t>Narran Lakes</w:t>
            </w:r>
          </w:p>
        </w:tc>
        <w:tc>
          <w:tcPr>
            <w:tcW w:w="1559" w:type="dxa"/>
            <w:tcBorders>
              <w:top w:val="single" w:sz="12" w:space="0" w:color="auto"/>
              <w:left w:val="single" w:sz="4" w:space="0" w:color="auto"/>
              <w:bottom w:val="nil"/>
              <w:right w:val="single" w:sz="4" w:space="0" w:color="auto"/>
            </w:tcBorders>
            <w:shd w:val="clear" w:color="auto" w:fill="auto"/>
            <w:vAlign w:val="center"/>
            <w:hideMark/>
          </w:tcPr>
          <w:p w14:paraId="56B3196B" w14:textId="77777777" w:rsidR="00CD6F25" w:rsidRPr="00CD6F25" w:rsidRDefault="00CD6F25" w:rsidP="00CD6F25">
            <w:pPr>
              <w:ind w:left="111"/>
              <w:rPr>
                <w:rFonts w:cstheme="minorHAnsi"/>
                <w:color w:val="auto"/>
                <w:sz w:val="18"/>
                <w:szCs w:val="18"/>
              </w:rPr>
            </w:pPr>
            <w:r w:rsidRPr="00CD6F25">
              <w:rPr>
                <w:rFonts w:cstheme="minorHAnsi"/>
                <w:color w:val="auto"/>
                <w:sz w:val="18"/>
                <w:szCs w:val="18"/>
              </w:rPr>
              <w:t>Waterbird breeding habitat in northern lakes (Ramsar site**)</w:t>
            </w:r>
          </w:p>
        </w:tc>
        <w:tc>
          <w:tcPr>
            <w:tcW w:w="3969" w:type="dxa"/>
            <w:tcBorders>
              <w:top w:val="single" w:sz="12" w:space="0" w:color="auto"/>
              <w:left w:val="nil"/>
              <w:bottom w:val="nil"/>
              <w:right w:val="single" w:sz="4" w:space="0" w:color="auto"/>
            </w:tcBorders>
            <w:shd w:val="clear" w:color="auto" w:fill="auto"/>
            <w:vAlign w:val="center"/>
            <w:hideMark/>
          </w:tcPr>
          <w:p w14:paraId="2FE2F769"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25 GL @ Wilby Wilby (Narran River) over 60 days</w:t>
            </w:r>
          </w:p>
        </w:tc>
        <w:tc>
          <w:tcPr>
            <w:tcW w:w="1418" w:type="dxa"/>
            <w:tcBorders>
              <w:top w:val="single" w:sz="12" w:space="0" w:color="auto"/>
              <w:left w:val="nil"/>
              <w:bottom w:val="nil"/>
              <w:right w:val="single" w:sz="4" w:space="0" w:color="auto"/>
            </w:tcBorders>
            <w:shd w:val="clear" w:color="auto" w:fill="auto"/>
            <w:vAlign w:val="center"/>
            <w:hideMark/>
          </w:tcPr>
          <w:p w14:paraId="313A534F"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Every 1–1.3 years</w:t>
            </w:r>
          </w:p>
        </w:tc>
        <w:tc>
          <w:tcPr>
            <w:tcW w:w="5954" w:type="dxa"/>
            <w:tcBorders>
              <w:top w:val="single" w:sz="12" w:space="0" w:color="auto"/>
              <w:left w:val="single" w:sz="4" w:space="0" w:color="auto"/>
              <w:bottom w:val="single" w:sz="4" w:space="0" w:color="auto"/>
              <w:right w:val="single" w:sz="4" w:space="0" w:color="auto"/>
            </w:tcBorders>
            <w:shd w:val="clear" w:color="auto" w:fill="FFFFFF" w:themeFill="background1"/>
            <w:vAlign w:val="center"/>
          </w:tcPr>
          <w:p w14:paraId="259AC136" w14:textId="77777777" w:rsidR="00CD6F25" w:rsidRPr="00CD6F25" w:rsidRDefault="00CD6F25" w:rsidP="00CD6F25">
            <w:pPr>
              <w:spacing w:before="120"/>
              <w:jc w:val="center"/>
              <w:rPr>
                <w:rFonts w:cstheme="minorHAnsi"/>
                <w:color w:val="auto"/>
                <w:sz w:val="18"/>
                <w:szCs w:val="18"/>
              </w:rPr>
            </w:pPr>
            <w:r w:rsidRPr="00CD6F25">
              <w:rPr>
                <w:rFonts w:cstheme="minorHAnsi"/>
                <w:color w:val="auto"/>
                <w:sz w:val="18"/>
                <w:szCs w:val="18"/>
              </w:rPr>
              <w:t>This demand has been met 4 out of the past 10 years, which exceeds the frequency range for this requirement. While this demand was met by the flow event during March–April 2020, the requirement for this demand is high</w:t>
            </w:r>
          </w:p>
        </w:tc>
        <w:tc>
          <w:tcPr>
            <w:tcW w:w="1984" w:type="dxa"/>
            <w:tcBorders>
              <w:top w:val="single" w:sz="12" w:space="0" w:color="auto"/>
              <w:left w:val="single" w:sz="4" w:space="0" w:color="auto"/>
              <w:bottom w:val="single" w:sz="8" w:space="0" w:color="auto"/>
              <w:right w:val="single" w:sz="4" w:space="0" w:color="auto"/>
            </w:tcBorders>
            <w:shd w:val="clear" w:color="auto" w:fill="FF0000"/>
            <w:vAlign w:val="center"/>
            <w:hideMark/>
          </w:tcPr>
          <w:p w14:paraId="3CF30158"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High</w:t>
            </w:r>
          </w:p>
          <w:p w14:paraId="518766CF" w14:textId="77777777" w:rsidR="00CD6F25" w:rsidRPr="00CD6F25" w:rsidRDefault="00CD6F25" w:rsidP="00CD6F25">
            <w:pPr>
              <w:jc w:val="center"/>
              <w:rPr>
                <w:rFonts w:cstheme="minorHAnsi"/>
                <w:bCs/>
                <w:color w:val="auto"/>
                <w:sz w:val="18"/>
                <w:szCs w:val="18"/>
              </w:rPr>
            </w:pPr>
          </w:p>
        </w:tc>
        <w:tc>
          <w:tcPr>
            <w:tcW w:w="2977" w:type="dxa"/>
            <w:vMerge w:val="restart"/>
            <w:tcBorders>
              <w:top w:val="single" w:sz="12" w:space="0" w:color="auto"/>
              <w:left w:val="single" w:sz="4" w:space="0" w:color="auto"/>
              <w:bottom w:val="single" w:sz="8" w:space="0" w:color="000000"/>
              <w:right w:val="single" w:sz="4" w:space="0" w:color="auto"/>
            </w:tcBorders>
            <w:shd w:val="clear" w:color="auto" w:fill="365F91" w:themeFill="accent1" w:themeFillShade="BF"/>
            <w:vAlign w:val="center"/>
            <w:hideMark/>
          </w:tcPr>
          <w:p w14:paraId="527FE4DF" w14:textId="77777777" w:rsidR="00CD6F25" w:rsidRPr="00CD6F25" w:rsidRDefault="00CD6F25" w:rsidP="00CD6F25">
            <w:pPr>
              <w:spacing w:before="60" w:after="60"/>
              <w:jc w:val="center"/>
              <w:rPr>
                <w:rFonts w:cstheme="minorHAnsi"/>
                <w:color w:val="auto"/>
                <w:sz w:val="18"/>
                <w:szCs w:val="18"/>
              </w:rPr>
            </w:pPr>
            <w:r w:rsidRPr="00CD6F25">
              <w:rPr>
                <w:rFonts w:cstheme="minorHAnsi"/>
                <w:color w:val="auto"/>
                <w:sz w:val="18"/>
                <w:szCs w:val="18"/>
              </w:rPr>
              <w:t>A high priority for CEW under all water resource availability scenarios.</w:t>
            </w:r>
            <w:r w:rsidRPr="00CD6F25">
              <w:rPr>
                <w:rFonts w:cstheme="minorHAnsi"/>
                <w:color w:val="auto"/>
                <w:sz w:val="18"/>
                <w:szCs w:val="18"/>
              </w:rPr>
              <w:br/>
            </w:r>
            <w:r w:rsidRPr="00CD6F25">
              <w:rPr>
                <w:rFonts w:cstheme="minorHAnsi"/>
                <w:color w:val="auto"/>
                <w:sz w:val="18"/>
                <w:szCs w:val="18"/>
              </w:rPr>
              <w:br/>
            </w:r>
          </w:p>
        </w:tc>
        <w:tc>
          <w:tcPr>
            <w:tcW w:w="2268" w:type="dxa"/>
            <w:tcBorders>
              <w:top w:val="single" w:sz="12" w:space="0" w:color="auto"/>
              <w:left w:val="single" w:sz="4" w:space="0" w:color="auto"/>
              <w:bottom w:val="single" w:sz="8" w:space="0" w:color="000000"/>
              <w:right w:val="single" w:sz="12" w:space="0" w:color="auto"/>
            </w:tcBorders>
            <w:shd w:val="clear" w:color="auto" w:fill="FFC000"/>
            <w:vAlign w:val="center"/>
          </w:tcPr>
          <w:p w14:paraId="0F7C1868"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Moderate</w:t>
            </w:r>
          </w:p>
        </w:tc>
      </w:tr>
      <w:tr w:rsidR="00CD6F25" w:rsidRPr="00CD6F25" w14:paraId="22E08277" w14:textId="77777777" w:rsidTr="00AA0841">
        <w:trPr>
          <w:trHeight w:val="1187"/>
        </w:trPr>
        <w:tc>
          <w:tcPr>
            <w:tcW w:w="1843" w:type="dxa"/>
            <w:vMerge/>
            <w:tcBorders>
              <w:top w:val="nil"/>
              <w:left w:val="single" w:sz="12" w:space="0" w:color="auto"/>
              <w:bottom w:val="single" w:sz="12" w:space="0" w:color="auto"/>
              <w:right w:val="single" w:sz="4" w:space="0" w:color="auto"/>
            </w:tcBorders>
            <w:vAlign w:val="center"/>
            <w:hideMark/>
          </w:tcPr>
          <w:p w14:paraId="539C86B1" w14:textId="77777777" w:rsidR="00CD6F25" w:rsidRPr="00CD6F25" w:rsidRDefault="00CD6F25" w:rsidP="00CD6F25">
            <w:pPr>
              <w:rPr>
                <w:rFonts w:cstheme="minorHAnsi"/>
                <w:b/>
                <w:bCs/>
                <w:color w:val="auto"/>
                <w:sz w:val="18"/>
                <w:szCs w:val="18"/>
              </w:rPr>
            </w:pPr>
          </w:p>
        </w:tc>
        <w:tc>
          <w:tcPr>
            <w:tcW w:w="1559"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36E826A4" w14:textId="77777777" w:rsidR="00CD6F25" w:rsidRPr="00CD6F25" w:rsidRDefault="00CD6F25" w:rsidP="00CD6F25">
            <w:pPr>
              <w:ind w:left="111"/>
              <w:rPr>
                <w:rFonts w:cstheme="minorHAnsi"/>
                <w:color w:val="auto"/>
                <w:sz w:val="18"/>
                <w:szCs w:val="18"/>
              </w:rPr>
            </w:pPr>
            <w:r w:rsidRPr="00CD6F25">
              <w:rPr>
                <w:rFonts w:cstheme="minorHAnsi"/>
                <w:color w:val="auto"/>
                <w:sz w:val="18"/>
                <w:szCs w:val="18"/>
              </w:rPr>
              <w:t>Waterbird breeding and foraging habitat northern lakes zone**</w:t>
            </w:r>
          </w:p>
        </w:tc>
        <w:tc>
          <w:tcPr>
            <w:tcW w:w="3969" w:type="dxa"/>
            <w:tcBorders>
              <w:top w:val="single" w:sz="4" w:space="0" w:color="auto"/>
              <w:left w:val="nil"/>
              <w:bottom w:val="single" w:sz="8" w:space="0" w:color="auto"/>
              <w:right w:val="single" w:sz="4" w:space="0" w:color="auto"/>
            </w:tcBorders>
            <w:shd w:val="clear" w:color="auto" w:fill="auto"/>
            <w:vAlign w:val="center"/>
            <w:hideMark/>
          </w:tcPr>
          <w:p w14:paraId="031F4277"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50 GL @ Wilby Wilby</w:t>
            </w:r>
            <w:r w:rsidRPr="00CD6F25" w:rsidDel="001F1878">
              <w:rPr>
                <w:rFonts w:cstheme="minorHAnsi"/>
                <w:color w:val="auto"/>
                <w:sz w:val="18"/>
                <w:szCs w:val="18"/>
              </w:rPr>
              <w:t xml:space="preserve"> </w:t>
            </w:r>
            <w:r w:rsidRPr="00CD6F25">
              <w:rPr>
                <w:rFonts w:cstheme="minorHAnsi"/>
                <w:color w:val="auto"/>
                <w:sz w:val="18"/>
                <w:szCs w:val="18"/>
              </w:rPr>
              <w:t>over 90 days</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14:paraId="61457D62"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Every 1.3–1.7 years</w:t>
            </w:r>
          </w:p>
        </w:tc>
        <w:tc>
          <w:tcPr>
            <w:tcW w:w="59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E8149C" w14:textId="77777777" w:rsidR="00CD6F25" w:rsidRPr="00CD6F25" w:rsidRDefault="00CD6F25" w:rsidP="00CD6F25">
            <w:pPr>
              <w:spacing w:before="120"/>
              <w:jc w:val="center"/>
              <w:rPr>
                <w:rFonts w:cstheme="minorHAnsi"/>
                <w:color w:val="auto"/>
                <w:sz w:val="18"/>
                <w:szCs w:val="18"/>
              </w:rPr>
            </w:pPr>
            <w:r w:rsidRPr="00CD6F25">
              <w:rPr>
                <w:rFonts w:cstheme="minorHAnsi"/>
                <w:color w:val="auto"/>
                <w:sz w:val="18"/>
                <w:szCs w:val="18"/>
              </w:rPr>
              <w:t>This demand has been met 4 out of the past 10 years, which exceeds the frequency range for this requirement. While this demand was met by the flow event during March–April 2020, the requirement for this demand is high. Inflows are required this year to sustain lignum shrublands and maintain condition of riparian red gum forests.</w:t>
            </w:r>
          </w:p>
        </w:tc>
        <w:tc>
          <w:tcPr>
            <w:tcW w:w="1984" w:type="dxa"/>
            <w:tcBorders>
              <w:top w:val="single" w:sz="8" w:space="0" w:color="auto"/>
              <w:left w:val="single" w:sz="4" w:space="0" w:color="auto"/>
              <w:bottom w:val="single" w:sz="8" w:space="0" w:color="auto"/>
              <w:right w:val="single" w:sz="4" w:space="0" w:color="auto"/>
            </w:tcBorders>
            <w:shd w:val="clear" w:color="auto" w:fill="FF0000"/>
            <w:vAlign w:val="center"/>
            <w:hideMark/>
          </w:tcPr>
          <w:p w14:paraId="7F6B86C0"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High</w:t>
            </w:r>
          </w:p>
        </w:tc>
        <w:tc>
          <w:tcPr>
            <w:tcW w:w="2977" w:type="dxa"/>
            <w:vMerge/>
            <w:tcBorders>
              <w:top w:val="nil"/>
              <w:left w:val="single" w:sz="4" w:space="0" w:color="auto"/>
              <w:bottom w:val="single" w:sz="8" w:space="0" w:color="000000"/>
              <w:right w:val="single" w:sz="4" w:space="0" w:color="auto"/>
            </w:tcBorders>
            <w:shd w:val="clear" w:color="auto" w:fill="365F91" w:themeFill="accent1" w:themeFillShade="BF"/>
            <w:vAlign w:val="center"/>
            <w:hideMark/>
          </w:tcPr>
          <w:p w14:paraId="5B1D6B09" w14:textId="77777777" w:rsidR="00CD6F25" w:rsidRPr="00CD6F25" w:rsidRDefault="00CD6F25" w:rsidP="00CD6F25">
            <w:pPr>
              <w:jc w:val="center"/>
              <w:rPr>
                <w:rFonts w:cstheme="minorHAnsi"/>
                <w:color w:val="auto"/>
                <w:sz w:val="18"/>
                <w:szCs w:val="18"/>
              </w:rPr>
            </w:pPr>
          </w:p>
        </w:tc>
        <w:tc>
          <w:tcPr>
            <w:tcW w:w="2268" w:type="dxa"/>
            <w:tcBorders>
              <w:top w:val="nil"/>
              <w:left w:val="single" w:sz="4" w:space="0" w:color="auto"/>
              <w:bottom w:val="single" w:sz="8" w:space="0" w:color="000000"/>
              <w:right w:val="single" w:sz="12" w:space="0" w:color="auto"/>
            </w:tcBorders>
            <w:shd w:val="clear" w:color="auto" w:fill="FFC000"/>
            <w:vAlign w:val="center"/>
          </w:tcPr>
          <w:p w14:paraId="12A018B5"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Moderate</w:t>
            </w:r>
          </w:p>
        </w:tc>
      </w:tr>
      <w:tr w:rsidR="00CD6F25" w:rsidRPr="00CD6F25" w14:paraId="404FE3CD" w14:textId="77777777" w:rsidTr="00AA0841">
        <w:trPr>
          <w:trHeight w:val="1384"/>
        </w:trPr>
        <w:tc>
          <w:tcPr>
            <w:tcW w:w="1843" w:type="dxa"/>
            <w:vMerge/>
            <w:tcBorders>
              <w:top w:val="nil"/>
              <w:left w:val="single" w:sz="12" w:space="0" w:color="auto"/>
              <w:bottom w:val="single" w:sz="12" w:space="0" w:color="auto"/>
              <w:right w:val="single" w:sz="4" w:space="0" w:color="auto"/>
            </w:tcBorders>
            <w:vAlign w:val="center"/>
            <w:hideMark/>
          </w:tcPr>
          <w:p w14:paraId="19F9D73D" w14:textId="77777777" w:rsidR="00CD6F25" w:rsidRPr="00CD6F25" w:rsidRDefault="00CD6F25" w:rsidP="00CD6F25">
            <w:pPr>
              <w:rPr>
                <w:rFonts w:cstheme="minorHAnsi"/>
                <w:b/>
                <w:bCs/>
                <w:color w:val="auto"/>
                <w:sz w:val="18"/>
                <w:szCs w:val="18"/>
              </w:rPr>
            </w:pPr>
          </w:p>
        </w:tc>
        <w:tc>
          <w:tcPr>
            <w:tcW w:w="1559" w:type="dxa"/>
            <w:tcBorders>
              <w:top w:val="nil"/>
              <w:left w:val="single" w:sz="4" w:space="0" w:color="auto"/>
              <w:bottom w:val="single" w:sz="8" w:space="0" w:color="auto"/>
              <w:right w:val="single" w:sz="4" w:space="0" w:color="auto"/>
            </w:tcBorders>
            <w:shd w:val="clear" w:color="auto" w:fill="auto"/>
            <w:vAlign w:val="center"/>
            <w:hideMark/>
          </w:tcPr>
          <w:p w14:paraId="20C307FE" w14:textId="77777777" w:rsidR="00CD6F25" w:rsidRPr="00CD6F25" w:rsidRDefault="00CD6F25" w:rsidP="00CD6F25">
            <w:pPr>
              <w:ind w:left="111"/>
              <w:rPr>
                <w:rFonts w:cstheme="minorHAnsi"/>
                <w:color w:val="auto"/>
                <w:sz w:val="18"/>
                <w:szCs w:val="18"/>
              </w:rPr>
            </w:pPr>
            <w:r w:rsidRPr="00CD6F25">
              <w:rPr>
                <w:rFonts w:cstheme="minorHAnsi"/>
                <w:color w:val="auto"/>
                <w:sz w:val="18"/>
                <w:szCs w:val="18"/>
              </w:rPr>
              <w:t>Trigger and maintain large scale colonial waterbird breeding</w:t>
            </w:r>
          </w:p>
        </w:tc>
        <w:tc>
          <w:tcPr>
            <w:tcW w:w="3969" w:type="dxa"/>
            <w:tcBorders>
              <w:top w:val="nil"/>
              <w:left w:val="nil"/>
              <w:bottom w:val="single" w:sz="8" w:space="0" w:color="auto"/>
              <w:right w:val="single" w:sz="4" w:space="0" w:color="auto"/>
            </w:tcBorders>
            <w:shd w:val="clear" w:color="auto" w:fill="auto"/>
            <w:vAlign w:val="center"/>
            <w:hideMark/>
          </w:tcPr>
          <w:p w14:paraId="75166407"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154 GL @ Wilby Wilby</w:t>
            </w:r>
            <w:r w:rsidRPr="00CD6F25" w:rsidDel="001F1878">
              <w:rPr>
                <w:rFonts w:cstheme="minorHAnsi"/>
                <w:color w:val="auto"/>
                <w:sz w:val="18"/>
                <w:szCs w:val="18"/>
              </w:rPr>
              <w:t xml:space="preserve"> </w:t>
            </w:r>
            <w:r w:rsidRPr="00CD6F25">
              <w:rPr>
                <w:rFonts w:cstheme="minorHAnsi"/>
                <w:color w:val="auto"/>
                <w:sz w:val="18"/>
                <w:szCs w:val="18"/>
              </w:rPr>
              <w:t>Narran Park over 90 days</w:t>
            </w:r>
          </w:p>
        </w:tc>
        <w:tc>
          <w:tcPr>
            <w:tcW w:w="1418" w:type="dxa"/>
            <w:tcBorders>
              <w:top w:val="nil"/>
              <w:left w:val="nil"/>
              <w:bottom w:val="single" w:sz="8" w:space="0" w:color="auto"/>
              <w:right w:val="single" w:sz="4" w:space="0" w:color="auto"/>
            </w:tcBorders>
            <w:shd w:val="clear" w:color="auto" w:fill="auto"/>
            <w:vAlign w:val="center"/>
            <w:hideMark/>
          </w:tcPr>
          <w:p w14:paraId="770848B1"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Twice in every 8–10 years</w:t>
            </w:r>
          </w:p>
        </w:tc>
        <w:tc>
          <w:tcPr>
            <w:tcW w:w="59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D99ABA" w14:textId="77777777" w:rsidR="00CD6F25" w:rsidRPr="00CD6F25" w:rsidRDefault="00CD6F25" w:rsidP="00CD6F25">
            <w:pPr>
              <w:spacing w:before="120"/>
              <w:jc w:val="center"/>
              <w:rPr>
                <w:rFonts w:cstheme="minorHAnsi"/>
                <w:color w:val="auto"/>
                <w:sz w:val="18"/>
                <w:szCs w:val="18"/>
              </w:rPr>
            </w:pPr>
            <w:r w:rsidRPr="00CD6F25">
              <w:rPr>
                <w:rFonts w:cstheme="minorHAnsi"/>
                <w:color w:val="auto"/>
                <w:sz w:val="18"/>
                <w:szCs w:val="18"/>
              </w:rPr>
              <w:t>This demand was last met 8 years ago. While significant flows entered the Narran Lakes systems during March–April 2020, the last large-scale waterbird breeding event was in early 2013. An event is required this year or next to provide ibis populations (with Narran site fidelity) with 2 breeding opportunities in their lifetime. An acute and chronic shortage of waterbird breeding across the Basin and the likelihood of this demand not being met in the long term, increases its urgency.</w:t>
            </w:r>
          </w:p>
        </w:tc>
        <w:tc>
          <w:tcPr>
            <w:tcW w:w="1984" w:type="dxa"/>
            <w:tcBorders>
              <w:top w:val="nil"/>
              <w:left w:val="single" w:sz="4" w:space="0" w:color="auto"/>
              <w:bottom w:val="single" w:sz="8" w:space="0" w:color="auto"/>
              <w:right w:val="single" w:sz="4" w:space="0" w:color="auto"/>
            </w:tcBorders>
            <w:shd w:val="clear" w:color="auto" w:fill="FF0000"/>
            <w:vAlign w:val="center"/>
            <w:hideMark/>
          </w:tcPr>
          <w:p w14:paraId="1E117EC1"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High</w:t>
            </w:r>
          </w:p>
        </w:tc>
        <w:tc>
          <w:tcPr>
            <w:tcW w:w="2977" w:type="dxa"/>
            <w:tcBorders>
              <w:top w:val="nil"/>
              <w:left w:val="nil"/>
              <w:bottom w:val="single" w:sz="8" w:space="0" w:color="auto"/>
              <w:right w:val="single" w:sz="4" w:space="0" w:color="auto"/>
            </w:tcBorders>
            <w:shd w:val="clear" w:color="auto" w:fill="95B3D7" w:themeFill="accent1" w:themeFillTint="99"/>
            <w:vAlign w:val="center"/>
            <w:hideMark/>
          </w:tcPr>
          <w:p w14:paraId="203879E6" w14:textId="77777777" w:rsidR="00CD6F25" w:rsidRPr="00CD6F25" w:rsidRDefault="00CD6F25" w:rsidP="00CD6F25">
            <w:pPr>
              <w:shd w:val="clear" w:color="auto" w:fill="95B3D7" w:themeFill="accent1" w:themeFillTint="99"/>
              <w:jc w:val="center"/>
              <w:rPr>
                <w:rFonts w:cstheme="minorHAnsi"/>
                <w:color w:val="auto"/>
                <w:sz w:val="18"/>
                <w:szCs w:val="18"/>
              </w:rPr>
            </w:pPr>
            <w:r w:rsidRPr="00CD6F25">
              <w:rPr>
                <w:rFonts w:cstheme="minorHAnsi"/>
                <w:color w:val="auto"/>
                <w:sz w:val="18"/>
                <w:szCs w:val="18"/>
              </w:rPr>
              <w:t xml:space="preserve">Commonwealth water portfolio is likely to contribute during large flow events </w:t>
            </w:r>
            <w:r w:rsidRPr="00CD6F25">
              <w:rPr>
                <w:rFonts w:cstheme="minorHAnsi"/>
                <w:color w:val="auto"/>
                <w:sz w:val="18"/>
                <w:szCs w:val="18"/>
              </w:rPr>
              <w:br/>
            </w:r>
          </w:p>
        </w:tc>
        <w:tc>
          <w:tcPr>
            <w:tcW w:w="2268" w:type="dxa"/>
            <w:tcBorders>
              <w:top w:val="nil"/>
              <w:left w:val="single" w:sz="4" w:space="0" w:color="auto"/>
              <w:bottom w:val="single" w:sz="8" w:space="0" w:color="auto"/>
              <w:right w:val="single" w:sz="12" w:space="0" w:color="auto"/>
            </w:tcBorders>
            <w:shd w:val="clear" w:color="auto" w:fill="FFC000"/>
            <w:vAlign w:val="center"/>
          </w:tcPr>
          <w:p w14:paraId="31A9207B"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Moderate</w:t>
            </w:r>
          </w:p>
        </w:tc>
      </w:tr>
      <w:tr w:rsidR="00CD6F25" w:rsidRPr="00CD6F25" w14:paraId="6C5D1C27" w14:textId="77777777" w:rsidTr="00AA0841">
        <w:trPr>
          <w:trHeight w:val="1688"/>
        </w:trPr>
        <w:tc>
          <w:tcPr>
            <w:tcW w:w="1843" w:type="dxa"/>
            <w:vMerge/>
            <w:tcBorders>
              <w:top w:val="nil"/>
              <w:left w:val="single" w:sz="12" w:space="0" w:color="auto"/>
              <w:bottom w:val="single" w:sz="12" w:space="0" w:color="auto"/>
              <w:right w:val="single" w:sz="4" w:space="0" w:color="auto"/>
            </w:tcBorders>
            <w:vAlign w:val="center"/>
            <w:hideMark/>
          </w:tcPr>
          <w:p w14:paraId="53E31680" w14:textId="77777777" w:rsidR="00CD6F25" w:rsidRPr="00CD6F25" w:rsidRDefault="00CD6F25" w:rsidP="00CD6F25">
            <w:pPr>
              <w:rPr>
                <w:rFonts w:cstheme="minorHAnsi"/>
                <w:b/>
                <w:bCs/>
                <w:color w:val="auto"/>
                <w:sz w:val="18"/>
                <w:szCs w:val="18"/>
              </w:rPr>
            </w:pPr>
          </w:p>
        </w:tc>
        <w:tc>
          <w:tcPr>
            <w:tcW w:w="1559" w:type="dxa"/>
            <w:tcBorders>
              <w:top w:val="nil"/>
              <w:left w:val="single" w:sz="4" w:space="0" w:color="auto"/>
              <w:bottom w:val="single" w:sz="12" w:space="0" w:color="auto"/>
              <w:right w:val="single" w:sz="4" w:space="0" w:color="auto"/>
            </w:tcBorders>
            <w:shd w:val="clear" w:color="auto" w:fill="auto"/>
            <w:vAlign w:val="center"/>
            <w:hideMark/>
          </w:tcPr>
          <w:p w14:paraId="49E2FCF9" w14:textId="77777777" w:rsidR="00CD6F25" w:rsidRPr="00CD6F25" w:rsidRDefault="00CD6F25" w:rsidP="00CD6F25">
            <w:pPr>
              <w:ind w:left="111"/>
              <w:rPr>
                <w:rFonts w:cstheme="minorHAnsi"/>
                <w:color w:val="auto"/>
                <w:sz w:val="18"/>
                <w:szCs w:val="18"/>
              </w:rPr>
            </w:pPr>
            <w:r w:rsidRPr="00CD6F25">
              <w:rPr>
                <w:rFonts w:cstheme="minorHAnsi"/>
                <w:color w:val="auto"/>
                <w:sz w:val="18"/>
                <w:szCs w:val="18"/>
              </w:rPr>
              <w:t>Water all floodplain and wetland habitat in Narran Lakes complex, initiate waterbird breeding, provide long-term refuge**</w:t>
            </w:r>
          </w:p>
        </w:tc>
        <w:tc>
          <w:tcPr>
            <w:tcW w:w="3969" w:type="dxa"/>
            <w:tcBorders>
              <w:top w:val="nil"/>
              <w:left w:val="nil"/>
              <w:bottom w:val="single" w:sz="12" w:space="0" w:color="auto"/>
              <w:right w:val="single" w:sz="4" w:space="0" w:color="auto"/>
            </w:tcBorders>
            <w:shd w:val="clear" w:color="auto" w:fill="auto"/>
            <w:vAlign w:val="center"/>
            <w:hideMark/>
          </w:tcPr>
          <w:p w14:paraId="240FB972"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250 GL over 180 days @ Wilby Wilby</w:t>
            </w:r>
          </w:p>
        </w:tc>
        <w:tc>
          <w:tcPr>
            <w:tcW w:w="1418" w:type="dxa"/>
            <w:tcBorders>
              <w:top w:val="nil"/>
              <w:left w:val="nil"/>
              <w:bottom w:val="single" w:sz="12" w:space="0" w:color="auto"/>
              <w:right w:val="single" w:sz="4" w:space="0" w:color="auto"/>
            </w:tcBorders>
            <w:shd w:val="clear" w:color="auto" w:fill="auto"/>
            <w:vAlign w:val="center"/>
            <w:hideMark/>
          </w:tcPr>
          <w:p w14:paraId="0A4A0DDA" w14:textId="77777777" w:rsidR="00CD6F25" w:rsidRPr="00CD6F25" w:rsidRDefault="00CD6F25" w:rsidP="00CD6F25">
            <w:pPr>
              <w:ind w:left="109"/>
              <w:rPr>
                <w:rFonts w:cstheme="minorHAnsi"/>
                <w:color w:val="auto"/>
                <w:sz w:val="18"/>
                <w:szCs w:val="18"/>
              </w:rPr>
            </w:pPr>
            <w:r w:rsidRPr="00CD6F25">
              <w:rPr>
                <w:rFonts w:cstheme="minorHAnsi"/>
                <w:color w:val="auto"/>
                <w:sz w:val="18"/>
                <w:szCs w:val="18"/>
              </w:rPr>
              <w:t>Every 10 to 12 years</w:t>
            </w:r>
          </w:p>
        </w:tc>
        <w:tc>
          <w:tcPr>
            <w:tcW w:w="5954" w:type="dxa"/>
            <w:tcBorders>
              <w:top w:val="single" w:sz="4" w:space="0" w:color="auto"/>
              <w:left w:val="single" w:sz="4" w:space="0" w:color="auto"/>
              <w:bottom w:val="single" w:sz="12" w:space="0" w:color="auto"/>
              <w:right w:val="single" w:sz="4" w:space="0" w:color="auto"/>
            </w:tcBorders>
            <w:shd w:val="clear" w:color="auto" w:fill="auto"/>
            <w:vAlign w:val="center"/>
          </w:tcPr>
          <w:p w14:paraId="560229F4" w14:textId="77777777" w:rsidR="00CD6F25" w:rsidRPr="00CD6F25" w:rsidRDefault="00CD6F25" w:rsidP="00CD6F25">
            <w:pPr>
              <w:spacing w:before="120"/>
              <w:jc w:val="center"/>
              <w:rPr>
                <w:rFonts w:cstheme="minorHAnsi"/>
                <w:color w:val="auto"/>
                <w:sz w:val="18"/>
                <w:szCs w:val="18"/>
              </w:rPr>
            </w:pPr>
            <w:r w:rsidRPr="00CD6F25">
              <w:rPr>
                <w:rFonts w:cstheme="minorHAnsi"/>
                <w:color w:val="auto"/>
                <w:sz w:val="18"/>
                <w:szCs w:val="18"/>
              </w:rPr>
              <w:t>This demand was met 8 years ago. Following the 2010–11 and 2011–12 floods, the critical interval for inundation will be from 2022 (if not received before then).</w:t>
            </w:r>
          </w:p>
        </w:tc>
        <w:tc>
          <w:tcPr>
            <w:tcW w:w="1984" w:type="dxa"/>
            <w:tcBorders>
              <w:top w:val="nil"/>
              <w:left w:val="single" w:sz="4" w:space="0" w:color="auto"/>
              <w:bottom w:val="single" w:sz="12" w:space="0" w:color="auto"/>
              <w:right w:val="single" w:sz="4" w:space="0" w:color="auto"/>
            </w:tcBorders>
            <w:shd w:val="clear" w:color="auto" w:fill="92D050"/>
            <w:vAlign w:val="center"/>
            <w:hideMark/>
          </w:tcPr>
          <w:p w14:paraId="2C10539A"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Low</w:t>
            </w:r>
            <w:r w:rsidRPr="00CD6F25">
              <w:rPr>
                <w:rFonts w:cstheme="minorHAnsi"/>
                <w:bCs/>
                <w:color w:val="auto"/>
                <w:sz w:val="18"/>
                <w:szCs w:val="18"/>
              </w:rPr>
              <w:br/>
            </w:r>
          </w:p>
        </w:tc>
        <w:tc>
          <w:tcPr>
            <w:tcW w:w="2977" w:type="dxa"/>
            <w:tcBorders>
              <w:top w:val="nil"/>
              <w:left w:val="nil"/>
              <w:bottom w:val="single" w:sz="12" w:space="0" w:color="auto"/>
              <w:right w:val="single" w:sz="4" w:space="0" w:color="auto"/>
            </w:tcBorders>
            <w:shd w:val="clear" w:color="auto" w:fill="95B3D7" w:themeFill="accent1" w:themeFillTint="99"/>
            <w:vAlign w:val="center"/>
            <w:hideMark/>
          </w:tcPr>
          <w:p w14:paraId="09640C3F" w14:textId="77777777" w:rsidR="00CD6F25" w:rsidRPr="00CD6F25" w:rsidRDefault="00CD6F25" w:rsidP="00CD6F25">
            <w:pPr>
              <w:shd w:val="clear" w:color="auto" w:fill="95B3D7" w:themeFill="accent1" w:themeFillTint="99"/>
              <w:jc w:val="center"/>
              <w:rPr>
                <w:rFonts w:cstheme="minorHAnsi"/>
                <w:color w:val="auto"/>
                <w:sz w:val="18"/>
                <w:szCs w:val="18"/>
              </w:rPr>
            </w:pPr>
            <w:r w:rsidRPr="00CD6F25">
              <w:rPr>
                <w:rFonts w:cstheme="minorHAnsi"/>
                <w:color w:val="auto"/>
                <w:sz w:val="18"/>
                <w:szCs w:val="18"/>
              </w:rPr>
              <w:t xml:space="preserve">Commonwealth water portfolio is likely to contribute during large flow events </w:t>
            </w:r>
            <w:r w:rsidRPr="00CD6F25">
              <w:rPr>
                <w:rFonts w:cstheme="minorHAnsi"/>
                <w:color w:val="auto"/>
                <w:sz w:val="18"/>
                <w:szCs w:val="18"/>
              </w:rPr>
              <w:br/>
            </w:r>
          </w:p>
        </w:tc>
        <w:tc>
          <w:tcPr>
            <w:tcW w:w="2268" w:type="dxa"/>
            <w:tcBorders>
              <w:top w:val="nil"/>
              <w:left w:val="single" w:sz="4" w:space="0" w:color="auto"/>
              <w:bottom w:val="single" w:sz="12" w:space="0" w:color="auto"/>
              <w:right w:val="single" w:sz="12" w:space="0" w:color="auto"/>
            </w:tcBorders>
            <w:shd w:val="clear" w:color="auto" w:fill="92D050"/>
            <w:vAlign w:val="center"/>
          </w:tcPr>
          <w:p w14:paraId="5E36836F" w14:textId="77777777" w:rsidR="00CD6F25" w:rsidRPr="00CD6F25" w:rsidRDefault="00CD6F25" w:rsidP="00CD6F25">
            <w:pPr>
              <w:jc w:val="center"/>
              <w:rPr>
                <w:rFonts w:cstheme="minorHAnsi"/>
                <w:bCs/>
                <w:color w:val="auto"/>
                <w:sz w:val="18"/>
                <w:szCs w:val="18"/>
              </w:rPr>
            </w:pPr>
            <w:r w:rsidRPr="00CD6F25">
              <w:rPr>
                <w:rFonts w:cstheme="minorHAnsi"/>
                <w:bCs/>
                <w:color w:val="auto"/>
                <w:sz w:val="18"/>
                <w:szCs w:val="18"/>
              </w:rPr>
              <w:t>Low</w:t>
            </w:r>
          </w:p>
        </w:tc>
      </w:tr>
    </w:tbl>
    <w:p w14:paraId="4B0DF469" w14:textId="77777777" w:rsidR="00CD6F25" w:rsidRPr="00CD6F25" w:rsidRDefault="00CD6F25" w:rsidP="00CD6F25">
      <w:pPr>
        <w:rPr>
          <w:rFonts w:cstheme="minorHAnsi"/>
          <w:sz w:val="18"/>
          <w:szCs w:val="18"/>
        </w:rPr>
      </w:pPr>
      <w:r w:rsidRPr="00CD6F25">
        <w:rPr>
          <w:rFonts w:cstheme="minorHAnsi"/>
          <w:sz w:val="18"/>
          <w:szCs w:val="18"/>
        </w:rPr>
        <w:t xml:space="preserve">**Vegetation types/communities that are identified as critical components of the Ramsar site include lignum shrublands, riparian forest/woodland and ephemeral herbfields. All other critical components, processes and services of the Ramsar site would be supported by meeting the indicative demand. </w:t>
      </w:r>
    </w:p>
    <w:p w14:paraId="71663DE1" w14:textId="2FD55184" w:rsidR="00CD6F25" w:rsidRPr="00CD6F25" w:rsidRDefault="00CD6F25" w:rsidP="00CD6F25">
      <w:pPr>
        <w:spacing w:after="0"/>
        <w:rPr>
          <w:rFonts w:cstheme="minorHAnsi"/>
          <w:i/>
          <w:iCs/>
          <w:color w:val="auto"/>
          <w:sz w:val="18"/>
          <w:szCs w:val="18"/>
          <w:lang w:eastAsia="en-US"/>
        </w:rPr>
      </w:pPr>
      <w:r w:rsidRPr="00CD6F25">
        <w:rPr>
          <w:rFonts w:cstheme="minorHAnsi"/>
          <w:color w:val="auto"/>
          <w:sz w:val="18"/>
          <w:szCs w:val="18"/>
        </w:rPr>
        <w:t>Note: Contributions to meet Barwon–Darling environmental requirements may be considered subject to water availability, antecedent conditions, and environmental demands. Refer to CEWO</w:t>
      </w:r>
      <w:r w:rsidRPr="00CD6F25">
        <w:rPr>
          <w:rFonts w:hAnsi="Century Gothic"/>
          <w:sz w:val="18"/>
          <w:szCs w:val="18"/>
        </w:rPr>
        <w:t>’</w:t>
      </w:r>
      <w:r w:rsidRPr="00CD6F25">
        <w:rPr>
          <w:rFonts w:hAnsi="Century Gothic"/>
          <w:sz w:val="18"/>
          <w:szCs w:val="18"/>
        </w:rPr>
        <w:t>s Water Management Plan 2020-21:</w:t>
      </w:r>
      <w:r w:rsidR="003C6B50">
        <w:rPr>
          <w:rFonts w:hAnsi="Century Gothic"/>
          <w:sz w:val="18"/>
          <w:szCs w:val="18"/>
        </w:rPr>
        <w:t xml:space="preserve"> </w:t>
      </w:r>
      <w:r w:rsidRPr="00CD6F25">
        <w:rPr>
          <w:rFonts w:hAnsi="Century Gothic"/>
          <w:sz w:val="18"/>
          <w:szCs w:val="18"/>
        </w:rPr>
        <w:t>Chapter 3.7 Barwon</w:t>
      </w:r>
      <w:r w:rsidRPr="00CD6F25">
        <w:rPr>
          <w:rFonts w:hAnsi="Century Gothic"/>
          <w:sz w:val="18"/>
          <w:szCs w:val="18"/>
        </w:rPr>
        <w:t>–</w:t>
      </w:r>
      <w:r w:rsidRPr="00CD6F25">
        <w:rPr>
          <w:rFonts w:hAnsi="Century Gothic"/>
          <w:sz w:val="18"/>
          <w:szCs w:val="18"/>
        </w:rPr>
        <w:t>Darling.</w:t>
      </w:r>
    </w:p>
    <w:p w14:paraId="7A60C37E" w14:textId="77777777" w:rsidR="00CD6F25" w:rsidRPr="00CD6F25" w:rsidRDefault="00CD6F25" w:rsidP="00CD6F25">
      <w:pPr>
        <w:spacing w:after="0"/>
        <w:rPr>
          <w:rFonts w:ascii="Consolas" w:hAnsi="Consolas" w:cs="Times New Roman"/>
          <w:noProof/>
          <w:color w:val="auto"/>
          <w:sz w:val="21"/>
          <w:szCs w:val="21"/>
        </w:rPr>
      </w:pPr>
    </w:p>
    <w:p w14:paraId="6D38A232" w14:textId="77777777" w:rsidR="00CD6F25" w:rsidRPr="00CD6F25" w:rsidRDefault="00CD6F25" w:rsidP="003C6B50">
      <w:pPr>
        <w:spacing w:after="0"/>
        <w:rPr>
          <w:rFonts w:ascii="Consolas" w:hAnsi="Consolas" w:cs="Times New Roman"/>
          <w:noProof/>
          <w:color w:val="auto"/>
          <w:sz w:val="21"/>
          <w:szCs w:val="21"/>
        </w:rPr>
      </w:pPr>
    </w:p>
    <w:p w14:paraId="30B347E2" w14:textId="77777777" w:rsidR="00CD6F25" w:rsidRPr="00CD6F25" w:rsidRDefault="00CD6F25" w:rsidP="003C6B50">
      <w:pPr>
        <w:spacing w:after="0"/>
        <w:rPr>
          <w:rFonts w:cs="Times New Roman"/>
          <w:color w:val="auto"/>
          <w:szCs w:val="22"/>
          <w:lang w:eastAsia="en-US"/>
        </w:rPr>
      </w:pPr>
      <w:r w:rsidRPr="00CD6F25">
        <w:rPr>
          <w:rFonts w:ascii="Consolas" w:hAnsi="Consolas" w:cs="Times New Roman"/>
          <w:noProof/>
          <w:color w:val="auto"/>
          <w:sz w:val="21"/>
          <w:szCs w:val="21"/>
          <w:lang w:eastAsia="en-US"/>
        </w:rPr>
        <w:drawing>
          <wp:inline distT="0" distB="0" distL="0" distR="0" wp14:anchorId="2DC59DF1" wp14:editId="1148E68B">
            <wp:extent cx="10772877" cy="2038985"/>
            <wp:effectExtent l="0" t="0" r="9525" b="0"/>
            <wp:docPr id="35" name="Picture 2">
              <a:extLst xmlns:a="http://schemas.openxmlformats.org/drawingml/2006/main">
                <a:ext uri="{FF2B5EF4-FFF2-40B4-BE49-F238E27FC236}">
                  <a16:creationId xmlns:a16="http://schemas.microsoft.com/office/drawing/2014/main" id="{44C6E65D-16A7-4929-AC15-EE3EC6EA9F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4C6E65D-16A7-4929-AC15-EE3EC6EA9F11}"/>
                        </a:ext>
                      </a:extLst>
                    </pic:cNvPr>
                    <pic:cNvPicPr>
                      <a:picLocks noChangeAspect="1"/>
                    </pic:cNvPicPr>
                  </pic:nvPicPr>
                  <pic:blipFill>
                    <a:blip r:embed="rId88"/>
                    <a:stretch>
                      <a:fillRect/>
                    </a:stretch>
                  </pic:blipFill>
                  <pic:spPr>
                    <a:xfrm>
                      <a:off x="0" y="0"/>
                      <a:ext cx="10815071" cy="2046971"/>
                    </a:xfrm>
                    <a:prstGeom prst="rect">
                      <a:avLst/>
                    </a:prstGeom>
                  </pic:spPr>
                </pic:pic>
              </a:graphicData>
            </a:graphic>
          </wp:inline>
        </w:drawing>
      </w:r>
    </w:p>
    <w:p w14:paraId="68D97C58" w14:textId="77777777" w:rsidR="00CD6F25" w:rsidRPr="00CD6F25" w:rsidRDefault="00CD6F25" w:rsidP="00CD6F25">
      <w:pPr>
        <w:spacing w:after="240"/>
        <w:rPr>
          <w:rFonts w:ascii="Century Gothic" w:hAnsi="Century Gothic" w:cs="Arial"/>
          <w:noProof/>
          <w:color w:val="0000FF"/>
          <w:u w:val="single"/>
        </w:rPr>
        <w:sectPr w:rsidR="00CD6F25" w:rsidRPr="00CD6F25" w:rsidSect="003737D8">
          <w:footerReference w:type="first" r:id="rId89"/>
          <w:footnotePr>
            <w:numFmt w:val="chicago"/>
          </w:footnotePr>
          <w:pgSz w:w="23814" w:h="16839" w:orient="landscape" w:code="8"/>
          <w:pgMar w:top="1134" w:right="992" w:bottom="851" w:left="964" w:header="567" w:footer="397" w:gutter="0"/>
          <w:cols w:space="708"/>
          <w:docGrid w:linePitch="360"/>
        </w:sectPr>
      </w:pPr>
    </w:p>
    <w:p w14:paraId="7A84349A" w14:textId="77777777" w:rsidR="00CD6F25" w:rsidRPr="00CD6F25" w:rsidRDefault="00CD6F25" w:rsidP="0057535E">
      <w:pPr>
        <w:pStyle w:val="Heading3"/>
      </w:pPr>
      <w:r w:rsidRPr="00CD6F25">
        <w:lastRenderedPageBreak/>
        <w:t>Water delivery in 2020–21</w:t>
      </w:r>
    </w:p>
    <w:p w14:paraId="3CE2E2B8" w14:textId="77777777" w:rsidR="00CD6F25" w:rsidRPr="00CD6F25" w:rsidRDefault="00CD6F25" w:rsidP="00CD6F25">
      <w:r w:rsidRPr="00CD6F25">
        <w:t>Unregulated entitlements provide opportunistic access to unregulated river flows and overland flows when a flow event reaches levels specified in entitlement conditions and/or water resource plan triggers at which a period of access may be announced are met. Each entitlement will make a contribution to restoring in-stream flows reflecting its particular flow access windows, take rates and location.</w:t>
      </w:r>
    </w:p>
    <w:p w14:paraId="67208089" w14:textId="77777777" w:rsidR="00CD6F25" w:rsidRPr="00CD6F25" w:rsidRDefault="00CD6F25" w:rsidP="0057535E">
      <w:pPr>
        <w:pStyle w:val="Heading3"/>
      </w:pPr>
      <w:r w:rsidRPr="00CD6F25">
        <w:t>Monitoring and Lessons learned</w:t>
      </w:r>
    </w:p>
    <w:p w14:paraId="64F003D9" w14:textId="77777777" w:rsidR="00CD6F25" w:rsidRPr="00CD6F25" w:rsidRDefault="00CD6F25" w:rsidP="00CD6F25">
      <w:r w:rsidRPr="00CD6F25">
        <w:t xml:space="preserve">In the Condamine–Balonne catchment, monitoring is undertaken by Queensland and NSW agencies, including Queensland DNRME and DES (flow, hydrology, water quality, native fish) and NSW DPIE (vegetation, waterbirds and other animals), NSW DPI – Fisheries (native fish), and WaterNSW (hydrology and flow delivery data). The CEWO is also funding several short-term intervention monitoring projects to evaluate the environmental responses of native fish, waterbirds and vegetation in the Condamine-Balonne. </w:t>
      </w:r>
    </w:p>
    <w:p w14:paraId="66D0943D" w14:textId="77777777" w:rsidR="00CD6F25" w:rsidRPr="00CD6F25" w:rsidRDefault="00CD6F25" w:rsidP="00CD6F25">
      <w:r w:rsidRPr="00CD6F25">
        <w:t xml:space="preserve">Details of monitoring activities funded by the CEWO in the Condamine-Balonne catchment can be found at: </w:t>
      </w:r>
      <w:hyperlink r:id="rId90" w:history="1">
        <w:r w:rsidRPr="00CD6F25">
          <w:rPr>
            <w:color w:val="0000FF"/>
            <w:u w:val="single"/>
          </w:rPr>
          <w:t>https://www.environment.gov.au/water/cewo/catchment/northern-unregulated-rivers/monitoring</w:t>
        </w:r>
      </w:hyperlink>
    </w:p>
    <w:p w14:paraId="6AD3E464" w14:textId="77777777" w:rsidR="00CD6F25" w:rsidRPr="00CD6F25" w:rsidRDefault="00CD6F25" w:rsidP="00CD6F25">
      <w:r w:rsidRPr="00CD6F25">
        <w:t>Outcomes from monitoring and lessons learned in previous years are a critical component for the effective and efficient use of Commonwealth water for the environment. These learnings are incorporated into the way environmental water is managed. In 2016 the Murray-Darling Basin Authority re-assessed the environmental water requirements of the Condamine-Balonne system based on an improved science base</w:t>
      </w:r>
      <w:r w:rsidRPr="00CD6F25">
        <w:rPr>
          <w:rFonts w:cs="Times New Roman"/>
          <w:vertAlign w:val="superscript"/>
        </w:rPr>
        <w:footnoteReference w:id="13"/>
      </w:r>
      <w:r w:rsidRPr="00CD6F25">
        <w:t xml:space="preserve">. There are also ongoing research activities contributing to our understanding of environmental water requirements of the Condamine–Balonne catchment (and other Northern Basin catchments) including the joint-venture science program and state planning assessments as part of the long-term water plans. </w:t>
      </w:r>
    </w:p>
    <w:p w14:paraId="5DEDB04F" w14:textId="77777777" w:rsidR="00CD6F25" w:rsidRPr="00CD6F25" w:rsidRDefault="00CD6F25" w:rsidP="00CD6F25">
      <w:r w:rsidRPr="00CD6F25">
        <w:t>The Commonwealth funded the Murray-Darling Environmental Water Knowledge and Research (EWKR) project (for five years to June 2019) which provided important information, including several research projects in the Lower Balonne, to support environmental water management in the Basin</w:t>
      </w:r>
      <w:r w:rsidRPr="00CD6F25">
        <w:rPr>
          <w:rFonts w:cs="Times New Roman"/>
          <w:vertAlign w:val="superscript"/>
        </w:rPr>
        <w:footnoteReference w:id="14"/>
      </w:r>
      <w:r w:rsidRPr="00CD6F25">
        <w:t>.</w:t>
      </w:r>
    </w:p>
    <w:p w14:paraId="0291BAC4" w14:textId="77777777" w:rsidR="00CD6F25" w:rsidRPr="00CD6F25" w:rsidRDefault="00CD6F25" w:rsidP="00CD6F25">
      <w:r w:rsidRPr="00CD6F25">
        <w:t>Key findings from fish,</w:t>
      </w:r>
      <w:r w:rsidRPr="00CD6F25">
        <w:rPr>
          <w:rFonts w:cs="Times New Roman"/>
          <w:vertAlign w:val="superscript"/>
        </w:rPr>
        <w:footnoteReference w:id="15"/>
      </w:r>
      <w:r w:rsidRPr="00CD6F25">
        <w:t xml:space="preserve"> native vegetation</w:t>
      </w:r>
      <w:r w:rsidRPr="00CD6F25">
        <w:rPr>
          <w:rFonts w:cs="Times New Roman"/>
          <w:vertAlign w:val="superscript"/>
        </w:rPr>
        <w:footnoteReference w:id="16"/>
      </w:r>
      <w:r w:rsidRPr="00CD6F25">
        <w:t>, flows</w:t>
      </w:r>
      <w:r w:rsidRPr="00CD6F25">
        <w:rPr>
          <w:rFonts w:cs="Times New Roman"/>
          <w:vertAlign w:val="superscript"/>
        </w:rPr>
        <w:footnoteReference w:id="17"/>
      </w:r>
      <w:r w:rsidRPr="00CD6F25">
        <w:t xml:space="preserve"> and waterbird</w:t>
      </w:r>
      <w:r w:rsidRPr="00CD6F25">
        <w:rPr>
          <w:rFonts w:cs="Times New Roman"/>
          <w:vertAlign w:val="superscript"/>
        </w:rPr>
        <w:footnoteReference w:id="18"/>
      </w:r>
      <w:r w:rsidRPr="00CD6F25">
        <w:rPr>
          <w:vertAlign w:val="superscript"/>
        </w:rPr>
        <w:t xml:space="preserve"> </w:t>
      </w:r>
      <w:r w:rsidRPr="00CD6F25">
        <w:t>monitoring in the Condamine-Balonne is summarised in Table 4.</w:t>
      </w:r>
    </w:p>
    <w:p w14:paraId="2BB6B28B" w14:textId="3883F18F" w:rsidR="00CD6F25" w:rsidRPr="00CD6F25" w:rsidRDefault="00CD6F25" w:rsidP="00CD6F25">
      <w:r w:rsidRPr="00CD6F25">
        <w:rPr>
          <w:b/>
        </w:rPr>
        <w:t xml:space="preserve">Table </w:t>
      </w:r>
      <w:r w:rsidRPr="00CD6F25">
        <w:rPr>
          <w:b/>
        </w:rPr>
        <w:fldChar w:fldCharType="begin"/>
      </w:r>
      <w:r w:rsidRPr="00CD6F25">
        <w:rPr>
          <w:b/>
        </w:rPr>
        <w:instrText xml:space="preserve"> SEQ Table \* ARABIC </w:instrText>
      </w:r>
      <w:r w:rsidRPr="00CD6F25">
        <w:rPr>
          <w:b/>
        </w:rPr>
        <w:fldChar w:fldCharType="separate"/>
      </w:r>
      <w:r w:rsidR="001B2852">
        <w:rPr>
          <w:b/>
          <w:noProof/>
        </w:rPr>
        <w:t>12</w:t>
      </w:r>
      <w:r w:rsidRPr="00CD6F25">
        <w:rPr>
          <w:b/>
        </w:rPr>
        <w:fldChar w:fldCharType="end"/>
      </w:r>
      <w:r w:rsidRPr="00CD6F25">
        <w:t xml:space="preserve">:  Key lessons learned in the Condamine–Balonne catchment </w:t>
      </w:r>
    </w:p>
    <w:tbl>
      <w:tblPr>
        <w:tblStyle w:val="TableGrid5"/>
        <w:tblW w:w="0" w:type="auto"/>
        <w:tblLook w:val="04A0" w:firstRow="1" w:lastRow="0" w:firstColumn="1" w:lastColumn="0" w:noHBand="0" w:noVBand="1"/>
      </w:tblPr>
      <w:tblGrid>
        <w:gridCol w:w="1682"/>
        <w:gridCol w:w="8117"/>
      </w:tblGrid>
      <w:tr w:rsidR="00CD6F25" w:rsidRPr="00CD6F25" w14:paraId="2A68D0CF" w14:textId="77777777" w:rsidTr="00AA0841">
        <w:trPr>
          <w:cnfStyle w:val="100000000000" w:firstRow="1" w:lastRow="0" w:firstColumn="0" w:lastColumn="0" w:oddVBand="0" w:evenVBand="0" w:oddHBand="0" w:evenHBand="0" w:firstRowFirstColumn="0" w:firstRowLastColumn="0" w:lastRowFirstColumn="0" w:lastRowLastColumn="0"/>
          <w:tblHeader/>
        </w:trPr>
        <w:tc>
          <w:tcPr>
            <w:tcW w:w="1696" w:type="dxa"/>
            <w:shd w:val="clear" w:color="auto" w:fill="B6DDE8" w:themeFill="accent5" w:themeFillTint="66"/>
          </w:tcPr>
          <w:p w14:paraId="1AEC40F6" w14:textId="77777777" w:rsidR="00CD6F25" w:rsidRPr="00CD6F25" w:rsidRDefault="00CD6F25" w:rsidP="00CD6F25">
            <w:pPr>
              <w:rPr>
                <w:b/>
              </w:rPr>
            </w:pPr>
            <w:r w:rsidRPr="00CD6F25">
              <w:rPr>
                <w:b/>
              </w:rPr>
              <w:t>Theme</w:t>
            </w:r>
          </w:p>
        </w:tc>
        <w:tc>
          <w:tcPr>
            <w:tcW w:w="8358" w:type="dxa"/>
            <w:shd w:val="clear" w:color="auto" w:fill="B6DDE8" w:themeFill="accent5" w:themeFillTint="66"/>
          </w:tcPr>
          <w:p w14:paraId="7484EC44" w14:textId="77777777" w:rsidR="00CD6F25" w:rsidRPr="00CD6F25" w:rsidRDefault="00CD6F25" w:rsidP="00CD6F25">
            <w:pPr>
              <w:rPr>
                <w:b/>
              </w:rPr>
            </w:pPr>
            <w:r w:rsidRPr="00CD6F25">
              <w:rPr>
                <w:b/>
              </w:rPr>
              <w:t>Lesson learned</w:t>
            </w:r>
          </w:p>
        </w:tc>
      </w:tr>
      <w:tr w:rsidR="00CD6F25" w:rsidRPr="00CD6F25" w14:paraId="12B394BC" w14:textId="77777777" w:rsidTr="00AA0841">
        <w:trPr>
          <w:cnfStyle w:val="000000100000" w:firstRow="0" w:lastRow="0" w:firstColumn="0" w:lastColumn="0" w:oddVBand="0" w:evenVBand="0" w:oddHBand="1" w:evenHBand="0" w:firstRowFirstColumn="0" w:firstRowLastColumn="0" w:lastRowFirstColumn="0" w:lastRowLastColumn="0"/>
          <w:trHeight w:val="2539"/>
        </w:trPr>
        <w:tc>
          <w:tcPr>
            <w:tcW w:w="1696" w:type="dxa"/>
            <w:shd w:val="clear" w:color="auto" w:fill="B6DDE8" w:themeFill="accent5" w:themeFillTint="66"/>
          </w:tcPr>
          <w:p w14:paraId="121F6274" w14:textId="77777777" w:rsidR="00CD6F25" w:rsidRPr="00CD6F25" w:rsidRDefault="00CD6F25" w:rsidP="00CD6F25">
            <w:r w:rsidRPr="00CD6F25">
              <w:t>Native fish</w:t>
            </w:r>
          </w:p>
        </w:tc>
        <w:tc>
          <w:tcPr>
            <w:tcW w:w="8358" w:type="dxa"/>
          </w:tcPr>
          <w:p w14:paraId="5910BA08" w14:textId="77777777" w:rsidR="00CD6F25" w:rsidRPr="00CD6F25" w:rsidRDefault="00CD6F25" w:rsidP="00CD6F25">
            <w:pPr>
              <w:pStyle w:val="DotStyle1"/>
            </w:pPr>
            <w:r w:rsidRPr="00CD6F25">
              <w:t xml:space="preserve">Lagoons in the Lower Balonne (Queensland) have been known to provide habitat for fish species including golden perch, Australian smelt, spangled perch, bony bream, carp gudgeons, Murray-Darling rainbow fish, olive perchlet and Hyrtl’s tandan. Historically, the native fish communities in the NSW Narran and Culgoa rivers were assessed as being in moderate to good condition. </w:t>
            </w:r>
          </w:p>
          <w:p w14:paraId="71BDA017" w14:textId="77777777" w:rsidR="00CD6F25" w:rsidRPr="00CD6F25" w:rsidRDefault="00CD6F25" w:rsidP="00CD6F25">
            <w:pPr>
              <w:pStyle w:val="DotStyle1"/>
            </w:pPr>
            <w:r w:rsidRPr="00CD6F25">
              <w:t>Several refugial waterholes on the Narran River system, including one waterhole that was previously identified as persistent, went dry in 2017–18, increasing the population extinction risk for native aquatic fauna, including golden perch.</w:t>
            </w:r>
          </w:p>
        </w:tc>
      </w:tr>
      <w:tr w:rsidR="00CD6F25" w:rsidRPr="00CD6F25" w14:paraId="667EE425" w14:textId="77777777" w:rsidTr="00AA0841">
        <w:trPr>
          <w:cnfStyle w:val="000000010000" w:firstRow="0" w:lastRow="0" w:firstColumn="0" w:lastColumn="0" w:oddVBand="0" w:evenVBand="0" w:oddHBand="0" w:evenHBand="1" w:firstRowFirstColumn="0" w:firstRowLastColumn="0" w:lastRowFirstColumn="0" w:lastRowLastColumn="0"/>
          <w:trHeight w:val="1555"/>
        </w:trPr>
        <w:tc>
          <w:tcPr>
            <w:tcW w:w="1696" w:type="dxa"/>
            <w:shd w:val="clear" w:color="auto" w:fill="B6DDE8" w:themeFill="accent5" w:themeFillTint="66"/>
          </w:tcPr>
          <w:p w14:paraId="0E5DA5E0" w14:textId="77777777" w:rsidR="00CD6F25" w:rsidRPr="00CD6F25" w:rsidRDefault="00CD6F25" w:rsidP="00CD6F25">
            <w:pPr>
              <w:rPr>
                <w:rFonts w:cstheme="minorHAnsi"/>
                <w:szCs w:val="22"/>
              </w:rPr>
            </w:pPr>
            <w:r w:rsidRPr="00CD6F25">
              <w:rPr>
                <w:rFonts w:cstheme="minorHAnsi"/>
                <w:szCs w:val="22"/>
              </w:rPr>
              <w:t>Native vegetation</w:t>
            </w:r>
          </w:p>
        </w:tc>
        <w:tc>
          <w:tcPr>
            <w:tcW w:w="8358" w:type="dxa"/>
          </w:tcPr>
          <w:p w14:paraId="39B130FB" w14:textId="77777777" w:rsidR="00CD6F25" w:rsidRPr="00CD6F25" w:rsidRDefault="00CD6F25" w:rsidP="00CD6F25">
            <w:pPr>
              <w:pStyle w:val="DotStyle1"/>
            </w:pPr>
            <w:r w:rsidRPr="00CD6F25">
              <w:t xml:space="preserve">The CEWO has funded a short-term intervention monitoring (STIM) project on vegetation condition at Narran Lakes from early 2020 to December 2021. The first vegetation monitoring survey was undertaken by staff from the University of New England (UNE) in early March 2020 in collaboration with staff from the CEWO, NSW National Parks and Wildlife Service (NPWS), NSW DPIE along with local indigenous </w:t>
            </w:r>
            <w:r w:rsidRPr="00CD6F25">
              <w:lastRenderedPageBreak/>
              <w:t xml:space="preserve">representatives from the Narran Lakes Nature Reserve Joint Management Committee (JMC). </w:t>
            </w:r>
          </w:p>
          <w:p w14:paraId="5DB0E646" w14:textId="77777777" w:rsidR="00CD6F25" w:rsidRPr="00CD6F25" w:rsidRDefault="00CD6F25" w:rsidP="00CD6F25">
            <w:pPr>
              <w:pStyle w:val="DotStyle1"/>
            </w:pPr>
            <w:r w:rsidRPr="00CD6F25">
              <w:t>Preliminary results suggest that vegetation of all community types suffered as a result of drought in recent years, with river red gum appearing to be the most obvious tree species affected. Large swathes of dieback was evident in lignum, especially in areas that had not received runoff from recent rains. Ground cover was also very low throughout. Floodplain vegetation appeared to respond to rains received in mid</w:t>
            </w:r>
            <w:r w:rsidRPr="00CD6F25">
              <w:noBreakHyphen/>
              <w:t xml:space="preserve">February 2020, including lignum resprouting on the edges of the floodplain and low-lying areas. Despite large areas of lignum dieback, lignum may still offer suitable habitat for waterbird nesting following lake inundation from flood water delivery. </w:t>
            </w:r>
          </w:p>
        </w:tc>
      </w:tr>
      <w:tr w:rsidR="00CD6F25" w:rsidRPr="00CD6F25" w14:paraId="7C2BEAE7" w14:textId="77777777" w:rsidTr="00AA0841">
        <w:trPr>
          <w:cnfStyle w:val="000000100000" w:firstRow="0" w:lastRow="0" w:firstColumn="0" w:lastColumn="0" w:oddVBand="0" w:evenVBand="0" w:oddHBand="1" w:evenHBand="0" w:firstRowFirstColumn="0" w:firstRowLastColumn="0" w:lastRowFirstColumn="0" w:lastRowLastColumn="0"/>
        </w:trPr>
        <w:tc>
          <w:tcPr>
            <w:tcW w:w="1696" w:type="dxa"/>
            <w:shd w:val="clear" w:color="auto" w:fill="B6DDE8" w:themeFill="accent5" w:themeFillTint="66"/>
          </w:tcPr>
          <w:p w14:paraId="2D033BAE" w14:textId="77777777" w:rsidR="00CD6F25" w:rsidRPr="00CD6F25" w:rsidRDefault="00CD6F25" w:rsidP="00CD6F25">
            <w:pPr>
              <w:rPr>
                <w:rFonts w:cstheme="minorHAnsi"/>
                <w:szCs w:val="22"/>
              </w:rPr>
            </w:pPr>
            <w:r w:rsidRPr="00CD6F25">
              <w:rPr>
                <w:rFonts w:cstheme="minorHAnsi"/>
                <w:szCs w:val="22"/>
              </w:rPr>
              <w:lastRenderedPageBreak/>
              <w:t>Waterbirds</w:t>
            </w:r>
          </w:p>
        </w:tc>
        <w:tc>
          <w:tcPr>
            <w:tcW w:w="8358" w:type="dxa"/>
          </w:tcPr>
          <w:p w14:paraId="70154CB0" w14:textId="77777777" w:rsidR="00CD6F25" w:rsidRPr="00CD6F25" w:rsidRDefault="00CD6F25" w:rsidP="00CD6F25">
            <w:pPr>
              <w:pStyle w:val="DotStyle1"/>
            </w:pPr>
            <w:r w:rsidRPr="00CD6F25">
              <w:t>Regular waterbird surveys undertaken by state agencies since significant flows arrived in the Lower Balonne in early 2020 has detected thirty species so far including freckled duck, plumed duck, pelicans and darters. Straw-necked ibis were also detected but no breeding evident. Further rainfall in 2019-20 and 2020-21 may support waterbird breeding outcomes.</w:t>
            </w:r>
          </w:p>
        </w:tc>
      </w:tr>
      <w:tr w:rsidR="00CD6F25" w:rsidRPr="00CD6F25" w14:paraId="196A836E" w14:textId="77777777" w:rsidTr="00AA0841">
        <w:trPr>
          <w:cnfStyle w:val="000000010000" w:firstRow="0" w:lastRow="0" w:firstColumn="0" w:lastColumn="0" w:oddVBand="0" w:evenVBand="0" w:oddHBand="0" w:evenHBand="1" w:firstRowFirstColumn="0" w:firstRowLastColumn="0" w:lastRowFirstColumn="0" w:lastRowLastColumn="0"/>
        </w:trPr>
        <w:tc>
          <w:tcPr>
            <w:tcW w:w="1696" w:type="dxa"/>
            <w:shd w:val="clear" w:color="auto" w:fill="B6DDE8" w:themeFill="accent5" w:themeFillTint="66"/>
          </w:tcPr>
          <w:p w14:paraId="3BDFA092" w14:textId="77777777" w:rsidR="00CD6F25" w:rsidRPr="00CD6F25" w:rsidRDefault="00CD6F25" w:rsidP="00CD6F25">
            <w:pPr>
              <w:rPr>
                <w:rFonts w:cstheme="minorHAnsi"/>
                <w:szCs w:val="22"/>
              </w:rPr>
            </w:pPr>
            <w:r w:rsidRPr="00CD6F25">
              <w:rPr>
                <w:rFonts w:cstheme="minorHAnsi"/>
                <w:szCs w:val="22"/>
              </w:rPr>
              <w:t>Connectivity</w:t>
            </w:r>
          </w:p>
        </w:tc>
        <w:tc>
          <w:tcPr>
            <w:tcW w:w="8358" w:type="dxa"/>
          </w:tcPr>
          <w:p w14:paraId="0D1FD63C" w14:textId="77777777" w:rsidR="00CD6F25" w:rsidRPr="00CD6F25" w:rsidRDefault="00CD6F25" w:rsidP="00CD6F25">
            <w:pPr>
              <w:pStyle w:val="DotStyle1"/>
            </w:pPr>
            <w:r w:rsidRPr="00CD6F25">
              <w:t xml:space="preserve">The Murray-Darling Basin Authority has been using satellite data to track the 2020 flows in the Lower Balonne. The Bureau of Meteorology also completed a ‘Water in Focus’ report on the Lower Balonne, finding that the summer of 2019-20 saw the Condamine-Balonne river system go from severe drought to floods. These flows replenished water supplies and enabled the first significant flow into the internationally significant Narran Wetlands in eight years. A small volume of water also made it down the Culgoa River channel to the Darling River during March and April 2020. </w:t>
            </w:r>
          </w:p>
        </w:tc>
      </w:tr>
    </w:tbl>
    <w:p w14:paraId="2640DF51" w14:textId="77777777" w:rsidR="00CD6F25" w:rsidRPr="00CD6F25" w:rsidRDefault="00CD6F25" w:rsidP="00CD6F25">
      <w:pPr>
        <w:spacing w:after="240"/>
        <w:rPr>
          <w:rFonts w:cstheme="minorHAnsi"/>
          <w:color w:val="auto"/>
          <w:szCs w:val="22"/>
          <w:lang w:val="en-US" w:eastAsia="en-US"/>
        </w:rPr>
      </w:pPr>
    </w:p>
    <w:p w14:paraId="21C3DD6D" w14:textId="77777777" w:rsidR="00CD6F25" w:rsidRPr="00CD6F25" w:rsidRDefault="00CD6F25" w:rsidP="00CD6F25">
      <w:pPr>
        <w:spacing w:after="0"/>
        <w:rPr>
          <w:rFonts w:cstheme="minorHAnsi"/>
          <w:color w:val="auto"/>
          <w:szCs w:val="22"/>
          <w:lang w:val="en-US" w:eastAsia="en-US"/>
        </w:rPr>
      </w:pPr>
      <w:r w:rsidRPr="00CD6F25">
        <w:rPr>
          <w:rFonts w:cstheme="minorHAnsi"/>
          <w:szCs w:val="22"/>
        </w:rPr>
        <w:br w:type="page"/>
      </w:r>
    </w:p>
    <w:p w14:paraId="72125E82" w14:textId="77777777" w:rsidR="00CD6F25" w:rsidRPr="00CD6F25" w:rsidRDefault="00CD6F25" w:rsidP="0057535E">
      <w:pPr>
        <w:pStyle w:val="Heading3"/>
      </w:pPr>
      <w:r w:rsidRPr="00CD6F25">
        <w:lastRenderedPageBreak/>
        <w:t>Bibliography</w:t>
      </w:r>
    </w:p>
    <w:p w14:paraId="45C09F1B" w14:textId="77777777" w:rsidR="00CD6F25" w:rsidRPr="00CD6F25" w:rsidRDefault="00CD6F25" w:rsidP="00CD6F25">
      <w:r w:rsidRPr="00CD6F25">
        <w:t xml:space="preserve">Benson, L (2004). </w:t>
      </w:r>
      <w:r w:rsidRPr="00CD6F25">
        <w:rPr>
          <w:i/>
          <w:iCs/>
        </w:rPr>
        <w:t>Lower Balonne Aquatic Environments – Review of Data 2000–2004</w:t>
      </w:r>
      <w:r w:rsidRPr="00CD6F25">
        <w:t xml:space="preserve">. EM (Ecology Management) Pty Ltd. </w:t>
      </w:r>
    </w:p>
    <w:p w14:paraId="09A4AEA5" w14:textId="77777777" w:rsidR="00CD6F25" w:rsidRPr="00CD6F25" w:rsidRDefault="00CD6F25" w:rsidP="00CD6F25">
      <w:r w:rsidRPr="00CD6F25">
        <w:t xml:space="preserve">Bureau of Meteorology (2020). </w:t>
      </w:r>
      <w:r w:rsidRPr="00CD6F25">
        <w:rPr>
          <w:i/>
          <w:iCs/>
        </w:rPr>
        <w:t>From droughts to floods – the Condamine–Balonne water focus report – summer 2020</w:t>
      </w:r>
      <w:r w:rsidRPr="00CD6F25">
        <w:t xml:space="preserve">. Commonwealth of Australia, Bureau of Meteorology, Canberra. </w:t>
      </w:r>
      <w:hyperlink r:id="rId91" w:history="1">
        <w:r w:rsidRPr="00CD6F25">
          <w:rPr>
            <w:color w:val="0000FF"/>
            <w:u w:val="single"/>
          </w:rPr>
          <w:t>http://www.bom.gov.au/water/focus/documents/Water_Focus_Report_Condamine-Balonne_v4.pdf</w:t>
        </w:r>
      </w:hyperlink>
    </w:p>
    <w:p w14:paraId="0DCCAFA2" w14:textId="77777777" w:rsidR="00CD6F25" w:rsidRPr="00CD6F25" w:rsidRDefault="00CD6F25" w:rsidP="00CD6F25">
      <w:pPr>
        <w:rPr>
          <w:rFonts w:cstheme="minorHAnsi"/>
          <w:szCs w:val="22"/>
        </w:rPr>
      </w:pPr>
      <w:bookmarkStart w:id="81" w:name="_Hlk42595781"/>
      <w:r w:rsidRPr="00CD6F25">
        <w:rPr>
          <w:rFonts w:cstheme="minorHAnsi"/>
          <w:szCs w:val="22"/>
        </w:rPr>
        <w:t xml:space="preserve">Bureau of Meteorology (2020). </w:t>
      </w:r>
      <w:r w:rsidRPr="00CD6F25">
        <w:rPr>
          <w:i/>
          <w:iCs/>
          <w:szCs w:val="22"/>
          <w:lang w:val="en"/>
        </w:rPr>
        <w:t xml:space="preserve">Rainfall—The chance of above median for July to September 2020. </w:t>
      </w:r>
      <w:hyperlink r:id="rId92" w:anchor="/rainfall/median/seasonal/0" w:history="1">
        <w:r w:rsidRPr="00CD6F25">
          <w:rPr>
            <w:rFonts w:cstheme="minorHAnsi"/>
            <w:color w:val="0000FF"/>
            <w:szCs w:val="22"/>
            <w:u w:val="single"/>
          </w:rPr>
          <w:t>http://www.bom.gov.au/climate/outlooks/#/rainfall/median/seasonal/0</w:t>
        </w:r>
      </w:hyperlink>
      <w:r w:rsidRPr="00CD6F25">
        <w:rPr>
          <w:rFonts w:cstheme="minorHAnsi"/>
          <w:szCs w:val="22"/>
        </w:rPr>
        <w:t xml:space="preserve"> </w:t>
      </w:r>
    </w:p>
    <w:p w14:paraId="007A9C78" w14:textId="77777777" w:rsidR="00CD6F25" w:rsidRPr="00CD6F25" w:rsidRDefault="00CD6F25" w:rsidP="00CD6F25">
      <w:pPr>
        <w:rPr>
          <w:rFonts w:cstheme="minorHAnsi"/>
          <w:szCs w:val="22"/>
        </w:rPr>
      </w:pPr>
      <w:r w:rsidRPr="00CD6F25">
        <w:rPr>
          <w:rFonts w:cstheme="minorHAnsi"/>
          <w:szCs w:val="22"/>
        </w:rPr>
        <w:t xml:space="preserve">Bureau of Meteorology (2020). </w:t>
      </w:r>
      <w:r w:rsidRPr="00CD6F25">
        <w:rPr>
          <w:i/>
          <w:iCs/>
          <w:szCs w:val="22"/>
          <w:lang w:val="en"/>
        </w:rPr>
        <w:t xml:space="preserve">Rainfall—The chance of above median for August to October 2020. </w:t>
      </w:r>
      <w:hyperlink r:id="rId93" w:anchor="/rainfall/median/seasonal/1" w:history="1">
        <w:r w:rsidRPr="00CD6F25">
          <w:rPr>
            <w:rFonts w:cstheme="minorHAnsi"/>
            <w:color w:val="0000FF"/>
            <w:szCs w:val="22"/>
            <w:u w:val="single"/>
          </w:rPr>
          <w:t>http://www.bom.gov.au/climate/outlooks/#/rainfall/median/seasonal/1</w:t>
        </w:r>
      </w:hyperlink>
      <w:r w:rsidRPr="00CD6F25">
        <w:rPr>
          <w:rFonts w:cstheme="minorHAnsi"/>
          <w:szCs w:val="22"/>
        </w:rPr>
        <w:t xml:space="preserve"> </w:t>
      </w:r>
    </w:p>
    <w:p w14:paraId="7AD1470F" w14:textId="77777777" w:rsidR="00CD6F25" w:rsidRPr="00CD6F25" w:rsidRDefault="00CD6F25" w:rsidP="00CD6F25">
      <w:pPr>
        <w:rPr>
          <w:rFonts w:cstheme="minorHAnsi"/>
          <w:szCs w:val="22"/>
        </w:rPr>
      </w:pPr>
      <w:r w:rsidRPr="00CD6F25">
        <w:rPr>
          <w:rFonts w:cstheme="minorHAnsi"/>
          <w:szCs w:val="22"/>
        </w:rPr>
        <w:t xml:space="preserve">Bureau of Meteorology (2020). </w:t>
      </w:r>
      <w:r w:rsidRPr="00CD6F25">
        <w:rPr>
          <w:i/>
          <w:iCs/>
          <w:szCs w:val="22"/>
          <w:lang w:val="en"/>
        </w:rPr>
        <w:t>Temperature—The chance of above median maximum temperature for June to August 2020</w:t>
      </w:r>
      <w:r w:rsidRPr="00CD6F25">
        <w:rPr>
          <w:szCs w:val="22"/>
          <w:lang w:val="en"/>
        </w:rPr>
        <w:t xml:space="preserve">. </w:t>
      </w:r>
      <w:hyperlink r:id="rId94" w:anchor="/temperature/maximum/median/seasonal/0" w:history="1">
        <w:r w:rsidRPr="00CD6F25">
          <w:rPr>
            <w:rFonts w:cstheme="minorHAnsi"/>
            <w:color w:val="0000FF"/>
            <w:szCs w:val="22"/>
            <w:u w:val="single"/>
          </w:rPr>
          <w:t>http://www.bom.gov.au/climate/outlooks/#/temperature/maximum/median/seasonal/0</w:t>
        </w:r>
      </w:hyperlink>
      <w:r w:rsidRPr="00CD6F25">
        <w:rPr>
          <w:rFonts w:cstheme="minorHAnsi"/>
          <w:szCs w:val="22"/>
        </w:rPr>
        <w:t xml:space="preserve"> </w:t>
      </w:r>
    </w:p>
    <w:p w14:paraId="49A015BE" w14:textId="77777777" w:rsidR="00CD6F25" w:rsidRPr="00CD6F25" w:rsidRDefault="00CD6F25" w:rsidP="00CD6F25">
      <w:pPr>
        <w:rPr>
          <w:rFonts w:cstheme="minorHAnsi"/>
          <w:szCs w:val="22"/>
        </w:rPr>
      </w:pPr>
      <w:r w:rsidRPr="00CD6F25">
        <w:rPr>
          <w:rFonts w:cstheme="minorHAnsi"/>
          <w:szCs w:val="22"/>
        </w:rPr>
        <w:t xml:space="preserve">Bureau of Meteorology (2020). </w:t>
      </w:r>
      <w:r w:rsidRPr="00CD6F25">
        <w:rPr>
          <w:i/>
          <w:iCs/>
          <w:szCs w:val="22"/>
          <w:lang w:val="en"/>
        </w:rPr>
        <w:t>Temperature—The chance of above median maximum temperature for July to September 2020</w:t>
      </w:r>
      <w:r w:rsidRPr="00CD6F25">
        <w:rPr>
          <w:szCs w:val="22"/>
          <w:lang w:val="en"/>
        </w:rPr>
        <w:t xml:space="preserve">. </w:t>
      </w:r>
      <w:hyperlink r:id="rId95" w:anchor="/temperature/maximum/median/seasonal/1" w:history="1">
        <w:r w:rsidRPr="00CD6F25">
          <w:rPr>
            <w:color w:val="0000FF"/>
            <w:szCs w:val="22"/>
            <w:u w:val="single"/>
            <w:lang w:val="en"/>
          </w:rPr>
          <w:t>http://www.bom.gov.au/climate/outlooks/#/temperature/maximum/median/seasonal/1</w:t>
        </w:r>
      </w:hyperlink>
      <w:bookmarkEnd w:id="81"/>
      <w:r w:rsidRPr="00CD6F25">
        <w:rPr>
          <w:szCs w:val="22"/>
          <w:lang w:val="en"/>
        </w:rPr>
        <w:t xml:space="preserve">  </w:t>
      </w:r>
    </w:p>
    <w:p w14:paraId="1D6EF2D1" w14:textId="77777777" w:rsidR="00CD6F25" w:rsidRPr="00CD6F25" w:rsidRDefault="00CD6F25" w:rsidP="00CD6F25">
      <w:r w:rsidRPr="00CD6F25">
        <w:t xml:space="preserve">Commonwealth Environmental Water Office (2019). </w:t>
      </w:r>
      <w:r w:rsidRPr="00CD6F25">
        <w:rPr>
          <w:i/>
          <w:iCs/>
        </w:rPr>
        <w:t>Monitoring – northern unregulated rivers – Intersecting Streams and Barwon–Darling</w:t>
      </w:r>
      <w:r w:rsidRPr="00CD6F25">
        <w:t xml:space="preserve">. Commonwealth of Australia, Department of the Environment and Energy, Commonwealth Environmental Water Office, Canberra. </w:t>
      </w:r>
      <w:hyperlink r:id="rId96" w:anchor="ewkr" w:history="1">
        <w:r w:rsidRPr="00CD6F25">
          <w:rPr>
            <w:color w:val="0000FF"/>
            <w:u w:val="single"/>
          </w:rPr>
          <w:t>https://www.environment.gov.au/water/cewo/catchment/northernunregulated-rivers/monitoring#ewkr</w:t>
        </w:r>
      </w:hyperlink>
    </w:p>
    <w:p w14:paraId="4465F8C5" w14:textId="77777777" w:rsidR="00CD6F25" w:rsidRPr="00CD6F25" w:rsidRDefault="00CD6F25" w:rsidP="00CD6F25">
      <w:r w:rsidRPr="00CD6F25">
        <w:t xml:space="preserve">Commonwealth Environmental Water Office (2020). </w:t>
      </w:r>
      <w:r w:rsidRPr="00CD6F25">
        <w:rPr>
          <w:i/>
          <w:iCs/>
        </w:rPr>
        <w:t>Lower Balonne flow 2020 – update 5. 4 May 2020</w:t>
      </w:r>
      <w:r w:rsidRPr="00CD6F25">
        <w:t xml:space="preserve">. Commonwealth of Australia, Department of the Environment and Energy, Commonwealth Environmental Water Office, Canberra.  </w:t>
      </w:r>
      <w:hyperlink r:id="rId97" w:history="1">
        <w:r w:rsidRPr="00CD6F25">
          <w:rPr>
            <w:color w:val="0000FF"/>
            <w:u w:val="single"/>
          </w:rPr>
          <w:t>https://www.environment.gov.au/system/files/resources/229f77eb-5d54-46ec-a5a6-2d47ed6cac69/files/lower-balonne-flow-update-5.pdf</w:t>
        </w:r>
      </w:hyperlink>
    </w:p>
    <w:p w14:paraId="170563ED" w14:textId="77777777" w:rsidR="00CD6F25" w:rsidRPr="00CD6F25" w:rsidRDefault="00CD6F25" w:rsidP="00CD6F25">
      <w:pPr>
        <w:rPr>
          <w:color w:val="0000FF"/>
          <w:u w:val="single"/>
        </w:rPr>
      </w:pPr>
      <w:r w:rsidRPr="00CD6F25">
        <w:t xml:space="preserve">Dunne, C. (2019). </w:t>
      </w:r>
      <w:r w:rsidRPr="00CD6F25">
        <w:rPr>
          <w:i/>
          <w:iCs/>
        </w:rPr>
        <w:t>Determining seed diversity across MDB soil.</w:t>
      </w:r>
      <w:r w:rsidRPr="00CD6F25">
        <w:t xml:space="preserve"> Murray–Darling Basin Environmental Knowledge and Research Project Storyspace website – our learnings. Australian Government Commonwealth Environmental Water Office and Latrobe University Centre for Freshwater Ecosystems, Canberra and Wodonga. </w:t>
      </w:r>
      <w:hyperlink r:id="rId98" w:history="1">
        <w:r w:rsidRPr="00CD6F25">
          <w:rPr>
            <w:color w:val="0000FF"/>
            <w:u w:val="single"/>
          </w:rPr>
          <w:t>http://ewkr.com.au/determining-seed-diversity-across-mdb-soil</w:t>
        </w:r>
      </w:hyperlink>
    </w:p>
    <w:p w14:paraId="44D74414" w14:textId="77777777" w:rsidR="00CD6F25" w:rsidRPr="00CD6F25" w:rsidRDefault="00CD6F25" w:rsidP="00CD6F25">
      <w:r w:rsidRPr="00CD6F25">
        <w:t xml:space="preserve">Murray–Darling Basin Authority (2016). </w:t>
      </w:r>
      <w:r w:rsidRPr="00CD6F25">
        <w:rPr>
          <w:i/>
          <w:iCs/>
        </w:rPr>
        <w:t>Assessment of environmental water requirements for the Northern Basin review: Condamine–Balonne river system (October 2016).</w:t>
      </w:r>
      <w:r w:rsidRPr="00CD6F25">
        <w:t xml:space="preserve"> Murray–Darling Basin Authority, Canberra. </w:t>
      </w:r>
      <w:r w:rsidRPr="00CD6F25">
        <w:rPr>
          <w:color w:val="0000FF"/>
          <w:u w:val="single"/>
        </w:rPr>
        <w:t>https://www.mdba.gov.au/sites/default/files/pubs/NBR-environmental-water-requirementsCondamine-Balonne.pdf</w:t>
      </w:r>
    </w:p>
    <w:p w14:paraId="115B89F6" w14:textId="77777777" w:rsidR="00CD6F25" w:rsidRPr="00CD6F25" w:rsidRDefault="00CD6F25" w:rsidP="00CD6F25">
      <w:r w:rsidRPr="00CD6F25">
        <w:t xml:space="preserve">Mynott, J. and Balcombe, S. (2019). </w:t>
      </w:r>
      <w:r w:rsidRPr="00CD6F25">
        <w:rPr>
          <w:i/>
          <w:iCs/>
        </w:rPr>
        <w:t>Dryland river waterholes: important refuges for river life, especially during dry times.</w:t>
      </w:r>
      <w:r w:rsidRPr="00CD6F25">
        <w:t xml:space="preserve"> Murray–Darling Basin Environmental Water Knowledge and Research project – Storyspace (learnings – project updates). Australian Government Commonwealth Environmental Water Office and La Trobe University Centre for Freshwater Ecosystems, Canberra and Wodonga. </w:t>
      </w:r>
      <w:hyperlink r:id="rId99" w:history="1">
        <w:r w:rsidRPr="00CD6F25">
          <w:rPr>
            <w:color w:val="0000FF"/>
            <w:u w:val="single"/>
          </w:rPr>
          <w:t>http://ewkr.com.au/dryland-river-waterholes-important-refuges-for-river-life-especially-during-dry-times/</w:t>
        </w:r>
      </w:hyperlink>
    </w:p>
    <w:p w14:paraId="7FC85BE9" w14:textId="77777777" w:rsidR="00CD6F25" w:rsidRPr="00CD6F25" w:rsidRDefault="00CD6F25" w:rsidP="00CD6F25">
      <w:r w:rsidRPr="00CD6F25">
        <w:t xml:space="preserve">Queensland Department of Environment and Science (QDES) (2018). Review of water plan (Condamine and Balonne) 2004: ecological risk assessment report. State of Queensland (Department of Environment and Science), Brisbane. </w:t>
      </w:r>
      <w:hyperlink r:id="rId100" w:history="1">
        <w:r w:rsidRPr="00CD6F25">
          <w:rPr>
            <w:rFonts w:cs="Times New Roman"/>
            <w:color w:val="0000FF"/>
            <w:u w:val="single"/>
          </w:rPr>
          <w:t>https://www.mdba.gov.au/sites/default/files/pubs/qld-condamine-balonne-ecological-risk-assessment-report-2018_1.pdf</w:t>
        </w:r>
      </w:hyperlink>
    </w:p>
    <w:p w14:paraId="447AE6AA" w14:textId="77777777" w:rsidR="00CD6F25" w:rsidRPr="00CD6F25" w:rsidRDefault="00CD6F25" w:rsidP="00CD6F25">
      <w:r w:rsidRPr="00CD6F25">
        <w:t xml:space="preserve">Queensland Department of Environment and Science and the Commonwealth Environmental Water Office (unpublished). </w:t>
      </w:r>
      <w:r w:rsidRPr="00CD6F25">
        <w:rPr>
          <w:i/>
          <w:iCs/>
        </w:rPr>
        <w:t>Investigations into fish population resilience following severe drought in the northern Murray-Darling Basin (project proposal).</w:t>
      </w:r>
      <w:r w:rsidRPr="00CD6F25">
        <w:t xml:space="preserve"> Queensland Department of Environment and Science and the Commonwealth Environmental Water Office, Brisbane and Canberra.  </w:t>
      </w:r>
    </w:p>
    <w:p w14:paraId="39EFECB0" w14:textId="77777777" w:rsidR="00CD6F25" w:rsidRPr="00CD6F25" w:rsidRDefault="00CD6F25" w:rsidP="00CD6F25">
      <w:pPr>
        <w:rPr>
          <w:rFonts w:ascii="Times New Roman" w:hAnsi="Times New Roman"/>
          <w:b/>
          <w:bCs/>
        </w:rPr>
      </w:pPr>
      <w:r w:rsidRPr="00CD6F25">
        <w:t xml:space="preserve">Queensland Department of Science, Information Technology and Innovation and Queensland Department of Natural Resources and Mines (2017). </w:t>
      </w:r>
      <w:r w:rsidRPr="00CD6F25">
        <w:rPr>
          <w:i/>
          <w:iCs/>
        </w:rPr>
        <w:t>Improving the understanding of water availability and use by vegetation of the Lower-Balonne Floodplain</w:t>
      </w:r>
      <w:r w:rsidRPr="00CD6F25">
        <w:t>. The State of Queensland 2017.</w:t>
      </w:r>
    </w:p>
    <w:p w14:paraId="4457E91D" w14:textId="77777777" w:rsidR="00CD6F25" w:rsidRPr="00CD6F25" w:rsidRDefault="00CD6F25" w:rsidP="00CD6F25">
      <w:pPr>
        <w:spacing w:after="0"/>
      </w:pPr>
      <w:r w:rsidRPr="00CD6F25">
        <w:br w:type="page"/>
      </w:r>
    </w:p>
    <w:p w14:paraId="7B96DAD1" w14:textId="77777777" w:rsidR="00CD6F25" w:rsidRPr="00CD6F25" w:rsidRDefault="00CD6F25" w:rsidP="00CD6F25">
      <w:r w:rsidRPr="00CD6F25">
        <w:lastRenderedPageBreak/>
        <w:t xml:space="preserve">Senior, B. (2019). </w:t>
      </w:r>
      <w:r w:rsidRPr="00CD6F25">
        <w:rPr>
          <w:i/>
          <w:iCs/>
        </w:rPr>
        <w:t>Do floodplain trees need floods?</w:t>
      </w:r>
      <w:r w:rsidRPr="00CD6F25">
        <w:t xml:space="preserve"> Murray–Darling Basin Environmental Knowledge and Research project storyspace website – our learnings. Australian Government Commonwealth Environmental Water Office and Latrobe University Centre for Freshwater Ecosystems, Canberra and Wodonga. </w:t>
      </w:r>
      <w:hyperlink r:id="rId101" w:history="1">
        <w:r w:rsidRPr="00CD6F25">
          <w:rPr>
            <w:color w:val="0000FF"/>
            <w:u w:val="single"/>
          </w:rPr>
          <w:t>http://ewkr.com.au/do-floodplain-trees-need-floods/</w:t>
        </w:r>
      </w:hyperlink>
    </w:p>
    <w:p w14:paraId="65558999" w14:textId="77777777" w:rsidR="00CD6F25" w:rsidRPr="00CD6F25" w:rsidRDefault="00CD6F25" w:rsidP="00CD6F25">
      <w:r w:rsidRPr="00CD6F25">
        <w:t>State of New South Wales and Department of Planning, Industry and Environment (2019</w:t>
      </w:r>
      <w:r w:rsidRPr="00CD6F25">
        <w:rPr>
          <w:i/>
          <w:iCs/>
        </w:rPr>
        <w:t>). Intersecting streams long-term water plan parts a and b: draft for exhibition.</w:t>
      </w:r>
      <w:r w:rsidRPr="00CD6F25">
        <w:t xml:space="preserve"> NSW Department of Planning, Industry and Environment, Sydney. </w:t>
      </w:r>
      <w:hyperlink r:id="rId102" w:history="1">
        <w:r w:rsidRPr="00CD6F25">
          <w:rPr>
            <w:rFonts w:cs="Times New Roman"/>
            <w:color w:val="0000FF"/>
            <w:u w:val="single"/>
          </w:rPr>
          <w:t>https://www.environment.nsw.gov.au/-/media/OEH/Corporate-Site/Documents/Water/Water-for-the-environment/intersecting-streams-long-term-water-plan-parts-a-b-190307.pdf</w:t>
        </w:r>
      </w:hyperlink>
      <w:r w:rsidRPr="00CD6F25">
        <w:t xml:space="preserve"> </w:t>
      </w:r>
    </w:p>
    <w:p w14:paraId="1D8C8E39" w14:textId="77777777" w:rsidR="00CD6F25" w:rsidRPr="00CD6F25" w:rsidRDefault="00CD6F25" w:rsidP="00CD6F25">
      <w:r w:rsidRPr="00CD6F25">
        <w:t xml:space="preserve">University of New England (unpublished). </w:t>
      </w:r>
      <w:r w:rsidRPr="00CD6F25">
        <w:rPr>
          <w:i/>
          <w:iCs/>
        </w:rPr>
        <w:t>Narran Lakes vegetation monitoring project progress report – April 2020</w:t>
      </w:r>
      <w:r w:rsidRPr="00CD6F25">
        <w:t xml:space="preserve">. Report to the Commonwealth Environmental Water Office. </w:t>
      </w:r>
    </w:p>
    <w:p w14:paraId="3438D9CE" w14:textId="77777777" w:rsidR="00CD6F25" w:rsidRPr="00CD6F25" w:rsidRDefault="00CD6F25" w:rsidP="00CD6F25"/>
    <w:p w14:paraId="0408770D" w14:textId="77777777" w:rsidR="00CD6F25" w:rsidRPr="00CD6F25" w:rsidRDefault="00CD6F25" w:rsidP="00CD6F25"/>
    <w:p w14:paraId="53CBDE93" w14:textId="77777777" w:rsidR="00CD6F25" w:rsidRPr="00CD6F25" w:rsidRDefault="00CD6F25" w:rsidP="00CD6F25"/>
    <w:p w14:paraId="2A3A837D" w14:textId="77F3EFC8" w:rsidR="0071217B" w:rsidRDefault="0071217B" w:rsidP="0071217B">
      <w:pPr>
        <w:ind w:firstLine="142"/>
      </w:pPr>
    </w:p>
    <w:p w14:paraId="3CAEAC6C" w14:textId="77777777" w:rsidR="0071217B" w:rsidRDefault="0071217B">
      <w:pPr>
        <w:spacing w:after="0"/>
      </w:pPr>
      <w:r>
        <w:br w:type="page"/>
      </w:r>
    </w:p>
    <w:p w14:paraId="0FD6D72F" w14:textId="77777777" w:rsidR="00AA0841" w:rsidRPr="000E6F6E" w:rsidRDefault="00AA0841" w:rsidP="0057535E">
      <w:pPr>
        <w:pStyle w:val="Heading2"/>
      </w:pPr>
      <w:r>
        <w:lastRenderedPageBreak/>
        <w:t>Warrego and Moonie rivers</w:t>
      </w:r>
    </w:p>
    <w:p w14:paraId="4009EC35" w14:textId="77777777" w:rsidR="00AA0841" w:rsidRDefault="00AA0841" w:rsidP="0057535E">
      <w:pPr>
        <w:pStyle w:val="Heading3"/>
      </w:pPr>
      <w:bookmarkStart w:id="82" w:name="_Hlk41559596"/>
      <w:r>
        <w:t>Region overview</w:t>
      </w:r>
    </w:p>
    <w:bookmarkEnd w:id="82"/>
    <w:p w14:paraId="57B787B1" w14:textId="77777777" w:rsidR="00AA0841" w:rsidRPr="00365FE2" w:rsidRDefault="00AA0841" w:rsidP="003737D8">
      <w:pPr>
        <w:pStyle w:val="Heading4"/>
      </w:pPr>
      <w:r w:rsidRPr="00365FE2">
        <w:t xml:space="preserve">River </w:t>
      </w:r>
      <w:r w:rsidRPr="003737D8">
        <w:t>valleys</w:t>
      </w:r>
    </w:p>
    <w:p w14:paraId="36DD745B" w14:textId="60CDE861" w:rsidR="00AA0841" w:rsidRDefault="00AA0841" w:rsidP="00AA0841">
      <w:r w:rsidRPr="0020755D">
        <w:t>The</w:t>
      </w:r>
      <w:r>
        <w:t xml:space="preserve"> Warrego and Moonie rivers</w:t>
      </w:r>
      <w:r w:rsidRPr="0020755D">
        <w:t xml:space="preserve"> are characterised by highly variable rainfall and ephemeral (intermittent) </w:t>
      </w:r>
      <w:r>
        <w:t>stream</w:t>
      </w:r>
      <w:r w:rsidRPr="0020755D">
        <w:t xml:space="preserve"> flows</w:t>
      </w:r>
      <w:r>
        <w:t xml:space="preserve"> (</w:t>
      </w:r>
      <w:r>
        <w:fldChar w:fldCharType="begin"/>
      </w:r>
      <w:r>
        <w:instrText xml:space="preserve"> REF _Ref43796684 \h </w:instrText>
      </w:r>
      <w:r>
        <w:fldChar w:fldCharType="separate"/>
      </w:r>
      <w:r w:rsidR="001B2852" w:rsidRPr="000E6F6E">
        <w:rPr>
          <w:rFonts w:eastAsiaTheme="minorHAnsi"/>
          <w:b/>
          <w:lang w:val="en-US" w:eastAsia="en-US"/>
        </w:rPr>
        <w:t xml:space="preserve">Figure </w:t>
      </w:r>
      <w:r w:rsidR="001B2852">
        <w:rPr>
          <w:rFonts w:eastAsiaTheme="minorHAnsi"/>
          <w:b/>
          <w:noProof/>
          <w:lang w:val="en-US" w:eastAsia="en-US"/>
        </w:rPr>
        <w:t>6</w:t>
      </w:r>
      <w:r>
        <w:fldChar w:fldCharType="end"/>
      </w:r>
      <w:r>
        <w:t>)</w:t>
      </w:r>
      <w:r w:rsidRPr="0020755D">
        <w:t xml:space="preserve">. Significant flow events generally result from heavy rainfall in elevated headwater areas. </w:t>
      </w:r>
      <w:r>
        <w:t>These</w:t>
      </w:r>
      <w:r w:rsidRPr="0020755D">
        <w:t xml:space="preserve"> northern unregulated systems</w:t>
      </w:r>
      <w:r w:rsidRPr="00C07CF6">
        <w:t xml:space="preserve"> </w:t>
      </w:r>
      <w:r>
        <w:t xml:space="preserve">are </w:t>
      </w:r>
      <w:r w:rsidRPr="0020755D">
        <w:t xml:space="preserve">highly intermittent, </w:t>
      </w:r>
      <w:r>
        <w:t xml:space="preserve">and </w:t>
      </w:r>
      <w:r w:rsidRPr="0020755D">
        <w:t>no flow periods of several months are common</w:t>
      </w:r>
      <w:r>
        <w:t>,</w:t>
      </w:r>
      <w:r w:rsidRPr="0020755D">
        <w:t xml:space="preserve"> </w:t>
      </w:r>
      <w:r>
        <w:t>e</w:t>
      </w:r>
      <w:r w:rsidRPr="0020755D">
        <w:t>xtend</w:t>
      </w:r>
      <w:r>
        <w:t>ing</w:t>
      </w:r>
      <w:r w:rsidRPr="0020755D">
        <w:t xml:space="preserve"> to several years during prolonged dry conditions.</w:t>
      </w:r>
      <w:r>
        <w:t xml:space="preserve"> </w:t>
      </w:r>
    </w:p>
    <w:p w14:paraId="68C5A5D7" w14:textId="77777777" w:rsidR="00AA0841" w:rsidRDefault="00AA0841" w:rsidP="00AA0841">
      <w:r w:rsidRPr="00665948">
        <w:t>The flat landscape, low local runoff and intermittent flow conditions have led to the evolution of distinctive ecology in lowland river reaches. Aquatic and floodplain species are adapted to high flow variability and ‘boom and bust’ cycles. This is characterised by episodes of intense reproduction and high productivity by opportunistic plants and animals</w:t>
      </w:r>
      <w:r>
        <w:t>—</w:t>
      </w:r>
      <w:r w:rsidRPr="00665948">
        <w:t>the boom</w:t>
      </w:r>
      <w:r>
        <w:t>—</w:t>
      </w:r>
      <w:r w:rsidRPr="00665948">
        <w:t>associated with periods of flooding, followed by periods of stress and reduced production</w:t>
      </w:r>
      <w:r>
        <w:t>—</w:t>
      </w:r>
      <w:r w:rsidRPr="00665948">
        <w:t>the bust.</w:t>
      </w:r>
    </w:p>
    <w:p w14:paraId="017820B2" w14:textId="77777777" w:rsidR="00AA0841" w:rsidRDefault="00AA0841" w:rsidP="00AA0841">
      <w:r w:rsidRPr="007929B4">
        <w:t>The Moonie River is a predominantly unregulated system and has no water major storages. A weir was built over the river at Thallon in 1959 to supply town water</w:t>
      </w:r>
      <w:r>
        <w:t xml:space="preserve">. </w:t>
      </w:r>
      <w:r w:rsidRPr="001C062B">
        <w:t xml:space="preserve">Almost all irrigation in the Moonie depends on surface water. However, these diversions are small, accounting for only 0.2% of surface water diverted for irrigation in the Basin. Small to medium weirs are dispersed along the </w:t>
      </w:r>
      <w:r>
        <w:t xml:space="preserve">Moonie </w:t>
      </w:r>
      <w:r w:rsidRPr="001C062B">
        <w:t>river for irrigation purposes, predominantly for cotton. The majority of water stored is harvested through capture of overland flows and the diversion of floodwater during episodic flow events. Water is stored in large shallow floodplain storages known as ring tanks or turkey nest dams.  </w:t>
      </w:r>
    </w:p>
    <w:p w14:paraId="788AFC3E" w14:textId="77777777" w:rsidR="00AA0841" w:rsidRPr="001C062B" w:rsidRDefault="00AA0841" w:rsidP="00AA0841">
      <w:r w:rsidRPr="001C062B">
        <w:t>The Warrego River is largely unregulated,</w:t>
      </w:r>
      <w:r>
        <w:t xml:space="preserve"> other than the State-owned Allan Tannock Weir at Cunnamulla</w:t>
      </w:r>
      <w:r w:rsidRPr="001C062B">
        <w:t xml:space="preserve">. </w:t>
      </w:r>
      <w:r w:rsidRPr="007929B4">
        <w:t>Only a small volume of surface water in the Warrego catchment is diverted for irrigation and urban use</w:t>
      </w:r>
      <w:r>
        <w:t xml:space="preserve">. </w:t>
      </w:r>
      <w:r w:rsidRPr="001C062B">
        <w:t xml:space="preserve">Some water is also taken from the river by diversion of flow or overland flows </w:t>
      </w:r>
      <w:r>
        <w:t xml:space="preserve">into private off-channel storages. </w:t>
      </w:r>
      <w:r w:rsidRPr="001C062B">
        <w:t xml:space="preserve"> </w:t>
      </w:r>
    </w:p>
    <w:p w14:paraId="06FBBD7B" w14:textId="77777777" w:rsidR="00AA0841" w:rsidRDefault="00AA0841" w:rsidP="00AA0841">
      <w:r>
        <w:t xml:space="preserve">Water use and planning information on the Condamine–Balonne and Barwon–Darling are provided in separate sub-chapters. </w:t>
      </w:r>
    </w:p>
    <w:p w14:paraId="02A0C65E" w14:textId="77777777" w:rsidR="00AA0841" w:rsidRPr="00365FE2" w:rsidRDefault="00AA0841" w:rsidP="003737D8">
      <w:pPr>
        <w:pStyle w:val="Heading4"/>
      </w:pPr>
      <w:r w:rsidRPr="00365FE2">
        <w:t xml:space="preserve">Traditional </w:t>
      </w:r>
      <w:r w:rsidRPr="003737D8">
        <w:t>Owners</w:t>
      </w:r>
    </w:p>
    <w:p w14:paraId="6CE6BDD7" w14:textId="77777777" w:rsidR="00AA0841" w:rsidRPr="00CD3D94" w:rsidRDefault="00AA0841" w:rsidP="00AA0841">
      <w:r w:rsidRPr="00CD3D94">
        <w:t xml:space="preserve">The lands and waters of the </w:t>
      </w:r>
      <w:r>
        <w:t>Warrego and Moonie</w:t>
      </w:r>
      <w:r w:rsidRPr="00CD3D94">
        <w:t xml:space="preserve"> catchments hold significant spiritual and cultural importance for Aboriginal people. Many Aboriginal nations retain a connection with the region and their history, culture and livelihoods are closely intertwined with its river systems. The Warrego catchment takes in (or closely borders) the traditional lands of the </w:t>
      </w:r>
      <w:r>
        <w:t>Yuwaalaraay/</w:t>
      </w:r>
      <w:r w:rsidRPr="009B546F">
        <w:rPr>
          <w:lang w:val="en"/>
        </w:rPr>
        <w:t>Euahlayi</w:t>
      </w:r>
      <w:r>
        <w:rPr>
          <w:lang w:val="en"/>
        </w:rPr>
        <w:t xml:space="preserve">, </w:t>
      </w:r>
      <w:r w:rsidRPr="00CD3D94">
        <w:t>Bidjara, Gwamu/Kooma, Gunggari/Kungari, Kunja, Mandandanji, Mardigan</w:t>
      </w:r>
      <w:r>
        <w:t>, Githabul</w:t>
      </w:r>
      <w:r w:rsidRPr="00CD3D94">
        <w:t xml:space="preserve"> and Murrawarri nations. The Moonie catchment includes the traditional lands of the Bigambul, Gomeroi/Kamilaroi and Mandandanji nations.</w:t>
      </w:r>
    </w:p>
    <w:p w14:paraId="6B0DDC10" w14:textId="77777777" w:rsidR="00AA0841" w:rsidRDefault="00AA0841" w:rsidP="00AA0841"/>
    <w:p w14:paraId="0DC0456E" w14:textId="77777777" w:rsidR="00AA0841" w:rsidRDefault="00AA0841" w:rsidP="00AA0841">
      <w:pPr>
        <w:keepNext/>
        <w:spacing w:before="62"/>
        <w:jc w:val="center"/>
      </w:pPr>
      <w:r>
        <w:rPr>
          <w:rFonts w:ascii="Century Gothic"/>
          <w:b/>
          <w:noProof/>
        </w:rPr>
        <w:lastRenderedPageBreak/>
        <w:drawing>
          <wp:inline distT="0" distB="0" distL="0" distR="0" wp14:anchorId="7B07633F" wp14:editId="65776072">
            <wp:extent cx="6048375" cy="4701858"/>
            <wp:effectExtent l="0" t="0" r="0" b="3810"/>
            <wp:docPr id="45" name="Picture 45" descr="Figure 1: Map of the Nebine Creek, and Moonie and Warrego rivers.&#10;&#10;A map of the Nebine Creek, Moonie and Warrego rivers, including major towns and tributaries, and environmental assets including Toor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pbook_nth.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102713" cy="4744099"/>
                    </a:xfrm>
                    <a:prstGeom prst="rect">
                      <a:avLst/>
                    </a:prstGeom>
                  </pic:spPr>
                </pic:pic>
              </a:graphicData>
            </a:graphic>
          </wp:inline>
        </w:drawing>
      </w:r>
    </w:p>
    <w:p w14:paraId="24344AEE" w14:textId="5F6F806E" w:rsidR="00AA0841" w:rsidRPr="00462E2A" w:rsidRDefault="00AA0841" w:rsidP="00AA0841">
      <w:pPr>
        <w:tabs>
          <w:tab w:val="left" w:pos="4920"/>
        </w:tabs>
        <w:rPr>
          <w:rFonts w:eastAsiaTheme="minorHAnsi"/>
          <w:b/>
          <w:bCs/>
          <w:lang w:val="en-US" w:eastAsia="en-US"/>
        </w:rPr>
      </w:pPr>
      <w:bookmarkStart w:id="83" w:name="_Ref43796684"/>
      <w:r w:rsidRPr="000E6F6E">
        <w:rPr>
          <w:rFonts w:eastAsiaTheme="minorHAnsi"/>
          <w:b/>
          <w:lang w:val="en-US" w:eastAsia="en-US"/>
        </w:rPr>
        <w:t xml:space="preserve">Figure </w:t>
      </w:r>
      <w:r w:rsidRPr="000E6F6E">
        <w:rPr>
          <w:rFonts w:eastAsiaTheme="minorHAnsi"/>
          <w:b/>
          <w:bCs/>
          <w:lang w:val="en-US" w:eastAsia="en-US"/>
        </w:rPr>
        <w:fldChar w:fldCharType="begin"/>
      </w:r>
      <w:r w:rsidRPr="000E6F6E">
        <w:rPr>
          <w:rFonts w:eastAsiaTheme="minorHAnsi"/>
          <w:b/>
          <w:lang w:val="en-US" w:eastAsia="en-US"/>
        </w:rPr>
        <w:instrText xml:space="preserve"> SEQ Figure \* ARABIC </w:instrText>
      </w:r>
      <w:r w:rsidRPr="000E6F6E">
        <w:rPr>
          <w:rFonts w:eastAsiaTheme="minorHAnsi"/>
          <w:b/>
          <w:bCs/>
          <w:lang w:val="en-US" w:eastAsia="en-US"/>
        </w:rPr>
        <w:fldChar w:fldCharType="separate"/>
      </w:r>
      <w:r w:rsidR="001B2852">
        <w:rPr>
          <w:rFonts w:eastAsiaTheme="minorHAnsi"/>
          <w:b/>
          <w:noProof/>
          <w:lang w:val="en-US" w:eastAsia="en-US"/>
        </w:rPr>
        <w:t>6</w:t>
      </w:r>
      <w:r w:rsidRPr="000E6F6E">
        <w:rPr>
          <w:rFonts w:eastAsiaTheme="minorHAnsi"/>
          <w:b/>
          <w:bCs/>
          <w:lang w:val="en-US" w:eastAsia="en-US"/>
        </w:rPr>
        <w:fldChar w:fldCharType="end"/>
      </w:r>
      <w:bookmarkEnd w:id="83"/>
      <w:r w:rsidRPr="00462E2A">
        <w:rPr>
          <w:rFonts w:eastAsiaTheme="minorHAnsi"/>
          <w:lang w:val="en-US" w:eastAsia="en-US"/>
        </w:rPr>
        <w:t xml:space="preserve">: Map of the </w:t>
      </w:r>
      <w:r>
        <w:rPr>
          <w:rFonts w:eastAsiaTheme="minorHAnsi"/>
          <w:lang w:val="en-US" w:eastAsia="en-US"/>
        </w:rPr>
        <w:t>Warrego and Moonie rivers</w:t>
      </w:r>
      <w:r w:rsidRPr="00462E2A">
        <w:rPr>
          <w:rFonts w:eastAsiaTheme="minorHAnsi"/>
          <w:lang w:val="en-US" w:eastAsia="en-US"/>
        </w:rPr>
        <w:t>.</w:t>
      </w:r>
      <w:r>
        <w:rPr>
          <w:rFonts w:eastAsiaTheme="minorHAnsi"/>
          <w:lang w:val="en-US" w:eastAsia="en-US"/>
        </w:rPr>
        <w:tab/>
      </w:r>
    </w:p>
    <w:p w14:paraId="052B4842" w14:textId="77777777" w:rsidR="00AA0841" w:rsidRPr="00365FE2" w:rsidRDefault="00AA0841" w:rsidP="005D79EF">
      <w:pPr>
        <w:pStyle w:val="Heading4"/>
        <w:numPr>
          <w:ilvl w:val="0"/>
          <w:numId w:val="43"/>
        </w:numPr>
      </w:pPr>
      <w:r>
        <w:t>Important sites and values</w:t>
      </w:r>
    </w:p>
    <w:p w14:paraId="687FBD81" w14:textId="77777777" w:rsidR="00AA0841" w:rsidRDefault="00AA0841" w:rsidP="00AA0841">
      <w:r w:rsidRPr="008F7F2C">
        <w:t xml:space="preserve">There are many environmental assets in the </w:t>
      </w:r>
      <w:r>
        <w:t>Warrego and Moonie catchments</w:t>
      </w:r>
      <w:r w:rsidRPr="008F7F2C">
        <w:t xml:space="preserve"> includ</w:t>
      </w:r>
      <w:r>
        <w:t>ing</w:t>
      </w:r>
      <w:r w:rsidRPr="008F7F2C">
        <w:t xml:space="preserve"> species and communities of fish, waterbirds and vegetation and important habitats such as wetlands and drought refuges. </w:t>
      </w:r>
    </w:p>
    <w:p w14:paraId="0795DA2E" w14:textId="77777777" w:rsidR="00AA0841" w:rsidRPr="001C062B" w:rsidRDefault="00AA0841" w:rsidP="00AA0841">
      <w:pPr>
        <w:rPr>
          <w:rFonts w:cstheme="minorHAnsi"/>
          <w:szCs w:val="22"/>
        </w:rPr>
      </w:pPr>
      <w:r w:rsidRPr="001C062B">
        <w:rPr>
          <w:rFonts w:cstheme="minorHAnsi"/>
          <w:szCs w:val="22"/>
        </w:rPr>
        <w:t>There are over more than 100 wetlands along the Moonie River floodplain. Even though the wetlands are not recognised as nationally or internationally important, they provide significant waterbird habitat within the Basin</w:t>
      </w:r>
      <w:r>
        <w:rPr>
          <w:rFonts w:cstheme="minorHAnsi"/>
          <w:szCs w:val="22"/>
        </w:rPr>
        <w:t>,</w:t>
      </w:r>
      <w:r w:rsidRPr="001C062B">
        <w:rPr>
          <w:rFonts w:cstheme="minorHAnsi"/>
          <w:szCs w:val="22"/>
        </w:rPr>
        <w:t xml:space="preserve"> including </w:t>
      </w:r>
      <w:r>
        <w:rPr>
          <w:rFonts w:cstheme="minorHAnsi"/>
          <w:szCs w:val="22"/>
        </w:rPr>
        <w:t xml:space="preserve">for </w:t>
      </w:r>
      <w:r w:rsidRPr="001C062B">
        <w:rPr>
          <w:rFonts w:cstheme="minorHAnsi"/>
          <w:szCs w:val="22"/>
        </w:rPr>
        <w:t xml:space="preserve">the </w:t>
      </w:r>
      <w:r>
        <w:rPr>
          <w:rFonts w:cstheme="minorHAnsi"/>
          <w:szCs w:val="22"/>
        </w:rPr>
        <w:t xml:space="preserve">threatened </w:t>
      </w:r>
      <w:r w:rsidRPr="001C062B">
        <w:rPr>
          <w:rFonts w:cstheme="minorHAnsi"/>
          <w:szCs w:val="22"/>
        </w:rPr>
        <w:t>Australian painted snipe and the freckled duck</w:t>
      </w:r>
      <w:r>
        <w:rPr>
          <w:rFonts w:cstheme="minorHAnsi"/>
          <w:szCs w:val="22"/>
        </w:rPr>
        <w:t>. They also</w:t>
      </w:r>
      <w:r w:rsidRPr="001C062B">
        <w:rPr>
          <w:rFonts w:cstheme="minorHAnsi"/>
          <w:szCs w:val="22"/>
        </w:rPr>
        <w:t xml:space="preserve"> </w:t>
      </w:r>
      <w:r>
        <w:rPr>
          <w:rFonts w:cstheme="minorHAnsi"/>
          <w:szCs w:val="22"/>
        </w:rPr>
        <w:t>support</w:t>
      </w:r>
      <w:r w:rsidRPr="001C062B">
        <w:rPr>
          <w:rFonts w:cstheme="minorHAnsi"/>
          <w:szCs w:val="22"/>
        </w:rPr>
        <w:t xml:space="preserve"> threatened and endangered plant species and three endangered vegetation communities.</w:t>
      </w:r>
    </w:p>
    <w:p w14:paraId="1ADFC1CC" w14:textId="77777777" w:rsidR="00AA0841" w:rsidRDefault="00AA0841" w:rsidP="00AA0841">
      <w:pPr>
        <w:rPr>
          <w:rFonts w:cstheme="minorHAnsi"/>
          <w:szCs w:val="22"/>
        </w:rPr>
      </w:pPr>
      <w:r>
        <w:rPr>
          <w:rFonts w:cstheme="minorHAnsi"/>
          <w:szCs w:val="22"/>
        </w:rPr>
        <w:t>T</w:t>
      </w:r>
      <w:r w:rsidRPr="008F7F2C">
        <w:rPr>
          <w:rFonts w:cstheme="minorHAnsi"/>
          <w:szCs w:val="22"/>
        </w:rPr>
        <w:t>he Warrego catchment</w:t>
      </w:r>
      <w:r>
        <w:rPr>
          <w:rFonts w:cstheme="minorHAnsi"/>
          <w:szCs w:val="22"/>
        </w:rPr>
        <w:t xml:space="preserve"> supports large areas of wetlands. T</w:t>
      </w:r>
      <w:r w:rsidRPr="008F7F2C">
        <w:rPr>
          <w:rFonts w:cstheme="minorHAnsi"/>
          <w:szCs w:val="22"/>
        </w:rPr>
        <w:t xml:space="preserve">he Cuttaburra Channels and nationally significant Yantabulla Swamp (a mosaic of channels, floodways and wetlands) consistently support large numbers and a high diversity of waterbirds and provides breeding sites for ducks and colonial waterbirds when flooded. </w:t>
      </w:r>
      <w:r w:rsidRPr="004B0024">
        <w:t xml:space="preserve">Waterholes </w:t>
      </w:r>
      <w:r>
        <w:t xml:space="preserve">along the Warrego </w:t>
      </w:r>
      <w:r w:rsidRPr="004B0024">
        <w:t xml:space="preserve">near Charleville are an important breeding area for native fish including Murray cod and silver perch. </w:t>
      </w:r>
      <w:r w:rsidRPr="008F7F2C">
        <w:rPr>
          <w:rFonts w:cstheme="minorHAnsi"/>
          <w:szCs w:val="22"/>
        </w:rPr>
        <w:t xml:space="preserve">Toorale’s </w:t>
      </w:r>
      <w:r>
        <w:rPr>
          <w:rFonts w:cstheme="minorHAnsi"/>
          <w:szCs w:val="22"/>
        </w:rPr>
        <w:t>Western Floodplain</w:t>
      </w:r>
      <w:r w:rsidRPr="008F7F2C">
        <w:rPr>
          <w:rFonts w:cstheme="minorHAnsi"/>
          <w:szCs w:val="22"/>
        </w:rPr>
        <w:t xml:space="preserve"> is also an ecologically important </w:t>
      </w:r>
      <w:r>
        <w:rPr>
          <w:rFonts w:cstheme="minorHAnsi"/>
          <w:szCs w:val="22"/>
        </w:rPr>
        <w:t xml:space="preserve">floodplain </w:t>
      </w:r>
      <w:r w:rsidRPr="008F7F2C">
        <w:rPr>
          <w:rFonts w:cstheme="minorHAnsi"/>
          <w:szCs w:val="22"/>
        </w:rPr>
        <w:t xml:space="preserve">wetland, providing important feeding and breeding habitat for a range of water dependent species in wet conditions. These ecological populations and habitats are connected to the Barwon–Darling River, providing a critical drought refuge and movement corridor for fish and waterbirds. </w:t>
      </w:r>
    </w:p>
    <w:p w14:paraId="151A7399" w14:textId="77777777" w:rsidR="00AA0841" w:rsidRDefault="00AA0841" w:rsidP="00AA0841">
      <w:pPr>
        <w:rPr>
          <w:rFonts w:cstheme="minorHAnsi"/>
          <w:szCs w:val="22"/>
        </w:rPr>
      </w:pPr>
      <w:r w:rsidRPr="00D643DE">
        <w:rPr>
          <w:rFonts w:cstheme="minorHAnsi"/>
          <w:szCs w:val="22"/>
        </w:rPr>
        <w:t xml:space="preserve">Native vegetation in the </w:t>
      </w:r>
      <w:r>
        <w:rPr>
          <w:rFonts w:cstheme="minorHAnsi"/>
          <w:szCs w:val="22"/>
        </w:rPr>
        <w:t xml:space="preserve">Warrego and Moonie rivers </w:t>
      </w:r>
      <w:r w:rsidRPr="00D643DE">
        <w:rPr>
          <w:rFonts w:cstheme="minorHAnsi"/>
          <w:szCs w:val="22"/>
        </w:rPr>
        <w:t xml:space="preserve">includes important riparian and floodplain communities in the dryland catchment areas such as lignum, river red gum, river cooba, black box and coolibah. There is a high proportion of remnant vegetation in good condition in some areas including the floodplains of the Warrego, such as stands of coolibah, black box and lignum. The </w:t>
      </w:r>
      <w:r>
        <w:rPr>
          <w:rFonts w:cstheme="minorHAnsi"/>
          <w:szCs w:val="22"/>
        </w:rPr>
        <w:t>Western Floodplain</w:t>
      </w:r>
      <w:r w:rsidRPr="00D643DE">
        <w:rPr>
          <w:rFonts w:cstheme="minorHAnsi"/>
          <w:szCs w:val="22"/>
        </w:rPr>
        <w:t xml:space="preserve"> also supports ‘tiny teeth’ (</w:t>
      </w:r>
      <w:r w:rsidRPr="00D643DE">
        <w:rPr>
          <w:rFonts w:cstheme="minorHAnsi"/>
          <w:i/>
          <w:iCs/>
          <w:szCs w:val="22"/>
        </w:rPr>
        <w:t>Dentella minutissima</w:t>
      </w:r>
      <w:r w:rsidRPr="00D643DE">
        <w:rPr>
          <w:rFonts w:cstheme="minorHAnsi"/>
          <w:szCs w:val="22"/>
        </w:rPr>
        <w:t>) a plant species listed as threatened under NSW legislation</w:t>
      </w:r>
      <w:r>
        <w:rPr>
          <w:rFonts w:cstheme="minorHAnsi"/>
          <w:szCs w:val="22"/>
        </w:rPr>
        <w:t xml:space="preserve">. </w:t>
      </w:r>
    </w:p>
    <w:p w14:paraId="04CE57BF" w14:textId="77777777" w:rsidR="0057535E" w:rsidRDefault="0057535E">
      <w:pPr>
        <w:spacing w:after="0"/>
      </w:pPr>
      <w:r>
        <w:br w:type="page"/>
      </w:r>
    </w:p>
    <w:p w14:paraId="32D168CF" w14:textId="647C04BB" w:rsidR="00AA0841" w:rsidRPr="008F7F2C" w:rsidRDefault="00AA0841" w:rsidP="00AA0841">
      <w:r w:rsidRPr="008F7F2C">
        <w:lastRenderedPageBreak/>
        <w:t xml:space="preserve">The </w:t>
      </w:r>
      <w:r>
        <w:t xml:space="preserve">Warrego and Moonie rivers </w:t>
      </w:r>
      <w:r w:rsidRPr="008F7F2C">
        <w:t xml:space="preserve">support several species listed as endangered or vulnerable under the </w:t>
      </w:r>
      <w:r w:rsidRPr="008F7F2C">
        <w:rPr>
          <w:i/>
        </w:rPr>
        <w:t>Environment Protection and Biodiversity Conservation Act 1999</w:t>
      </w:r>
      <w:r w:rsidRPr="008F7F2C">
        <w:t>, for example, Murray cod, silver perch, Australian painted snipe, Australasian bittern, and examples of the threatened ecological community of coolibah-blackbox woodland.</w:t>
      </w:r>
      <w:r>
        <w:t xml:space="preserve"> </w:t>
      </w:r>
      <w:r w:rsidRPr="00331BC8">
        <w:t>Additionally, these rivers support important remnant populations of olive perchlet, purple spotted gudgeon, and freshwater catfish that are less prevalent or no longer present in the southern Basin.</w:t>
      </w:r>
    </w:p>
    <w:p w14:paraId="26AE97D4" w14:textId="77777777" w:rsidR="00AA0841" w:rsidRDefault="00AA0841" w:rsidP="00AA0841">
      <w:r w:rsidRPr="00331BC8">
        <w:t>In between boom periods</w:t>
      </w:r>
      <w:r>
        <w:t>,</w:t>
      </w:r>
      <w:r w:rsidRPr="00331BC8">
        <w:t xml:space="preserve"> channels typically dry to a series of disconnected waterholes, which are drought refuges that are reconnected by the next significant flow event. Semi-permanent and permanent waterholes in the main river channels and distributary creeks and anabranch systems are critical to ensuring the survival of species between boom periods and their capacity to recolonise the system in subsequent flow periods. Much of the riverine fauna (e.g. fish, turtles, invertebrates) of the </w:t>
      </w:r>
      <w:r>
        <w:rPr>
          <w:rFonts w:cstheme="minorHAnsi"/>
          <w:szCs w:val="22"/>
        </w:rPr>
        <w:t xml:space="preserve">Warrego and Moonie rivers </w:t>
      </w:r>
      <w:r w:rsidRPr="00331BC8">
        <w:t>is dependent upon the persistence of a network of refugial waterholes during frequent and often prolonged no flow periods.</w:t>
      </w:r>
      <w:r>
        <w:t xml:space="preserve"> </w:t>
      </w:r>
    </w:p>
    <w:p w14:paraId="13037690" w14:textId="77777777" w:rsidR="00AA0841" w:rsidRPr="00365FE2" w:rsidRDefault="00AA0841" w:rsidP="003737D8">
      <w:pPr>
        <w:pStyle w:val="Heading4"/>
      </w:pPr>
      <w:r w:rsidRPr="00365FE2">
        <w:t xml:space="preserve">Stakeholder </w:t>
      </w:r>
      <w:r w:rsidRPr="003737D8">
        <w:t>engagement</w:t>
      </w:r>
    </w:p>
    <w:p w14:paraId="06E81DED" w14:textId="77777777" w:rsidR="00AA0841" w:rsidRDefault="00AA0841" w:rsidP="00AA0841">
      <w:pPr>
        <w:rPr>
          <w:color w:val="auto"/>
        </w:rPr>
      </w:pPr>
      <w:r w:rsidRPr="00EC7933">
        <w:t xml:space="preserve">In the </w:t>
      </w:r>
      <w:r>
        <w:rPr>
          <w:rFonts w:cstheme="minorHAnsi"/>
          <w:szCs w:val="22"/>
        </w:rPr>
        <w:t>Warrego and Moonie rivers</w:t>
      </w:r>
      <w:r w:rsidRPr="00EC7933">
        <w:t xml:space="preserve">, planning, management, and delivery of Commonwealth water for the environment is undertaken in conjunction with a range of partners and stakeholder groups. Key stakeholders in the </w:t>
      </w:r>
      <w:r>
        <w:t>Warrego and Moonie</w:t>
      </w:r>
      <w:r w:rsidRPr="00EC7933">
        <w:t xml:space="preserve"> include the Queensland Departments of Natural Resources, Mines and Energy (DNRME), Environment and Science (DES)</w:t>
      </w:r>
      <w:r>
        <w:t>,</w:t>
      </w:r>
      <w:r w:rsidRPr="00EC7933">
        <w:t xml:space="preserve"> and Agriculture and Fisheries (DAF), NSW Department of Planning, Industry and Environment (DPIE), NSW Department of Primary Industries (DPI) –</w:t>
      </w:r>
      <w:r>
        <w:t xml:space="preserve"> </w:t>
      </w:r>
      <w:r w:rsidRPr="00EC7933">
        <w:t xml:space="preserve">Fisheries, </w:t>
      </w:r>
      <w:r>
        <w:t xml:space="preserve">NSW National Parks and Wildlife Service and </w:t>
      </w:r>
      <w:r w:rsidRPr="00ED3270">
        <w:t>the Toorale Joint Management Committee.</w:t>
      </w:r>
      <w:r>
        <w:t xml:space="preserve"> </w:t>
      </w:r>
    </w:p>
    <w:p w14:paraId="11D0B5A3" w14:textId="77777777" w:rsidR="00AA0841" w:rsidRDefault="00AA0841" w:rsidP="00AA0841">
      <w:r w:rsidRPr="007D764A">
        <w:t xml:space="preserve">Local Engagement Officers </w:t>
      </w:r>
      <w:r>
        <w:t>from the Commonwealth Environmental Water Office</w:t>
      </w:r>
      <w:r w:rsidRPr="007D764A">
        <w:t xml:space="preserve"> </w:t>
      </w:r>
      <w:r>
        <w:t xml:space="preserve">(CEWO) </w:t>
      </w:r>
      <w:r w:rsidRPr="007D764A">
        <w:t xml:space="preserve">also work with different stakeholders as part </w:t>
      </w:r>
      <w:r>
        <w:t xml:space="preserve">a broader program of </w:t>
      </w:r>
      <w:r w:rsidRPr="007D764A">
        <w:t xml:space="preserve">engagement around </w:t>
      </w:r>
      <w:r>
        <w:t xml:space="preserve">the management of the Commonwealths’ portfolio of </w:t>
      </w:r>
      <w:r w:rsidRPr="007D764A">
        <w:t xml:space="preserve">environmental water </w:t>
      </w:r>
      <w:r>
        <w:t>entitlements</w:t>
      </w:r>
      <w:r w:rsidRPr="007D764A">
        <w:t xml:space="preserve">. </w:t>
      </w:r>
      <w:r w:rsidRPr="00F61CCD">
        <w:t xml:space="preserve">As </w:t>
      </w:r>
      <w:r>
        <w:t xml:space="preserve">part of this work, the </w:t>
      </w:r>
      <w:r w:rsidRPr="007D764A">
        <w:t>CEWO</w:t>
      </w:r>
      <w:r>
        <w:t>’s</w:t>
      </w:r>
      <w:r w:rsidRPr="007D764A">
        <w:t xml:space="preserve"> Local Engagement Officers</w:t>
      </w:r>
      <w:r>
        <w:t xml:space="preserve"> have been engaging directly with members of the local Aboriginal community. This work has focused on aligning </w:t>
      </w:r>
      <w:r w:rsidRPr="00365FE2">
        <w:t>priorities for water use</w:t>
      </w:r>
      <w:r>
        <w:rPr>
          <w:color w:val="auto"/>
        </w:rPr>
        <w:t xml:space="preserve"> with </w:t>
      </w:r>
      <w:r>
        <w:t>Aboriginal</w:t>
      </w:r>
      <w:r>
        <w:rPr>
          <w:color w:val="auto"/>
        </w:rPr>
        <w:t xml:space="preserve"> community objectives for </w:t>
      </w:r>
      <w:r w:rsidRPr="00446FA2">
        <w:rPr>
          <w:color w:val="auto"/>
        </w:rPr>
        <w:t xml:space="preserve">sites, values and species </w:t>
      </w:r>
      <w:r>
        <w:rPr>
          <w:color w:val="auto"/>
        </w:rPr>
        <w:t xml:space="preserve">significant to </w:t>
      </w:r>
      <w:r w:rsidRPr="00446FA2">
        <w:rPr>
          <w:color w:val="auto"/>
        </w:rPr>
        <w:t xml:space="preserve">the </w:t>
      </w:r>
      <w:r>
        <w:rPr>
          <w:color w:val="auto"/>
        </w:rPr>
        <w:t>all</w:t>
      </w:r>
      <w:r w:rsidRPr="00446FA2">
        <w:rPr>
          <w:color w:val="auto"/>
        </w:rPr>
        <w:t xml:space="preserve"> Nation</w:t>
      </w:r>
      <w:r>
        <w:rPr>
          <w:color w:val="auto"/>
        </w:rPr>
        <w:t>s</w:t>
      </w:r>
      <w:r w:rsidRPr="00446FA2">
        <w:rPr>
          <w:color w:val="auto"/>
        </w:rPr>
        <w:t xml:space="preserve"> in the </w:t>
      </w:r>
      <w:r>
        <w:rPr>
          <w:color w:val="auto"/>
        </w:rPr>
        <w:t xml:space="preserve">Warrego and Moonie </w:t>
      </w:r>
      <w:r w:rsidRPr="00446FA2">
        <w:rPr>
          <w:color w:val="auto"/>
        </w:rPr>
        <w:t>catchment</w:t>
      </w:r>
      <w:r>
        <w:rPr>
          <w:color w:val="auto"/>
        </w:rPr>
        <w:t>s.</w:t>
      </w:r>
    </w:p>
    <w:p w14:paraId="0ED4EBF6" w14:textId="77777777" w:rsidR="00AA0841" w:rsidRDefault="00AA0841" w:rsidP="0057535E">
      <w:pPr>
        <w:pStyle w:val="Heading3"/>
      </w:pPr>
      <w:r w:rsidRPr="00365FE2">
        <w:t>Environmental</w:t>
      </w:r>
      <w:r>
        <w:t xml:space="preserve"> objectives</w:t>
      </w:r>
    </w:p>
    <w:p w14:paraId="196CE342" w14:textId="77777777" w:rsidR="00AA0841" w:rsidRPr="00365FE2" w:rsidRDefault="00AA0841" w:rsidP="00AA0841">
      <w:r w:rsidRPr="00365FE2">
        <w:t xml:space="preserve">Based on long-term environmental objectives in the Basin Plan, state long-term watering plans, </w:t>
      </w:r>
      <w:r>
        <w:t xml:space="preserve">site management plans, </w:t>
      </w:r>
      <w:r w:rsidRPr="00365FE2">
        <w:t xml:space="preserve">and best available knowledge, the following objectives are relevant for environmental watering in the </w:t>
      </w:r>
      <w:r>
        <w:rPr>
          <w:color w:val="auto"/>
        </w:rPr>
        <w:t>Warrego and Moonie rivers</w:t>
      </w:r>
      <w:r w:rsidRPr="00365FE2">
        <w:t>.</w:t>
      </w:r>
      <w:r>
        <w:t xml:space="preserve"> T</w:t>
      </w:r>
      <w:r w:rsidRPr="00365FE2">
        <w:t xml:space="preserve">hese objectives will continue to be revised as part of the </w:t>
      </w:r>
      <w:r>
        <w:t>CEWO’s</w:t>
      </w:r>
      <w:r w:rsidRPr="00365FE2">
        <w:t xml:space="preserve"> commitment to adaptive management.</w:t>
      </w:r>
    </w:p>
    <w:p w14:paraId="015718DF" w14:textId="77777777" w:rsidR="00AA0841" w:rsidRPr="00221E5D" w:rsidRDefault="00AA0841" w:rsidP="00AA0841">
      <w:pPr>
        <w:rPr>
          <w:rFonts w:cstheme="minorHAnsi"/>
          <w:szCs w:val="22"/>
        </w:rPr>
      </w:pPr>
      <w:r w:rsidRPr="00221E5D">
        <w:rPr>
          <w:rFonts w:cstheme="minorHAnsi"/>
          <w:b/>
          <w:szCs w:val="22"/>
        </w:rPr>
        <w:t>Vegetation:</w:t>
      </w:r>
      <w:r w:rsidRPr="00221E5D">
        <w:rPr>
          <w:rFonts w:cstheme="minorHAnsi"/>
          <w:szCs w:val="22"/>
        </w:rPr>
        <w:t xml:space="preserve"> Maintain and improve the condition, growth and survival of riparian, in-channel, floodplain and wetland vegetation.</w:t>
      </w:r>
    </w:p>
    <w:p w14:paraId="0561D7D7" w14:textId="77777777" w:rsidR="00AA0841" w:rsidRPr="00221E5D" w:rsidRDefault="00AA0841" w:rsidP="00AA0841">
      <w:pPr>
        <w:rPr>
          <w:rFonts w:cstheme="minorHAnsi"/>
          <w:szCs w:val="22"/>
        </w:rPr>
      </w:pPr>
      <w:r w:rsidRPr="00221E5D">
        <w:rPr>
          <w:rFonts w:cstheme="minorHAnsi"/>
          <w:b/>
          <w:szCs w:val="22"/>
        </w:rPr>
        <w:t xml:space="preserve">Waterbirds: </w:t>
      </w:r>
      <w:r w:rsidRPr="00221E5D">
        <w:rPr>
          <w:rFonts w:cstheme="minorHAnsi"/>
          <w:szCs w:val="22"/>
        </w:rPr>
        <w:t xml:space="preserve">Maintain foraging, roosting and breeding habitats at targeted sites on the floodplain to support waterbirds. </w:t>
      </w:r>
    </w:p>
    <w:p w14:paraId="15A208C2" w14:textId="77777777" w:rsidR="00AA0841" w:rsidRPr="00221E5D" w:rsidRDefault="00AA0841" w:rsidP="00AA0841">
      <w:pPr>
        <w:rPr>
          <w:rFonts w:cstheme="minorHAnsi"/>
          <w:szCs w:val="22"/>
        </w:rPr>
      </w:pPr>
      <w:r w:rsidRPr="00221E5D">
        <w:rPr>
          <w:rFonts w:cstheme="minorHAnsi"/>
          <w:b/>
          <w:szCs w:val="22"/>
        </w:rPr>
        <w:t xml:space="preserve">Native fish: </w:t>
      </w:r>
      <w:r w:rsidRPr="00221E5D">
        <w:rPr>
          <w:rFonts w:cstheme="minorHAnsi"/>
          <w:szCs w:val="22"/>
        </w:rPr>
        <w:t xml:space="preserve">Improve habitat condition, and support different life stages (migration, spawning, recruitment and refuge), natural flow variability, and connectivity between river channels, wetlands, anabranches and floodplains. </w:t>
      </w:r>
    </w:p>
    <w:p w14:paraId="0436BB8D" w14:textId="77777777" w:rsidR="00AA0841" w:rsidRPr="00221E5D" w:rsidRDefault="00AA0841" w:rsidP="00AA0841">
      <w:pPr>
        <w:rPr>
          <w:rFonts w:cstheme="minorHAnsi"/>
          <w:szCs w:val="22"/>
        </w:rPr>
      </w:pPr>
      <w:r w:rsidRPr="00221E5D">
        <w:rPr>
          <w:rFonts w:cstheme="minorHAnsi"/>
          <w:b/>
          <w:szCs w:val="22"/>
        </w:rPr>
        <w:t>Invertebrates:</w:t>
      </w:r>
      <w:r w:rsidRPr="00221E5D">
        <w:rPr>
          <w:rFonts w:cstheme="minorHAnsi"/>
          <w:szCs w:val="22"/>
        </w:rPr>
        <w:t xml:space="preserve"> Maintain and improve the micro and macroinvertebrate communities by providing a variety of habitat and flow conditions.</w:t>
      </w:r>
    </w:p>
    <w:p w14:paraId="42C5C5DA" w14:textId="77777777" w:rsidR="00AA0841" w:rsidRPr="00221E5D" w:rsidRDefault="00AA0841" w:rsidP="00AA0841">
      <w:pPr>
        <w:rPr>
          <w:rFonts w:cstheme="minorHAnsi"/>
          <w:szCs w:val="22"/>
        </w:rPr>
      </w:pPr>
      <w:r w:rsidRPr="00221E5D">
        <w:rPr>
          <w:rFonts w:cstheme="minorHAnsi"/>
          <w:b/>
          <w:szCs w:val="22"/>
        </w:rPr>
        <w:t>Other vertebrates:</w:t>
      </w:r>
      <w:r w:rsidRPr="00221E5D">
        <w:rPr>
          <w:rFonts w:cstheme="minorHAnsi"/>
          <w:szCs w:val="22"/>
        </w:rPr>
        <w:t xml:space="preserve"> Support survival and recruitment of other native aquatic species, including frogs and turtles.</w:t>
      </w:r>
    </w:p>
    <w:p w14:paraId="38441FFB" w14:textId="77777777" w:rsidR="00AA0841" w:rsidRPr="00221E5D" w:rsidRDefault="00AA0841" w:rsidP="00AA0841">
      <w:pPr>
        <w:rPr>
          <w:rFonts w:cstheme="minorHAnsi"/>
          <w:szCs w:val="22"/>
        </w:rPr>
      </w:pPr>
      <w:r w:rsidRPr="00221E5D">
        <w:rPr>
          <w:rFonts w:cstheme="minorHAnsi"/>
          <w:b/>
          <w:szCs w:val="22"/>
        </w:rPr>
        <w:t>Connectivity:</w:t>
      </w:r>
      <w:r w:rsidRPr="00221E5D">
        <w:rPr>
          <w:rFonts w:cstheme="minorHAnsi"/>
          <w:szCs w:val="22"/>
        </w:rPr>
        <w:t xml:space="preserve"> Support longitudinal connectivity, including with the Barwon River, and lateral connectivity with between the river(s), wetlands and floodplain. </w:t>
      </w:r>
    </w:p>
    <w:p w14:paraId="288BBFCB" w14:textId="77777777" w:rsidR="00AA0841" w:rsidRPr="00F61CCD" w:rsidRDefault="00AA0841" w:rsidP="00AA0841">
      <w:r w:rsidRPr="00221E5D">
        <w:rPr>
          <w:rFonts w:cstheme="minorHAnsi"/>
          <w:b/>
          <w:szCs w:val="22"/>
        </w:rPr>
        <w:t>Processes/water quality/resilience:</w:t>
      </w:r>
      <w:r w:rsidRPr="00221E5D">
        <w:rPr>
          <w:rFonts w:cstheme="minorHAnsi"/>
          <w:szCs w:val="22"/>
        </w:rPr>
        <w:t xml:space="preserve"> Support key ecosystem functions, biotic dispersal, and promote productivity; maintain water quality in channels and pools and support more natural water temperatures and processes to provide water quality benefits; and maintain drought refuge habitat.</w:t>
      </w:r>
      <w:r w:rsidRPr="00F57258">
        <w:t xml:space="preserve"> </w:t>
      </w:r>
    </w:p>
    <w:p w14:paraId="14499FE5" w14:textId="77777777" w:rsidR="00AA0841" w:rsidRPr="00F61CCD" w:rsidRDefault="00AA0841" w:rsidP="0057535E">
      <w:pPr>
        <w:pStyle w:val="Heading3"/>
      </w:pPr>
      <w:r>
        <w:lastRenderedPageBreak/>
        <w:t>First Nations environmental</w:t>
      </w:r>
      <w:r w:rsidRPr="00F61CCD">
        <w:t xml:space="preserve"> objectives</w:t>
      </w:r>
    </w:p>
    <w:p w14:paraId="6787E32A" w14:textId="5C7B656C" w:rsidR="00AA0841" w:rsidRPr="001E6073" w:rsidRDefault="00AA0841" w:rsidP="00AA0841">
      <w:r w:rsidRPr="001E6073">
        <w:t xml:space="preserve">The First Nations peoples of the </w:t>
      </w:r>
      <w:r w:rsidRPr="001E6073">
        <w:rPr>
          <w:rFonts w:cstheme="minorHAnsi"/>
        </w:rPr>
        <w:t>Warrego and Moonie catchments</w:t>
      </w:r>
      <w:r w:rsidRPr="001E6073">
        <w:t xml:space="preserve"> have identified environmental objectives for their country for 2020</w:t>
      </w:r>
      <w:r>
        <w:t>–</w:t>
      </w:r>
      <w:r w:rsidRPr="001E6073">
        <w:t xml:space="preserve">21. These objectives have been determined based two processes: one through the First Nations Environmental Guidance project with the Northern Basin Aboriginal Nations (NBAN); and the second through direct engagement with members of </w:t>
      </w:r>
      <w:bookmarkStart w:id="84" w:name="_Hlk40258812"/>
      <w:r w:rsidRPr="001E6073">
        <w:t>the local Aboriginal community</w:t>
      </w:r>
      <w:bookmarkEnd w:id="84"/>
      <w:r w:rsidRPr="00867245">
        <w:rPr>
          <w:rStyle w:val="FootnoteReference"/>
        </w:rPr>
        <w:footnoteReference w:customMarkFollows="1" w:id="19"/>
        <w:sym w:font="Symbol" w:char="F02A"/>
      </w:r>
      <w:r w:rsidRPr="001E6073">
        <w:t xml:space="preserve">. These processes have identified </w:t>
      </w:r>
      <w:r w:rsidRPr="00153563">
        <w:t>objectives (</w:t>
      </w:r>
      <w:r w:rsidRPr="006B3541">
        <w:fldChar w:fldCharType="begin"/>
      </w:r>
      <w:r w:rsidRPr="006B3541">
        <w:instrText xml:space="preserve"> REF _Ref43389548 \h  \* MERGEFORMAT </w:instrText>
      </w:r>
      <w:r w:rsidRPr="006B3541">
        <w:fldChar w:fldCharType="separate"/>
      </w:r>
      <w:r w:rsidR="001B2852" w:rsidRPr="001B2852">
        <w:t xml:space="preserve">Table </w:t>
      </w:r>
      <w:r w:rsidR="001B2852" w:rsidRPr="001B2852">
        <w:rPr>
          <w:noProof/>
        </w:rPr>
        <w:t>13</w:t>
      </w:r>
      <w:r w:rsidRPr="006B3541">
        <w:fldChar w:fldCharType="end"/>
      </w:r>
      <w:r w:rsidRPr="006B3541">
        <w:t>)</w:t>
      </w:r>
      <w:r w:rsidRPr="00153563">
        <w:t xml:space="preserve"> across a range</w:t>
      </w:r>
      <w:r w:rsidRPr="001E6073">
        <w:t xml:space="preserve"> of sites, issues and values. </w:t>
      </w:r>
    </w:p>
    <w:p w14:paraId="6322AD54" w14:textId="77777777" w:rsidR="00AA0841" w:rsidRPr="001E6073" w:rsidRDefault="00AA0841" w:rsidP="00AA0841">
      <w:r w:rsidRPr="00E061A2">
        <w:rPr>
          <w:rFonts w:cs="Calibri"/>
        </w:rPr>
        <w:t xml:space="preserve">Some of these objectives sit outside the scope of water for the environment to influence, while for others, the link between water for the environment and the site or </w:t>
      </w:r>
      <w:r>
        <w:rPr>
          <w:rFonts w:cs="Calibri"/>
        </w:rPr>
        <w:t xml:space="preserve">species </w:t>
      </w:r>
      <w:r w:rsidRPr="00E061A2">
        <w:rPr>
          <w:rFonts w:cs="Calibri"/>
        </w:rPr>
        <w:t>is not well understood. </w:t>
      </w:r>
    </w:p>
    <w:p w14:paraId="44605F02" w14:textId="77777777" w:rsidR="00AA0841" w:rsidRPr="003839D6" w:rsidRDefault="00AA0841" w:rsidP="00AA0841">
      <w:r w:rsidRPr="001E6073">
        <w:t>The CEWO is committed to working with local First Nations groups to better understand their objectives.</w:t>
      </w:r>
      <w:r>
        <w:t xml:space="preserve"> </w:t>
      </w:r>
      <w:r w:rsidRPr="001E6073">
        <w:t>The CEWO will use environmental flows to contribute to these objectives where possible and where this is consistent with the Commonwealth Environmental Water Holder’s statutory responsibility of protecting and restoring environmental assets in the Basin.</w:t>
      </w:r>
    </w:p>
    <w:p w14:paraId="4029B45B" w14:textId="2B21EE91" w:rsidR="00AA0841" w:rsidRPr="001E6073" w:rsidRDefault="00AA0841" w:rsidP="00AA0841">
      <w:pPr>
        <w:spacing w:before="360"/>
      </w:pPr>
      <w:bookmarkStart w:id="85" w:name="_Ref43389548"/>
      <w:r w:rsidRPr="006B3541">
        <w:rPr>
          <w:b/>
        </w:rPr>
        <w:t xml:space="preserve">Table </w:t>
      </w:r>
      <w:r w:rsidRPr="006B3541">
        <w:rPr>
          <w:b/>
        </w:rPr>
        <w:fldChar w:fldCharType="begin"/>
      </w:r>
      <w:r w:rsidRPr="006B3541">
        <w:rPr>
          <w:b/>
        </w:rPr>
        <w:instrText xml:space="preserve"> SEQ Table \* ARABIC </w:instrText>
      </w:r>
      <w:r w:rsidRPr="006B3541">
        <w:rPr>
          <w:b/>
        </w:rPr>
        <w:fldChar w:fldCharType="separate"/>
      </w:r>
      <w:r w:rsidR="001B2852">
        <w:rPr>
          <w:b/>
          <w:noProof/>
        </w:rPr>
        <w:t>13</w:t>
      </w:r>
      <w:r w:rsidRPr="006B3541">
        <w:rPr>
          <w:b/>
        </w:rPr>
        <w:fldChar w:fldCharType="end"/>
      </w:r>
      <w:bookmarkEnd w:id="85"/>
      <w:r>
        <w:t>:</w:t>
      </w:r>
      <w:r w:rsidRPr="001E6073">
        <w:t xml:space="preserve"> First Nations environmental objectives for the Warrego and Moonie rivers for 2020–21 </w:t>
      </w:r>
    </w:p>
    <w:tbl>
      <w:tblPr>
        <w:tblStyle w:val="TableGrid1"/>
        <w:tblW w:w="9889" w:type="dxa"/>
        <w:tblInd w:w="-113" w:type="dxa"/>
        <w:tblBorders>
          <w:insideH w:val="none" w:sz="0" w:space="0" w:color="auto"/>
          <w:insideV w:val="none" w:sz="0" w:space="0" w:color="auto"/>
        </w:tblBorders>
        <w:tblLook w:val="04A0" w:firstRow="1" w:lastRow="0" w:firstColumn="1" w:lastColumn="0" w:noHBand="0" w:noVBand="1"/>
      </w:tblPr>
      <w:tblGrid>
        <w:gridCol w:w="9889"/>
      </w:tblGrid>
      <w:tr w:rsidR="00AA0841" w:rsidRPr="00153563" w14:paraId="58854CFA" w14:textId="77777777" w:rsidTr="00AA0841">
        <w:tc>
          <w:tcPr>
            <w:tcW w:w="9889" w:type="dxa"/>
            <w:tcBorders>
              <w:bottom w:val="nil"/>
            </w:tcBorders>
            <w:shd w:val="clear" w:color="auto" w:fill="B6DDE8" w:themeFill="accent5" w:themeFillTint="66"/>
            <w:vAlign w:val="center"/>
          </w:tcPr>
          <w:p w14:paraId="1AF8DEBA" w14:textId="77777777" w:rsidR="00AA0841" w:rsidRPr="00153563" w:rsidRDefault="00AA0841" w:rsidP="00AA0841">
            <w:pPr>
              <w:rPr>
                <w:b/>
                <w:szCs w:val="22"/>
                <w:lang w:val="en-GB"/>
              </w:rPr>
            </w:pPr>
            <w:r w:rsidRPr="00153563">
              <w:rPr>
                <w:b/>
                <w:szCs w:val="22"/>
                <w:lang w:val="en-GB"/>
              </w:rPr>
              <w:t xml:space="preserve"> River flows and Connectivity</w:t>
            </w:r>
          </w:p>
        </w:tc>
      </w:tr>
      <w:tr w:rsidR="00AA0841" w:rsidRPr="00153563" w14:paraId="29AB7DA6" w14:textId="77777777" w:rsidTr="003737D8">
        <w:trPr>
          <w:trHeight w:val="2576"/>
        </w:trPr>
        <w:tc>
          <w:tcPr>
            <w:tcW w:w="9889" w:type="dxa"/>
            <w:tcBorders>
              <w:top w:val="nil"/>
              <w:bottom w:val="single" w:sz="4" w:space="0" w:color="auto"/>
            </w:tcBorders>
          </w:tcPr>
          <w:p w14:paraId="0CE6F0A2" w14:textId="77777777" w:rsidR="00AA0841" w:rsidRPr="00153563" w:rsidRDefault="00AA0841" w:rsidP="00AA0841">
            <w:pPr>
              <w:rPr>
                <w:rFonts w:cs="Arial"/>
                <w:szCs w:val="22"/>
              </w:rPr>
            </w:pPr>
            <w:r w:rsidRPr="006B3541">
              <w:rPr>
                <w:rStyle w:val="Heading5Char"/>
              </w:rPr>
              <w:t>NBAN Priority Sites:</w:t>
            </w:r>
            <w:r w:rsidRPr="00153563">
              <w:rPr>
                <w:rFonts w:cs="Arial"/>
                <w:i/>
                <w:iCs/>
                <w:szCs w:val="22"/>
              </w:rPr>
              <w:t xml:space="preserve"> </w:t>
            </w:r>
            <w:r w:rsidRPr="00153563">
              <w:rPr>
                <w:rFonts w:cs="Arial"/>
                <w:szCs w:val="22"/>
              </w:rPr>
              <w:t>The Warrego River to flow into the Paroo River, during flood times.</w:t>
            </w:r>
          </w:p>
          <w:p w14:paraId="12AA3A37" w14:textId="77777777" w:rsidR="00AA0841" w:rsidRPr="00153563" w:rsidRDefault="00AA0841" w:rsidP="00AA0841">
            <w:pPr>
              <w:rPr>
                <w:rFonts w:cs="Arial"/>
                <w:szCs w:val="22"/>
              </w:rPr>
            </w:pPr>
            <w:r w:rsidRPr="006B3541">
              <w:rPr>
                <w:rStyle w:val="Heading5Char"/>
              </w:rPr>
              <w:t>NBAN other flows and connectivity:</w:t>
            </w:r>
            <w:r w:rsidRPr="00153563">
              <w:rPr>
                <w:rFonts w:cs="Arial"/>
                <w:i/>
                <w:iCs/>
                <w:szCs w:val="22"/>
              </w:rPr>
              <w:t xml:space="preserve"> </w:t>
            </w:r>
            <w:r w:rsidRPr="00153563">
              <w:rPr>
                <w:rFonts w:cs="Arial"/>
                <w:szCs w:val="22"/>
              </w:rPr>
              <w:t>Annual flood periods that will be the stimuli for breeding seasons, which can occur 3 – 6 months after an inundation.</w:t>
            </w:r>
          </w:p>
          <w:p w14:paraId="27880EC6" w14:textId="77777777" w:rsidR="00AA0841" w:rsidRPr="00153563" w:rsidRDefault="00AA0841" w:rsidP="00AA0841">
            <w:pPr>
              <w:rPr>
                <w:rFonts w:cs="Arial"/>
                <w:szCs w:val="22"/>
              </w:rPr>
            </w:pPr>
            <w:r w:rsidRPr="006B3541">
              <w:rPr>
                <w:rStyle w:val="Heading5Char"/>
              </w:rPr>
              <w:t>Local Aboriginal community objectives:</w:t>
            </w:r>
            <w:r w:rsidRPr="00153563">
              <w:rPr>
                <w:rFonts w:cs="Arial"/>
                <w:color w:val="222222"/>
                <w:szCs w:val="22"/>
                <w:vertAlign w:val="superscript"/>
              </w:rPr>
              <w:t xml:space="preserve">  </w:t>
            </w:r>
            <w:r w:rsidRPr="00153563">
              <w:rPr>
                <w:rFonts w:cs="Arial"/>
                <w:szCs w:val="22"/>
              </w:rPr>
              <w:t>Water is life and connects all things, and all things are interconnected; rivers and wetlands need water, need flows; reed to care for Country in a physical and spiritual sense; need to look after country and to fulfil cultural obligations; need to look after own mob and for downstream mobs</w:t>
            </w:r>
          </w:p>
        </w:tc>
      </w:tr>
      <w:tr w:rsidR="00AA0841" w:rsidRPr="00153563" w14:paraId="25FB0381" w14:textId="77777777" w:rsidTr="00AA0841">
        <w:tc>
          <w:tcPr>
            <w:tcW w:w="9889" w:type="dxa"/>
            <w:tcBorders>
              <w:top w:val="single" w:sz="4" w:space="0" w:color="auto"/>
              <w:bottom w:val="nil"/>
            </w:tcBorders>
            <w:shd w:val="clear" w:color="auto" w:fill="B6DDE8" w:themeFill="accent5" w:themeFillTint="66"/>
          </w:tcPr>
          <w:p w14:paraId="33001A3A" w14:textId="77777777" w:rsidR="00AA0841" w:rsidRPr="00153563" w:rsidRDefault="00AA0841" w:rsidP="00AA0841">
            <w:pPr>
              <w:rPr>
                <w:szCs w:val="22"/>
                <w:lang w:val="en-GB"/>
              </w:rPr>
            </w:pPr>
            <w:r w:rsidRPr="00153563">
              <w:rPr>
                <w:b/>
                <w:szCs w:val="22"/>
                <w:lang w:val="en-GB"/>
              </w:rPr>
              <w:t>Native Vegetation</w:t>
            </w:r>
          </w:p>
        </w:tc>
      </w:tr>
      <w:tr w:rsidR="00AA0841" w:rsidRPr="00153563" w14:paraId="2BF0C5FF" w14:textId="77777777" w:rsidTr="003737D8">
        <w:trPr>
          <w:trHeight w:val="1326"/>
        </w:trPr>
        <w:tc>
          <w:tcPr>
            <w:tcW w:w="9889" w:type="dxa"/>
            <w:tcBorders>
              <w:top w:val="nil"/>
              <w:bottom w:val="single" w:sz="4" w:space="0" w:color="auto"/>
            </w:tcBorders>
          </w:tcPr>
          <w:p w14:paraId="29C23CF0" w14:textId="77777777" w:rsidR="00AA0841" w:rsidRPr="00153563" w:rsidRDefault="00AA0841" w:rsidP="00AA0841">
            <w:pPr>
              <w:rPr>
                <w:rFonts w:cs="Arial"/>
                <w:szCs w:val="22"/>
              </w:rPr>
            </w:pPr>
            <w:r w:rsidRPr="006B3541">
              <w:rPr>
                <w:rStyle w:val="Heading5Char"/>
              </w:rPr>
              <w:t>NBAN indicator species:</w:t>
            </w:r>
            <w:r w:rsidRPr="00153563">
              <w:rPr>
                <w:rFonts w:cs="Arial"/>
                <w:i/>
                <w:iCs/>
                <w:szCs w:val="22"/>
              </w:rPr>
              <w:t xml:space="preserve"> </w:t>
            </w:r>
            <w:r w:rsidRPr="00153563">
              <w:rPr>
                <w:rFonts w:cs="Arial"/>
                <w:szCs w:val="22"/>
              </w:rPr>
              <w:t>River redgum, coolabah, gidgee, and water reed.</w:t>
            </w:r>
          </w:p>
          <w:p w14:paraId="1BA88B32" w14:textId="77777777" w:rsidR="00AA0841" w:rsidRPr="00153563" w:rsidRDefault="00AA0841" w:rsidP="00AA0841">
            <w:pPr>
              <w:rPr>
                <w:szCs w:val="22"/>
              </w:rPr>
            </w:pPr>
            <w:r w:rsidRPr="006B3541">
              <w:rPr>
                <w:rStyle w:val="Heading5Char"/>
              </w:rPr>
              <w:t>Local Aboriginal community indicator species:</w:t>
            </w:r>
            <w:r w:rsidRPr="00153563">
              <w:rPr>
                <w:rFonts w:cs="Arial"/>
                <w:szCs w:val="22"/>
              </w:rPr>
              <w:t xml:space="preserve"> Vegetation species that are resources growing in and along rivers and in wetlands and billabongs, and on floodplains – bush tucker, medicines and cultural practices.</w:t>
            </w:r>
          </w:p>
        </w:tc>
      </w:tr>
      <w:tr w:rsidR="00AA0841" w:rsidRPr="00153563" w14:paraId="4AF8347A" w14:textId="77777777" w:rsidTr="00AA0841">
        <w:tc>
          <w:tcPr>
            <w:tcW w:w="9889" w:type="dxa"/>
            <w:tcBorders>
              <w:top w:val="single" w:sz="4" w:space="0" w:color="auto"/>
              <w:bottom w:val="nil"/>
            </w:tcBorders>
            <w:shd w:val="clear" w:color="auto" w:fill="B6DDE8" w:themeFill="accent5" w:themeFillTint="66"/>
          </w:tcPr>
          <w:p w14:paraId="4EE89064" w14:textId="77777777" w:rsidR="00AA0841" w:rsidRPr="00153563" w:rsidRDefault="00AA0841" w:rsidP="00AA0841">
            <w:pPr>
              <w:rPr>
                <w:szCs w:val="22"/>
                <w:lang w:val="en-GB"/>
              </w:rPr>
            </w:pPr>
            <w:r w:rsidRPr="00153563">
              <w:rPr>
                <w:b/>
                <w:szCs w:val="22"/>
                <w:lang w:val="en-GB"/>
              </w:rPr>
              <w:t>Native Birds</w:t>
            </w:r>
          </w:p>
        </w:tc>
      </w:tr>
      <w:tr w:rsidR="00AA0841" w:rsidRPr="00153563" w14:paraId="1A38692C" w14:textId="77777777" w:rsidTr="003737D8">
        <w:trPr>
          <w:trHeight w:val="1434"/>
        </w:trPr>
        <w:tc>
          <w:tcPr>
            <w:tcW w:w="9889" w:type="dxa"/>
            <w:tcBorders>
              <w:top w:val="nil"/>
              <w:bottom w:val="single" w:sz="4" w:space="0" w:color="auto"/>
            </w:tcBorders>
          </w:tcPr>
          <w:p w14:paraId="2F021898" w14:textId="77777777" w:rsidR="00AA0841" w:rsidRPr="00153563" w:rsidRDefault="00AA0841" w:rsidP="00AA0841">
            <w:pPr>
              <w:rPr>
                <w:rFonts w:cs="Arial"/>
                <w:szCs w:val="22"/>
              </w:rPr>
            </w:pPr>
            <w:r w:rsidRPr="006B3541">
              <w:rPr>
                <w:rStyle w:val="Heading5Char"/>
              </w:rPr>
              <w:t>NBAN indicator species:</w:t>
            </w:r>
            <w:r w:rsidRPr="00153563">
              <w:rPr>
                <w:rFonts w:cs="Arial"/>
                <w:i/>
                <w:iCs/>
                <w:szCs w:val="22"/>
              </w:rPr>
              <w:t xml:space="preserve"> </w:t>
            </w:r>
            <w:r w:rsidRPr="00153563">
              <w:rPr>
                <w:rFonts w:cs="Arial"/>
                <w:szCs w:val="22"/>
              </w:rPr>
              <w:t>Water hen, wood duck, pelican, galah</w:t>
            </w:r>
            <w:r w:rsidRPr="00153563">
              <w:rPr>
                <w:rFonts w:cs="Arial"/>
                <w:szCs w:val="22"/>
                <w:vertAlign w:val="superscript"/>
              </w:rPr>
              <w:t>i</w:t>
            </w:r>
            <w:r w:rsidRPr="00153563">
              <w:rPr>
                <w:rFonts w:cs="Arial"/>
                <w:szCs w:val="22"/>
              </w:rPr>
              <w:t>, cockatoo</w:t>
            </w:r>
            <w:r w:rsidRPr="00153563">
              <w:rPr>
                <w:rFonts w:cs="Arial"/>
                <w:szCs w:val="22"/>
                <w:vertAlign w:val="superscript"/>
              </w:rPr>
              <w:t xml:space="preserve"> i</w:t>
            </w:r>
            <w:r w:rsidRPr="00153563">
              <w:rPr>
                <w:rFonts w:cs="Arial"/>
                <w:szCs w:val="22"/>
              </w:rPr>
              <w:t xml:space="preserve"> and pigeon</w:t>
            </w:r>
            <w:r w:rsidRPr="00153563">
              <w:rPr>
                <w:rFonts w:cs="Arial"/>
                <w:szCs w:val="22"/>
                <w:vertAlign w:val="superscript"/>
              </w:rPr>
              <w:t>i</w:t>
            </w:r>
            <w:r w:rsidRPr="00153563">
              <w:rPr>
                <w:rFonts w:cs="Arial"/>
                <w:szCs w:val="22"/>
              </w:rPr>
              <w:t>.</w:t>
            </w:r>
          </w:p>
          <w:p w14:paraId="7E7644C0" w14:textId="77777777" w:rsidR="00AA0841" w:rsidRPr="00153563" w:rsidRDefault="00AA0841" w:rsidP="00AA0841">
            <w:pPr>
              <w:rPr>
                <w:szCs w:val="22"/>
              </w:rPr>
            </w:pPr>
            <w:r w:rsidRPr="006B3541">
              <w:rPr>
                <w:rStyle w:val="Heading5Char"/>
              </w:rPr>
              <w:t>Local Aboriginal community indicator species:</w:t>
            </w:r>
            <w:r w:rsidRPr="00153563">
              <w:rPr>
                <w:rFonts w:cs="Arial"/>
                <w:szCs w:val="22"/>
              </w:rPr>
              <w:t xml:space="preserve"> S</w:t>
            </w:r>
            <w:r w:rsidRPr="00153563">
              <w:rPr>
                <w:rFonts w:cs="Arial"/>
                <w:color w:val="222222"/>
                <w:szCs w:val="22"/>
              </w:rPr>
              <w:t>pecies of special importance or are important resources including:  brolga, ducks, magpie geese.</w:t>
            </w:r>
          </w:p>
        </w:tc>
      </w:tr>
      <w:tr w:rsidR="00AA0841" w:rsidRPr="00153563" w14:paraId="61A7A9D0" w14:textId="77777777" w:rsidTr="00AA0841">
        <w:tc>
          <w:tcPr>
            <w:tcW w:w="9889" w:type="dxa"/>
            <w:tcBorders>
              <w:top w:val="single" w:sz="4" w:space="0" w:color="auto"/>
              <w:bottom w:val="nil"/>
            </w:tcBorders>
            <w:shd w:val="clear" w:color="auto" w:fill="B6DDE8" w:themeFill="accent5" w:themeFillTint="66"/>
          </w:tcPr>
          <w:p w14:paraId="0127745C" w14:textId="77777777" w:rsidR="00AA0841" w:rsidRPr="00153563" w:rsidRDefault="00AA0841" w:rsidP="00AA0841">
            <w:pPr>
              <w:rPr>
                <w:szCs w:val="22"/>
                <w:lang w:val="en-GB"/>
              </w:rPr>
            </w:pPr>
            <w:r w:rsidRPr="00153563">
              <w:rPr>
                <w:b/>
                <w:szCs w:val="22"/>
                <w:lang w:val="en-GB"/>
              </w:rPr>
              <w:t>Native Animals</w:t>
            </w:r>
          </w:p>
        </w:tc>
      </w:tr>
      <w:tr w:rsidR="00AA0841" w:rsidRPr="00153563" w14:paraId="23EA2483" w14:textId="77777777" w:rsidTr="003737D8">
        <w:trPr>
          <w:trHeight w:val="2427"/>
        </w:trPr>
        <w:tc>
          <w:tcPr>
            <w:tcW w:w="9889" w:type="dxa"/>
            <w:tcBorders>
              <w:top w:val="nil"/>
              <w:bottom w:val="single" w:sz="4" w:space="0" w:color="auto"/>
            </w:tcBorders>
          </w:tcPr>
          <w:p w14:paraId="782A79D6" w14:textId="77777777" w:rsidR="00AA0841" w:rsidRPr="00153563" w:rsidRDefault="00AA0841" w:rsidP="00AA0841">
            <w:pPr>
              <w:rPr>
                <w:rFonts w:cs="Arial"/>
                <w:szCs w:val="22"/>
              </w:rPr>
            </w:pPr>
            <w:r w:rsidRPr="006B3541">
              <w:rPr>
                <w:rStyle w:val="Heading5Char"/>
              </w:rPr>
              <w:t>NBAN indicator species:</w:t>
            </w:r>
            <w:r w:rsidRPr="00153563">
              <w:rPr>
                <w:rFonts w:cs="Arial"/>
                <w:szCs w:val="22"/>
              </w:rPr>
              <w:t xml:space="preserve"> Yellowbelly, black bream (silver perch), mussel, goanna</w:t>
            </w:r>
            <w:r w:rsidRPr="00153563">
              <w:rPr>
                <w:rFonts w:cs="Arial"/>
                <w:szCs w:val="22"/>
                <w:vertAlign w:val="superscript"/>
              </w:rPr>
              <w:t>i</w:t>
            </w:r>
            <w:r w:rsidRPr="00153563">
              <w:rPr>
                <w:rFonts w:cs="Arial"/>
                <w:szCs w:val="22"/>
              </w:rPr>
              <w:t>, emu</w:t>
            </w:r>
            <w:r w:rsidRPr="00153563">
              <w:rPr>
                <w:rFonts w:cs="Arial"/>
                <w:szCs w:val="22"/>
                <w:vertAlign w:val="superscript"/>
              </w:rPr>
              <w:t xml:space="preserve"> I, </w:t>
            </w:r>
            <w:r w:rsidRPr="00153563">
              <w:rPr>
                <w:rFonts w:cs="Arial"/>
                <w:szCs w:val="22"/>
              </w:rPr>
              <w:t>echidna</w:t>
            </w:r>
            <w:r w:rsidRPr="00153563">
              <w:rPr>
                <w:rFonts w:cs="Arial"/>
                <w:szCs w:val="22"/>
                <w:vertAlign w:val="superscript"/>
              </w:rPr>
              <w:t>i</w:t>
            </w:r>
            <w:r w:rsidRPr="00153563">
              <w:rPr>
                <w:rFonts w:cs="Arial"/>
                <w:szCs w:val="22"/>
              </w:rPr>
              <w:t>, wedge-tail eagle</w:t>
            </w:r>
            <w:r w:rsidRPr="00153563">
              <w:rPr>
                <w:rFonts w:cs="Arial"/>
                <w:szCs w:val="22"/>
                <w:vertAlign w:val="superscript"/>
              </w:rPr>
              <w:t xml:space="preserve"> i</w:t>
            </w:r>
            <w:r w:rsidRPr="00153563">
              <w:rPr>
                <w:rFonts w:cs="Arial"/>
                <w:szCs w:val="22"/>
              </w:rPr>
              <w:t>.</w:t>
            </w:r>
          </w:p>
          <w:p w14:paraId="1090F3EA" w14:textId="77777777" w:rsidR="00AA0841" w:rsidRPr="00153563" w:rsidRDefault="00AA0841" w:rsidP="00AA0841">
            <w:pPr>
              <w:rPr>
                <w:rFonts w:cs="Calibri"/>
                <w:szCs w:val="22"/>
              </w:rPr>
            </w:pPr>
            <w:r w:rsidRPr="006B3541">
              <w:rPr>
                <w:rStyle w:val="Heading5Char"/>
              </w:rPr>
              <w:t>Local Aboriginal community indicator species:</w:t>
            </w:r>
            <w:r w:rsidRPr="00153563">
              <w:rPr>
                <w:rFonts w:cs="Arial"/>
                <w:szCs w:val="22"/>
              </w:rPr>
              <w:t xml:space="preserve"> Look after native fish, both own importance and resource for community; Look after the critters, everything needs water, make sure things can survive and live; need to look after critters, care for all as part of whole picture, and to look after totem species and significant species.</w:t>
            </w:r>
          </w:p>
        </w:tc>
      </w:tr>
      <w:tr w:rsidR="00AA0841" w:rsidRPr="00153563" w14:paraId="307444B7" w14:textId="77777777" w:rsidTr="00AA0841">
        <w:tc>
          <w:tcPr>
            <w:tcW w:w="9889" w:type="dxa"/>
            <w:tcBorders>
              <w:top w:val="single" w:sz="4" w:space="0" w:color="auto"/>
            </w:tcBorders>
            <w:shd w:val="clear" w:color="auto" w:fill="B6DDE8" w:themeFill="accent5" w:themeFillTint="66"/>
          </w:tcPr>
          <w:p w14:paraId="68877A86" w14:textId="77777777" w:rsidR="00AA0841" w:rsidRPr="00153563" w:rsidRDefault="00AA0841" w:rsidP="00AA0841">
            <w:pPr>
              <w:rPr>
                <w:szCs w:val="22"/>
                <w:lang w:val="en-GB"/>
              </w:rPr>
            </w:pPr>
            <w:r w:rsidRPr="00153563">
              <w:rPr>
                <w:b/>
                <w:szCs w:val="22"/>
                <w:lang w:val="en-GB"/>
              </w:rPr>
              <w:lastRenderedPageBreak/>
              <w:t>Connecting with Country</w:t>
            </w:r>
          </w:p>
        </w:tc>
      </w:tr>
      <w:tr w:rsidR="00AA0841" w:rsidRPr="00153563" w14:paraId="3D2AF1A1" w14:textId="77777777" w:rsidTr="00AA0841">
        <w:tc>
          <w:tcPr>
            <w:tcW w:w="9889" w:type="dxa"/>
          </w:tcPr>
          <w:p w14:paraId="777CF8BE" w14:textId="77777777" w:rsidR="00AA0841" w:rsidRPr="00153563" w:rsidRDefault="00AA0841" w:rsidP="00AA0841">
            <w:pPr>
              <w:rPr>
                <w:rFonts w:cs="Arial"/>
                <w:szCs w:val="22"/>
              </w:rPr>
            </w:pPr>
            <w:r w:rsidRPr="006B3541">
              <w:rPr>
                <w:rStyle w:val="Heading5Char"/>
              </w:rPr>
              <w:t>NBAN:</w:t>
            </w:r>
            <w:r w:rsidRPr="00153563">
              <w:rPr>
                <w:rFonts w:cs="Arial"/>
                <w:szCs w:val="22"/>
              </w:rPr>
              <w:t xml:space="preserve"> Nation gathering and teaching. Camping and fishing.</w:t>
            </w:r>
          </w:p>
          <w:p w14:paraId="105F902E" w14:textId="77777777" w:rsidR="00AA0841" w:rsidRPr="00153563" w:rsidRDefault="00AA0841" w:rsidP="00AA0841">
            <w:pPr>
              <w:rPr>
                <w:szCs w:val="22"/>
              </w:rPr>
            </w:pPr>
            <w:r w:rsidRPr="006B3541">
              <w:rPr>
                <w:rStyle w:val="Heading5Char"/>
              </w:rPr>
              <w:t>Local Aboriginal community objectives:</w:t>
            </w:r>
            <w:r w:rsidRPr="00153563">
              <w:rPr>
                <w:rFonts w:cs="Arial"/>
                <w:color w:val="222222"/>
                <w:szCs w:val="22"/>
              </w:rPr>
              <w:t xml:space="preserve"> </w:t>
            </w:r>
            <w:r w:rsidRPr="00153563">
              <w:rPr>
                <w:rFonts w:cs="Arial"/>
                <w:szCs w:val="22"/>
              </w:rPr>
              <w:t>Sharing stories and knowledge are important to the Northern Intersecting Streams people and the following assist in doing this: Being able to go out on Country to reconnect and share knowledge about landscape and resources, about spiritual and creation stories, and educate the younger generation, Connecting to and Caring for Country – opportunities to go out on Country, and obligations to care for Country.</w:t>
            </w:r>
          </w:p>
        </w:tc>
      </w:tr>
    </w:tbl>
    <w:p w14:paraId="33847AD1" w14:textId="77777777" w:rsidR="00AA0841" w:rsidRDefault="00AA0841" w:rsidP="00AA0841">
      <w:pPr>
        <w:spacing w:after="0"/>
        <w:rPr>
          <w:sz w:val="20"/>
        </w:rPr>
      </w:pPr>
      <w:r w:rsidRPr="001E6073">
        <w:rPr>
          <w:sz w:val="20"/>
        </w:rPr>
        <w:t xml:space="preserve">  </w:t>
      </w:r>
      <w:r w:rsidRPr="00B95704">
        <w:rPr>
          <w:vertAlign w:val="superscript"/>
        </w:rPr>
        <w:t>i</w:t>
      </w:r>
      <w:r w:rsidRPr="001E6073">
        <w:rPr>
          <w:sz w:val="20"/>
          <w:lang w:val="en-GB"/>
        </w:rPr>
        <w:t xml:space="preserve"> </w:t>
      </w:r>
      <w:r w:rsidRPr="001E6073">
        <w:rPr>
          <w:sz w:val="20"/>
        </w:rPr>
        <w:t>Water for the environment targeting</w:t>
      </w:r>
      <w:r>
        <w:rPr>
          <w:sz w:val="20"/>
        </w:rPr>
        <w:t xml:space="preserve"> other</w:t>
      </w:r>
      <w:r w:rsidRPr="001E6073">
        <w:rPr>
          <w:sz w:val="20"/>
        </w:rPr>
        <w:t xml:space="preserve"> environmental outcomes may</w:t>
      </w:r>
      <w:r>
        <w:rPr>
          <w:sz w:val="20"/>
        </w:rPr>
        <w:t xml:space="preserve"> influence this species or objective</w:t>
      </w:r>
    </w:p>
    <w:p w14:paraId="7C6868C8" w14:textId="77777777" w:rsidR="00AA0841" w:rsidRPr="00365FE2" w:rsidRDefault="00AA0841" w:rsidP="0057535E">
      <w:pPr>
        <w:pStyle w:val="Heading3"/>
      </w:pPr>
      <w:r w:rsidRPr="00365FE2">
        <w:t>Recent conditions and seasonal outlook</w:t>
      </w:r>
    </w:p>
    <w:p w14:paraId="4C88BE16" w14:textId="77777777" w:rsidR="00AA0841" w:rsidRPr="00E331C9" w:rsidRDefault="00AA0841" w:rsidP="003737D8">
      <w:pPr>
        <w:pStyle w:val="Heading4"/>
      </w:pPr>
      <w:r w:rsidRPr="00365FE2">
        <w:t xml:space="preserve">Recent </w:t>
      </w:r>
      <w:r w:rsidRPr="00E331C9">
        <w:t xml:space="preserve">conditions and </w:t>
      </w:r>
      <w:r w:rsidRPr="003737D8">
        <w:t>environmental</w:t>
      </w:r>
      <w:r w:rsidRPr="00E331C9">
        <w:t xml:space="preserve"> water use</w:t>
      </w:r>
    </w:p>
    <w:p w14:paraId="34F12E88" w14:textId="77777777" w:rsidR="00AA0841" w:rsidRPr="00C722B0" w:rsidRDefault="00AA0841" w:rsidP="00AA0841">
      <w:pPr>
        <w:keepNext/>
        <w:keepLines/>
      </w:pPr>
      <w:r>
        <w:t xml:space="preserve">Unregulated entitlements in both the Warrego and Moonie rivers were triggered in 2019–20. The Commonwealth’s entitlements in the Moonie were activated from the end of January to April 2020, with an estimated Commonwealth water for the environment contribution of </w:t>
      </w:r>
      <w:r w:rsidRPr="00C722B0">
        <w:t>4.</w:t>
      </w:r>
      <w:r>
        <w:t>5</w:t>
      </w:r>
      <w:r w:rsidRPr="00C722B0">
        <w:t xml:space="preserve"> </w:t>
      </w:r>
      <w:r>
        <w:t>gigalitres</w:t>
      </w:r>
      <w:r w:rsidRPr="00C722B0">
        <w:t xml:space="preserve">. </w:t>
      </w:r>
    </w:p>
    <w:p w14:paraId="2392D766" w14:textId="77777777" w:rsidR="00AA0841" w:rsidRDefault="00AA0841" w:rsidP="00AA0841">
      <w:pPr>
        <w:keepNext/>
        <w:keepLines/>
      </w:pPr>
      <w:r w:rsidRPr="006B42DA">
        <w:t>The Commonwealth’s Toorale licen</w:t>
      </w:r>
      <w:r>
        <w:t>c</w:t>
      </w:r>
      <w:r w:rsidRPr="006B42DA">
        <w:t xml:space="preserve">es </w:t>
      </w:r>
      <w:r>
        <w:t xml:space="preserve">on the Warrego River </w:t>
      </w:r>
      <w:r w:rsidRPr="006B42DA">
        <w:t>were also activated in March 2020</w:t>
      </w:r>
      <w:r>
        <w:t xml:space="preserve">. The CEWO accessed 200 per cent of the share component of these river licences, contributing </w:t>
      </w:r>
      <w:r w:rsidRPr="006B42DA">
        <w:t xml:space="preserve">16.2 </w:t>
      </w:r>
      <w:r>
        <w:t>gigalitres of the 45 gigalitres that flowed from the Warrego River into the Darling River, helping meet downstream environmental demands</w:t>
      </w:r>
      <w:r w:rsidRPr="006B42DA">
        <w:t xml:space="preserve">. </w:t>
      </w:r>
      <w:r>
        <w:t>Over 11 000 hectares of the Western Floodplain at and around Toorale National Park was also inundated, with flows connecting with the Darling from the floodplain via the Talowla</w:t>
      </w:r>
      <w:r w:rsidRPr="005207E7">
        <w:t xml:space="preserve"> </w:t>
      </w:r>
      <w:r>
        <w:t xml:space="preserve">channel for the first time since 2010. </w:t>
      </w:r>
    </w:p>
    <w:p w14:paraId="535E1C2D" w14:textId="77777777" w:rsidR="00AA0841" w:rsidRDefault="00AA0841" w:rsidP="00AA0841">
      <w:pPr>
        <w:keepNext/>
        <w:keepLines/>
      </w:pPr>
      <w:r>
        <w:t>Unregulated flows from the NSW parts of the Moonie and Warrego rivers, along with other northern Barwon–Darling tributary systems in NSW were protected from irrigation extraction using temporary protection orders in early 2020.</w:t>
      </w:r>
    </w:p>
    <w:p w14:paraId="5C6BC60F" w14:textId="77777777" w:rsidR="00AA0841" w:rsidRPr="00365FE2" w:rsidRDefault="00AA0841" w:rsidP="00AA0841">
      <w:pPr>
        <w:keepNext/>
        <w:keepLines/>
      </w:pPr>
      <w:r>
        <w:t xml:space="preserve">Vegetation on the Western Floodplain in the Warrego catchment has responded to the flows, with lignum flowering and showing new growth. Native fish including golden perch are also expected to have benefited from the flows. However, dry periods before flows in early 2020 have limited the abundance and diversity of waterbirds and frogs. </w:t>
      </w:r>
    </w:p>
    <w:p w14:paraId="2D9A13E1" w14:textId="77777777" w:rsidR="00AA0841" w:rsidRDefault="00AA0841" w:rsidP="00AA0841">
      <w:r w:rsidRPr="00365FE2">
        <w:t>Details of previous Commonwealth environmental</w:t>
      </w:r>
      <w:r>
        <w:t xml:space="preserve"> water</w:t>
      </w:r>
      <w:r w:rsidRPr="00365FE2">
        <w:t xml:space="preserve"> use in the </w:t>
      </w:r>
      <w:r>
        <w:t>Warrego and Moonie rivers</w:t>
      </w:r>
      <w:r w:rsidRPr="00365FE2">
        <w:t xml:space="preserve"> are available at: </w:t>
      </w:r>
      <w:hyperlink r:id="rId104" w:history="1">
        <w:r w:rsidRPr="006F0DFF">
          <w:rPr>
            <w:rStyle w:val="Hyperlink"/>
          </w:rPr>
          <w:t>http://www.environment.gov.au/water/cewo/catchment/northern-unregulated-rivers/history</w:t>
        </w:r>
      </w:hyperlink>
      <w:r>
        <w:t xml:space="preserve">. </w:t>
      </w:r>
    </w:p>
    <w:p w14:paraId="0AF95DD5" w14:textId="77777777" w:rsidR="00AA0841" w:rsidRPr="00365FE2" w:rsidRDefault="00AA0841" w:rsidP="003737D8">
      <w:pPr>
        <w:pStyle w:val="Heading4"/>
      </w:pPr>
      <w:r w:rsidRPr="003737D8">
        <w:t>Seasonal</w:t>
      </w:r>
      <w:r w:rsidRPr="00365FE2">
        <w:t xml:space="preserve"> outlook</w:t>
      </w:r>
    </w:p>
    <w:p w14:paraId="1B91659C" w14:textId="77777777" w:rsidR="00AA0841" w:rsidRPr="00365FE2" w:rsidRDefault="00AA0841" w:rsidP="00AA0841">
      <w:r>
        <w:t xml:space="preserve">According to the Bureau of Meteorology outlook on 2 July 2020, above median rainfall is forecast for the Warrego and Moonie catchments in August to October. While this forecast suggests that the recent severe dry conditions may ease somewhat, several months of above average rainfall are needed to see a recovery from the current severe drought. Stream flows may be less than expected during the recovery. However, wetter conditions can return suddenly in the northern Basin. Maximum temperatures are also forecast to remain above average over the coming months. </w:t>
      </w:r>
    </w:p>
    <w:p w14:paraId="33F3D21C" w14:textId="77777777" w:rsidR="00AA0841" w:rsidRDefault="00AA0841" w:rsidP="00AA0841">
      <w:pPr>
        <w:spacing w:after="0"/>
        <w:rPr>
          <w:rFonts w:cs="Arial"/>
          <w:i/>
          <w:color w:val="5F497A" w:themeColor="accent4" w:themeShade="BF"/>
          <w:sz w:val="26"/>
          <w:szCs w:val="24"/>
          <w:lang w:val="en-GB"/>
        </w:rPr>
      </w:pPr>
      <w:r>
        <w:br w:type="page"/>
      </w:r>
    </w:p>
    <w:p w14:paraId="2BD05E1B" w14:textId="77777777" w:rsidR="00AA0841" w:rsidRPr="00365FE2" w:rsidRDefault="00AA0841" w:rsidP="003737D8">
      <w:pPr>
        <w:pStyle w:val="Heading4"/>
      </w:pPr>
      <w:r w:rsidRPr="00365FE2">
        <w:lastRenderedPageBreak/>
        <w:t xml:space="preserve">Water </w:t>
      </w:r>
      <w:r w:rsidRPr="003737D8">
        <w:t>availability</w:t>
      </w:r>
    </w:p>
    <w:p w14:paraId="73B6F4CB" w14:textId="77777777" w:rsidR="00AA0841" w:rsidRPr="00C24880" w:rsidRDefault="00AA0841" w:rsidP="00AA0841">
      <w:r w:rsidRPr="00C24880">
        <w:t xml:space="preserve">The </w:t>
      </w:r>
      <w:r>
        <w:t xml:space="preserve">Warrego and Moonie rivers </w:t>
      </w:r>
      <w:r w:rsidRPr="00C24880">
        <w:t xml:space="preserve">have fewer regulating structures than other areas of the Murray–Darling Basin, which limits options for the managed delivery of water for the environment at a predetermined volume and time. Rather, Commonwealth water for the environment in the </w:t>
      </w:r>
      <w:r>
        <w:t xml:space="preserve">Warrego and Moonie rivers </w:t>
      </w:r>
      <w:r w:rsidRPr="00C24880">
        <w:t xml:space="preserve">can generally only be sourced as a share of an unregulated flow event or </w:t>
      </w:r>
      <w:r>
        <w:t xml:space="preserve">in some cases </w:t>
      </w:r>
      <w:r w:rsidRPr="00C24880">
        <w:t>targeted management within an event. Most Commonwealth unregulated entitlements are left in-stream to provide environmental benefits by restoring flows that were formerly extracted and improv</w:t>
      </w:r>
      <w:r>
        <w:t>ing</w:t>
      </w:r>
      <w:r w:rsidRPr="00C24880">
        <w:t xml:space="preserve"> flow variability.</w:t>
      </w:r>
    </w:p>
    <w:p w14:paraId="4CD9F86C" w14:textId="77777777" w:rsidR="00AA0841" w:rsidRDefault="00AA0841" w:rsidP="00AA0841">
      <w:r w:rsidRPr="00C24880">
        <w:t>Water availability depends on the flow events that occur. Unregulated entitlements provide opportunistic access to unregulated river flows and overland flows when a flow event reaches levels specified in entitlement conditions and/or water resource plan triggers at which a period of access may be announced are met. Each entitlement will contribute to restoring in-stream flows reflecting its particular flow access windows, take rates and location. Daily, instantaneous, annual or multi-year limits cap overall diversions in any given year or flow event, and likewise the in-stream contributions that can be attributed to unregulated Commonwealth entitlements.</w:t>
      </w:r>
    </w:p>
    <w:p w14:paraId="611C17A1" w14:textId="77777777" w:rsidR="00AA0841" w:rsidRDefault="00AA0841" w:rsidP="00AA0841">
      <w:r w:rsidRPr="00C24880">
        <w:t xml:space="preserve">There is some capacity to direct flows at the junction of the Warrego and Darling rivers through infrastructure on the Toorale site (managed by the NSW National Parks and Wildlife Service in consultation with the Toorale Joint Management Committee). However, this is limited by the nature of the Commonwealth’s entitlements in the Warrego and Darling </w:t>
      </w:r>
      <w:r>
        <w:t>r</w:t>
      </w:r>
      <w:r w:rsidRPr="00C24880">
        <w:t>ivers and day to day operations of the Toorale infrastructure. Upgrades and changed management of the Toorale structures is underway through the Toorale Infrastructure Project.</w:t>
      </w:r>
    </w:p>
    <w:p w14:paraId="0DC377DF" w14:textId="77777777" w:rsidR="00AA0841" w:rsidRPr="00365FE2" w:rsidRDefault="00AA0841" w:rsidP="003737D8">
      <w:pPr>
        <w:pStyle w:val="Heading4"/>
      </w:pPr>
      <w:r w:rsidRPr="00365FE2">
        <w:t xml:space="preserve">Environmental </w:t>
      </w:r>
      <w:r w:rsidRPr="003737D8">
        <w:t>demands</w:t>
      </w:r>
    </w:p>
    <w:p w14:paraId="1EDA6D92" w14:textId="77777777" w:rsidR="00AA0841" w:rsidRDefault="00AA0841" w:rsidP="00AA0841">
      <w:r>
        <w:t xml:space="preserve">Considering the ongoing drought, the potential for further hot and dry conditions in the Warrego and Moonie rivers, and the need to avoid further damage to key assets, there are a number of environmental demands that require water urgently in 2020–21. </w:t>
      </w:r>
    </w:p>
    <w:p w14:paraId="3CAA3F6C" w14:textId="4A4D5763" w:rsidR="00AA0841" w:rsidRDefault="00AA0841" w:rsidP="00AA0841">
      <w:pPr>
        <w:sectPr w:rsidR="00AA0841" w:rsidSect="003737D8">
          <w:headerReference w:type="even" r:id="rId105"/>
          <w:headerReference w:type="default" r:id="rId106"/>
          <w:footerReference w:type="even" r:id="rId107"/>
          <w:footerReference w:type="default" r:id="rId108"/>
          <w:footnotePr>
            <w:numRestart w:val="eachSect"/>
          </w:footnotePr>
          <w:pgSz w:w="11906" w:h="16838"/>
          <w:pgMar w:top="1134" w:right="1133" w:bottom="851" w:left="964" w:header="567" w:footer="372" w:gutter="0"/>
          <w:cols w:space="708"/>
          <w:docGrid w:linePitch="360"/>
        </w:sectPr>
      </w:pPr>
      <w:r>
        <w:t xml:space="preserve">The environmental water demands for assets in the Moonie and Warrego rivers are represented in </w:t>
      </w:r>
      <w:r w:rsidRPr="006B3541">
        <w:fldChar w:fldCharType="begin"/>
      </w:r>
      <w:r w:rsidRPr="006B3541">
        <w:instrText xml:space="preserve"> REF _Ref43798826 \h  \* MERGEFORMAT </w:instrText>
      </w:r>
      <w:r w:rsidRPr="006B3541">
        <w:fldChar w:fldCharType="separate"/>
      </w:r>
      <w:r w:rsidR="001B2852" w:rsidRPr="001B2852">
        <w:t xml:space="preserve">Table </w:t>
      </w:r>
      <w:r w:rsidR="001B2852" w:rsidRPr="001B2852">
        <w:rPr>
          <w:noProof/>
        </w:rPr>
        <w:t>14</w:t>
      </w:r>
      <w:r w:rsidRPr="006B3541">
        <w:fldChar w:fldCharType="end"/>
      </w:r>
      <w:r>
        <w:t>. Note that the capacity to contribute to these environmental demands is contingent on the occurrence of rainfall and unregulated flow events in the catchment that enable access to flows.</w:t>
      </w:r>
    </w:p>
    <w:p w14:paraId="6A4FF3B7" w14:textId="4D4897C7" w:rsidR="00AA0841" w:rsidRDefault="00AA0841" w:rsidP="00AA0841">
      <w:bookmarkStart w:id="86" w:name="_Ref43798826"/>
      <w:bookmarkStart w:id="87" w:name="_Ref42089324"/>
      <w:r w:rsidRPr="006B3541">
        <w:rPr>
          <w:b/>
        </w:rPr>
        <w:lastRenderedPageBreak/>
        <w:t xml:space="preserve">Table </w:t>
      </w:r>
      <w:r w:rsidRPr="006B3541">
        <w:rPr>
          <w:b/>
        </w:rPr>
        <w:fldChar w:fldCharType="begin"/>
      </w:r>
      <w:r w:rsidRPr="006B3541">
        <w:rPr>
          <w:b/>
        </w:rPr>
        <w:instrText xml:space="preserve"> SEQ Table \* ARABIC </w:instrText>
      </w:r>
      <w:r w:rsidRPr="006B3541">
        <w:rPr>
          <w:b/>
        </w:rPr>
        <w:fldChar w:fldCharType="separate"/>
      </w:r>
      <w:r w:rsidR="001B2852">
        <w:rPr>
          <w:b/>
          <w:noProof/>
        </w:rPr>
        <w:t>14</w:t>
      </w:r>
      <w:r w:rsidRPr="006B3541">
        <w:rPr>
          <w:b/>
        </w:rPr>
        <w:fldChar w:fldCharType="end"/>
      </w:r>
      <w:bookmarkEnd w:id="86"/>
      <w:r>
        <w:t xml:space="preserve">: </w:t>
      </w:r>
      <w:bookmarkEnd w:id="87"/>
      <w:r w:rsidRPr="00080BF0">
        <w:t xml:space="preserve">Environmental demands and priorities </w:t>
      </w:r>
      <w:r>
        <w:t xml:space="preserve">for </w:t>
      </w:r>
      <w:r w:rsidRPr="00080BF0">
        <w:t>2020</w:t>
      </w:r>
      <w:r>
        <w:t>–</w:t>
      </w:r>
      <w:r w:rsidRPr="00080BF0">
        <w:t>21</w:t>
      </w:r>
      <w:r>
        <w:t xml:space="preserve"> </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9"/>
        <w:gridCol w:w="1687"/>
        <w:gridCol w:w="3666"/>
        <w:gridCol w:w="1974"/>
        <w:gridCol w:w="5353"/>
        <w:gridCol w:w="2039"/>
        <w:gridCol w:w="2889"/>
        <w:gridCol w:w="2113"/>
      </w:tblGrid>
      <w:tr w:rsidR="00AA0841" w:rsidRPr="007D0A8A" w14:paraId="39174E1F" w14:textId="77777777" w:rsidTr="00AA0841">
        <w:trPr>
          <w:trHeight w:val="504"/>
          <w:tblHeader/>
        </w:trPr>
        <w:tc>
          <w:tcPr>
            <w:tcW w:w="454" w:type="pct"/>
            <w:vMerge w:val="restart"/>
            <w:tcBorders>
              <w:top w:val="single" w:sz="12" w:space="0" w:color="auto"/>
              <w:left w:val="single" w:sz="12" w:space="0" w:color="auto"/>
            </w:tcBorders>
            <w:shd w:val="clear" w:color="auto" w:fill="B6DDE8" w:themeFill="accent5" w:themeFillTint="66"/>
            <w:vAlign w:val="center"/>
            <w:hideMark/>
          </w:tcPr>
          <w:p w14:paraId="18459963" w14:textId="77777777" w:rsidR="00AA0841" w:rsidRPr="006F4B5B" w:rsidRDefault="00AA0841" w:rsidP="00AA0841">
            <w:pPr>
              <w:spacing w:before="60" w:after="60"/>
              <w:jc w:val="center"/>
              <w:rPr>
                <w:b/>
                <w:bCs/>
                <w:sz w:val="18"/>
                <w:szCs w:val="18"/>
              </w:rPr>
            </w:pPr>
            <w:r w:rsidRPr="006F4B5B">
              <w:rPr>
                <w:b/>
                <w:bCs/>
                <w:sz w:val="18"/>
                <w:szCs w:val="18"/>
              </w:rPr>
              <w:t>Environmental assets</w:t>
            </w:r>
          </w:p>
        </w:tc>
        <w:tc>
          <w:tcPr>
            <w:tcW w:w="389" w:type="pct"/>
            <w:vMerge w:val="restart"/>
            <w:tcBorders>
              <w:top w:val="single" w:sz="12" w:space="0" w:color="auto"/>
            </w:tcBorders>
            <w:shd w:val="clear" w:color="auto" w:fill="B6DDE8" w:themeFill="accent5" w:themeFillTint="66"/>
            <w:vAlign w:val="center"/>
          </w:tcPr>
          <w:p w14:paraId="411A1FA4" w14:textId="77777777" w:rsidR="00AA0841" w:rsidRPr="006F4B5B" w:rsidRDefault="00AA0841" w:rsidP="00AA0841">
            <w:pPr>
              <w:spacing w:before="60" w:after="60"/>
              <w:jc w:val="center"/>
              <w:rPr>
                <w:b/>
                <w:bCs/>
                <w:sz w:val="18"/>
                <w:szCs w:val="18"/>
              </w:rPr>
            </w:pPr>
            <w:r w:rsidRPr="00273793">
              <w:rPr>
                <w:rFonts w:cstheme="minorHAnsi"/>
                <w:b/>
                <w:bCs/>
                <w:sz w:val="18"/>
                <w:szCs w:val="18"/>
              </w:rPr>
              <w:t>Physical and process assets</w:t>
            </w:r>
          </w:p>
        </w:tc>
        <w:tc>
          <w:tcPr>
            <w:tcW w:w="1300" w:type="pct"/>
            <w:gridSpan w:val="2"/>
            <w:tcBorders>
              <w:top w:val="single" w:sz="12" w:space="0" w:color="auto"/>
            </w:tcBorders>
            <w:shd w:val="clear" w:color="auto" w:fill="B6DDE8" w:themeFill="accent5" w:themeFillTint="66"/>
            <w:vAlign w:val="center"/>
            <w:hideMark/>
          </w:tcPr>
          <w:p w14:paraId="223CA4A8" w14:textId="77777777" w:rsidR="00AA0841" w:rsidRPr="00C74B03" w:rsidRDefault="00AA0841" w:rsidP="00AA0841">
            <w:pPr>
              <w:spacing w:before="60" w:after="60"/>
              <w:jc w:val="center"/>
              <w:rPr>
                <w:b/>
                <w:bCs/>
                <w:sz w:val="18"/>
                <w:szCs w:val="18"/>
                <w:vertAlign w:val="superscript"/>
              </w:rPr>
            </w:pPr>
            <w:r w:rsidRPr="006F4B5B">
              <w:rPr>
                <w:b/>
                <w:bCs/>
                <w:sz w:val="18"/>
                <w:szCs w:val="18"/>
              </w:rPr>
              <w:t xml:space="preserve">Indicative demand (for </w:t>
            </w:r>
            <w:r w:rsidRPr="006F4B5B">
              <w:rPr>
                <w:b/>
                <w:bCs/>
                <w:sz w:val="18"/>
                <w:szCs w:val="18"/>
                <w:u w:val="single"/>
              </w:rPr>
              <w:t>all sources of water</w:t>
            </w:r>
            <w:r w:rsidRPr="006F4B5B">
              <w:rPr>
                <w:b/>
                <w:bCs/>
                <w:sz w:val="18"/>
                <w:szCs w:val="18"/>
              </w:rPr>
              <w:t xml:space="preserve"> in the system</w:t>
            </w:r>
            <w:r>
              <w:rPr>
                <w:b/>
                <w:bCs/>
                <w:sz w:val="18"/>
                <w:szCs w:val="18"/>
              </w:rPr>
              <w:t>)</w:t>
            </w:r>
          </w:p>
        </w:tc>
        <w:tc>
          <w:tcPr>
            <w:tcW w:w="1234" w:type="pct"/>
            <w:tcBorders>
              <w:top w:val="single" w:sz="12" w:space="0" w:color="auto"/>
            </w:tcBorders>
            <w:shd w:val="clear" w:color="auto" w:fill="B6DDE8" w:themeFill="accent5" w:themeFillTint="66"/>
            <w:vAlign w:val="center"/>
            <w:hideMark/>
          </w:tcPr>
          <w:p w14:paraId="0B857EDA" w14:textId="77777777" w:rsidR="00AA0841" w:rsidRPr="00C615DC" w:rsidRDefault="00AA0841" w:rsidP="00AA0841">
            <w:pPr>
              <w:spacing w:before="60" w:after="60"/>
              <w:jc w:val="center"/>
              <w:rPr>
                <w:b/>
                <w:bCs/>
                <w:sz w:val="18"/>
                <w:szCs w:val="18"/>
              </w:rPr>
            </w:pPr>
            <w:r w:rsidRPr="00C615DC">
              <w:rPr>
                <w:b/>
                <w:bCs/>
                <w:sz w:val="18"/>
                <w:szCs w:val="18"/>
              </w:rPr>
              <w:t>Watering history</w:t>
            </w:r>
          </w:p>
        </w:tc>
        <w:tc>
          <w:tcPr>
            <w:tcW w:w="1136" w:type="pct"/>
            <w:gridSpan w:val="2"/>
            <w:tcBorders>
              <w:top w:val="single" w:sz="12" w:space="0" w:color="auto"/>
            </w:tcBorders>
            <w:shd w:val="clear" w:color="auto" w:fill="B6DDE8" w:themeFill="accent5" w:themeFillTint="66"/>
            <w:vAlign w:val="center"/>
            <w:hideMark/>
          </w:tcPr>
          <w:p w14:paraId="1B601F0E" w14:textId="77777777" w:rsidR="00AA0841" w:rsidRPr="007D0A8A" w:rsidRDefault="00AA0841" w:rsidP="00AA0841">
            <w:pPr>
              <w:spacing w:before="60" w:after="60"/>
              <w:jc w:val="center"/>
              <w:rPr>
                <w:b/>
                <w:bCs/>
                <w:color w:val="auto"/>
                <w:sz w:val="18"/>
                <w:szCs w:val="18"/>
              </w:rPr>
            </w:pPr>
            <w:r w:rsidRPr="007D0A8A">
              <w:rPr>
                <w:b/>
                <w:bCs/>
                <w:color w:val="auto"/>
                <w:sz w:val="18"/>
                <w:szCs w:val="18"/>
              </w:rPr>
              <w:t>2020–21</w:t>
            </w:r>
          </w:p>
        </w:tc>
        <w:tc>
          <w:tcPr>
            <w:tcW w:w="487" w:type="pct"/>
            <w:tcBorders>
              <w:top w:val="single" w:sz="12" w:space="0" w:color="auto"/>
              <w:right w:val="single" w:sz="12" w:space="0" w:color="auto"/>
            </w:tcBorders>
            <w:shd w:val="clear" w:color="auto" w:fill="B6DDE8" w:themeFill="accent5" w:themeFillTint="66"/>
            <w:vAlign w:val="center"/>
            <w:hideMark/>
          </w:tcPr>
          <w:p w14:paraId="519415DB" w14:textId="77777777" w:rsidR="00AA0841" w:rsidRPr="007D0A8A" w:rsidRDefault="00AA0841" w:rsidP="00AA0841">
            <w:pPr>
              <w:spacing w:before="60" w:after="60"/>
              <w:jc w:val="center"/>
              <w:rPr>
                <w:b/>
                <w:bCs/>
                <w:color w:val="auto"/>
                <w:sz w:val="18"/>
                <w:szCs w:val="18"/>
              </w:rPr>
            </w:pPr>
            <w:r w:rsidRPr="007D0A8A">
              <w:rPr>
                <w:b/>
                <w:bCs/>
                <w:color w:val="auto"/>
                <w:sz w:val="18"/>
                <w:szCs w:val="18"/>
              </w:rPr>
              <w:t>Implications for future demands</w:t>
            </w:r>
          </w:p>
        </w:tc>
      </w:tr>
      <w:tr w:rsidR="00AA0841" w:rsidRPr="007D0A8A" w14:paraId="677C916A" w14:textId="77777777" w:rsidTr="00AA0841">
        <w:trPr>
          <w:trHeight w:val="545"/>
          <w:tblHeader/>
        </w:trPr>
        <w:tc>
          <w:tcPr>
            <w:tcW w:w="454" w:type="pct"/>
            <w:vMerge/>
            <w:tcBorders>
              <w:left w:val="single" w:sz="12" w:space="0" w:color="auto"/>
              <w:bottom w:val="single" w:sz="12" w:space="0" w:color="auto"/>
            </w:tcBorders>
            <w:shd w:val="clear" w:color="auto" w:fill="B6DDE8" w:themeFill="accent5" w:themeFillTint="66"/>
            <w:vAlign w:val="center"/>
            <w:hideMark/>
          </w:tcPr>
          <w:p w14:paraId="4E1CD3C0" w14:textId="77777777" w:rsidR="00AA0841" w:rsidRPr="006F4B5B" w:rsidRDefault="00AA0841" w:rsidP="00AA0841">
            <w:pPr>
              <w:spacing w:before="60" w:after="60"/>
              <w:jc w:val="center"/>
              <w:rPr>
                <w:b/>
                <w:bCs/>
                <w:sz w:val="18"/>
                <w:szCs w:val="18"/>
              </w:rPr>
            </w:pPr>
          </w:p>
        </w:tc>
        <w:tc>
          <w:tcPr>
            <w:tcW w:w="389" w:type="pct"/>
            <w:vMerge/>
            <w:tcBorders>
              <w:bottom w:val="single" w:sz="12" w:space="0" w:color="auto"/>
            </w:tcBorders>
            <w:shd w:val="clear" w:color="auto" w:fill="B6DDE8" w:themeFill="accent5" w:themeFillTint="66"/>
            <w:vAlign w:val="center"/>
          </w:tcPr>
          <w:p w14:paraId="42F45A72" w14:textId="77777777" w:rsidR="00AA0841" w:rsidRPr="006F4B5B" w:rsidRDefault="00AA0841" w:rsidP="00AA0841">
            <w:pPr>
              <w:spacing w:before="60" w:after="60"/>
              <w:jc w:val="center"/>
              <w:rPr>
                <w:b/>
                <w:bCs/>
                <w:sz w:val="18"/>
                <w:szCs w:val="18"/>
              </w:rPr>
            </w:pPr>
          </w:p>
        </w:tc>
        <w:tc>
          <w:tcPr>
            <w:tcW w:w="845" w:type="pct"/>
            <w:tcBorders>
              <w:bottom w:val="single" w:sz="12" w:space="0" w:color="auto"/>
            </w:tcBorders>
            <w:shd w:val="clear" w:color="auto" w:fill="B6DDE8" w:themeFill="accent5" w:themeFillTint="66"/>
            <w:vAlign w:val="center"/>
            <w:hideMark/>
          </w:tcPr>
          <w:p w14:paraId="333E9E42" w14:textId="77777777" w:rsidR="00AA0841" w:rsidRPr="006F4B5B" w:rsidRDefault="00AA0841" w:rsidP="00AA0841">
            <w:pPr>
              <w:spacing w:before="60" w:after="60"/>
              <w:jc w:val="center"/>
              <w:rPr>
                <w:b/>
                <w:bCs/>
                <w:sz w:val="18"/>
                <w:szCs w:val="18"/>
              </w:rPr>
            </w:pPr>
            <w:r w:rsidRPr="00273793">
              <w:rPr>
                <w:rFonts w:cstheme="minorHAnsi"/>
                <w:b/>
                <w:bCs/>
                <w:sz w:val="18"/>
                <w:szCs w:val="18"/>
              </w:rPr>
              <w:t>Flow/volume</w:t>
            </w:r>
          </w:p>
        </w:tc>
        <w:tc>
          <w:tcPr>
            <w:tcW w:w="455" w:type="pct"/>
            <w:tcBorders>
              <w:bottom w:val="single" w:sz="12" w:space="0" w:color="auto"/>
            </w:tcBorders>
            <w:shd w:val="clear" w:color="auto" w:fill="B6DDE8" w:themeFill="accent5" w:themeFillTint="66"/>
            <w:vAlign w:val="center"/>
            <w:hideMark/>
          </w:tcPr>
          <w:p w14:paraId="044A1176" w14:textId="77777777" w:rsidR="00AA0841" w:rsidRPr="006F4B5B" w:rsidRDefault="00AA0841" w:rsidP="00AA0841">
            <w:pPr>
              <w:spacing w:before="60" w:after="60"/>
              <w:jc w:val="center"/>
              <w:rPr>
                <w:b/>
                <w:bCs/>
                <w:sz w:val="18"/>
                <w:szCs w:val="18"/>
              </w:rPr>
            </w:pPr>
            <w:r>
              <w:rPr>
                <w:b/>
                <w:bCs/>
                <w:sz w:val="18"/>
                <w:szCs w:val="18"/>
              </w:rPr>
              <w:t>R</w:t>
            </w:r>
            <w:r w:rsidRPr="006F4B5B">
              <w:rPr>
                <w:b/>
                <w:bCs/>
                <w:sz w:val="18"/>
                <w:szCs w:val="18"/>
              </w:rPr>
              <w:t>equired frequency</w:t>
            </w:r>
            <w:r>
              <w:rPr>
                <w:b/>
                <w:bCs/>
                <w:sz w:val="18"/>
                <w:szCs w:val="18"/>
              </w:rPr>
              <w:t xml:space="preserve"> </w:t>
            </w:r>
            <w:r w:rsidRPr="00273793">
              <w:rPr>
                <w:rFonts w:cstheme="minorHAnsi"/>
                <w:b/>
                <w:bCs/>
                <w:sz w:val="18"/>
                <w:szCs w:val="18"/>
              </w:rPr>
              <w:t>(maximum interval)</w:t>
            </w:r>
          </w:p>
        </w:tc>
        <w:tc>
          <w:tcPr>
            <w:tcW w:w="1234" w:type="pct"/>
            <w:tcBorders>
              <w:bottom w:val="single" w:sz="12" w:space="0" w:color="auto"/>
            </w:tcBorders>
            <w:shd w:val="clear" w:color="auto" w:fill="B6DDE8" w:themeFill="accent5" w:themeFillTint="66"/>
            <w:vAlign w:val="center"/>
            <w:hideMark/>
          </w:tcPr>
          <w:p w14:paraId="288C9A49" w14:textId="77777777" w:rsidR="00AA0841" w:rsidRPr="00C615DC" w:rsidRDefault="00AA0841" w:rsidP="00AA0841">
            <w:pPr>
              <w:spacing w:before="60" w:after="60"/>
              <w:jc w:val="center"/>
              <w:rPr>
                <w:b/>
                <w:bCs/>
                <w:sz w:val="18"/>
                <w:szCs w:val="18"/>
              </w:rPr>
            </w:pPr>
            <w:r w:rsidRPr="00C615DC">
              <w:rPr>
                <w:b/>
                <w:bCs/>
                <w:sz w:val="18"/>
                <w:szCs w:val="18"/>
              </w:rPr>
              <w:t>(from all sources of water)</w:t>
            </w:r>
          </w:p>
        </w:tc>
        <w:tc>
          <w:tcPr>
            <w:tcW w:w="470" w:type="pct"/>
            <w:tcBorders>
              <w:bottom w:val="single" w:sz="12" w:space="0" w:color="auto"/>
            </w:tcBorders>
            <w:shd w:val="clear" w:color="auto" w:fill="B6DDE8" w:themeFill="accent5" w:themeFillTint="66"/>
            <w:vAlign w:val="center"/>
            <w:hideMark/>
          </w:tcPr>
          <w:p w14:paraId="3507A1C3" w14:textId="77777777" w:rsidR="00AA0841" w:rsidRPr="007D0A8A" w:rsidRDefault="00AA0841" w:rsidP="00AA0841">
            <w:pPr>
              <w:spacing w:before="60" w:after="60"/>
              <w:jc w:val="center"/>
              <w:rPr>
                <w:b/>
                <w:bCs/>
                <w:color w:val="auto"/>
                <w:sz w:val="18"/>
                <w:szCs w:val="18"/>
              </w:rPr>
            </w:pPr>
            <w:r w:rsidRPr="007D0A8A">
              <w:rPr>
                <w:b/>
                <w:bCs/>
                <w:color w:val="auto"/>
                <w:sz w:val="18"/>
                <w:szCs w:val="18"/>
              </w:rPr>
              <w:t>Environmental demands for water</w:t>
            </w:r>
          </w:p>
        </w:tc>
        <w:tc>
          <w:tcPr>
            <w:tcW w:w="666" w:type="pct"/>
            <w:tcBorders>
              <w:bottom w:val="single" w:sz="12" w:space="0" w:color="auto"/>
            </w:tcBorders>
            <w:shd w:val="clear" w:color="auto" w:fill="B6DDE8" w:themeFill="accent5" w:themeFillTint="66"/>
            <w:vAlign w:val="center"/>
            <w:hideMark/>
          </w:tcPr>
          <w:p w14:paraId="00D57502" w14:textId="77777777" w:rsidR="00AA0841" w:rsidRPr="007D0A8A" w:rsidRDefault="00AA0841" w:rsidP="00AA0841">
            <w:pPr>
              <w:spacing w:before="60" w:after="60"/>
              <w:jc w:val="center"/>
              <w:rPr>
                <w:b/>
                <w:bCs/>
                <w:color w:val="auto"/>
                <w:sz w:val="18"/>
                <w:szCs w:val="18"/>
              </w:rPr>
            </w:pPr>
            <w:r w:rsidRPr="007D0A8A">
              <w:rPr>
                <w:b/>
                <w:bCs/>
                <w:color w:val="auto"/>
                <w:sz w:val="18"/>
                <w:szCs w:val="18"/>
              </w:rPr>
              <w:t>Potential Commonwealth environmental water contribution?</w:t>
            </w:r>
          </w:p>
        </w:tc>
        <w:tc>
          <w:tcPr>
            <w:tcW w:w="487" w:type="pct"/>
            <w:tcBorders>
              <w:bottom w:val="single" w:sz="12" w:space="0" w:color="auto"/>
              <w:right w:val="single" w:sz="12" w:space="0" w:color="auto"/>
            </w:tcBorders>
            <w:shd w:val="clear" w:color="auto" w:fill="B6DDE8" w:themeFill="accent5" w:themeFillTint="66"/>
            <w:vAlign w:val="center"/>
            <w:hideMark/>
          </w:tcPr>
          <w:p w14:paraId="17F685ED" w14:textId="77777777" w:rsidR="00AA0841" w:rsidRPr="007D0A8A" w:rsidRDefault="00AA0841" w:rsidP="00AA0841">
            <w:pPr>
              <w:spacing w:before="60" w:after="60"/>
              <w:jc w:val="center"/>
              <w:rPr>
                <w:b/>
                <w:bCs/>
                <w:color w:val="auto"/>
                <w:sz w:val="18"/>
                <w:szCs w:val="18"/>
              </w:rPr>
            </w:pPr>
            <w:r w:rsidRPr="007D0A8A">
              <w:rPr>
                <w:b/>
                <w:bCs/>
                <w:color w:val="auto"/>
                <w:sz w:val="18"/>
                <w:szCs w:val="18"/>
              </w:rPr>
              <w:t>Likely urgency of demand in 2021–22 if watering occurred as planned in 2020–21</w:t>
            </w:r>
          </w:p>
        </w:tc>
      </w:tr>
      <w:tr w:rsidR="00AA0841" w:rsidRPr="007D0A8A" w14:paraId="1F98ADEA" w14:textId="77777777" w:rsidTr="00AA0841">
        <w:trPr>
          <w:trHeight w:val="1718"/>
        </w:trPr>
        <w:tc>
          <w:tcPr>
            <w:tcW w:w="454" w:type="pct"/>
            <w:vMerge w:val="restart"/>
            <w:tcBorders>
              <w:top w:val="single" w:sz="12" w:space="0" w:color="auto"/>
              <w:left w:val="single" w:sz="12" w:space="0" w:color="auto"/>
              <w:bottom w:val="single" w:sz="4" w:space="0" w:color="auto"/>
            </w:tcBorders>
            <w:shd w:val="clear" w:color="auto" w:fill="auto"/>
          </w:tcPr>
          <w:p w14:paraId="30E37D51" w14:textId="77777777" w:rsidR="00AA0841" w:rsidRDefault="00AA0841" w:rsidP="00AA0841">
            <w:pPr>
              <w:spacing w:after="0"/>
              <w:contextualSpacing/>
              <w:rPr>
                <w:rFonts w:cstheme="minorHAnsi"/>
                <w:b/>
                <w:bCs/>
                <w:color w:val="000000" w:themeColor="text1"/>
                <w:sz w:val="18"/>
                <w:szCs w:val="18"/>
              </w:rPr>
            </w:pPr>
            <w:r>
              <w:rPr>
                <w:rFonts w:cstheme="minorHAnsi"/>
                <w:b/>
                <w:bCs/>
                <w:color w:val="000000" w:themeColor="text1"/>
                <w:sz w:val="18"/>
                <w:szCs w:val="18"/>
              </w:rPr>
              <w:t>Moonie (at Gundablouie)</w:t>
            </w:r>
          </w:p>
          <w:p w14:paraId="224B5A81" w14:textId="77777777" w:rsidR="00AA0841" w:rsidRPr="00FA55B6" w:rsidRDefault="00AA0841" w:rsidP="00AA0841">
            <w:pPr>
              <w:spacing w:after="0"/>
              <w:contextualSpacing/>
              <w:rPr>
                <w:rFonts w:cstheme="minorHAnsi"/>
                <w:b/>
                <w:bCs/>
                <w:color w:val="000000" w:themeColor="text1"/>
                <w:sz w:val="18"/>
                <w:szCs w:val="18"/>
              </w:rPr>
            </w:pPr>
          </w:p>
        </w:tc>
        <w:tc>
          <w:tcPr>
            <w:tcW w:w="389" w:type="pct"/>
            <w:vMerge w:val="restart"/>
            <w:tcBorders>
              <w:top w:val="single" w:sz="12" w:space="0" w:color="auto"/>
              <w:bottom w:val="single" w:sz="4" w:space="0" w:color="auto"/>
            </w:tcBorders>
            <w:vAlign w:val="center"/>
          </w:tcPr>
          <w:p w14:paraId="3FDBC4AE" w14:textId="77777777" w:rsidR="00AA0841" w:rsidRPr="005F608F" w:rsidRDefault="00AA0841" w:rsidP="00AA0841">
            <w:pPr>
              <w:rPr>
                <w:rFonts w:cstheme="minorHAnsi"/>
                <w:bCs/>
                <w:color w:val="000000" w:themeColor="text1"/>
                <w:sz w:val="18"/>
                <w:szCs w:val="18"/>
              </w:rPr>
            </w:pPr>
            <w:r w:rsidRPr="005F608F">
              <w:rPr>
                <w:rFonts w:cstheme="minorHAnsi"/>
                <w:bCs/>
                <w:color w:val="000000" w:themeColor="text1"/>
                <w:sz w:val="18"/>
                <w:szCs w:val="18"/>
              </w:rPr>
              <w:t>Native fish dispersal and condition</w:t>
            </w:r>
          </w:p>
          <w:p w14:paraId="6D151B6E" w14:textId="77777777" w:rsidR="00AA0841" w:rsidRDefault="00AA0841" w:rsidP="00AA0841">
            <w:pPr>
              <w:rPr>
                <w:rFonts w:cstheme="minorHAnsi"/>
                <w:bCs/>
                <w:color w:val="000000" w:themeColor="text1"/>
                <w:sz w:val="18"/>
                <w:szCs w:val="18"/>
              </w:rPr>
            </w:pPr>
            <w:r w:rsidRPr="005F608F">
              <w:rPr>
                <w:rFonts w:cstheme="minorHAnsi"/>
                <w:bCs/>
                <w:color w:val="000000" w:themeColor="text1"/>
                <w:sz w:val="18"/>
                <w:szCs w:val="18"/>
              </w:rPr>
              <w:t>Native fish spawning</w:t>
            </w:r>
            <w:r>
              <w:rPr>
                <w:rFonts w:cstheme="minorHAnsi"/>
                <w:bCs/>
                <w:color w:val="000000" w:themeColor="text1"/>
                <w:sz w:val="18"/>
                <w:szCs w:val="18"/>
              </w:rPr>
              <w:t xml:space="preserve"> and recruitment</w:t>
            </w:r>
          </w:p>
          <w:p w14:paraId="5DCA2B18" w14:textId="77777777" w:rsidR="00AA0841" w:rsidRDefault="00AA0841" w:rsidP="00AA0841">
            <w:pPr>
              <w:rPr>
                <w:rFonts w:cstheme="minorHAnsi"/>
                <w:bCs/>
                <w:color w:val="000000" w:themeColor="text1"/>
                <w:sz w:val="18"/>
                <w:szCs w:val="18"/>
              </w:rPr>
            </w:pPr>
            <w:r w:rsidRPr="00B702AE">
              <w:rPr>
                <w:rFonts w:cstheme="minorHAnsi"/>
                <w:bCs/>
                <w:color w:val="000000" w:themeColor="text1"/>
                <w:sz w:val="18"/>
                <w:szCs w:val="18"/>
              </w:rPr>
              <w:t>Native vegetation</w:t>
            </w:r>
          </w:p>
          <w:p w14:paraId="2FE4135B" w14:textId="77777777" w:rsidR="00AA0841" w:rsidRDefault="00AA0841" w:rsidP="00AA0841">
            <w:r w:rsidRPr="005F608F">
              <w:rPr>
                <w:rFonts w:cstheme="minorHAnsi"/>
                <w:bCs/>
                <w:color w:val="000000" w:themeColor="text1"/>
                <w:sz w:val="18"/>
                <w:szCs w:val="18"/>
              </w:rPr>
              <w:t>Aquatic ecosystem</w:t>
            </w:r>
            <w:r>
              <w:rPr>
                <w:rFonts w:cstheme="minorHAnsi"/>
                <w:bCs/>
                <w:color w:val="000000" w:themeColor="text1"/>
                <w:sz w:val="18"/>
                <w:szCs w:val="18"/>
              </w:rPr>
              <w:t xml:space="preserve"> function</w:t>
            </w:r>
          </w:p>
          <w:p w14:paraId="5BC76984" w14:textId="77777777" w:rsidR="00AA0841" w:rsidRPr="005F608F" w:rsidRDefault="00AA0841" w:rsidP="00AA0841">
            <w:pPr>
              <w:rPr>
                <w:rFonts w:cstheme="minorHAnsi"/>
                <w:bCs/>
                <w:color w:val="000000" w:themeColor="text1"/>
                <w:sz w:val="18"/>
                <w:szCs w:val="18"/>
              </w:rPr>
            </w:pPr>
          </w:p>
        </w:tc>
        <w:tc>
          <w:tcPr>
            <w:tcW w:w="845" w:type="pct"/>
            <w:tcBorders>
              <w:top w:val="single" w:sz="12" w:space="0" w:color="auto"/>
              <w:bottom w:val="single" w:sz="4" w:space="0" w:color="auto"/>
            </w:tcBorders>
            <w:shd w:val="clear" w:color="auto" w:fill="auto"/>
            <w:vAlign w:val="center"/>
          </w:tcPr>
          <w:p w14:paraId="0C27D688" w14:textId="77777777" w:rsidR="00AA0841" w:rsidRDefault="00AA0841" w:rsidP="00AA0841">
            <w:pPr>
              <w:jc w:val="center"/>
              <w:rPr>
                <w:rFonts w:cstheme="minorHAnsi"/>
                <w:bCs/>
                <w:color w:val="000000" w:themeColor="text1"/>
                <w:sz w:val="18"/>
                <w:szCs w:val="18"/>
              </w:rPr>
            </w:pPr>
            <w:r>
              <w:rPr>
                <w:rFonts w:cstheme="minorHAnsi"/>
                <w:bCs/>
                <w:color w:val="000000" w:themeColor="text1"/>
                <w:sz w:val="18"/>
                <w:szCs w:val="18"/>
              </w:rPr>
              <w:t>Very low flow (VLF) (&gt;30 ML/day) Timing in line with natural (anytime).</w:t>
            </w:r>
          </w:p>
          <w:p w14:paraId="6F5DD042" w14:textId="77777777" w:rsidR="00AA0841" w:rsidRPr="00116EE6" w:rsidRDefault="00AA0841" w:rsidP="00AA0841">
            <w:pPr>
              <w:jc w:val="center"/>
              <w:rPr>
                <w:rFonts w:cstheme="minorHAnsi"/>
                <w:bCs/>
                <w:color w:val="000000" w:themeColor="text1"/>
                <w:sz w:val="18"/>
                <w:szCs w:val="18"/>
              </w:rPr>
            </w:pPr>
            <w:r w:rsidRPr="000E67B7">
              <w:rPr>
                <w:rFonts w:cstheme="minorHAnsi"/>
                <w:bCs/>
                <w:color w:val="000000" w:themeColor="text1"/>
                <w:sz w:val="18"/>
                <w:szCs w:val="18"/>
              </w:rPr>
              <w:t>Minimum duration:</w:t>
            </w:r>
            <w:r>
              <w:rPr>
                <w:rFonts w:cstheme="minorHAnsi"/>
                <w:bCs/>
                <w:color w:val="000000" w:themeColor="text1"/>
                <w:sz w:val="18"/>
                <w:szCs w:val="18"/>
              </w:rPr>
              <w:t xml:space="preserve"> typically 60 days/year exceed VLF threshold but not less than 9 days/yr.</w:t>
            </w:r>
          </w:p>
        </w:tc>
        <w:tc>
          <w:tcPr>
            <w:tcW w:w="455" w:type="pct"/>
            <w:tcBorders>
              <w:top w:val="single" w:sz="12" w:space="0" w:color="auto"/>
              <w:bottom w:val="single" w:sz="4" w:space="0" w:color="auto"/>
            </w:tcBorders>
            <w:shd w:val="clear" w:color="auto" w:fill="auto"/>
            <w:vAlign w:val="center"/>
          </w:tcPr>
          <w:p w14:paraId="7D0B5E4C" w14:textId="77777777" w:rsidR="00AA0841" w:rsidRDefault="00AA0841" w:rsidP="00AA0841">
            <w:pPr>
              <w:jc w:val="center"/>
              <w:rPr>
                <w:rFonts w:cstheme="minorHAnsi"/>
                <w:color w:val="000000" w:themeColor="text1"/>
                <w:sz w:val="18"/>
                <w:szCs w:val="18"/>
              </w:rPr>
            </w:pPr>
            <w:r>
              <w:rPr>
                <w:rFonts w:cstheme="minorHAnsi"/>
                <w:color w:val="000000" w:themeColor="text1"/>
                <w:sz w:val="18"/>
                <w:szCs w:val="18"/>
              </w:rPr>
              <w:t>At least 96% of years.</w:t>
            </w:r>
          </w:p>
          <w:p w14:paraId="382D8039" w14:textId="77777777" w:rsidR="00AA0841" w:rsidRPr="005F608F" w:rsidRDefault="00AA0841" w:rsidP="00AA0841">
            <w:pPr>
              <w:jc w:val="center"/>
              <w:rPr>
                <w:rFonts w:cstheme="minorHAnsi"/>
                <w:color w:val="000000" w:themeColor="text1"/>
                <w:sz w:val="18"/>
                <w:szCs w:val="18"/>
              </w:rPr>
            </w:pPr>
            <w:r>
              <w:rPr>
                <w:rFonts w:cstheme="minorHAnsi"/>
                <w:color w:val="000000" w:themeColor="text1"/>
                <w:sz w:val="18"/>
                <w:szCs w:val="18"/>
              </w:rPr>
              <w:t>(Max. interval 70 days (but not more than 283 days))</w:t>
            </w:r>
          </w:p>
        </w:tc>
        <w:tc>
          <w:tcPr>
            <w:tcW w:w="1234" w:type="pct"/>
            <w:tcBorders>
              <w:top w:val="single" w:sz="12" w:space="0" w:color="auto"/>
              <w:bottom w:val="single" w:sz="4" w:space="0" w:color="auto"/>
            </w:tcBorders>
            <w:shd w:val="clear" w:color="auto" w:fill="auto"/>
            <w:vAlign w:val="center"/>
          </w:tcPr>
          <w:p w14:paraId="449CD2DD" w14:textId="77777777" w:rsidR="00AA0841" w:rsidRPr="00365FE2" w:rsidRDefault="00AA0841" w:rsidP="00AA0841">
            <w:pPr>
              <w:spacing w:after="60"/>
              <w:jc w:val="center"/>
              <w:rPr>
                <w:rFonts w:hAnsi="Century Gothic"/>
                <w:bCs/>
                <w:sz w:val="18"/>
                <w:szCs w:val="18"/>
              </w:rPr>
            </w:pPr>
            <w:r>
              <w:rPr>
                <w:rFonts w:hAnsi="Century Gothic"/>
                <w:bCs/>
                <w:sz w:val="18"/>
                <w:szCs w:val="18"/>
              </w:rPr>
              <w:t>Met in all years since 2010</w:t>
            </w:r>
            <w:r>
              <w:rPr>
                <w:rFonts w:hAnsi="Century Gothic"/>
                <w:bCs/>
                <w:sz w:val="18"/>
                <w:szCs w:val="18"/>
              </w:rPr>
              <w:t>–</w:t>
            </w:r>
            <w:r>
              <w:rPr>
                <w:rFonts w:hAnsi="Century Gothic"/>
                <w:bCs/>
                <w:sz w:val="18"/>
                <w:szCs w:val="18"/>
              </w:rPr>
              <w:t>11 excluding in 2018</w:t>
            </w:r>
            <w:r>
              <w:rPr>
                <w:rFonts w:hAnsi="Century Gothic"/>
                <w:bCs/>
                <w:sz w:val="18"/>
                <w:szCs w:val="18"/>
              </w:rPr>
              <w:t>–</w:t>
            </w:r>
            <w:r>
              <w:rPr>
                <w:rFonts w:hAnsi="Century Gothic"/>
                <w:bCs/>
                <w:sz w:val="18"/>
                <w:szCs w:val="18"/>
              </w:rPr>
              <w:t>19. Required annually therefore a high demand for water in 2020</w:t>
            </w:r>
            <w:r>
              <w:rPr>
                <w:rFonts w:hAnsi="Century Gothic"/>
                <w:bCs/>
                <w:sz w:val="18"/>
                <w:szCs w:val="18"/>
              </w:rPr>
              <w:t>–</w:t>
            </w:r>
            <w:r>
              <w:rPr>
                <w:rFonts w:hAnsi="Century Gothic"/>
                <w:bCs/>
                <w:sz w:val="18"/>
                <w:szCs w:val="18"/>
              </w:rPr>
              <w:t>21.</w:t>
            </w:r>
          </w:p>
        </w:tc>
        <w:tc>
          <w:tcPr>
            <w:tcW w:w="470" w:type="pct"/>
            <w:tcBorders>
              <w:top w:val="single" w:sz="12" w:space="0" w:color="auto"/>
              <w:bottom w:val="single" w:sz="4" w:space="0" w:color="auto"/>
            </w:tcBorders>
            <w:shd w:val="clear" w:color="auto" w:fill="FF0000"/>
            <w:vAlign w:val="center"/>
          </w:tcPr>
          <w:p w14:paraId="4F523F0D" w14:textId="77777777" w:rsidR="00AA0841" w:rsidRPr="007D0A8A" w:rsidRDefault="00AA0841" w:rsidP="00AA0841">
            <w:pPr>
              <w:spacing w:before="60" w:after="60"/>
              <w:jc w:val="center"/>
              <w:rPr>
                <w:color w:val="auto"/>
                <w:sz w:val="18"/>
                <w:szCs w:val="18"/>
              </w:rPr>
            </w:pPr>
            <w:r w:rsidRPr="007D0A8A">
              <w:rPr>
                <w:color w:val="auto"/>
                <w:sz w:val="18"/>
                <w:szCs w:val="18"/>
              </w:rPr>
              <w:t>High</w:t>
            </w:r>
          </w:p>
        </w:tc>
        <w:tc>
          <w:tcPr>
            <w:tcW w:w="666" w:type="pct"/>
            <w:tcBorders>
              <w:top w:val="single" w:sz="12" w:space="0" w:color="auto"/>
              <w:bottom w:val="single" w:sz="4" w:space="0" w:color="auto"/>
            </w:tcBorders>
            <w:shd w:val="clear" w:color="auto" w:fill="95B3D7" w:themeFill="accent1" w:themeFillTint="99"/>
            <w:vAlign w:val="center"/>
          </w:tcPr>
          <w:p w14:paraId="2149BC9A" w14:textId="77777777" w:rsidR="00AA0841" w:rsidRPr="007D0A8A" w:rsidRDefault="00AA0841" w:rsidP="00AA0841">
            <w:pPr>
              <w:spacing w:before="60" w:after="60"/>
              <w:jc w:val="center"/>
              <w:rPr>
                <w:rFonts w:cstheme="minorHAnsi"/>
                <w:color w:val="auto"/>
                <w:sz w:val="18"/>
                <w:szCs w:val="18"/>
              </w:rPr>
            </w:pPr>
            <w:r w:rsidRPr="007D0A8A">
              <w:rPr>
                <w:rFonts w:cstheme="minorHAnsi"/>
                <w:color w:val="auto"/>
                <w:sz w:val="18"/>
                <w:szCs w:val="18"/>
              </w:rPr>
              <w:t>Possible use of CEW to contribute to an unregulated flow event.</w:t>
            </w:r>
          </w:p>
        </w:tc>
        <w:tc>
          <w:tcPr>
            <w:tcW w:w="487" w:type="pct"/>
            <w:tcBorders>
              <w:top w:val="single" w:sz="12" w:space="0" w:color="auto"/>
              <w:bottom w:val="single" w:sz="4" w:space="0" w:color="auto"/>
              <w:right w:val="single" w:sz="12" w:space="0" w:color="auto"/>
            </w:tcBorders>
            <w:shd w:val="clear" w:color="auto" w:fill="FF0000"/>
            <w:vAlign w:val="center"/>
          </w:tcPr>
          <w:p w14:paraId="24D5227C" w14:textId="77777777" w:rsidR="00AA0841" w:rsidRPr="007D0A8A" w:rsidRDefault="00AA0841" w:rsidP="00AA0841">
            <w:pPr>
              <w:spacing w:before="60" w:after="60"/>
              <w:jc w:val="center"/>
              <w:rPr>
                <w:color w:val="auto"/>
                <w:sz w:val="18"/>
                <w:szCs w:val="18"/>
              </w:rPr>
            </w:pPr>
            <w:r w:rsidRPr="007D0A8A">
              <w:rPr>
                <w:color w:val="auto"/>
                <w:sz w:val="18"/>
                <w:szCs w:val="18"/>
              </w:rPr>
              <w:t>High</w:t>
            </w:r>
          </w:p>
        </w:tc>
      </w:tr>
      <w:tr w:rsidR="00AA0841" w:rsidRPr="007D0A8A" w14:paraId="448FFEBB" w14:textId="77777777" w:rsidTr="00AA0841">
        <w:trPr>
          <w:trHeight w:val="1415"/>
        </w:trPr>
        <w:tc>
          <w:tcPr>
            <w:tcW w:w="454" w:type="pct"/>
            <w:vMerge/>
            <w:tcBorders>
              <w:left w:val="single" w:sz="12" w:space="0" w:color="auto"/>
            </w:tcBorders>
            <w:shd w:val="clear" w:color="auto" w:fill="auto"/>
          </w:tcPr>
          <w:p w14:paraId="3F54ACB2" w14:textId="77777777" w:rsidR="00AA0841" w:rsidRPr="00FA55B6" w:rsidRDefault="00AA0841" w:rsidP="00AA0841">
            <w:pPr>
              <w:spacing w:after="0"/>
              <w:contextualSpacing/>
              <w:rPr>
                <w:rFonts w:cstheme="minorHAnsi"/>
                <w:b/>
                <w:bCs/>
                <w:color w:val="000000" w:themeColor="text1"/>
                <w:sz w:val="18"/>
                <w:szCs w:val="18"/>
              </w:rPr>
            </w:pPr>
          </w:p>
        </w:tc>
        <w:tc>
          <w:tcPr>
            <w:tcW w:w="389" w:type="pct"/>
            <w:vMerge/>
            <w:vAlign w:val="center"/>
          </w:tcPr>
          <w:p w14:paraId="2E71F578" w14:textId="77777777" w:rsidR="00AA0841" w:rsidRPr="005F608F" w:rsidRDefault="00AA0841" w:rsidP="00AA0841">
            <w:pPr>
              <w:jc w:val="center"/>
              <w:rPr>
                <w:rFonts w:cstheme="minorHAnsi"/>
                <w:bCs/>
                <w:color w:val="000000" w:themeColor="text1"/>
                <w:sz w:val="18"/>
                <w:szCs w:val="18"/>
              </w:rPr>
            </w:pPr>
          </w:p>
        </w:tc>
        <w:tc>
          <w:tcPr>
            <w:tcW w:w="845" w:type="pct"/>
            <w:shd w:val="clear" w:color="auto" w:fill="auto"/>
            <w:vAlign w:val="center"/>
          </w:tcPr>
          <w:p w14:paraId="64E2B709" w14:textId="77777777" w:rsidR="00AA0841" w:rsidRDefault="00AA0841" w:rsidP="00AA0841">
            <w:pPr>
              <w:jc w:val="center"/>
              <w:rPr>
                <w:rFonts w:cstheme="minorHAnsi"/>
                <w:bCs/>
                <w:color w:val="000000" w:themeColor="text1"/>
                <w:sz w:val="18"/>
                <w:szCs w:val="18"/>
              </w:rPr>
            </w:pPr>
            <w:r>
              <w:rPr>
                <w:rFonts w:cstheme="minorHAnsi"/>
                <w:bCs/>
                <w:color w:val="000000" w:themeColor="text1"/>
                <w:sz w:val="18"/>
                <w:szCs w:val="18"/>
              </w:rPr>
              <w:t>Small fresh 1: &gt;314 ML/day any time (ideally Oct–April). Minimum duration 10 days</w:t>
            </w:r>
          </w:p>
        </w:tc>
        <w:tc>
          <w:tcPr>
            <w:tcW w:w="455" w:type="pct"/>
            <w:shd w:val="clear" w:color="auto" w:fill="auto"/>
            <w:vAlign w:val="center"/>
          </w:tcPr>
          <w:p w14:paraId="6894C82E" w14:textId="77777777" w:rsidR="00AA0841" w:rsidRDefault="00AA0841" w:rsidP="00AA0841">
            <w:pPr>
              <w:jc w:val="center"/>
              <w:rPr>
                <w:rFonts w:hAnsi="Century Gothic"/>
                <w:bCs/>
                <w:sz w:val="18"/>
                <w:szCs w:val="18"/>
              </w:rPr>
            </w:pPr>
            <w:r>
              <w:rPr>
                <w:rFonts w:hAnsi="Century Gothic"/>
                <w:bCs/>
                <w:sz w:val="18"/>
                <w:szCs w:val="18"/>
              </w:rPr>
              <w:t>3</w:t>
            </w:r>
            <w:r>
              <w:rPr>
                <w:rFonts w:hAnsi="Century Gothic"/>
                <w:bCs/>
                <w:sz w:val="18"/>
                <w:szCs w:val="18"/>
              </w:rPr>
              <w:t>–</w:t>
            </w:r>
            <w:r>
              <w:rPr>
                <w:rFonts w:hAnsi="Century Gothic"/>
                <w:bCs/>
                <w:sz w:val="18"/>
                <w:szCs w:val="18"/>
              </w:rPr>
              <w:t>8 years in 10 (55%).</w:t>
            </w:r>
          </w:p>
          <w:p w14:paraId="2ED08CD7" w14:textId="77777777" w:rsidR="00AA0841" w:rsidRDefault="00AA0841" w:rsidP="00AA0841">
            <w:pPr>
              <w:jc w:val="center"/>
              <w:rPr>
                <w:rFonts w:cstheme="minorHAnsi"/>
                <w:color w:val="000000" w:themeColor="text1"/>
                <w:sz w:val="18"/>
                <w:szCs w:val="18"/>
              </w:rPr>
            </w:pPr>
            <w:r>
              <w:rPr>
                <w:rFonts w:hAnsi="Century Gothic"/>
                <w:bCs/>
                <w:sz w:val="18"/>
                <w:szCs w:val="18"/>
              </w:rPr>
              <w:t>(Max. interval 4.5 years)</w:t>
            </w:r>
          </w:p>
        </w:tc>
        <w:tc>
          <w:tcPr>
            <w:tcW w:w="1234" w:type="pct"/>
            <w:shd w:val="clear" w:color="auto" w:fill="auto"/>
            <w:vAlign w:val="center"/>
          </w:tcPr>
          <w:p w14:paraId="11B7DED0" w14:textId="77777777" w:rsidR="00AA0841" w:rsidRPr="00365FE2" w:rsidRDefault="00AA0841" w:rsidP="00AA0841">
            <w:pPr>
              <w:spacing w:after="60"/>
              <w:jc w:val="center"/>
              <w:rPr>
                <w:rFonts w:hAnsi="Century Gothic"/>
                <w:bCs/>
                <w:sz w:val="18"/>
                <w:szCs w:val="18"/>
              </w:rPr>
            </w:pPr>
            <w:r>
              <w:rPr>
                <w:rFonts w:hAnsi="Century Gothic"/>
                <w:bCs/>
                <w:sz w:val="18"/>
                <w:szCs w:val="18"/>
              </w:rPr>
              <w:t>Met 2010</w:t>
            </w:r>
            <w:r>
              <w:rPr>
                <w:rFonts w:hAnsi="Century Gothic"/>
                <w:bCs/>
                <w:sz w:val="18"/>
                <w:szCs w:val="18"/>
              </w:rPr>
              <w:t>–</w:t>
            </w:r>
            <w:r>
              <w:rPr>
                <w:rFonts w:hAnsi="Century Gothic"/>
                <w:bCs/>
                <w:sz w:val="18"/>
                <w:szCs w:val="18"/>
              </w:rPr>
              <w:t>11, 2011</w:t>
            </w:r>
            <w:r>
              <w:rPr>
                <w:rFonts w:hAnsi="Century Gothic"/>
                <w:bCs/>
                <w:sz w:val="18"/>
                <w:szCs w:val="18"/>
              </w:rPr>
              <w:t>–</w:t>
            </w:r>
            <w:r>
              <w:rPr>
                <w:rFonts w:hAnsi="Century Gothic"/>
                <w:bCs/>
                <w:sz w:val="18"/>
                <w:szCs w:val="18"/>
              </w:rPr>
              <w:t>12, 2012</w:t>
            </w:r>
            <w:r>
              <w:rPr>
                <w:rFonts w:hAnsi="Century Gothic"/>
                <w:bCs/>
                <w:sz w:val="18"/>
                <w:szCs w:val="18"/>
              </w:rPr>
              <w:t>–</w:t>
            </w:r>
            <w:r>
              <w:rPr>
                <w:rFonts w:hAnsi="Century Gothic"/>
                <w:bCs/>
                <w:sz w:val="18"/>
                <w:szCs w:val="18"/>
              </w:rPr>
              <w:t>13, partially met 2014</w:t>
            </w:r>
            <w:r>
              <w:rPr>
                <w:rFonts w:hAnsi="Century Gothic"/>
                <w:bCs/>
                <w:sz w:val="18"/>
                <w:szCs w:val="18"/>
              </w:rPr>
              <w:t>–</w:t>
            </w:r>
            <w:r>
              <w:rPr>
                <w:rFonts w:hAnsi="Century Gothic"/>
                <w:bCs/>
                <w:sz w:val="18"/>
                <w:szCs w:val="18"/>
              </w:rPr>
              <w:t>15, not met 2015</w:t>
            </w:r>
            <w:r>
              <w:rPr>
                <w:rFonts w:hAnsi="Century Gothic"/>
                <w:bCs/>
                <w:sz w:val="18"/>
                <w:szCs w:val="18"/>
              </w:rPr>
              <w:t>–</w:t>
            </w:r>
            <w:r>
              <w:rPr>
                <w:rFonts w:hAnsi="Century Gothic"/>
                <w:bCs/>
                <w:sz w:val="18"/>
                <w:szCs w:val="18"/>
              </w:rPr>
              <w:t>16, met 2016</w:t>
            </w:r>
            <w:r>
              <w:rPr>
                <w:rFonts w:hAnsi="Century Gothic"/>
                <w:bCs/>
                <w:sz w:val="18"/>
                <w:szCs w:val="18"/>
              </w:rPr>
              <w:t>–</w:t>
            </w:r>
            <w:r>
              <w:rPr>
                <w:rFonts w:hAnsi="Century Gothic"/>
                <w:bCs/>
                <w:sz w:val="18"/>
                <w:szCs w:val="18"/>
              </w:rPr>
              <w:t>17, not met 2017</w:t>
            </w:r>
            <w:r>
              <w:rPr>
                <w:rFonts w:hAnsi="Century Gothic"/>
                <w:bCs/>
                <w:sz w:val="18"/>
                <w:szCs w:val="18"/>
              </w:rPr>
              <w:t>–</w:t>
            </w:r>
            <w:r>
              <w:rPr>
                <w:rFonts w:hAnsi="Century Gothic"/>
                <w:bCs/>
                <w:sz w:val="18"/>
                <w:szCs w:val="18"/>
              </w:rPr>
              <w:t>18, not met 2018</w:t>
            </w:r>
            <w:r>
              <w:rPr>
                <w:rFonts w:hAnsi="Century Gothic"/>
                <w:bCs/>
                <w:sz w:val="18"/>
                <w:szCs w:val="18"/>
              </w:rPr>
              <w:t>–</w:t>
            </w:r>
            <w:r>
              <w:rPr>
                <w:rFonts w:hAnsi="Century Gothic"/>
                <w:bCs/>
                <w:sz w:val="18"/>
                <w:szCs w:val="18"/>
              </w:rPr>
              <w:t>19, met 2019</w:t>
            </w:r>
            <w:r>
              <w:rPr>
                <w:rFonts w:hAnsi="Century Gothic"/>
                <w:bCs/>
                <w:sz w:val="18"/>
                <w:szCs w:val="18"/>
              </w:rPr>
              <w:t>–</w:t>
            </w:r>
            <w:r>
              <w:rPr>
                <w:rFonts w:hAnsi="Century Gothic"/>
                <w:bCs/>
                <w:sz w:val="18"/>
                <w:szCs w:val="18"/>
              </w:rPr>
              <w:t>20. Moderate environmental demand for water in 2020</w:t>
            </w:r>
            <w:r>
              <w:rPr>
                <w:rFonts w:hAnsi="Century Gothic"/>
                <w:bCs/>
                <w:sz w:val="18"/>
                <w:szCs w:val="18"/>
              </w:rPr>
              <w:t>–</w:t>
            </w:r>
            <w:r>
              <w:rPr>
                <w:rFonts w:hAnsi="Century Gothic"/>
                <w:bCs/>
                <w:sz w:val="18"/>
                <w:szCs w:val="18"/>
              </w:rPr>
              <w:t>21, moving to low if watering proceeds as planned.</w:t>
            </w:r>
          </w:p>
        </w:tc>
        <w:tc>
          <w:tcPr>
            <w:tcW w:w="470" w:type="pct"/>
            <w:shd w:val="clear" w:color="auto" w:fill="FFC000"/>
            <w:vAlign w:val="center"/>
          </w:tcPr>
          <w:p w14:paraId="55EB88B5" w14:textId="77777777" w:rsidR="00AA0841" w:rsidRPr="007D0A8A" w:rsidRDefault="00AA0841" w:rsidP="00AA0841">
            <w:pPr>
              <w:spacing w:before="60" w:after="60"/>
              <w:jc w:val="center"/>
              <w:rPr>
                <w:color w:val="auto"/>
                <w:sz w:val="18"/>
                <w:szCs w:val="18"/>
              </w:rPr>
            </w:pPr>
            <w:r w:rsidRPr="007D0A8A">
              <w:rPr>
                <w:color w:val="auto"/>
                <w:sz w:val="18"/>
                <w:szCs w:val="18"/>
              </w:rPr>
              <w:t>Moderate</w:t>
            </w:r>
          </w:p>
        </w:tc>
        <w:tc>
          <w:tcPr>
            <w:tcW w:w="666" w:type="pct"/>
            <w:vMerge w:val="restart"/>
            <w:shd w:val="clear" w:color="auto" w:fill="95B3D7" w:themeFill="accent1" w:themeFillTint="99"/>
            <w:vAlign w:val="center"/>
          </w:tcPr>
          <w:p w14:paraId="47E87BF8" w14:textId="77777777" w:rsidR="00AA0841" w:rsidRPr="007D0A8A" w:rsidRDefault="00AA0841" w:rsidP="00AA0841">
            <w:pPr>
              <w:spacing w:after="0"/>
              <w:jc w:val="center"/>
              <w:rPr>
                <w:rFonts w:cstheme="minorHAnsi"/>
                <w:b/>
                <w:bCs/>
                <w:color w:val="auto"/>
                <w:sz w:val="18"/>
                <w:szCs w:val="18"/>
              </w:rPr>
            </w:pPr>
            <w:r w:rsidRPr="007D0A8A">
              <w:rPr>
                <w:rFonts w:cstheme="minorHAnsi"/>
                <w:color w:val="auto"/>
                <w:sz w:val="18"/>
                <w:szCs w:val="18"/>
              </w:rPr>
              <w:t>Possible use of CEW to contribute to an unregulated flow event.</w:t>
            </w:r>
          </w:p>
        </w:tc>
        <w:tc>
          <w:tcPr>
            <w:tcW w:w="487" w:type="pct"/>
            <w:tcBorders>
              <w:right w:val="single" w:sz="12" w:space="0" w:color="auto"/>
            </w:tcBorders>
            <w:shd w:val="clear" w:color="auto" w:fill="92D050"/>
            <w:vAlign w:val="center"/>
          </w:tcPr>
          <w:p w14:paraId="3CE8A85E" w14:textId="77777777" w:rsidR="00AA0841" w:rsidRPr="007D0A8A" w:rsidRDefault="00AA0841" w:rsidP="00AA0841">
            <w:pPr>
              <w:spacing w:before="60" w:after="60"/>
              <w:jc w:val="center"/>
              <w:rPr>
                <w:color w:val="auto"/>
                <w:sz w:val="18"/>
                <w:szCs w:val="18"/>
              </w:rPr>
            </w:pPr>
            <w:r w:rsidRPr="007D0A8A">
              <w:rPr>
                <w:color w:val="auto"/>
                <w:sz w:val="18"/>
                <w:szCs w:val="18"/>
              </w:rPr>
              <w:t>Low</w:t>
            </w:r>
          </w:p>
        </w:tc>
      </w:tr>
      <w:tr w:rsidR="00AA0841" w:rsidRPr="007D0A8A" w14:paraId="055A732A" w14:textId="77777777" w:rsidTr="00AA0841">
        <w:trPr>
          <w:trHeight w:val="1403"/>
        </w:trPr>
        <w:tc>
          <w:tcPr>
            <w:tcW w:w="454" w:type="pct"/>
            <w:vMerge/>
            <w:tcBorders>
              <w:left w:val="single" w:sz="12" w:space="0" w:color="auto"/>
            </w:tcBorders>
            <w:shd w:val="clear" w:color="auto" w:fill="auto"/>
          </w:tcPr>
          <w:p w14:paraId="632C2AF1" w14:textId="77777777" w:rsidR="00AA0841" w:rsidRPr="00FA55B6" w:rsidRDefault="00AA0841" w:rsidP="00AA0841">
            <w:pPr>
              <w:spacing w:after="0"/>
              <w:contextualSpacing/>
              <w:rPr>
                <w:rFonts w:cstheme="minorHAnsi"/>
                <w:b/>
                <w:bCs/>
                <w:color w:val="000000" w:themeColor="text1"/>
                <w:sz w:val="18"/>
                <w:szCs w:val="18"/>
              </w:rPr>
            </w:pPr>
          </w:p>
        </w:tc>
        <w:tc>
          <w:tcPr>
            <w:tcW w:w="389" w:type="pct"/>
            <w:vMerge/>
            <w:vAlign w:val="center"/>
          </w:tcPr>
          <w:p w14:paraId="307845AE" w14:textId="77777777" w:rsidR="00AA0841" w:rsidRPr="005F608F" w:rsidRDefault="00AA0841" w:rsidP="00AA0841">
            <w:pPr>
              <w:jc w:val="center"/>
              <w:rPr>
                <w:rFonts w:cstheme="minorHAnsi"/>
                <w:bCs/>
                <w:color w:val="000000" w:themeColor="text1"/>
                <w:sz w:val="18"/>
                <w:szCs w:val="18"/>
              </w:rPr>
            </w:pPr>
          </w:p>
        </w:tc>
        <w:tc>
          <w:tcPr>
            <w:tcW w:w="845" w:type="pct"/>
            <w:shd w:val="clear" w:color="auto" w:fill="auto"/>
            <w:vAlign w:val="center"/>
          </w:tcPr>
          <w:p w14:paraId="1115EDCB" w14:textId="77777777" w:rsidR="00AA0841" w:rsidRDefault="00AA0841" w:rsidP="00AA0841">
            <w:pPr>
              <w:jc w:val="center"/>
              <w:rPr>
                <w:rFonts w:cstheme="minorHAnsi"/>
                <w:bCs/>
                <w:color w:val="000000" w:themeColor="text1"/>
                <w:sz w:val="18"/>
                <w:szCs w:val="18"/>
              </w:rPr>
            </w:pPr>
            <w:r>
              <w:rPr>
                <w:rFonts w:cstheme="minorHAnsi"/>
                <w:bCs/>
                <w:color w:val="000000" w:themeColor="text1"/>
                <w:sz w:val="18"/>
                <w:szCs w:val="18"/>
              </w:rPr>
              <w:t>Small fresh 2: &gt;314 ML/day (Sept–April) duration 14 days</w:t>
            </w:r>
          </w:p>
        </w:tc>
        <w:tc>
          <w:tcPr>
            <w:tcW w:w="455" w:type="pct"/>
            <w:shd w:val="clear" w:color="auto" w:fill="auto"/>
            <w:vAlign w:val="center"/>
          </w:tcPr>
          <w:p w14:paraId="11504676" w14:textId="77777777" w:rsidR="00AA0841" w:rsidRDefault="00AA0841" w:rsidP="00AA0841">
            <w:pPr>
              <w:jc w:val="center"/>
              <w:rPr>
                <w:rFonts w:hAnsi="Century Gothic"/>
                <w:bCs/>
                <w:sz w:val="18"/>
                <w:szCs w:val="18"/>
              </w:rPr>
            </w:pPr>
            <w:r>
              <w:rPr>
                <w:rFonts w:hAnsi="Century Gothic"/>
                <w:bCs/>
                <w:sz w:val="18"/>
                <w:szCs w:val="18"/>
              </w:rPr>
              <w:t>2</w:t>
            </w:r>
            <w:r>
              <w:rPr>
                <w:rFonts w:hAnsi="Century Gothic"/>
                <w:bCs/>
                <w:sz w:val="18"/>
                <w:szCs w:val="18"/>
              </w:rPr>
              <w:t>–</w:t>
            </w:r>
            <w:r>
              <w:rPr>
                <w:rFonts w:hAnsi="Century Gothic"/>
                <w:bCs/>
                <w:sz w:val="18"/>
                <w:szCs w:val="18"/>
              </w:rPr>
              <w:t>6 years in 10 (40%).</w:t>
            </w:r>
          </w:p>
          <w:p w14:paraId="4FABDBCE" w14:textId="77777777" w:rsidR="00AA0841" w:rsidRDefault="00AA0841" w:rsidP="00AA0841">
            <w:pPr>
              <w:jc w:val="center"/>
              <w:rPr>
                <w:rFonts w:hAnsi="Century Gothic"/>
                <w:bCs/>
                <w:sz w:val="18"/>
                <w:szCs w:val="18"/>
              </w:rPr>
            </w:pPr>
            <w:r>
              <w:rPr>
                <w:rFonts w:hAnsi="Century Gothic"/>
                <w:bCs/>
                <w:sz w:val="18"/>
                <w:szCs w:val="18"/>
              </w:rPr>
              <w:t>(Max. interval 6.5 years)</w:t>
            </w:r>
          </w:p>
        </w:tc>
        <w:tc>
          <w:tcPr>
            <w:tcW w:w="1234" w:type="pct"/>
            <w:shd w:val="clear" w:color="auto" w:fill="auto"/>
            <w:vAlign w:val="center"/>
          </w:tcPr>
          <w:p w14:paraId="0F1C5DDB" w14:textId="77777777" w:rsidR="00AA0841" w:rsidRPr="00365FE2" w:rsidRDefault="00AA0841" w:rsidP="00AA0841">
            <w:pPr>
              <w:spacing w:after="60"/>
              <w:jc w:val="center"/>
              <w:rPr>
                <w:rFonts w:hAnsi="Century Gothic"/>
                <w:bCs/>
                <w:sz w:val="18"/>
                <w:szCs w:val="18"/>
              </w:rPr>
            </w:pPr>
            <w:r>
              <w:rPr>
                <w:rFonts w:hAnsi="Century Gothic"/>
                <w:bCs/>
                <w:sz w:val="18"/>
                <w:szCs w:val="18"/>
              </w:rPr>
              <w:t>Met between 2010</w:t>
            </w:r>
            <w:r>
              <w:rPr>
                <w:rFonts w:hAnsi="Century Gothic"/>
                <w:bCs/>
                <w:sz w:val="18"/>
                <w:szCs w:val="18"/>
              </w:rPr>
              <w:t>–</w:t>
            </w:r>
            <w:r>
              <w:rPr>
                <w:rFonts w:hAnsi="Century Gothic"/>
                <w:bCs/>
                <w:sz w:val="18"/>
                <w:szCs w:val="18"/>
              </w:rPr>
              <w:t>11 and 2012</w:t>
            </w:r>
            <w:r>
              <w:rPr>
                <w:rFonts w:hAnsi="Century Gothic"/>
                <w:bCs/>
                <w:sz w:val="18"/>
                <w:szCs w:val="18"/>
              </w:rPr>
              <w:t>–</w:t>
            </w:r>
            <w:r>
              <w:rPr>
                <w:rFonts w:hAnsi="Century Gothic"/>
                <w:bCs/>
                <w:sz w:val="18"/>
                <w:szCs w:val="18"/>
              </w:rPr>
              <w:t>13, not met between 2013</w:t>
            </w:r>
            <w:r>
              <w:rPr>
                <w:rFonts w:hAnsi="Century Gothic"/>
                <w:bCs/>
                <w:sz w:val="18"/>
                <w:szCs w:val="18"/>
              </w:rPr>
              <w:t>–</w:t>
            </w:r>
            <w:r>
              <w:rPr>
                <w:rFonts w:hAnsi="Century Gothic"/>
                <w:bCs/>
                <w:sz w:val="18"/>
                <w:szCs w:val="18"/>
              </w:rPr>
              <w:t>14 and 2015</w:t>
            </w:r>
            <w:r>
              <w:rPr>
                <w:rFonts w:hAnsi="Century Gothic"/>
                <w:bCs/>
                <w:sz w:val="18"/>
                <w:szCs w:val="18"/>
              </w:rPr>
              <w:t>–</w:t>
            </w:r>
            <w:r>
              <w:rPr>
                <w:rFonts w:hAnsi="Century Gothic"/>
                <w:bCs/>
                <w:sz w:val="18"/>
                <w:szCs w:val="18"/>
              </w:rPr>
              <w:t>16, met 2016</w:t>
            </w:r>
            <w:r>
              <w:rPr>
                <w:rFonts w:hAnsi="Century Gothic"/>
                <w:bCs/>
                <w:sz w:val="18"/>
                <w:szCs w:val="18"/>
              </w:rPr>
              <w:t>–</w:t>
            </w:r>
            <w:r>
              <w:rPr>
                <w:rFonts w:hAnsi="Century Gothic"/>
                <w:bCs/>
                <w:sz w:val="18"/>
                <w:szCs w:val="18"/>
              </w:rPr>
              <w:t>17, not met 2017</w:t>
            </w:r>
            <w:r>
              <w:rPr>
                <w:rFonts w:hAnsi="Century Gothic"/>
                <w:bCs/>
                <w:sz w:val="18"/>
                <w:szCs w:val="18"/>
              </w:rPr>
              <w:t>–</w:t>
            </w:r>
            <w:r>
              <w:rPr>
                <w:rFonts w:hAnsi="Century Gothic"/>
                <w:bCs/>
                <w:sz w:val="18"/>
                <w:szCs w:val="18"/>
              </w:rPr>
              <w:t>18 or 2018</w:t>
            </w:r>
            <w:r>
              <w:rPr>
                <w:rFonts w:hAnsi="Century Gothic"/>
                <w:bCs/>
                <w:sz w:val="18"/>
                <w:szCs w:val="18"/>
              </w:rPr>
              <w:t>–</w:t>
            </w:r>
            <w:r>
              <w:rPr>
                <w:rFonts w:hAnsi="Century Gothic"/>
                <w:bCs/>
                <w:sz w:val="18"/>
                <w:szCs w:val="18"/>
              </w:rPr>
              <w:t>19, and met 2019</w:t>
            </w:r>
            <w:r>
              <w:rPr>
                <w:rFonts w:hAnsi="Century Gothic"/>
                <w:bCs/>
                <w:sz w:val="18"/>
                <w:szCs w:val="18"/>
              </w:rPr>
              <w:t>–</w:t>
            </w:r>
            <w:r>
              <w:rPr>
                <w:rFonts w:hAnsi="Century Gothic"/>
                <w:bCs/>
                <w:sz w:val="18"/>
                <w:szCs w:val="18"/>
              </w:rPr>
              <w:t>20.</w:t>
            </w:r>
          </w:p>
        </w:tc>
        <w:tc>
          <w:tcPr>
            <w:tcW w:w="470" w:type="pct"/>
            <w:shd w:val="clear" w:color="auto" w:fill="FFC000"/>
            <w:vAlign w:val="center"/>
          </w:tcPr>
          <w:p w14:paraId="4E49633D" w14:textId="77777777" w:rsidR="00AA0841" w:rsidRPr="007D0A8A" w:rsidRDefault="00AA0841" w:rsidP="00AA0841">
            <w:pPr>
              <w:spacing w:before="60" w:after="60"/>
              <w:jc w:val="center"/>
              <w:rPr>
                <w:color w:val="auto"/>
                <w:sz w:val="18"/>
                <w:szCs w:val="18"/>
              </w:rPr>
            </w:pPr>
            <w:r w:rsidRPr="007D0A8A">
              <w:rPr>
                <w:color w:val="auto"/>
                <w:sz w:val="18"/>
                <w:szCs w:val="18"/>
              </w:rPr>
              <w:t>Moderate</w:t>
            </w:r>
          </w:p>
        </w:tc>
        <w:tc>
          <w:tcPr>
            <w:tcW w:w="666" w:type="pct"/>
            <w:vMerge/>
            <w:shd w:val="clear" w:color="auto" w:fill="95B3D7" w:themeFill="accent1" w:themeFillTint="99"/>
            <w:vAlign w:val="center"/>
          </w:tcPr>
          <w:p w14:paraId="7070FC57" w14:textId="77777777" w:rsidR="00AA0841" w:rsidRPr="007D0A8A" w:rsidRDefault="00AA0841" w:rsidP="00AA0841">
            <w:pPr>
              <w:spacing w:after="0"/>
              <w:jc w:val="center"/>
              <w:rPr>
                <w:rFonts w:cstheme="minorHAnsi"/>
                <w:b/>
                <w:bCs/>
                <w:color w:val="auto"/>
                <w:sz w:val="18"/>
                <w:szCs w:val="18"/>
              </w:rPr>
            </w:pPr>
          </w:p>
        </w:tc>
        <w:tc>
          <w:tcPr>
            <w:tcW w:w="487" w:type="pct"/>
            <w:tcBorders>
              <w:right w:val="single" w:sz="12" w:space="0" w:color="auto"/>
            </w:tcBorders>
            <w:shd w:val="clear" w:color="auto" w:fill="92D050"/>
            <w:vAlign w:val="center"/>
          </w:tcPr>
          <w:p w14:paraId="398D8600" w14:textId="77777777" w:rsidR="00AA0841" w:rsidRPr="007D0A8A" w:rsidRDefault="00AA0841" w:rsidP="00AA0841">
            <w:pPr>
              <w:spacing w:before="60" w:after="60"/>
              <w:jc w:val="center"/>
              <w:rPr>
                <w:color w:val="auto"/>
                <w:sz w:val="18"/>
                <w:szCs w:val="18"/>
              </w:rPr>
            </w:pPr>
            <w:r w:rsidRPr="007D0A8A">
              <w:rPr>
                <w:color w:val="auto"/>
                <w:sz w:val="18"/>
                <w:szCs w:val="18"/>
              </w:rPr>
              <w:t>Low</w:t>
            </w:r>
          </w:p>
        </w:tc>
      </w:tr>
      <w:tr w:rsidR="00AA0841" w:rsidRPr="007D0A8A" w14:paraId="4C583823" w14:textId="77777777" w:rsidTr="00AA0841">
        <w:trPr>
          <w:trHeight w:val="1405"/>
        </w:trPr>
        <w:tc>
          <w:tcPr>
            <w:tcW w:w="454" w:type="pct"/>
            <w:vMerge/>
            <w:tcBorders>
              <w:left w:val="single" w:sz="12" w:space="0" w:color="auto"/>
            </w:tcBorders>
            <w:shd w:val="clear" w:color="auto" w:fill="auto"/>
          </w:tcPr>
          <w:p w14:paraId="7A00B878" w14:textId="77777777" w:rsidR="00AA0841" w:rsidRPr="00FA55B6" w:rsidRDefault="00AA0841" w:rsidP="00AA0841">
            <w:pPr>
              <w:spacing w:after="0"/>
              <w:contextualSpacing/>
              <w:rPr>
                <w:rFonts w:cstheme="minorHAnsi"/>
                <w:b/>
                <w:bCs/>
                <w:color w:val="000000" w:themeColor="text1"/>
                <w:sz w:val="18"/>
                <w:szCs w:val="18"/>
              </w:rPr>
            </w:pPr>
          </w:p>
        </w:tc>
        <w:tc>
          <w:tcPr>
            <w:tcW w:w="389" w:type="pct"/>
            <w:vMerge/>
            <w:vAlign w:val="center"/>
          </w:tcPr>
          <w:p w14:paraId="08B1C5DD" w14:textId="77777777" w:rsidR="00AA0841" w:rsidRPr="005F608F" w:rsidRDefault="00AA0841" w:rsidP="00AA0841">
            <w:pPr>
              <w:jc w:val="center"/>
              <w:rPr>
                <w:rFonts w:cstheme="minorHAnsi"/>
                <w:bCs/>
                <w:color w:val="000000" w:themeColor="text1"/>
                <w:sz w:val="18"/>
                <w:szCs w:val="18"/>
              </w:rPr>
            </w:pPr>
          </w:p>
        </w:tc>
        <w:tc>
          <w:tcPr>
            <w:tcW w:w="845" w:type="pct"/>
            <w:shd w:val="clear" w:color="auto" w:fill="auto"/>
            <w:vAlign w:val="center"/>
          </w:tcPr>
          <w:p w14:paraId="270062EA" w14:textId="77777777" w:rsidR="00AA0841" w:rsidRDefault="00AA0841" w:rsidP="00AA0841">
            <w:pPr>
              <w:jc w:val="center"/>
              <w:rPr>
                <w:rFonts w:cstheme="minorHAnsi"/>
                <w:bCs/>
                <w:color w:val="000000" w:themeColor="text1"/>
                <w:sz w:val="18"/>
                <w:szCs w:val="18"/>
              </w:rPr>
            </w:pPr>
            <w:r>
              <w:rPr>
                <w:rFonts w:cstheme="minorHAnsi"/>
                <w:bCs/>
                <w:color w:val="000000" w:themeColor="text1"/>
                <w:sz w:val="18"/>
                <w:szCs w:val="18"/>
              </w:rPr>
              <w:t>Large fresh 1: &gt;3 909 ML/day (any time) duration 5 days</w:t>
            </w:r>
          </w:p>
        </w:tc>
        <w:tc>
          <w:tcPr>
            <w:tcW w:w="455" w:type="pct"/>
            <w:shd w:val="clear" w:color="auto" w:fill="auto"/>
            <w:vAlign w:val="center"/>
          </w:tcPr>
          <w:p w14:paraId="54DF6441" w14:textId="77777777" w:rsidR="00AA0841" w:rsidRDefault="00AA0841" w:rsidP="00AA0841">
            <w:pPr>
              <w:jc w:val="center"/>
              <w:rPr>
                <w:rFonts w:hAnsi="Century Gothic"/>
                <w:bCs/>
                <w:sz w:val="18"/>
                <w:szCs w:val="18"/>
              </w:rPr>
            </w:pPr>
            <w:r>
              <w:rPr>
                <w:rFonts w:hAnsi="Century Gothic"/>
                <w:bCs/>
                <w:sz w:val="18"/>
                <w:szCs w:val="18"/>
              </w:rPr>
              <w:t>2</w:t>
            </w:r>
            <w:r>
              <w:rPr>
                <w:rFonts w:hAnsi="Century Gothic"/>
                <w:bCs/>
                <w:sz w:val="18"/>
                <w:szCs w:val="18"/>
              </w:rPr>
              <w:t>–</w:t>
            </w:r>
            <w:r>
              <w:rPr>
                <w:rFonts w:hAnsi="Century Gothic"/>
                <w:bCs/>
                <w:sz w:val="18"/>
                <w:szCs w:val="18"/>
              </w:rPr>
              <w:t>6 years in 10 (45%).</w:t>
            </w:r>
          </w:p>
          <w:p w14:paraId="1915E2C3" w14:textId="77777777" w:rsidR="00AA0841" w:rsidRDefault="00AA0841" w:rsidP="00AA0841">
            <w:pPr>
              <w:jc w:val="center"/>
              <w:rPr>
                <w:rFonts w:hAnsi="Century Gothic"/>
                <w:bCs/>
                <w:sz w:val="18"/>
                <w:szCs w:val="18"/>
              </w:rPr>
            </w:pPr>
            <w:r>
              <w:rPr>
                <w:rFonts w:hAnsi="Century Gothic"/>
                <w:bCs/>
                <w:sz w:val="18"/>
                <w:szCs w:val="18"/>
              </w:rPr>
              <w:t>(Max. interval 6.5 years)</w:t>
            </w:r>
          </w:p>
        </w:tc>
        <w:tc>
          <w:tcPr>
            <w:tcW w:w="1234" w:type="pct"/>
            <w:shd w:val="clear" w:color="auto" w:fill="auto"/>
            <w:vAlign w:val="center"/>
          </w:tcPr>
          <w:p w14:paraId="77A921D0" w14:textId="77777777" w:rsidR="00AA0841" w:rsidRPr="00365FE2" w:rsidRDefault="00AA0841" w:rsidP="00AA0841">
            <w:pPr>
              <w:spacing w:after="60"/>
              <w:jc w:val="center"/>
              <w:rPr>
                <w:rFonts w:hAnsi="Century Gothic"/>
                <w:bCs/>
                <w:sz w:val="18"/>
                <w:szCs w:val="18"/>
              </w:rPr>
            </w:pPr>
            <w:r>
              <w:rPr>
                <w:rFonts w:hAnsi="Century Gothic"/>
                <w:bCs/>
                <w:sz w:val="18"/>
                <w:szCs w:val="18"/>
              </w:rPr>
              <w:t>Met between 2010</w:t>
            </w:r>
            <w:r>
              <w:rPr>
                <w:rFonts w:hAnsi="Century Gothic"/>
                <w:bCs/>
                <w:sz w:val="18"/>
                <w:szCs w:val="18"/>
              </w:rPr>
              <w:t>–</w:t>
            </w:r>
            <w:r>
              <w:rPr>
                <w:rFonts w:hAnsi="Century Gothic"/>
                <w:bCs/>
                <w:sz w:val="18"/>
                <w:szCs w:val="18"/>
              </w:rPr>
              <w:t>11 and 2012</w:t>
            </w:r>
            <w:r>
              <w:rPr>
                <w:rFonts w:hAnsi="Century Gothic"/>
                <w:bCs/>
                <w:sz w:val="18"/>
                <w:szCs w:val="18"/>
              </w:rPr>
              <w:t>–</w:t>
            </w:r>
            <w:r>
              <w:rPr>
                <w:rFonts w:hAnsi="Century Gothic"/>
                <w:bCs/>
                <w:sz w:val="18"/>
                <w:szCs w:val="18"/>
              </w:rPr>
              <w:t>13, not met between 2013</w:t>
            </w:r>
            <w:r>
              <w:rPr>
                <w:rFonts w:hAnsi="Century Gothic"/>
                <w:bCs/>
                <w:sz w:val="18"/>
                <w:szCs w:val="18"/>
              </w:rPr>
              <w:t>–</w:t>
            </w:r>
            <w:r>
              <w:rPr>
                <w:rFonts w:hAnsi="Century Gothic"/>
                <w:bCs/>
                <w:sz w:val="18"/>
                <w:szCs w:val="18"/>
              </w:rPr>
              <w:t>14 and 2015</w:t>
            </w:r>
            <w:r>
              <w:rPr>
                <w:rFonts w:hAnsi="Century Gothic"/>
                <w:bCs/>
                <w:sz w:val="18"/>
                <w:szCs w:val="18"/>
              </w:rPr>
              <w:t>–</w:t>
            </w:r>
            <w:r>
              <w:rPr>
                <w:rFonts w:hAnsi="Century Gothic"/>
                <w:bCs/>
                <w:sz w:val="18"/>
                <w:szCs w:val="18"/>
              </w:rPr>
              <w:t>16, met 2016</w:t>
            </w:r>
            <w:r>
              <w:rPr>
                <w:rFonts w:hAnsi="Century Gothic"/>
                <w:bCs/>
                <w:sz w:val="18"/>
                <w:szCs w:val="18"/>
              </w:rPr>
              <w:t>–</w:t>
            </w:r>
            <w:r>
              <w:rPr>
                <w:rFonts w:hAnsi="Century Gothic"/>
                <w:bCs/>
                <w:sz w:val="18"/>
                <w:szCs w:val="18"/>
              </w:rPr>
              <w:t>17, not met 2017</w:t>
            </w:r>
            <w:r>
              <w:rPr>
                <w:rFonts w:hAnsi="Century Gothic"/>
                <w:bCs/>
                <w:sz w:val="18"/>
                <w:szCs w:val="18"/>
              </w:rPr>
              <w:t>–</w:t>
            </w:r>
            <w:r>
              <w:rPr>
                <w:rFonts w:hAnsi="Century Gothic"/>
                <w:bCs/>
                <w:sz w:val="18"/>
                <w:szCs w:val="18"/>
              </w:rPr>
              <w:t>18 or 2018</w:t>
            </w:r>
            <w:r>
              <w:rPr>
                <w:rFonts w:hAnsi="Century Gothic"/>
                <w:bCs/>
                <w:sz w:val="18"/>
                <w:szCs w:val="18"/>
              </w:rPr>
              <w:t>–</w:t>
            </w:r>
            <w:r>
              <w:rPr>
                <w:rFonts w:hAnsi="Century Gothic"/>
                <w:bCs/>
                <w:sz w:val="18"/>
                <w:szCs w:val="18"/>
              </w:rPr>
              <w:t>19, and partially met 2019</w:t>
            </w:r>
            <w:r>
              <w:rPr>
                <w:rFonts w:hAnsi="Century Gothic"/>
                <w:bCs/>
                <w:sz w:val="18"/>
                <w:szCs w:val="18"/>
              </w:rPr>
              <w:t>–</w:t>
            </w:r>
            <w:r>
              <w:rPr>
                <w:rFonts w:hAnsi="Century Gothic"/>
                <w:bCs/>
                <w:sz w:val="18"/>
                <w:szCs w:val="18"/>
              </w:rPr>
              <w:t>20.</w:t>
            </w:r>
          </w:p>
        </w:tc>
        <w:tc>
          <w:tcPr>
            <w:tcW w:w="470" w:type="pct"/>
            <w:vMerge w:val="restart"/>
            <w:shd w:val="clear" w:color="auto" w:fill="FFC000"/>
            <w:vAlign w:val="center"/>
          </w:tcPr>
          <w:p w14:paraId="2E8313A3" w14:textId="77777777" w:rsidR="00AA0841" w:rsidRPr="007D0A8A" w:rsidRDefault="00AA0841" w:rsidP="00AA0841">
            <w:pPr>
              <w:spacing w:before="60" w:after="60"/>
              <w:jc w:val="center"/>
              <w:rPr>
                <w:color w:val="auto"/>
                <w:sz w:val="18"/>
                <w:szCs w:val="18"/>
              </w:rPr>
            </w:pPr>
            <w:r w:rsidRPr="007D0A8A">
              <w:rPr>
                <w:color w:val="auto"/>
                <w:sz w:val="18"/>
                <w:szCs w:val="18"/>
              </w:rPr>
              <w:t>Moderate</w:t>
            </w:r>
          </w:p>
        </w:tc>
        <w:tc>
          <w:tcPr>
            <w:tcW w:w="666" w:type="pct"/>
            <w:vMerge/>
            <w:shd w:val="clear" w:color="auto" w:fill="95B3D7" w:themeFill="accent1" w:themeFillTint="99"/>
            <w:vAlign w:val="center"/>
          </w:tcPr>
          <w:p w14:paraId="75951D6B" w14:textId="77777777" w:rsidR="00AA0841" w:rsidRPr="007D0A8A" w:rsidRDefault="00AA0841" w:rsidP="00AA0841">
            <w:pPr>
              <w:spacing w:after="0"/>
              <w:jc w:val="center"/>
              <w:rPr>
                <w:rFonts w:cstheme="minorHAnsi"/>
                <w:b/>
                <w:bCs/>
                <w:color w:val="auto"/>
                <w:sz w:val="18"/>
                <w:szCs w:val="18"/>
              </w:rPr>
            </w:pPr>
          </w:p>
        </w:tc>
        <w:tc>
          <w:tcPr>
            <w:tcW w:w="487" w:type="pct"/>
            <w:vMerge w:val="restart"/>
            <w:tcBorders>
              <w:right w:val="single" w:sz="12" w:space="0" w:color="auto"/>
            </w:tcBorders>
            <w:shd w:val="clear" w:color="auto" w:fill="FFC000"/>
            <w:vAlign w:val="center"/>
          </w:tcPr>
          <w:p w14:paraId="74967D77" w14:textId="77777777" w:rsidR="00AA0841" w:rsidRPr="007D0A8A" w:rsidRDefault="00AA0841" w:rsidP="00AA0841">
            <w:pPr>
              <w:spacing w:before="60" w:after="60"/>
              <w:jc w:val="center"/>
              <w:rPr>
                <w:color w:val="auto"/>
                <w:sz w:val="18"/>
                <w:szCs w:val="18"/>
              </w:rPr>
            </w:pPr>
            <w:r w:rsidRPr="007D0A8A">
              <w:rPr>
                <w:color w:val="auto"/>
                <w:sz w:val="18"/>
                <w:szCs w:val="18"/>
              </w:rPr>
              <w:t>Moderate</w:t>
            </w:r>
          </w:p>
        </w:tc>
      </w:tr>
      <w:tr w:rsidR="00AA0841" w:rsidRPr="007D0A8A" w14:paraId="3336F57A" w14:textId="77777777" w:rsidTr="00AA0841">
        <w:trPr>
          <w:trHeight w:val="1407"/>
        </w:trPr>
        <w:tc>
          <w:tcPr>
            <w:tcW w:w="454" w:type="pct"/>
            <w:vMerge/>
            <w:tcBorders>
              <w:left w:val="single" w:sz="12" w:space="0" w:color="auto"/>
            </w:tcBorders>
            <w:shd w:val="clear" w:color="auto" w:fill="auto"/>
          </w:tcPr>
          <w:p w14:paraId="6F6E84EF" w14:textId="77777777" w:rsidR="00AA0841" w:rsidRPr="00FA55B6" w:rsidRDefault="00AA0841" w:rsidP="00AA0841">
            <w:pPr>
              <w:spacing w:after="0"/>
              <w:contextualSpacing/>
              <w:rPr>
                <w:rFonts w:cstheme="minorHAnsi"/>
                <w:b/>
                <w:bCs/>
                <w:color w:val="000000" w:themeColor="text1"/>
                <w:sz w:val="18"/>
                <w:szCs w:val="18"/>
              </w:rPr>
            </w:pPr>
          </w:p>
        </w:tc>
        <w:tc>
          <w:tcPr>
            <w:tcW w:w="389" w:type="pct"/>
            <w:vMerge/>
            <w:vAlign w:val="center"/>
          </w:tcPr>
          <w:p w14:paraId="7DEEA614" w14:textId="77777777" w:rsidR="00AA0841" w:rsidRPr="005F608F" w:rsidRDefault="00AA0841" w:rsidP="00AA0841">
            <w:pPr>
              <w:jc w:val="center"/>
              <w:rPr>
                <w:rFonts w:cstheme="minorHAnsi"/>
                <w:bCs/>
                <w:color w:val="000000" w:themeColor="text1"/>
                <w:sz w:val="18"/>
                <w:szCs w:val="18"/>
              </w:rPr>
            </w:pPr>
          </w:p>
        </w:tc>
        <w:tc>
          <w:tcPr>
            <w:tcW w:w="845" w:type="pct"/>
            <w:shd w:val="clear" w:color="auto" w:fill="auto"/>
            <w:vAlign w:val="center"/>
          </w:tcPr>
          <w:p w14:paraId="476644C7" w14:textId="77777777" w:rsidR="00AA0841" w:rsidRDefault="00AA0841" w:rsidP="00AA0841">
            <w:pPr>
              <w:jc w:val="center"/>
              <w:rPr>
                <w:rFonts w:cstheme="minorHAnsi"/>
                <w:bCs/>
                <w:color w:val="000000" w:themeColor="text1"/>
                <w:sz w:val="18"/>
                <w:szCs w:val="18"/>
              </w:rPr>
            </w:pPr>
            <w:r>
              <w:rPr>
                <w:rFonts w:cstheme="minorHAnsi"/>
                <w:bCs/>
                <w:color w:val="000000" w:themeColor="text1"/>
                <w:sz w:val="18"/>
                <w:szCs w:val="18"/>
              </w:rPr>
              <w:t>Large fresh 2: &gt;3 909 ML/day (Oct–April) duration 5 days.</w:t>
            </w:r>
          </w:p>
        </w:tc>
        <w:tc>
          <w:tcPr>
            <w:tcW w:w="455" w:type="pct"/>
            <w:shd w:val="clear" w:color="auto" w:fill="auto"/>
            <w:vAlign w:val="center"/>
          </w:tcPr>
          <w:p w14:paraId="39695558" w14:textId="77777777" w:rsidR="00AA0841" w:rsidRDefault="00AA0841" w:rsidP="00AA0841">
            <w:pPr>
              <w:jc w:val="center"/>
              <w:rPr>
                <w:rFonts w:hAnsi="Century Gothic"/>
                <w:bCs/>
                <w:sz w:val="18"/>
                <w:szCs w:val="18"/>
              </w:rPr>
            </w:pPr>
            <w:r>
              <w:rPr>
                <w:rFonts w:hAnsi="Century Gothic"/>
                <w:bCs/>
                <w:sz w:val="18"/>
                <w:szCs w:val="18"/>
              </w:rPr>
              <w:t>2</w:t>
            </w:r>
            <w:r>
              <w:rPr>
                <w:rFonts w:hAnsi="Century Gothic"/>
                <w:bCs/>
                <w:sz w:val="18"/>
                <w:szCs w:val="18"/>
              </w:rPr>
              <w:t>–</w:t>
            </w:r>
            <w:r>
              <w:rPr>
                <w:rFonts w:hAnsi="Century Gothic"/>
                <w:bCs/>
                <w:sz w:val="18"/>
                <w:szCs w:val="18"/>
              </w:rPr>
              <w:t>5 years in 10 (35%).</w:t>
            </w:r>
          </w:p>
          <w:p w14:paraId="18FBDCA6" w14:textId="77777777" w:rsidR="00AA0841" w:rsidRDefault="00AA0841" w:rsidP="00AA0841">
            <w:pPr>
              <w:jc w:val="center"/>
              <w:rPr>
                <w:rFonts w:hAnsi="Century Gothic"/>
                <w:bCs/>
                <w:sz w:val="18"/>
                <w:szCs w:val="18"/>
              </w:rPr>
            </w:pPr>
            <w:r>
              <w:rPr>
                <w:rFonts w:hAnsi="Century Gothic"/>
                <w:bCs/>
                <w:sz w:val="18"/>
                <w:szCs w:val="18"/>
              </w:rPr>
              <w:t>(Max. interval 6.5 years)</w:t>
            </w:r>
          </w:p>
        </w:tc>
        <w:tc>
          <w:tcPr>
            <w:tcW w:w="1234" w:type="pct"/>
            <w:shd w:val="clear" w:color="auto" w:fill="auto"/>
            <w:vAlign w:val="center"/>
          </w:tcPr>
          <w:p w14:paraId="114C9151" w14:textId="77777777" w:rsidR="00AA0841" w:rsidRPr="00365FE2" w:rsidRDefault="00AA0841" w:rsidP="00AA0841">
            <w:pPr>
              <w:spacing w:after="60"/>
              <w:jc w:val="center"/>
              <w:rPr>
                <w:rFonts w:hAnsi="Century Gothic"/>
                <w:bCs/>
                <w:sz w:val="18"/>
                <w:szCs w:val="18"/>
              </w:rPr>
            </w:pPr>
            <w:r>
              <w:rPr>
                <w:rFonts w:hAnsi="Century Gothic"/>
                <w:bCs/>
                <w:sz w:val="18"/>
                <w:szCs w:val="18"/>
              </w:rPr>
              <w:t>Met between 2010</w:t>
            </w:r>
            <w:r>
              <w:rPr>
                <w:rFonts w:hAnsi="Century Gothic"/>
                <w:bCs/>
                <w:sz w:val="18"/>
                <w:szCs w:val="18"/>
              </w:rPr>
              <w:t>–</w:t>
            </w:r>
            <w:r>
              <w:rPr>
                <w:rFonts w:hAnsi="Century Gothic"/>
                <w:bCs/>
                <w:sz w:val="18"/>
                <w:szCs w:val="18"/>
              </w:rPr>
              <w:t>11 and 2012</w:t>
            </w:r>
            <w:r>
              <w:rPr>
                <w:rFonts w:hAnsi="Century Gothic"/>
                <w:bCs/>
                <w:sz w:val="18"/>
                <w:szCs w:val="18"/>
              </w:rPr>
              <w:t>–</w:t>
            </w:r>
            <w:r>
              <w:rPr>
                <w:rFonts w:hAnsi="Century Gothic"/>
                <w:bCs/>
                <w:sz w:val="18"/>
                <w:szCs w:val="18"/>
              </w:rPr>
              <w:t>13, not met between 2013</w:t>
            </w:r>
            <w:r>
              <w:rPr>
                <w:rFonts w:hAnsi="Century Gothic"/>
                <w:bCs/>
                <w:sz w:val="18"/>
                <w:szCs w:val="18"/>
              </w:rPr>
              <w:t>–</w:t>
            </w:r>
            <w:r>
              <w:rPr>
                <w:rFonts w:hAnsi="Century Gothic"/>
                <w:bCs/>
                <w:sz w:val="18"/>
                <w:szCs w:val="18"/>
              </w:rPr>
              <w:t>14 and 2015</w:t>
            </w:r>
            <w:r>
              <w:rPr>
                <w:rFonts w:hAnsi="Century Gothic"/>
                <w:bCs/>
                <w:sz w:val="18"/>
                <w:szCs w:val="18"/>
              </w:rPr>
              <w:t>–</w:t>
            </w:r>
            <w:r>
              <w:rPr>
                <w:rFonts w:hAnsi="Century Gothic"/>
                <w:bCs/>
                <w:sz w:val="18"/>
                <w:szCs w:val="18"/>
              </w:rPr>
              <w:t>16, met 2016</w:t>
            </w:r>
            <w:r>
              <w:rPr>
                <w:rFonts w:hAnsi="Century Gothic"/>
                <w:bCs/>
                <w:sz w:val="18"/>
                <w:szCs w:val="18"/>
              </w:rPr>
              <w:t>–</w:t>
            </w:r>
            <w:r>
              <w:rPr>
                <w:rFonts w:hAnsi="Century Gothic"/>
                <w:bCs/>
                <w:sz w:val="18"/>
                <w:szCs w:val="18"/>
              </w:rPr>
              <w:t>17, not met 2017</w:t>
            </w:r>
            <w:r>
              <w:rPr>
                <w:rFonts w:hAnsi="Century Gothic"/>
                <w:bCs/>
                <w:sz w:val="18"/>
                <w:szCs w:val="18"/>
              </w:rPr>
              <w:t>–</w:t>
            </w:r>
            <w:r>
              <w:rPr>
                <w:rFonts w:hAnsi="Century Gothic"/>
                <w:bCs/>
                <w:sz w:val="18"/>
                <w:szCs w:val="18"/>
              </w:rPr>
              <w:t>18 or 2018</w:t>
            </w:r>
            <w:r>
              <w:rPr>
                <w:rFonts w:hAnsi="Century Gothic"/>
                <w:bCs/>
                <w:sz w:val="18"/>
                <w:szCs w:val="18"/>
              </w:rPr>
              <w:t>–</w:t>
            </w:r>
            <w:r>
              <w:rPr>
                <w:rFonts w:hAnsi="Century Gothic"/>
                <w:bCs/>
                <w:sz w:val="18"/>
                <w:szCs w:val="18"/>
              </w:rPr>
              <w:t>19, partially met 2019</w:t>
            </w:r>
            <w:r>
              <w:rPr>
                <w:rFonts w:hAnsi="Century Gothic"/>
                <w:bCs/>
                <w:sz w:val="18"/>
                <w:szCs w:val="18"/>
              </w:rPr>
              <w:t>–</w:t>
            </w:r>
            <w:r>
              <w:rPr>
                <w:rFonts w:hAnsi="Century Gothic"/>
                <w:bCs/>
                <w:sz w:val="18"/>
                <w:szCs w:val="18"/>
              </w:rPr>
              <w:t>20.</w:t>
            </w:r>
          </w:p>
        </w:tc>
        <w:tc>
          <w:tcPr>
            <w:tcW w:w="470" w:type="pct"/>
            <w:vMerge/>
            <w:shd w:val="clear" w:color="auto" w:fill="FFC000"/>
            <w:vAlign w:val="center"/>
          </w:tcPr>
          <w:p w14:paraId="416F8F11" w14:textId="77777777" w:rsidR="00AA0841" w:rsidRPr="007D0A8A" w:rsidRDefault="00AA0841" w:rsidP="00AA0841">
            <w:pPr>
              <w:spacing w:before="60" w:after="60"/>
              <w:jc w:val="center"/>
              <w:rPr>
                <w:color w:val="auto"/>
                <w:sz w:val="18"/>
                <w:szCs w:val="18"/>
              </w:rPr>
            </w:pPr>
          </w:p>
        </w:tc>
        <w:tc>
          <w:tcPr>
            <w:tcW w:w="666" w:type="pct"/>
            <w:vMerge/>
            <w:shd w:val="clear" w:color="auto" w:fill="95B3D7" w:themeFill="accent1" w:themeFillTint="99"/>
            <w:vAlign w:val="center"/>
          </w:tcPr>
          <w:p w14:paraId="6FD05351" w14:textId="77777777" w:rsidR="00AA0841" w:rsidRPr="007D0A8A" w:rsidRDefault="00AA0841" w:rsidP="00AA0841">
            <w:pPr>
              <w:spacing w:after="0"/>
              <w:jc w:val="center"/>
              <w:rPr>
                <w:rFonts w:cstheme="minorHAnsi"/>
                <w:b/>
                <w:bCs/>
                <w:color w:val="auto"/>
                <w:sz w:val="18"/>
                <w:szCs w:val="18"/>
              </w:rPr>
            </w:pPr>
          </w:p>
        </w:tc>
        <w:tc>
          <w:tcPr>
            <w:tcW w:w="487" w:type="pct"/>
            <w:vMerge/>
            <w:tcBorders>
              <w:right w:val="single" w:sz="12" w:space="0" w:color="auto"/>
            </w:tcBorders>
            <w:shd w:val="clear" w:color="auto" w:fill="92D050"/>
            <w:vAlign w:val="center"/>
          </w:tcPr>
          <w:p w14:paraId="261949F5" w14:textId="77777777" w:rsidR="00AA0841" w:rsidRPr="007D0A8A" w:rsidRDefault="00AA0841" w:rsidP="00AA0841">
            <w:pPr>
              <w:spacing w:before="60" w:after="60"/>
              <w:jc w:val="center"/>
              <w:rPr>
                <w:color w:val="auto"/>
                <w:sz w:val="18"/>
                <w:szCs w:val="18"/>
              </w:rPr>
            </w:pPr>
          </w:p>
        </w:tc>
      </w:tr>
      <w:tr w:rsidR="00AA0841" w:rsidRPr="007D0A8A" w14:paraId="29F758AF" w14:textId="77777777" w:rsidTr="00AA0841">
        <w:trPr>
          <w:trHeight w:val="1550"/>
        </w:trPr>
        <w:tc>
          <w:tcPr>
            <w:tcW w:w="454" w:type="pct"/>
            <w:vMerge/>
            <w:tcBorders>
              <w:left w:val="single" w:sz="12" w:space="0" w:color="auto"/>
            </w:tcBorders>
            <w:shd w:val="clear" w:color="auto" w:fill="auto"/>
          </w:tcPr>
          <w:p w14:paraId="5E740902" w14:textId="77777777" w:rsidR="00AA0841" w:rsidRPr="00FA55B6" w:rsidRDefault="00AA0841" w:rsidP="00AA0841">
            <w:pPr>
              <w:spacing w:after="0"/>
              <w:contextualSpacing/>
              <w:rPr>
                <w:rFonts w:cstheme="minorHAnsi"/>
                <w:b/>
                <w:bCs/>
                <w:color w:val="000000" w:themeColor="text1"/>
                <w:sz w:val="18"/>
                <w:szCs w:val="18"/>
              </w:rPr>
            </w:pPr>
          </w:p>
        </w:tc>
        <w:tc>
          <w:tcPr>
            <w:tcW w:w="389" w:type="pct"/>
            <w:vMerge/>
            <w:vAlign w:val="center"/>
          </w:tcPr>
          <w:p w14:paraId="248A7AB4" w14:textId="77777777" w:rsidR="00AA0841" w:rsidRPr="005F608F" w:rsidRDefault="00AA0841" w:rsidP="00AA0841">
            <w:pPr>
              <w:jc w:val="center"/>
              <w:rPr>
                <w:rFonts w:cstheme="minorHAnsi"/>
                <w:bCs/>
                <w:color w:val="000000" w:themeColor="text1"/>
                <w:sz w:val="18"/>
                <w:szCs w:val="18"/>
              </w:rPr>
            </w:pPr>
          </w:p>
        </w:tc>
        <w:tc>
          <w:tcPr>
            <w:tcW w:w="845" w:type="pct"/>
            <w:shd w:val="clear" w:color="auto" w:fill="auto"/>
            <w:vAlign w:val="center"/>
          </w:tcPr>
          <w:p w14:paraId="6F921139" w14:textId="77777777" w:rsidR="00AA0841" w:rsidRDefault="00AA0841" w:rsidP="00AA0841">
            <w:pPr>
              <w:jc w:val="center"/>
              <w:rPr>
                <w:rFonts w:cstheme="minorHAnsi"/>
                <w:bCs/>
                <w:color w:val="000000" w:themeColor="text1"/>
                <w:sz w:val="18"/>
                <w:szCs w:val="18"/>
              </w:rPr>
            </w:pPr>
            <w:r>
              <w:rPr>
                <w:rFonts w:cstheme="minorHAnsi"/>
                <w:bCs/>
                <w:color w:val="000000" w:themeColor="text1"/>
                <w:sz w:val="18"/>
                <w:szCs w:val="18"/>
              </w:rPr>
              <w:t>Large fresh 3: 5 100–18 787 ML/day (any time) duration 7 days</w:t>
            </w:r>
          </w:p>
        </w:tc>
        <w:tc>
          <w:tcPr>
            <w:tcW w:w="455" w:type="pct"/>
            <w:shd w:val="clear" w:color="auto" w:fill="auto"/>
            <w:vAlign w:val="center"/>
          </w:tcPr>
          <w:p w14:paraId="51AB9CA2" w14:textId="77777777" w:rsidR="00AA0841" w:rsidRDefault="00AA0841" w:rsidP="00AA0841">
            <w:pPr>
              <w:jc w:val="center"/>
              <w:rPr>
                <w:rFonts w:hAnsi="Century Gothic"/>
                <w:bCs/>
                <w:sz w:val="18"/>
                <w:szCs w:val="18"/>
              </w:rPr>
            </w:pPr>
            <w:r>
              <w:rPr>
                <w:rFonts w:hAnsi="Century Gothic"/>
                <w:bCs/>
                <w:sz w:val="18"/>
                <w:szCs w:val="18"/>
              </w:rPr>
              <w:t>2</w:t>
            </w:r>
            <w:r>
              <w:rPr>
                <w:rFonts w:hAnsi="Century Gothic"/>
                <w:bCs/>
                <w:sz w:val="18"/>
                <w:szCs w:val="18"/>
              </w:rPr>
              <w:t>–</w:t>
            </w:r>
            <w:r>
              <w:rPr>
                <w:rFonts w:hAnsi="Century Gothic"/>
                <w:bCs/>
                <w:sz w:val="18"/>
                <w:szCs w:val="18"/>
              </w:rPr>
              <w:t>5 years in 10 (40%).</w:t>
            </w:r>
          </w:p>
          <w:p w14:paraId="3FA4E677" w14:textId="77777777" w:rsidR="00AA0841" w:rsidRDefault="00AA0841" w:rsidP="00AA0841">
            <w:pPr>
              <w:jc w:val="center"/>
              <w:rPr>
                <w:rFonts w:hAnsi="Century Gothic"/>
                <w:bCs/>
                <w:sz w:val="18"/>
                <w:szCs w:val="18"/>
              </w:rPr>
            </w:pPr>
            <w:r>
              <w:rPr>
                <w:rFonts w:hAnsi="Century Gothic"/>
                <w:bCs/>
                <w:sz w:val="18"/>
                <w:szCs w:val="18"/>
              </w:rPr>
              <w:t>(Max. interval 6.5 years)</w:t>
            </w:r>
          </w:p>
        </w:tc>
        <w:tc>
          <w:tcPr>
            <w:tcW w:w="1234" w:type="pct"/>
            <w:shd w:val="clear" w:color="auto" w:fill="auto"/>
            <w:vAlign w:val="center"/>
          </w:tcPr>
          <w:p w14:paraId="342A477C" w14:textId="77777777" w:rsidR="00AA0841" w:rsidRPr="00365FE2" w:rsidRDefault="00AA0841" w:rsidP="00AA0841">
            <w:pPr>
              <w:spacing w:after="60"/>
              <w:jc w:val="center"/>
              <w:rPr>
                <w:rFonts w:hAnsi="Century Gothic"/>
                <w:bCs/>
                <w:sz w:val="18"/>
                <w:szCs w:val="18"/>
              </w:rPr>
            </w:pPr>
            <w:r>
              <w:rPr>
                <w:rFonts w:hAnsi="Century Gothic"/>
                <w:bCs/>
                <w:sz w:val="18"/>
                <w:szCs w:val="18"/>
              </w:rPr>
              <w:t>Met in 2010</w:t>
            </w:r>
            <w:r>
              <w:rPr>
                <w:rFonts w:hAnsi="Century Gothic"/>
                <w:bCs/>
                <w:sz w:val="18"/>
                <w:szCs w:val="18"/>
              </w:rPr>
              <w:t>–</w:t>
            </w:r>
            <w:r>
              <w:rPr>
                <w:rFonts w:hAnsi="Century Gothic"/>
                <w:bCs/>
                <w:sz w:val="18"/>
                <w:szCs w:val="18"/>
              </w:rPr>
              <w:t>11, 2011</w:t>
            </w:r>
            <w:r>
              <w:rPr>
                <w:rFonts w:hAnsi="Century Gothic"/>
                <w:bCs/>
                <w:sz w:val="18"/>
                <w:szCs w:val="18"/>
              </w:rPr>
              <w:t>–</w:t>
            </w:r>
            <w:r>
              <w:rPr>
                <w:rFonts w:hAnsi="Century Gothic"/>
                <w:bCs/>
                <w:sz w:val="18"/>
                <w:szCs w:val="18"/>
              </w:rPr>
              <w:t>12, 2012</w:t>
            </w:r>
            <w:r>
              <w:rPr>
                <w:rFonts w:hAnsi="Century Gothic"/>
                <w:bCs/>
                <w:sz w:val="18"/>
                <w:szCs w:val="18"/>
              </w:rPr>
              <w:t>–</w:t>
            </w:r>
            <w:r>
              <w:rPr>
                <w:rFonts w:hAnsi="Century Gothic"/>
                <w:bCs/>
                <w:sz w:val="18"/>
                <w:szCs w:val="18"/>
              </w:rPr>
              <w:t>13, partially met 2013</w:t>
            </w:r>
            <w:r>
              <w:rPr>
                <w:rFonts w:hAnsi="Century Gothic"/>
                <w:bCs/>
                <w:sz w:val="18"/>
                <w:szCs w:val="18"/>
              </w:rPr>
              <w:t>–</w:t>
            </w:r>
            <w:r>
              <w:rPr>
                <w:rFonts w:hAnsi="Century Gothic"/>
                <w:bCs/>
                <w:sz w:val="18"/>
                <w:szCs w:val="18"/>
              </w:rPr>
              <w:t>14. Not met since then.</w:t>
            </w:r>
          </w:p>
        </w:tc>
        <w:tc>
          <w:tcPr>
            <w:tcW w:w="470" w:type="pct"/>
            <w:shd w:val="clear" w:color="auto" w:fill="FF0000"/>
            <w:vAlign w:val="center"/>
          </w:tcPr>
          <w:p w14:paraId="55053B3C" w14:textId="77777777" w:rsidR="00AA0841" w:rsidRPr="007D0A8A" w:rsidRDefault="00AA0841" w:rsidP="00AA0841">
            <w:pPr>
              <w:spacing w:before="60" w:after="60"/>
              <w:jc w:val="center"/>
              <w:rPr>
                <w:color w:val="auto"/>
                <w:sz w:val="18"/>
                <w:szCs w:val="18"/>
              </w:rPr>
            </w:pPr>
            <w:r w:rsidRPr="007D0A8A">
              <w:rPr>
                <w:color w:val="auto"/>
                <w:sz w:val="18"/>
                <w:szCs w:val="18"/>
              </w:rPr>
              <w:t>High</w:t>
            </w:r>
          </w:p>
        </w:tc>
        <w:tc>
          <w:tcPr>
            <w:tcW w:w="666" w:type="pct"/>
            <w:vMerge/>
            <w:shd w:val="clear" w:color="auto" w:fill="95B3D7" w:themeFill="accent1" w:themeFillTint="99"/>
            <w:vAlign w:val="center"/>
          </w:tcPr>
          <w:p w14:paraId="44BE48CF" w14:textId="77777777" w:rsidR="00AA0841" w:rsidRPr="007D0A8A" w:rsidRDefault="00AA0841" w:rsidP="00AA0841">
            <w:pPr>
              <w:spacing w:after="0"/>
              <w:jc w:val="center"/>
              <w:rPr>
                <w:rFonts w:cstheme="minorHAnsi"/>
                <w:b/>
                <w:bCs/>
                <w:color w:val="auto"/>
                <w:sz w:val="18"/>
                <w:szCs w:val="18"/>
              </w:rPr>
            </w:pPr>
          </w:p>
        </w:tc>
        <w:tc>
          <w:tcPr>
            <w:tcW w:w="487" w:type="pct"/>
            <w:tcBorders>
              <w:right w:val="single" w:sz="12" w:space="0" w:color="auto"/>
            </w:tcBorders>
            <w:shd w:val="clear" w:color="auto" w:fill="FFC000"/>
            <w:vAlign w:val="center"/>
          </w:tcPr>
          <w:p w14:paraId="52FC0923" w14:textId="77777777" w:rsidR="00AA0841" w:rsidRPr="007D0A8A" w:rsidRDefault="00AA0841" w:rsidP="00AA0841">
            <w:pPr>
              <w:spacing w:before="60" w:after="60"/>
              <w:jc w:val="center"/>
              <w:rPr>
                <w:color w:val="auto"/>
                <w:sz w:val="18"/>
                <w:szCs w:val="18"/>
              </w:rPr>
            </w:pPr>
            <w:r w:rsidRPr="007D0A8A">
              <w:rPr>
                <w:color w:val="auto"/>
                <w:sz w:val="18"/>
                <w:szCs w:val="18"/>
              </w:rPr>
              <w:t>Moderate</w:t>
            </w:r>
          </w:p>
        </w:tc>
      </w:tr>
      <w:tr w:rsidR="00AA0841" w:rsidRPr="007D0A8A" w14:paraId="76419AD5" w14:textId="77777777" w:rsidTr="00AA0841">
        <w:trPr>
          <w:trHeight w:val="1538"/>
        </w:trPr>
        <w:tc>
          <w:tcPr>
            <w:tcW w:w="454" w:type="pct"/>
            <w:vMerge/>
            <w:tcBorders>
              <w:left w:val="single" w:sz="12" w:space="0" w:color="auto"/>
            </w:tcBorders>
            <w:shd w:val="clear" w:color="auto" w:fill="auto"/>
          </w:tcPr>
          <w:p w14:paraId="11120AAB" w14:textId="77777777" w:rsidR="00AA0841" w:rsidRPr="00FA55B6" w:rsidRDefault="00AA0841" w:rsidP="00AA0841">
            <w:pPr>
              <w:spacing w:after="0"/>
              <w:contextualSpacing/>
              <w:rPr>
                <w:rFonts w:cstheme="minorHAnsi"/>
                <w:b/>
                <w:bCs/>
                <w:color w:val="000000" w:themeColor="text1"/>
                <w:sz w:val="18"/>
                <w:szCs w:val="18"/>
              </w:rPr>
            </w:pPr>
          </w:p>
        </w:tc>
        <w:tc>
          <w:tcPr>
            <w:tcW w:w="389" w:type="pct"/>
            <w:vMerge/>
            <w:vAlign w:val="center"/>
          </w:tcPr>
          <w:p w14:paraId="7C2FF478" w14:textId="77777777" w:rsidR="00AA0841" w:rsidRPr="005F608F" w:rsidRDefault="00AA0841" w:rsidP="00AA0841">
            <w:pPr>
              <w:jc w:val="center"/>
              <w:rPr>
                <w:rFonts w:cstheme="minorHAnsi"/>
                <w:bCs/>
                <w:color w:val="000000" w:themeColor="text1"/>
                <w:sz w:val="18"/>
                <w:szCs w:val="18"/>
              </w:rPr>
            </w:pPr>
          </w:p>
        </w:tc>
        <w:tc>
          <w:tcPr>
            <w:tcW w:w="845" w:type="pct"/>
            <w:shd w:val="clear" w:color="auto" w:fill="auto"/>
            <w:vAlign w:val="center"/>
          </w:tcPr>
          <w:p w14:paraId="56C2A231" w14:textId="77777777" w:rsidR="00AA0841" w:rsidRDefault="00AA0841" w:rsidP="00AA0841">
            <w:pPr>
              <w:jc w:val="center"/>
              <w:rPr>
                <w:rFonts w:cstheme="minorHAnsi"/>
                <w:bCs/>
                <w:color w:val="000000" w:themeColor="text1"/>
                <w:sz w:val="18"/>
                <w:szCs w:val="18"/>
              </w:rPr>
            </w:pPr>
            <w:r>
              <w:rPr>
                <w:rFonts w:cstheme="minorHAnsi"/>
                <w:bCs/>
                <w:color w:val="000000" w:themeColor="text1"/>
                <w:sz w:val="18"/>
                <w:szCs w:val="18"/>
              </w:rPr>
              <w:t>Overbank: &gt;18 787 ML/day (any time) duration 1 day.</w:t>
            </w:r>
          </w:p>
        </w:tc>
        <w:tc>
          <w:tcPr>
            <w:tcW w:w="455" w:type="pct"/>
            <w:shd w:val="clear" w:color="auto" w:fill="auto"/>
            <w:vAlign w:val="center"/>
          </w:tcPr>
          <w:p w14:paraId="03D522B9" w14:textId="77777777" w:rsidR="00AA0841" w:rsidRDefault="00AA0841" w:rsidP="00AA0841">
            <w:pPr>
              <w:jc w:val="center"/>
              <w:rPr>
                <w:rFonts w:hAnsi="Century Gothic"/>
                <w:bCs/>
                <w:sz w:val="18"/>
                <w:szCs w:val="18"/>
              </w:rPr>
            </w:pPr>
            <w:r>
              <w:rPr>
                <w:rFonts w:hAnsi="Century Gothic"/>
                <w:bCs/>
                <w:sz w:val="18"/>
                <w:szCs w:val="18"/>
              </w:rPr>
              <w:t>0</w:t>
            </w:r>
            <w:r>
              <w:rPr>
                <w:rFonts w:hAnsi="Century Gothic"/>
                <w:bCs/>
                <w:sz w:val="18"/>
                <w:szCs w:val="18"/>
              </w:rPr>
              <w:t>–</w:t>
            </w:r>
            <w:r>
              <w:rPr>
                <w:rFonts w:hAnsi="Century Gothic"/>
                <w:bCs/>
                <w:sz w:val="18"/>
                <w:szCs w:val="18"/>
              </w:rPr>
              <w:t>3 years in 10 (15%).</w:t>
            </w:r>
          </w:p>
          <w:p w14:paraId="22A1BC6B" w14:textId="77777777" w:rsidR="00AA0841" w:rsidRDefault="00AA0841" w:rsidP="00AA0841">
            <w:pPr>
              <w:jc w:val="center"/>
              <w:rPr>
                <w:rFonts w:hAnsi="Century Gothic"/>
                <w:bCs/>
                <w:sz w:val="18"/>
                <w:szCs w:val="18"/>
              </w:rPr>
            </w:pPr>
            <w:r>
              <w:rPr>
                <w:rFonts w:hAnsi="Century Gothic"/>
                <w:bCs/>
                <w:sz w:val="18"/>
                <w:szCs w:val="18"/>
              </w:rPr>
              <w:t>(Max. interval 20 years)</w:t>
            </w:r>
          </w:p>
        </w:tc>
        <w:tc>
          <w:tcPr>
            <w:tcW w:w="1234" w:type="pct"/>
            <w:shd w:val="clear" w:color="auto" w:fill="auto"/>
            <w:vAlign w:val="center"/>
          </w:tcPr>
          <w:p w14:paraId="31C62AF7" w14:textId="77777777" w:rsidR="00AA0841" w:rsidRPr="00365FE2" w:rsidRDefault="00AA0841" w:rsidP="00AA0841">
            <w:pPr>
              <w:spacing w:after="60"/>
              <w:jc w:val="center"/>
              <w:rPr>
                <w:rFonts w:hAnsi="Century Gothic"/>
                <w:bCs/>
                <w:sz w:val="18"/>
                <w:szCs w:val="18"/>
              </w:rPr>
            </w:pPr>
            <w:r>
              <w:rPr>
                <w:rFonts w:hAnsi="Century Gothic"/>
                <w:bCs/>
                <w:sz w:val="18"/>
                <w:szCs w:val="18"/>
              </w:rPr>
              <w:t>Met 2010</w:t>
            </w:r>
            <w:r>
              <w:rPr>
                <w:rFonts w:hAnsi="Century Gothic"/>
                <w:bCs/>
                <w:sz w:val="18"/>
                <w:szCs w:val="18"/>
              </w:rPr>
              <w:t>–</w:t>
            </w:r>
            <w:r>
              <w:rPr>
                <w:rFonts w:hAnsi="Century Gothic"/>
                <w:bCs/>
                <w:sz w:val="18"/>
                <w:szCs w:val="18"/>
              </w:rPr>
              <w:t>11, 2011</w:t>
            </w:r>
            <w:r>
              <w:rPr>
                <w:rFonts w:hAnsi="Century Gothic"/>
                <w:bCs/>
                <w:sz w:val="18"/>
                <w:szCs w:val="18"/>
              </w:rPr>
              <w:t>–</w:t>
            </w:r>
            <w:r>
              <w:rPr>
                <w:rFonts w:hAnsi="Century Gothic"/>
                <w:bCs/>
                <w:sz w:val="18"/>
                <w:szCs w:val="18"/>
              </w:rPr>
              <w:t>12, 2013</w:t>
            </w:r>
            <w:r>
              <w:rPr>
                <w:rFonts w:hAnsi="Century Gothic"/>
                <w:bCs/>
                <w:sz w:val="18"/>
                <w:szCs w:val="18"/>
              </w:rPr>
              <w:t>–</w:t>
            </w:r>
            <w:r>
              <w:rPr>
                <w:rFonts w:hAnsi="Century Gothic"/>
                <w:bCs/>
                <w:sz w:val="18"/>
                <w:szCs w:val="18"/>
              </w:rPr>
              <w:t>14. Not met since 2013</w:t>
            </w:r>
            <w:r>
              <w:rPr>
                <w:rFonts w:hAnsi="Century Gothic"/>
                <w:bCs/>
                <w:sz w:val="18"/>
                <w:szCs w:val="18"/>
              </w:rPr>
              <w:t>–</w:t>
            </w:r>
            <w:r>
              <w:rPr>
                <w:rFonts w:hAnsi="Century Gothic"/>
                <w:bCs/>
                <w:sz w:val="18"/>
                <w:szCs w:val="18"/>
              </w:rPr>
              <w:t>14.</w:t>
            </w:r>
          </w:p>
        </w:tc>
        <w:tc>
          <w:tcPr>
            <w:tcW w:w="470" w:type="pct"/>
            <w:shd w:val="clear" w:color="auto" w:fill="FFC000"/>
            <w:vAlign w:val="center"/>
          </w:tcPr>
          <w:p w14:paraId="1A6B1442" w14:textId="77777777" w:rsidR="00AA0841" w:rsidRPr="007D0A8A" w:rsidRDefault="00AA0841" w:rsidP="00AA0841">
            <w:pPr>
              <w:spacing w:before="60" w:after="60"/>
              <w:jc w:val="center"/>
              <w:rPr>
                <w:color w:val="auto"/>
                <w:sz w:val="18"/>
                <w:szCs w:val="18"/>
              </w:rPr>
            </w:pPr>
            <w:r w:rsidRPr="007D0A8A">
              <w:rPr>
                <w:color w:val="auto"/>
                <w:sz w:val="18"/>
                <w:szCs w:val="18"/>
              </w:rPr>
              <w:t>Moderate</w:t>
            </w:r>
          </w:p>
        </w:tc>
        <w:tc>
          <w:tcPr>
            <w:tcW w:w="666" w:type="pct"/>
            <w:vMerge/>
            <w:shd w:val="clear" w:color="auto" w:fill="95B3D7" w:themeFill="accent1" w:themeFillTint="99"/>
            <w:vAlign w:val="center"/>
          </w:tcPr>
          <w:p w14:paraId="18F4E93E" w14:textId="77777777" w:rsidR="00AA0841" w:rsidRPr="007D0A8A" w:rsidRDefault="00AA0841" w:rsidP="00AA0841">
            <w:pPr>
              <w:spacing w:after="0"/>
              <w:jc w:val="center"/>
              <w:rPr>
                <w:rFonts w:cstheme="minorHAnsi"/>
                <w:b/>
                <w:bCs/>
                <w:color w:val="auto"/>
                <w:sz w:val="18"/>
                <w:szCs w:val="18"/>
              </w:rPr>
            </w:pPr>
          </w:p>
        </w:tc>
        <w:tc>
          <w:tcPr>
            <w:tcW w:w="487" w:type="pct"/>
            <w:tcBorders>
              <w:right w:val="single" w:sz="12" w:space="0" w:color="auto"/>
            </w:tcBorders>
            <w:shd w:val="clear" w:color="auto" w:fill="92D050"/>
            <w:vAlign w:val="center"/>
          </w:tcPr>
          <w:p w14:paraId="06A4AB05" w14:textId="77777777" w:rsidR="00AA0841" w:rsidRPr="007D0A8A" w:rsidRDefault="00AA0841" w:rsidP="00AA0841">
            <w:pPr>
              <w:spacing w:before="60" w:after="60"/>
              <w:jc w:val="center"/>
              <w:rPr>
                <w:color w:val="auto"/>
                <w:sz w:val="18"/>
                <w:szCs w:val="18"/>
              </w:rPr>
            </w:pPr>
            <w:r w:rsidRPr="007D0A8A">
              <w:rPr>
                <w:color w:val="auto"/>
                <w:sz w:val="18"/>
                <w:szCs w:val="18"/>
              </w:rPr>
              <w:t>Low</w:t>
            </w:r>
          </w:p>
        </w:tc>
      </w:tr>
      <w:tr w:rsidR="00AA0841" w:rsidRPr="007D0A8A" w14:paraId="58D23993" w14:textId="77777777" w:rsidTr="00AA0841">
        <w:trPr>
          <w:trHeight w:val="1540"/>
        </w:trPr>
        <w:tc>
          <w:tcPr>
            <w:tcW w:w="454" w:type="pct"/>
            <w:vMerge/>
            <w:tcBorders>
              <w:left w:val="single" w:sz="12" w:space="0" w:color="auto"/>
            </w:tcBorders>
            <w:shd w:val="clear" w:color="auto" w:fill="auto"/>
          </w:tcPr>
          <w:p w14:paraId="4DDDCA2D" w14:textId="77777777" w:rsidR="00AA0841" w:rsidRPr="007D361F" w:rsidRDefault="00AA0841" w:rsidP="00AA0841">
            <w:pPr>
              <w:rPr>
                <w:rFonts w:eastAsia="Century Gothic" w:hAnsi="Century Gothic"/>
                <w:b/>
                <w:bCs/>
                <w:sz w:val="18"/>
                <w:szCs w:val="18"/>
              </w:rPr>
            </w:pPr>
          </w:p>
        </w:tc>
        <w:tc>
          <w:tcPr>
            <w:tcW w:w="389" w:type="pct"/>
            <w:vMerge/>
            <w:vAlign w:val="center"/>
          </w:tcPr>
          <w:p w14:paraId="50A1F04C" w14:textId="77777777" w:rsidR="00AA0841" w:rsidRDefault="00AA0841" w:rsidP="00AA0841">
            <w:pPr>
              <w:jc w:val="center"/>
              <w:rPr>
                <w:rFonts w:hAnsi="Century Gothic"/>
                <w:color w:val="FF0000"/>
                <w:sz w:val="18"/>
                <w:szCs w:val="18"/>
              </w:rPr>
            </w:pPr>
          </w:p>
        </w:tc>
        <w:tc>
          <w:tcPr>
            <w:tcW w:w="845" w:type="pct"/>
            <w:shd w:val="clear" w:color="auto" w:fill="auto"/>
            <w:vAlign w:val="center"/>
          </w:tcPr>
          <w:p w14:paraId="6F8C662E" w14:textId="77777777" w:rsidR="00AA0841" w:rsidRPr="00097A84" w:rsidRDefault="00AA0841" w:rsidP="00AA0841">
            <w:pPr>
              <w:jc w:val="center"/>
              <w:rPr>
                <w:spacing w:val="-1"/>
                <w:sz w:val="18"/>
                <w:szCs w:val="18"/>
                <w:highlight w:val="yellow"/>
              </w:rPr>
            </w:pPr>
            <w:r w:rsidRPr="00365FE2">
              <w:rPr>
                <w:sz w:val="18"/>
                <w:szCs w:val="18"/>
              </w:rPr>
              <w:t>I</w:t>
            </w:r>
            <w:r w:rsidRPr="00365FE2">
              <w:rPr>
                <w:spacing w:val="-1"/>
                <w:sz w:val="18"/>
                <w:szCs w:val="18"/>
              </w:rPr>
              <w:t>n-channel</w:t>
            </w:r>
            <w:r w:rsidRPr="00365FE2">
              <w:rPr>
                <w:spacing w:val="26"/>
                <w:sz w:val="18"/>
                <w:szCs w:val="18"/>
              </w:rPr>
              <w:t xml:space="preserve"> </w:t>
            </w:r>
            <w:r w:rsidRPr="00365FE2">
              <w:rPr>
                <w:spacing w:val="-1"/>
                <w:sz w:val="18"/>
                <w:szCs w:val="18"/>
              </w:rPr>
              <w:t>flows:</w:t>
            </w:r>
            <w:r>
              <w:rPr>
                <w:spacing w:val="-1"/>
                <w:sz w:val="18"/>
                <w:szCs w:val="18"/>
              </w:rPr>
              <w:t xml:space="preserve"> Up to 600 ML/day for minimum 10 days to enable fish passage and movemen</w:t>
            </w:r>
            <w:r w:rsidRPr="00097A84">
              <w:rPr>
                <w:spacing w:val="-1"/>
                <w:sz w:val="18"/>
                <w:szCs w:val="18"/>
              </w:rPr>
              <w:t>t.</w:t>
            </w:r>
          </w:p>
        </w:tc>
        <w:tc>
          <w:tcPr>
            <w:tcW w:w="455" w:type="pct"/>
            <w:shd w:val="clear" w:color="auto" w:fill="auto"/>
            <w:vAlign w:val="center"/>
          </w:tcPr>
          <w:p w14:paraId="7838D2FE" w14:textId="77777777" w:rsidR="00AA0841" w:rsidRPr="005F608F" w:rsidRDefault="00AA0841" w:rsidP="00AA0841">
            <w:pPr>
              <w:jc w:val="center"/>
              <w:rPr>
                <w:rFonts w:cstheme="minorHAnsi"/>
                <w:color w:val="000000" w:themeColor="text1"/>
                <w:sz w:val="18"/>
                <w:szCs w:val="18"/>
              </w:rPr>
            </w:pPr>
            <w:r w:rsidRPr="007063C4">
              <w:rPr>
                <w:spacing w:val="-1"/>
                <w:sz w:val="18"/>
                <w:szCs w:val="18"/>
              </w:rPr>
              <w:t>Ideally</w:t>
            </w:r>
            <w:r>
              <w:rPr>
                <w:spacing w:val="-1"/>
                <w:sz w:val="18"/>
                <w:szCs w:val="18"/>
              </w:rPr>
              <w:t xml:space="preserve"> </w:t>
            </w:r>
            <w:r w:rsidRPr="005F608F">
              <w:rPr>
                <w:rFonts w:cstheme="minorHAnsi"/>
                <w:color w:val="000000" w:themeColor="text1"/>
                <w:sz w:val="18"/>
                <w:szCs w:val="18"/>
              </w:rPr>
              <w:t>5–10 in 10 years</w:t>
            </w:r>
          </w:p>
          <w:p w14:paraId="370343D9" w14:textId="77777777" w:rsidR="00AA0841" w:rsidRPr="00492C6A" w:rsidRDefault="00AA0841" w:rsidP="00AA0841">
            <w:pPr>
              <w:jc w:val="center"/>
              <w:rPr>
                <w:rFonts w:cstheme="minorHAnsi"/>
                <w:color w:val="FF0000"/>
                <w:sz w:val="18"/>
                <w:szCs w:val="18"/>
              </w:rPr>
            </w:pPr>
            <w:r w:rsidRPr="005F608F">
              <w:rPr>
                <w:rFonts w:cstheme="minorHAnsi"/>
                <w:color w:val="000000" w:themeColor="text1"/>
                <w:sz w:val="18"/>
                <w:szCs w:val="18"/>
              </w:rPr>
              <w:t>(Max. interval 2 years)</w:t>
            </w:r>
          </w:p>
        </w:tc>
        <w:tc>
          <w:tcPr>
            <w:tcW w:w="1234" w:type="pct"/>
            <w:shd w:val="clear" w:color="auto" w:fill="auto"/>
            <w:vAlign w:val="center"/>
          </w:tcPr>
          <w:p w14:paraId="134EB320" w14:textId="77777777" w:rsidR="00AA0841" w:rsidRPr="00EC32EF" w:rsidRDefault="00AA0841" w:rsidP="00AA0841">
            <w:pPr>
              <w:spacing w:after="60"/>
              <w:jc w:val="center"/>
              <w:rPr>
                <w:bCs/>
                <w:color w:val="FF0000"/>
                <w:sz w:val="18"/>
                <w:szCs w:val="18"/>
                <w:highlight w:val="lightGray"/>
              </w:rPr>
            </w:pPr>
            <w:r w:rsidRPr="00E05505">
              <w:rPr>
                <w:rFonts w:hAnsi="Century Gothic"/>
                <w:bCs/>
                <w:sz w:val="18"/>
                <w:szCs w:val="18"/>
              </w:rPr>
              <w:t>Met</w:t>
            </w:r>
            <w:r>
              <w:rPr>
                <w:rFonts w:hAnsi="Century Gothic"/>
                <w:bCs/>
                <w:sz w:val="18"/>
                <w:szCs w:val="18"/>
              </w:rPr>
              <w:t xml:space="preserve"> in all years since 2010</w:t>
            </w:r>
            <w:r>
              <w:rPr>
                <w:rFonts w:hAnsi="Century Gothic"/>
                <w:bCs/>
                <w:sz w:val="18"/>
                <w:szCs w:val="18"/>
              </w:rPr>
              <w:t>–</w:t>
            </w:r>
            <w:r>
              <w:rPr>
                <w:rFonts w:hAnsi="Century Gothic"/>
                <w:bCs/>
                <w:sz w:val="18"/>
                <w:szCs w:val="18"/>
              </w:rPr>
              <w:t>11 excluding 2012</w:t>
            </w:r>
            <w:r>
              <w:rPr>
                <w:rFonts w:hAnsi="Century Gothic"/>
                <w:bCs/>
                <w:sz w:val="18"/>
                <w:szCs w:val="18"/>
              </w:rPr>
              <w:t>–</w:t>
            </w:r>
            <w:r>
              <w:rPr>
                <w:rFonts w:hAnsi="Century Gothic"/>
                <w:bCs/>
                <w:sz w:val="18"/>
                <w:szCs w:val="18"/>
              </w:rPr>
              <w:t>13.</w:t>
            </w:r>
          </w:p>
        </w:tc>
        <w:tc>
          <w:tcPr>
            <w:tcW w:w="470" w:type="pct"/>
            <w:shd w:val="clear" w:color="auto" w:fill="92D050"/>
            <w:vAlign w:val="center"/>
          </w:tcPr>
          <w:p w14:paraId="4D3A9D8E" w14:textId="77777777" w:rsidR="00AA0841" w:rsidRPr="007D0A8A" w:rsidRDefault="00AA0841" w:rsidP="00AA0841">
            <w:pPr>
              <w:spacing w:before="60" w:after="60"/>
              <w:jc w:val="center"/>
              <w:rPr>
                <w:color w:val="auto"/>
                <w:sz w:val="18"/>
                <w:szCs w:val="18"/>
              </w:rPr>
            </w:pPr>
            <w:r w:rsidRPr="007D0A8A">
              <w:rPr>
                <w:color w:val="auto"/>
                <w:sz w:val="18"/>
                <w:szCs w:val="18"/>
              </w:rPr>
              <w:t>Low</w:t>
            </w:r>
          </w:p>
        </w:tc>
        <w:tc>
          <w:tcPr>
            <w:tcW w:w="666" w:type="pct"/>
            <w:shd w:val="clear" w:color="auto" w:fill="365F91" w:themeFill="accent1" w:themeFillShade="BF"/>
            <w:vAlign w:val="center"/>
          </w:tcPr>
          <w:p w14:paraId="5CBB1CA3" w14:textId="77777777" w:rsidR="00AA0841" w:rsidRPr="007D0A8A" w:rsidRDefault="00AA0841" w:rsidP="00AA0841">
            <w:pPr>
              <w:jc w:val="center"/>
              <w:rPr>
                <w:rFonts w:cstheme="minorHAnsi"/>
                <w:color w:val="auto"/>
                <w:spacing w:val="-1"/>
                <w:sz w:val="18"/>
                <w:highlight w:val="yellow"/>
              </w:rPr>
            </w:pPr>
            <w:r w:rsidRPr="007D0A8A">
              <w:rPr>
                <w:rFonts w:cstheme="minorHAnsi"/>
                <w:color w:val="auto"/>
                <w:sz w:val="18"/>
                <w:szCs w:val="18"/>
              </w:rPr>
              <w:t>A high priority for CEW under all water resource availability scenarios.</w:t>
            </w:r>
          </w:p>
        </w:tc>
        <w:tc>
          <w:tcPr>
            <w:tcW w:w="487" w:type="pct"/>
            <w:tcBorders>
              <w:right w:val="single" w:sz="12" w:space="0" w:color="auto"/>
            </w:tcBorders>
            <w:shd w:val="clear" w:color="auto" w:fill="92D050"/>
            <w:vAlign w:val="center"/>
          </w:tcPr>
          <w:p w14:paraId="11468112" w14:textId="77777777" w:rsidR="00AA0841" w:rsidRPr="007D0A8A" w:rsidRDefault="00AA0841" w:rsidP="00AA0841">
            <w:pPr>
              <w:spacing w:before="60" w:after="60"/>
              <w:jc w:val="center"/>
              <w:rPr>
                <w:color w:val="auto"/>
                <w:sz w:val="18"/>
                <w:szCs w:val="18"/>
              </w:rPr>
            </w:pPr>
            <w:r w:rsidRPr="007D0A8A">
              <w:rPr>
                <w:color w:val="auto"/>
                <w:sz w:val="18"/>
                <w:szCs w:val="18"/>
              </w:rPr>
              <w:t>Low</w:t>
            </w:r>
          </w:p>
        </w:tc>
      </w:tr>
      <w:tr w:rsidR="00AA0841" w:rsidRPr="007D0A8A" w14:paraId="7CDC5D0A" w14:textId="77777777" w:rsidTr="00AA0841">
        <w:trPr>
          <w:trHeight w:val="1260"/>
        </w:trPr>
        <w:tc>
          <w:tcPr>
            <w:tcW w:w="454" w:type="pct"/>
            <w:vMerge w:val="restart"/>
            <w:tcBorders>
              <w:left w:val="single" w:sz="12" w:space="0" w:color="auto"/>
            </w:tcBorders>
            <w:shd w:val="clear" w:color="auto" w:fill="auto"/>
          </w:tcPr>
          <w:p w14:paraId="13F7926C" w14:textId="77777777" w:rsidR="00AA0841" w:rsidRDefault="00AA0841" w:rsidP="00AA0841">
            <w:pPr>
              <w:spacing w:after="0"/>
              <w:contextualSpacing/>
              <w:rPr>
                <w:rFonts w:cstheme="minorHAnsi"/>
                <w:b/>
                <w:bCs/>
                <w:color w:val="000000" w:themeColor="text1"/>
                <w:sz w:val="18"/>
                <w:szCs w:val="18"/>
              </w:rPr>
            </w:pPr>
            <w:bookmarkStart w:id="88" w:name="_Hlk42083895"/>
            <w:r>
              <w:rPr>
                <w:rFonts w:cstheme="minorHAnsi"/>
                <w:b/>
                <w:bCs/>
                <w:color w:val="000000" w:themeColor="text1"/>
                <w:sz w:val="18"/>
                <w:szCs w:val="18"/>
              </w:rPr>
              <w:lastRenderedPageBreak/>
              <w:t>Cuttaburra Creek (at Turra)</w:t>
            </w:r>
          </w:p>
          <w:p w14:paraId="1BB900CB" w14:textId="77777777" w:rsidR="00AA0841" w:rsidRPr="00FA55B6" w:rsidRDefault="00AA0841" w:rsidP="00AA0841">
            <w:pPr>
              <w:spacing w:after="0"/>
              <w:contextualSpacing/>
              <w:rPr>
                <w:rFonts w:cstheme="minorHAnsi"/>
                <w:b/>
                <w:bCs/>
                <w:color w:val="000000" w:themeColor="text1"/>
                <w:sz w:val="18"/>
                <w:szCs w:val="18"/>
              </w:rPr>
            </w:pPr>
          </w:p>
        </w:tc>
        <w:tc>
          <w:tcPr>
            <w:tcW w:w="389" w:type="pct"/>
            <w:vMerge w:val="restart"/>
            <w:vAlign w:val="center"/>
          </w:tcPr>
          <w:p w14:paraId="23603122" w14:textId="77777777" w:rsidR="00AA0841" w:rsidRPr="005F608F" w:rsidRDefault="00AA0841" w:rsidP="00AA0841">
            <w:pPr>
              <w:rPr>
                <w:rFonts w:cstheme="minorHAnsi"/>
                <w:bCs/>
                <w:color w:val="000000" w:themeColor="text1"/>
                <w:sz w:val="18"/>
                <w:szCs w:val="18"/>
              </w:rPr>
            </w:pPr>
            <w:r w:rsidRPr="005F608F">
              <w:rPr>
                <w:rFonts w:cstheme="minorHAnsi"/>
                <w:bCs/>
                <w:color w:val="000000" w:themeColor="text1"/>
                <w:sz w:val="18"/>
                <w:szCs w:val="18"/>
              </w:rPr>
              <w:t>Native fish dispersal and condition</w:t>
            </w:r>
          </w:p>
          <w:p w14:paraId="3C49A078" w14:textId="77777777" w:rsidR="00AA0841" w:rsidRDefault="00AA0841" w:rsidP="00AA0841">
            <w:pPr>
              <w:rPr>
                <w:rFonts w:cstheme="minorHAnsi"/>
                <w:bCs/>
                <w:color w:val="000000" w:themeColor="text1"/>
                <w:sz w:val="18"/>
                <w:szCs w:val="18"/>
              </w:rPr>
            </w:pPr>
            <w:r w:rsidRPr="005F608F">
              <w:rPr>
                <w:rFonts w:cstheme="minorHAnsi"/>
                <w:bCs/>
                <w:color w:val="000000" w:themeColor="text1"/>
                <w:sz w:val="18"/>
                <w:szCs w:val="18"/>
              </w:rPr>
              <w:t>Native fish spawning</w:t>
            </w:r>
            <w:r>
              <w:rPr>
                <w:rFonts w:cstheme="minorHAnsi"/>
                <w:bCs/>
                <w:color w:val="000000" w:themeColor="text1"/>
                <w:sz w:val="18"/>
                <w:szCs w:val="18"/>
              </w:rPr>
              <w:t xml:space="preserve"> and recruitment</w:t>
            </w:r>
          </w:p>
          <w:p w14:paraId="6F9E017E" w14:textId="77777777" w:rsidR="00AA0841" w:rsidRDefault="00AA0841" w:rsidP="00AA0841">
            <w:pPr>
              <w:rPr>
                <w:rFonts w:cstheme="minorHAnsi"/>
                <w:bCs/>
                <w:color w:val="000000" w:themeColor="text1"/>
                <w:sz w:val="18"/>
                <w:szCs w:val="18"/>
              </w:rPr>
            </w:pPr>
            <w:r w:rsidRPr="00B702AE">
              <w:rPr>
                <w:rFonts w:cstheme="minorHAnsi"/>
                <w:bCs/>
                <w:color w:val="000000" w:themeColor="text1"/>
                <w:sz w:val="18"/>
                <w:szCs w:val="18"/>
              </w:rPr>
              <w:t>Native vegetation</w:t>
            </w:r>
          </w:p>
          <w:p w14:paraId="1BAC402D" w14:textId="77777777" w:rsidR="00AA0841" w:rsidRPr="00BD3ADA" w:rsidRDefault="00AA0841" w:rsidP="00AA0841">
            <w:r w:rsidRPr="005F608F">
              <w:rPr>
                <w:rFonts w:cstheme="minorHAnsi"/>
                <w:bCs/>
                <w:color w:val="000000" w:themeColor="text1"/>
                <w:sz w:val="18"/>
                <w:szCs w:val="18"/>
              </w:rPr>
              <w:t>Aquatic ecosystem</w:t>
            </w:r>
            <w:r>
              <w:rPr>
                <w:rFonts w:cstheme="minorHAnsi"/>
                <w:bCs/>
                <w:color w:val="000000" w:themeColor="text1"/>
                <w:sz w:val="18"/>
                <w:szCs w:val="18"/>
              </w:rPr>
              <w:t xml:space="preserve"> function</w:t>
            </w:r>
          </w:p>
        </w:tc>
        <w:tc>
          <w:tcPr>
            <w:tcW w:w="845" w:type="pct"/>
            <w:shd w:val="clear" w:color="auto" w:fill="auto"/>
            <w:vAlign w:val="center"/>
          </w:tcPr>
          <w:p w14:paraId="3A26CC80" w14:textId="77777777" w:rsidR="00AA0841" w:rsidRPr="00116EE6" w:rsidRDefault="00AA0841" w:rsidP="00AA0841">
            <w:pPr>
              <w:jc w:val="center"/>
              <w:rPr>
                <w:rFonts w:cstheme="minorHAnsi"/>
                <w:bCs/>
                <w:color w:val="000000" w:themeColor="text1"/>
                <w:sz w:val="18"/>
                <w:szCs w:val="18"/>
              </w:rPr>
            </w:pPr>
            <w:r w:rsidRPr="00116EE6">
              <w:rPr>
                <w:rFonts w:cstheme="minorHAnsi"/>
                <w:bCs/>
                <w:color w:val="000000" w:themeColor="text1"/>
                <w:sz w:val="18"/>
                <w:szCs w:val="18"/>
              </w:rPr>
              <w:t>Small fresh 1: &lt;1</w:t>
            </w:r>
            <w:r>
              <w:rPr>
                <w:rFonts w:cstheme="minorHAnsi"/>
                <w:bCs/>
                <w:color w:val="000000" w:themeColor="text1"/>
                <w:sz w:val="18"/>
                <w:szCs w:val="18"/>
              </w:rPr>
              <w:t xml:space="preserve"> </w:t>
            </w:r>
            <w:r w:rsidRPr="00116EE6">
              <w:rPr>
                <w:rFonts w:cstheme="minorHAnsi"/>
                <w:bCs/>
                <w:color w:val="000000" w:themeColor="text1"/>
                <w:sz w:val="18"/>
                <w:szCs w:val="18"/>
              </w:rPr>
              <w:t>000 ML/d</w:t>
            </w:r>
            <w:r>
              <w:rPr>
                <w:rFonts w:cstheme="minorHAnsi"/>
                <w:bCs/>
                <w:color w:val="000000" w:themeColor="text1"/>
                <w:sz w:val="18"/>
                <w:szCs w:val="18"/>
              </w:rPr>
              <w:t xml:space="preserve"> for 23 days (anytime)</w:t>
            </w:r>
          </w:p>
        </w:tc>
        <w:tc>
          <w:tcPr>
            <w:tcW w:w="455" w:type="pct"/>
            <w:shd w:val="clear" w:color="auto" w:fill="auto"/>
            <w:vAlign w:val="center"/>
          </w:tcPr>
          <w:p w14:paraId="7D800F48" w14:textId="77777777" w:rsidR="00AA0841" w:rsidRPr="005F608F" w:rsidRDefault="00AA0841" w:rsidP="00AA0841">
            <w:pPr>
              <w:spacing w:after="0"/>
              <w:jc w:val="center"/>
              <w:rPr>
                <w:rFonts w:cstheme="minorHAnsi"/>
                <w:color w:val="000000" w:themeColor="text1"/>
                <w:sz w:val="18"/>
                <w:szCs w:val="18"/>
              </w:rPr>
            </w:pPr>
            <w:r>
              <w:rPr>
                <w:rFonts w:cstheme="minorHAnsi"/>
                <w:color w:val="000000" w:themeColor="text1"/>
                <w:sz w:val="18"/>
                <w:szCs w:val="18"/>
              </w:rPr>
              <w:t>4 years in 10</w:t>
            </w:r>
          </w:p>
        </w:tc>
        <w:tc>
          <w:tcPr>
            <w:tcW w:w="1234" w:type="pct"/>
            <w:shd w:val="clear" w:color="auto" w:fill="auto"/>
            <w:vAlign w:val="center"/>
          </w:tcPr>
          <w:p w14:paraId="34D7339E" w14:textId="77777777" w:rsidR="00AA0841" w:rsidRPr="00365FE2" w:rsidRDefault="00AA0841" w:rsidP="00AA0841">
            <w:pPr>
              <w:jc w:val="center"/>
              <w:rPr>
                <w:rFonts w:hAnsi="Century Gothic"/>
                <w:bCs/>
                <w:sz w:val="18"/>
                <w:szCs w:val="18"/>
              </w:rPr>
            </w:pPr>
            <w:r>
              <w:rPr>
                <w:rFonts w:hAnsi="Century Gothic"/>
                <w:bCs/>
                <w:sz w:val="18"/>
                <w:szCs w:val="18"/>
              </w:rPr>
              <w:t>Met in 2010</w:t>
            </w:r>
            <w:r>
              <w:rPr>
                <w:rFonts w:hAnsi="Century Gothic"/>
                <w:bCs/>
                <w:sz w:val="18"/>
                <w:szCs w:val="18"/>
              </w:rPr>
              <w:t>–</w:t>
            </w:r>
            <w:r>
              <w:rPr>
                <w:rFonts w:hAnsi="Century Gothic"/>
                <w:bCs/>
                <w:sz w:val="18"/>
                <w:szCs w:val="18"/>
              </w:rPr>
              <w:t>11 and 2011</w:t>
            </w:r>
            <w:r>
              <w:rPr>
                <w:rFonts w:hAnsi="Century Gothic"/>
                <w:bCs/>
                <w:sz w:val="18"/>
                <w:szCs w:val="18"/>
              </w:rPr>
              <w:t>–</w:t>
            </w:r>
            <w:r>
              <w:rPr>
                <w:rFonts w:hAnsi="Century Gothic"/>
                <w:bCs/>
                <w:sz w:val="18"/>
                <w:szCs w:val="18"/>
              </w:rPr>
              <w:t>12. Not met in 2012</w:t>
            </w:r>
            <w:r>
              <w:rPr>
                <w:rFonts w:hAnsi="Century Gothic"/>
                <w:bCs/>
                <w:sz w:val="18"/>
                <w:szCs w:val="18"/>
              </w:rPr>
              <w:t>–</w:t>
            </w:r>
            <w:r>
              <w:rPr>
                <w:rFonts w:hAnsi="Century Gothic"/>
                <w:bCs/>
                <w:sz w:val="18"/>
                <w:szCs w:val="18"/>
              </w:rPr>
              <w:t>13 or 2013</w:t>
            </w:r>
            <w:r>
              <w:rPr>
                <w:rFonts w:hAnsi="Century Gothic"/>
                <w:bCs/>
                <w:sz w:val="18"/>
                <w:szCs w:val="18"/>
              </w:rPr>
              <w:t>–</w:t>
            </w:r>
            <w:r>
              <w:rPr>
                <w:rFonts w:hAnsi="Century Gothic"/>
                <w:bCs/>
                <w:sz w:val="18"/>
                <w:szCs w:val="18"/>
              </w:rPr>
              <w:t>14. Met in 2014</w:t>
            </w:r>
            <w:r>
              <w:rPr>
                <w:rFonts w:hAnsi="Century Gothic"/>
                <w:bCs/>
                <w:sz w:val="18"/>
                <w:szCs w:val="18"/>
              </w:rPr>
              <w:t>–</w:t>
            </w:r>
            <w:r>
              <w:rPr>
                <w:rFonts w:hAnsi="Century Gothic"/>
                <w:bCs/>
                <w:sz w:val="18"/>
                <w:szCs w:val="18"/>
              </w:rPr>
              <w:t>15, 2015</w:t>
            </w:r>
            <w:r>
              <w:rPr>
                <w:rFonts w:hAnsi="Century Gothic"/>
                <w:bCs/>
                <w:sz w:val="18"/>
                <w:szCs w:val="18"/>
              </w:rPr>
              <w:t>–</w:t>
            </w:r>
            <w:r>
              <w:rPr>
                <w:rFonts w:hAnsi="Century Gothic"/>
                <w:bCs/>
                <w:sz w:val="18"/>
                <w:szCs w:val="18"/>
              </w:rPr>
              <w:t>16, 2016</w:t>
            </w:r>
            <w:r>
              <w:rPr>
                <w:rFonts w:hAnsi="Century Gothic"/>
                <w:bCs/>
                <w:sz w:val="18"/>
                <w:szCs w:val="18"/>
              </w:rPr>
              <w:t>–</w:t>
            </w:r>
            <w:r>
              <w:rPr>
                <w:rFonts w:hAnsi="Century Gothic"/>
                <w:bCs/>
                <w:sz w:val="18"/>
                <w:szCs w:val="18"/>
              </w:rPr>
              <w:t>17. Not met in 2017</w:t>
            </w:r>
            <w:r>
              <w:rPr>
                <w:rFonts w:hAnsi="Century Gothic"/>
                <w:bCs/>
                <w:sz w:val="18"/>
                <w:szCs w:val="18"/>
              </w:rPr>
              <w:t>–</w:t>
            </w:r>
            <w:r>
              <w:rPr>
                <w:rFonts w:hAnsi="Century Gothic"/>
                <w:bCs/>
                <w:sz w:val="18"/>
                <w:szCs w:val="18"/>
              </w:rPr>
              <w:t>18. Met in 2018</w:t>
            </w:r>
            <w:r>
              <w:rPr>
                <w:rFonts w:hAnsi="Century Gothic"/>
                <w:bCs/>
                <w:sz w:val="18"/>
                <w:szCs w:val="18"/>
              </w:rPr>
              <w:t>–</w:t>
            </w:r>
            <w:r>
              <w:rPr>
                <w:rFonts w:hAnsi="Century Gothic"/>
                <w:bCs/>
                <w:sz w:val="18"/>
                <w:szCs w:val="18"/>
              </w:rPr>
              <w:t>19 and 2019</w:t>
            </w:r>
            <w:r>
              <w:rPr>
                <w:rFonts w:hAnsi="Century Gothic"/>
                <w:bCs/>
                <w:sz w:val="18"/>
                <w:szCs w:val="18"/>
              </w:rPr>
              <w:t>–</w:t>
            </w:r>
            <w:r>
              <w:rPr>
                <w:rFonts w:hAnsi="Century Gothic"/>
                <w:bCs/>
                <w:sz w:val="18"/>
                <w:szCs w:val="18"/>
              </w:rPr>
              <w:t>20.</w:t>
            </w:r>
          </w:p>
        </w:tc>
        <w:tc>
          <w:tcPr>
            <w:tcW w:w="470" w:type="pct"/>
            <w:shd w:val="clear" w:color="auto" w:fill="FFC000"/>
            <w:vAlign w:val="center"/>
          </w:tcPr>
          <w:p w14:paraId="3EE414FB" w14:textId="77777777" w:rsidR="00AA0841" w:rsidRPr="007D0A8A" w:rsidRDefault="00AA0841" w:rsidP="00AA0841">
            <w:pPr>
              <w:jc w:val="center"/>
              <w:rPr>
                <w:color w:val="auto"/>
                <w:sz w:val="18"/>
                <w:szCs w:val="18"/>
              </w:rPr>
            </w:pPr>
            <w:r w:rsidRPr="007D0A8A">
              <w:rPr>
                <w:color w:val="auto"/>
                <w:sz w:val="18"/>
                <w:szCs w:val="18"/>
              </w:rPr>
              <w:t>Moderate</w:t>
            </w:r>
          </w:p>
        </w:tc>
        <w:tc>
          <w:tcPr>
            <w:tcW w:w="666" w:type="pct"/>
            <w:shd w:val="clear" w:color="auto" w:fill="95B3D7" w:themeFill="accent1" w:themeFillTint="99"/>
            <w:vAlign w:val="center"/>
          </w:tcPr>
          <w:p w14:paraId="4F05C031" w14:textId="77777777" w:rsidR="00AA0841" w:rsidRPr="007D0A8A" w:rsidRDefault="00AA0841" w:rsidP="00AA0841">
            <w:pPr>
              <w:jc w:val="center"/>
              <w:rPr>
                <w:rFonts w:cstheme="minorHAnsi"/>
                <w:color w:val="auto"/>
                <w:sz w:val="18"/>
                <w:szCs w:val="18"/>
              </w:rPr>
            </w:pPr>
            <w:r w:rsidRPr="007D0A8A">
              <w:rPr>
                <w:rFonts w:cstheme="minorHAnsi"/>
                <w:color w:val="auto"/>
                <w:sz w:val="18"/>
                <w:szCs w:val="18"/>
              </w:rPr>
              <w:t>Possible use of CEW to contribute to an unregulated flow event.</w:t>
            </w:r>
          </w:p>
        </w:tc>
        <w:tc>
          <w:tcPr>
            <w:tcW w:w="487" w:type="pct"/>
            <w:tcBorders>
              <w:right w:val="single" w:sz="12" w:space="0" w:color="auto"/>
            </w:tcBorders>
            <w:shd w:val="clear" w:color="auto" w:fill="92D050"/>
            <w:vAlign w:val="center"/>
          </w:tcPr>
          <w:p w14:paraId="2AAAFDEE" w14:textId="77777777" w:rsidR="00AA0841" w:rsidRPr="007D0A8A" w:rsidRDefault="00AA0841" w:rsidP="00AA0841">
            <w:pPr>
              <w:jc w:val="center"/>
              <w:rPr>
                <w:color w:val="auto"/>
                <w:sz w:val="18"/>
                <w:szCs w:val="18"/>
              </w:rPr>
            </w:pPr>
            <w:r w:rsidRPr="007D0A8A">
              <w:rPr>
                <w:color w:val="auto"/>
                <w:sz w:val="18"/>
                <w:szCs w:val="18"/>
              </w:rPr>
              <w:t>Low</w:t>
            </w:r>
          </w:p>
        </w:tc>
      </w:tr>
      <w:tr w:rsidR="00AA0841" w:rsidRPr="007D0A8A" w14:paraId="3D73C508" w14:textId="77777777" w:rsidTr="00AA0841">
        <w:trPr>
          <w:trHeight w:val="1816"/>
        </w:trPr>
        <w:tc>
          <w:tcPr>
            <w:tcW w:w="454" w:type="pct"/>
            <w:vMerge/>
            <w:tcBorders>
              <w:left w:val="single" w:sz="12" w:space="0" w:color="auto"/>
            </w:tcBorders>
            <w:shd w:val="clear" w:color="auto" w:fill="auto"/>
          </w:tcPr>
          <w:p w14:paraId="2CEA30B6" w14:textId="77777777" w:rsidR="00AA0841" w:rsidRPr="00FA55B6" w:rsidRDefault="00AA0841" w:rsidP="00AA0841">
            <w:pPr>
              <w:spacing w:after="0"/>
              <w:contextualSpacing/>
              <w:rPr>
                <w:rFonts w:cstheme="minorHAnsi"/>
                <w:b/>
                <w:bCs/>
                <w:color w:val="000000" w:themeColor="text1"/>
                <w:sz w:val="18"/>
                <w:szCs w:val="18"/>
              </w:rPr>
            </w:pPr>
          </w:p>
        </w:tc>
        <w:tc>
          <w:tcPr>
            <w:tcW w:w="389" w:type="pct"/>
            <w:vMerge/>
            <w:vAlign w:val="center"/>
          </w:tcPr>
          <w:p w14:paraId="2F5B7522" w14:textId="77777777" w:rsidR="00AA0841" w:rsidRPr="005F608F" w:rsidRDefault="00AA0841" w:rsidP="00AA0841">
            <w:pPr>
              <w:rPr>
                <w:rFonts w:cstheme="minorHAnsi"/>
                <w:bCs/>
                <w:color w:val="000000" w:themeColor="text1"/>
                <w:sz w:val="18"/>
                <w:szCs w:val="18"/>
              </w:rPr>
            </w:pPr>
          </w:p>
        </w:tc>
        <w:tc>
          <w:tcPr>
            <w:tcW w:w="845" w:type="pct"/>
            <w:shd w:val="clear" w:color="auto" w:fill="auto"/>
            <w:vAlign w:val="center"/>
          </w:tcPr>
          <w:p w14:paraId="62A969F9" w14:textId="77777777" w:rsidR="00AA0841" w:rsidRPr="00BB5BEE" w:rsidRDefault="00AA0841" w:rsidP="00AA0841">
            <w:pPr>
              <w:jc w:val="center"/>
              <w:rPr>
                <w:rFonts w:cstheme="minorHAnsi"/>
                <w:bCs/>
                <w:color w:val="000000" w:themeColor="text1"/>
                <w:sz w:val="18"/>
                <w:szCs w:val="18"/>
              </w:rPr>
            </w:pPr>
            <w:r w:rsidRPr="00BB5BEE">
              <w:rPr>
                <w:rFonts w:cstheme="minorHAnsi"/>
                <w:bCs/>
                <w:color w:val="000000" w:themeColor="text1"/>
                <w:sz w:val="18"/>
                <w:szCs w:val="18"/>
              </w:rPr>
              <w:t xml:space="preserve">Large fresh </w:t>
            </w:r>
            <w:r>
              <w:rPr>
                <w:rFonts w:cstheme="minorHAnsi"/>
                <w:bCs/>
                <w:color w:val="000000" w:themeColor="text1"/>
                <w:sz w:val="18"/>
                <w:szCs w:val="18"/>
              </w:rPr>
              <w:t>1: Up to 3 000 ML/d for 45 days (anytime)</w:t>
            </w:r>
          </w:p>
        </w:tc>
        <w:tc>
          <w:tcPr>
            <w:tcW w:w="455" w:type="pct"/>
            <w:shd w:val="clear" w:color="auto" w:fill="auto"/>
            <w:vAlign w:val="center"/>
          </w:tcPr>
          <w:p w14:paraId="18536062" w14:textId="77777777" w:rsidR="00AA0841" w:rsidRPr="005F608F" w:rsidRDefault="00AA0841" w:rsidP="00AA0841">
            <w:pPr>
              <w:spacing w:after="0"/>
              <w:jc w:val="center"/>
              <w:rPr>
                <w:rFonts w:cstheme="minorHAnsi"/>
                <w:color w:val="000000" w:themeColor="text1"/>
                <w:sz w:val="18"/>
                <w:szCs w:val="18"/>
              </w:rPr>
            </w:pPr>
            <w:r>
              <w:rPr>
                <w:rFonts w:cstheme="minorHAnsi"/>
                <w:color w:val="000000" w:themeColor="text1"/>
                <w:sz w:val="18"/>
                <w:szCs w:val="18"/>
              </w:rPr>
              <w:t>2.5 years in 10</w:t>
            </w:r>
          </w:p>
        </w:tc>
        <w:tc>
          <w:tcPr>
            <w:tcW w:w="1234" w:type="pct"/>
            <w:shd w:val="clear" w:color="auto" w:fill="auto"/>
            <w:vAlign w:val="center"/>
          </w:tcPr>
          <w:p w14:paraId="51A54ACB" w14:textId="77777777" w:rsidR="00AA0841" w:rsidRPr="00365FE2" w:rsidRDefault="00AA0841" w:rsidP="00AA0841">
            <w:pPr>
              <w:jc w:val="center"/>
              <w:rPr>
                <w:rFonts w:hAnsi="Century Gothic"/>
                <w:bCs/>
                <w:sz w:val="18"/>
                <w:szCs w:val="18"/>
              </w:rPr>
            </w:pPr>
            <w:r>
              <w:rPr>
                <w:rFonts w:hAnsi="Century Gothic"/>
                <w:bCs/>
                <w:sz w:val="18"/>
                <w:szCs w:val="18"/>
              </w:rPr>
              <w:t>Met in 2010</w:t>
            </w:r>
            <w:r>
              <w:rPr>
                <w:rFonts w:hAnsi="Century Gothic"/>
                <w:bCs/>
                <w:sz w:val="18"/>
                <w:szCs w:val="18"/>
              </w:rPr>
              <w:t>–</w:t>
            </w:r>
            <w:r>
              <w:rPr>
                <w:rFonts w:hAnsi="Century Gothic"/>
                <w:bCs/>
                <w:sz w:val="18"/>
                <w:szCs w:val="18"/>
              </w:rPr>
              <w:t>11. Not met in the last 10 years. Nearly met in 2011</w:t>
            </w:r>
            <w:r>
              <w:rPr>
                <w:rFonts w:hAnsi="Century Gothic"/>
                <w:bCs/>
                <w:sz w:val="18"/>
                <w:szCs w:val="18"/>
              </w:rPr>
              <w:t>–</w:t>
            </w:r>
            <w:r>
              <w:rPr>
                <w:rFonts w:hAnsi="Century Gothic"/>
                <w:bCs/>
                <w:sz w:val="18"/>
                <w:szCs w:val="18"/>
              </w:rPr>
              <w:t>12 (43 days).</w:t>
            </w:r>
          </w:p>
        </w:tc>
        <w:tc>
          <w:tcPr>
            <w:tcW w:w="470" w:type="pct"/>
            <w:shd w:val="clear" w:color="auto" w:fill="C00000"/>
            <w:vAlign w:val="center"/>
          </w:tcPr>
          <w:p w14:paraId="4D333A9E" w14:textId="77777777" w:rsidR="00AA0841" w:rsidRPr="007D0A8A" w:rsidRDefault="00AA0841" w:rsidP="00AA0841">
            <w:pPr>
              <w:jc w:val="center"/>
              <w:rPr>
                <w:color w:val="auto"/>
                <w:sz w:val="18"/>
                <w:szCs w:val="18"/>
              </w:rPr>
            </w:pPr>
            <w:r w:rsidRPr="007D0A8A">
              <w:rPr>
                <w:color w:val="auto"/>
                <w:sz w:val="18"/>
                <w:szCs w:val="18"/>
              </w:rPr>
              <w:t>Critical</w:t>
            </w:r>
          </w:p>
        </w:tc>
        <w:tc>
          <w:tcPr>
            <w:tcW w:w="666" w:type="pct"/>
            <w:shd w:val="clear" w:color="auto" w:fill="95B3D7" w:themeFill="accent1" w:themeFillTint="99"/>
            <w:vAlign w:val="center"/>
          </w:tcPr>
          <w:p w14:paraId="415C9651" w14:textId="77777777" w:rsidR="00AA0841" w:rsidRPr="007D0A8A" w:rsidRDefault="00AA0841" w:rsidP="00AA0841">
            <w:pPr>
              <w:jc w:val="center"/>
              <w:rPr>
                <w:rFonts w:cstheme="minorHAnsi"/>
                <w:color w:val="auto"/>
                <w:sz w:val="18"/>
                <w:szCs w:val="18"/>
              </w:rPr>
            </w:pPr>
            <w:r w:rsidRPr="007D0A8A">
              <w:rPr>
                <w:rFonts w:cstheme="minorHAnsi"/>
                <w:color w:val="auto"/>
                <w:sz w:val="18"/>
                <w:szCs w:val="18"/>
              </w:rPr>
              <w:t>Possible use of CEW to contribute to an unregulated flow event.</w:t>
            </w:r>
          </w:p>
        </w:tc>
        <w:tc>
          <w:tcPr>
            <w:tcW w:w="487" w:type="pct"/>
            <w:tcBorders>
              <w:right w:val="single" w:sz="12" w:space="0" w:color="auto"/>
            </w:tcBorders>
            <w:shd w:val="clear" w:color="auto" w:fill="92D050"/>
            <w:vAlign w:val="center"/>
          </w:tcPr>
          <w:p w14:paraId="17FF6FE1" w14:textId="77777777" w:rsidR="00AA0841" w:rsidRPr="007D0A8A" w:rsidRDefault="00AA0841" w:rsidP="00AA0841">
            <w:pPr>
              <w:jc w:val="center"/>
              <w:rPr>
                <w:color w:val="auto"/>
                <w:sz w:val="18"/>
                <w:szCs w:val="18"/>
              </w:rPr>
            </w:pPr>
            <w:r w:rsidRPr="007D0A8A">
              <w:rPr>
                <w:color w:val="auto"/>
                <w:sz w:val="18"/>
                <w:szCs w:val="18"/>
              </w:rPr>
              <w:t>Low</w:t>
            </w:r>
          </w:p>
        </w:tc>
      </w:tr>
      <w:tr w:rsidR="00AA0841" w:rsidRPr="007D0A8A" w14:paraId="305FADC5" w14:textId="77777777" w:rsidTr="00AA0841">
        <w:trPr>
          <w:trHeight w:val="1417"/>
        </w:trPr>
        <w:tc>
          <w:tcPr>
            <w:tcW w:w="454" w:type="pct"/>
            <w:vMerge/>
            <w:tcBorders>
              <w:left w:val="single" w:sz="12" w:space="0" w:color="auto"/>
            </w:tcBorders>
            <w:shd w:val="clear" w:color="auto" w:fill="auto"/>
          </w:tcPr>
          <w:p w14:paraId="1D5AA9E3" w14:textId="77777777" w:rsidR="00AA0841" w:rsidRPr="00FA55B6" w:rsidRDefault="00AA0841" w:rsidP="00AA0841">
            <w:pPr>
              <w:spacing w:after="0"/>
              <w:contextualSpacing/>
              <w:rPr>
                <w:rFonts w:cstheme="minorHAnsi"/>
                <w:b/>
                <w:bCs/>
                <w:color w:val="000000" w:themeColor="text1"/>
                <w:sz w:val="18"/>
                <w:szCs w:val="18"/>
              </w:rPr>
            </w:pPr>
          </w:p>
        </w:tc>
        <w:tc>
          <w:tcPr>
            <w:tcW w:w="389" w:type="pct"/>
            <w:vAlign w:val="center"/>
          </w:tcPr>
          <w:p w14:paraId="3A34251C" w14:textId="77777777" w:rsidR="00AA0841" w:rsidRDefault="00AA0841" w:rsidP="00AA0841">
            <w:pPr>
              <w:rPr>
                <w:rFonts w:cstheme="minorHAnsi"/>
                <w:bCs/>
                <w:color w:val="000000" w:themeColor="text1"/>
                <w:sz w:val="18"/>
                <w:szCs w:val="18"/>
              </w:rPr>
            </w:pPr>
            <w:r>
              <w:rPr>
                <w:rFonts w:cstheme="minorHAnsi"/>
                <w:bCs/>
                <w:color w:val="000000" w:themeColor="text1"/>
                <w:sz w:val="18"/>
                <w:szCs w:val="18"/>
              </w:rPr>
              <w:t>&lt;20% wetland inundation</w:t>
            </w:r>
          </w:p>
          <w:p w14:paraId="7D806D1F" w14:textId="77777777" w:rsidR="00AA0841" w:rsidRPr="005F608F" w:rsidRDefault="00AA0841" w:rsidP="00AA0841">
            <w:pPr>
              <w:rPr>
                <w:rFonts w:cstheme="minorHAnsi"/>
                <w:bCs/>
                <w:color w:val="000000" w:themeColor="text1"/>
                <w:sz w:val="18"/>
                <w:szCs w:val="18"/>
              </w:rPr>
            </w:pPr>
            <w:r>
              <w:rPr>
                <w:rFonts w:cstheme="minorHAnsi"/>
                <w:bCs/>
                <w:color w:val="000000" w:themeColor="text1"/>
                <w:sz w:val="18"/>
                <w:szCs w:val="18"/>
              </w:rPr>
              <w:t>Provides feeding and foraging habitat</w:t>
            </w:r>
          </w:p>
        </w:tc>
        <w:tc>
          <w:tcPr>
            <w:tcW w:w="845" w:type="pct"/>
            <w:shd w:val="clear" w:color="auto" w:fill="auto"/>
            <w:vAlign w:val="center"/>
          </w:tcPr>
          <w:p w14:paraId="42E7492E" w14:textId="77777777" w:rsidR="00AA0841" w:rsidRPr="00BB5BEE" w:rsidRDefault="00AA0841" w:rsidP="00AA0841">
            <w:pPr>
              <w:jc w:val="center"/>
              <w:rPr>
                <w:rFonts w:cstheme="minorHAnsi"/>
                <w:bCs/>
                <w:color w:val="000000" w:themeColor="text1"/>
                <w:sz w:val="18"/>
                <w:szCs w:val="18"/>
              </w:rPr>
            </w:pPr>
            <w:r>
              <w:rPr>
                <w:rFonts w:cstheme="minorHAnsi"/>
                <w:bCs/>
                <w:color w:val="000000" w:themeColor="text1"/>
                <w:sz w:val="18"/>
                <w:szCs w:val="18"/>
              </w:rPr>
              <w:t>Wetland inundation 1: 82 000 ML in 60 days (anytime)</w:t>
            </w:r>
          </w:p>
        </w:tc>
        <w:tc>
          <w:tcPr>
            <w:tcW w:w="455" w:type="pct"/>
            <w:shd w:val="clear" w:color="auto" w:fill="auto"/>
            <w:vAlign w:val="center"/>
          </w:tcPr>
          <w:p w14:paraId="3DEF3A8F" w14:textId="77777777" w:rsidR="00AA0841" w:rsidRPr="005F608F" w:rsidRDefault="00AA0841" w:rsidP="00AA0841">
            <w:pPr>
              <w:spacing w:after="0"/>
              <w:jc w:val="center"/>
              <w:rPr>
                <w:rFonts w:cstheme="minorHAnsi"/>
                <w:color w:val="000000" w:themeColor="text1"/>
                <w:sz w:val="18"/>
                <w:szCs w:val="18"/>
              </w:rPr>
            </w:pPr>
            <w:r>
              <w:rPr>
                <w:rFonts w:cstheme="minorHAnsi"/>
                <w:color w:val="000000" w:themeColor="text1"/>
                <w:sz w:val="18"/>
                <w:szCs w:val="18"/>
              </w:rPr>
              <w:t>1–2 years in 10</w:t>
            </w:r>
          </w:p>
        </w:tc>
        <w:tc>
          <w:tcPr>
            <w:tcW w:w="1234" w:type="pct"/>
            <w:shd w:val="clear" w:color="auto" w:fill="auto"/>
            <w:vAlign w:val="center"/>
          </w:tcPr>
          <w:p w14:paraId="1DA6596B" w14:textId="77777777" w:rsidR="00AA0841" w:rsidRPr="00365FE2" w:rsidRDefault="00AA0841" w:rsidP="00AA0841">
            <w:pPr>
              <w:jc w:val="center"/>
              <w:rPr>
                <w:rFonts w:hAnsi="Century Gothic"/>
                <w:bCs/>
                <w:sz w:val="18"/>
                <w:szCs w:val="18"/>
              </w:rPr>
            </w:pPr>
            <w:r>
              <w:rPr>
                <w:rFonts w:hAnsi="Century Gothic"/>
                <w:bCs/>
                <w:sz w:val="18"/>
                <w:szCs w:val="18"/>
              </w:rPr>
              <w:t>Met in 2010</w:t>
            </w:r>
            <w:r>
              <w:rPr>
                <w:rFonts w:hAnsi="Century Gothic"/>
                <w:bCs/>
                <w:sz w:val="18"/>
                <w:szCs w:val="18"/>
              </w:rPr>
              <w:t>–</w:t>
            </w:r>
            <w:r>
              <w:rPr>
                <w:rFonts w:hAnsi="Century Gothic"/>
                <w:bCs/>
                <w:sz w:val="18"/>
                <w:szCs w:val="18"/>
              </w:rPr>
              <w:t>11 and 2011</w:t>
            </w:r>
            <w:r>
              <w:rPr>
                <w:rFonts w:hAnsi="Century Gothic"/>
                <w:bCs/>
                <w:sz w:val="18"/>
                <w:szCs w:val="18"/>
              </w:rPr>
              <w:t>–</w:t>
            </w:r>
            <w:r>
              <w:rPr>
                <w:rFonts w:hAnsi="Century Gothic"/>
                <w:bCs/>
                <w:sz w:val="18"/>
                <w:szCs w:val="18"/>
              </w:rPr>
              <w:t>12. Not met in 2012</w:t>
            </w:r>
            <w:r>
              <w:rPr>
                <w:rFonts w:hAnsi="Century Gothic"/>
                <w:bCs/>
                <w:sz w:val="18"/>
                <w:szCs w:val="18"/>
              </w:rPr>
              <w:t>–</w:t>
            </w:r>
            <w:r>
              <w:rPr>
                <w:rFonts w:hAnsi="Century Gothic"/>
                <w:bCs/>
                <w:sz w:val="18"/>
                <w:szCs w:val="18"/>
              </w:rPr>
              <w:t>13, 2013</w:t>
            </w:r>
            <w:r>
              <w:rPr>
                <w:rFonts w:hAnsi="Century Gothic"/>
                <w:bCs/>
                <w:sz w:val="18"/>
                <w:szCs w:val="18"/>
              </w:rPr>
              <w:t>–</w:t>
            </w:r>
            <w:r>
              <w:rPr>
                <w:rFonts w:hAnsi="Century Gothic"/>
                <w:bCs/>
                <w:sz w:val="18"/>
                <w:szCs w:val="18"/>
              </w:rPr>
              <w:t>14, 2014</w:t>
            </w:r>
            <w:r>
              <w:rPr>
                <w:rFonts w:hAnsi="Century Gothic"/>
                <w:bCs/>
                <w:sz w:val="18"/>
                <w:szCs w:val="18"/>
              </w:rPr>
              <w:t>–</w:t>
            </w:r>
            <w:r>
              <w:rPr>
                <w:rFonts w:hAnsi="Century Gothic"/>
                <w:bCs/>
                <w:sz w:val="18"/>
                <w:szCs w:val="18"/>
              </w:rPr>
              <w:t>15 or 2015</w:t>
            </w:r>
            <w:r>
              <w:rPr>
                <w:rFonts w:hAnsi="Century Gothic"/>
                <w:bCs/>
                <w:sz w:val="18"/>
                <w:szCs w:val="18"/>
              </w:rPr>
              <w:t>–</w:t>
            </w:r>
            <w:r>
              <w:rPr>
                <w:rFonts w:hAnsi="Century Gothic"/>
                <w:bCs/>
                <w:sz w:val="18"/>
                <w:szCs w:val="18"/>
              </w:rPr>
              <w:t>16. Met in 2016</w:t>
            </w:r>
            <w:r>
              <w:rPr>
                <w:rFonts w:hAnsi="Century Gothic"/>
                <w:bCs/>
                <w:sz w:val="18"/>
                <w:szCs w:val="18"/>
              </w:rPr>
              <w:t>–</w:t>
            </w:r>
            <w:r>
              <w:rPr>
                <w:rFonts w:hAnsi="Century Gothic"/>
                <w:bCs/>
                <w:sz w:val="18"/>
                <w:szCs w:val="18"/>
              </w:rPr>
              <w:t>17. Not met in 2017</w:t>
            </w:r>
            <w:r>
              <w:rPr>
                <w:rFonts w:hAnsi="Century Gothic"/>
                <w:bCs/>
                <w:sz w:val="18"/>
                <w:szCs w:val="18"/>
              </w:rPr>
              <w:t>–</w:t>
            </w:r>
            <w:r>
              <w:rPr>
                <w:rFonts w:hAnsi="Century Gothic"/>
                <w:bCs/>
                <w:sz w:val="18"/>
                <w:szCs w:val="18"/>
              </w:rPr>
              <w:t>18. Met in 2018</w:t>
            </w:r>
            <w:r>
              <w:rPr>
                <w:rFonts w:hAnsi="Century Gothic"/>
                <w:bCs/>
                <w:sz w:val="18"/>
                <w:szCs w:val="18"/>
              </w:rPr>
              <w:t>–</w:t>
            </w:r>
            <w:r>
              <w:rPr>
                <w:rFonts w:hAnsi="Century Gothic"/>
                <w:bCs/>
                <w:sz w:val="18"/>
                <w:szCs w:val="18"/>
              </w:rPr>
              <w:t>19 and 2019</w:t>
            </w:r>
            <w:r>
              <w:rPr>
                <w:rFonts w:hAnsi="Century Gothic"/>
                <w:bCs/>
                <w:sz w:val="18"/>
                <w:szCs w:val="18"/>
              </w:rPr>
              <w:t>–</w:t>
            </w:r>
            <w:r>
              <w:rPr>
                <w:rFonts w:hAnsi="Century Gothic"/>
                <w:bCs/>
                <w:sz w:val="18"/>
                <w:szCs w:val="18"/>
              </w:rPr>
              <w:t>20.</w:t>
            </w:r>
          </w:p>
        </w:tc>
        <w:tc>
          <w:tcPr>
            <w:tcW w:w="470" w:type="pct"/>
            <w:shd w:val="clear" w:color="auto" w:fill="92D050"/>
            <w:vAlign w:val="center"/>
          </w:tcPr>
          <w:p w14:paraId="11C10CB4" w14:textId="77777777" w:rsidR="00AA0841" w:rsidRPr="007D0A8A" w:rsidRDefault="00AA0841" w:rsidP="00AA0841">
            <w:pPr>
              <w:jc w:val="center"/>
              <w:rPr>
                <w:color w:val="auto"/>
                <w:sz w:val="18"/>
                <w:szCs w:val="18"/>
              </w:rPr>
            </w:pPr>
            <w:r w:rsidRPr="007D0A8A">
              <w:rPr>
                <w:color w:val="auto"/>
                <w:sz w:val="18"/>
                <w:szCs w:val="18"/>
              </w:rPr>
              <w:t>Low</w:t>
            </w:r>
          </w:p>
        </w:tc>
        <w:tc>
          <w:tcPr>
            <w:tcW w:w="666" w:type="pct"/>
            <w:shd w:val="clear" w:color="auto" w:fill="95B3D7" w:themeFill="accent1" w:themeFillTint="99"/>
            <w:vAlign w:val="center"/>
          </w:tcPr>
          <w:p w14:paraId="36111D06" w14:textId="77777777" w:rsidR="00AA0841" w:rsidRPr="007D0A8A" w:rsidRDefault="00AA0841" w:rsidP="00AA0841">
            <w:pPr>
              <w:jc w:val="center"/>
              <w:rPr>
                <w:rFonts w:cstheme="minorHAnsi"/>
                <w:color w:val="auto"/>
                <w:sz w:val="18"/>
                <w:szCs w:val="18"/>
              </w:rPr>
            </w:pPr>
            <w:r w:rsidRPr="007D0A8A">
              <w:rPr>
                <w:rFonts w:cstheme="minorHAnsi"/>
                <w:color w:val="auto"/>
                <w:sz w:val="18"/>
                <w:szCs w:val="18"/>
              </w:rPr>
              <w:t>Possible use of CEW to contribute to an unregulated flow event.</w:t>
            </w:r>
          </w:p>
        </w:tc>
        <w:tc>
          <w:tcPr>
            <w:tcW w:w="487" w:type="pct"/>
            <w:tcBorders>
              <w:right w:val="single" w:sz="12" w:space="0" w:color="auto"/>
            </w:tcBorders>
            <w:shd w:val="clear" w:color="auto" w:fill="92D050"/>
            <w:vAlign w:val="center"/>
          </w:tcPr>
          <w:p w14:paraId="49933B88" w14:textId="77777777" w:rsidR="00AA0841" w:rsidRPr="007D0A8A" w:rsidRDefault="00AA0841" w:rsidP="00AA0841">
            <w:pPr>
              <w:jc w:val="center"/>
              <w:rPr>
                <w:color w:val="auto"/>
                <w:sz w:val="18"/>
                <w:szCs w:val="18"/>
              </w:rPr>
            </w:pPr>
            <w:r w:rsidRPr="007D0A8A">
              <w:rPr>
                <w:color w:val="auto"/>
                <w:sz w:val="18"/>
                <w:szCs w:val="18"/>
              </w:rPr>
              <w:t>Low</w:t>
            </w:r>
          </w:p>
        </w:tc>
      </w:tr>
      <w:tr w:rsidR="00AA0841" w:rsidRPr="007D0A8A" w14:paraId="4E64031E" w14:textId="77777777" w:rsidTr="00AA0841">
        <w:trPr>
          <w:trHeight w:val="1029"/>
        </w:trPr>
        <w:tc>
          <w:tcPr>
            <w:tcW w:w="454" w:type="pct"/>
            <w:vMerge/>
            <w:tcBorders>
              <w:left w:val="single" w:sz="12" w:space="0" w:color="auto"/>
            </w:tcBorders>
            <w:shd w:val="clear" w:color="auto" w:fill="auto"/>
          </w:tcPr>
          <w:p w14:paraId="619A1E7B" w14:textId="77777777" w:rsidR="00AA0841" w:rsidRPr="00FA55B6" w:rsidRDefault="00AA0841" w:rsidP="00AA0841">
            <w:pPr>
              <w:spacing w:after="0"/>
              <w:contextualSpacing/>
              <w:rPr>
                <w:rFonts w:cstheme="minorHAnsi"/>
                <w:b/>
                <w:bCs/>
                <w:color w:val="000000" w:themeColor="text1"/>
                <w:sz w:val="18"/>
                <w:szCs w:val="18"/>
              </w:rPr>
            </w:pPr>
          </w:p>
        </w:tc>
        <w:tc>
          <w:tcPr>
            <w:tcW w:w="389" w:type="pct"/>
            <w:vAlign w:val="center"/>
          </w:tcPr>
          <w:p w14:paraId="70902C32" w14:textId="77777777" w:rsidR="00AA0841" w:rsidRDefault="00AA0841" w:rsidP="00AA0841">
            <w:pPr>
              <w:rPr>
                <w:rFonts w:cstheme="minorHAnsi"/>
                <w:bCs/>
                <w:color w:val="000000" w:themeColor="text1"/>
                <w:sz w:val="18"/>
                <w:szCs w:val="18"/>
              </w:rPr>
            </w:pPr>
            <w:r>
              <w:rPr>
                <w:rFonts w:cstheme="minorHAnsi"/>
                <w:bCs/>
                <w:color w:val="000000" w:themeColor="text1"/>
                <w:sz w:val="18"/>
                <w:szCs w:val="18"/>
              </w:rPr>
              <w:t>50% wetland inundation</w:t>
            </w:r>
          </w:p>
          <w:p w14:paraId="65FC805C" w14:textId="77777777" w:rsidR="00AA0841" w:rsidRPr="005F608F" w:rsidRDefault="00AA0841" w:rsidP="00AA0841">
            <w:pPr>
              <w:rPr>
                <w:rFonts w:cstheme="minorHAnsi"/>
                <w:bCs/>
                <w:color w:val="000000" w:themeColor="text1"/>
                <w:sz w:val="18"/>
                <w:szCs w:val="18"/>
              </w:rPr>
            </w:pPr>
            <w:r>
              <w:rPr>
                <w:rFonts w:cstheme="minorHAnsi"/>
                <w:bCs/>
                <w:color w:val="000000" w:themeColor="text1"/>
                <w:sz w:val="18"/>
                <w:szCs w:val="18"/>
              </w:rPr>
              <w:t>Small breeding of non-colonial species</w:t>
            </w:r>
          </w:p>
        </w:tc>
        <w:tc>
          <w:tcPr>
            <w:tcW w:w="845" w:type="pct"/>
            <w:shd w:val="clear" w:color="auto" w:fill="auto"/>
            <w:vAlign w:val="center"/>
          </w:tcPr>
          <w:p w14:paraId="22D52F8D" w14:textId="77777777" w:rsidR="00AA0841" w:rsidRDefault="00AA0841" w:rsidP="00AA0841">
            <w:pPr>
              <w:jc w:val="center"/>
              <w:rPr>
                <w:rFonts w:cstheme="minorHAnsi"/>
                <w:bCs/>
                <w:color w:val="000000" w:themeColor="text1"/>
                <w:sz w:val="18"/>
                <w:szCs w:val="18"/>
              </w:rPr>
            </w:pPr>
            <w:r>
              <w:rPr>
                <w:rFonts w:cstheme="minorHAnsi"/>
                <w:bCs/>
                <w:color w:val="000000" w:themeColor="text1"/>
                <w:sz w:val="18"/>
                <w:szCs w:val="18"/>
              </w:rPr>
              <w:t>Wetland inundation 2: 166 000 ML in 90 days</w:t>
            </w:r>
          </w:p>
        </w:tc>
        <w:tc>
          <w:tcPr>
            <w:tcW w:w="455" w:type="pct"/>
            <w:shd w:val="clear" w:color="auto" w:fill="auto"/>
            <w:vAlign w:val="center"/>
          </w:tcPr>
          <w:p w14:paraId="678DFDCD" w14:textId="77777777" w:rsidR="00AA0841" w:rsidRPr="005F608F" w:rsidRDefault="00AA0841" w:rsidP="00AA0841">
            <w:pPr>
              <w:spacing w:after="0"/>
              <w:jc w:val="center"/>
              <w:rPr>
                <w:rFonts w:cstheme="minorHAnsi"/>
                <w:color w:val="000000" w:themeColor="text1"/>
                <w:sz w:val="18"/>
                <w:szCs w:val="18"/>
              </w:rPr>
            </w:pPr>
            <w:r>
              <w:rPr>
                <w:rFonts w:cstheme="minorHAnsi"/>
                <w:color w:val="000000" w:themeColor="text1"/>
                <w:sz w:val="18"/>
                <w:szCs w:val="18"/>
              </w:rPr>
              <w:t>1–2 years in 10</w:t>
            </w:r>
          </w:p>
        </w:tc>
        <w:tc>
          <w:tcPr>
            <w:tcW w:w="1234" w:type="pct"/>
            <w:shd w:val="clear" w:color="auto" w:fill="auto"/>
            <w:vAlign w:val="center"/>
          </w:tcPr>
          <w:p w14:paraId="4D4E898C" w14:textId="77777777" w:rsidR="00AA0841" w:rsidRPr="00365FE2" w:rsidRDefault="00AA0841" w:rsidP="00AA0841">
            <w:pPr>
              <w:jc w:val="center"/>
              <w:rPr>
                <w:rFonts w:hAnsi="Century Gothic"/>
                <w:bCs/>
                <w:sz w:val="18"/>
                <w:szCs w:val="18"/>
              </w:rPr>
            </w:pPr>
            <w:r>
              <w:rPr>
                <w:rFonts w:hAnsi="Century Gothic"/>
                <w:bCs/>
                <w:sz w:val="18"/>
                <w:szCs w:val="18"/>
              </w:rPr>
              <w:t>Met in 2010</w:t>
            </w:r>
            <w:r>
              <w:rPr>
                <w:rFonts w:hAnsi="Century Gothic"/>
                <w:bCs/>
                <w:sz w:val="18"/>
                <w:szCs w:val="18"/>
              </w:rPr>
              <w:t>–</w:t>
            </w:r>
            <w:r>
              <w:rPr>
                <w:rFonts w:hAnsi="Century Gothic"/>
                <w:bCs/>
                <w:sz w:val="18"/>
                <w:szCs w:val="18"/>
              </w:rPr>
              <w:t>11, 2011</w:t>
            </w:r>
            <w:r>
              <w:rPr>
                <w:rFonts w:hAnsi="Century Gothic"/>
                <w:bCs/>
                <w:sz w:val="18"/>
                <w:szCs w:val="18"/>
              </w:rPr>
              <w:t>–</w:t>
            </w:r>
            <w:r>
              <w:rPr>
                <w:rFonts w:hAnsi="Century Gothic"/>
                <w:bCs/>
                <w:sz w:val="18"/>
                <w:szCs w:val="18"/>
              </w:rPr>
              <w:t>12 and 2019</w:t>
            </w:r>
            <w:r>
              <w:rPr>
                <w:rFonts w:hAnsi="Century Gothic"/>
                <w:bCs/>
                <w:sz w:val="18"/>
                <w:szCs w:val="18"/>
              </w:rPr>
              <w:t>–</w:t>
            </w:r>
            <w:r>
              <w:rPr>
                <w:rFonts w:hAnsi="Century Gothic"/>
                <w:bCs/>
                <w:sz w:val="18"/>
                <w:szCs w:val="18"/>
              </w:rPr>
              <w:t>20.</w:t>
            </w:r>
          </w:p>
        </w:tc>
        <w:tc>
          <w:tcPr>
            <w:tcW w:w="470" w:type="pct"/>
            <w:shd w:val="clear" w:color="auto" w:fill="92D050"/>
            <w:vAlign w:val="center"/>
          </w:tcPr>
          <w:p w14:paraId="58FFA529" w14:textId="77777777" w:rsidR="00AA0841" w:rsidRPr="007D0A8A" w:rsidRDefault="00AA0841" w:rsidP="00AA0841">
            <w:pPr>
              <w:jc w:val="center"/>
              <w:rPr>
                <w:color w:val="auto"/>
                <w:sz w:val="18"/>
                <w:szCs w:val="18"/>
              </w:rPr>
            </w:pPr>
            <w:r w:rsidRPr="007D0A8A">
              <w:rPr>
                <w:color w:val="auto"/>
                <w:sz w:val="18"/>
                <w:szCs w:val="18"/>
              </w:rPr>
              <w:t>Low</w:t>
            </w:r>
          </w:p>
        </w:tc>
        <w:tc>
          <w:tcPr>
            <w:tcW w:w="666" w:type="pct"/>
            <w:shd w:val="clear" w:color="auto" w:fill="auto"/>
            <w:vAlign w:val="center"/>
          </w:tcPr>
          <w:p w14:paraId="627005E9" w14:textId="77777777" w:rsidR="00AA0841" w:rsidRPr="007D0A8A" w:rsidRDefault="00AA0841" w:rsidP="00AA0841">
            <w:pPr>
              <w:jc w:val="center"/>
              <w:rPr>
                <w:rFonts w:cstheme="minorHAnsi"/>
                <w:color w:val="auto"/>
                <w:sz w:val="18"/>
                <w:szCs w:val="18"/>
              </w:rPr>
            </w:pPr>
            <w:r w:rsidRPr="007D0A8A">
              <w:rPr>
                <w:rFonts w:cstheme="minorHAnsi"/>
                <w:color w:val="auto"/>
                <w:sz w:val="18"/>
                <w:szCs w:val="18"/>
              </w:rPr>
              <w:t>Low priority for use of CEW. Benefit of contributing additional water would be negligible.</w:t>
            </w:r>
          </w:p>
        </w:tc>
        <w:tc>
          <w:tcPr>
            <w:tcW w:w="487" w:type="pct"/>
            <w:tcBorders>
              <w:right w:val="single" w:sz="12" w:space="0" w:color="auto"/>
            </w:tcBorders>
            <w:shd w:val="clear" w:color="auto" w:fill="92D050"/>
            <w:vAlign w:val="center"/>
          </w:tcPr>
          <w:p w14:paraId="7E9FAAAF" w14:textId="77777777" w:rsidR="00AA0841" w:rsidRPr="007D0A8A" w:rsidRDefault="00AA0841" w:rsidP="00AA0841">
            <w:pPr>
              <w:jc w:val="center"/>
              <w:rPr>
                <w:color w:val="auto"/>
                <w:sz w:val="18"/>
                <w:szCs w:val="18"/>
              </w:rPr>
            </w:pPr>
            <w:r w:rsidRPr="007D0A8A">
              <w:rPr>
                <w:color w:val="auto"/>
                <w:sz w:val="18"/>
                <w:szCs w:val="18"/>
              </w:rPr>
              <w:t>Low</w:t>
            </w:r>
          </w:p>
        </w:tc>
      </w:tr>
      <w:tr w:rsidR="00AA0841" w:rsidRPr="007D0A8A" w14:paraId="56F02AE7" w14:textId="77777777" w:rsidTr="00AA0841">
        <w:trPr>
          <w:trHeight w:val="617"/>
        </w:trPr>
        <w:tc>
          <w:tcPr>
            <w:tcW w:w="454" w:type="pct"/>
            <w:vMerge/>
            <w:tcBorders>
              <w:left w:val="single" w:sz="12" w:space="0" w:color="auto"/>
              <w:bottom w:val="single" w:sz="12" w:space="0" w:color="auto"/>
            </w:tcBorders>
            <w:shd w:val="clear" w:color="auto" w:fill="auto"/>
          </w:tcPr>
          <w:p w14:paraId="6DD8865D" w14:textId="77777777" w:rsidR="00AA0841" w:rsidRPr="00FA55B6" w:rsidRDefault="00AA0841" w:rsidP="00AA0841">
            <w:pPr>
              <w:spacing w:after="0"/>
              <w:contextualSpacing/>
              <w:rPr>
                <w:rFonts w:cstheme="minorHAnsi"/>
                <w:b/>
                <w:bCs/>
                <w:color w:val="000000" w:themeColor="text1"/>
                <w:sz w:val="18"/>
                <w:szCs w:val="18"/>
              </w:rPr>
            </w:pPr>
          </w:p>
        </w:tc>
        <w:tc>
          <w:tcPr>
            <w:tcW w:w="389" w:type="pct"/>
            <w:tcBorders>
              <w:bottom w:val="single" w:sz="12" w:space="0" w:color="auto"/>
            </w:tcBorders>
            <w:vAlign w:val="center"/>
          </w:tcPr>
          <w:p w14:paraId="26A79047" w14:textId="77777777" w:rsidR="00AA0841" w:rsidRDefault="00AA0841" w:rsidP="00AA0841">
            <w:pPr>
              <w:rPr>
                <w:rFonts w:cstheme="minorHAnsi"/>
                <w:bCs/>
                <w:color w:val="000000" w:themeColor="text1"/>
                <w:sz w:val="18"/>
                <w:szCs w:val="18"/>
              </w:rPr>
            </w:pPr>
            <w:r>
              <w:rPr>
                <w:rFonts w:cstheme="minorHAnsi"/>
                <w:bCs/>
                <w:color w:val="000000" w:themeColor="text1"/>
                <w:sz w:val="18"/>
                <w:szCs w:val="18"/>
              </w:rPr>
              <w:t>100% wetland inundation</w:t>
            </w:r>
          </w:p>
          <w:p w14:paraId="0556BC41" w14:textId="77777777" w:rsidR="00AA0841" w:rsidRPr="005F608F" w:rsidRDefault="00AA0841" w:rsidP="00AA0841">
            <w:pPr>
              <w:rPr>
                <w:rFonts w:cstheme="minorHAnsi"/>
                <w:bCs/>
                <w:color w:val="000000" w:themeColor="text1"/>
                <w:sz w:val="18"/>
                <w:szCs w:val="18"/>
              </w:rPr>
            </w:pPr>
            <w:r>
              <w:rPr>
                <w:rFonts w:cstheme="minorHAnsi"/>
                <w:bCs/>
                <w:color w:val="000000" w:themeColor="text1"/>
                <w:sz w:val="18"/>
                <w:szCs w:val="18"/>
              </w:rPr>
              <w:t>Large scale colonial waterbird breeding</w:t>
            </w:r>
          </w:p>
        </w:tc>
        <w:tc>
          <w:tcPr>
            <w:tcW w:w="845" w:type="pct"/>
            <w:tcBorders>
              <w:bottom w:val="single" w:sz="12" w:space="0" w:color="auto"/>
            </w:tcBorders>
            <w:shd w:val="clear" w:color="auto" w:fill="auto"/>
            <w:vAlign w:val="center"/>
          </w:tcPr>
          <w:p w14:paraId="6B80AF86" w14:textId="77777777" w:rsidR="00AA0841" w:rsidRDefault="00AA0841" w:rsidP="00AA0841">
            <w:pPr>
              <w:jc w:val="center"/>
              <w:rPr>
                <w:rFonts w:cstheme="minorHAnsi"/>
                <w:bCs/>
                <w:color w:val="000000" w:themeColor="text1"/>
                <w:sz w:val="18"/>
                <w:szCs w:val="18"/>
              </w:rPr>
            </w:pPr>
            <w:r>
              <w:rPr>
                <w:rFonts w:cstheme="minorHAnsi"/>
                <w:bCs/>
                <w:color w:val="000000" w:themeColor="text1"/>
                <w:sz w:val="18"/>
                <w:szCs w:val="18"/>
              </w:rPr>
              <w:t>Wetland inundation 3: 724 000 ML in 90 days</w:t>
            </w:r>
          </w:p>
        </w:tc>
        <w:tc>
          <w:tcPr>
            <w:tcW w:w="455" w:type="pct"/>
            <w:tcBorders>
              <w:bottom w:val="single" w:sz="12" w:space="0" w:color="auto"/>
            </w:tcBorders>
            <w:shd w:val="clear" w:color="auto" w:fill="auto"/>
            <w:vAlign w:val="center"/>
          </w:tcPr>
          <w:p w14:paraId="42DAA46F" w14:textId="77777777" w:rsidR="00AA0841" w:rsidRPr="005F608F" w:rsidRDefault="00AA0841" w:rsidP="00AA0841">
            <w:pPr>
              <w:spacing w:after="0"/>
              <w:jc w:val="center"/>
              <w:rPr>
                <w:rFonts w:cstheme="minorHAnsi"/>
                <w:color w:val="000000" w:themeColor="text1"/>
                <w:sz w:val="18"/>
                <w:szCs w:val="18"/>
              </w:rPr>
            </w:pPr>
            <w:r>
              <w:rPr>
                <w:rFonts w:cstheme="minorHAnsi"/>
                <w:color w:val="000000" w:themeColor="text1"/>
                <w:sz w:val="18"/>
                <w:szCs w:val="18"/>
              </w:rPr>
              <w:t>1–2 years in 10</w:t>
            </w:r>
          </w:p>
        </w:tc>
        <w:tc>
          <w:tcPr>
            <w:tcW w:w="1234" w:type="pct"/>
            <w:tcBorders>
              <w:bottom w:val="single" w:sz="12" w:space="0" w:color="auto"/>
            </w:tcBorders>
            <w:shd w:val="clear" w:color="auto" w:fill="auto"/>
            <w:vAlign w:val="center"/>
          </w:tcPr>
          <w:p w14:paraId="58E320CC" w14:textId="77777777" w:rsidR="00AA0841" w:rsidRPr="00365FE2" w:rsidRDefault="00AA0841" w:rsidP="00AA0841">
            <w:pPr>
              <w:jc w:val="center"/>
              <w:rPr>
                <w:rFonts w:hAnsi="Century Gothic"/>
                <w:bCs/>
                <w:sz w:val="18"/>
                <w:szCs w:val="18"/>
              </w:rPr>
            </w:pPr>
            <w:r>
              <w:rPr>
                <w:rFonts w:hAnsi="Century Gothic"/>
                <w:bCs/>
                <w:sz w:val="18"/>
                <w:szCs w:val="18"/>
              </w:rPr>
              <w:t>Not met in the last 10 years.</w:t>
            </w:r>
          </w:p>
        </w:tc>
        <w:tc>
          <w:tcPr>
            <w:tcW w:w="470" w:type="pct"/>
            <w:tcBorders>
              <w:bottom w:val="single" w:sz="12" w:space="0" w:color="auto"/>
            </w:tcBorders>
            <w:shd w:val="clear" w:color="auto" w:fill="C00000"/>
            <w:vAlign w:val="center"/>
          </w:tcPr>
          <w:p w14:paraId="1C6E1039" w14:textId="77777777" w:rsidR="00AA0841" w:rsidRPr="007D0A8A" w:rsidRDefault="00AA0841" w:rsidP="00AA0841">
            <w:pPr>
              <w:jc w:val="center"/>
              <w:rPr>
                <w:color w:val="auto"/>
                <w:sz w:val="18"/>
                <w:szCs w:val="18"/>
              </w:rPr>
            </w:pPr>
            <w:r w:rsidRPr="007D0A8A">
              <w:rPr>
                <w:color w:val="auto"/>
                <w:sz w:val="18"/>
                <w:szCs w:val="18"/>
              </w:rPr>
              <w:t>Critical</w:t>
            </w:r>
          </w:p>
        </w:tc>
        <w:tc>
          <w:tcPr>
            <w:tcW w:w="666" w:type="pct"/>
            <w:tcBorders>
              <w:bottom w:val="single" w:sz="12" w:space="0" w:color="auto"/>
            </w:tcBorders>
            <w:shd w:val="clear" w:color="auto" w:fill="auto"/>
            <w:vAlign w:val="center"/>
          </w:tcPr>
          <w:p w14:paraId="45711394" w14:textId="77777777" w:rsidR="00AA0841" w:rsidRPr="007D0A8A" w:rsidRDefault="00AA0841" w:rsidP="00AA0841">
            <w:pPr>
              <w:jc w:val="center"/>
              <w:rPr>
                <w:rFonts w:cstheme="minorHAnsi"/>
                <w:color w:val="auto"/>
                <w:sz w:val="18"/>
                <w:szCs w:val="18"/>
              </w:rPr>
            </w:pPr>
            <w:r w:rsidRPr="007D0A8A">
              <w:rPr>
                <w:rFonts w:cstheme="minorHAnsi"/>
                <w:color w:val="auto"/>
                <w:sz w:val="18"/>
                <w:szCs w:val="18"/>
              </w:rPr>
              <w:t>Low priority for use of CEW. Benefit of contributing additional water would be negligible.</w:t>
            </w:r>
          </w:p>
        </w:tc>
        <w:tc>
          <w:tcPr>
            <w:tcW w:w="487" w:type="pct"/>
            <w:tcBorders>
              <w:bottom w:val="single" w:sz="12" w:space="0" w:color="auto"/>
              <w:right w:val="single" w:sz="12" w:space="0" w:color="auto"/>
            </w:tcBorders>
            <w:shd w:val="clear" w:color="auto" w:fill="FF0000"/>
            <w:vAlign w:val="center"/>
          </w:tcPr>
          <w:p w14:paraId="1E08E970" w14:textId="77777777" w:rsidR="00AA0841" w:rsidRPr="007D0A8A" w:rsidRDefault="00AA0841" w:rsidP="00AA0841">
            <w:pPr>
              <w:jc w:val="center"/>
              <w:rPr>
                <w:color w:val="auto"/>
                <w:sz w:val="18"/>
                <w:szCs w:val="18"/>
              </w:rPr>
            </w:pPr>
            <w:r w:rsidRPr="007D0A8A">
              <w:rPr>
                <w:color w:val="auto"/>
                <w:sz w:val="18"/>
                <w:szCs w:val="18"/>
              </w:rPr>
              <w:t>High</w:t>
            </w:r>
          </w:p>
        </w:tc>
      </w:tr>
      <w:tr w:rsidR="00AA0841" w:rsidRPr="007D0A8A" w14:paraId="5F4F21B4" w14:textId="77777777" w:rsidTr="00AA0841">
        <w:trPr>
          <w:trHeight w:val="2453"/>
        </w:trPr>
        <w:tc>
          <w:tcPr>
            <w:tcW w:w="454" w:type="pct"/>
            <w:vMerge w:val="restart"/>
            <w:tcBorders>
              <w:top w:val="single" w:sz="12" w:space="0" w:color="auto"/>
              <w:left w:val="single" w:sz="12" w:space="0" w:color="auto"/>
            </w:tcBorders>
            <w:shd w:val="clear" w:color="auto" w:fill="auto"/>
          </w:tcPr>
          <w:p w14:paraId="56AAC91E" w14:textId="77777777" w:rsidR="00AA0841" w:rsidRPr="00FA55B6" w:rsidRDefault="00AA0841" w:rsidP="00AA0841">
            <w:pPr>
              <w:spacing w:after="0"/>
              <w:contextualSpacing/>
              <w:rPr>
                <w:rFonts w:cstheme="minorHAnsi"/>
                <w:b/>
                <w:bCs/>
                <w:color w:val="000000" w:themeColor="text1"/>
                <w:sz w:val="18"/>
                <w:szCs w:val="18"/>
              </w:rPr>
            </w:pPr>
            <w:r w:rsidRPr="00FA55B6">
              <w:rPr>
                <w:rFonts w:cstheme="minorHAnsi"/>
                <w:b/>
                <w:bCs/>
                <w:color w:val="000000" w:themeColor="text1"/>
                <w:sz w:val="18"/>
                <w:szCs w:val="18"/>
              </w:rPr>
              <w:t>Warrego River (at Barringun)</w:t>
            </w:r>
          </w:p>
          <w:p w14:paraId="70F25EA2" w14:textId="77777777" w:rsidR="00AA0841" w:rsidRPr="00474E16" w:rsidRDefault="00AA0841" w:rsidP="00AA0841">
            <w:pPr>
              <w:rPr>
                <w:b/>
                <w:bCs/>
                <w:sz w:val="18"/>
                <w:szCs w:val="18"/>
              </w:rPr>
            </w:pPr>
          </w:p>
        </w:tc>
        <w:tc>
          <w:tcPr>
            <w:tcW w:w="389" w:type="pct"/>
            <w:vMerge w:val="restart"/>
            <w:tcBorders>
              <w:top w:val="single" w:sz="12" w:space="0" w:color="auto"/>
            </w:tcBorders>
            <w:vAlign w:val="center"/>
          </w:tcPr>
          <w:p w14:paraId="1D256BC8" w14:textId="77777777" w:rsidR="00AA0841" w:rsidRPr="005F608F" w:rsidRDefault="00AA0841" w:rsidP="00AA0841">
            <w:pPr>
              <w:rPr>
                <w:rFonts w:cstheme="minorHAnsi"/>
                <w:bCs/>
                <w:color w:val="000000" w:themeColor="text1"/>
                <w:sz w:val="18"/>
                <w:szCs w:val="18"/>
              </w:rPr>
            </w:pPr>
            <w:r w:rsidRPr="005F608F">
              <w:rPr>
                <w:rFonts w:cstheme="minorHAnsi"/>
                <w:bCs/>
                <w:color w:val="000000" w:themeColor="text1"/>
                <w:sz w:val="18"/>
                <w:szCs w:val="18"/>
              </w:rPr>
              <w:t>Native fish dispersal and condition</w:t>
            </w:r>
          </w:p>
          <w:p w14:paraId="3FA4A61B" w14:textId="77777777" w:rsidR="00AA0841" w:rsidRDefault="00AA0841" w:rsidP="00AA0841">
            <w:pPr>
              <w:rPr>
                <w:rFonts w:cstheme="minorHAnsi"/>
                <w:bCs/>
                <w:color w:val="000000" w:themeColor="text1"/>
                <w:sz w:val="18"/>
                <w:szCs w:val="18"/>
              </w:rPr>
            </w:pPr>
            <w:r w:rsidRPr="005F608F">
              <w:rPr>
                <w:rFonts w:cstheme="minorHAnsi"/>
                <w:bCs/>
                <w:color w:val="000000" w:themeColor="text1"/>
                <w:sz w:val="18"/>
                <w:szCs w:val="18"/>
              </w:rPr>
              <w:t>Native fish spawning</w:t>
            </w:r>
            <w:r>
              <w:rPr>
                <w:rFonts w:cstheme="minorHAnsi"/>
                <w:bCs/>
                <w:color w:val="000000" w:themeColor="text1"/>
                <w:sz w:val="18"/>
                <w:szCs w:val="18"/>
              </w:rPr>
              <w:t xml:space="preserve"> and recruitment</w:t>
            </w:r>
          </w:p>
          <w:p w14:paraId="2A853A78" w14:textId="77777777" w:rsidR="00AA0841" w:rsidRDefault="00AA0841" w:rsidP="00AA0841">
            <w:pPr>
              <w:rPr>
                <w:rFonts w:cstheme="minorHAnsi"/>
                <w:bCs/>
                <w:color w:val="000000" w:themeColor="text1"/>
                <w:sz w:val="18"/>
                <w:szCs w:val="18"/>
              </w:rPr>
            </w:pPr>
            <w:r w:rsidRPr="00B702AE">
              <w:rPr>
                <w:rFonts w:cstheme="minorHAnsi"/>
                <w:bCs/>
                <w:color w:val="000000" w:themeColor="text1"/>
                <w:sz w:val="18"/>
                <w:szCs w:val="18"/>
              </w:rPr>
              <w:t>Native vegetation</w:t>
            </w:r>
          </w:p>
          <w:p w14:paraId="5420CD35" w14:textId="77777777" w:rsidR="00AA0841" w:rsidRDefault="00AA0841" w:rsidP="00AA0841">
            <w:pPr>
              <w:rPr>
                <w:rFonts w:hAnsi="Century Gothic"/>
                <w:bCs/>
                <w:sz w:val="18"/>
                <w:szCs w:val="18"/>
              </w:rPr>
            </w:pPr>
            <w:r>
              <w:rPr>
                <w:rFonts w:hAnsi="Century Gothic"/>
                <w:bCs/>
                <w:sz w:val="18"/>
                <w:szCs w:val="18"/>
              </w:rPr>
              <w:t>Support refuge habitat (frogs, fish, waterbirds)</w:t>
            </w:r>
          </w:p>
          <w:p w14:paraId="096D4C44" w14:textId="77777777" w:rsidR="00AA0841" w:rsidRDefault="00AA0841" w:rsidP="00AA0841">
            <w:r w:rsidRPr="005F608F">
              <w:rPr>
                <w:rFonts w:cstheme="minorHAnsi"/>
                <w:bCs/>
                <w:color w:val="000000" w:themeColor="text1"/>
                <w:sz w:val="18"/>
                <w:szCs w:val="18"/>
              </w:rPr>
              <w:t>Aquatic ecosystem</w:t>
            </w:r>
            <w:r>
              <w:rPr>
                <w:rFonts w:cstheme="minorHAnsi"/>
                <w:bCs/>
                <w:color w:val="000000" w:themeColor="text1"/>
                <w:sz w:val="18"/>
                <w:szCs w:val="18"/>
              </w:rPr>
              <w:t xml:space="preserve"> function</w:t>
            </w:r>
          </w:p>
          <w:p w14:paraId="4113704B" w14:textId="77777777" w:rsidR="00AA0841" w:rsidRPr="005F608F" w:rsidRDefault="00AA0841" w:rsidP="00AA0841">
            <w:pPr>
              <w:rPr>
                <w:rFonts w:cstheme="minorHAnsi"/>
                <w:bCs/>
                <w:color w:val="000000" w:themeColor="text1"/>
                <w:sz w:val="18"/>
                <w:szCs w:val="18"/>
              </w:rPr>
            </w:pPr>
          </w:p>
        </w:tc>
        <w:tc>
          <w:tcPr>
            <w:tcW w:w="845" w:type="pct"/>
            <w:tcBorders>
              <w:top w:val="single" w:sz="12" w:space="0" w:color="auto"/>
            </w:tcBorders>
            <w:shd w:val="clear" w:color="auto" w:fill="auto"/>
            <w:vAlign w:val="center"/>
          </w:tcPr>
          <w:p w14:paraId="21C7D1CD" w14:textId="77777777" w:rsidR="00AA0841" w:rsidRDefault="00AA0841" w:rsidP="00AA0841">
            <w:pPr>
              <w:rPr>
                <w:rFonts w:cstheme="minorHAnsi"/>
                <w:b/>
                <w:noProof/>
                <w:color w:val="000000" w:themeColor="text1"/>
                <w:sz w:val="18"/>
                <w:szCs w:val="18"/>
              </w:rPr>
            </w:pPr>
            <w:r w:rsidRPr="005F608F">
              <w:rPr>
                <w:rFonts w:cstheme="minorHAnsi"/>
                <w:b/>
                <w:color w:val="000000" w:themeColor="text1"/>
                <w:sz w:val="18"/>
                <w:szCs w:val="18"/>
              </w:rPr>
              <w:t xml:space="preserve">Small fresh (SF): </w:t>
            </w:r>
          </w:p>
          <w:p w14:paraId="09C8762D" w14:textId="77777777" w:rsidR="00AA0841" w:rsidRPr="005F608F" w:rsidRDefault="00AA0841" w:rsidP="00AA0841">
            <w:pPr>
              <w:rPr>
                <w:rFonts w:cstheme="minorHAnsi"/>
                <w:color w:val="000000" w:themeColor="text1"/>
                <w:sz w:val="18"/>
                <w:szCs w:val="18"/>
              </w:rPr>
            </w:pPr>
            <w:r w:rsidRPr="005F608F">
              <w:rPr>
                <w:rFonts w:cstheme="minorHAnsi"/>
                <w:color w:val="000000" w:themeColor="text1"/>
                <w:sz w:val="18"/>
                <w:szCs w:val="18"/>
              </w:rPr>
              <w:t>SF1</w:t>
            </w:r>
            <w:r>
              <w:rPr>
                <w:rFonts w:cstheme="minorHAnsi"/>
                <w:noProof/>
                <w:color w:val="000000" w:themeColor="text1"/>
                <w:sz w:val="18"/>
                <w:szCs w:val="18"/>
              </w:rPr>
              <w:t>:</w:t>
            </w:r>
            <w:r w:rsidRPr="005F608F">
              <w:rPr>
                <w:rFonts w:cstheme="minorHAnsi"/>
                <w:b/>
                <w:color w:val="000000" w:themeColor="text1"/>
                <w:sz w:val="18"/>
                <w:szCs w:val="18"/>
              </w:rPr>
              <w:t xml:space="preserve"> </w:t>
            </w:r>
            <w:r w:rsidRPr="005F608F">
              <w:rPr>
                <w:rFonts w:cstheme="minorHAnsi"/>
                <w:color w:val="000000" w:themeColor="text1"/>
                <w:sz w:val="18"/>
                <w:szCs w:val="18"/>
              </w:rPr>
              <w:t>&gt;2</w:t>
            </w:r>
            <w:r>
              <w:rPr>
                <w:rFonts w:cstheme="minorHAnsi"/>
                <w:color w:val="000000" w:themeColor="text1"/>
                <w:sz w:val="18"/>
                <w:szCs w:val="18"/>
              </w:rPr>
              <w:t>17</w:t>
            </w:r>
            <w:r w:rsidRPr="005F608F">
              <w:rPr>
                <w:rFonts w:cstheme="minorHAnsi"/>
                <w:color w:val="000000" w:themeColor="text1"/>
                <w:sz w:val="18"/>
                <w:szCs w:val="18"/>
              </w:rPr>
              <w:t xml:space="preserve"> ML/d for at least 10 days </w:t>
            </w:r>
            <w:r>
              <w:rPr>
                <w:rFonts w:cstheme="minorHAnsi"/>
                <w:color w:val="000000" w:themeColor="text1"/>
                <w:sz w:val="18"/>
                <w:szCs w:val="18"/>
              </w:rPr>
              <w:t>i</w:t>
            </w:r>
            <w:r w:rsidRPr="005F608F">
              <w:rPr>
                <w:rFonts w:cstheme="minorHAnsi"/>
                <w:color w:val="000000" w:themeColor="text1"/>
                <w:sz w:val="18"/>
                <w:szCs w:val="18"/>
              </w:rPr>
              <w:t xml:space="preserve">n the </w:t>
            </w:r>
            <w:r>
              <w:rPr>
                <w:rFonts w:cstheme="minorHAnsi"/>
                <w:color w:val="000000" w:themeColor="text1"/>
                <w:sz w:val="18"/>
                <w:szCs w:val="18"/>
              </w:rPr>
              <w:t xml:space="preserve">Warrego </w:t>
            </w:r>
            <w:r w:rsidRPr="004D163F">
              <w:rPr>
                <w:rFonts w:cstheme="minorHAnsi"/>
                <w:color w:val="000000" w:themeColor="text1"/>
                <w:sz w:val="18"/>
                <w:szCs w:val="18"/>
              </w:rPr>
              <w:t>Barringun</w:t>
            </w:r>
            <w:r>
              <w:rPr>
                <w:rFonts w:cstheme="minorHAnsi"/>
                <w:color w:val="000000" w:themeColor="text1"/>
                <w:sz w:val="18"/>
                <w:szCs w:val="18"/>
              </w:rPr>
              <w:t xml:space="preserve"> </w:t>
            </w:r>
            <w:r w:rsidRPr="005F608F">
              <w:rPr>
                <w:rFonts w:cstheme="minorHAnsi"/>
                <w:color w:val="000000" w:themeColor="text1"/>
                <w:sz w:val="18"/>
                <w:szCs w:val="18"/>
              </w:rPr>
              <w:t>in Oct–Apr (but can occur at any time) (native fish condition and dispersal).</w:t>
            </w:r>
          </w:p>
          <w:p w14:paraId="6A6A4183" w14:textId="77777777" w:rsidR="00AA0841" w:rsidRPr="001931BB" w:rsidRDefault="00AA0841" w:rsidP="00AA0841">
            <w:pPr>
              <w:rPr>
                <w:spacing w:val="-1"/>
                <w:sz w:val="18"/>
              </w:rPr>
            </w:pPr>
            <w:r w:rsidRPr="005F608F">
              <w:rPr>
                <w:rFonts w:cstheme="minorHAnsi"/>
                <w:color w:val="000000" w:themeColor="text1"/>
                <w:sz w:val="18"/>
                <w:szCs w:val="18"/>
              </w:rPr>
              <w:t>SF2</w:t>
            </w:r>
            <w:r>
              <w:rPr>
                <w:rFonts w:cstheme="minorHAnsi"/>
                <w:noProof/>
                <w:color w:val="000000" w:themeColor="text1"/>
                <w:sz w:val="18"/>
                <w:szCs w:val="18"/>
              </w:rPr>
              <w:t>:</w:t>
            </w:r>
            <w:r w:rsidRPr="005F608F">
              <w:rPr>
                <w:rFonts w:cstheme="minorHAnsi"/>
                <w:color w:val="000000" w:themeColor="text1"/>
                <w:sz w:val="18"/>
                <w:szCs w:val="18"/>
              </w:rPr>
              <w:t xml:space="preserve"> &gt;2</w:t>
            </w:r>
            <w:r>
              <w:rPr>
                <w:rFonts w:cstheme="minorHAnsi"/>
                <w:color w:val="000000" w:themeColor="text1"/>
                <w:sz w:val="18"/>
                <w:szCs w:val="18"/>
              </w:rPr>
              <w:t>17</w:t>
            </w:r>
            <w:r w:rsidRPr="005F608F">
              <w:rPr>
                <w:rFonts w:cstheme="minorHAnsi"/>
                <w:color w:val="000000" w:themeColor="text1"/>
                <w:sz w:val="18"/>
                <w:szCs w:val="18"/>
              </w:rPr>
              <w:t xml:space="preserve"> ML/d for at least 14 days</w:t>
            </w:r>
            <w:r>
              <w:rPr>
                <w:rFonts w:cstheme="minorHAnsi"/>
                <w:color w:val="000000" w:themeColor="text1"/>
                <w:sz w:val="18"/>
                <w:szCs w:val="18"/>
              </w:rPr>
              <w:t xml:space="preserve"> i</w:t>
            </w:r>
            <w:r w:rsidRPr="005F608F">
              <w:rPr>
                <w:rFonts w:cstheme="minorHAnsi"/>
                <w:color w:val="000000" w:themeColor="text1"/>
                <w:sz w:val="18"/>
                <w:szCs w:val="18"/>
              </w:rPr>
              <w:t xml:space="preserve">n the </w:t>
            </w:r>
            <w:r>
              <w:rPr>
                <w:rFonts w:cstheme="minorHAnsi"/>
                <w:color w:val="000000" w:themeColor="text1"/>
                <w:sz w:val="18"/>
                <w:szCs w:val="18"/>
              </w:rPr>
              <w:t xml:space="preserve">Warrego </w:t>
            </w:r>
            <w:r w:rsidRPr="004D163F">
              <w:rPr>
                <w:rFonts w:cstheme="minorHAnsi"/>
                <w:color w:val="000000" w:themeColor="text1"/>
                <w:sz w:val="18"/>
                <w:szCs w:val="18"/>
              </w:rPr>
              <w:t>Barringun</w:t>
            </w:r>
            <w:r w:rsidRPr="005F608F">
              <w:rPr>
                <w:rFonts w:cstheme="minorHAnsi"/>
                <w:color w:val="000000" w:themeColor="text1"/>
                <w:sz w:val="18"/>
                <w:szCs w:val="18"/>
              </w:rPr>
              <w:t>, in Sept–Apr (spawning of in-channel specialists and generalists)</w:t>
            </w:r>
          </w:p>
        </w:tc>
        <w:tc>
          <w:tcPr>
            <w:tcW w:w="455" w:type="pct"/>
            <w:tcBorders>
              <w:top w:val="single" w:sz="12" w:space="0" w:color="auto"/>
            </w:tcBorders>
            <w:shd w:val="clear" w:color="auto" w:fill="auto"/>
            <w:vAlign w:val="center"/>
          </w:tcPr>
          <w:p w14:paraId="09601C07" w14:textId="77777777" w:rsidR="00AA0841" w:rsidRPr="005F608F" w:rsidRDefault="00AA0841" w:rsidP="00AA0841">
            <w:pPr>
              <w:spacing w:after="0"/>
              <w:jc w:val="center"/>
              <w:rPr>
                <w:rFonts w:cstheme="minorHAnsi"/>
                <w:color w:val="000000" w:themeColor="text1"/>
                <w:sz w:val="18"/>
                <w:szCs w:val="18"/>
              </w:rPr>
            </w:pPr>
            <w:r w:rsidRPr="005F608F">
              <w:rPr>
                <w:rFonts w:cstheme="minorHAnsi"/>
                <w:color w:val="000000" w:themeColor="text1"/>
                <w:sz w:val="18"/>
                <w:szCs w:val="18"/>
              </w:rPr>
              <w:t>SF1: Annually</w:t>
            </w:r>
          </w:p>
          <w:p w14:paraId="471FFF6D" w14:textId="77777777" w:rsidR="00AA0841" w:rsidRDefault="00AA0841" w:rsidP="00AA0841">
            <w:pPr>
              <w:spacing w:after="0"/>
              <w:jc w:val="center"/>
              <w:rPr>
                <w:rFonts w:cstheme="minorHAnsi"/>
                <w:color w:val="000000" w:themeColor="text1"/>
                <w:sz w:val="18"/>
                <w:szCs w:val="18"/>
              </w:rPr>
            </w:pPr>
            <w:r w:rsidRPr="005F608F">
              <w:rPr>
                <w:rFonts w:cstheme="minorHAnsi"/>
                <w:color w:val="000000" w:themeColor="text1"/>
                <w:sz w:val="18"/>
                <w:szCs w:val="18"/>
              </w:rPr>
              <w:t>(Max. interval: 1 year)</w:t>
            </w:r>
          </w:p>
          <w:p w14:paraId="3196CBFE" w14:textId="77777777" w:rsidR="00AA0841" w:rsidRDefault="00AA0841" w:rsidP="00AA0841">
            <w:pPr>
              <w:spacing w:after="0"/>
              <w:jc w:val="center"/>
              <w:rPr>
                <w:rFonts w:cstheme="minorHAnsi"/>
                <w:color w:val="000000" w:themeColor="text1"/>
                <w:sz w:val="18"/>
                <w:szCs w:val="18"/>
              </w:rPr>
            </w:pPr>
          </w:p>
          <w:p w14:paraId="011CAF7C" w14:textId="77777777" w:rsidR="00AA0841" w:rsidRPr="005F608F" w:rsidRDefault="00AA0841" w:rsidP="00AA0841">
            <w:pPr>
              <w:spacing w:after="0"/>
              <w:jc w:val="center"/>
              <w:rPr>
                <w:rFonts w:cstheme="minorHAnsi"/>
                <w:color w:val="000000" w:themeColor="text1"/>
                <w:sz w:val="18"/>
                <w:szCs w:val="18"/>
              </w:rPr>
            </w:pPr>
            <w:r w:rsidRPr="005F608F">
              <w:rPr>
                <w:rFonts w:cstheme="minorHAnsi"/>
                <w:color w:val="000000" w:themeColor="text1"/>
                <w:sz w:val="18"/>
                <w:szCs w:val="18"/>
              </w:rPr>
              <w:t>SF2: 5–10 in 10 years</w:t>
            </w:r>
          </w:p>
          <w:p w14:paraId="4484E437" w14:textId="77777777" w:rsidR="00AA0841" w:rsidRPr="005F608F" w:rsidRDefault="00AA0841" w:rsidP="00AA0841">
            <w:pPr>
              <w:spacing w:after="0"/>
              <w:jc w:val="center"/>
              <w:rPr>
                <w:rFonts w:cstheme="minorHAnsi"/>
                <w:color w:val="FF0000"/>
                <w:sz w:val="18"/>
                <w:szCs w:val="18"/>
              </w:rPr>
            </w:pPr>
            <w:r w:rsidRPr="005F608F">
              <w:rPr>
                <w:rFonts w:cstheme="minorHAnsi"/>
                <w:color w:val="000000" w:themeColor="text1"/>
                <w:sz w:val="18"/>
                <w:szCs w:val="18"/>
              </w:rPr>
              <w:t>(Max. interval 2 years)</w:t>
            </w:r>
          </w:p>
          <w:p w14:paraId="3933E65A" w14:textId="77777777" w:rsidR="00AA0841" w:rsidRPr="001931BB" w:rsidRDefault="00AA0841" w:rsidP="00AA0841">
            <w:pPr>
              <w:jc w:val="center"/>
              <w:rPr>
                <w:color w:val="000000" w:themeColor="text1"/>
                <w:sz w:val="18"/>
                <w:szCs w:val="18"/>
              </w:rPr>
            </w:pPr>
          </w:p>
        </w:tc>
        <w:tc>
          <w:tcPr>
            <w:tcW w:w="1234" w:type="pct"/>
            <w:tcBorders>
              <w:top w:val="single" w:sz="12" w:space="0" w:color="auto"/>
            </w:tcBorders>
            <w:shd w:val="clear" w:color="auto" w:fill="auto"/>
            <w:vAlign w:val="center"/>
          </w:tcPr>
          <w:p w14:paraId="1718DDDE" w14:textId="77777777" w:rsidR="00AA0841" w:rsidRPr="00EC32EF" w:rsidRDefault="00AA0841" w:rsidP="00AA0841">
            <w:pPr>
              <w:jc w:val="center"/>
              <w:rPr>
                <w:bCs/>
                <w:color w:val="FF0000"/>
                <w:sz w:val="18"/>
                <w:szCs w:val="18"/>
                <w:highlight w:val="lightGray"/>
              </w:rPr>
            </w:pPr>
            <w:r>
              <w:rPr>
                <w:rFonts w:hAnsi="Century Gothic"/>
                <w:bCs/>
                <w:sz w:val="18"/>
                <w:szCs w:val="18"/>
              </w:rPr>
              <w:t>Met in 2010</w:t>
            </w:r>
            <w:r>
              <w:rPr>
                <w:rFonts w:hAnsi="Century Gothic"/>
                <w:bCs/>
                <w:sz w:val="18"/>
                <w:szCs w:val="18"/>
              </w:rPr>
              <w:t>–</w:t>
            </w:r>
            <w:r>
              <w:rPr>
                <w:rFonts w:hAnsi="Century Gothic"/>
                <w:bCs/>
                <w:sz w:val="18"/>
                <w:szCs w:val="18"/>
              </w:rPr>
              <w:t>11 and 2011</w:t>
            </w:r>
            <w:r>
              <w:rPr>
                <w:rFonts w:hAnsi="Century Gothic"/>
                <w:bCs/>
                <w:sz w:val="18"/>
                <w:szCs w:val="18"/>
              </w:rPr>
              <w:t>–</w:t>
            </w:r>
            <w:r>
              <w:rPr>
                <w:rFonts w:hAnsi="Century Gothic"/>
                <w:bCs/>
                <w:sz w:val="18"/>
                <w:szCs w:val="18"/>
              </w:rPr>
              <w:t>12. Not met in 2012</w:t>
            </w:r>
            <w:r>
              <w:rPr>
                <w:rFonts w:hAnsi="Century Gothic"/>
                <w:bCs/>
                <w:sz w:val="18"/>
                <w:szCs w:val="18"/>
              </w:rPr>
              <w:t>–</w:t>
            </w:r>
            <w:r>
              <w:rPr>
                <w:rFonts w:hAnsi="Century Gothic"/>
                <w:bCs/>
                <w:sz w:val="18"/>
                <w:szCs w:val="18"/>
              </w:rPr>
              <w:t>13 or in 2013</w:t>
            </w:r>
            <w:r>
              <w:rPr>
                <w:rFonts w:hAnsi="Century Gothic"/>
                <w:bCs/>
                <w:sz w:val="18"/>
                <w:szCs w:val="18"/>
              </w:rPr>
              <w:t>–</w:t>
            </w:r>
            <w:r>
              <w:rPr>
                <w:rFonts w:hAnsi="Century Gothic"/>
                <w:bCs/>
                <w:sz w:val="18"/>
                <w:szCs w:val="18"/>
              </w:rPr>
              <w:t>14. Met in 2014</w:t>
            </w:r>
            <w:r>
              <w:rPr>
                <w:rFonts w:hAnsi="Century Gothic"/>
                <w:bCs/>
                <w:sz w:val="18"/>
                <w:szCs w:val="18"/>
              </w:rPr>
              <w:t>–</w:t>
            </w:r>
            <w:r>
              <w:rPr>
                <w:rFonts w:hAnsi="Century Gothic"/>
                <w:bCs/>
                <w:sz w:val="18"/>
                <w:szCs w:val="18"/>
              </w:rPr>
              <w:t>15. Partially met in 2015</w:t>
            </w:r>
            <w:r>
              <w:rPr>
                <w:rFonts w:hAnsi="Century Gothic"/>
                <w:bCs/>
                <w:sz w:val="18"/>
                <w:szCs w:val="18"/>
              </w:rPr>
              <w:t>–</w:t>
            </w:r>
            <w:r>
              <w:rPr>
                <w:rFonts w:hAnsi="Century Gothic"/>
                <w:bCs/>
                <w:sz w:val="18"/>
                <w:szCs w:val="18"/>
              </w:rPr>
              <w:t>16. Met in 2016</w:t>
            </w:r>
            <w:r>
              <w:rPr>
                <w:rFonts w:hAnsi="Century Gothic"/>
                <w:bCs/>
                <w:sz w:val="18"/>
                <w:szCs w:val="18"/>
              </w:rPr>
              <w:t>–</w:t>
            </w:r>
            <w:r>
              <w:rPr>
                <w:rFonts w:hAnsi="Century Gothic"/>
                <w:bCs/>
                <w:sz w:val="18"/>
                <w:szCs w:val="18"/>
              </w:rPr>
              <w:t>17. Partially met in 2017</w:t>
            </w:r>
            <w:r>
              <w:rPr>
                <w:rFonts w:hAnsi="Century Gothic"/>
                <w:bCs/>
                <w:sz w:val="18"/>
                <w:szCs w:val="18"/>
              </w:rPr>
              <w:t>–</w:t>
            </w:r>
            <w:r>
              <w:rPr>
                <w:rFonts w:hAnsi="Century Gothic"/>
                <w:bCs/>
                <w:sz w:val="18"/>
                <w:szCs w:val="18"/>
              </w:rPr>
              <w:t>18. Met in 2018</w:t>
            </w:r>
            <w:r>
              <w:rPr>
                <w:rFonts w:hAnsi="Century Gothic"/>
                <w:bCs/>
                <w:sz w:val="18"/>
                <w:szCs w:val="18"/>
              </w:rPr>
              <w:t>–</w:t>
            </w:r>
            <w:r>
              <w:rPr>
                <w:rFonts w:hAnsi="Century Gothic"/>
                <w:bCs/>
                <w:sz w:val="18"/>
                <w:szCs w:val="18"/>
              </w:rPr>
              <w:t>19 and 2019</w:t>
            </w:r>
            <w:r>
              <w:rPr>
                <w:rFonts w:hAnsi="Century Gothic"/>
                <w:bCs/>
                <w:sz w:val="18"/>
                <w:szCs w:val="18"/>
              </w:rPr>
              <w:t>–</w:t>
            </w:r>
            <w:r>
              <w:rPr>
                <w:rFonts w:hAnsi="Century Gothic"/>
                <w:bCs/>
                <w:sz w:val="18"/>
                <w:szCs w:val="18"/>
              </w:rPr>
              <w:t>20.</w:t>
            </w:r>
          </w:p>
        </w:tc>
        <w:tc>
          <w:tcPr>
            <w:tcW w:w="470" w:type="pct"/>
            <w:tcBorders>
              <w:top w:val="single" w:sz="12" w:space="0" w:color="auto"/>
            </w:tcBorders>
            <w:shd w:val="clear" w:color="auto" w:fill="FFC000"/>
            <w:vAlign w:val="center"/>
          </w:tcPr>
          <w:p w14:paraId="300458F4" w14:textId="77777777" w:rsidR="00AA0841" w:rsidRPr="007D0A8A" w:rsidRDefault="00AA0841" w:rsidP="00AA0841">
            <w:pPr>
              <w:jc w:val="center"/>
              <w:rPr>
                <w:color w:val="auto"/>
                <w:sz w:val="18"/>
                <w:szCs w:val="18"/>
              </w:rPr>
            </w:pPr>
            <w:r w:rsidRPr="007D0A8A">
              <w:rPr>
                <w:color w:val="auto"/>
                <w:sz w:val="18"/>
                <w:szCs w:val="18"/>
              </w:rPr>
              <w:t>Moderate to High</w:t>
            </w:r>
          </w:p>
        </w:tc>
        <w:tc>
          <w:tcPr>
            <w:tcW w:w="666" w:type="pct"/>
            <w:tcBorders>
              <w:top w:val="single" w:sz="12" w:space="0" w:color="auto"/>
            </w:tcBorders>
            <w:shd w:val="clear" w:color="auto" w:fill="95B3D7" w:themeFill="accent1" w:themeFillTint="99"/>
            <w:vAlign w:val="center"/>
          </w:tcPr>
          <w:p w14:paraId="31D5512C" w14:textId="77777777" w:rsidR="00AA0841" w:rsidRPr="007D0A8A" w:rsidRDefault="00AA0841" w:rsidP="00AA0841">
            <w:pPr>
              <w:jc w:val="center"/>
              <w:rPr>
                <w:rFonts w:cstheme="minorHAnsi"/>
                <w:color w:val="auto"/>
                <w:spacing w:val="-1"/>
                <w:sz w:val="18"/>
                <w:highlight w:val="yellow"/>
              </w:rPr>
            </w:pPr>
            <w:r w:rsidRPr="007D0A8A">
              <w:rPr>
                <w:rFonts w:cstheme="minorHAnsi"/>
                <w:color w:val="auto"/>
                <w:sz w:val="18"/>
                <w:szCs w:val="18"/>
              </w:rPr>
              <w:t>Possible use of CEW to contribute to an unregulated flow event.</w:t>
            </w:r>
          </w:p>
        </w:tc>
        <w:tc>
          <w:tcPr>
            <w:tcW w:w="487" w:type="pct"/>
            <w:tcBorders>
              <w:top w:val="single" w:sz="12" w:space="0" w:color="auto"/>
              <w:right w:val="single" w:sz="12" w:space="0" w:color="auto"/>
            </w:tcBorders>
            <w:shd w:val="clear" w:color="auto" w:fill="FFC000"/>
            <w:vAlign w:val="center"/>
          </w:tcPr>
          <w:p w14:paraId="5F97D83A" w14:textId="77777777" w:rsidR="00AA0841" w:rsidRPr="007D0A8A" w:rsidRDefault="00AA0841" w:rsidP="00AA0841">
            <w:pPr>
              <w:jc w:val="center"/>
              <w:rPr>
                <w:color w:val="auto"/>
                <w:sz w:val="18"/>
                <w:szCs w:val="18"/>
              </w:rPr>
            </w:pPr>
            <w:r w:rsidRPr="007D0A8A">
              <w:rPr>
                <w:color w:val="auto"/>
                <w:sz w:val="18"/>
                <w:szCs w:val="18"/>
              </w:rPr>
              <w:t>Moderate to High</w:t>
            </w:r>
          </w:p>
        </w:tc>
      </w:tr>
      <w:tr w:rsidR="00AA0841" w:rsidRPr="007D0A8A" w14:paraId="70F346FA" w14:textId="77777777" w:rsidTr="00AA0841">
        <w:trPr>
          <w:trHeight w:val="2531"/>
        </w:trPr>
        <w:tc>
          <w:tcPr>
            <w:tcW w:w="454" w:type="pct"/>
            <w:vMerge/>
            <w:tcBorders>
              <w:left w:val="single" w:sz="12" w:space="0" w:color="auto"/>
            </w:tcBorders>
            <w:shd w:val="clear" w:color="auto" w:fill="auto"/>
          </w:tcPr>
          <w:p w14:paraId="79CCE129" w14:textId="77777777" w:rsidR="00AA0841" w:rsidRPr="00474E16" w:rsidRDefault="00AA0841" w:rsidP="00AA0841">
            <w:pPr>
              <w:rPr>
                <w:b/>
                <w:bCs/>
                <w:sz w:val="18"/>
                <w:szCs w:val="18"/>
              </w:rPr>
            </w:pPr>
          </w:p>
        </w:tc>
        <w:tc>
          <w:tcPr>
            <w:tcW w:w="389" w:type="pct"/>
            <w:vMerge/>
            <w:vAlign w:val="center"/>
          </w:tcPr>
          <w:p w14:paraId="43E6DBE1" w14:textId="77777777" w:rsidR="00AA0841" w:rsidRDefault="00AA0841" w:rsidP="00AA0841">
            <w:pPr>
              <w:rPr>
                <w:sz w:val="18"/>
              </w:rPr>
            </w:pPr>
          </w:p>
        </w:tc>
        <w:tc>
          <w:tcPr>
            <w:tcW w:w="845" w:type="pct"/>
            <w:shd w:val="clear" w:color="auto" w:fill="auto"/>
            <w:vAlign w:val="center"/>
          </w:tcPr>
          <w:p w14:paraId="0A8E157E" w14:textId="77777777" w:rsidR="00AA0841" w:rsidRDefault="00AA0841" w:rsidP="00AA0841">
            <w:pPr>
              <w:rPr>
                <w:rFonts w:cstheme="minorHAnsi"/>
                <w:b/>
                <w:noProof/>
                <w:color w:val="000000" w:themeColor="text1"/>
                <w:sz w:val="18"/>
                <w:szCs w:val="18"/>
              </w:rPr>
            </w:pPr>
            <w:r w:rsidRPr="005F608F">
              <w:rPr>
                <w:rFonts w:cstheme="minorHAnsi"/>
                <w:b/>
                <w:color w:val="000000" w:themeColor="text1"/>
                <w:sz w:val="18"/>
                <w:szCs w:val="18"/>
              </w:rPr>
              <w:t xml:space="preserve">Large fresh (LF): </w:t>
            </w:r>
          </w:p>
          <w:p w14:paraId="07DB3295" w14:textId="77777777" w:rsidR="00AA0841" w:rsidRPr="005F608F" w:rsidRDefault="00AA0841" w:rsidP="00AA0841">
            <w:pPr>
              <w:rPr>
                <w:rFonts w:cstheme="minorHAnsi"/>
                <w:color w:val="000000" w:themeColor="text1"/>
                <w:sz w:val="18"/>
                <w:szCs w:val="18"/>
              </w:rPr>
            </w:pPr>
            <w:r w:rsidRPr="005F608F">
              <w:rPr>
                <w:rFonts w:cstheme="minorHAnsi"/>
                <w:color w:val="000000" w:themeColor="text1"/>
                <w:sz w:val="18"/>
                <w:szCs w:val="18"/>
              </w:rPr>
              <w:t>LF1</w:t>
            </w:r>
            <w:r>
              <w:rPr>
                <w:rFonts w:cstheme="minorHAnsi"/>
                <w:noProof/>
                <w:color w:val="000000" w:themeColor="text1"/>
                <w:sz w:val="18"/>
                <w:szCs w:val="18"/>
              </w:rPr>
              <w:t>:</w:t>
            </w:r>
            <w:r w:rsidRPr="005F608F">
              <w:rPr>
                <w:rFonts w:cstheme="minorHAnsi"/>
                <w:color w:val="000000" w:themeColor="text1"/>
                <w:sz w:val="18"/>
                <w:szCs w:val="18"/>
              </w:rPr>
              <w:t xml:space="preserve"> &gt;</w:t>
            </w:r>
            <w:r>
              <w:rPr>
                <w:rFonts w:cstheme="minorHAnsi"/>
                <w:color w:val="000000" w:themeColor="text1"/>
                <w:sz w:val="18"/>
                <w:szCs w:val="18"/>
              </w:rPr>
              <w:t>2 242</w:t>
            </w:r>
            <w:r w:rsidRPr="005F608F">
              <w:rPr>
                <w:rFonts w:cstheme="minorHAnsi"/>
                <w:color w:val="000000" w:themeColor="text1"/>
                <w:sz w:val="18"/>
                <w:szCs w:val="18"/>
              </w:rPr>
              <w:t xml:space="preserve"> ML/d for at least 5 days </w:t>
            </w:r>
            <w:r>
              <w:rPr>
                <w:rFonts w:cstheme="minorHAnsi"/>
                <w:color w:val="000000" w:themeColor="text1"/>
                <w:sz w:val="18"/>
                <w:szCs w:val="18"/>
              </w:rPr>
              <w:t>i</w:t>
            </w:r>
            <w:r w:rsidRPr="005F608F">
              <w:rPr>
                <w:rFonts w:cstheme="minorHAnsi"/>
                <w:color w:val="000000" w:themeColor="text1"/>
                <w:sz w:val="18"/>
                <w:szCs w:val="18"/>
              </w:rPr>
              <w:t xml:space="preserve">n the </w:t>
            </w:r>
            <w:r>
              <w:rPr>
                <w:rFonts w:cstheme="minorHAnsi"/>
                <w:color w:val="000000" w:themeColor="text1"/>
                <w:sz w:val="18"/>
                <w:szCs w:val="18"/>
              </w:rPr>
              <w:t xml:space="preserve">Warrego </w:t>
            </w:r>
            <w:r w:rsidRPr="004D163F">
              <w:rPr>
                <w:rFonts w:cstheme="minorHAnsi"/>
                <w:color w:val="000000" w:themeColor="text1"/>
                <w:sz w:val="18"/>
                <w:szCs w:val="18"/>
              </w:rPr>
              <w:t>Barringun</w:t>
            </w:r>
            <w:r w:rsidRPr="005F608F">
              <w:rPr>
                <w:rFonts w:cstheme="minorHAnsi"/>
                <w:color w:val="000000" w:themeColor="text1"/>
                <w:sz w:val="18"/>
                <w:szCs w:val="18"/>
              </w:rPr>
              <w:t>, in Jul–Sept (but can occur at any time) (native fish condition and dispersal).</w:t>
            </w:r>
          </w:p>
          <w:p w14:paraId="7F302D41" w14:textId="77777777" w:rsidR="00AA0841" w:rsidRPr="001931BB" w:rsidRDefault="00AA0841" w:rsidP="00AA0841">
            <w:pPr>
              <w:rPr>
                <w:spacing w:val="-1"/>
                <w:sz w:val="18"/>
              </w:rPr>
            </w:pPr>
            <w:r w:rsidRPr="005F608F">
              <w:rPr>
                <w:rFonts w:cstheme="minorHAnsi"/>
                <w:color w:val="000000" w:themeColor="text1"/>
                <w:sz w:val="18"/>
                <w:szCs w:val="18"/>
              </w:rPr>
              <w:t>LF2</w:t>
            </w:r>
            <w:r>
              <w:rPr>
                <w:rFonts w:cstheme="minorHAnsi"/>
                <w:noProof/>
                <w:color w:val="000000" w:themeColor="text1"/>
                <w:sz w:val="18"/>
                <w:szCs w:val="18"/>
              </w:rPr>
              <w:t>:</w:t>
            </w:r>
            <w:r w:rsidRPr="005F608F">
              <w:rPr>
                <w:rFonts w:cstheme="minorHAnsi"/>
                <w:color w:val="000000" w:themeColor="text1"/>
                <w:sz w:val="18"/>
                <w:szCs w:val="18"/>
              </w:rPr>
              <w:t xml:space="preserve"> &gt;</w:t>
            </w:r>
            <w:r>
              <w:rPr>
                <w:rFonts w:cstheme="minorHAnsi"/>
                <w:color w:val="000000" w:themeColor="text1"/>
                <w:sz w:val="18"/>
                <w:szCs w:val="18"/>
              </w:rPr>
              <w:t>2 242</w:t>
            </w:r>
            <w:r w:rsidRPr="005F608F">
              <w:rPr>
                <w:rFonts w:cstheme="minorHAnsi"/>
                <w:color w:val="000000" w:themeColor="text1"/>
                <w:sz w:val="18"/>
                <w:szCs w:val="18"/>
              </w:rPr>
              <w:t xml:space="preserve">ML/d for at least 5 days </w:t>
            </w:r>
            <w:r>
              <w:rPr>
                <w:rFonts w:cstheme="minorHAnsi"/>
                <w:color w:val="000000" w:themeColor="text1"/>
                <w:sz w:val="18"/>
                <w:szCs w:val="18"/>
              </w:rPr>
              <w:t>i</w:t>
            </w:r>
            <w:r w:rsidRPr="005F608F">
              <w:rPr>
                <w:rFonts w:cstheme="minorHAnsi"/>
                <w:color w:val="000000" w:themeColor="text1"/>
                <w:sz w:val="18"/>
                <w:szCs w:val="18"/>
              </w:rPr>
              <w:t xml:space="preserve">n the </w:t>
            </w:r>
            <w:r>
              <w:rPr>
                <w:rFonts w:cstheme="minorHAnsi"/>
                <w:color w:val="000000" w:themeColor="text1"/>
                <w:sz w:val="18"/>
                <w:szCs w:val="18"/>
              </w:rPr>
              <w:t xml:space="preserve">Warrego </w:t>
            </w:r>
            <w:r w:rsidRPr="004D163F">
              <w:rPr>
                <w:rFonts w:cstheme="minorHAnsi"/>
                <w:color w:val="000000" w:themeColor="text1"/>
                <w:sz w:val="18"/>
                <w:szCs w:val="18"/>
              </w:rPr>
              <w:t>Barringun</w:t>
            </w:r>
            <w:r w:rsidRPr="005F608F">
              <w:rPr>
                <w:rFonts w:cstheme="minorHAnsi"/>
                <w:color w:val="000000" w:themeColor="text1"/>
                <w:sz w:val="18"/>
                <w:szCs w:val="18"/>
              </w:rPr>
              <w:t>,</w:t>
            </w:r>
            <w:r>
              <w:rPr>
                <w:rFonts w:cstheme="minorHAnsi"/>
                <w:color w:val="000000" w:themeColor="text1"/>
                <w:sz w:val="18"/>
                <w:szCs w:val="18"/>
              </w:rPr>
              <w:t xml:space="preserve"> i</w:t>
            </w:r>
            <w:r w:rsidRPr="005F608F">
              <w:rPr>
                <w:rFonts w:cstheme="minorHAnsi"/>
                <w:color w:val="000000" w:themeColor="text1"/>
                <w:sz w:val="18"/>
                <w:szCs w:val="18"/>
              </w:rPr>
              <w:t>n Oct–Apr (spawning flow specialists).</w:t>
            </w:r>
          </w:p>
        </w:tc>
        <w:tc>
          <w:tcPr>
            <w:tcW w:w="455" w:type="pct"/>
            <w:shd w:val="clear" w:color="auto" w:fill="auto"/>
            <w:vAlign w:val="center"/>
          </w:tcPr>
          <w:p w14:paraId="7645207A" w14:textId="77777777" w:rsidR="00AA0841" w:rsidRPr="005F608F" w:rsidRDefault="00AA0841" w:rsidP="00AA0841">
            <w:pPr>
              <w:spacing w:after="0"/>
              <w:jc w:val="center"/>
              <w:rPr>
                <w:rFonts w:cstheme="minorHAnsi"/>
                <w:color w:val="000000" w:themeColor="text1"/>
                <w:sz w:val="18"/>
                <w:szCs w:val="18"/>
              </w:rPr>
            </w:pPr>
            <w:r w:rsidRPr="005F608F">
              <w:rPr>
                <w:rFonts w:cstheme="minorHAnsi"/>
                <w:color w:val="000000" w:themeColor="text1"/>
                <w:sz w:val="18"/>
                <w:szCs w:val="18"/>
              </w:rPr>
              <w:t>LF1: 5–10 years in 10</w:t>
            </w:r>
          </w:p>
          <w:p w14:paraId="54FBF0EA" w14:textId="77777777" w:rsidR="00AA0841" w:rsidRDefault="00AA0841" w:rsidP="00AA0841">
            <w:pPr>
              <w:spacing w:after="0"/>
              <w:jc w:val="center"/>
              <w:rPr>
                <w:rFonts w:cstheme="minorHAnsi"/>
                <w:color w:val="000000" w:themeColor="text1"/>
                <w:sz w:val="18"/>
                <w:szCs w:val="18"/>
              </w:rPr>
            </w:pPr>
            <w:r w:rsidRPr="005F608F">
              <w:rPr>
                <w:rFonts w:cstheme="minorHAnsi"/>
                <w:color w:val="000000" w:themeColor="text1"/>
                <w:sz w:val="18"/>
                <w:szCs w:val="18"/>
              </w:rPr>
              <w:t>(Max. interval: 2 years)</w:t>
            </w:r>
          </w:p>
          <w:p w14:paraId="60561FF1" w14:textId="77777777" w:rsidR="00AA0841" w:rsidRDefault="00AA0841" w:rsidP="00AA0841">
            <w:pPr>
              <w:spacing w:after="0"/>
              <w:jc w:val="center"/>
              <w:rPr>
                <w:rFonts w:cstheme="minorHAnsi"/>
                <w:color w:val="000000" w:themeColor="text1"/>
                <w:sz w:val="18"/>
                <w:szCs w:val="18"/>
              </w:rPr>
            </w:pPr>
          </w:p>
          <w:p w14:paraId="63143FB5" w14:textId="77777777" w:rsidR="00AA0841" w:rsidRPr="005F608F" w:rsidRDefault="00AA0841" w:rsidP="00AA0841">
            <w:pPr>
              <w:spacing w:after="0"/>
              <w:jc w:val="center"/>
              <w:rPr>
                <w:rFonts w:cstheme="minorHAnsi"/>
                <w:color w:val="000000" w:themeColor="text1"/>
                <w:sz w:val="18"/>
                <w:szCs w:val="18"/>
              </w:rPr>
            </w:pPr>
            <w:r w:rsidRPr="005F608F">
              <w:rPr>
                <w:rFonts w:cstheme="minorHAnsi"/>
                <w:color w:val="000000" w:themeColor="text1"/>
                <w:sz w:val="18"/>
                <w:szCs w:val="18"/>
              </w:rPr>
              <w:t>LF2: 3–5 years in 10</w:t>
            </w:r>
          </w:p>
          <w:p w14:paraId="1ADCF6D2" w14:textId="77777777" w:rsidR="00AA0841" w:rsidRPr="001931BB" w:rsidRDefault="00AA0841" w:rsidP="00AA0841">
            <w:pPr>
              <w:jc w:val="center"/>
              <w:rPr>
                <w:color w:val="000000" w:themeColor="text1"/>
                <w:sz w:val="18"/>
                <w:szCs w:val="18"/>
              </w:rPr>
            </w:pPr>
            <w:r w:rsidRPr="005F608F">
              <w:rPr>
                <w:rFonts w:cstheme="minorHAnsi"/>
                <w:color w:val="000000" w:themeColor="text1"/>
                <w:sz w:val="18"/>
                <w:szCs w:val="18"/>
              </w:rPr>
              <w:t>(Max. interval: 4 years)</w:t>
            </w:r>
          </w:p>
        </w:tc>
        <w:tc>
          <w:tcPr>
            <w:tcW w:w="1234" w:type="pct"/>
            <w:shd w:val="clear" w:color="auto" w:fill="auto"/>
            <w:vAlign w:val="center"/>
          </w:tcPr>
          <w:p w14:paraId="29F597A1" w14:textId="77777777" w:rsidR="00AA0841" w:rsidRPr="00EC32EF" w:rsidRDefault="00AA0841" w:rsidP="00AA0841">
            <w:pPr>
              <w:jc w:val="center"/>
              <w:rPr>
                <w:bCs/>
                <w:color w:val="FF0000"/>
                <w:sz w:val="18"/>
                <w:szCs w:val="18"/>
                <w:highlight w:val="lightGray"/>
              </w:rPr>
            </w:pPr>
            <w:r>
              <w:rPr>
                <w:rFonts w:hAnsi="Century Gothic"/>
                <w:bCs/>
                <w:sz w:val="18"/>
                <w:szCs w:val="18"/>
              </w:rPr>
              <w:t>Met in 2010</w:t>
            </w:r>
            <w:r>
              <w:rPr>
                <w:rFonts w:hAnsi="Century Gothic"/>
                <w:bCs/>
                <w:sz w:val="18"/>
                <w:szCs w:val="18"/>
              </w:rPr>
              <w:t>–</w:t>
            </w:r>
            <w:r>
              <w:rPr>
                <w:rFonts w:hAnsi="Century Gothic"/>
                <w:bCs/>
                <w:sz w:val="18"/>
                <w:szCs w:val="18"/>
              </w:rPr>
              <w:t>11 and 2011</w:t>
            </w:r>
            <w:r>
              <w:rPr>
                <w:rFonts w:hAnsi="Century Gothic"/>
                <w:bCs/>
                <w:sz w:val="18"/>
                <w:szCs w:val="18"/>
              </w:rPr>
              <w:t>–</w:t>
            </w:r>
            <w:r>
              <w:rPr>
                <w:rFonts w:hAnsi="Century Gothic"/>
                <w:bCs/>
                <w:sz w:val="18"/>
                <w:szCs w:val="18"/>
              </w:rPr>
              <w:t>2012. Not met in 2012</w:t>
            </w:r>
            <w:r>
              <w:rPr>
                <w:rFonts w:hAnsi="Century Gothic"/>
                <w:bCs/>
                <w:sz w:val="18"/>
                <w:szCs w:val="18"/>
              </w:rPr>
              <w:t>–</w:t>
            </w:r>
            <w:r>
              <w:rPr>
                <w:rFonts w:hAnsi="Century Gothic"/>
                <w:bCs/>
                <w:sz w:val="18"/>
                <w:szCs w:val="18"/>
              </w:rPr>
              <w:t>13, 2013</w:t>
            </w:r>
            <w:r>
              <w:rPr>
                <w:rFonts w:hAnsi="Century Gothic"/>
                <w:bCs/>
                <w:sz w:val="18"/>
                <w:szCs w:val="18"/>
              </w:rPr>
              <w:t>–</w:t>
            </w:r>
            <w:r>
              <w:rPr>
                <w:rFonts w:hAnsi="Century Gothic"/>
                <w:bCs/>
                <w:sz w:val="18"/>
                <w:szCs w:val="18"/>
              </w:rPr>
              <w:t>14, 2014</w:t>
            </w:r>
            <w:r>
              <w:rPr>
                <w:rFonts w:hAnsi="Century Gothic"/>
                <w:bCs/>
                <w:sz w:val="18"/>
                <w:szCs w:val="18"/>
              </w:rPr>
              <w:t>–</w:t>
            </w:r>
            <w:r>
              <w:rPr>
                <w:rFonts w:hAnsi="Century Gothic"/>
                <w:bCs/>
                <w:sz w:val="18"/>
                <w:szCs w:val="18"/>
              </w:rPr>
              <w:t>15 and 2015</w:t>
            </w:r>
            <w:r>
              <w:rPr>
                <w:rFonts w:hAnsi="Century Gothic"/>
                <w:bCs/>
                <w:sz w:val="18"/>
                <w:szCs w:val="18"/>
              </w:rPr>
              <w:t>–</w:t>
            </w:r>
            <w:r>
              <w:rPr>
                <w:rFonts w:hAnsi="Century Gothic"/>
                <w:bCs/>
                <w:sz w:val="18"/>
                <w:szCs w:val="18"/>
              </w:rPr>
              <w:t>16. Met in 2016</w:t>
            </w:r>
            <w:r>
              <w:rPr>
                <w:rFonts w:hAnsi="Century Gothic"/>
                <w:bCs/>
                <w:sz w:val="18"/>
                <w:szCs w:val="18"/>
              </w:rPr>
              <w:t>–</w:t>
            </w:r>
            <w:r>
              <w:rPr>
                <w:rFonts w:hAnsi="Century Gothic"/>
                <w:bCs/>
                <w:sz w:val="18"/>
                <w:szCs w:val="18"/>
              </w:rPr>
              <w:t>17. Not met in 2017</w:t>
            </w:r>
            <w:r>
              <w:rPr>
                <w:rFonts w:hAnsi="Century Gothic"/>
                <w:bCs/>
                <w:sz w:val="18"/>
                <w:szCs w:val="18"/>
              </w:rPr>
              <w:t>–</w:t>
            </w:r>
            <w:r>
              <w:rPr>
                <w:rFonts w:hAnsi="Century Gothic"/>
                <w:bCs/>
                <w:sz w:val="18"/>
                <w:szCs w:val="18"/>
              </w:rPr>
              <w:t>18 and 2018</w:t>
            </w:r>
            <w:r>
              <w:rPr>
                <w:rFonts w:hAnsi="Century Gothic"/>
                <w:bCs/>
                <w:sz w:val="18"/>
                <w:szCs w:val="18"/>
              </w:rPr>
              <w:t>–</w:t>
            </w:r>
            <w:r>
              <w:rPr>
                <w:rFonts w:hAnsi="Century Gothic"/>
                <w:bCs/>
                <w:sz w:val="18"/>
                <w:szCs w:val="18"/>
              </w:rPr>
              <w:t>19. Met in 2019</w:t>
            </w:r>
            <w:r>
              <w:rPr>
                <w:rFonts w:hAnsi="Century Gothic"/>
                <w:bCs/>
                <w:sz w:val="18"/>
                <w:szCs w:val="18"/>
              </w:rPr>
              <w:t>–</w:t>
            </w:r>
            <w:r>
              <w:rPr>
                <w:rFonts w:hAnsi="Century Gothic"/>
                <w:bCs/>
                <w:sz w:val="18"/>
                <w:szCs w:val="18"/>
              </w:rPr>
              <w:t>20.</w:t>
            </w:r>
          </w:p>
        </w:tc>
        <w:tc>
          <w:tcPr>
            <w:tcW w:w="470" w:type="pct"/>
            <w:shd w:val="clear" w:color="auto" w:fill="FF0000"/>
            <w:vAlign w:val="center"/>
          </w:tcPr>
          <w:p w14:paraId="4DC6BDF3" w14:textId="77777777" w:rsidR="00AA0841" w:rsidRPr="007D0A8A" w:rsidRDefault="00AA0841" w:rsidP="00AA0841">
            <w:pPr>
              <w:jc w:val="center"/>
              <w:rPr>
                <w:color w:val="auto"/>
                <w:sz w:val="18"/>
                <w:szCs w:val="18"/>
              </w:rPr>
            </w:pPr>
            <w:r w:rsidRPr="007D0A8A">
              <w:rPr>
                <w:color w:val="auto"/>
                <w:sz w:val="18"/>
                <w:szCs w:val="18"/>
              </w:rPr>
              <w:t>High</w:t>
            </w:r>
          </w:p>
        </w:tc>
        <w:tc>
          <w:tcPr>
            <w:tcW w:w="666" w:type="pct"/>
            <w:shd w:val="clear" w:color="auto" w:fill="95B3D7" w:themeFill="accent1" w:themeFillTint="99"/>
            <w:vAlign w:val="center"/>
          </w:tcPr>
          <w:p w14:paraId="5C71F189" w14:textId="77777777" w:rsidR="00AA0841" w:rsidRPr="007D0A8A" w:rsidRDefault="00AA0841" w:rsidP="00AA0841">
            <w:pPr>
              <w:jc w:val="center"/>
              <w:rPr>
                <w:rFonts w:cstheme="minorHAnsi"/>
                <w:color w:val="auto"/>
                <w:spacing w:val="-1"/>
                <w:sz w:val="18"/>
                <w:highlight w:val="yellow"/>
              </w:rPr>
            </w:pPr>
            <w:r w:rsidRPr="007D0A8A">
              <w:rPr>
                <w:rFonts w:cstheme="minorHAnsi"/>
                <w:color w:val="auto"/>
                <w:sz w:val="18"/>
                <w:szCs w:val="18"/>
              </w:rPr>
              <w:t>Possible use of CEW to contribute to an unregulated flow event.</w:t>
            </w:r>
          </w:p>
        </w:tc>
        <w:tc>
          <w:tcPr>
            <w:tcW w:w="487" w:type="pct"/>
            <w:tcBorders>
              <w:right w:val="single" w:sz="12" w:space="0" w:color="auto"/>
            </w:tcBorders>
            <w:shd w:val="clear" w:color="auto" w:fill="FF0000"/>
            <w:vAlign w:val="center"/>
          </w:tcPr>
          <w:p w14:paraId="1A4C01F1" w14:textId="77777777" w:rsidR="00AA0841" w:rsidRPr="007D0A8A" w:rsidRDefault="00AA0841" w:rsidP="00AA0841">
            <w:pPr>
              <w:jc w:val="center"/>
              <w:rPr>
                <w:color w:val="auto"/>
                <w:sz w:val="18"/>
                <w:szCs w:val="18"/>
              </w:rPr>
            </w:pPr>
            <w:r w:rsidRPr="007D0A8A">
              <w:rPr>
                <w:color w:val="auto"/>
                <w:sz w:val="18"/>
                <w:szCs w:val="18"/>
              </w:rPr>
              <w:t>High</w:t>
            </w:r>
          </w:p>
        </w:tc>
      </w:tr>
      <w:tr w:rsidR="00AA0841" w:rsidRPr="007D0A8A" w14:paraId="18349C84" w14:textId="77777777" w:rsidTr="00AA0841">
        <w:trPr>
          <w:trHeight w:val="1968"/>
        </w:trPr>
        <w:tc>
          <w:tcPr>
            <w:tcW w:w="454" w:type="pct"/>
            <w:vMerge w:val="restart"/>
            <w:tcBorders>
              <w:left w:val="single" w:sz="12" w:space="0" w:color="auto"/>
            </w:tcBorders>
            <w:shd w:val="clear" w:color="auto" w:fill="auto"/>
          </w:tcPr>
          <w:p w14:paraId="3FF6C926" w14:textId="77777777" w:rsidR="00AA0841" w:rsidRPr="007D361F" w:rsidRDefault="00AA0841" w:rsidP="00AA0841">
            <w:pPr>
              <w:rPr>
                <w:rFonts w:eastAsia="Century Gothic" w:hAnsi="Century Gothic"/>
                <w:b/>
                <w:bCs/>
                <w:sz w:val="18"/>
                <w:szCs w:val="18"/>
              </w:rPr>
            </w:pPr>
            <w:r w:rsidRPr="007D361F">
              <w:rPr>
                <w:rFonts w:eastAsia="Century Gothic" w:hAnsi="Century Gothic"/>
                <w:b/>
                <w:bCs/>
                <w:sz w:val="18"/>
                <w:szCs w:val="18"/>
              </w:rPr>
              <w:lastRenderedPageBreak/>
              <w:t>Warrego River (Boera Dam to Darling)</w:t>
            </w:r>
            <w:r w:rsidRPr="00FE0729">
              <w:rPr>
                <w:rStyle w:val="FootnoteReference"/>
                <w:rFonts w:eastAsia="Century Gothic" w:hAnsi="Century Gothic"/>
                <w:sz w:val="18"/>
                <w:szCs w:val="18"/>
              </w:rPr>
              <w:footnoteReference w:id="20"/>
            </w:r>
          </w:p>
          <w:p w14:paraId="798F9908" w14:textId="77777777" w:rsidR="00AA0841" w:rsidRPr="00474E16" w:rsidRDefault="00AA0841" w:rsidP="00AA0841">
            <w:pPr>
              <w:rPr>
                <w:b/>
                <w:bCs/>
                <w:sz w:val="18"/>
                <w:szCs w:val="18"/>
              </w:rPr>
            </w:pPr>
          </w:p>
        </w:tc>
        <w:tc>
          <w:tcPr>
            <w:tcW w:w="389" w:type="pct"/>
            <w:vMerge w:val="restart"/>
            <w:vAlign w:val="center"/>
          </w:tcPr>
          <w:p w14:paraId="14EECD22" w14:textId="77777777" w:rsidR="00AA0841" w:rsidRPr="00607E9D" w:rsidRDefault="00AA0841" w:rsidP="00AA0841">
            <w:pPr>
              <w:rPr>
                <w:rFonts w:hAnsi="Century Gothic"/>
                <w:color w:val="000000" w:themeColor="text1"/>
                <w:sz w:val="18"/>
                <w:szCs w:val="18"/>
              </w:rPr>
            </w:pPr>
            <w:r w:rsidRPr="00607E9D">
              <w:rPr>
                <w:rFonts w:hAnsi="Century Gothic"/>
                <w:color w:val="000000" w:themeColor="text1"/>
                <w:sz w:val="18"/>
                <w:szCs w:val="18"/>
              </w:rPr>
              <w:t>Refuge habitat (waterbirds, frogs, fish)</w:t>
            </w:r>
          </w:p>
          <w:p w14:paraId="28404355" w14:textId="77777777" w:rsidR="00AA0841" w:rsidRPr="00607E9D" w:rsidRDefault="00AA0841" w:rsidP="00AA0841">
            <w:pPr>
              <w:rPr>
                <w:rFonts w:hAnsi="Century Gothic"/>
                <w:color w:val="000000" w:themeColor="text1"/>
                <w:sz w:val="18"/>
                <w:szCs w:val="18"/>
              </w:rPr>
            </w:pPr>
            <w:r w:rsidRPr="00607E9D">
              <w:rPr>
                <w:rFonts w:hAnsi="Century Gothic"/>
                <w:color w:val="000000" w:themeColor="text1"/>
                <w:sz w:val="18"/>
                <w:szCs w:val="18"/>
              </w:rPr>
              <w:t>Instream aquatic ecosystems</w:t>
            </w:r>
          </w:p>
          <w:p w14:paraId="4463CD46" w14:textId="77777777" w:rsidR="00AA0841" w:rsidRPr="00607E9D" w:rsidRDefault="00AA0841" w:rsidP="00AA0841">
            <w:pPr>
              <w:rPr>
                <w:rFonts w:hAnsi="Century Gothic"/>
                <w:color w:val="000000" w:themeColor="text1"/>
                <w:sz w:val="18"/>
                <w:szCs w:val="18"/>
              </w:rPr>
            </w:pPr>
            <w:r w:rsidRPr="00607E9D">
              <w:rPr>
                <w:rFonts w:hAnsi="Century Gothic"/>
                <w:color w:val="000000" w:themeColor="text1"/>
                <w:sz w:val="18"/>
                <w:szCs w:val="18"/>
              </w:rPr>
              <w:t>Riparian vegetation</w:t>
            </w:r>
          </w:p>
          <w:p w14:paraId="43C6D584" w14:textId="77777777" w:rsidR="00AA0841" w:rsidRPr="00365FE2" w:rsidRDefault="00AA0841" w:rsidP="00AA0841">
            <w:pPr>
              <w:rPr>
                <w:spacing w:val="22"/>
                <w:sz w:val="18"/>
                <w:szCs w:val="18"/>
              </w:rPr>
            </w:pPr>
            <w:r w:rsidRPr="00365FE2">
              <w:rPr>
                <w:spacing w:val="-1"/>
                <w:sz w:val="18"/>
                <w:szCs w:val="18"/>
              </w:rPr>
              <w:t>In-stream</w:t>
            </w:r>
            <w:r w:rsidRPr="00365FE2">
              <w:rPr>
                <w:spacing w:val="26"/>
                <w:w w:val="99"/>
                <w:sz w:val="18"/>
                <w:szCs w:val="18"/>
              </w:rPr>
              <w:t xml:space="preserve"> </w:t>
            </w:r>
            <w:r w:rsidRPr="00365FE2">
              <w:rPr>
                <w:spacing w:val="-1"/>
                <w:sz w:val="18"/>
                <w:szCs w:val="18"/>
              </w:rPr>
              <w:t>aquatic</w:t>
            </w:r>
            <w:r w:rsidRPr="00365FE2">
              <w:rPr>
                <w:spacing w:val="24"/>
                <w:w w:val="99"/>
                <w:sz w:val="18"/>
                <w:szCs w:val="18"/>
              </w:rPr>
              <w:t xml:space="preserve"> </w:t>
            </w:r>
            <w:r w:rsidRPr="00365FE2">
              <w:rPr>
                <w:spacing w:val="-1"/>
                <w:sz w:val="18"/>
                <w:szCs w:val="18"/>
              </w:rPr>
              <w:t>ecosystems</w:t>
            </w:r>
          </w:p>
          <w:p w14:paraId="3DF9EFB0" w14:textId="77777777" w:rsidR="00AA0841" w:rsidRDefault="00AA0841" w:rsidP="00AA0841">
            <w:pPr>
              <w:rPr>
                <w:spacing w:val="-1"/>
                <w:sz w:val="18"/>
                <w:szCs w:val="18"/>
              </w:rPr>
            </w:pPr>
            <w:r w:rsidRPr="00365FE2">
              <w:rPr>
                <w:spacing w:val="-1"/>
                <w:sz w:val="18"/>
                <w:szCs w:val="18"/>
              </w:rPr>
              <w:t>Fish</w:t>
            </w:r>
            <w:r w:rsidRPr="00365FE2">
              <w:rPr>
                <w:spacing w:val="22"/>
                <w:sz w:val="18"/>
                <w:szCs w:val="18"/>
              </w:rPr>
              <w:t xml:space="preserve"> </w:t>
            </w:r>
            <w:r>
              <w:rPr>
                <w:spacing w:val="22"/>
                <w:sz w:val="18"/>
                <w:szCs w:val="18"/>
              </w:rPr>
              <w:t>c</w:t>
            </w:r>
            <w:r w:rsidRPr="00365FE2">
              <w:rPr>
                <w:spacing w:val="-1"/>
                <w:sz w:val="18"/>
                <w:szCs w:val="18"/>
              </w:rPr>
              <w:t>onnectivity</w:t>
            </w:r>
            <w:r>
              <w:rPr>
                <w:spacing w:val="-1"/>
                <w:sz w:val="18"/>
                <w:szCs w:val="18"/>
              </w:rPr>
              <w:t xml:space="preserve"> and movement</w:t>
            </w:r>
          </w:p>
          <w:p w14:paraId="386CF866" w14:textId="77777777" w:rsidR="00AA0841" w:rsidRPr="00607E9D" w:rsidRDefault="00AA0841" w:rsidP="00AA0841">
            <w:pPr>
              <w:rPr>
                <w:color w:val="000000" w:themeColor="text1"/>
                <w:sz w:val="18"/>
              </w:rPr>
            </w:pPr>
            <w:r w:rsidRPr="00607E9D">
              <w:rPr>
                <w:spacing w:val="-1"/>
                <w:sz w:val="18"/>
                <w:szCs w:val="18"/>
              </w:rPr>
              <w:t>Riparian veget</w:t>
            </w:r>
            <w:r>
              <w:rPr>
                <w:spacing w:val="-1"/>
                <w:sz w:val="18"/>
                <w:szCs w:val="18"/>
              </w:rPr>
              <w:t>at</w:t>
            </w:r>
            <w:r w:rsidRPr="00607E9D">
              <w:rPr>
                <w:spacing w:val="-1"/>
                <w:sz w:val="18"/>
                <w:szCs w:val="18"/>
              </w:rPr>
              <w:t>ion</w:t>
            </w:r>
          </w:p>
        </w:tc>
        <w:tc>
          <w:tcPr>
            <w:tcW w:w="845" w:type="pct"/>
            <w:shd w:val="clear" w:color="auto" w:fill="auto"/>
            <w:vAlign w:val="center"/>
          </w:tcPr>
          <w:p w14:paraId="47822324" w14:textId="77777777" w:rsidR="00AA0841" w:rsidRPr="001931BB" w:rsidRDefault="00AA0841" w:rsidP="00AA0841">
            <w:pPr>
              <w:rPr>
                <w:spacing w:val="-1"/>
                <w:sz w:val="18"/>
              </w:rPr>
            </w:pPr>
            <w:r>
              <w:rPr>
                <w:spacing w:val="-1"/>
                <w:sz w:val="18"/>
              </w:rPr>
              <w:t>Flows to replenish refuges and connect to the Darling.</w:t>
            </w:r>
          </w:p>
        </w:tc>
        <w:tc>
          <w:tcPr>
            <w:tcW w:w="455" w:type="pct"/>
            <w:shd w:val="clear" w:color="auto" w:fill="auto"/>
            <w:vAlign w:val="center"/>
          </w:tcPr>
          <w:p w14:paraId="668AFDDC" w14:textId="77777777" w:rsidR="00AA0841" w:rsidRPr="005F608F" w:rsidRDefault="00AA0841" w:rsidP="00AA0841">
            <w:pPr>
              <w:jc w:val="center"/>
              <w:rPr>
                <w:rFonts w:cstheme="minorHAnsi"/>
                <w:color w:val="000000" w:themeColor="text1"/>
                <w:sz w:val="18"/>
                <w:szCs w:val="18"/>
              </w:rPr>
            </w:pPr>
            <w:r w:rsidRPr="005F608F">
              <w:rPr>
                <w:rFonts w:cstheme="minorHAnsi"/>
                <w:color w:val="000000" w:themeColor="text1"/>
                <w:sz w:val="18"/>
                <w:szCs w:val="18"/>
              </w:rPr>
              <w:t>Annually</w:t>
            </w:r>
          </w:p>
          <w:p w14:paraId="7D39BC55" w14:textId="77777777" w:rsidR="00AA0841" w:rsidRPr="0083485E" w:rsidRDefault="00AA0841" w:rsidP="00AA0841">
            <w:pPr>
              <w:spacing w:after="0"/>
              <w:jc w:val="center"/>
              <w:rPr>
                <w:color w:val="000000" w:themeColor="text1"/>
                <w:sz w:val="18"/>
                <w:szCs w:val="18"/>
                <w:highlight w:val="yellow"/>
              </w:rPr>
            </w:pPr>
            <w:r w:rsidRPr="005F608F">
              <w:rPr>
                <w:rFonts w:cstheme="minorHAnsi"/>
                <w:color w:val="000000" w:themeColor="text1"/>
                <w:sz w:val="18"/>
                <w:szCs w:val="18"/>
              </w:rPr>
              <w:t>(Max. interval: 1 year)</w:t>
            </w:r>
          </w:p>
        </w:tc>
        <w:tc>
          <w:tcPr>
            <w:tcW w:w="1234" w:type="pct"/>
            <w:shd w:val="clear" w:color="auto" w:fill="auto"/>
            <w:vAlign w:val="center"/>
          </w:tcPr>
          <w:p w14:paraId="2AFAF9CC" w14:textId="77777777" w:rsidR="00AA0841" w:rsidRPr="00EC32EF" w:rsidRDefault="00AA0841" w:rsidP="00AA0841">
            <w:pPr>
              <w:jc w:val="center"/>
              <w:rPr>
                <w:bCs/>
                <w:color w:val="FF0000"/>
                <w:sz w:val="18"/>
                <w:szCs w:val="18"/>
                <w:highlight w:val="lightGray"/>
              </w:rPr>
            </w:pPr>
            <w:r w:rsidRPr="00E05505">
              <w:rPr>
                <w:rFonts w:hAnsi="Century Gothic"/>
                <w:bCs/>
                <w:sz w:val="18"/>
                <w:szCs w:val="18"/>
              </w:rPr>
              <w:t>Met</w:t>
            </w:r>
            <w:r>
              <w:rPr>
                <w:rFonts w:hAnsi="Century Gothic"/>
                <w:bCs/>
                <w:sz w:val="18"/>
                <w:szCs w:val="18"/>
              </w:rPr>
              <w:t xml:space="preserve"> every year except 2012</w:t>
            </w:r>
            <w:r>
              <w:rPr>
                <w:rFonts w:hAnsi="Century Gothic"/>
                <w:bCs/>
                <w:sz w:val="18"/>
                <w:szCs w:val="18"/>
              </w:rPr>
              <w:t>–</w:t>
            </w:r>
            <w:r>
              <w:rPr>
                <w:rFonts w:hAnsi="Century Gothic"/>
                <w:bCs/>
                <w:sz w:val="18"/>
                <w:szCs w:val="18"/>
              </w:rPr>
              <w:t>13.</w:t>
            </w:r>
          </w:p>
        </w:tc>
        <w:tc>
          <w:tcPr>
            <w:tcW w:w="470" w:type="pct"/>
            <w:shd w:val="clear" w:color="auto" w:fill="FF0000"/>
            <w:vAlign w:val="center"/>
          </w:tcPr>
          <w:p w14:paraId="794DD6C1" w14:textId="77777777" w:rsidR="00AA0841" w:rsidRPr="007D0A8A" w:rsidRDefault="00AA0841" w:rsidP="00AA0841">
            <w:pPr>
              <w:jc w:val="center"/>
              <w:rPr>
                <w:color w:val="auto"/>
                <w:sz w:val="18"/>
                <w:szCs w:val="18"/>
              </w:rPr>
            </w:pPr>
            <w:r w:rsidRPr="007D0A8A">
              <w:rPr>
                <w:color w:val="auto"/>
                <w:sz w:val="18"/>
                <w:szCs w:val="18"/>
              </w:rPr>
              <w:t>High</w:t>
            </w:r>
          </w:p>
        </w:tc>
        <w:tc>
          <w:tcPr>
            <w:tcW w:w="666" w:type="pct"/>
            <w:shd w:val="clear" w:color="auto" w:fill="365F91" w:themeFill="accent1" w:themeFillShade="BF"/>
            <w:vAlign w:val="center"/>
          </w:tcPr>
          <w:p w14:paraId="3A34AD8A" w14:textId="77777777" w:rsidR="00AA0841" w:rsidRPr="007D0A8A" w:rsidRDefault="00AA0841" w:rsidP="00AA0841">
            <w:pPr>
              <w:jc w:val="center"/>
              <w:rPr>
                <w:rFonts w:cstheme="minorHAnsi"/>
                <w:color w:val="auto"/>
                <w:sz w:val="18"/>
                <w:szCs w:val="18"/>
              </w:rPr>
            </w:pPr>
            <w:r w:rsidRPr="007D0A8A">
              <w:rPr>
                <w:rFonts w:cstheme="minorHAnsi"/>
                <w:color w:val="auto"/>
                <w:sz w:val="18"/>
                <w:szCs w:val="18"/>
              </w:rPr>
              <w:t>A high priority for use of CEW under all water resource availability scenarios.</w:t>
            </w:r>
          </w:p>
        </w:tc>
        <w:tc>
          <w:tcPr>
            <w:tcW w:w="487" w:type="pct"/>
            <w:tcBorders>
              <w:right w:val="single" w:sz="12" w:space="0" w:color="auto"/>
            </w:tcBorders>
            <w:shd w:val="clear" w:color="auto" w:fill="FF0000"/>
            <w:vAlign w:val="center"/>
          </w:tcPr>
          <w:p w14:paraId="11F251B1" w14:textId="77777777" w:rsidR="00AA0841" w:rsidRPr="007D0A8A" w:rsidRDefault="00AA0841" w:rsidP="00AA0841">
            <w:pPr>
              <w:jc w:val="center"/>
              <w:rPr>
                <w:color w:val="auto"/>
                <w:sz w:val="18"/>
                <w:szCs w:val="18"/>
              </w:rPr>
            </w:pPr>
            <w:r w:rsidRPr="007D0A8A">
              <w:rPr>
                <w:color w:val="auto"/>
                <w:sz w:val="18"/>
                <w:szCs w:val="18"/>
              </w:rPr>
              <w:t>High</w:t>
            </w:r>
          </w:p>
        </w:tc>
      </w:tr>
      <w:tr w:rsidR="00AA0841" w:rsidRPr="007D0A8A" w14:paraId="22047B6E" w14:textId="77777777" w:rsidTr="00AA0841">
        <w:trPr>
          <w:trHeight w:val="1684"/>
        </w:trPr>
        <w:tc>
          <w:tcPr>
            <w:tcW w:w="454" w:type="pct"/>
            <w:vMerge/>
            <w:tcBorders>
              <w:left w:val="single" w:sz="12" w:space="0" w:color="auto"/>
              <w:bottom w:val="single" w:sz="12" w:space="0" w:color="auto"/>
            </w:tcBorders>
            <w:shd w:val="clear" w:color="auto" w:fill="auto"/>
          </w:tcPr>
          <w:p w14:paraId="356523AF" w14:textId="77777777" w:rsidR="00AA0841" w:rsidRPr="007D361F" w:rsidRDefault="00AA0841" w:rsidP="00AA0841">
            <w:pPr>
              <w:rPr>
                <w:rFonts w:eastAsia="Century Gothic" w:hAnsi="Century Gothic"/>
                <w:b/>
                <w:bCs/>
                <w:sz w:val="18"/>
                <w:szCs w:val="18"/>
              </w:rPr>
            </w:pPr>
          </w:p>
        </w:tc>
        <w:tc>
          <w:tcPr>
            <w:tcW w:w="389" w:type="pct"/>
            <w:vMerge/>
            <w:tcBorders>
              <w:bottom w:val="single" w:sz="12" w:space="0" w:color="auto"/>
            </w:tcBorders>
            <w:vAlign w:val="center"/>
          </w:tcPr>
          <w:p w14:paraId="0416BF1A" w14:textId="77777777" w:rsidR="00AA0841" w:rsidRDefault="00AA0841" w:rsidP="00AA0841">
            <w:pPr>
              <w:rPr>
                <w:rFonts w:hAnsi="Century Gothic"/>
                <w:color w:val="FF0000"/>
                <w:sz w:val="18"/>
                <w:szCs w:val="18"/>
              </w:rPr>
            </w:pPr>
          </w:p>
        </w:tc>
        <w:tc>
          <w:tcPr>
            <w:tcW w:w="845" w:type="pct"/>
            <w:tcBorders>
              <w:bottom w:val="single" w:sz="12" w:space="0" w:color="auto"/>
            </w:tcBorders>
            <w:shd w:val="clear" w:color="auto" w:fill="auto"/>
            <w:vAlign w:val="center"/>
          </w:tcPr>
          <w:p w14:paraId="77AE09B4" w14:textId="77777777" w:rsidR="00AA0841" w:rsidRPr="00097A84" w:rsidRDefault="00AA0841" w:rsidP="00AA0841">
            <w:pPr>
              <w:rPr>
                <w:spacing w:val="-1"/>
                <w:sz w:val="18"/>
                <w:szCs w:val="18"/>
                <w:highlight w:val="yellow"/>
              </w:rPr>
            </w:pPr>
            <w:r w:rsidRPr="00365FE2">
              <w:rPr>
                <w:sz w:val="18"/>
                <w:szCs w:val="18"/>
              </w:rPr>
              <w:t>I</w:t>
            </w:r>
            <w:r w:rsidRPr="00365FE2">
              <w:rPr>
                <w:spacing w:val="-1"/>
                <w:sz w:val="18"/>
                <w:szCs w:val="18"/>
              </w:rPr>
              <w:t>n-channel</w:t>
            </w:r>
            <w:r w:rsidRPr="00365FE2">
              <w:rPr>
                <w:spacing w:val="26"/>
                <w:sz w:val="18"/>
                <w:szCs w:val="18"/>
              </w:rPr>
              <w:t xml:space="preserve"> </w:t>
            </w:r>
            <w:r w:rsidRPr="00365FE2">
              <w:rPr>
                <w:spacing w:val="-1"/>
                <w:sz w:val="18"/>
                <w:szCs w:val="18"/>
              </w:rPr>
              <w:t>flows:</w:t>
            </w:r>
            <w:r>
              <w:rPr>
                <w:spacing w:val="-1"/>
                <w:sz w:val="18"/>
                <w:szCs w:val="18"/>
              </w:rPr>
              <w:t xml:space="preserve"> Up to 600 ML/day for minimum 10 days to enable fish passage and movemen</w:t>
            </w:r>
            <w:r w:rsidRPr="00097A84">
              <w:rPr>
                <w:spacing w:val="-1"/>
                <w:sz w:val="18"/>
                <w:szCs w:val="18"/>
              </w:rPr>
              <w:t>t</w:t>
            </w:r>
            <w:r>
              <w:rPr>
                <w:rStyle w:val="FootnoteReference"/>
                <w:spacing w:val="-1"/>
                <w:sz w:val="18"/>
                <w:szCs w:val="18"/>
              </w:rPr>
              <w:footnoteReference w:customMarkFollows="1" w:id="21"/>
              <w:t>1</w:t>
            </w:r>
            <w:r w:rsidRPr="00097A84">
              <w:rPr>
                <w:spacing w:val="-1"/>
                <w:sz w:val="18"/>
                <w:szCs w:val="18"/>
              </w:rPr>
              <w:t>.</w:t>
            </w:r>
          </w:p>
        </w:tc>
        <w:tc>
          <w:tcPr>
            <w:tcW w:w="455" w:type="pct"/>
            <w:tcBorders>
              <w:bottom w:val="single" w:sz="12" w:space="0" w:color="auto"/>
            </w:tcBorders>
            <w:shd w:val="clear" w:color="auto" w:fill="auto"/>
            <w:vAlign w:val="center"/>
          </w:tcPr>
          <w:p w14:paraId="6AB7469C" w14:textId="77777777" w:rsidR="00AA0841" w:rsidRPr="005F608F" w:rsidRDefault="00AA0841" w:rsidP="00AA0841">
            <w:pPr>
              <w:jc w:val="center"/>
              <w:rPr>
                <w:rFonts w:cstheme="minorHAnsi"/>
                <w:color w:val="000000" w:themeColor="text1"/>
                <w:sz w:val="18"/>
                <w:szCs w:val="18"/>
              </w:rPr>
            </w:pPr>
            <w:r w:rsidRPr="007063C4">
              <w:rPr>
                <w:spacing w:val="-1"/>
                <w:sz w:val="18"/>
                <w:szCs w:val="18"/>
              </w:rPr>
              <w:t>Ideally:</w:t>
            </w:r>
            <w:r>
              <w:rPr>
                <w:spacing w:val="-1"/>
                <w:sz w:val="18"/>
                <w:szCs w:val="18"/>
              </w:rPr>
              <w:t xml:space="preserve"> </w:t>
            </w:r>
            <w:r w:rsidRPr="005F608F">
              <w:rPr>
                <w:rFonts w:cstheme="minorHAnsi"/>
                <w:color w:val="000000" w:themeColor="text1"/>
                <w:sz w:val="18"/>
                <w:szCs w:val="18"/>
              </w:rPr>
              <w:t>5–10 in 10 years</w:t>
            </w:r>
          </w:p>
          <w:p w14:paraId="141CB135" w14:textId="77777777" w:rsidR="00AA0841" w:rsidRPr="00BD3ADA" w:rsidRDefault="00AA0841" w:rsidP="00AA0841">
            <w:pPr>
              <w:spacing w:after="0"/>
              <w:jc w:val="center"/>
              <w:rPr>
                <w:rFonts w:cstheme="minorHAnsi"/>
                <w:color w:val="FF0000"/>
                <w:sz w:val="18"/>
                <w:szCs w:val="18"/>
              </w:rPr>
            </w:pPr>
            <w:r w:rsidRPr="005F608F">
              <w:rPr>
                <w:rFonts w:cstheme="minorHAnsi"/>
                <w:color w:val="000000" w:themeColor="text1"/>
                <w:sz w:val="18"/>
                <w:szCs w:val="18"/>
              </w:rPr>
              <w:t>(Max. interval</w:t>
            </w:r>
            <w:r>
              <w:rPr>
                <w:rFonts w:cstheme="minorHAnsi"/>
                <w:color w:val="000000" w:themeColor="text1"/>
                <w:sz w:val="18"/>
                <w:szCs w:val="18"/>
              </w:rPr>
              <w:t>:</w:t>
            </w:r>
            <w:r w:rsidRPr="005F608F">
              <w:rPr>
                <w:rFonts w:cstheme="minorHAnsi"/>
                <w:color w:val="000000" w:themeColor="text1"/>
                <w:sz w:val="18"/>
                <w:szCs w:val="18"/>
              </w:rPr>
              <w:t xml:space="preserve"> 2 years)</w:t>
            </w:r>
          </w:p>
        </w:tc>
        <w:tc>
          <w:tcPr>
            <w:tcW w:w="1234" w:type="pct"/>
            <w:tcBorders>
              <w:bottom w:val="single" w:sz="12" w:space="0" w:color="auto"/>
            </w:tcBorders>
            <w:shd w:val="clear" w:color="auto" w:fill="auto"/>
            <w:vAlign w:val="center"/>
          </w:tcPr>
          <w:p w14:paraId="2BC6EC43" w14:textId="77777777" w:rsidR="00AA0841" w:rsidRPr="00EC32EF" w:rsidRDefault="00AA0841" w:rsidP="00AA0841">
            <w:pPr>
              <w:jc w:val="center"/>
              <w:rPr>
                <w:bCs/>
                <w:color w:val="FF0000"/>
                <w:sz w:val="18"/>
                <w:szCs w:val="18"/>
                <w:highlight w:val="lightGray"/>
              </w:rPr>
            </w:pPr>
            <w:r w:rsidRPr="00E05505">
              <w:rPr>
                <w:rFonts w:hAnsi="Century Gothic"/>
                <w:bCs/>
                <w:sz w:val="18"/>
                <w:szCs w:val="18"/>
              </w:rPr>
              <w:t>Met</w:t>
            </w:r>
            <w:r>
              <w:rPr>
                <w:rFonts w:hAnsi="Century Gothic"/>
                <w:bCs/>
                <w:sz w:val="18"/>
                <w:szCs w:val="18"/>
              </w:rPr>
              <w:t xml:space="preserve"> every year except 2012</w:t>
            </w:r>
            <w:r>
              <w:rPr>
                <w:rFonts w:hAnsi="Century Gothic"/>
                <w:bCs/>
                <w:sz w:val="18"/>
                <w:szCs w:val="18"/>
              </w:rPr>
              <w:t>–</w:t>
            </w:r>
            <w:r>
              <w:rPr>
                <w:rFonts w:hAnsi="Century Gothic"/>
                <w:bCs/>
                <w:sz w:val="18"/>
                <w:szCs w:val="18"/>
              </w:rPr>
              <w:t>13.</w:t>
            </w:r>
          </w:p>
        </w:tc>
        <w:tc>
          <w:tcPr>
            <w:tcW w:w="470" w:type="pct"/>
            <w:tcBorders>
              <w:bottom w:val="single" w:sz="12" w:space="0" w:color="auto"/>
            </w:tcBorders>
            <w:shd w:val="clear" w:color="auto" w:fill="FFC000"/>
            <w:vAlign w:val="center"/>
          </w:tcPr>
          <w:p w14:paraId="09628E0D" w14:textId="77777777" w:rsidR="00AA0841" w:rsidRPr="007D0A8A" w:rsidRDefault="00AA0841" w:rsidP="00AA0841">
            <w:pPr>
              <w:jc w:val="center"/>
              <w:rPr>
                <w:color w:val="auto"/>
                <w:sz w:val="18"/>
                <w:szCs w:val="18"/>
              </w:rPr>
            </w:pPr>
            <w:r w:rsidRPr="007D0A8A">
              <w:rPr>
                <w:color w:val="auto"/>
                <w:sz w:val="18"/>
                <w:szCs w:val="18"/>
              </w:rPr>
              <w:t>Moderate</w:t>
            </w:r>
          </w:p>
        </w:tc>
        <w:tc>
          <w:tcPr>
            <w:tcW w:w="666" w:type="pct"/>
            <w:tcBorders>
              <w:bottom w:val="single" w:sz="12" w:space="0" w:color="auto"/>
            </w:tcBorders>
            <w:shd w:val="clear" w:color="auto" w:fill="365F91" w:themeFill="accent1" w:themeFillShade="BF"/>
            <w:vAlign w:val="center"/>
          </w:tcPr>
          <w:p w14:paraId="24F035AE" w14:textId="77777777" w:rsidR="00AA0841" w:rsidRPr="007D0A8A" w:rsidRDefault="00AA0841" w:rsidP="00AA0841">
            <w:pPr>
              <w:jc w:val="center"/>
              <w:rPr>
                <w:rFonts w:cstheme="minorHAnsi"/>
                <w:color w:val="auto"/>
                <w:spacing w:val="-1"/>
                <w:sz w:val="18"/>
                <w:highlight w:val="yellow"/>
              </w:rPr>
            </w:pPr>
            <w:r w:rsidRPr="007D0A8A">
              <w:rPr>
                <w:rFonts w:cstheme="minorHAnsi"/>
                <w:color w:val="auto"/>
                <w:sz w:val="18"/>
                <w:szCs w:val="18"/>
              </w:rPr>
              <w:t>A high priority for use of CEW under all water resource availability scenarios.</w:t>
            </w:r>
          </w:p>
        </w:tc>
        <w:tc>
          <w:tcPr>
            <w:tcW w:w="487" w:type="pct"/>
            <w:tcBorders>
              <w:bottom w:val="single" w:sz="12" w:space="0" w:color="auto"/>
              <w:right w:val="single" w:sz="12" w:space="0" w:color="auto"/>
            </w:tcBorders>
            <w:shd w:val="clear" w:color="auto" w:fill="FFC000"/>
            <w:vAlign w:val="center"/>
          </w:tcPr>
          <w:p w14:paraId="2E482D74" w14:textId="77777777" w:rsidR="00AA0841" w:rsidRPr="007D0A8A" w:rsidRDefault="00AA0841" w:rsidP="00AA0841">
            <w:pPr>
              <w:jc w:val="center"/>
              <w:rPr>
                <w:color w:val="auto"/>
                <w:sz w:val="18"/>
                <w:szCs w:val="18"/>
              </w:rPr>
            </w:pPr>
            <w:r w:rsidRPr="007D0A8A">
              <w:rPr>
                <w:color w:val="auto"/>
                <w:sz w:val="18"/>
                <w:szCs w:val="18"/>
              </w:rPr>
              <w:t>Moderate</w:t>
            </w:r>
          </w:p>
        </w:tc>
      </w:tr>
      <w:tr w:rsidR="00AA0841" w:rsidRPr="007D0A8A" w14:paraId="260EF6FF" w14:textId="77777777" w:rsidTr="00AA0841">
        <w:trPr>
          <w:cantSplit/>
          <w:trHeight w:val="2353"/>
        </w:trPr>
        <w:tc>
          <w:tcPr>
            <w:tcW w:w="454" w:type="pct"/>
            <w:vMerge w:val="restart"/>
            <w:tcBorders>
              <w:top w:val="single" w:sz="12" w:space="0" w:color="auto"/>
              <w:left w:val="single" w:sz="12" w:space="0" w:color="auto"/>
            </w:tcBorders>
            <w:shd w:val="clear" w:color="auto" w:fill="auto"/>
          </w:tcPr>
          <w:p w14:paraId="20FFFEF5" w14:textId="77777777" w:rsidR="00AA0841" w:rsidRPr="007D361F" w:rsidRDefault="00AA0841" w:rsidP="00AA0841">
            <w:pPr>
              <w:rPr>
                <w:rFonts w:hAnsi="Century Gothic"/>
                <w:b/>
                <w:sz w:val="18"/>
                <w:szCs w:val="18"/>
              </w:rPr>
            </w:pPr>
            <w:r w:rsidRPr="007D361F">
              <w:rPr>
                <w:rFonts w:hAnsi="Century Gothic"/>
                <w:b/>
                <w:sz w:val="18"/>
                <w:szCs w:val="18"/>
              </w:rPr>
              <w:t xml:space="preserve">Toorale </w:t>
            </w:r>
            <w:r>
              <w:rPr>
                <w:rFonts w:hAnsi="Century Gothic"/>
                <w:b/>
                <w:sz w:val="18"/>
                <w:szCs w:val="18"/>
              </w:rPr>
              <w:t>Western Floodplain</w:t>
            </w:r>
          </w:p>
          <w:p w14:paraId="17E4C83C" w14:textId="77777777" w:rsidR="00AA0841" w:rsidRDefault="00AA0841" w:rsidP="00AA0841">
            <w:pPr>
              <w:rPr>
                <w:rFonts w:hAnsi="Century Gothic"/>
                <w:bCs/>
                <w:sz w:val="18"/>
                <w:szCs w:val="18"/>
              </w:rPr>
            </w:pPr>
            <w:r>
              <w:rPr>
                <w:rFonts w:hAnsi="Century Gothic"/>
                <w:bCs/>
                <w:sz w:val="18"/>
                <w:szCs w:val="18"/>
              </w:rPr>
              <w:t>Wetland and floodplain vegetation</w:t>
            </w:r>
          </w:p>
          <w:p w14:paraId="3EE2675C" w14:textId="77777777" w:rsidR="00AA0841" w:rsidRDefault="00AA0841" w:rsidP="00AA0841">
            <w:pPr>
              <w:rPr>
                <w:rFonts w:hAnsi="Century Gothic"/>
                <w:bCs/>
                <w:sz w:val="18"/>
                <w:szCs w:val="18"/>
              </w:rPr>
            </w:pPr>
            <w:r w:rsidRPr="00CC529D">
              <w:rPr>
                <w:rFonts w:hAnsi="Century Gothic"/>
                <w:bCs/>
                <w:sz w:val="18"/>
                <w:szCs w:val="18"/>
              </w:rPr>
              <w:t>Threatened species (</w:t>
            </w:r>
            <w:r w:rsidRPr="00CC529D">
              <w:rPr>
                <w:i/>
                <w:iCs/>
                <w:sz w:val="18"/>
                <w:szCs w:val="18"/>
              </w:rPr>
              <w:t xml:space="preserve">Atriplex infrequens, Dentella minutissima, </w:t>
            </w:r>
            <w:r w:rsidRPr="00CC529D">
              <w:rPr>
                <w:sz w:val="18"/>
                <w:szCs w:val="18"/>
              </w:rPr>
              <w:t xml:space="preserve">and </w:t>
            </w:r>
            <w:r w:rsidRPr="00CC529D">
              <w:rPr>
                <w:i/>
                <w:iCs/>
                <w:sz w:val="18"/>
                <w:szCs w:val="18"/>
              </w:rPr>
              <w:t>Osteocarpum scleropterum)</w:t>
            </w:r>
            <w:r w:rsidRPr="00CC529D">
              <w:rPr>
                <w:rFonts w:hAnsi="Century Gothic"/>
                <w:bCs/>
                <w:sz w:val="18"/>
                <w:szCs w:val="18"/>
              </w:rPr>
              <w:t xml:space="preserve"> </w:t>
            </w:r>
            <w:r>
              <w:rPr>
                <w:rFonts w:hAnsi="Century Gothic"/>
                <w:bCs/>
                <w:sz w:val="18"/>
                <w:szCs w:val="18"/>
              </w:rPr>
              <w:t>and ecological communities such as c</w:t>
            </w:r>
            <w:r>
              <w:rPr>
                <w:rFonts w:eastAsia="Century Gothic" w:hAnsi="Century Gothic"/>
                <w:sz w:val="18"/>
                <w:szCs w:val="18"/>
              </w:rPr>
              <w:t>oolibah-blackbox woodland</w:t>
            </w:r>
          </w:p>
          <w:p w14:paraId="0EA40BCB" w14:textId="77777777" w:rsidR="00AA0841" w:rsidRDefault="00AA0841" w:rsidP="00AA0841">
            <w:pPr>
              <w:spacing w:after="0"/>
              <w:rPr>
                <w:rFonts w:hAnsi="Century Gothic"/>
                <w:bCs/>
                <w:sz w:val="18"/>
                <w:szCs w:val="18"/>
              </w:rPr>
            </w:pPr>
            <w:r>
              <w:rPr>
                <w:rFonts w:hAnsi="Century Gothic"/>
                <w:bCs/>
                <w:sz w:val="18"/>
                <w:szCs w:val="18"/>
              </w:rPr>
              <w:t xml:space="preserve">Migratory birds (e.g. </w:t>
            </w:r>
            <w:r w:rsidRPr="00CC529D">
              <w:rPr>
                <w:rFonts w:hAnsi="Century Gothic"/>
                <w:bCs/>
                <w:sz w:val="18"/>
                <w:szCs w:val="18"/>
              </w:rPr>
              <w:t xml:space="preserve">Eastern </w:t>
            </w:r>
            <w:r>
              <w:rPr>
                <w:rFonts w:hAnsi="Century Gothic"/>
                <w:bCs/>
                <w:sz w:val="18"/>
                <w:szCs w:val="18"/>
              </w:rPr>
              <w:t>g</w:t>
            </w:r>
            <w:r w:rsidRPr="00CC529D">
              <w:rPr>
                <w:rFonts w:hAnsi="Century Gothic"/>
                <w:bCs/>
                <w:sz w:val="18"/>
                <w:szCs w:val="18"/>
              </w:rPr>
              <w:t xml:space="preserve">reat </w:t>
            </w:r>
            <w:r>
              <w:rPr>
                <w:rFonts w:hAnsi="Century Gothic"/>
                <w:bCs/>
                <w:sz w:val="18"/>
                <w:szCs w:val="18"/>
              </w:rPr>
              <w:t>e</w:t>
            </w:r>
            <w:r w:rsidRPr="00CC529D">
              <w:rPr>
                <w:rFonts w:hAnsi="Century Gothic"/>
                <w:bCs/>
                <w:sz w:val="18"/>
                <w:szCs w:val="18"/>
              </w:rPr>
              <w:t>gret</w:t>
            </w:r>
            <w:r>
              <w:rPr>
                <w:rFonts w:hAnsi="Century Gothic"/>
                <w:bCs/>
                <w:sz w:val="18"/>
                <w:szCs w:val="18"/>
              </w:rPr>
              <w:t>; g</w:t>
            </w:r>
            <w:r w:rsidRPr="00CC529D">
              <w:rPr>
                <w:rFonts w:hAnsi="Century Gothic"/>
                <w:bCs/>
                <w:sz w:val="18"/>
                <w:szCs w:val="18"/>
              </w:rPr>
              <w:t xml:space="preserve">lossy </w:t>
            </w:r>
            <w:r>
              <w:rPr>
                <w:rFonts w:hAnsi="Century Gothic"/>
                <w:bCs/>
                <w:sz w:val="18"/>
                <w:szCs w:val="18"/>
              </w:rPr>
              <w:t>i</w:t>
            </w:r>
            <w:r w:rsidRPr="00CC529D">
              <w:rPr>
                <w:rFonts w:hAnsi="Century Gothic"/>
                <w:bCs/>
                <w:sz w:val="18"/>
                <w:szCs w:val="18"/>
              </w:rPr>
              <w:t>bis</w:t>
            </w:r>
            <w:r>
              <w:rPr>
                <w:rFonts w:hAnsi="Century Gothic"/>
                <w:bCs/>
                <w:sz w:val="18"/>
                <w:szCs w:val="18"/>
              </w:rPr>
              <w:t>; o</w:t>
            </w:r>
            <w:r w:rsidRPr="00CC529D">
              <w:rPr>
                <w:rFonts w:hAnsi="Century Gothic"/>
                <w:bCs/>
                <w:sz w:val="18"/>
                <w:szCs w:val="18"/>
              </w:rPr>
              <w:t xml:space="preserve">riental </w:t>
            </w:r>
            <w:r>
              <w:rPr>
                <w:rFonts w:hAnsi="Century Gothic"/>
                <w:bCs/>
                <w:sz w:val="18"/>
                <w:szCs w:val="18"/>
              </w:rPr>
              <w:t>p</w:t>
            </w:r>
            <w:r w:rsidRPr="00CC529D">
              <w:rPr>
                <w:rFonts w:hAnsi="Century Gothic"/>
                <w:bCs/>
                <w:sz w:val="18"/>
                <w:szCs w:val="18"/>
              </w:rPr>
              <w:t>ranticole</w:t>
            </w:r>
            <w:r>
              <w:rPr>
                <w:rFonts w:hAnsi="Century Gothic"/>
                <w:bCs/>
                <w:sz w:val="18"/>
                <w:szCs w:val="18"/>
              </w:rPr>
              <w:t>; r</w:t>
            </w:r>
            <w:r w:rsidRPr="00CC529D">
              <w:rPr>
                <w:rFonts w:hAnsi="Century Gothic"/>
                <w:bCs/>
                <w:sz w:val="18"/>
                <w:szCs w:val="18"/>
              </w:rPr>
              <w:t xml:space="preserve">ainbow </w:t>
            </w:r>
            <w:r>
              <w:rPr>
                <w:rFonts w:hAnsi="Century Gothic"/>
                <w:bCs/>
                <w:sz w:val="18"/>
                <w:szCs w:val="18"/>
              </w:rPr>
              <w:t>b</w:t>
            </w:r>
            <w:r w:rsidRPr="00CC529D">
              <w:rPr>
                <w:rFonts w:hAnsi="Century Gothic"/>
                <w:bCs/>
                <w:sz w:val="18"/>
                <w:szCs w:val="18"/>
              </w:rPr>
              <w:t>ee-eater)</w:t>
            </w:r>
          </w:p>
          <w:p w14:paraId="46651648" w14:textId="77777777" w:rsidR="00AA0841" w:rsidRDefault="00AA0841" w:rsidP="00AA0841">
            <w:pPr>
              <w:rPr>
                <w:rFonts w:hAnsi="Century Gothic"/>
                <w:bCs/>
                <w:sz w:val="18"/>
                <w:szCs w:val="18"/>
              </w:rPr>
            </w:pPr>
            <w:r w:rsidRPr="001509C7">
              <w:rPr>
                <w:rFonts w:hAnsi="Century Gothic"/>
                <w:bCs/>
                <w:sz w:val="18"/>
                <w:szCs w:val="18"/>
              </w:rPr>
              <w:t>Native fish nursery</w:t>
            </w:r>
            <w:r>
              <w:rPr>
                <w:rFonts w:hAnsi="Century Gothic"/>
                <w:bCs/>
                <w:sz w:val="18"/>
                <w:szCs w:val="18"/>
              </w:rPr>
              <w:t xml:space="preserve"> and f</w:t>
            </w:r>
            <w:r w:rsidRPr="001509C7">
              <w:rPr>
                <w:rFonts w:hAnsi="Century Gothic"/>
                <w:bCs/>
                <w:sz w:val="18"/>
                <w:szCs w:val="18"/>
              </w:rPr>
              <w:t>rog habitat</w:t>
            </w:r>
          </w:p>
          <w:p w14:paraId="2F149017" w14:textId="77777777" w:rsidR="00AA0841" w:rsidRPr="0010251A" w:rsidRDefault="00AA0841" w:rsidP="00AA0841">
            <w:pPr>
              <w:rPr>
                <w:rFonts w:hAnsi="Century Gothic"/>
                <w:sz w:val="18"/>
                <w:szCs w:val="18"/>
              </w:rPr>
            </w:pPr>
          </w:p>
          <w:p w14:paraId="42E88438" w14:textId="77777777" w:rsidR="00AA0841" w:rsidRPr="0010251A" w:rsidRDefault="00AA0841" w:rsidP="00AA0841">
            <w:pPr>
              <w:rPr>
                <w:rFonts w:hAnsi="Century Gothic"/>
                <w:sz w:val="18"/>
                <w:szCs w:val="18"/>
              </w:rPr>
            </w:pPr>
          </w:p>
          <w:p w14:paraId="6D252538" w14:textId="77777777" w:rsidR="00AA0841" w:rsidRPr="0010251A" w:rsidRDefault="00AA0841" w:rsidP="00AA0841">
            <w:pPr>
              <w:rPr>
                <w:rFonts w:hAnsi="Century Gothic"/>
                <w:sz w:val="18"/>
                <w:szCs w:val="18"/>
              </w:rPr>
            </w:pPr>
          </w:p>
          <w:p w14:paraId="4511BD1F" w14:textId="77777777" w:rsidR="00AA0841" w:rsidRPr="0010251A" w:rsidRDefault="00AA0841" w:rsidP="00AA0841">
            <w:pPr>
              <w:rPr>
                <w:rFonts w:hAnsi="Century Gothic"/>
                <w:sz w:val="18"/>
                <w:szCs w:val="18"/>
              </w:rPr>
            </w:pPr>
          </w:p>
          <w:p w14:paraId="549117C4" w14:textId="77777777" w:rsidR="00AA0841" w:rsidRPr="0010251A" w:rsidRDefault="00AA0841" w:rsidP="00AA0841">
            <w:pPr>
              <w:rPr>
                <w:rFonts w:hAnsi="Century Gothic"/>
                <w:sz w:val="18"/>
                <w:szCs w:val="18"/>
              </w:rPr>
            </w:pPr>
          </w:p>
          <w:p w14:paraId="5D499B4F" w14:textId="77777777" w:rsidR="00AA0841" w:rsidRPr="0010251A" w:rsidRDefault="00AA0841" w:rsidP="00AA0841">
            <w:pPr>
              <w:rPr>
                <w:rFonts w:hAnsi="Century Gothic"/>
                <w:sz w:val="18"/>
                <w:szCs w:val="18"/>
              </w:rPr>
            </w:pPr>
          </w:p>
          <w:p w14:paraId="6BD80F1F" w14:textId="77777777" w:rsidR="00AA0841" w:rsidRPr="0010251A" w:rsidRDefault="00AA0841" w:rsidP="00AA0841">
            <w:pPr>
              <w:rPr>
                <w:rFonts w:hAnsi="Century Gothic"/>
                <w:sz w:val="18"/>
                <w:szCs w:val="18"/>
              </w:rPr>
            </w:pPr>
          </w:p>
          <w:p w14:paraId="5AC907E7" w14:textId="77777777" w:rsidR="00AA0841" w:rsidRPr="0010251A" w:rsidRDefault="00AA0841" w:rsidP="00AA0841">
            <w:pPr>
              <w:rPr>
                <w:rFonts w:hAnsi="Century Gothic"/>
                <w:sz w:val="18"/>
                <w:szCs w:val="18"/>
              </w:rPr>
            </w:pPr>
          </w:p>
          <w:p w14:paraId="6D411BA1" w14:textId="77777777" w:rsidR="00AA0841" w:rsidRPr="0010251A" w:rsidRDefault="00AA0841" w:rsidP="00AA0841">
            <w:pPr>
              <w:rPr>
                <w:rFonts w:hAnsi="Century Gothic"/>
                <w:sz w:val="18"/>
                <w:szCs w:val="18"/>
              </w:rPr>
            </w:pPr>
          </w:p>
          <w:p w14:paraId="75CDF336" w14:textId="77777777" w:rsidR="00AA0841" w:rsidRPr="0010251A" w:rsidRDefault="00AA0841" w:rsidP="00AA0841">
            <w:pPr>
              <w:rPr>
                <w:rFonts w:hAnsi="Century Gothic"/>
                <w:sz w:val="18"/>
                <w:szCs w:val="18"/>
              </w:rPr>
            </w:pPr>
          </w:p>
        </w:tc>
        <w:tc>
          <w:tcPr>
            <w:tcW w:w="389" w:type="pct"/>
            <w:tcBorders>
              <w:top w:val="single" w:sz="12" w:space="0" w:color="auto"/>
            </w:tcBorders>
            <w:vAlign w:val="center"/>
          </w:tcPr>
          <w:p w14:paraId="78F8450B" w14:textId="77777777" w:rsidR="00AA0841" w:rsidRPr="001962DB" w:rsidRDefault="00AA0841" w:rsidP="00AA0841">
            <w:pPr>
              <w:rPr>
                <w:spacing w:val="-1"/>
                <w:sz w:val="18"/>
                <w:szCs w:val="18"/>
              </w:rPr>
            </w:pPr>
            <w:r w:rsidRPr="001962DB">
              <w:rPr>
                <w:spacing w:val="-1"/>
                <w:sz w:val="18"/>
                <w:szCs w:val="18"/>
              </w:rPr>
              <w:t>Minor inundation</w:t>
            </w:r>
          </w:p>
          <w:p w14:paraId="677D9C86" w14:textId="77777777" w:rsidR="00AA0841" w:rsidRPr="001962DB" w:rsidRDefault="00AA0841" w:rsidP="00AA0841">
            <w:pPr>
              <w:rPr>
                <w:sz w:val="18"/>
                <w:szCs w:val="18"/>
              </w:rPr>
            </w:pPr>
            <w:r w:rsidRPr="001962DB">
              <w:rPr>
                <w:sz w:val="18"/>
                <w:szCs w:val="18"/>
              </w:rPr>
              <w:t>Northern and Central parts of the floodplain</w:t>
            </w:r>
          </w:p>
          <w:p w14:paraId="58EA9F50" w14:textId="77777777" w:rsidR="00AA0841" w:rsidRPr="00365FE2" w:rsidRDefault="00AA0841" w:rsidP="00AA0841">
            <w:pPr>
              <w:rPr>
                <w:rFonts w:hAnsi="Century Gothic"/>
                <w:sz w:val="18"/>
                <w:szCs w:val="18"/>
              </w:rPr>
            </w:pPr>
            <w:r w:rsidRPr="001962DB">
              <w:rPr>
                <w:sz w:val="18"/>
                <w:szCs w:val="18"/>
              </w:rPr>
              <w:t>(2</w:t>
            </w:r>
            <w:r>
              <w:rPr>
                <w:sz w:val="18"/>
                <w:szCs w:val="18"/>
              </w:rPr>
              <w:t xml:space="preserve"> </w:t>
            </w:r>
            <w:r w:rsidRPr="001962DB">
              <w:rPr>
                <w:sz w:val="18"/>
                <w:szCs w:val="18"/>
              </w:rPr>
              <w:t>420 ha)</w:t>
            </w:r>
          </w:p>
        </w:tc>
        <w:tc>
          <w:tcPr>
            <w:tcW w:w="845" w:type="pct"/>
            <w:tcBorders>
              <w:top w:val="single" w:sz="12" w:space="0" w:color="auto"/>
            </w:tcBorders>
            <w:shd w:val="clear" w:color="auto" w:fill="auto"/>
            <w:vAlign w:val="center"/>
          </w:tcPr>
          <w:p w14:paraId="3BEEA9B6" w14:textId="77777777" w:rsidR="00AA0841" w:rsidRDefault="00AA0841" w:rsidP="00AA0841">
            <w:pPr>
              <w:rPr>
                <w:rFonts w:eastAsia="Century Gothic" w:hAnsi="Century Gothic"/>
                <w:sz w:val="18"/>
                <w:szCs w:val="18"/>
              </w:rPr>
            </w:pPr>
            <w:r>
              <w:rPr>
                <w:rFonts w:eastAsia="Century Gothic" w:hAnsi="Century Gothic"/>
                <w:sz w:val="18"/>
                <w:szCs w:val="18"/>
              </w:rPr>
              <w:t xml:space="preserve">7 GL to the Western Floodplain </w:t>
            </w:r>
            <w:r w:rsidRPr="005F69AE">
              <w:rPr>
                <w:sz w:val="18"/>
                <w:szCs w:val="18"/>
              </w:rPr>
              <w:t>within 30 days</w:t>
            </w:r>
            <w:r w:rsidRPr="005F69AE">
              <w:rPr>
                <w:rFonts w:eastAsia="Century Gothic" w:hAnsi="Century Gothic"/>
                <w:sz w:val="18"/>
                <w:szCs w:val="18"/>
              </w:rPr>
              <w:t xml:space="preserve"> </w:t>
            </w:r>
            <w:r w:rsidRPr="005F69AE">
              <w:rPr>
                <w:rFonts w:eastAsia="Century Gothic" w:hAnsi="Century Gothic"/>
                <w:spacing w:val="-1"/>
                <w:sz w:val="18"/>
                <w:szCs w:val="18"/>
              </w:rPr>
              <w:t xml:space="preserve">to inundate vegetation such as </w:t>
            </w:r>
            <w:r w:rsidRPr="005F69AE">
              <w:rPr>
                <w:rFonts w:eastAsia="Century Gothic" w:hAnsi="Century Gothic"/>
                <w:spacing w:val="-3"/>
                <w:sz w:val="18"/>
                <w:szCs w:val="18"/>
              </w:rPr>
              <w:t>lignum, cool</w:t>
            </w:r>
            <w:r>
              <w:rPr>
                <w:rFonts w:eastAsia="Century Gothic" w:hAnsi="Century Gothic"/>
                <w:spacing w:val="-3"/>
                <w:sz w:val="18"/>
                <w:szCs w:val="18"/>
              </w:rPr>
              <w:t>i</w:t>
            </w:r>
            <w:r w:rsidRPr="005F69AE">
              <w:rPr>
                <w:rFonts w:eastAsia="Century Gothic" w:hAnsi="Century Gothic"/>
                <w:spacing w:val="-3"/>
                <w:sz w:val="18"/>
                <w:szCs w:val="18"/>
              </w:rPr>
              <w:t>bah, river cooba, chenopod, forbs</w:t>
            </w:r>
            <w:r>
              <w:rPr>
                <w:rStyle w:val="CommentReference"/>
              </w:rPr>
              <w:t>.</w:t>
            </w:r>
          </w:p>
          <w:p w14:paraId="4DF1894D" w14:textId="77777777" w:rsidR="00AA0841" w:rsidRPr="00365FE2" w:rsidRDefault="00AA0841" w:rsidP="00AA0841">
            <w:pPr>
              <w:rPr>
                <w:rFonts w:hAnsi="Century Gothic"/>
                <w:sz w:val="18"/>
                <w:szCs w:val="18"/>
              </w:rPr>
            </w:pPr>
          </w:p>
        </w:tc>
        <w:tc>
          <w:tcPr>
            <w:tcW w:w="455" w:type="pct"/>
            <w:tcBorders>
              <w:top w:val="single" w:sz="12" w:space="0" w:color="auto"/>
            </w:tcBorders>
            <w:shd w:val="clear" w:color="auto" w:fill="auto"/>
            <w:vAlign w:val="center"/>
          </w:tcPr>
          <w:p w14:paraId="462D352D" w14:textId="77777777" w:rsidR="00AA0841" w:rsidRPr="00365FE2" w:rsidRDefault="00AA0841" w:rsidP="00AA0841">
            <w:pPr>
              <w:jc w:val="center"/>
              <w:rPr>
                <w:spacing w:val="23"/>
                <w:sz w:val="18"/>
                <w:szCs w:val="18"/>
              </w:rPr>
            </w:pPr>
            <w:r>
              <w:rPr>
                <w:spacing w:val="-1"/>
                <w:sz w:val="18"/>
                <w:szCs w:val="18"/>
              </w:rPr>
              <w:t>Preferably</w:t>
            </w:r>
            <w:r w:rsidRPr="008E1949">
              <w:rPr>
                <w:spacing w:val="-1"/>
                <w:sz w:val="18"/>
                <w:szCs w:val="18"/>
              </w:rPr>
              <w:t>:</w:t>
            </w:r>
            <w:r w:rsidRPr="008E1949">
              <w:rPr>
                <w:spacing w:val="23"/>
                <w:sz w:val="18"/>
                <w:szCs w:val="18"/>
              </w:rPr>
              <w:t xml:space="preserve"> </w:t>
            </w:r>
            <w:r w:rsidRPr="009779CE">
              <w:rPr>
                <w:spacing w:val="-1"/>
                <w:sz w:val="18"/>
                <w:szCs w:val="18"/>
              </w:rPr>
              <w:t>1</w:t>
            </w:r>
            <w:r>
              <w:rPr>
                <w:spacing w:val="-1"/>
                <w:sz w:val="18"/>
                <w:szCs w:val="18"/>
              </w:rPr>
              <w:t xml:space="preserve"> to 1.5 years (lignum); 1 to 3–5 years (river cooba, river red gum, black box); 7–15 years (Coolibah).</w:t>
            </w:r>
          </w:p>
          <w:p w14:paraId="4F5DCFE5" w14:textId="77777777" w:rsidR="00AA0841" w:rsidRDefault="00AA0841" w:rsidP="00AA0841">
            <w:pPr>
              <w:jc w:val="center"/>
              <w:rPr>
                <w:sz w:val="18"/>
                <w:szCs w:val="18"/>
              </w:rPr>
            </w:pPr>
            <w:r>
              <w:rPr>
                <w:sz w:val="18"/>
                <w:szCs w:val="18"/>
              </w:rPr>
              <w:t>5–10 years in 10</w:t>
            </w:r>
          </w:p>
          <w:p w14:paraId="5CFD6825" w14:textId="77777777" w:rsidR="00AA0841" w:rsidRPr="00365FE2" w:rsidRDefault="00AA0841" w:rsidP="00AA0841">
            <w:pPr>
              <w:jc w:val="center"/>
              <w:rPr>
                <w:rFonts w:hAnsi="Century Gothic"/>
                <w:sz w:val="18"/>
                <w:szCs w:val="18"/>
              </w:rPr>
            </w:pPr>
            <w:r w:rsidRPr="00365FE2">
              <w:rPr>
                <w:spacing w:val="-1"/>
                <w:sz w:val="18"/>
                <w:szCs w:val="18"/>
              </w:rPr>
              <w:t>(Max</w:t>
            </w:r>
            <w:r w:rsidRPr="00365FE2">
              <w:rPr>
                <w:spacing w:val="-6"/>
                <w:sz w:val="18"/>
                <w:szCs w:val="18"/>
              </w:rPr>
              <w:t xml:space="preserve"> </w:t>
            </w:r>
            <w:r w:rsidRPr="00365FE2">
              <w:rPr>
                <w:spacing w:val="-1"/>
                <w:sz w:val="18"/>
                <w:szCs w:val="18"/>
              </w:rPr>
              <w:t>interval:</w:t>
            </w:r>
            <w:r w:rsidRPr="00365FE2">
              <w:rPr>
                <w:spacing w:val="25"/>
                <w:sz w:val="18"/>
                <w:szCs w:val="18"/>
              </w:rPr>
              <w:t xml:space="preserve"> </w:t>
            </w:r>
            <w:r w:rsidRPr="00F978D3">
              <w:rPr>
                <w:sz w:val="18"/>
                <w:szCs w:val="18"/>
              </w:rPr>
              <w:t>2</w:t>
            </w:r>
            <w:r w:rsidRPr="00365FE2">
              <w:rPr>
                <w:spacing w:val="-3"/>
                <w:sz w:val="18"/>
                <w:szCs w:val="18"/>
              </w:rPr>
              <w:t xml:space="preserve"> </w:t>
            </w:r>
            <w:r w:rsidRPr="00365FE2">
              <w:rPr>
                <w:spacing w:val="-1"/>
                <w:sz w:val="18"/>
                <w:szCs w:val="18"/>
              </w:rPr>
              <w:t>years)</w:t>
            </w:r>
          </w:p>
        </w:tc>
        <w:tc>
          <w:tcPr>
            <w:tcW w:w="1234" w:type="pct"/>
            <w:tcBorders>
              <w:top w:val="single" w:sz="12" w:space="0" w:color="auto"/>
            </w:tcBorders>
            <w:shd w:val="clear" w:color="auto" w:fill="auto"/>
            <w:vAlign w:val="center"/>
          </w:tcPr>
          <w:p w14:paraId="00913920" w14:textId="77777777" w:rsidR="00AA0841" w:rsidRPr="00365FE2" w:rsidRDefault="00AA0841" w:rsidP="00AA0841">
            <w:pPr>
              <w:jc w:val="center"/>
              <w:rPr>
                <w:rFonts w:hAnsi="Century Gothic"/>
                <w:bCs/>
                <w:sz w:val="18"/>
                <w:szCs w:val="18"/>
              </w:rPr>
            </w:pPr>
            <w:r>
              <w:rPr>
                <w:rFonts w:hAnsi="Century Gothic"/>
                <w:bCs/>
                <w:sz w:val="18"/>
                <w:szCs w:val="18"/>
              </w:rPr>
              <w:t>Met in 2010</w:t>
            </w:r>
            <w:r>
              <w:rPr>
                <w:rFonts w:hAnsi="Century Gothic"/>
                <w:bCs/>
                <w:sz w:val="18"/>
                <w:szCs w:val="18"/>
              </w:rPr>
              <w:t>–</w:t>
            </w:r>
            <w:r>
              <w:rPr>
                <w:rFonts w:hAnsi="Century Gothic"/>
                <w:bCs/>
                <w:sz w:val="18"/>
                <w:szCs w:val="18"/>
              </w:rPr>
              <w:t>11, 2011</w:t>
            </w:r>
            <w:r>
              <w:rPr>
                <w:rFonts w:hAnsi="Century Gothic"/>
                <w:bCs/>
                <w:sz w:val="18"/>
                <w:szCs w:val="18"/>
              </w:rPr>
              <w:t>–</w:t>
            </w:r>
            <w:r>
              <w:rPr>
                <w:rFonts w:hAnsi="Century Gothic"/>
                <w:bCs/>
                <w:sz w:val="18"/>
                <w:szCs w:val="18"/>
              </w:rPr>
              <w:t>12, 2016</w:t>
            </w:r>
            <w:r>
              <w:rPr>
                <w:rFonts w:hAnsi="Century Gothic"/>
                <w:bCs/>
                <w:sz w:val="18"/>
                <w:szCs w:val="18"/>
              </w:rPr>
              <w:t>–</w:t>
            </w:r>
            <w:r>
              <w:rPr>
                <w:rFonts w:hAnsi="Century Gothic"/>
                <w:bCs/>
                <w:sz w:val="18"/>
                <w:szCs w:val="18"/>
              </w:rPr>
              <w:t>17, 2018</w:t>
            </w:r>
            <w:r>
              <w:rPr>
                <w:rFonts w:hAnsi="Century Gothic"/>
                <w:bCs/>
                <w:sz w:val="18"/>
                <w:szCs w:val="18"/>
              </w:rPr>
              <w:t>–</w:t>
            </w:r>
            <w:r>
              <w:rPr>
                <w:rFonts w:hAnsi="Century Gothic"/>
                <w:bCs/>
                <w:sz w:val="18"/>
                <w:szCs w:val="18"/>
              </w:rPr>
              <w:t>19 and 2019</w:t>
            </w:r>
            <w:r>
              <w:rPr>
                <w:rFonts w:hAnsi="Century Gothic"/>
                <w:bCs/>
                <w:sz w:val="18"/>
                <w:szCs w:val="18"/>
              </w:rPr>
              <w:t>–</w:t>
            </w:r>
            <w:r>
              <w:rPr>
                <w:rFonts w:hAnsi="Century Gothic"/>
                <w:bCs/>
                <w:sz w:val="18"/>
                <w:szCs w:val="18"/>
              </w:rPr>
              <w:t>20</w:t>
            </w:r>
            <w:r w:rsidRPr="00365FE2">
              <w:rPr>
                <w:rFonts w:hAnsi="Century Gothic"/>
                <w:bCs/>
                <w:sz w:val="18"/>
                <w:szCs w:val="18"/>
              </w:rPr>
              <w:t>.</w:t>
            </w:r>
          </w:p>
        </w:tc>
        <w:tc>
          <w:tcPr>
            <w:tcW w:w="470" w:type="pct"/>
            <w:tcBorders>
              <w:top w:val="single" w:sz="12" w:space="0" w:color="auto"/>
            </w:tcBorders>
            <w:shd w:val="clear" w:color="auto" w:fill="FF0000"/>
            <w:vAlign w:val="center"/>
          </w:tcPr>
          <w:p w14:paraId="5E492065" w14:textId="77777777" w:rsidR="00AA0841" w:rsidRPr="007D0A8A" w:rsidRDefault="00AA0841" w:rsidP="00AA0841">
            <w:pPr>
              <w:jc w:val="center"/>
              <w:rPr>
                <w:rFonts w:hAnsi="Century Gothic"/>
                <w:color w:val="auto"/>
                <w:sz w:val="18"/>
                <w:szCs w:val="18"/>
              </w:rPr>
            </w:pPr>
            <w:r w:rsidRPr="007D0A8A">
              <w:rPr>
                <w:rFonts w:hAnsi="Century Gothic"/>
                <w:color w:val="auto"/>
                <w:sz w:val="18"/>
                <w:szCs w:val="18"/>
              </w:rPr>
              <w:t>High</w:t>
            </w:r>
          </w:p>
        </w:tc>
        <w:tc>
          <w:tcPr>
            <w:tcW w:w="666" w:type="pct"/>
            <w:tcBorders>
              <w:top w:val="single" w:sz="12" w:space="0" w:color="auto"/>
            </w:tcBorders>
            <w:shd w:val="clear" w:color="auto" w:fill="365F91" w:themeFill="accent1" w:themeFillShade="BF"/>
            <w:vAlign w:val="center"/>
          </w:tcPr>
          <w:p w14:paraId="366C9D22" w14:textId="77777777" w:rsidR="00AA0841" w:rsidRPr="007D0A8A" w:rsidRDefault="00AA0841" w:rsidP="00AA0841">
            <w:pPr>
              <w:jc w:val="center"/>
              <w:rPr>
                <w:rFonts w:cstheme="minorHAnsi"/>
                <w:color w:val="auto"/>
                <w:sz w:val="18"/>
                <w:szCs w:val="18"/>
                <w:highlight w:val="yellow"/>
              </w:rPr>
            </w:pPr>
            <w:r w:rsidRPr="007D0A8A">
              <w:rPr>
                <w:rFonts w:cstheme="minorHAnsi"/>
                <w:color w:val="auto"/>
                <w:sz w:val="18"/>
                <w:szCs w:val="18"/>
              </w:rPr>
              <w:t>A high priority for use of CEW under all water resource availability scenarios.</w:t>
            </w:r>
          </w:p>
        </w:tc>
        <w:tc>
          <w:tcPr>
            <w:tcW w:w="487" w:type="pct"/>
            <w:tcBorders>
              <w:top w:val="single" w:sz="12" w:space="0" w:color="auto"/>
              <w:right w:val="single" w:sz="12" w:space="0" w:color="auto"/>
            </w:tcBorders>
            <w:shd w:val="clear" w:color="auto" w:fill="FFC000"/>
            <w:vAlign w:val="center"/>
          </w:tcPr>
          <w:p w14:paraId="7FD4E981" w14:textId="77777777" w:rsidR="00AA0841" w:rsidRPr="007D0A8A" w:rsidRDefault="00AA0841" w:rsidP="00AA0841">
            <w:pPr>
              <w:jc w:val="center"/>
              <w:rPr>
                <w:rFonts w:hAnsi="Century Gothic"/>
                <w:color w:val="auto"/>
                <w:sz w:val="18"/>
                <w:szCs w:val="18"/>
              </w:rPr>
            </w:pPr>
            <w:r w:rsidRPr="007D0A8A">
              <w:rPr>
                <w:rFonts w:hAnsi="Century Gothic"/>
                <w:color w:val="auto"/>
                <w:sz w:val="18"/>
                <w:szCs w:val="18"/>
              </w:rPr>
              <w:t>Moderate</w:t>
            </w:r>
          </w:p>
        </w:tc>
      </w:tr>
      <w:tr w:rsidR="00AA0841" w:rsidRPr="007D0A8A" w14:paraId="25597E62" w14:textId="77777777" w:rsidTr="00AA0841">
        <w:trPr>
          <w:trHeight w:val="1122"/>
        </w:trPr>
        <w:tc>
          <w:tcPr>
            <w:tcW w:w="454" w:type="pct"/>
            <w:vMerge/>
            <w:tcBorders>
              <w:left w:val="single" w:sz="12" w:space="0" w:color="auto"/>
            </w:tcBorders>
            <w:shd w:val="clear" w:color="auto" w:fill="auto"/>
          </w:tcPr>
          <w:p w14:paraId="2726554D" w14:textId="77777777" w:rsidR="00AA0841" w:rsidRPr="00365FE2" w:rsidRDefault="00AA0841" w:rsidP="00AA0841">
            <w:pPr>
              <w:rPr>
                <w:rFonts w:hAnsi="Century Gothic"/>
                <w:bCs/>
                <w:color w:val="FF0000"/>
                <w:sz w:val="18"/>
                <w:szCs w:val="18"/>
              </w:rPr>
            </w:pPr>
          </w:p>
        </w:tc>
        <w:tc>
          <w:tcPr>
            <w:tcW w:w="389" w:type="pct"/>
            <w:vAlign w:val="center"/>
          </w:tcPr>
          <w:p w14:paraId="04A33B73" w14:textId="77777777" w:rsidR="00AA0841" w:rsidRPr="001962DB" w:rsidRDefault="00AA0841" w:rsidP="00AA0841">
            <w:pPr>
              <w:rPr>
                <w:sz w:val="18"/>
                <w:szCs w:val="18"/>
              </w:rPr>
            </w:pPr>
            <w:r w:rsidRPr="001962DB">
              <w:rPr>
                <w:sz w:val="18"/>
                <w:szCs w:val="18"/>
              </w:rPr>
              <w:t>Inundation of around half the floodplain</w:t>
            </w:r>
          </w:p>
          <w:p w14:paraId="052C6167" w14:textId="77777777" w:rsidR="00AA0841" w:rsidRPr="001962DB" w:rsidRDefault="00AA0841" w:rsidP="00AA0841">
            <w:pPr>
              <w:rPr>
                <w:sz w:val="18"/>
                <w:szCs w:val="18"/>
              </w:rPr>
            </w:pPr>
            <w:r w:rsidRPr="001962DB">
              <w:rPr>
                <w:rFonts w:cstheme="minorHAnsi"/>
                <w:sz w:val="18"/>
                <w:szCs w:val="18"/>
              </w:rPr>
              <w:t>(4</w:t>
            </w:r>
            <w:r>
              <w:rPr>
                <w:rFonts w:cstheme="minorHAnsi"/>
                <w:sz w:val="18"/>
                <w:szCs w:val="18"/>
              </w:rPr>
              <w:t xml:space="preserve"> </w:t>
            </w:r>
            <w:r w:rsidRPr="001962DB">
              <w:rPr>
                <w:rFonts w:cstheme="minorHAnsi"/>
                <w:sz w:val="18"/>
                <w:szCs w:val="18"/>
              </w:rPr>
              <w:t>459</w:t>
            </w:r>
            <w:r w:rsidRPr="001962DB">
              <w:rPr>
                <w:rFonts w:cstheme="minorHAnsi"/>
                <w:sz w:val="18"/>
                <w:szCs w:val="18"/>
              </w:rPr>
              <w:t>‬ ha)</w:t>
            </w:r>
          </w:p>
        </w:tc>
        <w:tc>
          <w:tcPr>
            <w:tcW w:w="845" w:type="pct"/>
            <w:shd w:val="clear" w:color="auto" w:fill="auto"/>
            <w:vAlign w:val="center"/>
          </w:tcPr>
          <w:p w14:paraId="12A16FDB" w14:textId="77777777" w:rsidR="00AA0841" w:rsidRPr="00BD3ADA" w:rsidRDefault="00AA0841" w:rsidP="00AA0841">
            <w:r>
              <w:rPr>
                <w:sz w:val="18"/>
                <w:szCs w:val="18"/>
              </w:rPr>
              <w:t>16 GL to the Western Floodplain</w:t>
            </w:r>
            <w:r w:rsidRPr="00365FE2">
              <w:rPr>
                <w:spacing w:val="-4"/>
                <w:sz w:val="18"/>
                <w:szCs w:val="18"/>
              </w:rPr>
              <w:t xml:space="preserve"> </w:t>
            </w:r>
            <w:r>
              <w:rPr>
                <w:sz w:val="18"/>
                <w:szCs w:val="18"/>
              </w:rPr>
              <w:t xml:space="preserve">within 30 days </w:t>
            </w:r>
            <w:r w:rsidRPr="00365FE2">
              <w:rPr>
                <w:spacing w:val="-1"/>
                <w:sz w:val="18"/>
                <w:szCs w:val="18"/>
              </w:rPr>
              <w:t>to</w:t>
            </w:r>
            <w:r w:rsidRPr="00365FE2">
              <w:rPr>
                <w:spacing w:val="-4"/>
                <w:sz w:val="18"/>
                <w:szCs w:val="18"/>
              </w:rPr>
              <w:t xml:space="preserve"> </w:t>
            </w:r>
            <w:r w:rsidRPr="00365FE2">
              <w:rPr>
                <w:spacing w:val="-1"/>
                <w:sz w:val="18"/>
                <w:szCs w:val="18"/>
              </w:rPr>
              <w:t>inundate</w:t>
            </w:r>
            <w:r w:rsidRPr="00365FE2">
              <w:rPr>
                <w:spacing w:val="-4"/>
                <w:sz w:val="18"/>
                <w:szCs w:val="18"/>
              </w:rPr>
              <w:t xml:space="preserve"> </w:t>
            </w:r>
            <w:r w:rsidRPr="005F69AE">
              <w:rPr>
                <w:rFonts w:eastAsia="Century Gothic" w:hAnsi="Century Gothic"/>
                <w:spacing w:val="-1"/>
                <w:sz w:val="18"/>
                <w:szCs w:val="18"/>
              </w:rPr>
              <w:t xml:space="preserve">vegetation such as </w:t>
            </w:r>
            <w:r w:rsidRPr="005F69AE">
              <w:rPr>
                <w:rFonts w:eastAsia="Century Gothic" w:hAnsi="Century Gothic"/>
                <w:spacing w:val="-3"/>
                <w:sz w:val="18"/>
                <w:szCs w:val="18"/>
              </w:rPr>
              <w:t>lignum, cool</w:t>
            </w:r>
            <w:r>
              <w:rPr>
                <w:rFonts w:eastAsia="Century Gothic" w:hAnsi="Century Gothic"/>
                <w:spacing w:val="-3"/>
                <w:sz w:val="18"/>
                <w:szCs w:val="18"/>
              </w:rPr>
              <w:t>i</w:t>
            </w:r>
            <w:r w:rsidRPr="005F69AE">
              <w:rPr>
                <w:rFonts w:eastAsia="Century Gothic" w:hAnsi="Century Gothic"/>
                <w:spacing w:val="-3"/>
                <w:sz w:val="18"/>
                <w:szCs w:val="18"/>
              </w:rPr>
              <w:t>bah, river cooba, chenopod, forbs</w:t>
            </w:r>
            <w:r>
              <w:rPr>
                <w:rStyle w:val="CommentReference"/>
              </w:rPr>
              <w:t>.</w:t>
            </w:r>
          </w:p>
        </w:tc>
        <w:tc>
          <w:tcPr>
            <w:tcW w:w="455" w:type="pct"/>
            <w:shd w:val="clear" w:color="auto" w:fill="auto"/>
            <w:vAlign w:val="center"/>
          </w:tcPr>
          <w:p w14:paraId="564CEA51" w14:textId="77777777" w:rsidR="00AA0841" w:rsidRPr="00365FE2" w:rsidRDefault="00AA0841" w:rsidP="00AA0841">
            <w:pPr>
              <w:jc w:val="center"/>
              <w:rPr>
                <w:spacing w:val="24"/>
                <w:sz w:val="18"/>
                <w:szCs w:val="18"/>
              </w:rPr>
            </w:pPr>
            <w:r>
              <w:rPr>
                <w:spacing w:val="-1"/>
                <w:sz w:val="18"/>
                <w:szCs w:val="18"/>
              </w:rPr>
              <w:t>Anytime</w:t>
            </w:r>
          </w:p>
          <w:p w14:paraId="5FC60362" w14:textId="77777777" w:rsidR="00AA0841" w:rsidRPr="00C25149" w:rsidRDefault="00AA0841" w:rsidP="00AA0841">
            <w:pPr>
              <w:jc w:val="center"/>
              <w:rPr>
                <w:spacing w:val="23"/>
                <w:sz w:val="18"/>
                <w:szCs w:val="18"/>
              </w:rPr>
            </w:pPr>
            <w:r w:rsidRPr="00C25149">
              <w:rPr>
                <w:spacing w:val="-1"/>
                <w:sz w:val="18"/>
                <w:szCs w:val="18"/>
              </w:rPr>
              <w:t>Ideally:</w:t>
            </w:r>
            <w:r w:rsidRPr="00C25149">
              <w:rPr>
                <w:spacing w:val="-5"/>
                <w:sz w:val="18"/>
                <w:szCs w:val="18"/>
              </w:rPr>
              <w:t xml:space="preserve"> 4</w:t>
            </w:r>
            <w:r>
              <w:rPr>
                <w:spacing w:val="-5"/>
                <w:sz w:val="18"/>
                <w:szCs w:val="18"/>
              </w:rPr>
              <w:t>–</w:t>
            </w:r>
            <w:r w:rsidRPr="00C25149">
              <w:rPr>
                <w:sz w:val="18"/>
                <w:szCs w:val="18"/>
              </w:rPr>
              <w:t>8</w:t>
            </w:r>
            <w:r w:rsidRPr="00C25149">
              <w:rPr>
                <w:spacing w:val="-2"/>
                <w:sz w:val="18"/>
                <w:szCs w:val="18"/>
              </w:rPr>
              <w:t xml:space="preserve"> </w:t>
            </w:r>
            <w:r w:rsidRPr="00C25149">
              <w:rPr>
                <w:spacing w:val="1"/>
                <w:sz w:val="18"/>
                <w:szCs w:val="18"/>
              </w:rPr>
              <w:t xml:space="preserve">in </w:t>
            </w:r>
            <w:r w:rsidRPr="00C25149">
              <w:rPr>
                <w:sz w:val="18"/>
                <w:szCs w:val="18"/>
              </w:rPr>
              <w:t>10</w:t>
            </w:r>
            <w:r w:rsidRPr="00C25149">
              <w:rPr>
                <w:spacing w:val="-3"/>
                <w:sz w:val="18"/>
                <w:szCs w:val="18"/>
              </w:rPr>
              <w:t xml:space="preserve"> </w:t>
            </w:r>
            <w:r w:rsidRPr="00C25149">
              <w:rPr>
                <w:spacing w:val="-1"/>
                <w:sz w:val="18"/>
                <w:szCs w:val="18"/>
              </w:rPr>
              <w:t>years</w:t>
            </w:r>
          </w:p>
          <w:p w14:paraId="4A7CBE43" w14:textId="77777777" w:rsidR="00AA0841" w:rsidRPr="00667872" w:rsidRDefault="00AA0841" w:rsidP="00AA0841">
            <w:pPr>
              <w:jc w:val="center"/>
              <w:rPr>
                <w:spacing w:val="-1"/>
                <w:sz w:val="18"/>
                <w:szCs w:val="18"/>
              </w:rPr>
            </w:pPr>
            <w:r w:rsidRPr="00365FE2">
              <w:rPr>
                <w:spacing w:val="-1"/>
                <w:sz w:val="18"/>
                <w:szCs w:val="18"/>
              </w:rPr>
              <w:t>(Max</w:t>
            </w:r>
            <w:r w:rsidRPr="00365FE2">
              <w:rPr>
                <w:spacing w:val="-6"/>
                <w:sz w:val="18"/>
                <w:szCs w:val="18"/>
              </w:rPr>
              <w:t xml:space="preserve"> </w:t>
            </w:r>
            <w:r w:rsidRPr="00365FE2">
              <w:rPr>
                <w:spacing w:val="-1"/>
                <w:sz w:val="18"/>
                <w:szCs w:val="18"/>
              </w:rPr>
              <w:t>interval:</w:t>
            </w:r>
            <w:r w:rsidRPr="00365FE2">
              <w:rPr>
                <w:spacing w:val="25"/>
                <w:sz w:val="18"/>
                <w:szCs w:val="18"/>
              </w:rPr>
              <w:t xml:space="preserve"> </w:t>
            </w:r>
            <w:r>
              <w:rPr>
                <w:spacing w:val="25"/>
                <w:sz w:val="18"/>
                <w:szCs w:val="18"/>
              </w:rPr>
              <w:t>3</w:t>
            </w:r>
            <w:r w:rsidRPr="00365FE2">
              <w:rPr>
                <w:spacing w:val="-3"/>
                <w:sz w:val="18"/>
                <w:szCs w:val="18"/>
              </w:rPr>
              <w:t xml:space="preserve"> </w:t>
            </w:r>
            <w:r w:rsidRPr="00365FE2">
              <w:rPr>
                <w:spacing w:val="-1"/>
                <w:sz w:val="18"/>
                <w:szCs w:val="18"/>
              </w:rPr>
              <w:t>years)</w:t>
            </w:r>
          </w:p>
        </w:tc>
        <w:tc>
          <w:tcPr>
            <w:tcW w:w="1234" w:type="pct"/>
            <w:shd w:val="clear" w:color="auto" w:fill="auto"/>
            <w:vAlign w:val="center"/>
          </w:tcPr>
          <w:p w14:paraId="2E9BED41" w14:textId="77777777" w:rsidR="00AA0841" w:rsidRPr="00EC32EF" w:rsidRDefault="00AA0841" w:rsidP="00AA0841">
            <w:pPr>
              <w:jc w:val="center"/>
              <w:rPr>
                <w:rFonts w:hAnsi="Century Gothic"/>
                <w:bCs/>
                <w:sz w:val="18"/>
                <w:szCs w:val="18"/>
                <w:highlight w:val="lightGray"/>
              </w:rPr>
            </w:pPr>
            <w:r>
              <w:rPr>
                <w:rFonts w:hAnsi="Century Gothic"/>
                <w:bCs/>
                <w:sz w:val="18"/>
                <w:szCs w:val="18"/>
              </w:rPr>
              <w:t>Met in 2010</w:t>
            </w:r>
            <w:r>
              <w:rPr>
                <w:rFonts w:hAnsi="Century Gothic"/>
                <w:bCs/>
                <w:sz w:val="18"/>
                <w:szCs w:val="18"/>
              </w:rPr>
              <w:t>–</w:t>
            </w:r>
            <w:r>
              <w:rPr>
                <w:rFonts w:hAnsi="Century Gothic"/>
                <w:bCs/>
                <w:sz w:val="18"/>
                <w:szCs w:val="18"/>
              </w:rPr>
              <w:t>11 and 2011</w:t>
            </w:r>
            <w:r>
              <w:rPr>
                <w:rFonts w:hAnsi="Century Gothic"/>
                <w:bCs/>
                <w:sz w:val="18"/>
                <w:szCs w:val="18"/>
              </w:rPr>
              <w:t>–</w:t>
            </w:r>
            <w:r>
              <w:rPr>
                <w:rFonts w:hAnsi="Century Gothic"/>
                <w:bCs/>
                <w:sz w:val="18"/>
                <w:szCs w:val="18"/>
              </w:rPr>
              <w:t>12. Partially met in 2016</w:t>
            </w:r>
            <w:r>
              <w:rPr>
                <w:rFonts w:hAnsi="Century Gothic"/>
                <w:bCs/>
                <w:sz w:val="18"/>
                <w:szCs w:val="18"/>
              </w:rPr>
              <w:t>–</w:t>
            </w:r>
            <w:r>
              <w:rPr>
                <w:rFonts w:hAnsi="Century Gothic"/>
                <w:bCs/>
                <w:sz w:val="18"/>
                <w:szCs w:val="18"/>
              </w:rPr>
              <w:t>17 (over a period of more than 30 days), 2018</w:t>
            </w:r>
            <w:r>
              <w:rPr>
                <w:rFonts w:hAnsi="Century Gothic"/>
                <w:bCs/>
                <w:sz w:val="18"/>
                <w:szCs w:val="18"/>
              </w:rPr>
              <w:t>–</w:t>
            </w:r>
            <w:r>
              <w:rPr>
                <w:rFonts w:hAnsi="Century Gothic"/>
                <w:bCs/>
                <w:sz w:val="18"/>
                <w:szCs w:val="18"/>
              </w:rPr>
              <w:t>19 and 2019</w:t>
            </w:r>
            <w:r>
              <w:rPr>
                <w:rFonts w:hAnsi="Century Gothic"/>
                <w:bCs/>
                <w:sz w:val="18"/>
                <w:szCs w:val="18"/>
              </w:rPr>
              <w:t>–</w:t>
            </w:r>
            <w:r>
              <w:rPr>
                <w:rFonts w:hAnsi="Century Gothic"/>
                <w:bCs/>
                <w:sz w:val="18"/>
                <w:szCs w:val="18"/>
              </w:rPr>
              <w:t>20</w:t>
            </w:r>
            <w:r w:rsidRPr="00365FE2">
              <w:rPr>
                <w:rFonts w:hAnsi="Century Gothic"/>
                <w:bCs/>
                <w:sz w:val="18"/>
                <w:szCs w:val="18"/>
              </w:rPr>
              <w:t>.</w:t>
            </w:r>
          </w:p>
        </w:tc>
        <w:tc>
          <w:tcPr>
            <w:tcW w:w="470" w:type="pct"/>
            <w:shd w:val="clear" w:color="auto" w:fill="FFC000"/>
            <w:vAlign w:val="center"/>
          </w:tcPr>
          <w:p w14:paraId="2EE99315" w14:textId="77777777" w:rsidR="00AA0841" w:rsidRPr="007D0A8A" w:rsidRDefault="00AA0841" w:rsidP="00AA0841">
            <w:pPr>
              <w:jc w:val="center"/>
              <w:rPr>
                <w:rFonts w:hAnsi="Century Gothic"/>
                <w:color w:val="auto"/>
                <w:sz w:val="18"/>
                <w:szCs w:val="18"/>
              </w:rPr>
            </w:pPr>
            <w:r w:rsidRPr="007D0A8A">
              <w:rPr>
                <w:rFonts w:hAnsi="Century Gothic"/>
                <w:color w:val="auto"/>
                <w:sz w:val="18"/>
                <w:szCs w:val="18"/>
              </w:rPr>
              <w:t>Moderate</w:t>
            </w:r>
          </w:p>
        </w:tc>
        <w:tc>
          <w:tcPr>
            <w:tcW w:w="666" w:type="pct"/>
            <w:shd w:val="clear" w:color="auto" w:fill="365F91" w:themeFill="accent1" w:themeFillShade="BF"/>
            <w:vAlign w:val="center"/>
          </w:tcPr>
          <w:p w14:paraId="51BC5682" w14:textId="77777777" w:rsidR="00AA0841" w:rsidRPr="007D0A8A" w:rsidRDefault="00AA0841" w:rsidP="00AA0841">
            <w:pPr>
              <w:jc w:val="center"/>
              <w:rPr>
                <w:rFonts w:cstheme="minorHAnsi"/>
                <w:color w:val="auto"/>
                <w:sz w:val="18"/>
                <w:szCs w:val="18"/>
                <w:highlight w:val="yellow"/>
              </w:rPr>
            </w:pPr>
            <w:r w:rsidRPr="007D0A8A">
              <w:rPr>
                <w:rFonts w:cstheme="minorHAnsi"/>
                <w:color w:val="auto"/>
                <w:sz w:val="18"/>
                <w:szCs w:val="18"/>
              </w:rPr>
              <w:t>A high priority for use of CEW under all water resource availability scenarios.</w:t>
            </w:r>
          </w:p>
        </w:tc>
        <w:tc>
          <w:tcPr>
            <w:tcW w:w="487" w:type="pct"/>
            <w:tcBorders>
              <w:right w:val="single" w:sz="12" w:space="0" w:color="auto"/>
            </w:tcBorders>
            <w:shd w:val="clear" w:color="auto" w:fill="FFC000"/>
            <w:vAlign w:val="center"/>
          </w:tcPr>
          <w:p w14:paraId="414F96D0" w14:textId="77777777" w:rsidR="00AA0841" w:rsidRPr="007D0A8A" w:rsidRDefault="00AA0841" w:rsidP="00AA0841">
            <w:pPr>
              <w:jc w:val="center"/>
              <w:rPr>
                <w:rFonts w:hAnsi="Century Gothic"/>
                <w:color w:val="auto"/>
                <w:sz w:val="18"/>
                <w:szCs w:val="18"/>
              </w:rPr>
            </w:pPr>
            <w:r w:rsidRPr="007D0A8A">
              <w:rPr>
                <w:rFonts w:hAnsi="Century Gothic"/>
                <w:color w:val="auto"/>
                <w:sz w:val="18"/>
                <w:szCs w:val="18"/>
              </w:rPr>
              <w:t>Moderate</w:t>
            </w:r>
          </w:p>
        </w:tc>
      </w:tr>
      <w:tr w:rsidR="00AA0841" w:rsidRPr="007D0A8A" w14:paraId="7451DE3E" w14:textId="77777777" w:rsidTr="00AA0841">
        <w:trPr>
          <w:trHeight w:val="1304"/>
        </w:trPr>
        <w:tc>
          <w:tcPr>
            <w:tcW w:w="454" w:type="pct"/>
            <w:vMerge/>
            <w:tcBorders>
              <w:left w:val="single" w:sz="12" w:space="0" w:color="auto"/>
            </w:tcBorders>
            <w:shd w:val="clear" w:color="auto" w:fill="auto"/>
          </w:tcPr>
          <w:p w14:paraId="755240C0" w14:textId="77777777" w:rsidR="00AA0841" w:rsidRPr="00365FE2" w:rsidRDefault="00AA0841" w:rsidP="00AA0841">
            <w:pPr>
              <w:rPr>
                <w:rFonts w:hAnsi="Century Gothic"/>
                <w:bCs/>
                <w:color w:val="FF0000"/>
                <w:sz w:val="18"/>
                <w:szCs w:val="18"/>
              </w:rPr>
            </w:pPr>
          </w:p>
        </w:tc>
        <w:tc>
          <w:tcPr>
            <w:tcW w:w="389" w:type="pct"/>
            <w:vAlign w:val="center"/>
          </w:tcPr>
          <w:p w14:paraId="6F8B0D11" w14:textId="77777777" w:rsidR="00AA0841" w:rsidRPr="001962DB" w:rsidRDefault="00AA0841" w:rsidP="00AA0841">
            <w:pPr>
              <w:rPr>
                <w:sz w:val="18"/>
                <w:szCs w:val="18"/>
                <w:highlight w:val="magenta"/>
              </w:rPr>
            </w:pPr>
            <w:r w:rsidRPr="001962DB">
              <w:rPr>
                <w:sz w:val="18"/>
                <w:szCs w:val="18"/>
              </w:rPr>
              <w:t xml:space="preserve">Inundation of entire </w:t>
            </w:r>
            <w:r>
              <w:rPr>
                <w:sz w:val="18"/>
                <w:szCs w:val="18"/>
              </w:rPr>
              <w:t>Western Floodplain</w:t>
            </w:r>
          </w:p>
          <w:p w14:paraId="4481472D" w14:textId="77777777" w:rsidR="00AA0841" w:rsidRPr="00230BD4" w:rsidRDefault="00AA0841" w:rsidP="00AA0841">
            <w:pPr>
              <w:rPr>
                <w:rFonts w:hAnsi="Century Gothic"/>
                <w:color w:val="FF0000"/>
                <w:sz w:val="18"/>
                <w:szCs w:val="18"/>
                <w:highlight w:val="magenta"/>
              </w:rPr>
            </w:pPr>
            <w:r w:rsidRPr="001962DB">
              <w:rPr>
                <w:sz w:val="18"/>
                <w:szCs w:val="18"/>
              </w:rPr>
              <w:t>(</w:t>
            </w:r>
            <w:r w:rsidRPr="001962DB">
              <w:rPr>
                <w:rFonts w:cstheme="minorHAnsi"/>
                <w:sz w:val="18"/>
                <w:szCs w:val="18"/>
              </w:rPr>
              <w:t>7</w:t>
            </w:r>
            <w:r>
              <w:rPr>
                <w:rFonts w:cstheme="minorHAnsi"/>
                <w:sz w:val="18"/>
                <w:szCs w:val="18"/>
              </w:rPr>
              <w:t xml:space="preserve"> </w:t>
            </w:r>
            <w:r w:rsidRPr="001962DB">
              <w:rPr>
                <w:rFonts w:cstheme="minorHAnsi"/>
                <w:sz w:val="18"/>
                <w:szCs w:val="18"/>
              </w:rPr>
              <w:t>104 ha)</w:t>
            </w:r>
          </w:p>
        </w:tc>
        <w:tc>
          <w:tcPr>
            <w:tcW w:w="845" w:type="pct"/>
            <w:shd w:val="clear" w:color="auto" w:fill="auto"/>
            <w:vAlign w:val="center"/>
          </w:tcPr>
          <w:p w14:paraId="2E9468E2" w14:textId="77777777" w:rsidR="00AA0841" w:rsidRPr="00BD3ADA" w:rsidRDefault="00AA0841" w:rsidP="00AA0841">
            <w:r>
              <w:rPr>
                <w:sz w:val="18"/>
                <w:szCs w:val="18"/>
              </w:rPr>
              <w:t>33 GL to the Western Floodplain</w:t>
            </w:r>
            <w:r w:rsidRPr="00365FE2">
              <w:rPr>
                <w:spacing w:val="-4"/>
                <w:sz w:val="18"/>
                <w:szCs w:val="18"/>
              </w:rPr>
              <w:t xml:space="preserve"> </w:t>
            </w:r>
            <w:r>
              <w:rPr>
                <w:sz w:val="18"/>
                <w:szCs w:val="18"/>
              </w:rPr>
              <w:t>within 30 days</w:t>
            </w:r>
            <w:r w:rsidRPr="00365FE2">
              <w:rPr>
                <w:spacing w:val="-1"/>
                <w:sz w:val="18"/>
                <w:szCs w:val="18"/>
              </w:rPr>
              <w:t xml:space="preserve"> to</w:t>
            </w:r>
            <w:r w:rsidRPr="00365FE2">
              <w:rPr>
                <w:spacing w:val="-4"/>
                <w:sz w:val="18"/>
                <w:szCs w:val="18"/>
              </w:rPr>
              <w:t xml:space="preserve"> </w:t>
            </w:r>
            <w:r w:rsidRPr="00365FE2">
              <w:rPr>
                <w:spacing w:val="-1"/>
                <w:sz w:val="18"/>
                <w:szCs w:val="18"/>
              </w:rPr>
              <w:t>inundate</w:t>
            </w:r>
            <w:r w:rsidRPr="00365FE2">
              <w:rPr>
                <w:spacing w:val="-4"/>
                <w:sz w:val="18"/>
                <w:szCs w:val="18"/>
              </w:rPr>
              <w:t xml:space="preserve"> </w:t>
            </w:r>
            <w:r w:rsidRPr="005F69AE">
              <w:rPr>
                <w:rFonts w:eastAsia="Century Gothic" w:hAnsi="Century Gothic"/>
                <w:spacing w:val="-1"/>
                <w:sz w:val="18"/>
                <w:szCs w:val="18"/>
              </w:rPr>
              <w:t xml:space="preserve">vegetation such as </w:t>
            </w:r>
            <w:r w:rsidRPr="005F69AE">
              <w:rPr>
                <w:rFonts w:eastAsia="Century Gothic" w:hAnsi="Century Gothic"/>
                <w:spacing w:val="-3"/>
                <w:sz w:val="18"/>
                <w:szCs w:val="18"/>
              </w:rPr>
              <w:t>lignum, cool</w:t>
            </w:r>
            <w:r>
              <w:rPr>
                <w:rFonts w:eastAsia="Century Gothic" w:hAnsi="Century Gothic"/>
                <w:spacing w:val="-3"/>
                <w:sz w:val="18"/>
                <w:szCs w:val="18"/>
              </w:rPr>
              <w:t>i</w:t>
            </w:r>
            <w:r w:rsidRPr="005F69AE">
              <w:rPr>
                <w:rFonts w:eastAsia="Century Gothic" w:hAnsi="Century Gothic"/>
                <w:spacing w:val="-3"/>
                <w:sz w:val="18"/>
                <w:szCs w:val="18"/>
              </w:rPr>
              <w:t>bah, river cooba, chenopod, forbs</w:t>
            </w:r>
            <w:r>
              <w:rPr>
                <w:rStyle w:val="CommentReference"/>
              </w:rPr>
              <w:t>.</w:t>
            </w:r>
          </w:p>
        </w:tc>
        <w:tc>
          <w:tcPr>
            <w:tcW w:w="455" w:type="pct"/>
            <w:shd w:val="clear" w:color="auto" w:fill="auto"/>
            <w:vAlign w:val="center"/>
          </w:tcPr>
          <w:p w14:paraId="0E887049" w14:textId="77777777" w:rsidR="00AA0841" w:rsidRPr="00365FE2" w:rsidRDefault="00AA0841" w:rsidP="00AA0841">
            <w:pPr>
              <w:jc w:val="center"/>
              <w:rPr>
                <w:spacing w:val="24"/>
                <w:sz w:val="18"/>
                <w:szCs w:val="18"/>
              </w:rPr>
            </w:pPr>
            <w:r>
              <w:rPr>
                <w:spacing w:val="-1"/>
                <w:sz w:val="18"/>
                <w:szCs w:val="18"/>
              </w:rPr>
              <w:t>Any time</w:t>
            </w:r>
          </w:p>
          <w:p w14:paraId="23484D41" w14:textId="77777777" w:rsidR="00AA0841" w:rsidRPr="00365FE2" w:rsidRDefault="00AA0841" w:rsidP="00AA0841">
            <w:pPr>
              <w:jc w:val="center"/>
              <w:rPr>
                <w:rFonts w:eastAsia="Century Gothic" w:hAnsi="Century Gothic"/>
                <w:sz w:val="18"/>
                <w:szCs w:val="18"/>
              </w:rPr>
            </w:pPr>
            <w:r>
              <w:rPr>
                <w:spacing w:val="-1"/>
                <w:sz w:val="18"/>
                <w:szCs w:val="18"/>
              </w:rPr>
              <w:t>Ideally: 3–6 years in 10</w:t>
            </w:r>
          </w:p>
          <w:p w14:paraId="27C87AF3" w14:textId="77777777" w:rsidR="00AA0841" w:rsidRPr="00365FE2" w:rsidRDefault="00AA0841" w:rsidP="00AA0841">
            <w:pPr>
              <w:jc w:val="center"/>
              <w:rPr>
                <w:rFonts w:hAnsi="Century Gothic"/>
                <w:color w:val="FF0000"/>
                <w:sz w:val="18"/>
                <w:szCs w:val="18"/>
              </w:rPr>
            </w:pPr>
            <w:r w:rsidRPr="00365FE2">
              <w:rPr>
                <w:rFonts w:eastAsia="Century Gothic" w:hAnsi="Century Gothic"/>
                <w:spacing w:val="-1"/>
                <w:sz w:val="18"/>
                <w:szCs w:val="18"/>
              </w:rPr>
              <w:t>(Max</w:t>
            </w:r>
            <w:r w:rsidRPr="00365FE2">
              <w:rPr>
                <w:rFonts w:eastAsia="Century Gothic" w:hAnsi="Century Gothic"/>
                <w:spacing w:val="-6"/>
                <w:sz w:val="18"/>
                <w:szCs w:val="18"/>
              </w:rPr>
              <w:t xml:space="preserve"> </w:t>
            </w:r>
            <w:r w:rsidRPr="00365FE2">
              <w:rPr>
                <w:rFonts w:eastAsia="Century Gothic" w:hAnsi="Century Gothic"/>
                <w:spacing w:val="-1"/>
                <w:sz w:val="18"/>
                <w:szCs w:val="18"/>
              </w:rPr>
              <w:t>interval:</w:t>
            </w:r>
            <w:r w:rsidRPr="00365FE2">
              <w:rPr>
                <w:rFonts w:eastAsia="Century Gothic" w:hAnsi="Century Gothic"/>
                <w:spacing w:val="25"/>
                <w:sz w:val="18"/>
                <w:szCs w:val="18"/>
              </w:rPr>
              <w:t xml:space="preserve"> </w:t>
            </w:r>
            <w:r>
              <w:rPr>
                <w:rFonts w:eastAsia="Century Gothic" w:hAnsi="Century Gothic"/>
                <w:sz w:val="18"/>
                <w:szCs w:val="18"/>
              </w:rPr>
              <w:t>6</w:t>
            </w:r>
            <w:r w:rsidRPr="00365FE2">
              <w:rPr>
                <w:rFonts w:eastAsia="Century Gothic" w:hAnsi="Century Gothic"/>
                <w:spacing w:val="-3"/>
                <w:sz w:val="18"/>
                <w:szCs w:val="18"/>
              </w:rPr>
              <w:t xml:space="preserve"> </w:t>
            </w:r>
            <w:r w:rsidRPr="00365FE2">
              <w:rPr>
                <w:rFonts w:eastAsia="Century Gothic" w:hAnsi="Century Gothic"/>
                <w:spacing w:val="-1"/>
                <w:sz w:val="18"/>
                <w:szCs w:val="18"/>
              </w:rPr>
              <w:t>years)</w:t>
            </w:r>
          </w:p>
        </w:tc>
        <w:tc>
          <w:tcPr>
            <w:tcW w:w="1234" w:type="pct"/>
            <w:shd w:val="clear" w:color="auto" w:fill="auto"/>
            <w:vAlign w:val="center"/>
          </w:tcPr>
          <w:p w14:paraId="512188EE" w14:textId="77777777" w:rsidR="00AA0841" w:rsidRPr="00BD3ADA" w:rsidRDefault="00AA0841" w:rsidP="00AA0841">
            <w:pPr>
              <w:jc w:val="center"/>
              <w:rPr>
                <w:rFonts w:hAnsi="Century Gothic"/>
                <w:bCs/>
                <w:sz w:val="18"/>
                <w:szCs w:val="18"/>
              </w:rPr>
            </w:pPr>
            <w:r>
              <w:rPr>
                <w:rFonts w:hAnsi="Century Gothic"/>
                <w:bCs/>
                <w:sz w:val="18"/>
                <w:szCs w:val="18"/>
              </w:rPr>
              <w:t>Met 2010</w:t>
            </w:r>
            <w:r>
              <w:rPr>
                <w:rFonts w:hAnsi="Century Gothic"/>
                <w:bCs/>
                <w:sz w:val="18"/>
                <w:szCs w:val="18"/>
              </w:rPr>
              <w:t>–</w:t>
            </w:r>
            <w:r>
              <w:rPr>
                <w:rFonts w:hAnsi="Century Gothic"/>
                <w:bCs/>
                <w:sz w:val="18"/>
                <w:szCs w:val="18"/>
              </w:rPr>
              <w:t>11, 2011</w:t>
            </w:r>
            <w:r>
              <w:rPr>
                <w:rFonts w:hAnsi="Century Gothic"/>
                <w:bCs/>
                <w:sz w:val="18"/>
                <w:szCs w:val="18"/>
              </w:rPr>
              <w:t>–</w:t>
            </w:r>
            <w:r>
              <w:rPr>
                <w:rFonts w:hAnsi="Century Gothic"/>
                <w:bCs/>
                <w:sz w:val="18"/>
                <w:szCs w:val="18"/>
              </w:rPr>
              <w:t>12 and 2019</w:t>
            </w:r>
            <w:r>
              <w:rPr>
                <w:rFonts w:hAnsi="Century Gothic"/>
                <w:bCs/>
                <w:sz w:val="18"/>
                <w:szCs w:val="18"/>
              </w:rPr>
              <w:t>–</w:t>
            </w:r>
            <w:r>
              <w:rPr>
                <w:rFonts w:hAnsi="Century Gothic"/>
                <w:bCs/>
                <w:sz w:val="18"/>
                <w:szCs w:val="18"/>
              </w:rPr>
              <w:t>20.</w:t>
            </w:r>
          </w:p>
        </w:tc>
        <w:tc>
          <w:tcPr>
            <w:tcW w:w="470" w:type="pct"/>
            <w:shd w:val="clear" w:color="auto" w:fill="FFC000"/>
            <w:vAlign w:val="center"/>
          </w:tcPr>
          <w:p w14:paraId="0E8EE556" w14:textId="77777777" w:rsidR="00AA0841" w:rsidRPr="007D0A8A" w:rsidRDefault="00AA0841" w:rsidP="00AA0841">
            <w:pPr>
              <w:jc w:val="center"/>
              <w:rPr>
                <w:rFonts w:hAnsi="Century Gothic"/>
                <w:color w:val="auto"/>
                <w:sz w:val="18"/>
                <w:szCs w:val="18"/>
              </w:rPr>
            </w:pPr>
            <w:r w:rsidRPr="007D0A8A">
              <w:rPr>
                <w:rFonts w:hAnsi="Century Gothic"/>
                <w:color w:val="auto"/>
                <w:sz w:val="18"/>
                <w:szCs w:val="18"/>
              </w:rPr>
              <w:t>Moderate</w:t>
            </w:r>
          </w:p>
        </w:tc>
        <w:tc>
          <w:tcPr>
            <w:tcW w:w="666" w:type="pct"/>
            <w:shd w:val="clear" w:color="auto" w:fill="95B3D7" w:themeFill="accent1" w:themeFillTint="99"/>
            <w:vAlign w:val="center"/>
          </w:tcPr>
          <w:p w14:paraId="1B00C3AD" w14:textId="77777777" w:rsidR="00AA0841" w:rsidRPr="007D0A8A" w:rsidRDefault="00AA0841" w:rsidP="00AA0841">
            <w:pPr>
              <w:jc w:val="center"/>
              <w:rPr>
                <w:rFonts w:cstheme="minorHAnsi"/>
                <w:color w:val="auto"/>
                <w:sz w:val="18"/>
                <w:szCs w:val="18"/>
                <w:highlight w:val="yellow"/>
              </w:rPr>
            </w:pPr>
            <w:r w:rsidRPr="007D0A8A">
              <w:rPr>
                <w:rFonts w:cstheme="minorHAnsi"/>
                <w:color w:val="auto"/>
                <w:sz w:val="18"/>
                <w:szCs w:val="18"/>
              </w:rPr>
              <w:t>Possible use of CEW to contribute to an unregulated flow event.</w:t>
            </w:r>
          </w:p>
        </w:tc>
        <w:tc>
          <w:tcPr>
            <w:tcW w:w="487" w:type="pct"/>
            <w:tcBorders>
              <w:right w:val="single" w:sz="12" w:space="0" w:color="auto"/>
            </w:tcBorders>
            <w:shd w:val="clear" w:color="auto" w:fill="FFC000"/>
            <w:vAlign w:val="center"/>
          </w:tcPr>
          <w:p w14:paraId="075F7681" w14:textId="77777777" w:rsidR="00AA0841" w:rsidRPr="007D0A8A" w:rsidRDefault="00AA0841" w:rsidP="00AA0841">
            <w:pPr>
              <w:jc w:val="center"/>
              <w:rPr>
                <w:rFonts w:hAnsi="Century Gothic"/>
                <w:color w:val="auto"/>
                <w:sz w:val="18"/>
                <w:szCs w:val="18"/>
              </w:rPr>
            </w:pPr>
            <w:r w:rsidRPr="007D0A8A">
              <w:rPr>
                <w:rFonts w:hAnsi="Century Gothic"/>
                <w:color w:val="auto"/>
                <w:sz w:val="18"/>
                <w:szCs w:val="18"/>
              </w:rPr>
              <w:t>Moderate</w:t>
            </w:r>
          </w:p>
        </w:tc>
      </w:tr>
      <w:tr w:rsidR="00AA0841" w:rsidRPr="007D0A8A" w14:paraId="3E39E100" w14:textId="77777777" w:rsidTr="003737D8">
        <w:trPr>
          <w:trHeight w:val="3633"/>
        </w:trPr>
        <w:tc>
          <w:tcPr>
            <w:tcW w:w="454" w:type="pct"/>
            <w:vMerge/>
            <w:tcBorders>
              <w:left w:val="single" w:sz="12" w:space="0" w:color="auto"/>
            </w:tcBorders>
            <w:shd w:val="clear" w:color="auto" w:fill="auto"/>
          </w:tcPr>
          <w:p w14:paraId="03C7F740" w14:textId="77777777" w:rsidR="00AA0841" w:rsidRPr="00365FE2" w:rsidRDefault="00AA0841" w:rsidP="00AA0841">
            <w:pPr>
              <w:rPr>
                <w:rFonts w:hAnsi="Century Gothic"/>
                <w:bCs/>
                <w:color w:val="FF0000"/>
                <w:sz w:val="18"/>
                <w:szCs w:val="18"/>
              </w:rPr>
            </w:pPr>
          </w:p>
        </w:tc>
        <w:tc>
          <w:tcPr>
            <w:tcW w:w="389" w:type="pct"/>
            <w:vAlign w:val="center"/>
          </w:tcPr>
          <w:p w14:paraId="2964F624" w14:textId="77777777" w:rsidR="00AA0841" w:rsidRPr="001962DB" w:rsidRDefault="00AA0841" w:rsidP="00AA0841">
            <w:pPr>
              <w:rPr>
                <w:spacing w:val="-1"/>
                <w:sz w:val="18"/>
                <w:szCs w:val="18"/>
                <w:highlight w:val="magenta"/>
              </w:rPr>
            </w:pPr>
            <w:r w:rsidRPr="001962DB">
              <w:rPr>
                <w:sz w:val="18"/>
                <w:szCs w:val="18"/>
              </w:rPr>
              <w:t xml:space="preserve">Boom inundation of more than entire </w:t>
            </w:r>
            <w:r>
              <w:rPr>
                <w:sz w:val="18"/>
                <w:szCs w:val="18"/>
              </w:rPr>
              <w:t>Western Floodplain</w:t>
            </w:r>
            <w:r w:rsidRPr="001962DB">
              <w:rPr>
                <w:sz w:val="18"/>
                <w:szCs w:val="18"/>
              </w:rPr>
              <w:t xml:space="preserve">, Uteara lake, reconnections to Darling and return flows to the Warrego. Darling may backup to provide greater inundation. </w:t>
            </w:r>
          </w:p>
          <w:p w14:paraId="21439D25" w14:textId="77777777" w:rsidR="00AA0841" w:rsidRPr="00230BD4" w:rsidRDefault="00AA0841" w:rsidP="00AA0841">
            <w:pPr>
              <w:rPr>
                <w:rFonts w:eastAsia="Century Gothic" w:hAnsi="Century Gothic"/>
                <w:sz w:val="18"/>
                <w:szCs w:val="18"/>
                <w:highlight w:val="magenta"/>
              </w:rPr>
            </w:pPr>
            <w:r w:rsidRPr="001962DB">
              <w:rPr>
                <w:sz w:val="18"/>
                <w:szCs w:val="18"/>
              </w:rPr>
              <w:t>(11</w:t>
            </w:r>
            <w:r>
              <w:rPr>
                <w:sz w:val="18"/>
                <w:szCs w:val="18"/>
              </w:rPr>
              <w:t xml:space="preserve"> </w:t>
            </w:r>
            <w:r w:rsidRPr="001962DB">
              <w:rPr>
                <w:sz w:val="18"/>
                <w:szCs w:val="18"/>
              </w:rPr>
              <w:t>847 ha)</w:t>
            </w:r>
          </w:p>
        </w:tc>
        <w:tc>
          <w:tcPr>
            <w:tcW w:w="845" w:type="pct"/>
            <w:shd w:val="clear" w:color="auto" w:fill="auto"/>
            <w:vAlign w:val="center"/>
          </w:tcPr>
          <w:p w14:paraId="39F054A8" w14:textId="77777777" w:rsidR="00AA0841" w:rsidRPr="00365FE2" w:rsidRDefault="00AA0841" w:rsidP="00AA0841">
            <w:pPr>
              <w:rPr>
                <w:rFonts w:hAnsi="Century Gothic"/>
                <w:color w:val="FF0000"/>
                <w:sz w:val="18"/>
                <w:szCs w:val="18"/>
              </w:rPr>
            </w:pPr>
            <w:r>
              <w:rPr>
                <w:sz w:val="18"/>
                <w:szCs w:val="18"/>
              </w:rPr>
              <w:t xml:space="preserve">75 GL/year to the Western Floodplain to inundate </w:t>
            </w:r>
            <w:r w:rsidRPr="005F69AE">
              <w:rPr>
                <w:rFonts w:eastAsia="Century Gothic" w:hAnsi="Century Gothic"/>
                <w:spacing w:val="-1"/>
                <w:sz w:val="18"/>
                <w:szCs w:val="18"/>
              </w:rPr>
              <w:t xml:space="preserve">vegetation such as </w:t>
            </w:r>
            <w:r w:rsidRPr="005F69AE">
              <w:rPr>
                <w:rFonts w:eastAsia="Century Gothic" w:hAnsi="Century Gothic"/>
                <w:spacing w:val="-3"/>
                <w:sz w:val="18"/>
                <w:szCs w:val="18"/>
              </w:rPr>
              <w:t>lignum, cool</w:t>
            </w:r>
            <w:r>
              <w:rPr>
                <w:rFonts w:eastAsia="Century Gothic" w:hAnsi="Century Gothic"/>
                <w:spacing w:val="-3"/>
                <w:sz w:val="18"/>
                <w:szCs w:val="18"/>
              </w:rPr>
              <w:t>i</w:t>
            </w:r>
            <w:r w:rsidRPr="005F69AE">
              <w:rPr>
                <w:rFonts w:eastAsia="Century Gothic" w:hAnsi="Century Gothic"/>
                <w:spacing w:val="-3"/>
                <w:sz w:val="18"/>
                <w:szCs w:val="18"/>
              </w:rPr>
              <w:t>bah, river cooba, chenopod, forbs</w:t>
            </w:r>
            <w:r>
              <w:rPr>
                <w:rStyle w:val="CommentReference"/>
              </w:rPr>
              <w:t>.</w:t>
            </w:r>
          </w:p>
        </w:tc>
        <w:tc>
          <w:tcPr>
            <w:tcW w:w="455" w:type="pct"/>
            <w:shd w:val="clear" w:color="auto" w:fill="auto"/>
            <w:vAlign w:val="center"/>
          </w:tcPr>
          <w:p w14:paraId="53EC7E0F" w14:textId="77777777" w:rsidR="00AA0841" w:rsidRDefault="00AA0841" w:rsidP="00AA0841">
            <w:pPr>
              <w:jc w:val="center"/>
              <w:rPr>
                <w:spacing w:val="-1"/>
                <w:sz w:val="18"/>
                <w:szCs w:val="18"/>
              </w:rPr>
            </w:pPr>
            <w:r>
              <w:rPr>
                <w:spacing w:val="-1"/>
                <w:sz w:val="18"/>
                <w:szCs w:val="18"/>
              </w:rPr>
              <w:t>Any time</w:t>
            </w:r>
          </w:p>
          <w:p w14:paraId="32ACD4CD" w14:textId="77777777" w:rsidR="00AA0841" w:rsidRPr="00365FE2" w:rsidRDefault="00AA0841" w:rsidP="00AA0841">
            <w:pPr>
              <w:jc w:val="center"/>
              <w:rPr>
                <w:spacing w:val="22"/>
                <w:sz w:val="18"/>
                <w:szCs w:val="18"/>
              </w:rPr>
            </w:pPr>
            <w:r>
              <w:rPr>
                <w:spacing w:val="-5"/>
                <w:sz w:val="18"/>
                <w:szCs w:val="18"/>
              </w:rPr>
              <w:t>Ideally: 1–3 years in 10</w:t>
            </w:r>
          </w:p>
          <w:p w14:paraId="2B6C7DA9" w14:textId="77777777" w:rsidR="00AA0841" w:rsidRPr="00365FE2" w:rsidRDefault="00AA0841" w:rsidP="00AA0841">
            <w:pPr>
              <w:jc w:val="center"/>
              <w:rPr>
                <w:rFonts w:eastAsia="Century Gothic" w:hAnsi="Century Gothic"/>
                <w:sz w:val="18"/>
                <w:szCs w:val="18"/>
              </w:rPr>
            </w:pPr>
            <w:r w:rsidRPr="000A0028">
              <w:rPr>
                <w:rFonts w:eastAsia="Century Gothic" w:hAnsi="Century Gothic"/>
                <w:spacing w:val="-1"/>
                <w:sz w:val="18"/>
                <w:szCs w:val="18"/>
              </w:rPr>
              <w:t>(Max interval: 10 years</w:t>
            </w:r>
            <w:r>
              <w:rPr>
                <w:rFonts w:eastAsia="Century Gothic" w:hAnsi="Century Gothic"/>
                <w:spacing w:val="-1"/>
                <w:sz w:val="18"/>
                <w:szCs w:val="18"/>
              </w:rPr>
              <w:t>)</w:t>
            </w:r>
          </w:p>
        </w:tc>
        <w:tc>
          <w:tcPr>
            <w:tcW w:w="1234" w:type="pct"/>
            <w:shd w:val="clear" w:color="auto" w:fill="auto"/>
            <w:vAlign w:val="center"/>
          </w:tcPr>
          <w:p w14:paraId="7C1D9747" w14:textId="77777777" w:rsidR="00AA0841" w:rsidRPr="00EC32EF" w:rsidRDefault="00AA0841" w:rsidP="00AA0841">
            <w:pPr>
              <w:jc w:val="center"/>
              <w:rPr>
                <w:rFonts w:hAnsi="Century Gothic"/>
                <w:bCs/>
                <w:sz w:val="18"/>
                <w:szCs w:val="18"/>
                <w:highlight w:val="lightGray"/>
              </w:rPr>
            </w:pPr>
            <w:r>
              <w:rPr>
                <w:rFonts w:hAnsi="Century Gothic"/>
                <w:bCs/>
                <w:sz w:val="18"/>
                <w:szCs w:val="18"/>
              </w:rPr>
              <w:t>M</w:t>
            </w:r>
            <w:r w:rsidRPr="00365FE2">
              <w:rPr>
                <w:rFonts w:hAnsi="Century Gothic"/>
                <w:bCs/>
                <w:sz w:val="18"/>
                <w:szCs w:val="18"/>
              </w:rPr>
              <w:t xml:space="preserve">et in </w:t>
            </w:r>
            <w:r>
              <w:rPr>
                <w:rFonts w:hAnsi="Century Gothic"/>
                <w:bCs/>
                <w:sz w:val="18"/>
                <w:szCs w:val="18"/>
              </w:rPr>
              <w:t>2011</w:t>
            </w:r>
            <w:r>
              <w:rPr>
                <w:rFonts w:hAnsi="Century Gothic"/>
                <w:bCs/>
                <w:sz w:val="18"/>
                <w:szCs w:val="18"/>
              </w:rPr>
              <w:t>–</w:t>
            </w:r>
            <w:r>
              <w:rPr>
                <w:rFonts w:hAnsi="Century Gothic"/>
                <w:bCs/>
                <w:sz w:val="18"/>
                <w:szCs w:val="18"/>
              </w:rPr>
              <w:t>12 and</w:t>
            </w:r>
            <w:r w:rsidRPr="00365FE2">
              <w:rPr>
                <w:rFonts w:hAnsi="Century Gothic"/>
                <w:bCs/>
                <w:sz w:val="18"/>
                <w:szCs w:val="18"/>
              </w:rPr>
              <w:t xml:space="preserve"> </w:t>
            </w:r>
            <w:r>
              <w:rPr>
                <w:rFonts w:hAnsi="Century Gothic"/>
                <w:bCs/>
                <w:sz w:val="18"/>
                <w:szCs w:val="18"/>
              </w:rPr>
              <w:t>2019</w:t>
            </w:r>
            <w:r>
              <w:rPr>
                <w:rFonts w:hAnsi="Century Gothic"/>
                <w:bCs/>
                <w:sz w:val="18"/>
                <w:szCs w:val="18"/>
              </w:rPr>
              <w:t>–</w:t>
            </w:r>
            <w:r>
              <w:rPr>
                <w:rFonts w:hAnsi="Century Gothic"/>
                <w:bCs/>
                <w:sz w:val="18"/>
                <w:szCs w:val="18"/>
              </w:rPr>
              <w:t>20.</w:t>
            </w:r>
          </w:p>
        </w:tc>
        <w:tc>
          <w:tcPr>
            <w:tcW w:w="470" w:type="pct"/>
            <w:shd w:val="clear" w:color="auto" w:fill="FFC000"/>
            <w:vAlign w:val="center"/>
          </w:tcPr>
          <w:p w14:paraId="16418BA9" w14:textId="77777777" w:rsidR="00AA0841" w:rsidRPr="007D0A8A" w:rsidRDefault="00AA0841" w:rsidP="00AA0841">
            <w:pPr>
              <w:jc w:val="center"/>
              <w:rPr>
                <w:rFonts w:hAnsi="Century Gothic"/>
                <w:color w:val="auto"/>
                <w:sz w:val="18"/>
                <w:szCs w:val="18"/>
              </w:rPr>
            </w:pPr>
            <w:r w:rsidRPr="007D0A8A">
              <w:rPr>
                <w:rFonts w:hAnsi="Century Gothic"/>
                <w:color w:val="auto"/>
                <w:sz w:val="18"/>
                <w:szCs w:val="18"/>
              </w:rPr>
              <w:t>Moderate</w:t>
            </w:r>
          </w:p>
        </w:tc>
        <w:tc>
          <w:tcPr>
            <w:tcW w:w="666" w:type="pct"/>
            <w:shd w:val="clear" w:color="auto" w:fill="95B3D7" w:themeFill="accent1" w:themeFillTint="99"/>
            <w:vAlign w:val="center"/>
          </w:tcPr>
          <w:p w14:paraId="6B979873" w14:textId="77777777" w:rsidR="00AA0841" w:rsidRPr="007D0A8A" w:rsidRDefault="00AA0841" w:rsidP="00AA0841">
            <w:pPr>
              <w:jc w:val="center"/>
              <w:rPr>
                <w:rFonts w:cstheme="minorHAnsi"/>
                <w:color w:val="auto"/>
                <w:sz w:val="18"/>
                <w:szCs w:val="18"/>
                <w:highlight w:val="yellow"/>
              </w:rPr>
            </w:pPr>
            <w:r w:rsidRPr="007D0A8A">
              <w:rPr>
                <w:rFonts w:cstheme="minorHAnsi"/>
                <w:color w:val="auto"/>
                <w:sz w:val="18"/>
                <w:szCs w:val="18"/>
              </w:rPr>
              <w:t>Possible use of CEW to contribute to an unregulated flow event.</w:t>
            </w:r>
          </w:p>
        </w:tc>
        <w:tc>
          <w:tcPr>
            <w:tcW w:w="487" w:type="pct"/>
            <w:tcBorders>
              <w:right w:val="single" w:sz="12" w:space="0" w:color="auto"/>
            </w:tcBorders>
            <w:shd w:val="clear" w:color="auto" w:fill="FFC000"/>
            <w:vAlign w:val="center"/>
          </w:tcPr>
          <w:p w14:paraId="31C06D9D" w14:textId="77777777" w:rsidR="00AA0841" w:rsidRPr="007D0A8A" w:rsidRDefault="00AA0841" w:rsidP="00AA0841">
            <w:pPr>
              <w:jc w:val="center"/>
              <w:rPr>
                <w:rFonts w:hAnsi="Century Gothic"/>
                <w:color w:val="auto"/>
                <w:sz w:val="18"/>
                <w:szCs w:val="18"/>
                <w:highlight w:val="lightGray"/>
              </w:rPr>
            </w:pPr>
            <w:r w:rsidRPr="007D0A8A">
              <w:rPr>
                <w:rFonts w:hAnsi="Century Gothic"/>
                <w:color w:val="auto"/>
                <w:sz w:val="18"/>
                <w:szCs w:val="18"/>
              </w:rPr>
              <w:t>Moderate</w:t>
            </w:r>
          </w:p>
        </w:tc>
      </w:tr>
      <w:tr w:rsidR="00AA0841" w:rsidRPr="007D0A8A" w14:paraId="72159B31" w14:textId="77777777" w:rsidTr="00AA0841">
        <w:trPr>
          <w:trHeight w:val="617"/>
        </w:trPr>
        <w:tc>
          <w:tcPr>
            <w:tcW w:w="454" w:type="pct"/>
            <w:tcBorders>
              <w:left w:val="single" w:sz="12" w:space="0" w:color="auto"/>
              <w:bottom w:val="single" w:sz="12" w:space="0" w:color="auto"/>
            </w:tcBorders>
            <w:shd w:val="clear" w:color="auto" w:fill="auto"/>
          </w:tcPr>
          <w:p w14:paraId="4D7982FC" w14:textId="77777777" w:rsidR="00AA0841" w:rsidRPr="00474E16" w:rsidRDefault="00AA0841" w:rsidP="00AA0841">
            <w:pPr>
              <w:rPr>
                <w:b/>
                <w:bCs/>
                <w:position w:val="5"/>
                <w:sz w:val="18"/>
                <w:szCs w:val="18"/>
              </w:rPr>
            </w:pPr>
            <w:r w:rsidRPr="00474E16">
              <w:rPr>
                <w:b/>
                <w:bCs/>
                <w:sz w:val="18"/>
                <w:szCs w:val="18"/>
              </w:rPr>
              <w:lastRenderedPageBreak/>
              <w:t>Darling River (downstream of the junction with the Warrego)</w:t>
            </w:r>
            <w:r>
              <w:rPr>
                <w:rStyle w:val="FootnoteReference"/>
                <w:b/>
                <w:bCs/>
                <w:sz w:val="18"/>
                <w:szCs w:val="18"/>
              </w:rPr>
              <w:footnoteReference w:id="22"/>
            </w:r>
          </w:p>
          <w:p w14:paraId="49A2CA0C" w14:textId="77777777" w:rsidR="00AA0841" w:rsidRPr="00913D50" w:rsidRDefault="00AA0841" w:rsidP="00AA0841">
            <w:pPr>
              <w:rPr>
                <w:bCs/>
                <w:sz w:val="18"/>
                <w:szCs w:val="18"/>
              </w:rPr>
            </w:pPr>
            <w:r w:rsidRPr="00913D50">
              <w:rPr>
                <w:bCs/>
                <w:sz w:val="18"/>
                <w:szCs w:val="18"/>
              </w:rPr>
              <w:t>Native fish habita</w:t>
            </w:r>
            <w:r>
              <w:rPr>
                <w:bCs/>
                <w:sz w:val="18"/>
                <w:szCs w:val="18"/>
              </w:rPr>
              <w:t>t, movement, refuge</w:t>
            </w:r>
            <w:r w:rsidRPr="00913D50">
              <w:rPr>
                <w:bCs/>
                <w:sz w:val="18"/>
                <w:szCs w:val="18"/>
              </w:rPr>
              <w:t xml:space="preserve"> </w:t>
            </w:r>
            <w:r w:rsidRPr="00164A16">
              <w:rPr>
                <w:sz w:val="18"/>
                <w:szCs w:val="18"/>
              </w:rPr>
              <w:t>and spawning</w:t>
            </w:r>
            <w:r>
              <w:rPr>
                <w:bCs/>
                <w:sz w:val="18"/>
                <w:szCs w:val="18"/>
              </w:rPr>
              <w:t xml:space="preserve"> </w:t>
            </w:r>
          </w:p>
          <w:p w14:paraId="052E19A9" w14:textId="77777777" w:rsidR="00AA0841" w:rsidRDefault="00AA0841" w:rsidP="00AA0841">
            <w:pPr>
              <w:rPr>
                <w:rFonts w:hAnsi="Century Gothic"/>
                <w:bCs/>
                <w:sz w:val="18"/>
                <w:szCs w:val="18"/>
              </w:rPr>
            </w:pPr>
            <w:r w:rsidRPr="00365FE2">
              <w:rPr>
                <w:rFonts w:hAnsi="Century Gothic"/>
                <w:bCs/>
                <w:sz w:val="18"/>
                <w:szCs w:val="18"/>
              </w:rPr>
              <w:t>In-stream aquatic ecosystems and</w:t>
            </w:r>
            <w:r>
              <w:rPr>
                <w:rFonts w:hAnsi="Century Gothic"/>
                <w:bCs/>
                <w:sz w:val="18"/>
                <w:szCs w:val="18"/>
              </w:rPr>
              <w:t xml:space="preserve"> riparian </w:t>
            </w:r>
            <w:r w:rsidRPr="00365FE2">
              <w:rPr>
                <w:rFonts w:hAnsi="Century Gothic"/>
                <w:bCs/>
                <w:sz w:val="18"/>
                <w:szCs w:val="18"/>
              </w:rPr>
              <w:t>vegetation</w:t>
            </w:r>
          </w:p>
          <w:p w14:paraId="549B2011" w14:textId="77777777" w:rsidR="00AA0841" w:rsidRPr="00365FE2" w:rsidRDefault="00AA0841" w:rsidP="00AA0841">
            <w:pPr>
              <w:rPr>
                <w:rFonts w:hAnsi="Century Gothic"/>
                <w:bCs/>
                <w:sz w:val="18"/>
                <w:szCs w:val="18"/>
              </w:rPr>
            </w:pPr>
            <w:r w:rsidRPr="00365FE2">
              <w:rPr>
                <w:rFonts w:hAnsi="Century Gothic"/>
                <w:bCs/>
                <w:sz w:val="18"/>
                <w:szCs w:val="18"/>
              </w:rPr>
              <w:t xml:space="preserve">Provides connectivity </w:t>
            </w:r>
            <w:r>
              <w:rPr>
                <w:rFonts w:hAnsi="Century Gothic"/>
                <w:bCs/>
                <w:sz w:val="18"/>
                <w:szCs w:val="18"/>
              </w:rPr>
              <w:t>and movement between Darling and Warrego catchments</w:t>
            </w:r>
          </w:p>
          <w:p w14:paraId="5E2A0471" w14:textId="77777777" w:rsidR="00AA0841" w:rsidRDefault="00AA0841" w:rsidP="00AA0841">
            <w:pPr>
              <w:rPr>
                <w:rFonts w:hAnsi="Century Gothic"/>
                <w:bCs/>
                <w:sz w:val="18"/>
                <w:szCs w:val="18"/>
              </w:rPr>
            </w:pPr>
            <w:r>
              <w:rPr>
                <w:rFonts w:hAnsi="Century Gothic"/>
                <w:bCs/>
                <w:sz w:val="18"/>
                <w:szCs w:val="18"/>
              </w:rPr>
              <w:t>Support refuge habitat</w:t>
            </w:r>
          </w:p>
          <w:p w14:paraId="0CF93BD8" w14:textId="77777777" w:rsidR="00AA0841" w:rsidRDefault="00AA0841" w:rsidP="00AA0841">
            <w:pPr>
              <w:rPr>
                <w:rFonts w:hAnsi="Century Gothic"/>
                <w:bCs/>
                <w:sz w:val="18"/>
                <w:szCs w:val="18"/>
              </w:rPr>
            </w:pPr>
            <w:r>
              <w:rPr>
                <w:rFonts w:hAnsi="Century Gothic"/>
                <w:bCs/>
                <w:sz w:val="18"/>
                <w:szCs w:val="18"/>
              </w:rPr>
              <w:t>Frog and w</w:t>
            </w:r>
            <w:r w:rsidRPr="00365FE2">
              <w:rPr>
                <w:rFonts w:hAnsi="Century Gothic"/>
                <w:bCs/>
                <w:sz w:val="18"/>
                <w:szCs w:val="18"/>
              </w:rPr>
              <w:t xml:space="preserve">aterbird </w:t>
            </w:r>
            <w:r>
              <w:rPr>
                <w:rFonts w:hAnsi="Century Gothic"/>
                <w:bCs/>
                <w:sz w:val="18"/>
                <w:szCs w:val="18"/>
              </w:rPr>
              <w:t>habitat and refuge</w:t>
            </w:r>
          </w:p>
          <w:p w14:paraId="50798A4F" w14:textId="77777777" w:rsidR="00AA0841" w:rsidRPr="00365FE2" w:rsidRDefault="00AA0841" w:rsidP="00AA0841">
            <w:pPr>
              <w:rPr>
                <w:rFonts w:hAnsi="Century Gothic"/>
                <w:bCs/>
                <w:color w:val="FF0000"/>
                <w:sz w:val="18"/>
                <w:szCs w:val="18"/>
              </w:rPr>
            </w:pPr>
            <w:r w:rsidRPr="007D361F">
              <w:rPr>
                <w:sz w:val="18"/>
                <w:szCs w:val="18"/>
              </w:rPr>
              <w:t>Improve water quality</w:t>
            </w:r>
          </w:p>
        </w:tc>
        <w:tc>
          <w:tcPr>
            <w:tcW w:w="389" w:type="pct"/>
            <w:tcBorders>
              <w:bottom w:val="single" w:sz="12" w:space="0" w:color="auto"/>
            </w:tcBorders>
            <w:vAlign w:val="center"/>
          </w:tcPr>
          <w:p w14:paraId="61BBE56B" w14:textId="77777777" w:rsidR="00AA0841" w:rsidRDefault="00AA0841" w:rsidP="00AA0841">
            <w:pPr>
              <w:rPr>
                <w:sz w:val="18"/>
              </w:rPr>
            </w:pPr>
            <w:r>
              <w:rPr>
                <w:sz w:val="18"/>
              </w:rPr>
              <w:t>Drought refuge</w:t>
            </w:r>
          </w:p>
          <w:p w14:paraId="005D2938" w14:textId="77777777" w:rsidR="00AA0841" w:rsidRDefault="00AA0841" w:rsidP="00AA0841">
            <w:pPr>
              <w:rPr>
                <w:spacing w:val="24"/>
                <w:sz w:val="18"/>
              </w:rPr>
            </w:pPr>
            <w:r>
              <w:rPr>
                <w:sz w:val="18"/>
              </w:rPr>
              <w:t>Fish</w:t>
            </w:r>
            <w:r>
              <w:rPr>
                <w:spacing w:val="-4"/>
                <w:sz w:val="18"/>
              </w:rPr>
              <w:t xml:space="preserve"> </w:t>
            </w:r>
            <w:r>
              <w:rPr>
                <w:spacing w:val="-1"/>
                <w:sz w:val="18"/>
              </w:rPr>
              <w:t>refuge:</w:t>
            </w:r>
            <w:r>
              <w:rPr>
                <w:spacing w:val="-6"/>
                <w:sz w:val="18"/>
              </w:rPr>
              <w:t xml:space="preserve"> </w:t>
            </w:r>
            <w:r>
              <w:rPr>
                <w:spacing w:val="-1"/>
                <w:sz w:val="18"/>
              </w:rPr>
              <w:t>all</w:t>
            </w:r>
            <w:r>
              <w:rPr>
                <w:spacing w:val="21"/>
                <w:sz w:val="18"/>
              </w:rPr>
              <w:t xml:space="preserve"> </w:t>
            </w:r>
            <w:r>
              <w:rPr>
                <w:spacing w:val="-1"/>
                <w:sz w:val="18"/>
              </w:rPr>
              <w:t>guilds</w:t>
            </w:r>
            <w:r>
              <w:rPr>
                <w:spacing w:val="24"/>
                <w:sz w:val="18"/>
              </w:rPr>
              <w:t xml:space="preserve"> </w:t>
            </w:r>
          </w:p>
          <w:p w14:paraId="1102F9AD" w14:textId="77777777" w:rsidR="00AA0841" w:rsidRDefault="00AA0841" w:rsidP="00AA0841">
            <w:pPr>
              <w:rPr>
                <w:sz w:val="18"/>
                <w:szCs w:val="18"/>
              </w:rPr>
            </w:pPr>
            <w:r>
              <w:rPr>
                <w:spacing w:val="-1"/>
                <w:sz w:val="18"/>
              </w:rPr>
              <w:t>Aquatic</w:t>
            </w:r>
            <w:r>
              <w:rPr>
                <w:spacing w:val="23"/>
                <w:w w:val="99"/>
                <w:sz w:val="18"/>
              </w:rPr>
              <w:t xml:space="preserve"> </w:t>
            </w:r>
            <w:r>
              <w:rPr>
                <w:spacing w:val="-1"/>
                <w:sz w:val="18"/>
              </w:rPr>
              <w:t>ecosystems</w:t>
            </w:r>
          </w:p>
        </w:tc>
        <w:tc>
          <w:tcPr>
            <w:tcW w:w="845" w:type="pct"/>
            <w:tcBorders>
              <w:bottom w:val="single" w:sz="12" w:space="0" w:color="auto"/>
            </w:tcBorders>
            <w:shd w:val="clear" w:color="auto" w:fill="auto"/>
            <w:vAlign w:val="center"/>
          </w:tcPr>
          <w:p w14:paraId="3A311B65" w14:textId="77777777" w:rsidR="00AA0841" w:rsidRDefault="00AA0841" w:rsidP="00AA0841">
            <w:pPr>
              <w:rPr>
                <w:spacing w:val="-1"/>
                <w:sz w:val="18"/>
              </w:rPr>
            </w:pPr>
            <w:r w:rsidRPr="001931BB">
              <w:rPr>
                <w:spacing w:val="-1"/>
                <w:sz w:val="18"/>
              </w:rPr>
              <w:t xml:space="preserve">Darling River is considered a priority (above all other priorities) when conditions in the Darling River </w:t>
            </w:r>
            <w:r>
              <w:rPr>
                <w:spacing w:val="-1"/>
                <w:sz w:val="18"/>
              </w:rPr>
              <w:t xml:space="preserve">at Louth </w:t>
            </w:r>
            <w:r w:rsidRPr="001931BB">
              <w:rPr>
                <w:spacing w:val="-1"/>
                <w:sz w:val="18"/>
              </w:rPr>
              <w:t xml:space="preserve">exceed one or more environmental water requirements from </w:t>
            </w:r>
            <w:r w:rsidRPr="001931BB">
              <w:rPr>
                <w:i/>
                <w:iCs/>
                <w:spacing w:val="-1"/>
                <w:sz w:val="18"/>
              </w:rPr>
              <w:t>the Barwon Darling LTWP</w:t>
            </w:r>
            <w:r w:rsidRPr="001931BB">
              <w:rPr>
                <w:spacing w:val="-1"/>
                <w:sz w:val="18"/>
              </w:rPr>
              <w:t xml:space="preserve">: </w:t>
            </w:r>
          </w:p>
          <w:p w14:paraId="08F4C6B8" w14:textId="77777777" w:rsidR="00AA0841" w:rsidRPr="001931BB" w:rsidRDefault="00AA0841" w:rsidP="005D79EF">
            <w:pPr>
              <w:pStyle w:val="ListNumber"/>
              <w:numPr>
                <w:ilvl w:val="0"/>
                <w:numId w:val="41"/>
              </w:numPr>
              <w:rPr>
                <w:sz w:val="18"/>
                <w:szCs w:val="18"/>
              </w:rPr>
            </w:pPr>
            <w:r w:rsidRPr="001931BB">
              <w:rPr>
                <w:sz w:val="18"/>
                <w:szCs w:val="18"/>
              </w:rPr>
              <w:t>When cease to flow conditions have occurred for more than 110 days;</w:t>
            </w:r>
          </w:p>
          <w:p w14:paraId="31784268" w14:textId="77777777" w:rsidR="00AA0841" w:rsidRDefault="00AA0841" w:rsidP="005D79EF">
            <w:pPr>
              <w:pStyle w:val="ListNumber"/>
              <w:numPr>
                <w:ilvl w:val="0"/>
                <w:numId w:val="41"/>
              </w:numPr>
              <w:rPr>
                <w:rFonts w:eastAsia="Century Gothic"/>
                <w:sz w:val="18"/>
                <w:szCs w:val="18"/>
              </w:rPr>
            </w:pPr>
            <w:r w:rsidRPr="001931BB">
              <w:rPr>
                <w:rFonts w:eastAsia="Century Gothic"/>
                <w:sz w:val="18"/>
                <w:szCs w:val="18"/>
              </w:rPr>
              <w:t>There has been more than 135 days of flow less than 450 ML/d, or</w:t>
            </w:r>
            <w:r>
              <w:rPr>
                <w:rFonts w:eastAsia="Century Gothic"/>
                <w:sz w:val="18"/>
                <w:szCs w:val="18"/>
              </w:rPr>
              <w:t>;</w:t>
            </w:r>
          </w:p>
          <w:p w14:paraId="6D986725" w14:textId="77777777" w:rsidR="00AA0841" w:rsidRDefault="00AA0841" w:rsidP="005D79EF">
            <w:pPr>
              <w:pStyle w:val="ListNumber"/>
              <w:numPr>
                <w:ilvl w:val="0"/>
                <w:numId w:val="41"/>
              </w:numPr>
              <w:rPr>
                <w:sz w:val="18"/>
                <w:szCs w:val="18"/>
              </w:rPr>
            </w:pPr>
            <w:r w:rsidRPr="001931BB">
              <w:rPr>
                <w:rFonts w:eastAsia="Century Gothic"/>
                <w:sz w:val="18"/>
                <w:szCs w:val="18"/>
              </w:rPr>
              <w:t>It has been more than one year since a small fresh of at least 1</w:t>
            </w:r>
            <w:r>
              <w:rPr>
                <w:rFonts w:eastAsia="Century Gothic"/>
                <w:sz w:val="18"/>
                <w:szCs w:val="18"/>
              </w:rPr>
              <w:t xml:space="preserve"> </w:t>
            </w:r>
            <w:r w:rsidRPr="001931BB">
              <w:rPr>
                <w:rFonts w:eastAsia="Century Gothic"/>
                <w:sz w:val="18"/>
                <w:szCs w:val="18"/>
              </w:rPr>
              <w:t>500</w:t>
            </w:r>
            <w:r>
              <w:rPr>
                <w:rFonts w:eastAsia="Century Gothic"/>
                <w:sz w:val="18"/>
                <w:szCs w:val="18"/>
              </w:rPr>
              <w:t xml:space="preserve"> </w:t>
            </w:r>
            <w:r w:rsidRPr="001931BB">
              <w:rPr>
                <w:rFonts w:eastAsia="Century Gothic"/>
                <w:sz w:val="18"/>
                <w:szCs w:val="18"/>
              </w:rPr>
              <w:t>ML/d occurred for at least 10 days as measure</w:t>
            </w:r>
            <w:r>
              <w:rPr>
                <w:rFonts w:eastAsia="Century Gothic"/>
                <w:sz w:val="18"/>
                <w:szCs w:val="18"/>
              </w:rPr>
              <w:t>s</w:t>
            </w:r>
            <w:r w:rsidRPr="001931BB">
              <w:rPr>
                <w:rFonts w:eastAsia="Century Gothic"/>
                <w:sz w:val="18"/>
                <w:szCs w:val="18"/>
              </w:rPr>
              <w:t xml:space="preserve"> at the Louth gauge</w:t>
            </w:r>
            <w:r>
              <w:rPr>
                <w:rFonts w:eastAsia="Century Gothic"/>
                <w:sz w:val="18"/>
                <w:szCs w:val="18"/>
              </w:rPr>
              <w:t>.</w:t>
            </w:r>
          </w:p>
        </w:tc>
        <w:tc>
          <w:tcPr>
            <w:tcW w:w="455" w:type="pct"/>
            <w:tcBorders>
              <w:bottom w:val="single" w:sz="12" w:space="0" w:color="auto"/>
            </w:tcBorders>
            <w:shd w:val="clear" w:color="auto" w:fill="auto"/>
            <w:vAlign w:val="center"/>
          </w:tcPr>
          <w:p w14:paraId="0AB9EEB4" w14:textId="77777777" w:rsidR="00AA0841" w:rsidRDefault="00AA0841" w:rsidP="00AA0841">
            <w:pPr>
              <w:jc w:val="center"/>
              <w:rPr>
                <w:spacing w:val="-1"/>
                <w:sz w:val="18"/>
                <w:szCs w:val="18"/>
              </w:rPr>
            </w:pPr>
            <w:r>
              <w:rPr>
                <w:color w:val="000000" w:themeColor="text1"/>
                <w:sz w:val="18"/>
                <w:szCs w:val="18"/>
              </w:rPr>
              <w:t>Annual</w:t>
            </w:r>
          </w:p>
        </w:tc>
        <w:tc>
          <w:tcPr>
            <w:tcW w:w="1234" w:type="pct"/>
            <w:tcBorders>
              <w:bottom w:val="single" w:sz="12" w:space="0" w:color="auto"/>
            </w:tcBorders>
            <w:shd w:val="clear" w:color="auto" w:fill="auto"/>
            <w:vAlign w:val="center"/>
          </w:tcPr>
          <w:p w14:paraId="1A073766" w14:textId="77777777" w:rsidR="00AA0841" w:rsidRPr="00365FE2" w:rsidRDefault="00AA0841" w:rsidP="00AA0841">
            <w:pPr>
              <w:jc w:val="center"/>
              <w:rPr>
                <w:rFonts w:hAnsi="Century Gothic"/>
                <w:bCs/>
                <w:sz w:val="18"/>
                <w:szCs w:val="18"/>
              </w:rPr>
            </w:pPr>
            <w:r>
              <w:rPr>
                <w:rFonts w:hAnsi="Century Gothic"/>
                <w:bCs/>
                <w:sz w:val="18"/>
                <w:szCs w:val="18"/>
              </w:rPr>
              <w:t>Refer to Barwon</w:t>
            </w:r>
            <w:r>
              <w:rPr>
                <w:rFonts w:hAnsi="Century Gothic"/>
                <w:bCs/>
                <w:sz w:val="18"/>
                <w:szCs w:val="18"/>
              </w:rPr>
              <w:t>–</w:t>
            </w:r>
            <w:r>
              <w:rPr>
                <w:rFonts w:hAnsi="Century Gothic"/>
                <w:bCs/>
                <w:sz w:val="18"/>
                <w:szCs w:val="18"/>
              </w:rPr>
              <w:t>Darling Plan 2020</w:t>
            </w:r>
            <w:r>
              <w:rPr>
                <w:rFonts w:hAnsi="Century Gothic"/>
                <w:bCs/>
                <w:sz w:val="18"/>
                <w:szCs w:val="18"/>
              </w:rPr>
              <w:t>–</w:t>
            </w:r>
            <w:r>
              <w:rPr>
                <w:rFonts w:hAnsi="Century Gothic"/>
                <w:bCs/>
                <w:sz w:val="18"/>
                <w:szCs w:val="18"/>
              </w:rPr>
              <w:t>21 for a detailed watering history.</w:t>
            </w:r>
          </w:p>
        </w:tc>
        <w:tc>
          <w:tcPr>
            <w:tcW w:w="470" w:type="pct"/>
            <w:tcBorders>
              <w:bottom w:val="single" w:sz="12" w:space="0" w:color="auto"/>
            </w:tcBorders>
            <w:shd w:val="clear" w:color="auto" w:fill="FF0000"/>
            <w:vAlign w:val="center"/>
          </w:tcPr>
          <w:p w14:paraId="21E50CE3" w14:textId="77777777" w:rsidR="00AA0841" w:rsidRPr="007D0A8A" w:rsidRDefault="00AA0841" w:rsidP="00AA0841">
            <w:pPr>
              <w:jc w:val="center"/>
              <w:rPr>
                <w:rFonts w:hAnsi="Century Gothic"/>
                <w:color w:val="auto"/>
                <w:sz w:val="18"/>
                <w:szCs w:val="18"/>
              </w:rPr>
            </w:pPr>
            <w:r w:rsidRPr="007D0A8A">
              <w:rPr>
                <w:rFonts w:hAnsi="Century Gothic"/>
                <w:color w:val="auto"/>
                <w:sz w:val="18"/>
                <w:szCs w:val="18"/>
              </w:rPr>
              <w:t>High</w:t>
            </w:r>
          </w:p>
        </w:tc>
        <w:tc>
          <w:tcPr>
            <w:tcW w:w="666" w:type="pct"/>
            <w:tcBorders>
              <w:bottom w:val="single" w:sz="12" w:space="0" w:color="auto"/>
            </w:tcBorders>
            <w:shd w:val="clear" w:color="auto" w:fill="365F91" w:themeFill="accent1" w:themeFillShade="BF"/>
            <w:vAlign w:val="center"/>
          </w:tcPr>
          <w:p w14:paraId="6B2C2938" w14:textId="77777777" w:rsidR="00AA0841" w:rsidRPr="007D0A8A" w:rsidRDefault="00AA0841" w:rsidP="00AA0841">
            <w:pPr>
              <w:jc w:val="center"/>
              <w:rPr>
                <w:rFonts w:cstheme="minorHAnsi"/>
                <w:color w:val="auto"/>
                <w:sz w:val="18"/>
                <w:szCs w:val="18"/>
                <w:highlight w:val="yellow"/>
              </w:rPr>
            </w:pPr>
            <w:r w:rsidRPr="007D0A8A">
              <w:rPr>
                <w:rFonts w:cstheme="minorHAnsi"/>
                <w:color w:val="auto"/>
                <w:sz w:val="18"/>
                <w:szCs w:val="18"/>
              </w:rPr>
              <w:t>A high priority for use of CEW under dry to moderate conditions.</w:t>
            </w:r>
          </w:p>
        </w:tc>
        <w:tc>
          <w:tcPr>
            <w:tcW w:w="487" w:type="pct"/>
            <w:tcBorders>
              <w:bottom w:val="single" w:sz="12" w:space="0" w:color="auto"/>
              <w:right w:val="single" w:sz="12" w:space="0" w:color="auto"/>
            </w:tcBorders>
            <w:shd w:val="clear" w:color="auto" w:fill="FF0000"/>
            <w:vAlign w:val="center"/>
          </w:tcPr>
          <w:p w14:paraId="1836317F" w14:textId="77777777" w:rsidR="00AA0841" w:rsidRPr="007D0A8A" w:rsidRDefault="00AA0841" w:rsidP="00AA0841">
            <w:pPr>
              <w:jc w:val="center"/>
              <w:rPr>
                <w:rFonts w:hAnsi="Century Gothic"/>
                <w:color w:val="auto"/>
                <w:sz w:val="18"/>
                <w:szCs w:val="18"/>
                <w:highlight w:val="darkRed"/>
              </w:rPr>
            </w:pPr>
            <w:r w:rsidRPr="007D0A8A">
              <w:rPr>
                <w:rFonts w:hAnsi="Century Gothic"/>
                <w:color w:val="auto"/>
                <w:sz w:val="18"/>
                <w:szCs w:val="18"/>
              </w:rPr>
              <w:t>High</w:t>
            </w:r>
          </w:p>
        </w:tc>
      </w:tr>
    </w:tbl>
    <w:bookmarkEnd w:id="88"/>
    <w:p w14:paraId="41EFA0A2" w14:textId="77777777" w:rsidR="00AA0841" w:rsidRPr="00365FE2" w:rsidRDefault="00AA0841" w:rsidP="00AA0841">
      <w:pPr>
        <w:rPr>
          <w:rFonts w:hAnsi="Century Gothic"/>
          <w:sz w:val="18"/>
          <w:szCs w:val="18"/>
        </w:rPr>
      </w:pPr>
      <w:r w:rsidRPr="00365FE2">
        <w:rPr>
          <w:rFonts w:hAnsi="Century Gothic"/>
          <w:sz w:val="18"/>
          <w:szCs w:val="18"/>
        </w:rPr>
        <w:t>Note: contributions to meet Barwon</w:t>
      </w:r>
      <w:r>
        <w:rPr>
          <w:rFonts w:hAnsi="Century Gothic"/>
          <w:sz w:val="18"/>
          <w:szCs w:val="18"/>
        </w:rPr>
        <w:t>–</w:t>
      </w:r>
      <w:r w:rsidRPr="00365FE2">
        <w:rPr>
          <w:rFonts w:hAnsi="Century Gothic"/>
          <w:sz w:val="18"/>
          <w:szCs w:val="18"/>
        </w:rPr>
        <w:t xml:space="preserve">Darling environmental requirements may be considered subject to water availability, antecedent conditions, and environmental demands. Refer to </w:t>
      </w:r>
      <w:r>
        <w:rPr>
          <w:rFonts w:hAnsi="Century Gothic"/>
          <w:sz w:val="18"/>
          <w:szCs w:val="18"/>
        </w:rPr>
        <w:t>CEWO</w:t>
      </w:r>
      <w:r>
        <w:rPr>
          <w:rFonts w:hAnsi="Century Gothic"/>
          <w:sz w:val="18"/>
          <w:szCs w:val="18"/>
        </w:rPr>
        <w:t>’</w:t>
      </w:r>
      <w:r>
        <w:rPr>
          <w:rFonts w:hAnsi="Century Gothic"/>
          <w:sz w:val="18"/>
          <w:szCs w:val="18"/>
        </w:rPr>
        <w:t>s Water</w:t>
      </w:r>
      <w:r w:rsidRPr="00365FE2">
        <w:rPr>
          <w:rFonts w:hAnsi="Century Gothic"/>
          <w:sz w:val="18"/>
          <w:szCs w:val="18"/>
        </w:rPr>
        <w:t xml:space="preserve"> Management Plan</w:t>
      </w:r>
      <w:r>
        <w:rPr>
          <w:rFonts w:hAnsi="Century Gothic"/>
          <w:sz w:val="18"/>
          <w:szCs w:val="18"/>
        </w:rPr>
        <w:t xml:space="preserve"> 2020-21</w:t>
      </w:r>
      <w:r w:rsidRPr="00365FE2">
        <w:rPr>
          <w:rFonts w:hAnsi="Century Gothic"/>
          <w:sz w:val="18"/>
          <w:szCs w:val="18"/>
        </w:rPr>
        <w:t xml:space="preserve">: </w:t>
      </w:r>
      <w:r>
        <w:rPr>
          <w:rFonts w:hAnsi="Century Gothic"/>
          <w:sz w:val="18"/>
          <w:szCs w:val="18"/>
        </w:rPr>
        <w:t xml:space="preserve">Chapter 3.7 </w:t>
      </w:r>
      <w:r w:rsidRPr="00365FE2">
        <w:rPr>
          <w:rFonts w:hAnsi="Century Gothic"/>
          <w:sz w:val="18"/>
          <w:szCs w:val="18"/>
        </w:rPr>
        <w:t>Barwon</w:t>
      </w:r>
      <w:r>
        <w:rPr>
          <w:rFonts w:hAnsi="Century Gothic"/>
          <w:sz w:val="18"/>
          <w:szCs w:val="18"/>
        </w:rPr>
        <w:t>–</w:t>
      </w:r>
      <w:r w:rsidRPr="00365FE2">
        <w:rPr>
          <w:rFonts w:hAnsi="Century Gothic"/>
          <w:sz w:val="18"/>
          <w:szCs w:val="18"/>
        </w:rPr>
        <w:t>Darling</w:t>
      </w:r>
      <w:r>
        <w:rPr>
          <w:rFonts w:hAnsi="Century Gothic"/>
          <w:sz w:val="18"/>
          <w:szCs w:val="18"/>
        </w:rPr>
        <w:t>.</w:t>
      </w:r>
    </w:p>
    <w:p w14:paraId="20F24E2E" w14:textId="77777777" w:rsidR="00AA0841" w:rsidRPr="00716A3C" w:rsidRDefault="00AA0841" w:rsidP="00AA0841">
      <w:pPr>
        <w:pStyle w:val="PlainText"/>
        <w:rPr>
          <w:rFonts w:asciiTheme="minorHAnsi" w:hAnsiTheme="minorHAnsi"/>
          <w:sz w:val="22"/>
          <w:szCs w:val="22"/>
        </w:rPr>
      </w:pPr>
      <w:r>
        <w:rPr>
          <w:noProof/>
        </w:rPr>
        <w:drawing>
          <wp:inline distT="0" distB="0" distL="0" distR="0" wp14:anchorId="2FBBD94B" wp14:editId="548BF0F4">
            <wp:extent cx="10561513" cy="1998980"/>
            <wp:effectExtent l="0" t="0" r="0" b="1270"/>
            <wp:docPr id="46" name="Picture 2">
              <a:extLst xmlns:a="http://schemas.openxmlformats.org/drawingml/2006/main">
                <a:ext uri="{FF2B5EF4-FFF2-40B4-BE49-F238E27FC236}">
                  <a16:creationId xmlns:a16="http://schemas.microsoft.com/office/drawing/2014/main" id="{44C6E65D-16A7-4929-AC15-EE3EC6EA9F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4C6E65D-16A7-4929-AC15-EE3EC6EA9F11}"/>
                        </a:ext>
                      </a:extLst>
                    </pic:cNvPr>
                    <pic:cNvPicPr>
                      <a:picLocks noChangeAspect="1"/>
                    </pic:cNvPicPr>
                  </pic:nvPicPr>
                  <pic:blipFill>
                    <a:blip r:embed="rId88"/>
                    <a:stretch>
                      <a:fillRect/>
                    </a:stretch>
                  </pic:blipFill>
                  <pic:spPr>
                    <a:xfrm>
                      <a:off x="0" y="0"/>
                      <a:ext cx="10611731" cy="2008485"/>
                    </a:xfrm>
                    <a:prstGeom prst="rect">
                      <a:avLst/>
                    </a:prstGeom>
                  </pic:spPr>
                </pic:pic>
              </a:graphicData>
            </a:graphic>
          </wp:inline>
        </w:drawing>
      </w:r>
    </w:p>
    <w:p w14:paraId="0AAE00B3" w14:textId="77777777" w:rsidR="00AA0841" w:rsidRDefault="00AA0841" w:rsidP="00AA0841"/>
    <w:p w14:paraId="505D792A" w14:textId="77777777" w:rsidR="00AA0841" w:rsidRDefault="00AA0841" w:rsidP="00AA0841">
      <w:pPr>
        <w:sectPr w:rsidR="00AA0841" w:rsidSect="003737D8">
          <w:footnotePr>
            <w:numRestart w:val="eachSect"/>
          </w:footnotePr>
          <w:type w:val="continuous"/>
          <w:pgSz w:w="23808" w:h="16840" w:orient="landscape" w:code="8"/>
          <w:pgMar w:top="1134" w:right="1128" w:bottom="851" w:left="964" w:header="425" w:footer="425" w:gutter="0"/>
          <w:cols w:space="708"/>
          <w:docGrid w:linePitch="360"/>
        </w:sectPr>
      </w:pPr>
    </w:p>
    <w:p w14:paraId="2CFE2B8E" w14:textId="77777777" w:rsidR="00AA0841" w:rsidRDefault="00AA0841" w:rsidP="0057535E">
      <w:pPr>
        <w:pStyle w:val="Heading3"/>
      </w:pPr>
      <w:r>
        <w:lastRenderedPageBreak/>
        <w:t>Water delivery in 2020–21</w:t>
      </w:r>
    </w:p>
    <w:p w14:paraId="2DD9C49F" w14:textId="77777777" w:rsidR="00AA0841" w:rsidRDefault="00AA0841" w:rsidP="00AA0841">
      <w:r w:rsidRPr="00727E39">
        <w:t>Unregulated entitlements provide opportunistic access to unregulated river flows when a flow event reaches levels specified in entitlement conditions and/or water resource plan triggers at which a period of access may be announced are met. Each entitlement will contribute to restoring in-stream flows reflecting its particular flow access windows, take rates and location.</w:t>
      </w:r>
    </w:p>
    <w:p w14:paraId="1658E008" w14:textId="7253FEFC" w:rsidR="00AA0841" w:rsidRDefault="00AA0841" w:rsidP="00AA0841">
      <w:r w:rsidRPr="00E850E1">
        <w:t xml:space="preserve">Management of the Commonwealth’s unregulated holdings on the Warrego River at Toorale </w:t>
      </w:r>
      <w:r>
        <w:t>are managed in accordance with</w:t>
      </w:r>
      <w:r w:rsidRPr="00E850E1">
        <w:t xml:space="preserve"> the management strategy for use of these entitlements at Boera Dam (</w:t>
      </w:r>
      <w:r>
        <w:fldChar w:fldCharType="begin"/>
      </w:r>
      <w:r>
        <w:instrText xml:space="preserve"> REF _Ref43389319 \h </w:instrText>
      </w:r>
      <w:r>
        <w:fldChar w:fldCharType="separate"/>
      </w:r>
      <w:r w:rsidR="001B2852" w:rsidRPr="001A44CA">
        <w:rPr>
          <w:rFonts w:eastAsiaTheme="minorHAnsi"/>
          <w:b/>
          <w:bCs/>
          <w:lang w:val="en-US" w:eastAsia="en-US"/>
        </w:rPr>
        <w:t xml:space="preserve">Figure </w:t>
      </w:r>
      <w:r w:rsidR="001B2852">
        <w:rPr>
          <w:rFonts w:eastAsiaTheme="minorHAnsi"/>
          <w:b/>
          <w:bCs/>
          <w:noProof/>
          <w:lang w:val="en-US" w:eastAsia="en-US"/>
        </w:rPr>
        <w:t>7</w:t>
      </w:r>
      <w:r>
        <w:fldChar w:fldCharType="end"/>
      </w:r>
      <w:r>
        <w:t xml:space="preserve">) </w:t>
      </w:r>
      <w:r w:rsidRPr="00727E39">
        <w:t>to meet environmental demands outlined in Table 2</w:t>
      </w:r>
      <w:r w:rsidRPr="00E850E1">
        <w:t xml:space="preserve">. </w:t>
      </w:r>
      <w:r>
        <w:t>The CEWO does not have access to the Toorale Warrego River licences in 2020–21 having already accounted for 300 per cent of the share component for these licences between 2018–19 and 2019–20</w:t>
      </w:r>
      <w:r w:rsidRPr="00727E39">
        <w:t xml:space="preserve">. </w:t>
      </w:r>
      <w:r>
        <w:t xml:space="preserve">Operations of the Toorale infrastructure will continue to be managed by the NSW National Parks and Wildlife Service and DPIE, in consultation with the Toorale Joint Management Committee and the CEWO. </w:t>
      </w:r>
    </w:p>
    <w:p w14:paraId="6A974555" w14:textId="77777777" w:rsidR="00AA0841" w:rsidRPr="001C062B" w:rsidRDefault="00AA0841" w:rsidP="00AA0841">
      <w:r w:rsidRPr="001C062B">
        <w:t xml:space="preserve">Further information on environmental demands in the Barwon–Darling is provided in the </w:t>
      </w:r>
      <w:r>
        <w:t xml:space="preserve">CEWO </w:t>
      </w:r>
      <w:r w:rsidRPr="001C062B">
        <w:t>Water Management Plan</w:t>
      </w:r>
      <w:r>
        <w:t xml:space="preserve"> 2020-21</w:t>
      </w:r>
      <w:r w:rsidRPr="001C062B">
        <w:t>:</w:t>
      </w:r>
      <w:r>
        <w:t xml:space="preserve"> Chapter 3.7</w:t>
      </w:r>
      <w:r w:rsidRPr="001C062B">
        <w:t xml:space="preserve"> Barwon–Darling.</w:t>
      </w:r>
    </w:p>
    <w:p w14:paraId="484BB115" w14:textId="77777777" w:rsidR="00AA0841" w:rsidRPr="000B4649" w:rsidRDefault="00AA0841" w:rsidP="0057535E">
      <w:pPr>
        <w:pStyle w:val="Heading3"/>
      </w:pPr>
      <w:r w:rsidRPr="000B4649">
        <w:t>Monitoring and Lessons learn</w:t>
      </w:r>
      <w:r>
        <w:t>ed</w:t>
      </w:r>
    </w:p>
    <w:p w14:paraId="1AD55F5A" w14:textId="77777777" w:rsidR="00AA0841" w:rsidRPr="00A75F68" w:rsidRDefault="00AA0841" w:rsidP="003737D8">
      <w:pPr>
        <w:pStyle w:val="Heading4"/>
      </w:pPr>
      <w:r w:rsidRPr="003737D8">
        <w:t>Monitoring</w:t>
      </w:r>
    </w:p>
    <w:p w14:paraId="06B7C8AE" w14:textId="77777777" w:rsidR="00AA0841" w:rsidRPr="00A41540" w:rsidRDefault="00AA0841" w:rsidP="00AA0841">
      <w:r w:rsidRPr="00A41540">
        <w:t xml:space="preserve">Operational monitoring is undertaken for all Commonwealth environmental watering actions and involves collecting on-ground data about </w:t>
      </w:r>
      <w:r>
        <w:t xml:space="preserve">Commonwealth </w:t>
      </w:r>
      <w:r w:rsidRPr="00A41540">
        <w:t>environmental water</w:t>
      </w:r>
      <w:r>
        <w:t>ing</w:t>
      </w:r>
      <w:r w:rsidRPr="00A41540">
        <w:t xml:space="preserve"> such as volumes </w:t>
      </w:r>
      <w:r>
        <w:t>used</w:t>
      </w:r>
      <w:r w:rsidRPr="00A41540">
        <w:t xml:space="preserve">, impact on the river systems hydrograph, area of inundation and river levels. It can also include observations of environmental outcomes. </w:t>
      </w:r>
    </w:p>
    <w:p w14:paraId="539A6B8A" w14:textId="77777777" w:rsidR="00AA0841" w:rsidRDefault="00AA0841" w:rsidP="00AA0841">
      <w:r w:rsidRPr="00C036FF">
        <w:t>In the Warrego Valley, the five-year Long-Term Intervention Monitoring (LTIM) Project (2013</w:t>
      </w:r>
      <w:r>
        <w:t>–</w:t>
      </w:r>
      <w:r w:rsidRPr="00C036FF">
        <w:t>2014 to 2018</w:t>
      </w:r>
      <w:r>
        <w:t>–</w:t>
      </w:r>
      <w:r w:rsidRPr="00C036FF">
        <w:t xml:space="preserve">19) </w:t>
      </w:r>
      <w:r>
        <w:t>included</w:t>
      </w:r>
      <w:r w:rsidRPr="00C036FF">
        <w:t xml:space="preserve"> the junction of the Warrego and Darling Rivers as a focus area. It aimed to understand the environmental response from Commonwealth environmental watering with respect to the targeted objectives by carrying out monitoring of site condition over many years.</w:t>
      </w:r>
      <w:r w:rsidRPr="00D04380">
        <w:t xml:space="preserve"> </w:t>
      </w:r>
    </w:p>
    <w:p w14:paraId="661C6D0A" w14:textId="77777777" w:rsidR="00AA0841" w:rsidRDefault="00AA0841" w:rsidP="00AA0841">
      <w:pPr>
        <w:rPr>
          <w:rStyle w:val="Hyperlink"/>
        </w:rPr>
      </w:pPr>
      <w:r w:rsidRPr="00D04380">
        <w:t xml:space="preserve">This monitoring </w:t>
      </w:r>
      <w:r>
        <w:t>is being</w:t>
      </w:r>
      <w:r w:rsidRPr="00D04380">
        <w:t xml:space="preserve"> continued under the </w:t>
      </w:r>
      <w:r>
        <w:t>CEWO Monitoring, Evaluation and Research</w:t>
      </w:r>
      <w:r w:rsidRPr="00D04380">
        <w:t xml:space="preserve"> </w:t>
      </w:r>
      <w:r>
        <w:t>three</w:t>
      </w:r>
      <w:r w:rsidRPr="00D04380">
        <w:t>-year program from 2019</w:t>
      </w:r>
      <w:r>
        <w:t>–</w:t>
      </w:r>
      <w:r w:rsidRPr="00D04380">
        <w:t>20 onwards.</w:t>
      </w:r>
      <w:r>
        <w:t xml:space="preserve"> </w:t>
      </w:r>
      <w:r w:rsidRPr="00D1079D">
        <w:t xml:space="preserve">Details of monitoring activities funded by the </w:t>
      </w:r>
      <w:r>
        <w:t>CEWO</w:t>
      </w:r>
      <w:r w:rsidRPr="00D1079D">
        <w:t xml:space="preserve"> in the </w:t>
      </w:r>
      <w:r>
        <w:t>Junction of the Warrego</w:t>
      </w:r>
      <w:r w:rsidRPr="00D1079D">
        <w:t xml:space="preserve"> </w:t>
      </w:r>
      <w:r>
        <w:t xml:space="preserve">and Darling Rivers </w:t>
      </w:r>
      <w:r w:rsidRPr="00D1079D">
        <w:t xml:space="preserve">can be found at: </w:t>
      </w:r>
      <w:hyperlink r:id="rId109" w:history="1">
        <w:r w:rsidRPr="00BE6FE6">
          <w:rPr>
            <w:rStyle w:val="Hyperlink"/>
          </w:rPr>
          <w:t>http://www.environment.gov.au/water/cewo/catchment/northern-unregulated-rivers/monitoring</w:t>
        </w:r>
      </w:hyperlink>
      <w:r>
        <w:rPr>
          <w:rStyle w:val="Hyperlink"/>
        </w:rPr>
        <w:t>.</w:t>
      </w:r>
    </w:p>
    <w:p w14:paraId="6B9005A7" w14:textId="77777777" w:rsidR="00AA0841" w:rsidRPr="00F24369" w:rsidRDefault="00AA0841" w:rsidP="003737D8">
      <w:pPr>
        <w:pStyle w:val="Heading4"/>
      </w:pPr>
      <w:r w:rsidRPr="003737D8">
        <w:t>Lessons</w:t>
      </w:r>
      <w:r w:rsidRPr="00F24369">
        <w:t xml:space="preserve"> learn</w:t>
      </w:r>
      <w:r>
        <w:t>ed</w:t>
      </w:r>
    </w:p>
    <w:p w14:paraId="0F35BC86" w14:textId="1B583122" w:rsidR="00AA0841" w:rsidRPr="005E71E0" w:rsidRDefault="00AA0841" w:rsidP="00AA0841">
      <w:r w:rsidRPr="00D1079D">
        <w:t>Outcomes from monitoring and lessons learned in previous years are a critical component for the effective and efficient use of Commonwealth water for the environment. These learnings are incorporated into the way environmental water is managed.</w:t>
      </w:r>
      <w:r>
        <w:t xml:space="preserve"> </w:t>
      </w:r>
      <w:r w:rsidRPr="00C05D32">
        <w:t>Key findings from Long Term Intervention Monitoring at the Junction of the Warrego and Darling Rivers</w:t>
      </w:r>
      <w:r>
        <w:rPr>
          <w:rStyle w:val="FootnoteReference"/>
        </w:rPr>
        <w:footnoteReference w:customMarkFollows="1" w:id="23"/>
        <w:t>3</w:t>
      </w:r>
      <w:r>
        <w:t>, The Warrego-Darling Monitoring, Evaluation and Reporting (MER) selected area project</w:t>
      </w:r>
      <w:r>
        <w:rPr>
          <w:rStyle w:val="FootnoteReference"/>
        </w:rPr>
        <w:footnoteReference w:customMarkFollows="1" w:id="24"/>
        <w:t>4</w:t>
      </w:r>
      <w:r>
        <w:t xml:space="preserve"> and relevant other monitoring</w:t>
      </w:r>
      <w:r>
        <w:rPr>
          <w:rStyle w:val="FootnoteReference"/>
        </w:rPr>
        <w:footnoteReference w:customMarkFollows="1" w:id="25"/>
        <w:t>5</w:t>
      </w:r>
      <w:r w:rsidRPr="00FF4CEE">
        <w:t xml:space="preserve"> is summarised </w:t>
      </w:r>
      <w:r w:rsidRPr="005E71E0">
        <w:t xml:space="preserve">in </w:t>
      </w:r>
      <w:r w:rsidRPr="005E71E0">
        <w:fldChar w:fldCharType="begin"/>
      </w:r>
      <w:r w:rsidRPr="005E71E0">
        <w:instrText xml:space="preserve"> REF _Ref43899304 \h  \* MERGEFORMAT </w:instrText>
      </w:r>
      <w:r w:rsidRPr="005E71E0">
        <w:fldChar w:fldCharType="separate"/>
      </w:r>
      <w:r w:rsidR="001B2852" w:rsidRPr="001B2852">
        <w:t xml:space="preserve">Table </w:t>
      </w:r>
      <w:r w:rsidR="001B2852" w:rsidRPr="001B2852">
        <w:rPr>
          <w:noProof/>
        </w:rPr>
        <w:t>15</w:t>
      </w:r>
      <w:r w:rsidRPr="005E71E0">
        <w:fldChar w:fldCharType="end"/>
      </w:r>
      <w:r w:rsidRPr="005E71E0">
        <w:t>.</w:t>
      </w:r>
    </w:p>
    <w:p w14:paraId="1B8E270A" w14:textId="77777777" w:rsidR="00AA0841" w:rsidRDefault="00AA0841" w:rsidP="00AA0841">
      <w:pPr>
        <w:spacing w:after="0"/>
        <w:rPr>
          <w:b/>
        </w:rPr>
      </w:pPr>
      <w:r>
        <w:rPr>
          <w:b/>
        </w:rPr>
        <w:br w:type="page"/>
      </w:r>
    </w:p>
    <w:p w14:paraId="377C739D" w14:textId="2E6840F6" w:rsidR="00AA0841" w:rsidRPr="00D1079D" w:rsidRDefault="00AA0841" w:rsidP="00AA0841">
      <w:bookmarkStart w:id="89" w:name="_Ref43899304"/>
      <w:r w:rsidRPr="005E71E0">
        <w:rPr>
          <w:b/>
        </w:rPr>
        <w:lastRenderedPageBreak/>
        <w:t xml:space="preserve">Table </w:t>
      </w:r>
      <w:r w:rsidRPr="005E71E0">
        <w:rPr>
          <w:b/>
        </w:rPr>
        <w:fldChar w:fldCharType="begin"/>
      </w:r>
      <w:r w:rsidRPr="005E71E0">
        <w:rPr>
          <w:b/>
        </w:rPr>
        <w:instrText xml:space="preserve"> SEQ Table \* ARABIC </w:instrText>
      </w:r>
      <w:r w:rsidRPr="005E71E0">
        <w:rPr>
          <w:b/>
        </w:rPr>
        <w:fldChar w:fldCharType="separate"/>
      </w:r>
      <w:r w:rsidR="001B2852">
        <w:rPr>
          <w:b/>
          <w:noProof/>
        </w:rPr>
        <w:t>15</w:t>
      </w:r>
      <w:r w:rsidRPr="005E71E0">
        <w:rPr>
          <w:b/>
        </w:rPr>
        <w:fldChar w:fldCharType="end"/>
      </w:r>
      <w:bookmarkEnd w:id="89"/>
      <w:r w:rsidRPr="00D1079D">
        <w:t>:</w:t>
      </w:r>
      <w:r>
        <w:t xml:space="preserve"> Key lessons learned in the Warrego and Moonie rivers</w:t>
      </w:r>
    </w:p>
    <w:tbl>
      <w:tblPr>
        <w:tblStyle w:val="TableGrid"/>
        <w:tblW w:w="0" w:type="auto"/>
        <w:tblLook w:val="04A0" w:firstRow="1" w:lastRow="0" w:firstColumn="1" w:lastColumn="0" w:noHBand="0" w:noVBand="1"/>
      </w:tblPr>
      <w:tblGrid>
        <w:gridCol w:w="1683"/>
        <w:gridCol w:w="8116"/>
      </w:tblGrid>
      <w:tr w:rsidR="00AA0841" w:rsidRPr="00D1079D" w14:paraId="28C2DC58" w14:textId="77777777" w:rsidTr="00AA0841">
        <w:trPr>
          <w:cnfStyle w:val="100000000000" w:firstRow="1" w:lastRow="0" w:firstColumn="0" w:lastColumn="0" w:oddVBand="0" w:evenVBand="0" w:oddHBand="0" w:evenHBand="0" w:firstRowFirstColumn="0" w:firstRowLastColumn="0" w:lastRowFirstColumn="0" w:lastRowLastColumn="0"/>
          <w:tblHeader/>
        </w:trPr>
        <w:tc>
          <w:tcPr>
            <w:tcW w:w="1696" w:type="dxa"/>
            <w:shd w:val="clear" w:color="auto" w:fill="B6DDE8" w:themeFill="accent5" w:themeFillTint="66"/>
          </w:tcPr>
          <w:p w14:paraId="3C6C24BA" w14:textId="77777777" w:rsidR="00AA0841" w:rsidRPr="00255265" w:rsidRDefault="00AA0841" w:rsidP="00AA0841">
            <w:pPr>
              <w:rPr>
                <w:b/>
              </w:rPr>
            </w:pPr>
            <w:r w:rsidRPr="00255265">
              <w:rPr>
                <w:b/>
              </w:rPr>
              <w:t>Theme</w:t>
            </w:r>
          </w:p>
        </w:tc>
        <w:tc>
          <w:tcPr>
            <w:tcW w:w="8358" w:type="dxa"/>
            <w:shd w:val="clear" w:color="auto" w:fill="B6DDE8" w:themeFill="accent5" w:themeFillTint="66"/>
          </w:tcPr>
          <w:p w14:paraId="1BC9D37B" w14:textId="77777777" w:rsidR="00AA0841" w:rsidRPr="00255265" w:rsidRDefault="00AA0841" w:rsidP="00AA0841">
            <w:pPr>
              <w:rPr>
                <w:b/>
              </w:rPr>
            </w:pPr>
            <w:r w:rsidRPr="00255265">
              <w:rPr>
                <w:b/>
              </w:rPr>
              <w:t>Lesson learned</w:t>
            </w:r>
          </w:p>
        </w:tc>
      </w:tr>
      <w:tr w:rsidR="00AA0841" w:rsidRPr="00D1079D" w14:paraId="033100D4" w14:textId="77777777" w:rsidTr="00AA0841">
        <w:trPr>
          <w:cnfStyle w:val="000000100000" w:firstRow="0" w:lastRow="0" w:firstColumn="0" w:lastColumn="0" w:oddVBand="0" w:evenVBand="0" w:oddHBand="1" w:evenHBand="0" w:firstRowFirstColumn="0" w:firstRowLastColumn="0" w:lastRowFirstColumn="0" w:lastRowLastColumn="0"/>
        </w:trPr>
        <w:tc>
          <w:tcPr>
            <w:tcW w:w="1696" w:type="dxa"/>
            <w:shd w:val="clear" w:color="auto" w:fill="B6DDE8" w:themeFill="accent5" w:themeFillTint="66"/>
          </w:tcPr>
          <w:p w14:paraId="568BDA75" w14:textId="77777777" w:rsidR="00AA0841" w:rsidRPr="00D1079D" w:rsidRDefault="00AA0841" w:rsidP="00AA0841">
            <w:r w:rsidRPr="00D1079D">
              <w:t>Native fish</w:t>
            </w:r>
          </w:p>
        </w:tc>
        <w:tc>
          <w:tcPr>
            <w:tcW w:w="8358" w:type="dxa"/>
          </w:tcPr>
          <w:p w14:paraId="4E48A713" w14:textId="77777777" w:rsidR="00AA0841" w:rsidRDefault="00AA0841" w:rsidP="00AA0841">
            <w:pPr>
              <w:pStyle w:val="DotStyle1"/>
            </w:pPr>
            <w:r w:rsidRPr="00165941">
              <w:t>Flows in the Warrego</w:t>
            </w:r>
            <w:r>
              <w:t xml:space="preserve">, including environmental water, </w:t>
            </w:r>
            <w:r w:rsidRPr="00165941">
              <w:t>support breeding and recruitment in many fish species. During ‘wetter’ times, multiple species</w:t>
            </w:r>
            <w:r>
              <w:t xml:space="preserve"> have been observed to</w:t>
            </w:r>
            <w:r w:rsidRPr="00165941">
              <w:t xml:space="preserve"> br</w:t>
            </w:r>
            <w:r>
              <w:t>e</w:t>
            </w:r>
            <w:r w:rsidRPr="00165941">
              <w:t>ed, recruit and maintain their population structure</w:t>
            </w:r>
            <w:r>
              <w:t xml:space="preserve">, e.g. </w:t>
            </w:r>
            <w:r w:rsidRPr="00B86E9B">
              <w:t>golden perch, spangled perch, bony herring, Hyrtl’s tandan</w:t>
            </w:r>
            <w:r>
              <w:t xml:space="preserve">. </w:t>
            </w:r>
          </w:p>
          <w:p w14:paraId="543E654F" w14:textId="77777777" w:rsidR="00AA0841" w:rsidRDefault="00AA0841" w:rsidP="00AA0841">
            <w:pPr>
              <w:pStyle w:val="DotStyle1"/>
            </w:pPr>
            <w:r>
              <w:t>Golden perch spawn on river rises in the Warrego, and</w:t>
            </w:r>
            <w:r w:rsidRPr="00050CBB">
              <w:t xml:space="preserve"> recruits from the catchment are likely to be</w:t>
            </w:r>
            <w:r>
              <w:t xml:space="preserve"> </w:t>
            </w:r>
            <w:r w:rsidRPr="00050CBB">
              <w:t>contributing to the wider Darling Basin golden perch population.</w:t>
            </w:r>
          </w:p>
          <w:p w14:paraId="78C166A1" w14:textId="77777777" w:rsidR="00AA0841" w:rsidRDefault="00AA0841" w:rsidP="00AA0841">
            <w:pPr>
              <w:pStyle w:val="DotStyle1"/>
            </w:pPr>
            <w:r>
              <w:t>T</w:t>
            </w:r>
            <w:r w:rsidRPr="00165941">
              <w:t xml:space="preserve">he fish community </w:t>
            </w:r>
            <w:r>
              <w:t>in</w:t>
            </w:r>
            <w:r w:rsidRPr="00165941">
              <w:t xml:space="preserve"> the Warrego River </w:t>
            </w:r>
            <w:r>
              <w:t>are highly resilient and can survive over highly variable flow conditions, including drying down</w:t>
            </w:r>
            <w:r w:rsidRPr="00165941">
              <w:t xml:space="preserve">. Fish communities </w:t>
            </w:r>
            <w:r>
              <w:t xml:space="preserve">were able to </w:t>
            </w:r>
            <w:r w:rsidRPr="00165941">
              <w:t>recoloni</w:t>
            </w:r>
            <w:r>
              <w:t>se and recruit following larger flow events. G</w:t>
            </w:r>
            <w:r w:rsidRPr="00AF7AD7">
              <w:t>olden perch, spangled perch and bony herring</w:t>
            </w:r>
            <w:r>
              <w:t xml:space="preserve"> have demonstrated an ability to move, colonise and opportunistically recruit in the Warrego in response to increased flows.</w:t>
            </w:r>
          </w:p>
          <w:p w14:paraId="2E8B3403" w14:textId="77777777" w:rsidR="00AA0841" w:rsidRDefault="00AA0841" w:rsidP="00AA0841">
            <w:pPr>
              <w:pStyle w:val="DotStyle1"/>
              <w:rPr>
                <w:rFonts w:cstheme="minorHAnsi"/>
              </w:rPr>
            </w:pPr>
            <w:r>
              <w:rPr>
                <w:rFonts w:cstheme="minorHAnsi"/>
              </w:rPr>
              <w:t>Retaining</w:t>
            </w:r>
            <w:r w:rsidRPr="007D71CB">
              <w:rPr>
                <w:rFonts w:cstheme="minorHAnsi"/>
              </w:rPr>
              <w:t xml:space="preserve"> water </w:t>
            </w:r>
            <w:r>
              <w:rPr>
                <w:rFonts w:cstheme="minorHAnsi"/>
              </w:rPr>
              <w:t xml:space="preserve">at all times </w:t>
            </w:r>
            <w:r w:rsidRPr="007D71CB">
              <w:rPr>
                <w:rFonts w:cstheme="minorHAnsi"/>
              </w:rPr>
              <w:t>in at least some of the five</w:t>
            </w:r>
            <w:r>
              <w:rPr>
                <w:rFonts w:cstheme="minorHAnsi"/>
              </w:rPr>
              <w:t xml:space="preserve"> main</w:t>
            </w:r>
            <w:r w:rsidRPr="007D71CB">
              <w:rPr>
                <w:rFonts w:cstheme="minorHAnsi"/>
              </w:rPr>
              <w:t xml:space="preserve"> waterholes </w:t>
            </w:r>
            <w:r>
              <w:rPr>
                <w:rFonts w:cstheme="minorHAnsi"/>
              </w:rPr>
              <w:t xml:space="preserve">on the Warrego River </w:t>
            </w:r>
            <w:r w:rsidRPr="007D71CB">
              <w:rPr>
                <w:rFonts w:cstheme="minorHAnsi"/>
              </w:rPr>
              <w:t xml:space="preserve">will ensure that when </w:t>
            </w:r>
            <w:r>
              <w:rPr>
                <w:rFonts w:cstheme="minorHAnsi"/>
              </w:rPr>
              <w:t xml:space="preserve">the system is reconnected, </w:t>
            </w:r>
            <w:r w:rsidRPr="007D71CB">
              <w:rPr>
                <w:rFonts w:cstheme="minorHAnsi"/>
              </w:rPr>
              <w:t>there are founder populations present that can distribute and recoloni</w:t>
            </w:r>
            <w:r>
              <w:rPr>
                <w:rFonts w:cstheme="minorHAnsi"/>
              </w:rPr>
              <w:t>s</w:t>
            </w:r>
            <w:r w:rsidRPr="007D71CB">
              <w:rPr>
                <w:rFonts w:cstheme="minorHAnsi"/>
              </w:rPr>
              <w:t>e across the lower sections of the Warrego</w:t>
            </w:r>
            <w:r>
              <w:rPr>
                <w:rFonts w:cstheme="minorHAnsi"/>
              </w:rPr>
              <w:t xml:space="preserve">. This will help prepare native fish populations </w:t>
            </w:r>
            <w:r w:rsidRPr="007D71CB">
              <w:rPr>
                <w:rFonts w:cstheme="minorHAnsi"/>
              </w:rPr>
              <w:t>for the next drying phase.</w:t>
            </w:r>
          </w:p>
          <w:p w14:paraId="2D5724F1" w14:textId="77777777" w:rsidR="00AA0841" w:rsidRPr="0091710D" w:rsidRDefault="00AA0841" w:rsidP="00AA0841">
            <w:pPr>
              <w:pStyle w:val="DotStyle1"/>
            </w:pPr>
            <w:r>
              <w:t xml:space="preserve">The Moonie has relatively long and deep waterholes that have been shown to be critical refugia for sustaining native fish populations in the often-long periods between flows in the system. Species including golden perch, bony bream, eel tailed catfish and smelt moved significant distances (up to 70 kilometres) in response to waterhole reconnecting flows, enabling recolonisation of the system and genetic mixing. </w:t>
            </w:r>
          </w:p>
        </w:tc>
      </w:tr>
      <w:tr w:rsidR="00AA0841" w:rsidRPr="00D1079D" w14:paraId="486D3218" w14:textId="77777777" w:rsidTr="00AA0841">
        <w:trPr>
          <w:cnfStyle w:val="000000010000" w:firstRow="0" w:lastRow="0" w:firstColumn="0" w:lastColumn="0" w:oddVBand="0" w:evenVBand="0" w:oddHBand="0" w:evenHBand="1" w:firstRowFirstColumn="0" w:firstRowLastColumn="0" w:lastRowFirstColumn="0" w:lastRowLastColumn="0"/>
        </w:trPr>
        <w:tc>
          <w:tcPr>
            <w:tcW w:w="1696" w:type="dxa"/>
            <w:shd w:val="clear" w:color="auto" w:fill="B6DDE8" w:themeFill="accent5" w:themeFillTint="66"/>
          </w:tcPr>
          <w:p w14:paraId="09F97F3D" w14:textId="77777777" w:rsidR="00AA0841" w:rsidRPr="00D1079D" w:rsidRDefault="00AA0841" w:rsidP="00AA0841">
            <w:r w:rsidRPr="00D1079D">
              <w:t>Frogs</w:t>
            </w:r>
          </w:p>
        </w:tc>
        <w:tc>
          <w:tcPr>
            <w:tcW w:w="8358" w:type="dxa"/>
          </w:tcPr>
          <w:p w14:paraId="4392FFCF" w14:textId="77777777" w:rsidR="00AA0841" w:rsidRPr="00B00F4A" w:rsidRDefault="00AA0841" w:rsidP="00AA0841">
            <w:pPr>
              <w:pStyle w:val="DotStyle1"/>
              <w:rPr>
                <w:rFonts w:cstheme="minorHAnsi"/>
              </w:rPr>
            </w:pPr>
            <w:r w:rsidRPr="00B00F4A">
              <w:rPr>
                <w:rFonts w:cstheme="minorHAnsi"/>
              </w:rPr>
              <w:t xml:space="preserve">Inundation of the </w:t>
            </w:r>
            <w:r>
              <w:rPr>
                <w:rFonts w:cstheme="minorHAnsi"/>
              </w:rPr>
              <w:t>Western Floodplain, including with environmental water,</w:t>
            </w:r>
            <w:r w:rsidRPr="00B00F4A">
              <w:rPr>
                <w:rFonts w:cstheme="minorHAnsi"/>
              </w:rPr>
              <w:t xml:space="preserve"> supports increase</w:t>
            </w:r>
            <w:r>
              <w:rPr>
                <w:rFonts w:cstheme="minorHAnsi"/>
              </w:rPr>
              <w:t>d</w:t>
            </w:r>
            <w:r w:rsidRPr="00B00F4A">
              <w:rPr>
                <w:rFonts w:cstheme="minorHAnsi"/>
              </w:rPr>
              <w:t xml:space="preserve"> frog abundance and richness</w:t>
            </w:r>
            <w:r>
              <w:rPr>
                <w:rFonts w:cstheme="minorHAnsi"/>
              </w:rPr>
              <w:t xml:space="preserve">. This is because greater areas of highly productive habitat is created, which is capable of </w:t>
            </w:r>
            <w:r w:rsidRPr="00B00F4A">
              <w:rPr>
                <w:rFonts w:cstheme="minorHAnsi"/>
              </w:rPr>
              <w:t xml:space="preserve">supporting breeding and larger frog populations. </w:t>
            </w:r>
          </w:p>
          <w:p w14:paraId="796C7EF4" w14:textId="77777777" w:rsidR="00AA0841" w:rsidRDefault="00AA0841" w:rsidP="00AA0841">
            <w:pPr>
              <w:pStyle w:val="DotStyle1"/>
              <w:rPr>
                <w:rFonts w:cstheme="minorHAnsi"/>
              </w:rPr>
            </w:pPr>
            <w:r w:rsidRPr="00B00F4A">
              <w:rPr>
                <w:rFonts w:cstheme="minorHAnsi"/>
              </w:rPr>
              <w:t>The more permanent sites in the Warrego Rive</w:t>
            </w:r>
            <w:r>
              <w:rPr>
                <w:rFonts w:cstheme="minorHAnsi"/>
              </w:rPr>
              <w:t>r</w:t>
            </w:r>
            <w:r w:rsidRPr="00B00F4A">
              <w:rPr>
                <w:rFonts w:cstheme="minorHAnsi"/>
              </w:rPr>
              <w:t xml:space="preserve"> provide more stable habitat for local frog populations.</w:t>
            </w:r>
          </w:p>
          <w:p w14:paraId="524F5498" w14:textId="77777777" w:rsidR="00AA0841" w:rsidRPr="00B83D86" w:rsidRDefault="00AA0841" w:rsidP="00AA0841">
            <w:pPr>
              <w:pStyle w:val="DotStyle1"/>
              <w:rPr>
                <w:rFonts w:cstheme="minorHAnsi"/>
              </w:rPr>
            </w:pPr>
            <w:r>
              <w:rPr>
                <w:rFonts w:cstheme="minorHAnsi"/>
              </w:rPr>
              <w:t xml:space="preserve">Frog monitoring under the MER project in late 2019 and early 2020 found relatively low numbers and diversity of frog species (likely because of dry conditions). Species detected included plains froglet, Peron’s tree frog, desert tree frog, barking marsh frog, painted marsh frog, plains froglet and green tree frog. Frog species are expected to recover following further rainfall in the Warrego catchment. </w:t>
            </w:r>
          </w:p>
        </w:tc>
      </w:tr>
      <w:tr w:rsidR="00AA0841" w:rsidRPr="00D1079D" w14:paraId="3E0AFB26" w14:textId="77777777" w:rsidTr="00AA0841">
        <w:trPr>
          <w:cnfStyle w:val="000000100000" w:firstRow="0" w:lastRow="0" w:firstColumn="0" w:lastColumn="0" w:oddVBand="0" w:evenVBand="0" w:oddHBand="1" w:evenHBand="0" w:firstRowFirstColumn="0" w:firstRowLastColumn="0" w:lastRowFirstColumn="0" w:lastRowLastColumn="0"/>
        </w:trPr>
        <w:tc>
          <w:tcPr>
            <w:tcW w:w="1696" w:type="dxa"/>
            <w:shd w:val="clear" w:color="auto" w:fill="B6DDE8" w:themeFill="accent5" w:themeFillTint="66"/>
          </w:tcPr>
          <w:p w14:paraId="2027AB9F" w14:textId="77777777" w:rsidR="00AA0841" w:rsidRPr="00D1079D" w:rsidRDefault="00AA0841" w:rsidP="00AA0841">
            <w:r w:rsidRPr="00D1079D">
              <w:t>Waterbirds</w:t>
            </w:r>
          </w:p>
        </w:tc>
        <w:tc>
          <w:tcPr>
            <w:tcW w:w="8358" w:type="dxa"/>
          </w:tcPr>
          <w:p w14:paraId="2CEFB1A1" w14:textId="77777777" w:rsidR="00AA0841" w:rsidRPr="001A44CA" w:rsidRDefault="00AA0841" w:rsidP="00AA0841">
            <w:pPr>
              <w:pStyle w:val="DotStyle1"/>
              <w:rPr>
                <w:rFonts w:cstheme="minorHAnsi"/>
              </w:rPr>
            </w:pPr>
            <w:r w:rsidRPr="001A44CA">
              <w:rPr>
                <w:rFonts w:cstheme="minorHAnsi"/>
              </w:rPr>
              <w:t>When inundated, the Western Floodplain supports diverse and abundant waterbird populations and can support waterbird breeding.</w:t>
            </w:r>
          </w:p>
          <w:p w14:paraId="027E302E" w14:textId="77777777" w:rsidR="00AA0841" w:rsidRPr="001A44CA" w:rsidRDefault="00AA0841" w:rsidP="00AA0841">
            <w:pPr>
              <w:pStyle w:val="DotStyle1"/>
              <w:rPr>
                <w:rFonts w:cstheme="minorHAnsi"/>
              </w:rPr>
            </w:pPr>
            <w:r w:rsidRPr="001A44CA">
              <w:rPr>
                <w:rFonts w:cstheme="minorHAnsi"/>
              </w:rPr>
              <w:t xml:space="preserve">The Warrego River waterholes appear to provide longer-term refugia that support more stable populations of waterbirds. Boera Dam consistently had the greatest richness and diversity of waterbirds. </w:t>
            </w:r>
          </w:p>
        </w:tc>
      </w:tr>
      <w:tr w:rsidR="00AA0841" w:rsidRPr="00D1079D" w14:paraId="67387DF8" w14:textId="77777777" w:rsidTr="00AA0841">
        <w:trPr>
          <w:cnfStyle w:val="000000010000" w:firstRow="0" w:lastRow="0" w:firstColumn="0" w:lastColumn="0" w:oddVBand="0" w:evenVBand="0" w:oddHBand="0" w:evenHBand="1" w:firstRowFirstColumn="0" w:firstRowLastColumn="0" w:lastRowFirstColumn="0" w:lastRowLastColumn="0"/>
        </w:trPr>
        <w:tc>
          <w:tcPr>
            <w:tcW w:w="1696" w:type="dxa"/>
            <w:shd w:val="clear" w:color="auto" w:fill="B6DDE8" w:themeFill="accent5" w:themeFillTint="66"/>
          </w:tcPr>
          <w:p w14:paraId="4651C19D" w14:textId="77777777" w:rsidR="00AA0841" w:rsidRPr="00D1079D" w:rsidRDefault="00AA0841" w:rsidP="00AA0841">
            <w:r w:rsidRPr="00D1079D">
              <w:t>Connectivity</w:t>
            </w:r>
          </w:p>
        </w:tc>
        <w:tc>
          <w:tcPr>
            <w:tcW w:w="8358" w:type="dxa"/>
          </w:tcPr>
          <w:p w14:paraId="497D8897" w14:textId="77777777" w:rsidR="00AA0841" w:rsidRDefault="00AA0841" w:rsidP="00AA0841">
            <w:pPr>
              <w:pStyle w:val="DotStyle1"/>
              <w:rPr>
                <w:rFonts w:cstheme="minorHAnsi"/>
              </w:rPr>
            </w:pPr>
            <w:r>
              <w:rPr>
                <w:rFonts w:cstheme="minorHAnsi"/>
              </w:rPr>
              <w:t xml:space="preserve">Environmental water has been observed to successfully increase longitudinal connectivity between the Warrego and Darling rivers, and laterally, with parts of the Western Floodplain. By increasing connectivity, water for the environment improves water quality, increases available habitat and productivity, and supports native fish movement between rivers. The resulting productivity booms can also generate an increase in the abundance and diversity of invertebrates, frogs and waterbirds on the floodplain.  </w:t>
            </w:r>
          </w:p>
          <w:p w14:paraId="6FEDD98D" w14:textId="77777777" w:rsidR="00AA0841" w:rsidRPr="003B4F82" w:rsidRDefault="00AA0841" w:rsidP="00AA0841">
            <w:pPr>
              <w:pStyle w:val="DotStyle1"/>
              <w:rPr>
                <w:rFonts w:cstheme="minorHAnsi"/>
              </w:rPr>
            </w:pPr>
            <w:r w:rsidRPr="003B4F82">
              <w:rPr>
                <w:rFonts w:cstheme="minorHAnsi"/>
              </w:rPr>
              <w:lastRenderedPageBreak/>
              <w:t>Environmental water</w:t>
            </w:r>
            <w:r>
              <w:rPr>
                <w:rFonts w:cstheme="minorHAnsi"/>
              </w:rPr>
              <w:t xml:space="preserve"> can successfully</w:t>
            </w:r>
            <w:r w:rsidRPr="003B4F82">
              <w:rPr>
                <w:rFonts w:cstheme="minorHAnsi"/>
              </w:rPr>
              <w:t xml:space="preserve"> increase the </w:t>
            </w:r>
            <w:r>
              <w:rPr>
                <w:rFonts w:cstheme="minorHAnsi"/>
              </w:rPr>
              <w:t>size</w:t>
            </w:r>
            <w:r w:rsidRPr="003B4F82">
              <w:rPr>
                <w:rFonts w:cstheme="minorHAnsi"/>
              </w:rPr>
              <w:t xml:space="preserve"> of flows through the Warrego</w:t>
            </w:r>
            <w:r>
              <w:rPr>
                <w:rFonts w:cstheme="minorHAnsi"/>
              </w:rPr>
              <w:t xml:space="preserve"> system, increasing </w:t>
            </w:r>
            <w:r w:rsidRPr="003B4F82">
              <w:rPr>
                <w:rFonts w:cstheme="minorHAnsi"/>
              </w:rPr>
              <w:t>connectivity between the Warrego and Darling rivers</w:t>
            </w:r>
            <w:r>
              <w:rPr>
                <w:rFonts w:cstheme="minorHAnsi"/>
              </w:rPr>
              <w:t>. This</w:t>
            </w:r>
            <w:r w:rsidRPr="003B4F82">
              <w:rPr>
                <w:rFonts w:cstheme="minorHAnsi"/>
              </w:rPr>
              <w:t xml:space="preserve"> is important for </w:t>
            </w:r>
            <w:r>
              <w:rPr>
                <w:rFonts w:cstheme="minorHAnsi"/>
              </w:rPr>
              <w:t xml:space="preserve">improving water quality, increasing productivity and </w:t>
            </w:r>
            <w:r w:rsidRPr="003B4F82">
              <w:rPr>
                <w:rFonts w:cstheme="minorHAnsi"/>
              </w:rPr>
              <w:t>allowing the movement of native fish between rivers for spawning, dispersal and recruitment.</w:t>
            </w:r>
            <w:r>
              <w:rPr>
                <w:rFonts w:cstheme="minorHAnsi"/>
              </w:rPr>
              <w:t xml:space="preserve"> </w:t>
            </w:r>
          </w:p>
          <w:p w14:paraId="12BFE81E" w14:textId="77777777" w:rsidR="00AA0841" w:rsidRPr="003B4F82" w:rsidRDefault="00AA0841" w:rsidP="00AA0841">
            <w:pPr>
              <w:pStyle w:val="DotStyle1"/>
              <w:rPr>
                <w:rFonts w:cstheme="minorHAnsi"/>
              </w:rPr>
            </w:pPr>
            <w:r>
              <w:rPr>
                <w:rFonts w:cstheme="minorHAnsi"/>
              </w:rPr>
              <w:t>Environmental water can also increase connectivity and i</w:t>
            </w:r>
            <w:r w:rsidRPr="003B4F82">
              <w:rPr>
                <w:rFonts w:cstheme="minorHAnsi"/>
              </w:rPr>
              <w:t>nundation of</w:t>
            </w:r>
            <w:r>
              <w:rPr>
                <w:rFonts w:cstheme="minorHAnsi"/>
              </w:rPr>
              <w:t xml:space="preserve"> parts of the</w:t>
            </w:r>
            <w:r w:rsidRPr="003B4F82">
              <w:rPr>
                <w:rFonts w:cstheme="minorHAnsi"/>
              </w:rPr>
              <w:t xml:space="preserve"> </w:t>
            </w:r>
            <w:r>
              <w:rPr>
                <w:rFonts w:cstheme="minorHAnsi"/>
              </w:rPr>
              <w:t>Western Floodplain.  The resulting</w:t>
            </w:r>
            <w:r w:rsidRPr="003B4F82">
              <w:rPr>
                <w:rFonts w:cstheme="minorHAnsi"/>
              </w:rPr>
              <w:t xml:space="preserve"> boom</w:t>
            </w:r>
            <w:r>
              <w:rPr>
                <w:rFonts w:cstheme="minorHAnsi"/>
              </w:rPr>
              <w:t>s</w:t>
            </w:r>
            <w:r w:rsidRPr="003B4F82">
              <w:rPr>
                <w:rFonts w:cstheme="minorHAnsi"/>
              </w:rPr>
              <w:t xml:space="preserve"> in productivity</w:t>
            </w:r>
            <w:r>
              <w:rPr>
                <w:rFonts w:cstheme="minorHAnsi"/>
              </w:rPr>
              <w:t xml:space="preserve"> have supported</w:t>
            </w:r>
            <w:r w:rsidRPr="003B4F82">
              <w:rPr>
                <w:rFonts w:cstheme="minorHAnsi"/>
              </w:rPr>
              <w:t xml:space="preserve"> the highest abundance and diversity of invertebrates, frogs and waterbirds </w:t>
            </w:r>
            <w:r>
              <w:rPr>
                <w:rFonts w:cstheme="minorHAnsi"/>
              </w:rPr>
              <w:t>compared to the Warrego and Darling sites</w:t>
            </w:r>
            <w:r w:rsidRPr="003B4F82">
              <w:rPr>
                <w:rFonts w:cstheme="minorHAnsi"/>
              </w:rPr>
              <w:t>.</w:t>
            </w:r>
          </w:p>
        </w:tc>
      </w:tr>
      <w:tr w:rsidR="00AA0841" w:rsidRPr="00D1079D" w14:paraId="7551A948" w14:textId="77777777" w:rsidTr="00AA0841">
        <w:trPr>
          <w:cnfStyle w:val="000000100000" w:firstRow="0" w:lastRow="0" w:firstColumn="0" w:lastColumn="0" w:oddVBand="0" w:evenVBand="0" w:oddHBand="1" w:evenHBand="0" w:firstRowFirstColumn="0" w:firstRowLastColumn="0" w:lastRowFirstColumn="0" w:lastRowLastColumn="0"/>
        </w:trPr>
        <w:tc>
          <w:tcPr>
            <w:tcW w:w="1696" w:type="dxa"/>
            <w:shd w:val="clear" w:color="auto" w:fill="B6DDE8" w:themeFill="accent5" w:themeFillTint="66"/>
          </w:tcPr>
          <w:p w14:paraId="7D458056" w14:textId="77777777" w:rsidR="00AA0841" w:rsidRPr="002A1307" w:rsidRDefault="00AA0841" w:rsidP="00AA0841">
            <w:pPr>
              <w:rPr>
                <w:rFonts w:cstheme="minorHAnsi"/>
              </w:rPr>
            </w:pPr>
            <w:r w:rsidRPr="002A1307">
              <w:rPr>
                <w:rFonts w:cstheme="minorHAnsi"/>
              </w:rPr>
              <w:lastRenderedPageBreak/>
              <w:t>Water Quality</w:t>
            </w:r>
          </w:p>
        </w:tc>
        <w:tc>
          <w:tcPr>
            <w:tcW w:w="8358" w:type="dxa"/>
          </w:tcPr>
          <w:p w14:paraId="6E595D00" w14:textId="77777777" w:rsidR="00AA0841" w:rsidRPr="002A1307" w:rsidRDefault="00AA0841" w:rsidP="00AA0841">
            <w:pPr>
              <w:pStyle w:val="DotStyle1"/>
              <w:rPr>
                <w:rFonts w:cstheme="minorHAnsi"/>
              </w:rPr>
            </w:pPr>
            <w:r>
              <w:rPr>
                <w:rFonts w:cstheme="minorHAnsi"/>
              </w:rPr>
              <w:t>Water for the environment delivered through the Warrego</w:t>
            </w:r>
            <w:r w:rsidRPr="002A1307">
              <w:rPr>
                <w:rFonts w:cstheme="minorHAnsi"/>
              </w:rPr>
              <w:t xml:space="preserve"> consistently </w:t>
            </w:r>
            <w:r>
              <w:rPr>
                <w:rFonts w:cstheme="minorHAnsi"/>
              </w:rPr>
              <w:t xml:space="preserve">helps </w:t>
            </w:r>
            <w:r w:rsidRPr="002A1307">
              <w:rPr>
                <w:rFonts w:cstheme="minorHAnsi"/>
              </w:rPr>
              <w:t>improve the quality of Darling River water downstream of the confluence</w:t>
            </w:r>
            <w:r>
              <w:rPr>
                <w:rFonts w:cstheme="minorHAnsi"/>
              </w:rPr>
              <w:t>. Observed improvements include</w:t>
            </w:r>
            <w:r w:rsidRPr="002A1307">
              <w:rPr>
                <w:rFonts w:cstheme="minorHAnsi"/>
              </w:rPr>
              <w:t>, reduc</w:t>
            </w:r>
            <w:r>
              <w:rPr>
                <w:rFonts w:cstheme="minorHAnsi"/>
              </w:rPr>
              <w:t>ed</w:t>
            </w:r>
            <w:r w:rsidRPr="002A1307">
              <w:rPr>
                <w:rFonts w:cstheme="minorHAnsi"/>
              </w:rPr>
              <w:t xml:space="preserve"> pH, conductivity</w:t>
            </w:r>
            <w:r>
              <w:rPr>
                <w:rFonts w:cstheme="minorHAnsi"/>
              </w:rPr>
              <w:t>,</w:t>
            </w:r>
            <w:r w:rsidRPr="002A1307">
              <w:rPr>
                <w:rFonts w:cstheme="minorHAnsi"/>
              </w:rPr>
              <w:t xml:space="preserve"> turbidity</w:t>
            </w:r>
            <w:r>
              <w:rPr>
                <w:rFonts w:cstheme="minorHAnsi"/>
              </w:rPr>
              <w:t xml:space="preserve"> and algal productivity, and increased nutrient cycling and habitat</w:t>
            </w:r>
            <w:r w:rsidRPr="002A1307">
              <w:rPr>
                <w:rFonts w:cstheme="minorHAnsi"/>
              </w:rPr>
              <w:t xml:space="preserve"> when compared with periods without environmental water.</w:t>
            </w:r>
          </w:p>
        </w:tc>
      </w:tr>
      <w:tr w:rsidR="00AA0841" w:rsidRPr="00D1079D" w14:paraId="0ACD46CE" w14:textId="77777777" w:rsidTr="00AA0841">
        <w:trPr>
          <w:cnfStyle w:val="000000010000" w:firstRow="0" w:lastRow="0" w:firstColumn="0" w:lastColumn="0" w:oddVBand="0" w:evenVBand="0" w:oddHBand="0" w:evenHBand="1" w:firstRowFirstColumn="0" w:firstRowLastColumn="0" w:lastRowFirstColumn="0" w:lastRowLastColumn="0"/>
        </w:trPr>
        <w:tc>
          <w:tcPr>
            <w:tcW w:w="1696" w:type="dxa"/>
            <w:shd w:val="clear" w:color="auto" w:fill="B6DDE8" w:themeFill="accent5" w:themeFillTint="66"/>
          </w:tcPr>
          <w:p w14:paraId="58D818BB" w14:textId="77777777" w:rsidR="00AA0841" w:rsidRDefault="00AA0841" w:rsidP="00AA0841">
            <w:r>
              <w:t>Productivity/ food webs</w:t>
            </w:r>
          </w:p>
        </w:tc>
        <w:tc>
          <w:tcPr>
            <w:tcW w:w="8358" w:type="dxa"/>
          </w:tcPr>
          <w:p w14:paraId="75399539" w14:textId="77777777" w:rsidR="00AA0841" w:rsidRDefault="00AA0841" w:rsidP="00AA0841">
            <w:pPr>
              <w:pStyle w:val="DotStyle1"/>
              <w:rPr>
                <w:rFonts w:cstheme="minorHAnsi"/>
              </w:rPr>
            </w:pPr>
            <w:r>
              <w:rPr>
                <w:rFonts w:cstheme="minorHAnsi"/>
              </w:rPr>
              <w:t>Environmental water that contributes to connection for a l</w:t>
            </w:r>
            <w:r w:rsidRPr="00AD65F7">
              <w:rPr>
                <w:rFonts w:cstheme="minorHAnsi"/>
              </w:rPr>
              <w:t>ong duration (&gt;6 months) stimulate</w:t>
            </w:r>
            <w:r>
              <w:rPr>
                <w:rFonts w:cstheme="minorHAnsi"/>
              </w:rPr>
              <w:t>s a</w:t>
            </w:r>
            <w:r w:rsidRPr="00AD65F7">
              <w:rPr>
                <w:rFonts w:cstheme="minorHAnsi"/>
              </w:rPr>
              <w:t xml:space="preserve"> boom in productivity, which provide</w:t>
            </w:r>
            <w:r>
              <w:rPr>
                <w:rFonts w:cstheme="minorHAnsi"/>
              </w:rPr>
              <w:t>s</w:t>
            </w:r>
            <w:r w:rsidRPr="00AD65F7">
              <w:rPr>
                <w:rFonts w:cstheme="minorHAnsi"/>
              </w:rPr>
              <w:t xml:space="preserve"> food for higher order predators such as waterbirds.</w:t>
            </w:r>
          </w:p>
          <w:p w14:paraId="3D1E9D00" w14:textId="77777777" w:rsidR="00AA0841" w:rsidRDefault="00AA0841" w:rsidP="00AA0841">
            <w:pPr>
              <w:pStyle w:val="DotStyle1"/>
              <w:rPr>
                <w:rFonts w:cstheme="minorHAnsi"/>
              </w:rPr>
            </w:pPr>
            <w:r>
              <w:rPr>
                <w:rFonts w:cstheme="minorHAnsi"/>
              </w:rPr>
              <w:t>The Western Floodplain is important for highly dense and species rich i</w:t>
            </w:r>
            <w:r w:rsidRPr="004A1F59">
              <w:rPr>
                <w:rFonts w:cstheme="minorHAnsi"/>
              </w:rPr>
              <w:t>nvertebrate communities</w:t>
            </w:r>
            <w:r>
              <w:rPr>
                <w:rFonts w:cstheme="minorHAnsi"/>
              </w:rPr>
              <w:t>.</w:t>
            </w:r>
            <w:r w:rsidRPr="004A1F59">
              <w:rPr>
                <w:rFonts w:cstheme="minorHAnsi"/>
              </w:rPr>
              <w:t xml:space="preserve">  More diverse macroinvertebrate communities </w:t>
            </w:r>
            <w:r>
              <w:rPr>
                <w:rFonts w:cstheme="minorHAnsi"/>
              </w:rPr>
              <w:t xml:space="preserve">may </w:t>
            </w:r>
            <w:r w:rsidRPr="004A1F59">
              <w:rPr>
                <w:rFonts w:cstheme="minorHAnsi"/>
              </w:rPr>
              <w:t>offer a wider range of feeding opportunities for higher level consumers such as frogs, fish, waterbirds and other aquatic vertebrates.</w:t>
            </w:r>
          </w:p>
          <w:p w14:paraId="5A79D50D" w14:textId="77777777" w:rsidR="00AA0841" w:rsidRPr="00956672" w:rsidRDefault="00AA0841" w:rsidP="00AA0841">
            <w:pPr>
              <w:pStyle w:val="DotStyle1"/>
              <w:rPr>
                <w:rFonts w:cstheme="minorHAnsi"/>
              </w:rPr>
            </w:pPr>
            <w:r>
              <w:rPr>
                <w:rFonts w:cstheme="minorHAnsi"/>
              </w:rPr>
              <w:t xml:space="preserve">The Warrego and Western Floodplain are productive systems, species such as shrimps and tadpoles responded quickly to inundation. Species such as </w:t>
            </w:r>
            <w:r w:rsidRPr="00956672">
              <w:rPr>
                <w:rFonts w:cstheme="minorHAnsi"/>
              </w:rPr>
              <w:t>fairy and shield shrimps are known to rely on an egg</w:t>
            </w:r>
            <w:r>
              <w:rPr>
                <w:rFonts w:cstheme="minorHAnsi"/>
              </w:rPr>
              <w:t xml:space="preserve"> </w:t>
            </w:r>
            <w:r w:rsidRPr="00956672">
              <w:rPr>
                <w:rFonts w:cstheme="minorHAnsi"/>
              </w:rPr>
              <w:t>bank that is desiccation resistant</w:t>
            </w:r>
            <w:r>
              <w:rPr>
                <w:rFonts w:cstheme="minorHAnsi"/>
              </w:rPr>
              <w:t>, which may help survival and responsiveness.</w:t>
            </w:r>
          </w:p>
          <w:p w14:paraId="0EEF3B94" w14:textId="77777777" w:rsidR="00AA0841" w:rsidRPr="00956672" w:rsidRDefault="00AA0841" w:rsidP="00AA0841">
            <w:pPr>
              <w:pStyle w:val="DotStyle1"/>
              <w:rPr>
                <w:rFonts w:cstheme="minorHAnsi"/>
              </w:rPr>
            </w:pPr>
            <w:r>
              <w:rPr>
                <w:rFonts w:cstheme="minorHAnsi"/>
              </w:rPr>
              <w:t>Using environmental water to i</w:t>
            </w:r>
            <w:r w:rsidRPr="00D45031">
              <w:rPr>
                <w:rFonts w:cstheme="minorHAnsi"/>
              </w:rPr>
              <w:t>nundat</w:t>
            </w:r>
            <w:r>
              <w:rPr>
                <w:rFonts w:cstheme="minorHAnsi"/>
              </w:rPr>
              <w:t>e</w:t>
            </w:r>
            <w:r w:rsidRPr="00D45031">
              <w:rPr>
                <w:rFonts w:cstheme="minorHAnsi"/>
              </w:rPr>
              <w:t xml:space="preserve"> channel and floodplain habitats during warmer periods </w:t>
            </w:r>
            <w:r>
              <w:rPr>
                <w:rFonts w:cstheme="minorHAnsi"/>
              </w:rPr>
              <w:t>can</w:t>
            </w:r>
            <w:r w:rsidRPr="00D45031">
              <w:rPr>
                <w:rFonts w:cstheme="minorHAnsi"/>
              </w:rPr>
              <w:t xml:space="preserve"> </w:t>
            </w:r>
            <w:r>
              <w:rPr>
                <w:rFonts w:cstheme="minorHAnsi"/>
              </w:rPr>
              <w:t xml:space="preserve">maximise the </w:t>
            </w:r>
            <w:r w:rsidRPr="00D45031">
              <w:rPr>
                <w:rFonts w:cstheme="minorHAnsi"/>
              </w:rPr>
              <w:t xml:space="preserve">diversity and density of invertebrates and frogs by </w:t>
            </w:r>
            <w:r>
              <w:rPr>
                <w:rFonts w:cstheme="minorHAnsi"/>
              </w:rPr>
              <w:t>increasing the range of food and habitat available. Inundating</w:t>
            </w:r>
            <w:r w:rsidRPr="00D45031">
              <w:rPr>
                <w:rFonts w:cstheme="minorHAnsi"/>
              </w:rPr>
              <w:t xml:space="preserve"> in-channel habitat features such as snags, benches and anabranches promote</w:t>
            </w:r>
            <w:r>
              <w:rPr>
                <w:rFonts w:cstheme="minorHAnsi"/>
              </w:rPr>
              <w:t>s</w:t>
            </w:r>
            <w:r w:rsidRPr="00D45031">
              <w:rPr>
                <w:rFonts w:cstheme="minorHAnsi"/>
              </w:rPr>
              <w:t xml:space="preserve"> the transfer of nutrients and organic material</w:t>
            </w:r>
            <w:r>
              <w:rPr>
                <w:rFonts w:cstheme="minorHAnsi"/>
              </w:rPr>
              <w:t>,</w:t>
            </w:r>
            <w:r w:rsidRPr="00D45031">
              <w:rPr>
                <w:rFonts w:cstheme="minorHAnsi"/>
              </w:rPr>
              <w:t xml:space="preserve"> which drives the food webs of the river.</w:t>
            </w:r>
          </w:p>
        </w:tc>
      </w:tr>
      <w:tr w:rsidR="00AA0841" w:rsidRPr="00D1079D" w14:paraId="4C53BF5C" w14:textId="77777777" w:rsidTr="00AA0841">
        <w:trPr>
          <w:cnfStyle w:val="000000100000" w:firstRow="0" w:lastRow="0" w:firstColumn="0" w:lastColumn="0" w:oddVBand="0" w:evenVBand="0" w:oddHBand="1" w:evenHBand="0" w:firstRowFirstColumn="0" w:firstRowLastColumn="0" w:lastRowFirstColumn="0" w:lastRowLastColumn="0"/>
        </w:trPr>
        <w:tc>
          <w:tcPr>
            <w:tcW w:w="1696" w:type="dxa"/>
            <w:shd w:val="clear" w:color="auto" w:fill="B6DDE8" w:themeFill="accent5" w:themeFillTint="66"/>
          </w:tcPr>
          <w:p w14:paraId="0021FC7F" w14:textId="77777777" w:rsidR="00AA0841" w:rsidRDefault="00AA0841" w:rsidP="00AA0841">
            <w:r>
              <w:t>Vegetation</w:t>
            </w:r>
          </w:p>
        </w:tc>
        <w:tc>
          <w:tcPr>
            <w:tcW w:w="8358" w:type="dxa"/>
          </w:tcPr>
          <w:p w14:paraId="32E03555" w14:textId="77777777" w:rsidR="00AA0841" w:rsidRDefault="00AA0841" w:rsidP="00AA0841">
            <w:pPr>
              <w:pStyle w:val="DotStyle1"/>
              <w:rPr>
                <w:rFonts w:cstheme="minorHAnsi"/>
              </w:rPr>
            </w:pPr>
            <w:r w:rsidRPr="008470B1">
              <w:rPr>
                <w:rFonts w:cstheme="minorHAnsi"/>
              </w:rPr>
              <w:t xml:space="preserve">The condition of vegetation communities on the </w:t>
            </w:r>
            <w:r>
              <w:rPr>
                <w:rFonts w:cstheme="minorHAnsi"/>
              </w:rPr>
              <w:t>Western Floodplain</w:t>
            </w:r>
            <w:r w:rsidRPr="008470B1">
              <w:rPr>
                <w:rFonts w:cstheme="minorHAnsi"/>
              </w:rPr>
              <w:t xml:space="preserve"> is driven by inundation, which has been enhanced by Commonwealth environmental water. Flooding of the </w:t>
            </w:r>
            <w:r>
              <w:rPr>
                <w:rFonts w:cstheme="minorHAnsi"/>
              </w:rPr>
              <w:t>Western Floodplain</w:t>
            </w:r>
            <w:r w:rsidRPr="008470B1">
              <w:rPr>
                <w:rFonts w:cstheme="minorHAnsi"/>
              </w:rPr>
              <w:t xml:space="preserve"> increased the cover and richness of vegetation communities, including annual herbaceous ground cover species. </w:t>
            </w:r>
          </w:p>
          <w:p w14:paraId="5E6AC343" w14:textId="77777777" w:rsidR="00AA0841" w:rsidRPr="00E900D7" w:rsidRDefault="00AA0841" w:rsidP="00AA0841">
            <w:pPr>
              <w:pStyle w:val="DotStyle1"/>
              <w:rPr>
                <w:rFonts w:cstheme="minorHAnsi"/>
              </w:rPr>
            </w:pPr>
            <w:r>
              <w:rPr>
                <w:rFonts w:cstheme="minorHAnsi"/>
              </w:rPr>
              <w:t xml:space="preserve">Lignum condition improved when inundated more frequently. </w:t>
            </w:r>
            <w:r w:rsidRPr="00E900D7">
              <w:rPr>
                <w:rFonts w:cstheme="minorHAnsi"/>
              </w:rPr>
              <w:t xml:space="preserve">Extended dry periods </w:t>
            </w:r>
            <w:r>
              <w:rPr>
                <w:rFonts w:cstheme="minorHAnsi"/>
              </w:rPr>
              <w:t xml:space="preserve">(greater than 2.5 years) on the floodplain </w:t>
            </w:r>
            <w:r w:rsidRPr="00E900D7">
              <w:rPr>
                <w:rFonts w:cstheme="minorHAnsi"/>
              </w:rPr>
              <w:t>result</w:t>
            </w:r>
            <w:r>
              <w:rPr>
                <w:rFonts w:cstheme="minorHAnsi"/>
              </w:rPr>
              <w:t>ed</w:t>
            </w:r>
            <w:r w:rsidRPr="00E900D7">
              <w:rPr>
                <w:rFonts w:cstheme="minorHAnsi"/>
              </w:rPr>
              <w:t xml:space="preserve"> in declines in vegetation cover and condition. However, </w:t>
            </w:r>
            <w:r>
              <w:rPr>
                <w:rFonts w:cstheme="minorHAnsi"/>
              </w:rPr>
              <w:t>l</w:t>
            </w:r>
            <w:r w:rsidRPr="00E900D7">
              <w:rPr>
                <w:rFonts w:cstheme="minorHAnsi"/>
              </w:rPr>
              <w:t>ignum condition improved again in response to inundation in 2019</w:t>
            </w:r>
            <w:r>
              <w:rPr>
                <w:rFonts w:cstheme="minorHAnsi"/>
              </w:rPr>
              <w:t xml:space="preserve"> and early 2020. </w:t>
            </w:r>
            <w:r w:rsidRPr="00E900D7">
              <w:rPr>
                <w:rFonts w:cstheme="minorHAnsi"/>
              </w:rPr>
              <w:t xml:space="preserve"> </w:t>
            </w:r>
          </w:p>
          <w:p w14:paraId="40D1D135" w14:textId="77777777" w:rsidR="00AA0841" w:rsidRPr="00E900D7" w:rsidRDefault="00AA0841" w:rsidP="00AA0841">
            <w:pPr>
              <w:pStyle w:val="DotStyle1"/>
              <w:rPr>
                <w:rFonts w:cstheme="minorHAnsi"/>
              </w:rPr>
            </w:pPr>
            <w:r w:rsidRPr="00E900D7">
              <w:rPr>
                <w:rFonts w:cstheme="minorHAnsi"/>
              </w:rPr>
              <w:t>Grazing and competition for resources are likely to impact o</w:t>
            </w:r>
            <w:r>
              <w:rPr>
                <w:rFonts w:cstheme="minorHAnsi"/>
              </w:rPr>
              <w:t>n</w:t>
            </w:r>
            <w:r w:rsidRPr="00E900D7">
              <w:rPr>
                <w:rFonts w:cstheme="minorHAnsi"/>
              </w:rPr>
              <w:t xml:space="preserve"> </w:t>
            </w:r>
            <w:r>
              <w:rPr>
                <w:rFonts w:cstheme="minorHAnsi"/>
              </w:rPr>
              <w:t>tree</w:t>
            </w:r>
            <w:r w:rsidRPr="00E900D7">
              <w:rPr>
                <w:rFonts w:cstheme="minorHAnsi"/>
              </w:rPr>
              <w:t xml:space="preserve"> recruitment</w:t>
            </w:r>
            <w:r>
              <w:rPr>
                <w:rFonts w:cstheme="minorHAnsi"/>
              </w:rPr>
              <w:t xml:space="preserve"> more than inundation alone</w:t>
            </w:r>
            <w:r w:rsidRPr="00E900D7">
              <w:rPr>
                <w:rFonts w:cstheme="minorHAnsi"/>
              </w:rPr>
              <w:t>.</w:t>
            </w:r>
          </w:p>
        </w:tc>
      </w:tr>
      <w:tr w:rsidR="00AA0841" w:rsidRPr="00D1079D" w14:paraId="5754F7BC" w14:textId="77777777" w:rsidTr="00AA0841">
        <w:trPr>
          <w:cnfStyle w:val="000000010000" w:firstRow="0" w:lastRow="0" w:firstColumn="0" w:lastColumn="0" w:oddVBand="0" w:evenVBand="0" w:oddHBand="0" w:evenHBand="1" w:firstRowFirstColumn="0" w:firstRowLastColumn="0" w:lastRowFirstColumn="0" w:lastRowLastColumn="0"/>
        </w:trPr>
        <w:tc>
          <w:tcPr>
            <w:tcW w:w="1696" w:type="dxa"/>
            <w:shd w:val="clear" w:color="auto" w:fill="B6DDE8" w:themeFill="accent5" w:themeFillTint="66"/>
          </w:tcPr>
          <w:p w14:paraId="43E115D9" w14:textId="77777777" w:rsidR="00AA0841" w:rsidRDefault="00AA0841" w:rsidP="00AA0841">
            <w:r>
              <w:t>Refuge</w:t>
            </w:r>
          </w:p>
        </w:tc>
        <w:tc>
          <w:tcPr>
            <w:tcW w:w="8358" w:type="dxa"/>
          </w:tcPr>
          <w:p w14:paraId="2D0FEF1D" w14:textId="77777777" w:rsidR="00AA0841" w:rsidRPr="00F23FB4" w:rsidRDefault="00AA0841" w:rsidP="00AA0841">
            <w:pPr>
              <w:pStyle w:val="DotStyle1"/>
              <w:rPr>
                <w:rFonts w:cstheme="minorHAnsi"/>
              </w:rPr>
            </w:pPr>
            <w:r w:rsidRPr="00F23FB4">
              <w:rPr>
                <w:rFonts w:cstheme="minorHAnsi"/>
              </w:rPr>
              <w:t>Warrego River waterholes act as longer term refuges for native fish, waterbirds, turtles and frogs, supporting more consistent ecological communities over time. Boera and Booka dams provide the most persistent refuges.</w:t>
            </w:r>
            <w:r>
              <w:rPr>
                <w:rFonts w:cstheme="minorHAnsi"/>
              </w:rPr>
              <w:t xml:space="preserve"> Environmental water can help replenish and re-connect refuge habitat in the Warrego River and the Darling River near Toorale. </w:t>
            </w:r>
          </w:p>
        </w:tc>
      </w:tr>
    </w:tbl>
    <w:p w14:paraId="71B0DD15" w14:textId="77777777" w:rsidR="00AA0841" w:rsidRDefault="00AA0841" w:rsidP="00AA0841">
      <w:pPr>
        <w:pStyle w:val="NormalWeb"/>
        <w:spacing w:after="240"/>
        <w:rPr>
          <w:rFonts w:ascii="Century Gothic" w:hAnsi="Century Gothic"/>
        </w:rPr>
      </w:pPr>
    </w:p>
    <w:p w14:paraId="291E5D26" w14:textId="77777777" w:rsidR="00AA0841" w:rsidRDefault="00AA0841" w:rsidP="00AA0841">
      <w:pPr>
        <w:spacing w:after="0"/>
        <w:rPr>
          <w:rFonts w:ascii="Century Gothic" w:hAnsi="Century Gothic"/>
        </w:rPr>
        <w:sectPr w:rsidR="00AA0841" w:rsidSect="003737D8">
          <w:pgSz w:w="11906" w:h="16838"/>
          <w:pgMar w:top="1134" w:right="1133" w:bottom="851" w:left="964" w:header="425" w:footer="425" w:gutter="0"/>
          <w:cols w:space="708"/>
          <w:docGrid w:linePitch="360"/>
        </w:sectPr>
      </w:pPr>
    </w:p>
    <w:p w14:paraId="0CE851A6" w14:textId="77777777" w:rsidR="00AA0841" w:rsidRDefault="00AA0841" w:rsidP="00AA0841">
      <w:pPr>
        <w:keepNext/>
        <w:spacing w:after="0"/>
      </w:pPr>
      <w:r>
        <w:rPr>
          <w:rFonts w:ascii="Century Gothic" w:hAnsi="Century Gothic" w:cs="Times New Roman"/>
          <w:noProof/>
          <w:color w:val="auto"/>
          <w:sz w:val="20"/>
          <w:lang w:val="en-US" w:eastAsia="en-US"/>
        </w:rPr>
        <w:lastRenderedPageBreak/>
        <w:drawing>
          <wp:inline distT="0" distB="0" distL="0" distR="0" wp14:anchorId="17A7B143" wp14:editId="17480B0B">
            <wp:extent cx="9667875" cy="5867393"/>
            <wp:effectExtent l="19050" t="19050" r="9525" b="196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0">
                      <a:extLst>
                        <a:ext uri="{28A0092B-C50C-407E-A947-70E740481C1C}">
                          <a14:useLocalDpi xmlns:a14="http://schemas.microsoft.com/office/drawing/2010/main" val="0"/>
                        </a:ext>
                      </a:extLst>
                    </a:blip>
                    <a:srcRect r="4462"/>
                    <a:stretch/>
                  </pic:blipFill>
                  <pic:spPr bwMode="auto">
                    <a:xfrm>
                      <a:off x="0" y="0"/>
                      <a:ext cx="9681460" cy="5875637"/>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479114C9" w14:textId="5B9C1795" w:rsidR="00AA0841" w:rsidRDefault="00AA0841" w:rsidP="00AA0841">
      <w:pPr>
        <w:spacing w:before="120"/>
        <w:rPr>
          <w:rFonts w:ascii="Century Gothic" w:hAnsi="Century Gothic"/>
          <w:lang w:val="en-US" w:eastAsia="en-US"/>
        </w:rPr>
        <w:sectPr w:rsidR="00AA0841" w:rsidSect="003737D8">
          <w:pgSz w:w="16838" w:h="11906" w:orient="landscape"/>
          <w:pgMar w:top="1134" w:right="1135" w:bottom="851" w:left="964" w:header="425" w:footer="425" w:gutter="0"/>
          <w:cols w:space="708"/>
          <w:docGrid w:linePitch="360"/>
        </w:sectPr>
      </w:pPr>
      <w:bookmarkStart w:id="90" w:name="_Ref43389319"/>
      <w:r w:rsidRPr="001A44CA">
        <w:rPr>
          <w:rFonts w:eastAsiaTheme="minorHAnsi"/>
          <w:b/>
          <w:bCs/>
          <w:lang w:val="en-US" w:eastAsia="en-US"/>
        </w:rPr>
        <w:t xml:space="preserve">Figure </w:t>
      </w:r>
      <w:r w:rsidRPr="001A44CA">
        <w:rPr>
          <w:rFonts w:eastAsiaTheme="minorHAnsi"/>
          <w:b/>
          <w:bCs/>
          <w:lang w:val="en-US" w:eastAsia="en-US"/>
        </w:rPr>
        <w:fldChar w:fldCharType="begin"/>
      </w:r>
      <w:r w:rsidRPr="001A44CA">
        <w:rPr>
          <w:rFonts w:eastAsiaTheme="minorHAnsi"/>
          <w:b/>
          <w:bCs/>
          <w:lang w:val="en-US" w:eastAsia="en-US"/>
        </w:rPr>
        <w:instrText xml:space="preserve"> SEQ Figure \* ARABIC </w:instrText>
      </w:r>
      <w:r w:rsidRPr="001A44CA">
        <w:rPr>
          <w:rFonts w:eastAsiaTheme="minorHAnsi"/>
          <w:b/>
          <w:bCs/>
          <w:lang w:val="en-US" w:eastAsia="en-US"/>
        </w:rPr>
        <w:fldChar w:fldCharType="separate"/>
      </w:r>
      <w:r w:rsidR="001B2852">
        <w:rPr>
          <w:rFonts w:eastAsiaTheme="minorHAnsi"/>
          <w:b/>
          <w:bCs/>
          <w:noProof/>
          <w:lang w:val="en-US" w:eastAsia="en-US"/>
        </w:rPr>
        <w:t>7</w:t>
      </w:r>
      <w:r w:rsidRPr="001A44CA">
        <w:rPr>
          <w:rFonts w:eastAsiaTheme="minorHAnsi"/>
          <w:b/>
          <w:bCs/>
          <w:lang w:val="en-US" w:eastAsia="en-US"/>
        </w:rPr>
        <w:fldChar w:fldCharType="end"/>
      </w:r>
      <w:bookmarkEnd w:id="90"/>
      <w:r w:rsidRPr="000E6F6E">
        <w:rPr>
          <w:rFonts w:eastAsiaTheme="minorHAnsi"/>
          <w:bCs/>
          <w:lang w:val="en-US" w:eastAsia="en-US"/>
        </w:rPr>
        <w:t xml:space="preserve">: </w:t>
      </w:r>
      <w:r w:rsidRPr="000E6F6E">
        <w:rPr>
          <w:rFonts w:eastAsiaTheme="minorHAnsi"/>
          <w:lang w:val="en-US" w:eastAsia="en-US"/>
        </w:rPr>
        <w:t>Management strategy for Commonwealth environmental water at Toorale</w:t>
      </w:r>
      <w:r>
        <w:rPr>
          <w:rFonts w:eastAsiaTheme="minorHAnsi"/>
          <w:lang w:val="en-US" w:eastAsia="en-US"/>
        </w:rPr>
        <w:t xml:space="preserve"> (</w:t>
      </w:r>
      <w:r w:rsidRPr="000E6F6E">
        <w:rPr>
          <w:rFonts w:eastAsiaTheme="minorHAnsi"/>
          <w:lang w:val="en-US" w:eastAsia="en-US"/>
        </w:rPr>
        <w:t xml:space="preserve">Subject to change as new information becomes </w:t>
      </w:r>
      <w:r>
        <w:rPr>
          <w:rFonts w:eastAsiaTheme="minorHAnsi"/>
          <w:lang w:val="en-US" w:eastAsia="en-US"/>
        </w:rPr>
        <w:t>available)</w:t>
      </w:r>
    </w:p>
    <w:p w14:paraId="23D747CD" w14:textId="77777777" w:rsidR="00AA0841" w:rsidRPr="00764C2A" w:rsidRDefault="00AA0841" w:rsidP="0057535E">
      <w:pPr>
        <w:pStyle w:val="Heading3"/>
      </w:pPr>
      <w:r w:rsidRPr="00D1079D">
        <w:lastRenderedPageBreak/>
        <w:t>Bibliography</w:t>
      </w:r>
    </w:p>
    <w:p w14:paraId="14EA42B7" w14:textId="77777777" w:rsidR="00AA0841" w:rsidRPr="007A5792" w:rsidRDefault="00AA0841" w:rsidP="00AA0841">
      <w:r w:rsidRPr="007A5792">
        <w:t xml:space="preserve">Arthington A., and Balcombe S. (2011). Extreme flow variability and the boom and bust ecology of fish in arid-zone floodplain rivers: a case history with implications for environmental flows, conservation and management. </w:t>
      </w:r>
      <w:r w:rsidRPr="007A5792">
        <w:rPr>
          <w:i/>
          <w:iCs/>
        </w:rPr>
        <w:t>Ecohydrology</w:t>
      </w:r>
      <w:r w:rsidRPr="007A5792">
        <w:t xml:space="preserve">, 4, 708–720. </w:t>
      </w:r>
    </w:p>
    <w:p w14:paraId="7A0E25A4" w14:textId="77777777" w:rsidR="00AA0841" w:rsidRPr="007A5792" w:rsidRDefault="00AA0841" w:rsidP="00AA0841">
      <w:r w:rsidRPr="007A5792">
        <w:t xml:space="preserve">Balcombe, S. Arthington, A. Foster, N. Thoms, M. Wilson, G. Bunn, S. (2006). Fish assemblages of an Australian dryland river: abundance, assemblage structure and recruitment in the Warrego River, Murray-Darling Basin. </w:t>
      </w:r>
      <w:r w:rsidRPr="007A5792">
        <w:rPr>
          <w:i/>
          <w:iCs/>
        </w:rPr>
        <w:t>Marine and Freshwater Research</w:t>
      </w:r>
      <w:r w:rsidRPr="007A5792">
        <w:t>, 57, 619-633.</w:t>
      </w:r>
    </w:p>
    <w:p w14:paraId="0BC70981" w14:textId="77777777" w:rsidR="00AA0841" w:rsidRDefault="00AA0841" w:rsidP="00AA0841">
      <w:pPr>
        <w:rPr>
          <w:rFonts w:cstheme="minorHAnsi"/>
          <w:szCs w:val="22"/>
        </w:rPr>
      </w:pPr>
      <w:r>
        <w:rPr>
          <w:rFonts w:cstheme="minorHAnsi"/>
          <w:szCs w:val="22"/>
        </w:rPr>
        <w:t xml:space="preserve">Bureau of Meteorology (2020). </w:t>
      </w:r>
      <w:r w:rsidRPr="00292C5A">
        <w:rPr>
          <w:i/>
          <w:iCs/>
          <w:szCs w:val="22"/>
          <w:lang w:val="en"/>
        </w:rPr>
        <w:t>Rainfall—</w:t>
      </w:r>
      <w:r w:rsidRPr="00292C5A">
        <w:rPr>
          <w:rStyle w:val="app-title-description"/>
          <w:i/>
          <w:iCs/>
          <w:szCs w:val="22"/>
          <w:lang w:val="en"/>
        </w:rPr>
        <w:t>The chance of above median</w:t>
      </w:r>
      <w:r w:rsidRPr="00292C5A">
        <w:rPr>
          <w:i/>
          <w:iCs/>
          <w:szCs w:val="22"/>
          <w:lang w:val="en"/>
        </w:rPr>
        <w:t xml:space="preserve"> for </w:t>
      </w:r>
      <w:r>
        <w:rPr>
          <w:i/>
          <w:iCs/>
          <w:szCs w:val="22"/>
          <w:lang w:val="en"/>
        </w:rPr>
        <w:t xml:space="preserve">July to September 2020. </w:t>
      </w:r>
      <w:hyperlink r:id="rId111" w:anchor="/rainfall/median/seasonal/0" w:history="1">
        <w:r w:rsidRPr="0083580E">
          <w:rPr>
            <w:rStyle w:val="Hyperlink"/>
            <w:rFonts w:cstheme="minorHAnsi"/>
          </w:rPr>
          <w:t>http://www.bom.gov.au/climate/outlooks/#/rainfall/median/seasonal/0</w:t>
        </w:r>
      </w:hyperlink>
      <w:r>
        <w:rPr>
          <w:rFonts w:cstheme="minorHAnsi"/>
          <w:szCs w:val="22"/>
        </w:rPr>
        <w:t xml:space="preserve"> </w:t>
      </w:r>
    </w:p>
    <w:p w14:paraId="6DC45654" w14:textId="77777777" w:rsidR="00AA0841" w:rsidRDefault="00AA0841" w:rsidP="00AA0841">
      <w:pPr>
        <w:rPr>
          <w:rFonts w:cstheme="minorHAnsi"/>
          <w:szCs w:val="22"/>
        </w:rPr>
      </w:pPr>
      <w:r>
        <w:rPr>
          <w:rFonts w:cstheme="minorHAnsi"/>
          <w:szCs w:val="22"/>
        </w:rPr>
        <w:t xml:space="preserve">Bureau of Meteorology (2020). </w:t>
      </w:r>
      <w:r w:rsidRPr="00292C5A">
        <w:rPr>
          <w:i/>
          <w:iCs/>
          <w:szCs w:val="22"/>
          <w:lang w:val="en"/>
        </w:rPr>
        <w:t>Rainfall—</w:t>
      </w:r>
      <w:r w:rsidRPr="00292C5A">
        <w:rPr>
          <w:rStyle w:val="app-title-description"/>
          <w:i/>
          <w:iCs/>
          <w:szCs w:val="22"/>
          <w:lang w:val="en"/>
        </w:rPr>
        <w:t>The chance of above median</w:t>
      </w:r>
      <w:r w:rsidRPr="00292C5A">
        <w:rPr>
          <w:i/>
          <w:iCs/>
          <w:szCs w:val="22"/>
          <w:lang w:val="en"/>
        </w:rPr>
        <w:t xml:space="preserve"> for </w:t>
      </w:r>
      <w:r>
        <w:rPr>
          <w:i/>
          <w:iCs/>
          <w:szCs w:val="22"/>
          <w:lang w:val="en"/>
        </w:rPr>
        <w:t>August</w:t>
      </w:r>
      <w:r w:rsidRPr="00292C5A">
        <w:rPr>
          <w:i/>
          <w:iCs/>
          <w:szCs w:val="22"/>
          <w:lang w:val="en"/>
        </w:rPr>
        <w:t xml:space="preserve"> to </w:t>
      </w:r>
      <w:r>
        <w:rPr>
          <w:i/>
          <w:iCs/>
          <w:szCs w:val="22"/>
          <w:lang w:val="en"/>
        </w:rPr>
        <w:t xml:space="preserve">October 2020. </w:t>
      </w:r>
      <w:hyperlink r:id="rId112" w:anchor="/rainfall/median/seasonal/1" w:history="1">
        <w:r w:rsidRPr="0083580E">
          <w:rPr>
            <w:rStyle w:val="Hyperlink"/>
            <w:rFonts w:cstheme="minorHAnsi"/>
          </w:rPr>
          <w:t>http://www.bom.gov.au/climate/outlooks/#/rainfall/median/seasonal/1</w:t>
        </w:r>
      </w:hyperlink>
      <w:r>
        <w:rPr>
          <w:rFonts w:cstheme="minorHAnsi"/>
          <w:szCs w:val="22"/>
        </w:rPr>
        <w:t xml:space="preserve"> </w:t>
      </w:r>
    </w:p>
    <w:p w14:paraId="2030C4C3" w14:textId="77777777" w:rsidR="00AA0841" w:rsidRDefault="00AA0841" w:rsidP="00AA0841">
      <w:pPr>
        <w:rPr>
          <w:rFonts w:cstheme="minorHAnsi"/>
          <w:szCs w:val="22"/>
        </w:rPr>
      </w:pPr>
      <w:r>
        <w:rPr>
          <w:rFonts w:cstheme="minorHAnsi"/>
          <w:szCs w:val="22"/>
        </w:rPr>
        <w:t xml:space="preserve">Bureau of Meteorology (2020). </w:t>
      </w:r>
      <w:r w:rsidRPr="00292C5A">
        <w:rPr>
          <w:i/>
          <w:iCs/>
          <w:szCs w:val="22"/>
          <w:lang w:val="en"/>
        </w:rPr>
        <w:t>Temperature—</w:t>
      </w:r>
      <w:r w:rsidRPr="00292C5A">
        <w:rPr>
          <w:rStyle w:val="app-title-description"/>
          <w:i/>
          <w:iCs/>
          <w:szCs w:val="22"/>
          <w:lang w:val="en"/>
        </w:rPr>
        <w:t>The chance of above median maximum temperature</w:t>
      </w:r>
      <w:r w:rsidRPr="00292C5A">
        <w:rPr>
          <w:i/>
          <w:iCs/>
          <w:szCs w:val="22"/>
          <w:lang w:val="en"/>
        </w:rPr>
        <w:t xml:space="preserve"> for </w:t>
      </w:r>
      <w:r>
        <w:rPr>
          <w:i/>
          <w:iCs/>
          <w:szCs w:val="22"/>
          <w:lang w:val="en"/>
        </w:rPr>
        <w:t>June</w:t>
      </w:r>
      <w:r w:rsidRPr="00292C5A">
        <w:rPr>
          <w:i/>
          <w:iCs/>
          <w:szCs w:val="22"/>
          <w:lang w:val="en"/>
        </w:rPr>
        <w:t xml:space="preserve"> to </w:t>
      </w:r>
      <w:r>
        <w:rPr>
          <w:i/>
          <w:iCs/>
          <w:szCs w:val="22"/>
          <w:lang w:val="en"/>
        </w:rPr>
        <w:t>August</w:t>
      </w:r>
      <w:r w:rsidRPr="00292C5A">
        <w:rPr>
          <w:i/>
          <w:iCs/>
          <w:szCs w:val="22"/>
          <w:lang w:val="en"/>
        </w:rPr>
        <w:t xml:space="preserve"> 2020</w:t>
      </w:r>
      <w:r>
        <w:rPr>
          <w:szCs w:val="22"/>
          <w:lang w:val="en"/>
        </w:rPr>
        <w:t xml:space="preserve">. </w:t>
      </w:r>
      <w:hyperlink r:id="rId113" w:anchor="/temperature/maximum/median/seasonal/0" w:history="1">
        <w:r w:rsidRPr="0083580E">
          <w:rPr>
            <w:rStyle w:val="Hyperlink"/>
            <w:rFonts w:cstheme="minorHAnsi"/>
          </w:rPr>
          <w:t>http://www.bom.gov.au/climate/outlooks/#/temperature/maximum/median/seasonal/0</w:t>
        </w:r>
      </w:hyperlink>
      <w:r>
        <w:rPr>
          <w:rFonts w:cstheme="minorHAnsi"/>
          <w:szCs w:val="22"/>
        </w:rPr>
        <w:t xml:space="preserve"> </w:t>
      </w:r>
    </w:p>
    <w:p w14:paraId="09F92437" w14:textId="77777777" w:rsidR="00AA0841" w:rsidRDefault="00AA0841" w:rsidP="00AA0841">
      <w:r>
        <w:rPr>
          <w:rFonts w:cstheme="minorHAnsi"/>
          <w:szCs w:val="22"/>
        </w:rPr>
        <w:t xml:space="preserve">Bureau of Meteorology (2020). </w:t>
      </w:r>
      <w:r w:rsidRPr="00292C5A">
        <w:rPr>
          <w:i/>
          <w:iCs/>
          <w:szCs w:val="22"/>
          <w:lang w:val="en"/>
        </w:rPr>
        <w:t>Temperature—</w:t>
      </w:r>
      <w:r w:rsidRPr="00292C5A">
        <w:rPr>
          <w:rStyle w:val="app-title-description"/>
          <w:i/>
          <w:iCs/>
          <w:szCs w:val="22"/>
          <w:lang w:val="en"/>
        </w:rPr>
        <w:t>The chance of above median maximum temperature</w:t>
      </w:r>
      <w:r w:rsidRPr="00292C5A">
        <w:rPr>
          <w:i/>
          <w:iCs/>
          <w:szCs w:val="22"/>
          <w:lang w:val="en"/>
        </w:rPr>
        <w:t xml:space="preserve"> for </w:t>
      </w:r>
      <w:r>
        <w:rPr>
          <w:i/>
          <w:iCs/>
          <w:szCs w:val="22"/>
          <w:lang w:val="en"/>
        </w:rPr>
        <w:t>July</w:t>
      </w:r>
      <w:r w:rsidRPr="00292C5A">
        <w:rPr>
          <w:i/>
          <w:iCs/>
          <w:szCs w:val="22"/>
          <w:lang w:val="en"/>
        </w:rPr>
        <w:t xml:space="preserve"> to </w:t>
      </w:r>
      <w:r>
        <w:rPr>
          <w:i/>
          <w:iCs/>
          <w:szCs w:val="22"/>
          <w:lang w:val="en"/>
        </w:rPr>
        <w:t>September</w:t>
      </w:r>
      <w:r w:rsidRPr="00292C5A">
        <w:rPr>
          <w:i/>
          <w:iCs/>
          <w:szCs w:val="22"/>
          <w:lang w:val="en"/>
        </w:rPr>
        <w:t xml:space="preserve"> 2020</w:t>
      </w:r>
      <w:r>
        <w:rPr>
          <w:szCs w:val="22"/>
          <w:lang w:val="en"/>
        </w:rPr>
        <w:t xml:space="preserve">. </w:t>
      </w:r>
      <w:hyperlink r:id="rId114" w:anchor="/temperature/maximum/median/seasonal/1" w:history="1">
        <w:r w:rsidRPr="0083580E">
          <w:rPr>
            <w:rStyle w:val="Hyperlink"/>
            <w:lang w:val="en"/>
          </w:rPr>
          <w:t>http://www.bom.gov.au/climate/outlooks/#/temperature/maximum/median/seasonal/1</w:t>
        </w:r>
      </w:hyperlink>
    </w:p>
    <w:p w14:paraId="35EF0E60" w14:textId="77777777" w:rsidR="00AA0841" w:rsidRPr="007A5792" w:rsidRDefault="00AA0841" w:rsidP="00AA0841">
      <w:r w:rsidRPr="007A5792">
        <w:t>D</w:t>
      </w:r>
      <w:r>
        <w:t xml:space="preserve">epartment of </w:t>
      </w:r>
      <w:r w:rsidRPr="007A5792">
        <w:t>P</w:t>
      </w:r>
      <w:r>
        <w:t>lanning, Industry and Environment</w:t>
      </w:r>
      <w:r w:rsidRPr="007A5792">
        <w:t xml:space="preserve"> (2019a). </w:t>
      </w:r>
      <w:r w:rsidRPr="007A5792">
        <w:rPr>
          <w:i/>
          <w:iCs/>
        </w:rPr>
        <w:t>Barwon Darling Long Term Watering Plan</w:t>
      </w:r>
      <w:r w:rsidRPr="007A5792">
        <w:t>.</w:t>
      </w:r>
      <w:r w:rsidRPr="007A5792">
        <w:rPr>
          <w:i/>
          <w:iCs/>
        </w:rPr>
        <w:t xml:space="preserve"> Draft for Exhibition.</w:t>
      </w:r>
      <w:r w:rsidRPr="007A5792">
        <w:t xml:space="preserve"> State of NSW and Department of Planning, Industry and Environment</w:t>
      </w:r>
    </w:p>
    <w:p w14:paraId="2F073BCA" w14:textId="77777777" w:rsidR="00AA0841" w:rsidRPr="007A5792" w:rsidRDefault="00AA0841" w:rsidP="00AA0841">
      <w:r w:rsidRPr="007A5792">
        <w:t>D</w:t>
      </w:r>
      <w:r>
        <w:t xml:space="preserve">epartment of </w:t>
      </w:r>
      <w:r w:rsidRPr="007A5792">
        <w:t>P</w:t>
      </w:r>
      <w:r>
        <w:t>lanning, Industry and Environment</w:t>
      </w:r>
      <w:r w:rsidRPr="007A5792">
        <w:t xml:space="preserve"> (2019b). </w:t>
      </w:r>
      <w:r w:rsidRPr="007A5792">
        <w:rPr>
          <w:i/>
          <w:iCs/>
        </w:rPr>
        <w:t>Intersecting Streams Long Term Water Plan Parts A and B. Draft for Exhibition.</w:t>
      </w:r>
      <w:r w:rsidRPr="007A5792">
        <w:t xml:space="preserve"> State of NSW and Department of Planning, Industry and Environment</w:t>
      </w:r>
    </w:p>
    <w:p w14:paraId="438D6FBA" w14:textId="77777777" w:rsidR="00AA0841" w:rsidRPr="007A5792" w:rsidRDefault="00AA0841" w:rsidP="00AA0841">
      <w:r w:rsidRPr="007A5792">
        <w:t xml:space="preserve">Eco Logical Australia (2019a). </w:t>
      </w:r>
      <w:r w:rsidRPr="007A5792">
        <w:rPr>
          <w:i/>
          <w:iCs/>
        </w:rPr>
        <w:t>Toorale Water Infrastructure Project (Phase 2) Review of Environmental Factors</w:t>
      </w:r>
      <w:r w:rsidRPr="007A5792">
        <w:t>. Prepared for NSW Department of Planning, Industry and Environment.</w:t>
      </w:r>
    </w:p>
    <w:p w14:paraId="24040704" w14:textId="77777777" w:rsidR="00AA0841" w:rsidRDefault="00AA0841" w:rsidP="00AA0841">
      <w:r w:rsidRPr="007A5792">
        <w:t xml:space="preserve">Eco Logical Australia (2019b) </w:t>
      </w:r>
      <w:r w:rsidRPr="007A5792">
        <w:rPr>
          <w:i/>
        </w:rPr>
        <w:t>Commonwealth Environmental Water Office Long Term Intervention Monitoring Project Junction of the Warrego and Darling rivers Selected Area – Five Year Evaluation Report</w:t>
      </w:r>
      <w:r w:rsidRPr="007A5792">
        <w:t>, Commonwealth of Australia 2019</w:t>
      </w:r>
    </w:p>
    <w:p w14:paraId="498DF321" w14:textId="77777777" w:rsidR="00AA0841" w:rsidRPr="00C5207D" w:rsidRDefault="00AA0841" w:rsidP="00AA0841">
      <w:r w:rsidRPr="00C5207D">
        <w:t>Kingsford R., Bedward M. and Porter J. (1994). Waterbirds and Wetlands in Northwestern New South Wales. National Parks and Wildlife Service Occasional Paper No 19. NSW National Parks and Wildlife Service, Hurstville.</w:t>
      </w:r>
    </w:p>
    <w:p w14:paraId="65B5082F" w14:textId="77777777" w:rsidR="00AA0841" w:rsidRDefault="00AA0841" w:rsidP="00AA0841">
      <w:r w:rsidRPr="00C5207D">
        <w:t>Kingsford R.T, Thomas R.F and Wong P.S. (1997). Significant wetlands for waterbirds in the Murray- Darling Basin. NSW National Parks and Wildlife Service, Hurstville.</w:t>
      </w:r>
    </w:p>
    <w:p w14:paraId="6D07F30D" w14:textId="77777777" w:rsidR="00AA0841" w:rsidRPr="00C5207D" w:rsidRDefault="00AA0841" w:rsidP="00AA0841">
      <w:r w:rsidRPr="00C5207D">
        <w:t xml:space="preserve">Marshall J., Menke N., Crook D., Lobegeiger J., Balcombe S., Huey J., Fawcett J., Bond N., Starkey A. and Sternberg D. (2016). Go with the flow: the movement behaviour of fish from isolated waterhole refugia during connecting flow events in an intermittent dryland river. </w:t>
      </w:r>
      <w:r w:rsidRPr="00C5207D">
        <w:rPr>
          <w:i/>
          <w:iCs/>
        </w:rPr>
        <w:t>Freshwater Biology</w:t>
      </w:r>
      <w:r w:rsidRPr="00C5207D">
        <w:t xml:space="preserve"> 61, 1242-1258 </w:t>
      </w:r>
      <w:hyperlink r:id="rId115" w:history="1">
        <w:r w:rsidRPr="00C5207D">
          <w:t>https://doi.org/10.1111/fwb.12707</w:t>
        </w:r>
      </w:hyperlink>
      <w:r>
        <w:t xml:space="preserve">  </w:t>
      </w:r>
      <w:r w:rsidRPr="00C5207D">
        <w:t xml:space="preserve"> </w:t>
      </w:r>
    </w:p>
    <w:p w14:paraId="65041CDA" w14:textId="77777777" w:rsidR="00AA0841" w:rsidRDefault="00AA0841" w:rsidP="00AA0841">
      <w:r w:rsidRPr="007A5792">
        <w:t xml:space="preserve">Northern Basin Aboriginal Nations (NBAN) (2020) </w:t>
      </w:r>
      <w:r w:rsidRPr="007A5792">
        <w:rPr>
          <w:i/>
          <w:iCs/>
        </w:rPr>
        <w:t>First Nations Environmental Watering Guidance Report</w:t>
      </w:r>
      <w:r>
        <w:t>.</w:t>
      </w:r>
      <w:r w:rsidRPr="007A5792">
        <w:t xml:space="preserve"> Provided to the CEWO.</w:t>
      </w:r>
    </w:p>
    <w:p w14:paraId="69D3BD05" w14:textId="77777777" w:rsidR="00AA0841" w:rsidRDefault="00AA0841" w:rsidP="00AA0841">
      <w:pPr>
        <w:rPr>
          <w:i/>
          <w:iCs/>
        </w:rPr>
      </w:pPr>
      <w:r w:rsidRPr="003541E9">
        <w:t xml:space="preserve">Sheldon F., Bunn S., Hughes J., Arthington A., Balcombe S. and Fellows C. (2010). ‘Ecological roles and threats to aquatic refugia in arid landscapes: dryland river waterholes’. </w:t>
      </w:r>
      <w:r w:rsidRPr="003541E9">
        <w:rPr>
          <w:i/>
          <w:iCs/>
        </w:rPr>
        <w:t>Marine and Freshwater Research</w:t>
      </w:r>
      <w:r w:rsidRPr="003541E9">
        <w:t>, 61, 885–89</w:t>
      </w:r>
    </w:p>
    <w:p w14:paraId="2EAFC3AF" w14:textId="77777777" w:rsidR="0071217B" w:rsidRDefault="0071217B">
      <w:pPr>
        <w:spacing w:after="0"/>
      </w:pPr>
      <w:r>
        <w:br w:type="page"/>
      </w:r>
    </w:p>
    <w:p w14:paraId="7486D578" w14:textId="77777777" w:rsidR="00AA0841" w:rsidRPr="00AA0841" w:rsidRDefault="00AA0841" w:rsidP="003737D8">
      <w:pPr>
        <w:pStyle w:val="Heading2"/>
        <w:rPr>
          <w:rFonts w:ascii="Century Gothic" w:hAnsi="Century Gothic"/>
          <w:noProof/>
        </w:rPr>
      </w:pPr>
      <w:r w:rsidRPr="00AA0841">
        <w:lastRenderedPageBreak/>
        <w:t>Gwydir Valley</w:t>
      </w:r>
    </w:p>
    <w:p w14:paraId="73B8512E" w14:textId="77777777" w:rsidR="00AA0841" w:rsidRPr="00AA0841" w:rsidRDefault="00AA0841" w:rsidP="003737D8">
      <w:pPr>
        <w:pStyle w:val="Heading3"/>
      </w:pPr>
      <w:r w:rsidRPr="00AA0841">
        <w:t>Region overview</w:t>
      </w:r>
    </w:p>
    <w:p w14:paraId="010F43D5" w14:textId="77777777" w:rsidR="00AA0841" w:rsidRPr="00AA0841" w:rsidRDefault="00AA0841" w:rsidP="003737D8">
      <w:pPr>
        <w:pStyle w:val="Heading4"/>
        <w:spacing w:after="120"/>
      </w:pPr>
      <w:r w:rsidRPr="00AA0841">
        <w:t>River valley</w:t>
      </w:r>
    </w:p>
    <w:p w14:paraId="41A9E811" w14:textId="77777777" w:rsidR="00AA0841" w:rsidRPr="00AA0841" w:rsidRDefault="00AA0841" w:rsidP="00AA0841">
      <w:r w:rsidRPr="00AA0841">
        <w:t>Copeton Dam is the major regulated water storage in the system (with a capacity of 1 364 gigalitres). Copeton Dam regulates on a long-term average of approximately 55 per cent of system inflows, however, this is highly variable from year to year. Several unregulated tributaries flow into the Gwydir River below Copeton Dam, including the Horton River. These unregulated tributaries can provide significant unregulated flows into the Gwydir River.</w:t>
      </w:r>
    </w:p>
    <w:p w14:paraId="2E38BC07" w14:textId="77777777" w:rsidR="00AA0841" w:rsidRPr="00AA0841" w:rsidRDefault="00AA0841" w:rsidP="00AA0841">
      <w:r w:rsidRPr="00AA0841">
        <w:t>In the lower sections of the Gwydir system, re-regulating structures at Tareelaroi, Boolooroo and Tyreel manage low to medium flows from the Gwydir River into the Mehi River, Carole Creek and the Lower Gwydir River/Gingham Watercourse. There are also re-regulating structures on the Mehi River at Combadello and Gundare, which control low to medium flows between the Mehi and the Moomin and Mallowa creeks.</w:t>
      </w:r>
      <w:r w:rsidRPr="00AA0841">
        <w:fldChar w:fldCharType="begin"/>
      </w:r>
      <w:r w:rsidRPr="00AA0841">
        <w:instrText xml:space="preserve"> ADDIN EN.CITE &lt;EndNote&gt;&lt;Cite&gt;&lt;Author&gt;Wilson&lt;/Author&gt;&lt;Year&gt;2009&lt;/Year&gt;&lt;RecNum&gt;17&lt;/RecNum&gt;&lt;DisplayText&gt;(Wilson et al., 2009)&lt;/DisplayText&gt;&lt;record&gt;&lt;rec-number&gt;17&lt;/rec-number&gt;&lt;foreign-keys&gt;&lt;key app="EN" db-id="2dtex0dfj00vs4efpdsvpt9n22pfpx5zsv59"&gt;17&lt;/key&gt;&lt;/foreign-keys&gt;&lt;ref-type name="Generic"&gt;13&lt;/ref-type&gt;&lt;contributors&gt;&lt;authors&gt;&lt;author&gt;Wilson, G Glenn&lt;/author&gt;&lt;author&gt;Bickel, Tobias O&lt;/author&gt;&lt;author&gt;Berney, Peter J&lt;/author&gt;&lt;author&gt;Sisson, Julia L&lt;/author&gt;&lt;/authors&gt;&lt;/contributors&gt;&lt;titles&gt;&lt;title&gt;Managing environmental flows in an agricultural landscape: the Lower Gwydir floodplain. Final Report to the Commonwealth Department of Environment, Water, Heritage and the Arts.&lt;/title&gt;&lt;/titles&gt;&lt;dates&gt;&lt;year&gt;2009&lt;/year&gt;&lt;/dates&gt;&lt;urls&gt;&lt;/urls&gt;&lt;/record&gt;&lt;/Cite&gt;&lt;/EndNote&gt;</w:instrText>
      </w:r>
      <w:r w:rsidRPr="00AA0841">
        <w:fldChar w:fldCharType="end"/>
      </w:r>
    </w:p>
    <w:p w14:paraId="51923468" w14:textId="77777777" w:rsidR="00AA0841" w:rsidRPr="00AA0841" w:rsidRDefault="00AA0841" w:rsidP="003737D8">
      <w:pPr>
        <w:pStyle w:val="Heading4"/>
        <w:spacing w:after="120"/>
      </w:pPr>
      <w:r w:rsidRPr="00AA0841">
        <w:t>Traditional Owners</w:t>
      </w:r>
    </w:p>
    <w:p w14:paraId="70F147C7" w14:textId="77777777" w:rsidR="00AA0841" w:rsidRPr="00AA0841" w:rsidRDefault="00AA0841" w:rsidP="00AA0841">
      <w:r w:rsidRPr="00AA0841">
        <w:t xml:space="preserve">The rivers and wetlands of the Gwydir Valley hold significant spiritual and cultural importance for Aboriginal people. Most of the Gwydir system falls within the traditional lands of the Gomeroi/Kamilaroi people. The Gomeroi is a large Nation, which extends from around Singleton in the Hunter Valley through to the Warrumbungles in the west, and through the Namoi and Gwydir valleys to just over the Queensland border. The eastern headwater around Guyra, Uralla and Tenterfield is the traditional lands of the Anaiwan people. </w:t>
      </w:r>
    </w:p>
    <w:p w14:paraId="735BA0DD" w14:textId="77777777" w:rsidR="00AA0841" w:rsidRPr="00AA0841" w:rsidRDefault="00AA0841" w:rsidP="003737D8">
      <w:pPr>
        <w:pStyle w:val="Heading4"/>
        <w:spacing w:after="120"/>
      </w:pPr>
      <w:r w:rsidRPr="00AA0841">
        <w:t>Important sites and values</w:t>
      </w:r>
    </w:p>
    <w:p w14:paraId="1D373CFE" w14:textId="77777777" w:rsidR="00AA0841" w:rsidRPr="00AA0841" w:rsidRDefault="00AA0841" w:rsidP="00AA0841">
      <w:r w:rsidRPr="00AA0841">
        <w:t>The Gwydir Wetlands is a terminal wetland in the lower reaches of the Gwydir River and Gingham Watercourse. Four sites within the wetlands are listed as Wetlands of International Importance under the Ramsar Convention: Old Dromana on the Lower Gwydir Watercourse and Goddard’s Lease; Windella; and Crinolyn on the Gingham Watercourse. These sites were recognised for their important habitat value for waterbirds, sustaining up to hundreds of thousands of breeding colonial waterbirds when flooded. This includes those listed under international migratory agreements (JAMBA, ROKAMBA, and CAMBA). The Ramsar site contains a range of habitats including large areas of coolibah woodland, water couch, and part of the largest stand of marsh club rush in New South Wales (NSW). These vegetation types have been identified as critical components of the Ramsar site that help support its ecological character.</w:t>
      </w:r>
    </w:p>
    <w:p w14:paraId="6B2B95BE" w14:textId="77777777" w:rsidR="00AA0841" w:rsidRPr="00AA0841" w:rsidRDefault="00AA0841" w:rsidP="00AA0841">
      <w:r w:rsidRPr="00AA0841">
        <w:t>Another key asset in the Gwydir River Valley is the Mallowa Wetlands. While it is not Ramsar-listed or as extensive as the Gwydir Wetlands, the Mallowa Wetlands have less lippia (weed) and support a diverse range of wetland and floodplain vegetation, which is representative of the Gwydir River valley’s native vegetation. The native vegetation of Mallowa Creek also provides valuable habitat for waterbirds, woodland birds, and other fauna; and prior to river regulation supported large scale waterbird breeding events.</w:t>
      </w:r>
    </w:p>
    <w:p w14:paraId="021C8014" w14:textId="77777777" w:rsidR="00AA0841" w:rsidRPr="00AA0841" w:rsidRDefault="00AA0841" w:rsidP="00AA0841">
      <w:r w:rsidRPr="00AA0841">
        <w:t xml:space="preserve">The Gwydir River system supports several native fish species identified as threatened in NSW and/or Commonwealth legislation. These include silver perch (critically endangered) and Murray cod (vulnerable) listed under the </w:t>
      </w:r>
      <w:r w:rsidRPr="00AA0841">
        <w:rPr>
          <w:i/>
        </w:rPr>
        <w:t>Environment Protection and Biodiversity Conservation Act 1999</w:t>
      </w:r>
      <w:r w:rsidRPr="00AA0841">
        <w:t xml:space="preserve">, and olive perchlet and freshwater catfish (endangered populations), and purple spotted gudgeon (endangered species), listed under the </w:t>
      </w:r>
      <w:r w:rsidRPr="00AA0841">
        <w:rPr>
          <w:i/>
        </w:rPr>
        <w:t>NSW Fisheries Management Act 1994</w:t>
      </w:r>
      <w:r w:rsidRPr="00AA0841">
        <w:t xml:space="preserve">. </w:t>
      </w:r>
    </w:p>
    <w:p w14:paraId="1A6A4208" w14:textId="77777777" w:rsidR="00AA0841" w:rsidRPr="00AA0841" w:rsidRDefault="00AA0841" w:rsidP="00AA0841">
      <w:r w:rsidRPr="00AA0841">
        <w:t xml:space="preserve">The Mehi River and Carole Creek connect the network of rivers and creeks within the Gwydir valley to the Barwon-Darling system. Maintaining connection between these two river networks is important for native fish movement and recruitment. Flows from the Mehi and Carole systems into the Barwon River can provide critical low flows to downstream reaches, which can minimise the length of cease to flow periods. These flows help the survival of native fish and other river dependent fauna species by reconnecting the larger persistent pools and waterholes along the Barwon and Darling Rivers. Following the recent drought, connection between the Barwon-Darling system and its tributaries will be important to ensure the recovery of native fish communities across the northern Basin.     </w:t>
      </w:r>
    </w:p>
    <w:p w14:paraId="7973DA50" w14:textId="77777777" w:rsidR="00AA0841" w:rsidRPr="00AA0841" w:rsidRDefault="00AA0841" w:rsidP="00AA0841">
      <w:pPr>
        <w:rPr>
          <w:color w:val="auto"/>
        </w:rPr>
        <w:sectPr w:rsidR="00AA0841" w:rsidRPr="00AA0841" w:rsidSect="003737D8">
          <w:headerReference w:type="default" r:id="rId116"/>
          <w:footerReference w:type="default" r:id="rId117"/>
          <w:footerReference w:type="first" r:id="rId118"/>
          <w:pgSz w:w="11906" w:h="16838"/>
          <w:pgMar w:top="1134" w:right="1133" w:bottom="851" w:left="964" w:header="567" w:footer="397" w:gutter="0"/>
          <w:cols w:space="708"/>
          <w:docGrid w:linePitch="360"/>
        </w:sectPr>
      </w:pPr>
    </w:p>
    <w:p w14:paraId="6C8B22C0" w14:textId="77777777" w:rsidR="00AA0841" w:rsidRPr="00AA0841" w:rsidRDefault="00AA0841" w:rsidP="00AA0841">
      <w:pPr>
        <w:spacing w:after="60"/>
        <w:rPr>
          <w:rFonts w:ascii="Century Gothic" w:hAnsi="Century Gothic" w:cs="Arial"/>
          <w:color w:val="5F497A" w:themeColor="accent4" w:themeShade="BF"/>
        </w:rPr>
      </w:pPr>
      <w:r w:rsidRPr="00AA0841">
        <w:rPr>
          <w:rFonts w:cs="Calibri"/>
          <w:b/>
          <w:noProof/>
        </w:rPr>
        <w:lastRenderedPageBreak/>
        <w:drawing>
          <wp:inline distT="0" distB="0" distL="0" distR="0" wp14:anchorId="6002B309" wp14:editId="629B55E8">
            <wp:extent cx="8420100" cy="5974907"/>
            <wp:effectExtent l="0" t="0" r="0" b="6985"/>
            <wp:docPr id="22" name="Picture 22" descr="Gywdir Valley Map&#10;&#10;Figure shows a map of the Gwydir River catchment including major towns, water storages, and environmental as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wydir_Map.JPG"/>
                    <pic:cNvPicPr/>
                  </pic:nvPicPr>
                  <pic:blipFill>
                    <a:blip r:embed="rId119">
                      <a:extLst>
                        <a:ext uri="{28A0092B-C50C-407E-A947-70E740481C1C}">
                          <a14:useLocalDpi xmlns:a14="http://schemas.microsoft.com/office/drawing/2010/main" val="0"/>
                        </a:ext>
                      </a:extLst>
                    </a:blip>
                    <a:stretch>
                      <a:fillRect/>
                    </a:stretch>
                  </pic:blipFill>
                  <pic:spPr>
                    <a:xfrm>
                      <a:off x="0" y="0"/>
                      <a:ext cx="8437095" cy="5986966"/>
                    </a:xfrm>
                    <a:prstGeom prst="rect">
                      <a:avLst/>
                    </a:prstGeom>
                  </pic:spPr>
                </pic:pic>
              </a:graphicData>
            </a:graphic>
          </wp:inline>
        </w:drawing>
      </w:r>
    </w:p>
    <w:p w14:paraId="30C10AF9" w14:textId="2A5849A9" w:rsidR="00AA0841" w:rsidRPr="00AA0841" w:rsidRDefault="00AA0841" w:rsidP="00AA0841">
      <w:pPr>
        <w:sectPr w:rsidR="00AA0841" w:rsidRPr="00AA0841" w:rsidSect="003737D8">
          <w:pgSz w:w="16838" w:h="11906" w:orient="landscape"/>
          <w:pgMar w:top="1134" w:right="992" w:bottom="851" w:left="964" w:header="709" w:footer="391" w:gutter="0"/>
          <w:cols w:space="708"/>
          <w:docGrid w:linePitch="360"/>
        </w:sectPr>
      </w:pPr>
      <w:r w:rsidRPr="00AA0841">
        <w:rPr>
          <w:b/>
        </w:rPr>
        <w:t xml:space="preserve">Figure </w:t>
      </w:r>
      <w:r w:rsidRPr="00AA0841">
        <w:rPr>
          <w:b/>
        </w:rPr>
        <w:fldChar w:fldCharType="begin"/>
      </w:r>
      <w:r w:rsidRPr="00AA0841">
        <w:rPr>
          <w:b/>
        </w:rPr>
        <w:instrText xml:space="preserve"> SEQ Figure \* ARABIC </w:instrText>
      </w:r>
      <w:r w:rsidRPr="00AA0841">
        <w:rPr>
          <w:b/>
        </w:rPr>
        <w:fldChar w:fldCharType="separate"/>
      </w:r>
      <w:r w:rsidR="001B2852">
        <w:rPr>
          <w:b/>
          <w:noProof/>
        </w:rPr>
        <w:t>8</w:t>
      </w:r>
      <w:r w:rsidRPr="00AA0841">
        <w:rPr>
          <w:b/>
        </w:rPr>
        <w:fldChar w:fldCharType="end"/>
      </w:r>
      <w:r w:rsidRPr="00AA0841">
        <w:rPr>
          <w:b/>
        </w:rPr>
        <w:t>:</w:t>
      </w:r>
      <w:r w:rsidRPr="00AA0841">
        <w:t xml:space="preserve"> Map of the Gwydir River Valley (CEWO 2015).  </w:t>
      </w:r>
    </w:p>
    <w:p w14:paraId="78CEC998" w14:textId="77777777" w:rsidR="00AA0841" w:rsidRPr="00AA0841" w:rsidRDefault="00AA0841" w:rsidP="003737D8">
      <w:pPr>
        <w:pStyle w:val="Heading4"/>
      </w:pPr>
      <w:r w:rsidRPr="00AA0841">
        <w:lastRenderedPageBreak/>
        <w:t>Stakeholder engagement</w:t>
      </w:r>
    </w:p>
    <w:p w14:paraId="3018D5F0" w14:textId="77777777" w:rsidR="00AA0841" w:rsidRPr="00AA0841" w:rsidRDefault="00AA0841" w:rsidP="00AA0841">
      <w:pPr>
        <w:rPr>
          <w:color w:val="auto"/>
        </w:rPr>
      </w:pPr>
      <w:r w:rsidRPr="00AA0841">
        <w:t>In the Gwydir River Valley, the planning, management, and delivery of Commonwealth water for the environment is undertaken in conjunction with a range of partners and stakeholder groups. Key stakeholders in the Gwydir include the NSW Department of Planning, Industry, and Environment (DPIE) – Environment, Energy and Science (EES), DPIE – Water, WaterNSW, and the Gwydir Environmental Water Advisory Group known as the Environmental Contingency Allowance Operations Advisory Committee (ECAOAC)</w:t>
      </w:r>
      <w:bookmarkStart w:id="91" w:name="_Hlk40257489"/>
      <w:r w:rsidRPr="00AA0841">
        <w:rPr>
          <w:color w:val="auto"/>
        </w:rPr>
        <w:t xml:space="preserve">. </w:t>
      </w:r>
      <w:bookmarkEnd w:id="91"/>
    </w:p>
    <w:p w14:paraId="43D42CA2" w14:textId="77777777" w:rsidR="00AA0841" w:rsidRPr="00AA0841" w:rsidRDefault="00AA0841" w:rsidP="00AA0841">
      <w:r w:rsidRPr="00AA0841">
        <w:t xml:space="preserve">The ECAOAC provides advice to water managers on priorities for water use and includes representatives from local landholders, Gwydir Valley Irrigators, the local Aboriginal community, independent scientists, and environmental representatives, as well as Government organisations involved in water and environmental management (DPIE – Water, National Parks and Wildlife Service, DPIE – EES, North West Local Land Services, NSW DPI – Fisheries, and WaterNSW). </w:t>
      </w:r>
    </w:p>
    <w:p w14:paraId="3DC11187" w14:textId="77777777" w:rsidR="00AA0841" w:rsidRPr="00AA0841" w:rsidRDefault="00AA0841" w:rsidP="00AA0841">
      <w:pPr>
        <w:rPr>
          <w:color w:val="auto"/>
        </w:rPr>
      </w:pPr>
      <w:r w:rsidRPr="00AA0841">
        <w:t>Local Engagement Officers (LEOs) from the Commonwealth Environmental Water Office (CEWO) also work with a range of stakeholders as part of a broader program of engagement around the management of the Commonwealth’s portfolio of environmental water entitlements.</w:t>
      </w:r>
      <w:r w:rsidRPr="00AA0841">
        <w:rPr>
          <w:color w:val="auto"/>
        </w:rPr>
        <w:t xml:space="preserve"> </w:t>
      </w:r>
      <w:r w:rsidRPr="00AA0841">
        <w:t>As part of this work, CEWO’s Local Engagement Officers engage directly with members of the local Aboriginal community, Local Aboriginal Land Councils (LALCs), and other Aboriginal community groups. This includes working with community around environmental water, to learn and improve on how environmental water may be able to support t</w:t>
      </w:r>
      <w:r w:rsidRPr="00AA0841">
        <w:rPr>
          <w:color w:val="auto"/>
        </w:rPr>
        <w:t xml:space="preserve">he local </w:t>
      </w:r>
      <w:r w:rsidRPr="00AA0841">
        <w:t>Aboriginal</w:t>
      </w:r>
      <w:r w:rsidRPr="00AA0841">
        <w:rPr>
          <w:color w:val="auto"/>
        </w:rPr>
        <w:t xml:space="preserve"> communities’ objectives for sites, values, and species significant to the Gomeroi/Kamilaroi Nation in the Gwydir catchment.  Engagement with the local Aboriginal community is also being undertaken as part of the current CEWO Monitoring Evaluation and Reporting (MER) Program, which is being undertaken in the Gwydir by the University of New England (UNE) and 2rog.</w:t>
      </w:r>
    </w:p>
    <w:p w14:paraId="32CA373E" w14:textId="77777777" w:rsidR="00AA0841" w:rsidRPr="00AA0841" w:rsidRDefault="00AA0841" w:rsidP="003737D8">
      <w:pPr>
        <w:pStyle w:val="Heading3"/>
      </w:pPr>
      <w:r w:rsidRPr="00AA0841">
        <w:t>Environmental objectives</w:t>
      </w:r>
    </w:p>
    <w:p w14:paraId="12B61F24" w14:textId="77777777" w:rsidR="00AA0841" w:rsidRPr="00AA0841" w:rsidRDefault="00AA0841" w:rsidP="00AA0841">
      <w:r w:rsidRPr="00AA0841">
        <w:t>Based on the long-term environmental objectives in the Basin Plan, draft state long-term watering plans, site management plans, and best available knowledge, the following objectives are relevant for environmental watering in the Gwydir River Valley.</w:t>
      </w:r>
    </w:p>
    <w:p w14:paraId="6FD564D8" w14:textId="77777777" w:rsidR="00AA0841" w:rsidRPr="00AA0841" w:rsidRDefault="00AA0841" w:rsidP="00AA0841">
      <w:r w:rsidRPr="00AA0841">
        <w:t>The objectives that are targeted in a particular year may vary, depending on available water, catchment conditions, operational feasibility, and demand for environmental water. These objectives will continue to be revised as part of the CEWO’s commitment to adaptive management.</w:t>
      </w:r>
    </w:p>
    <w:p w14:paraId="688A9838" w14:textId="77777777" w:rsidR="00AA0841" w:rsidRPr="00AA0841" w:rsidRDefault="00AA0841" w:rsidP="00AA0841">
      <w:r w:rsidRPr="00AA0841">
        <w:rPr>
          <w:b/>
        </w:rPr>
        <w:t>Vegetation</w:t>
      </w:r>
      <w:r w:rsidRPr="00AA0841">
        <w:t>: Maintain the condition, diversity and extent of riparian, floodplain and wetland vegetation.</w:t>
      </w:r>
    </w:p>
    <w:p w14:paraId="27FE8FF6" w14:textId="77777777" w:rsidR="00AA0841" w:rsidRPr="00AA0841" w:rsidRDefault="00AA0841" w:rsidP="00AA0841">
      <w:r w:rsidRPr="00AA0841">
        <w:rPr>
          <w:b/>
        </w:rPr>
        <w:t>Waterbirds</w:t>
      </w:r>
      <w:r w:rsidRPr="00AA0841">
        <w:t xml:space="preserve">: Increase waterbird abundance and species diversity, and support waterbird breeding events (reproduction and fledging) through to completion.  </w:t>
      </w:r>
    </w:p>
    <w:p w14:paraId="6BE58E41" w14:textId="77777777" w:rsidR="00AA0841" w:rsidRPr="00AA0841" w:rsidRDefault="00AA0841" w:rsidP="00AA0841">
      <w:r w:rsidRPr="00AA0841">
        <w:rPr>
          <w:b/>
        </w:rPr>
        <w:t>Native fish</w:t>
      </w:r>
      <w:r w:rsidRPr="00AA0841">
        <w:t xml:space="preserve">: Support viable populations of threatened native fish and maximise opportunities for range expansion and the establishment of new populations. </w:t>
      </w:r>
    </w:p>
    <w:p w14:paraId="608F552A" w14:textId="77777777" w:rsidR="00AA0841" w:rsidRPr="00AA0841" w:rsidRDefault="00AA0841" w:rsidP="00AA0841">
      <w:r w:rsidRPr="00AA0841">
        <w:rPr>
          <w:b/>
        </w:rPr>
        <w:t>Macroinvertebrates</w:t>
      </w:r>
      <w:r w:rsidRPr="00AA0841">
        <w:t>: Support recruitment and maintain macroinvertebrate diversity and habitat.</w:t>
      </w:r>
    </w:p>
    <w:p w14:paraId="75C30857" w14:textId="77777777" w:rsidR="00AA0841" w:rsidRPr="00AA0841" w:rsidRDefault="00AA0841" w:rsidP="00AA0841">
      <w:r w:rsidRPr="00AA0841">
        <w:rPr>
          <w:b/>
        </w:rPr>
        <w:t>Connectivity</w:t>
      </w:r>
      <w:r w:rsidRPr="00AA0841">
        <w:t xml:space="preserve">: Improve flow regimes and increase connectivity in the Gwydir River system, including with the Barwon River, and lateral connectivity between rivers and the floodplain. </w:t>
      </w:r>
    </w:p>
    <w:p w14:paraId="5623FAE0" w14:textId="77777777" w:rsidR="00AA0841" w:rsidRPr="00AA0841" w:rsidRDefault="00AA0841" w:rsidP="00AA0841">
      <w:r w:rsidRPr="00AA0841">
        <w:rPr>
          <w:b/>
        </w:rPr>
        <w:t>Processes/water quality/resilience</w:t>
      </w:r>
      <w:r w:rsidRPr="00AA0841">
        <w:t>: Support key ecosystem functions including primary production, decomposition, nutrient and carbon cycling, and the mobilisation and dispersal of biotic/abiotic material; maintain water quality in channels and pools; and maintain drought refuge habitat.</w:t>
      </w:r>
    </w:p>
    <w:p w14:paraId="3D5C3439" w14:textId="77777777" w:rsidR="00AA0841" w:rsidRPr="00AA0841" w:rsidRDefault="00AA0841" w:rsidP="00AA0841">
      <w:pPr>
        <w:spacing w:after="0"/>
        <w:rPr>
          <w:color w:val="5F497A" w:themeColor="accent4" w:themeShade="BF"/>
          <w:sz w:val="26"/>
          <w:szCs w:val="24"/>
          <w:lang w:val="en-GB"/>
        </w:rPr>
      </w:pPr>
      <w:bookmarkStart w:id="92" w:name="_Hlk42790010"/>
      <w:r w:rsidRPr="00AA0841">
        <w:br w:type="page"/>
      </w:r>
    </w:p>
    <w:p w14:paraId="154C482D" w14:textId="77777777" w:rsidR="00AA0841" w:rsidRPr="00AA0841" w:rsidRDefault="00AA0841" w:rsidP="003737D8">
      <w:pPr>
        <w:pStyle w:val="Heading3"/>
      </w:pPr>
      <w:r w:rsidRPr="00AA0841">
        <w:lastRenderedPageBreak/>
        <w:t>First Nations environmental objectives</w:t>
      </w:r>
    </w:p>
    <w:bookmarkEnd w:id="92"/>
    <w:p w14:paraId="2A79952E" w14:textId="058566EB" w:rsidR="00AA0841" w:rsidRPr="00AA0841" w:rsidRDefault="00AA0841" w:rsidP="00AA0841">
      <w:r w:rsidRPr="00AA0841">
        <w:t>Representatives of the First Nations peoples of the Gwydir valley have identified environmental objectives for their country for 2020–21. These objectives have been developed through two processes. The first process was the First Nations Environmental Watering Guidance project undertaken by the Northern Basin Aboriginal Nations organisation. The second process was direct engagement by the CEWO’s Local Engagement Officers with members of the local Aboriginal community</w:t>
      </w:r>
      <w:r w:rsidRPr="00AA0841">
        <w:rPr>
          <w:rFonts w:cs="Times New Roman"/>
          <w:vertAlign w:val="superscript"/>
        </w:rPr>
        <w:footnoteReference w:id="26"/>
      </w:r>
      <w:r w:rsidRPr="00AA0841">
        <w:t>. These processes have identified objectives (</w:t>
      </w:r>
      <w:r w:rsidRPr="00AA0841">
        <w:fldChar w:fldCharType="begin"/>
      </w:r>
      <w:r w:rsidRPr="00AA0841">
        <w:instrText xml:space="preserve"> REF _Ref43388176 \h  \* MERGEFORMAT </w:instrText>
      </w:r>
      <w:r w:rsidRPr="00AA0841">
        <w:fldChar w:fldCharType="separate"/>
      </w:r>
      <w:r w:rsidR="001B2852" w:rsidRPr="001B2852">
        <w:t>Table 16</w:t>
      </w:r>
      <w:r w:rsidRPr="00AA0841">
        <w:fldChar w:fldCharType="end"/>
      </w:r>
      <w:r w:rsidRPr="00AA0841">
        <w:t xml:space="preserve">) in more detail that most valleys across a range of sites, issues and values. These processes have also identified sites of special significance for First Nations in the Gwydir valley. </w:t>
      </w:r>
    </w:p>
    <w:p w14:paraId="155CCD58" w14:textId="77777777" w:rsidR="00AA0841" w:rsidRPr="00AA0841" w:rsidRDefault="00AA0841" w:rsidP="00AA0841">
      <w:r w:rsidRPr="00AA0841">
        <w:rPr>
          <w:color w:val="auto"/>
        </w:rPr>
        <w:t xml:space="preserve">Some of these objectives are outside the scope of water for the environment to influence, while for others, the link between water for the environment and the site or issues is not well understood and needs further consultation with local Aboriginal groups to better define these links between environment, the site and Aboriginal cultural practice in relation to land and water.  Environmental flows will then aim to further contribute to identified objectives, where possible.  In addition, the Commonwealth Environmental Water Holder (CEWH) is committed to working with </w:t>
      </w:r>
      <w:r w:rsidRPr="00AA0841">
        <w:t>the local Aboriginal community to better understand their objectives and the environmental water requirements for key values and sites.</w:t>
      </w:r>
    </w:p>
    <w:p w14:paraId="243E7553" w14:textId="4029FBF4" w:rsidR="00AA0841" w:rsidRPr="00AA0841" w:rsidRDefault="00AA0841" w:rsidP="00AA0841">
      <w:pPr>
        <w:spacing w:before="240"/>
      </w:pPr>
      <w:bookmarkStart w:id="93" w:name="_Ref43388176"/>
      <w:r w:rsidRPr="00AA0841">
        <w:rPr>
          <w:b/>
        </w:rPr>
        <w:t xml:space="preserve">Table </w:t>
      </w:r>
      <w:r w:rsidRPr="00AA0841">
        <w:rPr>
          <w:b/>
        </w:rPr>
        <w:fldChar w:fldCharType="begin"/>
      </w:r>
      <w:r w:rsidRPr="00AA0841">
        <w:rPr>
          <w:b/>
        </w:rPr>
        <w:instrText xml:space="preserve"> SEQ Table \* ARABIC </w:instrText>
      </w:r>
      <w:r w:rsidRPr="00AA0841">
        <w:rPr>
          <w:b/>
        </w:rPr>
        <w:fldChar w:fldCharType="separate"/>
      </w:r>
      <w:r w:rsidR="001B2852">
        <w:rPr>
          <w:b/>
          <w:noProof/>
        </w:rPr>
        <w:t>16</w:t>
      </w:r>
      <w:r w:rsidRPr="00AA0841">
        <w:rPr>
          <w:b/>
        </w:rPr>
        <w:fldChar w:fldCharType="end"/>
      </w:r>
      <w:bookmarkEnd w:id="93"/>
      <w:r w:rsidRPr="00AA0841">
        <w:t xml:space="preserve">: First Nations environmental objectives for the Gwydir system for 2020–21 </w:t>
      </w:r>
    </w:p>
    <w:tbl>
      <w:tblPr>
        <w:tblW w:w="9639" w:type="dxa"/>
        <w:tblInd w:w="-10" w:type="dxa"/>
        <w:tblCellMar>
          <w:left w:w="0" w:type="dxa"/>
          <w:right w:w="0" w:type="dxa"/>
        </w:tblCellMar>
        <w:tblLook w:val="04A0" w:firstRow="1" w:lastRow="0" w:firstColumn="1" w:lastColumn="0" w:noHBand="0" w:noVBand="1"/>
      </w:tblPr>
      <w:tblGrid>
        <w:gridCol w:w="9639"/>
      </w:tblGrid>
      <w:tr w:rsidR="00AA0841" w:rsidRPr="00AA0841" w14:paraId="0B6AA016" w14:textId="77777777" w:rsidTr="00AA0841">
        <w:tc>
          <w:tcPr>
            <w:tcW w:w="9639" w:type="dxa"/>
            <w:tcBorders>
              <w:top w:val="single" w:sz="8" w:space="0" w:color="auto"/>
              <w:left w:val="single" w:sz="8" w:space="0" w:color="auto"/>
              <w:bottom w:val="nil"/>
              <w:right w:val="single" w:sz="8" w:space="0" w:color="auto"/>
            </w:tcBorders>
            <w:shd w:val="clear" w:color="auto" w:fill="B6DDE8" w:themeFill="accent5" w:themeFillTint="66"/>
            <w:tcMar>
              <w:top w:w="0" w:type="dxa"/>
              <w:left w:w="108" w:type="dxa"/>
              <w:bottom w:w="0" w:type="dxa"/>
              <w:right w:w="108" w:type="dxa"/>
            </w:tcMar>
            <w:vAlign w:val="center"/>
            <w:hideMark/>
          </w:tcPr>
          <w:p w14:paraId="0B27A827" w14:textId="77777777" w:rsidR="00AA0841" w:rsidRPr="00AA0841" w:rsidRDefault="00AA0841" w:rsidP="00AA0841">
            <w:pPr>
              <w:rPr>
                <w:b/>
                <w:lang w:val="en-GB"/>
              </w:rPr>
            </w:pPr>
            <w:r w:rsidRPr="00AA0841">
              <w:rPr>
                <w:b/>
                <w:lang w:val="en-GB"/>
              </w:rPr>
              <w:t>River flows and Connectivity</w:t>
            </w:r>
          </w:p>
        </w:tc>
      </w:tr>
      <w:tr w:rsidR="00AA0841" w:rsidRPr="00AA0841" w14:paraId="6316077B" w14:textId="77777777" w:rsidTr="00AA0841">
        <w:trPr>
          <w:trHeight w:val="1479"/>
        </w:trPr>
        <w:tc>
          <w:tcPr>
            <w:tcW w:w="963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8C1D26" w14:textId="77777777" w:rsidR="00AA0841" w:rsidRPr="00AA0841" w:rsidRDefault="00AA0841" w:rsidP="00AA0841">
            <w:r w:rsidRPr="00AA0841">
              <w:rPr>
                <w:rFonts w:ascii="Calibri" w:hAnsi="Calibri" w:cs="Calibri"/>
                <w:i/>
                <w:color w:val="5F497A" w:themeColor="accent4" w:themeShade="BF"/>
                <w:lang w:val="en-GB"/>
              </w:rPr>
              <w:t>NBAN priority sites</w:t>
            </w:r>
            <w:r w:rsidRPr="00AA0841">
              <w:rPr>
                <w:rFonts w:ascii="Calibri" w:hAnsi="Calibri" w:cs="Calibri"/>
                <w:i/>
                <w:color w:val="5F497A" w:themeColor="accent4" w:themeShade="BF"/>
                <w:szCs w:val="22"/>
                <w:lang w:val="en-GB" w:eastAsia="en-US"/>
              </w:rPr>
              <w:t>:</w:t>
            </w:r>
            <w:r w:rsidRPr="00AA0841">
              <w:t xml:space="preserve"> Gwydir River always needs to flow at a certain level</w:t>
            </w:r>
            <w:r w:rsidRPr="00AA0841">
              <w:rPr>
                <w:vertAlign w:val="superscript"/>
              </w:rPr>
              <w:t>i</w:t>
            </w:r>
            <w:r w:rsidRPr="00AA0841">
              <w:t>.</w:t>
            </w:r>
          </w:p>
          <w:p w14:paraId="5E46F446" w14:textId="77777777" w:rsidR="00AA0841" w:rsidRPr="00AA0841" w:rsidRDefault="00AA0841" w:rsidP="00AA0841">
            <w:r w:rsidRPr="00AA0841">
              <w:rPr>
                <w:rFonts w:ascii="Calibri" w:hAnsi="Calibri" w:cs="Calibri"/>
                <w:i/>
                <w:color w:val="5F497A" w:themeColor="accent4" w:themeShade="BF"/>
                <w:lang w:val="en-GB"/>
              </w:rPr>
              <w:t>Local Aboriginal community:</w:t>
            </w:r>
            <w:r w:rsidRPr="00AA0841">
              <w:rPr>
                <w:color w:val="222222"/>
              </w:rPr>
              <w:t xml:space="preserve"> </w:t>
            </w:r>
            <w:r w:rsidRPr="00AA0841">
              <w:t>Water is life and connects all things, and all things are interconnected</w:t>
            </w:r>
            <w:r w:rsidRPr="00AA0841">
              <w:rPr>
                <w:vertAlign w:val="superscript"/>
              </w:rPr>
              <w:t>;</w:t>
            </w:r>
            <w:r w:rsidRPr="00AA0841">
              <w:t>; rivers and wetlands need water, need flows; need to care for Country in a physical and spiritual sense; need to look after country and to fulfil cultural obligations</w:t>
            </w:r>
            <w:r w:rsidRPr="00AA0841">
              <w:rPr>
                <w:vertAlign w:val="superscript"/>
              </w:rPr>
              <w:t xml:space="preserve">; </w:t>
            </w:r>
            <w:r w:rsidRPr="00AA0841">
              <w:t>Need to look after own mob and for downstream mobs.</w:t>
            </w:r>
          </w:p>
        </w:tc>
      </w:tr>
      <w:tr w:rsidR="00AA0841" w:rsidRPr="00AA0841" w14:paraId="64E9333A" w14:textId="77777777" w:rsidTr="00AA0841">
        <w:tc>
          <w:tcPr>
            <w:tcW w:w="9639" w:type="dxa"/>
            <w:tcBorders>
              <w:top w:val="nil"/>
              <w:left w:val="single" w:sz="8" w:space="0" w:color="auto"/>
              <w:bottom w:val="nil"/>
              <w:right w:val="single" w:sz="8" w:space="0" w:color="auto"/>
            </w:tcBorders>
            <w:shd w:val="clear" w:color="auto" w:fill="B6DDE8" w:themeFill="accent5" w:themeFillTint="66"/>
            <w:tcMar>
              <w:top w:w="0" w:type="dxa"/>
              <w:left w:w="108" w:type="dxa"/>
              <w:bottom w:w="0" w:type="dxa"/>
              <w:right w:w="108" w:type="dxa"/>
            </w:tcMar>
            <w:hideMark/>
          </w:tcPr>
          <w:p w14:paraId="5F29E2A8" w14:textId="77777777" w:rsidR="00AA0841" w:rsidRPr="00AA0841" w:rsidRDefault="00AA0841" w:rsidP="00AA0841">
            <w:pPr>
              <w:rPr>
                <w:b/>
                <w:lang w:val="en-GB"/>
              </w:rPr>
            </w:pPr>
            <w:r w:rsidRPr="00AA0841">
              <w:rPr>
                <w:b/>
                <w:lang w:val="en-GB"/>
              </w:rPr>
              <w:t>Native Vegetation</w:t>
            </w:r>
          </w:p>
        </w:tc>
      </w:tr>
      <w:tr w:rsidR="00AA0841" w:rsidRPr="00AA0841" w14:paraId="243ED9A3" w14:textId="77777777" w:rsidTr="00AA0841">
        <w:trPr>
          <w:trHeight w:val="1434"/>
        </w:trPr>
        <w:tc>
          <w:tcPr>
            <w:tcW w:w="963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15F1CFF" w14:textId="77777777" w:rsidR="00AA0841" w:rsidRPr="00AA0841" w:rsidRDefault="00AA0841" w:rsidP="00AA0841">
            <w:pPr>
              <w:rPr>
                <w:color w:val="222222"/>
              </w:rPr>
            </w:pPr>
            <w:r w:rsidRPr="00AA0841">
              <w:rPr>
                <w:rFonts w:ascii="Calibri" w:hAnsi="Calibri" w:cs="Calibri"/>
                <w:i/>
                <w:color w:val="5F497A" w:themeColor="accent4" w:themeShade="BF"/>
                <w:lang w:val="en-GB"/>
              </w:rPr>
              <w:t>NBAN indicator species</w:t>
            </w:r>
            <w:r w:rsidRPr="00AA0841">
              <w:rPr>
                <w:rFonts w:ascii="Calibri" w:hAnsi="Calibri" w:cs="Calibri"/>
                <w:i/>
                <w:color w:val="5F497A" w:themeColor="accent4" w:themeShade="BF"/>
                <w:szCs w:val="22"/>
                <w:lang w:val="en-GB" w:eastAsia="en-US"/>
              </w:rPr>
              <w:t>:</w:t>
            </w:r>
            <w:r w:rsidRPr="00AA0841">
              <w:rPr>
                <w:color w:val="222222"/>
              </w:rPr>
              <w:t xml:space="preserve"> Gidgee gum</w:t>
            </w:r>
            <w:r w:rsidRPr="00AA0841">
              <w:rPr>
                <w:vertAlign w:val="superscript"/>
              </w:rPr>
              <w:t>i</w:t>
            </w:r>
            <w:r w:rsidRPr="00AA0841">
              <w:rPr>
                <w:color w:val="222222"/>
              </w:rPr>
              <w:t>, blue gum</w:t>
            </w:r>
            <w:r w:rsidRPr="00AA0841">
              <w:rPr>
                <w:vertAlign w:val="superscript"/>
              </w:rPr>
              <w:t>i</w:t>
            </w:r>
            <w:r w:rsidRPr="00AA0841">
              <w:rPr>
                <w:color w:val="222222"/>
              </w:rPr>
              <w:t>, bulrush, water lily, sedges, tea trees, sandalwood</w:t>
            </w:r>
            <w:r w:rsidRPr="00AA0841">
              <w:rPr>
                <w:vertAlign w:val="superscript"/>
              </w:rPr>
              <w:t>i</w:t>
            </w:r>
            <w:r w:rsidRPr="00AA0841">
              <w:rPr>
                <w:color w:val="222222"/>
              </w:rPr>
              <w:t>, iron bark</w:t>
            </w:r>
            <w:r w:rsidRPr="00AA0841">
              <w:rPr>
                <w:vertAlign w:val="superscript"/>
              </w:rPr>
              <w:t>i</w:t>
            </w:r>
            <w:r w:rsidRPr="00AA0841">
              <w:rPr>
                <w:color w:val="222222"/>
              </w:rPr>
              <w:t>, poplar box</w:t>
            </w:r>
            <w:r w:rsidRPr="00AA0841">
              <w:rPr>
                <w:vertAlign w:val="superscript"/>
              </w:rPr>
              <w:t>i</w:t>
            </w:r>
            <w:r w:rsidRPr="00AA0841">
              <w:rPr>
                <w:color w:val="222222"/>
              </w:rPr>
              <w:t>.</w:t>
            </w:r>
          </w:p>
          <w:p w14:paraId="18E8562E" w14:textId="77777777" w:rsidR="00AA0841" w:rsidRPr="00AA0841" w:rsidRDefault="00AA0841" w:rsidP="00AA0841">
            <w:r w:rsidRPr="00AA0841">
              <w:rPr>
                <w:rFonts w:ascii="Calibri" w:hAnsi="Calibri" w:cs="Calibri"/>
                <w:i/>
                <w:color w:val="5F497A" w:themeColor="accent4" w:themeShade="BF"/>
                <w:lang w:val="en-GB"/>
              </w:rPr>
              <w:t>Local Aboriginal community indicator species:</w:t>
            </w:r>
            <w:r w:rsidRPr="00AA0841">
              <w:t xml:space="preserve"> Vegetation species that are resources growing in and along rivers and in wetlands and billabongs, and on floodplains – bush tucker, medicines and cultural practices</w:t>
            </w:r>
            <w:r w:rsidRPr="00AA0841">
              <w:rPr>
                <w:vertAlign w:val="superscript"/>
              </w:rPr>
              <w:t>i</w:t>
            </w:r>
            <w:r w:rsidRPr="00AA0841">
              <w:t>.</w:t>
            </w:r>
          </w:p>
        </w:tc>
      </w:tr>
      <w:tr w:rsidR="00AA0841" w:rsidRPr="00AA0841" w14:paraId="3DC32F88" w14:textId="77777777" w:rsidTr="00AA0841">
        <w:tc>
          <w:tcPr>
            <w:tcW w:w="9639" w:type="dxa"/>
            <w:tcBorders>
              <w:top w:val="nil"/>
              <w:left w:val="single" w:sz="8" w:space="0" w:color="auto"/>
              <w:bottom w:val="nil"/>
              <w:right w:val="single" w:sz="8" w:space="0" w:color="auto"/>
            </w:tcBorders>
            <w:shd w:val="clear" w:color="auto" w:fill="B6DDE8" w:themeFill="accent5" w:themeFillTint="66"/>
            <w:tcMar>
              <w:top w:w="0" w:type="dxa"/>
              <w:left w:w="108" w:type="dxa"/>
              <w:bottom w:w="0" w:type="dxa"/>
              <w:right w:w="108" w:type="dxa"/>
            </w:tcMar>
            <w:hideMark/>
          </w:tcPr>
          <w:p w14:paraId="1A2FFB2A" w14:textId="77777777" w:rsidR="00AA0841" w:rsidRPr="00AA0841" w:rsidRDefault="00AA0841" w:rsidP="00AA0841">
            <w:pPr>
              <w:rPr>
                <w:b/>
                <w:lang w:val="en-GB"/>
              </w:rPr>
            </w:pPr>
            <w:r w:rsidRPr="00AA0841">
              <w:rPr>
                <w:b/>
                <w:lang w:val="en-GB"/>
              </w:rPr>
              <w:t>Native Birds</w:t>
            </w:r>
          </w:p>
        </w:tc>
      </w:tr>
      <w:tr w:rsidR="00AA0841" w:rsidRPr="00AA0841" w14:paraId="57D38523" w14:textId="77777777" w:rsidTr="00B044C3">
        <w:trPr>
          <w:trHeight w:val="1023"/>
        </w:trPr>
        <w:tc>
          <w:tcPr>
            <w:tcW w:w="963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40353DE" w14:textId="77777777" w:rsidR="00AA0841" w:rsidRPr="00AA0841" w:rsidRDefault="00AA0841" w:rsidP="00AA0841">
            <w:r w:rsidRPr="00AA0841">
              <w:rPr>
                <w:rFonts w:ascii="Calibri" w:hAnsi="Calibri" w:cs="Calibri"/>
                <w:i/>
                <w:color w:val="5F497A" w:themeColor="accent4" w:themeShade="BF"/>
                <w:lang w:val="en-GB"/>
              </w:rPr>
              <w:t>NBAN indicator species:</w:t>
            </w:r>
            <w:r w:rsidRPr="00AA0841">
              <w:t xml:space="preserve"> T</w:t>
            </w:r>
            <w:r w:rsidRPr="00AA0841">
              <w:rPr>
                <w:color w:val="222222"/>
              </w:rPr>
              <w:t>eal, crimson wing, storks, white long-legged heron.</w:t>
            </w:r>
          </w:p>
          <w:p w14:paraId="0EB52EDD" w14:textId="77777777" w:rsidR="00AA0841" w:rsidRPr="00AA0841" w:rsidRDefault="00AA0841" w:rsidP="00AA0841">
            <w:r w:rsidRPr="00AA0841">
              <w:rPr>
                <w:rFonts w:ascii="Calibri" w:hAnsi="Calibri" w:cs="Calibri"/>
                <w:i/>
                <w:color w:val="5F497A" w:themeColor="accent4" w:themeShade="BF"/>
                <w:lang w:val="en-GB"/>
              </w:rPr>
              <w:t>Local Aboriginal community indicator species:</w:t>
            </w:r>
            <w:r w:rsidRPr="00AA0841">
              <w:t xml:space="preserve"> B</w:t>
            </w:r>
            <w:r w:rsidRPr="00AA0841">
              <w:rPr>
                <w:color w:val="222222"/>
              </w:rPr>
              <w:t>rolga, ducks, magpie geese.</w:t>
            </w:r>
          </w:p>
        </w:tc>
      </w:tr>
      <w:tr w:rsidR="00AA0841" w:rsidRPr="00AA0841" w14:paraId="7C01A1CE" w14:textId="77777777" w:rsidTr="00AA0841">
        <w:tc>
          <w:tcPr>
            <w:tcW w:w="9639" w:type="dxa"/>
            <w:tcBorders>
              <w:top w:val="nil"/>
              <w:left w:val="single" w:sz="8" w:space="0" w:color="auto"/>
              <w:bottom w:val="nil"/>
              <w:right w:val="single" w:sz="8" w:space="0" w:color="auto"/>
            </w:tcBorders>
            <w:shd w:val="clear" w:color="auto" w:fill="B6DDE8" w:themeFill="accent5" w:themeFillTint="66"/>
            <w:tcMar>
              <w:top w:w="0" w:type="dxa"/>
              <w:left w:w="108" w:type="dxa"/>
              <w:bottom w:w="0" w:type="dxa"/>
              <w:right w:w="108" w:type="dxa"/>
            </w:tcMar>
            <w:hideMark/>
          </w:tcPr>
          <w:p w14:paraId="68A77A09" w14:textId="77777777" w:rsidR="00AA0841" w:rsidRPr="00AA0841" w:rsidRDefault="00AA0841" w:rsidP="00AA0841">
            <w:pPr>
              <w:rPr>
                <w:b/>
                <w:lang w:val="en-GB"/>
              </w:rPr>
            </w:pPr>
            <w:r w:rsidRPr="00AA0841">
              <w:rPr>
                <w:b/>
                <w:lang w:val="en-GB"/>
              </w:rPr>
              <w:t>Native Animals</w:t>
            </w:r>
          </w:p>
        </w:tc>
      </w:tr>
      <w:tr w:rsidR="00AA0841" w:rsidRPr="00AA0841" w14:paraId="677592AD" w14:textId="77777777" w:rsidTr="00B044C3">
        <w:trPr>
          <w:trHeight w:val="1865"/>
        </w:trPr>
        <w:tc>
          <w:tcPr>
            <w:tcW w:w="963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A9434F" w14:textId="77777777" w:rsidR="00AA0841" w:rsidRPr="00AA0841" w:rsidRDefault="00AA0841" w:rsidP="00AA0841">
            <w:pPr>
              <w:rPr>
                <w:color w:val="222222"/>
              </w:rPr>
            </w:pPr>
            <w:r w:rsidRPr="00AA0841">
              <w:rPr>
                <w:rFonts w:ascii="Calibri" w:hAnsi="Calibri" w:cs="Calibri"/>
                <w:i/>
                <w:color w:val="5F497A" w:themeColor="accent4" w:themeShade="BF"/>
                <w:lang w:val="en-GB"/>
              </w:rPr>
              <w:t>NBAN indicator species:</w:t>
            </w:r>
            <w:r w:rsidRPr="00AA0841">
              <w:rPr>
                <w:color w:val="222222"/>
              </w:rPr>
              <w:t xml:space="preserve"> Dhufish (eel-tailed catfish), yellowbelly, codfish. black bream (silver perch).</w:t>
            </w:r>
          </w:p>
          <w:p w14:paraId="2988280F" w14:textId="77777777" w:rsidR="00AA0841" w:rsidRPr="00AA0841" w:rsidRDefault="00AA0841" w:rsidP="00AA0841">
            <w:pPr>
              <w:rPr>
                <w:rFonts w:ascii="Century Gothic" w:hAnsi="Century Gothic" w:cs="Calibri"/>
              </w:rPr>
            </w:pPr>
            <w:r w:rsidRPr="00AA0841">
              <w:rPr>
                <w:rFonts w:ascii="Calibri" w:hAnsi="Calibri" w:cs="Calibri"/>
                <w:i/>
                <w:color w:val="5F497A" w:themeColor="accent4" w:themeShade="BF"/>
                <w:lang w:val="en-GB"/>
              </w:rPr>
              <w:t>Local Aboriginal community indicator species:</w:t>
            </w:r>
            <w:r w:rsidRPr="00AA0841">
              <w:t xml:space="preserve"> Look after native fish, both own importance and resource for community</w:t>
            </w:r>
            <w:r w:rsidRPr="00AA0841">
              <w:rPr>
                <w:vertAlign w:val="superscript"/>
              </w:rPr>
              <w:t xml:space="preserve"> </w:t>
            </w:r>
            <w:r w:rsidRPr="00AA0841">
              <w:t>; look after the critters, everything needs water, make sure things can survive and live; need to look after critters, care for all as part of whole picture, and to look after totem species and significant species.</w:t>
            </w:r>
          </w:p>
        </w:tc>
      </w:tr>
      <w:tr w:rsidR="00AA0841" w:rsidRPr="00AA0841" w14:paraId="31D7294C" w14:textId="77777777" w:rsidTr="00AA0841">
        <w:tc>
          <w:tcPr>
            <w:tcW w:w="9639" w:type="dxa"/>
            <w:tcBorders>
              <w:top w:val="nil"/>
              <w:left w:val="single" w:sz="8" w:space="0" w:color="auto"/>
              <w:bottom w:val="nil"/>
              <w:right w:val="single" w:sz="8" w:space="0" w:color="auto"/>
            </w:tcBorders>
            <w:shd w:val="clear" w:color="auto" w:fill="B6DDE8" w:themeFill="accent5" w:themeFillTint="66"/>
            <w:tcMar>
              <w:top w:w="0" w:type="dxa"/>
              <w:left w:w="108" w:type="dxa"/>
              <w:bottom w:w="0" w:type="dxa"/>
              <w:right w:w="108" w:type="dxa"/>
            </w:tcMar>
            <w:hideMark/>
          </w:tcPr>
          <w:p w14:paraId="2488DEC6" w14:textId="77777777" w:rsidR="00AA0841" w:rsidRPr="00AA0841" w:rsidRDefault="00AA0841" w:rsidP="00AA0841">
            <w:pPr>
              <w:rPr>
                <w:b/>
                <w:lang w:val="en-GB"/>
              </w:rPr>
            </w:pPr>
            <w:r w:rsidRPr="00AA0841">
              <w:rPr>
                <w:b/>
                <w:lang w:val="en-GB"/>
              </w:rPr>
              <w:t>Connecting with Country</w:t>
            </w:r>
          </w:p>
        </w:tc>
      </w:tr>
      <w:tr w:rsidR="00AA0841" w:rsidRPr="00AA0841" w14:paraId="4C1BA7C2" w14:textId="77777777" w:rsidTr="00AA0841">
        <w:tc>
          <w:tcPr>
            <w:tcW w:w="963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581A82" w14:textId="77777777" w:rsidR="00AA0841" w:rsidRPr="00AA0841" w:rsidRDefault="00AA0841" w:rsidP="00AA0841">
            <w:r w:rsidRPr="00AA0841">
              <w:rPr>
                <w:rFonts w:ascii="Calibri" w:hAnsi="Calibri" w:cs="Calibri"/>
                <w:i/>
                <w:color w:val="5F497A" w:themeColor="accent4" w:themeShade="BF"/>
                <w:lang w:val="en-GB"/>
              </w:rPr>
              <w:t>NBAN</w:t>
            </w:r>
            <w:r w:rsidRPr="00AA0841">
              <w:rPr>
                <w:i/>
                <w:color w:val="5F497A" w:themeColor="accent4" w:themeShade="BF"/>
                <w:lang w:val="en-GB"/>
              </w:rPr>
              <w:t>:</w:t>
            </w:r>
            <w:r w:rsidRPr="00AA0841">
              <w:rPr>
                <w:color w:val="222222"/>
              </w:rPr>
              <w:t xml:space="preserve"> The Gomeroi people need to: </w:t>
            </w:r>
            <w:r w:rsidRPr="00AA0841">
              <w:t>tell and share our stories; be able to hunt and fish along the rivers; gather at the river as a Nation; go camping.</w:t>
            </w:r>
          </w:p>
          <w:p w14:paraId="1CFDB529" w14:textId="77777777" w:rsidR="00AA0841" w:rsidRPr="00AA0841" w:rsidRDefault="00AA0841" w:rsidP="00AA0841">
            <w:pPr>
              <w:rPr>
                <w:color w:val="222222"/>
              </w:rPr>
            </w:pPr>
            <w:r w:rsidRPr="00AA0841">
              <w:rPr>
                <w:rFonts w:ascii="Calibri" w:hAnsi="Calibri" w:cs="Calibri"/>
                <w:i/>
                <w:color w:val="5F497A" w:themeColor="accent4" w:themeShade="BF"/>
                <w:lang w:val="en-GB"/>
              </w:rPr>
              <w:lastRenderedPageBreak/>
              <w:t>Local Aboriginal community input</w:t>
            </w:r>
            <w:r w:rsidRPr="00AA0841">
              <w:rPr>
                <w:i/>
                <w:color w:val="5F497A" w:themeColor="accent4" w:themeShade="BF"/>
                <w:lang w:val="en-GB"/>
              </w:rPr>
              <w:t>:</w:t>
            </w:r>
            <w:r w:rsidRPr="00AA0841">
              <w:t xml:space="preserve"> sharing stories and knowledge are important to the Gomeroi people and the following assist in doing this: b</w:t>
            </w:r>
            <w:r w:rsidRPr="00AA0841">
              <w:rPr>
                <w:color w:val="222222"/>
              </w:rPr>
              <w:t>eing able to go out on Country to reconnect and share knowledge about landscape and resources, about spiritual and creation stories, and educate the younger generations; connecting to and Caring for Country – opportunities to go out on Country, and obligations to care for Country. Important values include modified trees, burial sites, scar trees, stone artefacts and</w:t>
            </w:r>
            <w:r w:rsidRPr="00AA0841">
              <w:rPr>
                <w:color w:val="0D0D0D"/>
              </w:rPr>
              <w:t xml:space="preserve"> a midden</w:t>
            </w:r>
            <w:r w:rsidRPr="00AA0841">
              <w:rPr>
                <w:color w:val="222222"/>
              </w:rPr>
              <w:t xml:space="preserve"> site. </w:t>
            </w:r>
          </w:p>
        </w:tc>
      </w:tr>
      <w:tr w:rsidR="00AA0841" w:rsidRPr="00AA0841" w14:paraId="756B8678" w14:textId="77777777" w:rsidTr="00AA0841">
        <w:tc>
          <w:tcPr>
            <w:tcW w:w="9639" w:type="dxa"/>
            <w:tcBorders>
              <w:top w:val="single" w:sz="8" w:space="0" w:color="auto"/>
              <w:left w:val="single" w:sz="8" w:space="0" w:color="auto"/>
              <w:right w:val="single" w:sz="8" w:space="0" w:color="auto"/>
            </w:tcBorders>
            <w:shd w:val="clear" w:color="auto" w:fill="B6DDE8" w:themeFill="accent5" w:themeFillTint="66"/>
            <w:tcMar>
              <w:top w:w="0" w:type="dxa"/>
              <w:left w:w="108" w:type="dxa"/>
              <w:bottom w:w="0" w:type="dxa"/>
              <w:right w:w="108" w:type="dxa"/>
            </w:tcMar>
            <w:hideMark/>
          </w:tcPr>
          <w:p w14:paraId="5BFF8A5A" w14:textId="77777777" w:rsidR="00AA0841" w:rsidRPr="00AA0841" w:rsidRDefault="00AA0841" w:rsidP="00AA0841">
            <w:pPr>
              <w:rPr>
                <w:b/>
                <w:color w:val="222222"/>
              </w:rPr>
            </w:pPr>
            <w:r w:rsidRPr="00AA0841">
              <w:rPr>
                <w:b/>
                <w:color w:val="222222"/>
              </w:rPr>
              <w:lastRenderedPageBreak/>
              <w:t xml:space="preserve">Other notable </w:t>
            </w:r>
            <w:r w:rsidRPr="00AA0841">
              <w:rPr>
                <w:b/>
              </w:rPr>
              <w:t>water-dependent sites</w:t>
            </w:r>
          </w:p>
        </w:tc>
      </w:tr>
      <w:tr w:rsidR="00AA0841" w:rsidRPr="00AA0841" w14:paraId="1993451B" w14:textId="77777777" w:rsidTr="00AA0841">
        <w:tc>
          <w:tcPr>
            <w:tcW w:w="9639" w:type="dxa"/>
            <w:tcBorders>
              <w:left w:val="single" w:sz="8" w:space="0" w:color="auto"/>
              <w:bottom w:val="single" w:sz="8" w:space="0" w:color="auto"/>
              <w:right w:val="single" w:sz="8" w:space="0" w:color="auto"/>
            </w:tcBorders>
            <w:tcMar>
              <w:top w:w="0" w:type="dxa"/>
              <w:left w:w="108" w:type="dxa"/>
              <w:bottom w:w="0" w:type="dxa"/>
              <w:right w:w="108" w:type="dxa"/>
            </w:tcMar>
          </w:tcPr>
          <w:p w14:paraId="39129963" w14:textId="77777777" w:rsidR="00AA0841" w:rsidRPr="00AA0841" w:rsidRDefault="00AA0841" w:rsidP="00AA0841">
            <w:pPr>
              <w:rPr>
                <w:color w:val="222222"/>
              </w:rPr>
            </w:pPr>
            <w:r w:rsidRPr="00AA0841">
              <w:rPr>
                <w:rFonts w:ascii="Calibri" w:hAnsi="Calibri" w:cs="Calibri"/>
                <w:i/>
                <w:color w:val="5F497A" w:themeColor="accent4" w:themeShade="BF"/>
                <w:lang w:val="en-GB"/>
              </w:rPr>
              <w:t>Local Aboriginal community input</w:t>
            </w:r>
            <w:r w:rsidRPr="00AA0841">
              <w:rPr>
                <w:i/>
                <w:color w:val="5F497A" w:themeColor="accent4" w:themeShade="BF"/>
                <w:lang w:val="en-GB"/>
              </w:rPr>
              <w:t>:</w:t>
            </w:r>
            <w:r w:rsidRPr="00AA0841">
              <w:rPr>
                <w:color w:val="222222"/>
              </w:rPr>
              <w:t xml:space="preserve"> </w:t>
            </w:r>
            <w:r w:rsidRPr="00AA0841">
              <w:t>Gwydir Wetlands, including the Gingham and Lower Gwydir watercourses and wetlands and significant places in and along these wetlands including Gingham Waterhole, Bunnor Lagoon, Wandoona (Troy) Waterhole and Gin Holes. The Mallowa Creek and its wetlands, including Valetta swamps and wetlands. Moomin Creek sites. Mehi River sites (especially Top and Bottom Camps). Mid-section of the Gwydir River include Gravesend, Elcombe, and Gum Flat. Other lagoons and billabongs including Tillaloo, Baroona Waterholes, the Glen Swamp; Poison Gate (Derra) Billabong</w:t>
            </w:r>
            <w:r w:rsidRPr="00AA0841">
              <w:rPr>
                <w:vertAlign w:val="superscript"/>
              </w:rPr>
              <w:t xml:space="preserve">; </w:t>
            </w:r>
            <w:r w:rsidRPr="00AA0841">
              <w:t>Whittaker’s Lagoon and Collymungle.</w:t>
            </w:r>
          </w:p>
        </w:tc>
      </w:tr>
    </w:tbl>
    <w:p w14:paraId="41CEE3FE" w14:textId="77777777" w:rsidR="00AA0841" w:rsidRPr="00AA0841" w:rsidRDefault="00AA0841" w:rsidP="00AA0841">
      <w:pPr>
        <w:spacing w:after="0"/>
        <w:rPr>
          <w:rFonts w:cs="Calibri"/>
          <w:sz w:val="20"/>
        </w:rPr>
      </w:pPr>
      <w:r w:rsidRPr="00AA0841">
        <w:rPr>
          <w:sz w:val="20"/>
        </w:rPr>
        <w:t xml:space="preserve">  </w:t>
      </w:r>
      <w:r w:rsidRPr="00AA0841">
        <w:rPr>
          <w:vertAlign w:val="superscript"/>
        </w:rPr>
        <w:t>i</w:t>
      </w:r>
      <w:r w:rsidRPr="00AA0841">
        <w:rPr>
          <w:sz w:val="20"/>
          <w:lang w:val="en-GB"/>
        </w:rPr>
        <w:t xml:space="preserve"> </w:t>
      </w:r>
      <w:r w:rsidRPr="00AA0841">
        <w:rPr>
          <w:sz w:val="20"/>
        </w:rPr>
        <w:t>Water for the environment targeting other environmental outcomes may influence this species or objective</w:t>
      </w:r>
    </w:p>
    <w:p w14:paraId="390D502E" w14:textId="77777777" w:rsidR="00AA0841" w:rsidRPr="00AA0841" w:rsidRDefault="00AA0841" w:rsidP="00B044C3">
      <w:pPr>
        <w:pStyle w:val="Heading3"/>
      </w:pPr>
      <w:r w:rsidRPr="00AA0841">
        <w:t>Recent conditions and seasonal outlook</w:t>
      </w:r>
    </w:p>
    <w:p w14:paraId="4EC9C46F" w14:textId="77777777" w:rsidR="00AA0841" w:rsidRPr="00AA0841" w:rsidRDefault="00AA0841" w:rsidP="00B044C3">
      <w:pPr>
        <w:pStyle w:val="Heading4"/>
      </w:pPr>
      <w:r w:rsidRPr="00AA0841">
        <w:t>Recent conditions and environmental water use</w:t>
      </w:r>
    </w:p>
    <w:p w14:paraId="2D81BA5B" w14:textId="77777777" w:rsidR="00AA0841" w:rsidRPr="00AA0841" w:rsidRDefault="00AA0841" w:rsidP="00AA0841">
      <w:r w:rsidRPr="00AA0841">
        <w:t xml:space="preserve">It is preferred to use natural flow triggers for a ‘reactive’ or responsive use of environmental water in the Gwydir system. Reactive use of environmental water can be in response to dry flow patterns leading to extended cease to flow periods or in response to rainfall and un-regulated (natural) flow events. </w:t>
      </w:r>
    </w:p>
    <w:p w14:paraId="64D6FB57" w14:textId="77777777" w:rsidR="00AA0841" w:rsidRPr="00AA0841" w:rsidRDefault="00AA0841" w:rsidP="00AA0841">
      <w:r w:rsidRPr="00AA0841">
        <w:t>Where a ‘reactive’ approach is insufficient to achieve inundation of priority wetland and floodplain system in a three-year period, a ‘proactive’ approach is applied. Proactive environmental watering involves the delivery of a larger volume of environmental water to support the continued health of the wetlands. A proactive approach reflects the available water, constraints, and modifications of the system.</w:t>
      </w:r>
    </w:p>
    <w:p w14:paraId="267520FC" w14:textId="77777777" w:rsidR="00AA0841" w:rsidRPr="00AA0841" w:rsidRDefault="00AA0841" w:rsidP="00AA0841">
      <w:r w:rsidRPr="00AA0841">
        <w:t xml:space="preserve">The Gwydir River Valley has experienced hot and dry conditions since 2017–18, with lowest on record rainfall and highest on record temperatures occurring during that time. Inflows to Copeton Dam were low for most of this period, with storage levels dropping to around 6 per cent of capacity in January 2020. No new allocations were made in 2019–20 for general security entitlements, and the delivery of water was restricted to block releases, including water for the environment. </w:t>
      </w:r>
    </w:p>
    <w:p w14:paraId="767F17FE" w14:textId="77777777" w:rsidR="00AA0841" w:rsidRPr="00AA0841" w:rsidRDefault="00AA0841" w:rsidP="00AA0841">
      <w:r w:rsidRPr="00AA0841">
        <w:t xml:space="preserve">Ongoing drought conditions meant many parts of the Gwydir River system stopped flowing in September and October 2019, and January 2020. During these drying phases, refuge pools began to dry and water quality declined. Responding to these dry conditions, Commonwealth and NSW water for the environment was delivered to the Gwydir and Mehi rivers and Carole Creek between October and January. This water helped refresh refuge habitat, improve water quality, and support native fish survival. </w:t>
      </w:r>
    </w:p>
    <w:p w14:paraId="04C8712D" w14:textId="77777777" w:rsidR="00AA0841" w:rsidRPr="00AA0841" w:rsidRDefault="00AA0841" w:rsidP="00AA0841">
      <w:r w:rsidRPr="00AA0841">
        <w:t xml:space="preserve">Conditions began to improve following significant rainfall events across parts of the northern Basin between January and February 2020. During this period, between 300-350 mm of rainfall was recorded across the Gwydir Valley with Copeton Dam receiving around 60 000 megalitres of inflow. Rainfall resulted in increased river flows during February and March 2020, with around 55 000 megalitres flowing past Pallamallawa on the Gwydir River and providing inflows into the Gingham and Lower Gwydir watercourse. These flows also provided connection between the Gwydir and Barwon systems via end of system flows in the Mehi River and Carole Creek. </w:t>
      </w:r>
    </w:p>
    <w:p w14:paraId="18AA6F3E" w14:textId="77777777" w:rsidR="00AA0841" w:rsidRPr="00AA0841" w:rsidRDefault="00AA0841" w:rsidP="00AA0841">
      <w:r w:rsidRPr="00AA0841">
        <w:t xml:space="preserve">In response to rainfall and natural flows, supplementary water for the environment was also provided in the February and March events. This portion of water was directed to the Gingham, Lower Gwydir and Mallowa systems to help improve river and wetland conditions. These inflows provided inundation of wetland areas including a section of the central Gingham Wetlands that had been burnt by wildfire in spring 2019. Mallowa Creek and Wetlands, along with Ballin Boora Creek and other floodplain systems received large inflows on up to four occasions from local runoff after localised heavy/intense rainfall events. Lower natural flows have continued in most parts of the system into May 2020. </w:t>
      </w:r>
    </w:p>
    <w:p w14:paraId="5D7A5139" w14:textId="77777777" w:rsidR="00AA0841" w:rsidRPr="00AA0841" w:rsidRDefault="00AA0841" w:rsidP="00AA0841">
      <w:r w:rsidRPr="00AA0841">
        <w:lastRenderedPageBreak/>
        <w:t xml:space="preserve">Details of previous Commonwealth environmental water use in the Gwydir River Valley is available at: </w:t>
      </w:r>
      <w:hyperlink r:id="rId120" w:history="1">
        <w:r w:rsidRPr="00AA0841">
          <w:rPr>
            <w:color w:val="0000FF"/>
            <w:u w:val="single"/>
          </w:rPr>
          <w:t>http://www.environment.gov.au/water/cewo/catchment/gwydir/history</w:t>
        </w:r>
      </w:hyperlink>
      <w:r w:rsidRPr="00AA0841">
        <w:t xml:space="preserve">. </w:t>
      </w:r>
    </w:p>
    <w:p w14:paraId="388ADE49" w14:textId="77777777" w:rsidR="00AA0841" w:rsidRPr="00AA0841" w:rsidRDefault="00AA0841" w:rsidP="00AA0841">
      <w:r w:rsidRPr="00AA0841">
        <w:t>Monitoring undertaken during February-March 2020 revealed that the increased flows had enhanced the condition of the lower Gwydir system with:</w:t>
      </w:r>
    </w:p>
    <w:p w14:paraId="427E638C" w14:textId="77777777" w:rsidR="00AA0841" w:rsidRPr="00AA0841" w:rsidRDefault="00AA0841" w:rsidP="00B044C3">
      <w:pPr>
        <w:pStyle w:val="DotStyle1"/>
      </w:pPr>
      <w:r w:rsidRPr="00AA0841">
        <w:t xml:space="preserve">40 water bird species observed across the system, with hundreds of birds recorded at some sites. </w:t>
      </w:r>
    </w:p>
    <w:p w14:paraId="05BDC136" w14:textId="77777777" w:rsidR="00AA0841" w:rsidRPr="00AA0841" w:rsidRDefault="00AA0841" w:rsidP="00B044C3">
      <w:pPr>
        <w:pStyle w:val="DotStyle1"/>
      </w:pPr>
      <w:r w:rsidRPr="00AA0841">
        <w:t xml:space="preserve">The Gingham Waterhole providing important habitat for a range of aquatic species including Eastern longneck and Murray River turtles. </w:t>
      </w:r>
    </w:p>
    <w:p w14:paraId="5BA9F5CE" w14:textId="77777777" w:rsidR="00AA0841" w:rsidRPr="00AA0841" w:rsidRDefault="00AA0841" w:rsidP="00B044C3">
      <w:pPr>
        <w:pStyle w:val="DotStyle1"/>
      </w:pPr>
      <w:r w:rsidRPr="00AA0841">
        <w:t>Improved condition and diversity of species within important wetlands of the Gwydir Wetlands State Conservation Area.</w:t>
      </w:r>
    </w:p>
    <w:p w14:paraId="2247BABA" w14:textId="77777777" w:rsidR="00AA0841" w:rsidRPr="00AA0841" w:rsidRDefault="00AA0841" w:rsidP="00B044C3">
      <w:pPr>
        <w:pStyle w:val="Heading4"/>
      </w:pPr>
      <w:r w:rsidRPr="00AA0841">
        <w:t>Seasonal outlook</w:t>
      </w:r>
    </w:p>
    <w:p w14:paraId="34D331B6" w14:textId="77777777" w:rsidR="00AA0841" w:rsidRPr="00AA0841" w:rsidRDefault="00AA0841" w:rsidP="00AA0841">
      <w:bookmarkStart w:id="94" w:name="_Hlk42595624"/>
      <w:r w:rsidRPr="00AA0841">
        <w:t xml:space="preserve">According to the Bureau of Meteorology outlook in July, above median rainfall is forecast across the Gwydir River Valley from late winter into spring. While this forecast suggests that the recent severe dry conditions may ease somewhat, several months of above average rainfall are needed to see a recovery from the current severe drought. Stream flows may be less than expected during the recovery. However, wetter conditions can return suddenly in the northern Basin. Maximum temperatures are also forecast to remain above average over the coming months. </w:t>
      </w:r>
    </w:p>
    <w:bookmarkEnd w:id="94"/>
    <w:p w14:paraId="2526D92D" w14:textId="77777777" w:rsidR="00AA0841" w:rsidRPr="00AA0841" w:rsidRDefault="00AA0841" w:rsidP="00B044C3">
      <w:pPr>
        <w:pStyle w:val="Heading4"/>
      </w:pPr>
      <w:r w:rsidRPr="00AA0841">
        <w:t>Water availability</w:t>
      </w:r>
    </w:p>
    <w:p w14:paraId="5E6666D1" w14:textId="77777777" w:rsidR="00AA0841" w:rsidRPr="00AA0841" w:rsidRDefault="00AA0841" w:rsidP="00AA0841">
      <w:pPr>
        <w:rPr>
          <w:highlight w:val="lightGray"/>
        </w:rPr>
      </w:pPr>
      <w:bookmarkStart w:id="95" w:name="_Hlk44655311"/>
      <w:r w:rsidRPr="00AA0841">
        <w:t xml:space="preserve">The volume of Commonwealth environmental water carried over in the Gwydir River Valley for use in </w:t>
      </w:r>
      <w:r w:rsidRPr="00AA0841">
        <w:br/>
        <w:t xml:space="preserve">2020–21 is 12 gigalitres. The 1 July 2020, NSW water allocation statement indicated full (100) allocation for high security entitlements in 2020–21, which would add an additional 4.5 gigalitres of water for the environment against Commonwealth high security entitlements. However, there may be restrictions on deliverability. </w:t>
      </w:r>
    </w:p>
    <w:p w14:paraId="1983471B" w14:textId="77777777" w:rsidR="00AA0841" w:rsidRPr="00AA0841" w:rsidRDefault="00AA0841" w:rsidP="00AA0841">
      <w:r w:rsidRPr="00AA0841">
        <w:t>As of 1 July 2020, Copeton Dam was at 13 per cent capacity. In the absence of further rainfall, there may be insufficient water available to meet all system requirements in 2020–21. This may limit the capacity to deliver water for the environment.</w:t>
      </w:r>
    </w:p>
    <w:p w14:paraId="5C4B8EDB" w14:textId="77777777" w:rsidR="00AA0841" w:rsidRPr="00AA0841" w:rsidRDefault="00AA0841" w:rsidP="00AA0841">
      <w:r w:rsidRPr="00AA0841">
        <w:t>Based on the expected available volume of water held by the Commonwealth and other water holders, as well as recent and forecast catchment conditions, it is expected that the overall resource availability will be low to moderate in 2020–21. A moderate water resource availability scenario is only possible should more rainfall and inflows occur.</w:t>
      </w:r>
    </w:p>
    <w:bookmarkEnd w:id="95"/>
    <w:p w14:paraId="59B43C4D" w14:textId="77777777" w:rsidR="00AA0841" w:rsidRPr="00AA0841" w:rsidRDefault="00AA0841" w:rsidP="00B044C3">
      <w:pPr>
        <w:pStyle w:val="Heading4"/>
      </w:pPr>
      <w:r w:rsidRPr="00AA0841">
        <w:t>Environmental demands</w:t>
      </w:r>
    </w:p>
    <w:p w14:paraId="727A4085" w14:textId="77777777" w:rsidR="00AA0841" w:rsidRPr="00AA0841" w:rsidRDefault="00AA0841" w:rsidP="00AA0841">
      <w:r w:rsidRPr="00AA0841">
        <w:t xml:space="preserve">Considering the prolonged drought conditions and the need to avoid further damage, build resilience, and support the recovery of key assets in the Gwydir Valley, there are a number of environmental demands that require water urgently in 2020–21. </w:t>
      </w:r>
    </w:p>
    <w:p w14:paraId="570A1365" w14:textId="42AB1308" w:rsidR="00AA0841" w:rsidRPr="00AA0841" w:rsidRDefault="00AA0841" w:rsidP="00AA0841">
      <w:r w:rsidRPr="00AA0841">
        <w:t xml:space="preserve">The </w:t>
      </w:r>
      <w:bookmarkStart w:id="96" w:name="_Hlk40185202"/>
      <w:r w:rsidRPr="00AA0841">
        <w:t>environmental water demands for assets in the Gwydir River Valley in 2020–21</w:t>
      </w:r>
      <w:bookmarkEnd w:id="96"/>
      <w:r w:rsidRPr="00AA0841">
        <w:t xml:space="preserve"> are represented in </w:t>
      </w:r>
      <w:r w:rsidRPr="00AA0841">
        <w:fldChar w:fldCharType="begin"/>
      </w:r>
      <w:r w:rsidRPr="00AA0841">
        <w:instrText xml:space="preserve"> REF _Ref43816612 \h  \* MERGEFORMAT </w:instrText>
      </w:r>
      <w:r w:rsidRPr="00AA0841">
        <w:fldChar w:fldCharType="separate"/>
      </w:r>
      <w:r w:rsidR="001B2852" w:rsidRPr="001B2852">
        <w:t>Table</w:t>
      </w:r>
      <w:r w:rsidR="001B2852" w:rsidRPr="00AA0841">
        <w:rPr>
          <w:b/>
        </w:rPr>
        <w:t xml:space="preserve"> </w:t>
      </w:r>
      <w:r w:rsidR="001B2852">
        <w:rPr>
          <w:b/>
          <w:noProof/>
        </w:rPr>
        <w:t>17</w:t>
      </w:r>
      <w:r w:rsidRPr="00AA0841">
        <w:fldChar w:fldCharType="end"/>
      </w:r>
      <w:r w:rsidRPr="00AA0841">
        <w:t>. Please note that the capacity to contribute to many of these environmental demands is contingent on further improvements in water availability in the catchment.</w:t>
      </w:r>
    </w:p>
    <w:p w14:paraId="3896E4E1" w14:textId="77777777" w:rsidR="00AA0841" w:rsidRPr="00AA0841" w:rsidRDefault="00AA0841" w:rsidP="00AA0841">
      <w:pPr>
        <w:spacing w:after="240"/>
        <w:rPr>
          <w:rFonts w:ascii="Century Gothic" w:hAnsi="Century Gothic" w:cs="Times New Roman"/>
          <w:color w:val="auto"/>
          <w:sz w:val="20"/>
          <w:lang w:val="en-US" w:eastAsia="en-US"/>
        </w:rPr>
        <w:sectPr w:rsidR="00AA0841" w:rsidRPr="00AA0841" w:rsidSect="003737D8">
          <w:footnotePr>
            <w:numRestart w:val="eachSect"/>
          </w:footnotePr>
          <w:pgSz w:w="11906" w:h="16838"/>
          <w:pgMar w:top="1134" w:right="1133" w:bottom="851" w:left="964" w:header="567" w:footer="397" w:gutter="0"/>
          <w:cols w:space="708"/>
          <w:docGrid w:linePitch="360"/>
        </w:sectPr>
      </w:pPr>
    </w:p>
    <w:p w14:paraId="0FD767C1" w14:textId="6D8D50ED" w:rsidR="00AA0841" w:rsidRPr="00AA0841" w:rsidRDefault="00AA0841" w:rsidP="00AA0841">
      <w:bookmarkStart w:id="97" w:name="_Ref43816612"/>
      <w:r w:rsidRPr="00AA0841">
        <w:rPr>
          <w:b/>
        </w:rPr>
        <w:lastRenderedPageBreak/>
        <w:t xml:space="preserve">Table </w:t>
      </w:r>
      <w:r w:rsidRPr="00AA0841">
        <w:rPr>
          <w:b/>
        </w:rPr>
        <w:fldChar w:fldCharType="begin"/>
      </w:r>
      <w:r w:rsidRPr="00AA0841">
        <w:rPr>
          <w:b/>
        </w:rPr>
        <w:instrText xml:space="preserve"> SEQ Table \* ARABIC </w:instrText>
      </w:r>
      <w:r w:rsidRPr="00AA0841">
        <w:rPr>
          <w:b/>
        </w:rPr>
        <w:fldChar w:fldCharType="separate"/>
      </w:r>
      <w:r w:rsidR="001B2852">
        <w:rPr>
          <w:b/>
          <w:noProof/>
        </w:rPr>
        <w:t>17</w:t>
      </w:r>
      <w:r w:rsidRPr="00AA0841">
        <w:rPr>
          <w:b/>
        </w:rPr>
        <w:fldChar w:fldCharType="end"/>
      </w:r>
      <w:bookmarkEnd w:id="97"/>
      <w:r w:rsidRPr="00AA0841">
        <w:rPr>
          <w:b/>
        </w:rPr>
        <w:t>:</w:t>
      </w:r>
      <w:r w:rsidRPr="00AA0841">
        <w:t xml:space="preserve"> Environmental demands, priority for watering in 2020–21 and outlook for coming year in the Gwydir River Valley.</w:t>
      </w:r>
    </w:p>
    <w:tbl>
      <w:tblPr>
        <w:tblW w:w="219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559"/>
        <w:gridCol w:w="3969"/>
        <w:gridCol w:w="1418"/>
        <w:gridCol w:w="5953"/>
        <w:gridCol w:w="1843"/>
        <w:gridCol w:w="3119"/>
        <w:gridCol w:w="2268"/>
      </w:tblGrid>
      <w:tr w:rsidR="00AA0841" w:rsidRPr="00AA0841" w14:paraId="219388C8" w14:textId="77777777" w:rsidTr="00AA0841">
        <w:trPr>
          <w:trHeight w:val="504"/>
          <w:tblHeader/>
        </w:trPr>
        <w:tc>
          <w:tcPr>
            <w:tcW w:w="1843" w:type="dxa"/>
            <w:vMerge w:val="restart"/>
            <w:tcBorders>
              <w:top w:val="single" w:sz="12" w:space="0" w:color="auto"/>
              <w:left w:val="single" w:sz="12" w:space="0" w:color="auto"/>
            </w:tcBorders>
            <w:shd w:val="clear" w:color="auto" w:fill="B6DDE8" w:themeFill="accent5" w:themeFillTint="66"/>
          </w:tcPr>
          <w:p w14:paraId="55B40CB0" w14:textId="77777777" w:rsidR="00AA0841" w:rsidRPr="00AA0841" w:rsidRDefault="00AA0841" w:rsidP="00AA0841">
            <w:pPr>
              <w:spacing w:after="0"/>
              <w:jc w:val="center"/>
              <w:rPr>
                <w:rFonts w:cstheme="minorHAnsi"/>
                <w:b/>
                <w:sz w:val="18"/>
                <w:szCs w:val="18"/>
              </w:rPr>
            </w:pPr>
          </w:p>
          <w:p w14:paraId="775790E7" w14:textId="77777777" w:rsidR="00AA0841" w:rsidRPr="00AA0841" w:rsidRDefault="00AA0841" w:rsidP="00AA0841">
            <w:pPr>
              <w:spacing w:after="0"/>
              <w:jc w:val="center"/>
              <w:rPr>
                <w:rFonts w:cstheme="minorHAnsi"/>
                <w:b/>
                <w:sz w:val="18"/>
                <w:szCs w:val="18"/>
              </w:rPr>
            </w:pPr>
            <w:r w:rsidRPr="00AA0841">
              <w:rPr>
                <w:rFonts w:cstheme="minorHAnsi"/>
                <w:b/>
                <w:sz w:val="18"/>
                <w:szCs w:val="18"/>
              </w:rPr>
              <w:t>Environmental assets</w:t>
            </w:r>
          </w:p>
          <w:p w14:paraId="755EED5E" w14:textId="77777777" w:rsidR="00AA0841" w:rsidRPr="00AA0841" w:rsidRDefault="00AA0841" w:rsidP="00AA0841">
            <w:pPr>
              <w:spacing w:after="0"/>
              <w:rPr>
                <w:rFonts w:cstheme="minorHAnsi"/>
                <w:b/>
                <w:sz w:val="18"/>
                <w:szCs w:val="18"/>
              </w:rPr>
            </w:pPr>
          </w:p>
        </w:tc>
        <w:tc>
          <w:tcPr>
            <w:tcW w:w="1559" w:type="dxa"/>
            <w:vMerge w:val="restart"/>
            <w:tcBorders>
              <w:top w:val="single" w:sz="12" w:space="0" w:color="auto"/>
            </w:tcBorders>
            <w:shd w:val="clear" w:color="auto" w:fill="B6DDE8" w:themeFill="accent5" w:themeFillTint="66"/>
          </w:tcPr>
          <w:p w14:paraId="55C52E4D" w14:textId="77777777" w:rsidR="00AA0841" w:rsidRPr="00AA0841" w:rsidRDefault="00AA0841" w:rsidP="00AA0841">
            <w:pPr>
              <w:spacing w:after="0"/>
              <w:rPr>
                <w:rFonts w:cstheme="minorHAnsi"/>
                <w:b/>
                <w:sz w:val="18"/>
                <w:szCs w:val="18"/>
              </w:rPr>
            </w:pPr>
          </w:p>
          <w:p w14:paraId="088E2342" w14:textId="77777777" w:rsidR="00AA0841" w:rsidRPr="00AA0841" w:rsidRDefault="00AA0841" w:rsidP="00AA0841">
            <w:pPr>
              <w:spacing w:after="0"/>
              <w:jc w:val="center"/>
              <w:rPr>
                <w:rFonts w:cstheme="minorHAnsi"/>
                <w:b/>
                <w:sz w:val="18"/>
                <w:szCs w:val="18"/>
              </w:rPr>
            </w:pPr>
            <w:r w:rsidRPr="00AA0841">
              <w:rPr>
                <w:rFonts w:cstheme="minorHAnsi"/>
                <w:b/>
                <w:sz w:val="18"/>
                <w:szCs w:val="18"/>
              </w:rPr>
              <w:t>Target values</w:t>
            </w:r>
          </w:p>
        </w:tc>
        <w:tc>
          <w:tcPr>
            <w:tcW w:w="5387" w:type="dxa"/>
            <w:gridSpan w:val="2"/>
            <w:tcBorders>
              <w:top w:val="single" w:sz="12" w:space="0" w:color="auto"/>
            </w:tcBorders>
            <w:shd w:val="clear" w:color="auto" w:fill="B6DDE8" w:themeFill="accent5" w:themeFillTint="66"/>
            <w:vAlign w:val="center"/>
            <w:hideMark/>
          </w:tcPr>
          <w:p w14:paraId="4FEB41F0" w14:textId="77777777" w:rsidR="00AA0841" w:rsidRPr="00AA0841" w:rsidRDefault="00AA0841" w:rsidP="00AA0841">
            <w:pPr>
              <w:spacing w:after="0"/>
              <w:jc w:val="center"/>
              <w:rPr>
                <w:rFonts w:cstheme="minorHAnsi"/>
                <w:b/>
                <w:sz w:val="18"/>
                <w:szCs w:val="18"/>
              </w:rPr>
            </w:pPr>
            <w:r w:rsidRPr="00AA0841">
              <w:rPr>
                <w:rFonts w:cstheme="minorHAnsi"/>
                <w:b/>
                <w:sz w:val="18"/>
                <w:szCs w:val="18"/>
              </w:rPr>
              <w:t xml:space="preserve">Indicative demand (for </w:t>
            </w:r>
            <w:r w:rsidRPr="00AA0841">
              <w:rPr>
                <w:rFonts w:cstheme="minorHAnsi"/>
                <w:b/>
                <w:sz w:val="18"/>
                <w:szCs w:val="18"/>
                <w:u w:val="single"/>
              </w:rPr>
              <w:t>all sources of water</w:t>
            </w:r>
            <w:r w:rsidRPr="00AA0841">
              <w:rPr>
                <w:rFonts w:cstheme="minorHAnsi"/>
                <w:b/>
                <w:sz w:val="18"/>
                <w:szCs w:val="18"/>
              </w:rPr>
              <w:t xml:space="preserve"> in the system) #</w:t>
            </w:r>
          </w:p>
        </w:tc>
        <w:tc>
          <w:tcPr>
            <w:tcW w:w="5953" w:type="dxa"/>
            <w:tcBorders>
              <w:top w:val="single" w:sz="12" w:space="0" w:color="auto"/>
            </w:tcBorders>
            <w:shd w:val="clear" w:color="auto" w:fill="B6DDE8" w:themeFill="accent5" w:themeFillTint="66"/>
            <w:vAlign w:val="center"/>
            <w:hideMark/>
          </w:tcPr>
          <w:p w14:paraId="0F4D7F6A" w14:textId="77777777" w:rsidR="00AA0841" w:rsidRPr="00AA0841" w:rsidRDefault="00AA0841" w:rsidP="00AA0841">
            <w:pPr>
              <w:spacing w:after="0"/>
              <w:jc w:val="center"/>
              <w:rPr>
                <w:rFonts w:cstheme="minorHAnsi"/>
                <w:b/>
                <w:sz w:val="18"/>
                <w:szCs w:val="18"/>
              </w:rPr>
            </w:pPr>
            <w:r w:rsidRPr="00AA0841">
              <w:rPr>
                <w:rFonts w:cstheme="minorHAnsi"/>
                <w:b/>
                <w:sz w:val="18"/>
                <w:szCs w:val="18"/>
              </w:rPr>
              <w:t xml:space="preserve">Watering history </w:t>
            </w:r>
          </w:p>
        </w:tc>
        <w:tc>
          <w:tcPr>
            <w:tcW w:w="4962" w:type="dxa"/>
            <w:gridSpan w:val="2"/>
            <w:tcBorders>
              <w:top w:val="single" w:sz="12" w:space="0" w:color="auto"/>
            </w:tcBorders>
            <w:shd w:val="clear" w:color="auto" w:fill="B6DDE8" w:themeFill="accent5" w:themeFillTint="66"/>
            <w:vAlign w:val="center"/>
            <w:hideMark/>
          </w:tcPr>
          <w:p w14:paraId="2B1DB636" w14:textId="77777777" w:rsidR="00AA0841" w:rsidRPr="00AA0841" w:rsidRDefault="00AA0841" w:rsidP="00AA0841">
            <w:pPr>
              <w:spacing w:after="0"/>
              <w:jc w:val="center"/>
              <w:rPr>
                <w:rFonts w:cstheme="minorHAnsi"/>
                <w:b/>
                <w:color w:val="auto"/>
                <w:sz w:val="18"/>
                <w:szCs w:val="18"/>
              </w:rPr>
            </w:pPr>
            <w:r w:rsidRPr="00AA0841">
              <w:rPr>
                <w:rFonts w:cstheme="minorHAnsi"/>
                <w:b/>
                <w:color w:val="auto"/>
                <w:sz w:val="18"/>
                <w:szCs w:val="18"/>
              </w:rPr>
              <w:t>2020–21</w:t>
            </w:r>
          </w:p>
        </w:tc>
        <w:tc>
          <w:tcPr>
            <w:tcW w:w="2268" w:type="dxa"/>
            <w:tcBorders>
              <w:top w:val="single" w:sz="12" w:space="0" w:color="auto"/>
              <w:right w:val="single" w:sz="12" w:space="0" w:color="auto"/>
            </w:tcBorders>
            <w:shd w:val="clear" w:color="auto" w:fill="B6DDE8" w:themeFill="accent5" w:themeFillTint="66"/>
            <w:vAlign w:val="center"/>
            <w:hideMark/>
          </w:tcPr>
          <w:p w14:paraId="2DE41201" w14:textId="77777777" w:rsidR="00AA0841" w:rsidRPr="00AA0841" w:rsidRDefault="00AA0841" w:rsidP="00AA0841">
            <w:pPr>
              <w:spacing w:after="0"/>
              <w:jc w:val="center"/>
              <w:rPr>
                <w:rFonts w:cstheme="minorHAnsi"/>
                <w:b/>
                <w:color w:val="auto"/>
                <w:sz w:val="18"/>
                <w:szCs w:val="18"/>
              </w:rPr>
            </w:pPr>
            <w:r w:rsidRPr="00AA0841">
              <w:rPr>
                <w:rFonts w:cstheme="minorHAnsi"/>
                <w:b/>
                <w:color w:val="auto"/>
                <w:sz w:val="18"/>
                <w:szCs w:val="18"/>
              </w:rPr>
              <w:t>Implications for future demands</w:t>
            </w:r>
          </w:p>
        </w:tc>
      </w:tr>
      <w:tr w:rsidR="00AA0841" w:rsidRPr="00AA0841" w14:paraId="6EB004CF" w14:textId="77777777" w:rsidTr="00AA0841">
        <w:trPr>
          <w:trHeight w:val="645"/>
          <w:tblHeader/>
        </w:trPr>
        <w:tc>
          <w:tcPr>
            <w:tcW w:w="1843" w:type="dxa"/>
            <w:vMerge/>
            <w:tcBorders>
              <w:left w:val="single" w:sz="12" w:space="0" w:color="auto"/>
              <w:bottom w:val="single" w:sz="12" w:space="0" w:color="auto"/>
            </w:tcBorders>
            <w:shd w:val="clear" w:color="auto" w:fill="B6DDE8" w:themeFill="accent5" w:themeFillTint="66"/>
          </w:tcPr>
          <w:p w14:paraId="33F32105" w14:textId="77777777" w:rsidR="00AA0841" w:rsidRPr="00AA0841" w:rsidRDefault="00AA0841" w:rsidP="00AA0841">
            <w:pPr>
              <w:spacing w:after="0"/>
              <w:rPr>
                <w:rFonts w:cstheme="minorHAnsi"/>
                <w:b/>
                <w:sz w:val="18"/>
                <w:szCs w:val="18"/>
              </w:rPr>
            </w:pPr>
          </w:p>
        </w:tc>
        <w:tc>
          <w:tcPr>
            <w:tcW w:w="1559" w:type="dxa"/>
            <w:vMerge/>
            <w:tcBorders>
              <w:bottom w:val="single" w:sz="12" w:space="0" w:color="auto"/>
            </w:tcBorders>
            <w:shd w:val="clear" w:color="auto" w:fill="B6DDE8" w:themeFill="accent5" w:themeFillTint="66"/>
          </w:tcPr>
          <w:p w14:paraId="114697C8" w14:textId="77777777" w:rsidR="00AA0841" w:rsidRPr="00AA0841" w:rsidRDefault="00AA0841" w:rsidP="00AA0841">
            <w:pPr>
              <w:spacing w:after="0"/>
              <w:rPr>
                <w:rFonts w:cstheme="minorHAnsi"/>
                <w:b/>
                <w:sz w:val="18"/>
                <w:szCs w:val="18"/>
              </w:rPr>
            </w:pPr>
          </w:p>
        </w:tc>
        <w:tc>
          <w:tcPr>
            <w:tcW w:w="3969" w:type="dxa"/>
            <w:tcBorders>
              <w:bottom w:val="single" w:sz="12" w:space="0" w:color="auto"/>
            </w:tcBorders>
            <w:shd w:val="clear" w:color="auto" w:fill="B6DDE8" w:themeFill="accent5" w:themeFillTint="66"/>
            <w:vAlign w:val="center"/>
            <w:hideMark/>
          </w:tcPr>
          <w:p w14:paraId="5C399AC3" w14:textId="77777777" w:rsidR="00AA0841" w:rsidRPr="00AA0841" w:rsidRDefault="00AA0841" w:rsidP="00AA0841">
            <w:pPr>
              <w:spacing w:after="0"/>
              <w:jc w:val="center"/>
              <w:rPr>
                <w:rFonts w:cstheme="minorHAnsi"/>
                <w:b/>
                <w:sz w:val="18"/>
                <w:szCs w:val="18"/>
              </w:rPr>
            </w:pPr>
            <w:r w:rsidRPr="00AA0841">
              <w:rPr>
                <w:rFonts w:cstheme="minorHAnsi"/>
                <w:b/>
                <w:sz w:val="18"/>
                <w:szCs w:val="18"/>
              </w:rPr>
              <w:t>Flow/Volume</w:t>
            </w:r>
          </w:p>
          <w:p w14:paraId="28F31324" w14:textId="77777777" w:rsidR="00AA0841" w:rsidRPr="00AA0841" w:rsidRDefault="00AA0841" w:rsidP="00AA0841">
            <w:pPr>
              <w:spacing w:after="0"/>
              <w:jc w:val="center"/>
              <w:rPr>
                <w:rFonts w:cstheme="minorHAnsi"/>
                <w:b/>
                <w:sz w:val="18"/>
                <w:szCs w:val="18"/>
              </w:rPr>
            </w:pPr>
          </w:p>
        </w:tc>
        <w:tc>
          <w:tcPr>
            <w:tcW w:w="1418" w:type="dxa"/>
            <w:tcBorders>
              <w:bottom w:val="single" w:sz="12" w:space="0" w:color="auto"/>
            </w:tcBorders>
            <w:shd w:val="clear" w:color="auto" w:fill="B6DDE8" w:themeFill="accent5" w:themeFillTint="66"/>
            <w:vAlign w:val="center"/>
            <w:hideMark/>
          </w:tcPr>
          <w:p w14:paraId="10321FED" w14:textId="77777777" w:rsidR="00AA0841" w:rsidRPr="00AA0841" w:rsidRDefault="00AA0841" w:rsidP="00AA0841">
            <w:pPr>
              <w:spacing w:after="0"/>
              <w:jc w:val="center"/>
              <w:rPr>
                <w:rFonts w:cstheme="minorHAnsi"/>
                <w:b/>
                <w:sz w:val="18"/>
                <w:szCs w:val="18"/>
              </w:rPr>
            </w:pPr>
            <w:r w:rsidRPr="00AA0841">
              <w:rPr>
                <w:rFonts w:cstheme="minorHAnsi"/>
                <w:b/>
                <w:sz w:val="18"/>
                <w:szCs w:val="18"/>
              </w:rPr>
              <w:t>Required frequency (maximum dry interval)</w:t>
            </w:r>
          </w:p>
        </w:tc>
        <w:tc>
          <w:tcPr>
            <w:tcW w:w="5953" w:type="dxa"/>
            <w:tcBorders>
              <w:bottom w:val="single" w:sz="12" w:space="0" w:color="auto"/>
            </w:tcBorders>
            <w:shd w:val="clear" w:color="auto" w:fill="B6DDE8" w:themeFill="accent5" w:themeFillTint="66"/>
            <w:vAlign w:val="center"/>
            <w:hideMark/>
          </w:tcPr>
          <w:p w14:paraId="6DFF8463" w14:textId="77777777" w:rsidR="00AA0841" w:rsidRPr="00AA0841" w:rsidRDefault="00AA0841" w:rsidP="00AA0841">
            <w:pPr>
              <w:spacing w:after="0"/>
              <w:jc w:val="center"/>
              <w:rPr>
                <w:rFonts w:cstheme="minorHAnsi"/>
                <w:b/>
                <w:sz w:val="18"/>
                <w:szCs w:val="18"/>
              </w:rPr>
            </w:pPr>
            <w:r w:rsidRPr="00AA0841">
              <w:rPr>
                <w:rFonts w:cstheme="minorHAnsi"/>
                <w:b/>
                <w:sz w:val="18"/>
                <w:szCs w:val="18"/>
              </w:rPr>
              <w:t>(from all sources of water)</w:t>
            </w:r>
          </w:p>
        </w:tc>
        <w:tc>
          <w:tcPr>
            <w:tcW w:w="1843" w:type="dxa"/>
            <w:tcBorders>
              <w:bottom w:val="single" w:sz="12" w:space="0" w:color="auto"/>
            </w:tcBorders>
            <w:shd w:val="clear" w:color="auto" w:fill="B6DDE8" w:themeFill="accent5" w:themeFillTint="66"/>
            <w:vAlign w:val="center"/>
            <w:hideMark/>
          </w:tcPr>
          <w:p w14:paraId="7E86BA21" w14:textId="77777777" w:rsidR="00AA0841" w:rsidRPr="00AA0841" w:rsidRDefault="00AA0841" w:rsidP="00AA0841">
            <w:pPr>
              <w:spacing w:after="0"/>
              <w:jc w:val="center"/>
              <w:rPr>
                <w:rFonts w:cstheme="minorHAnsi"/>
                <w:b/>
                <w:color w:val="auto"/>
                <w:sz w:val="18"/>
                <w:szCs w:val="18"/>
              </w:rPr>
            </w:pPr>
            <w:r w:rsidRPr="00AA0841">
              <w:rPr>
                <w:rFonts w:cstheme="minorHAnsi"/>
                <w:b/>
                <w:color w:val="auto"/>
                <w:sz w:val="18"/>
                <w:szCs w:val="18"/>
              </w:rPr>
              <w:t>Environmental demands for water</w:t>
            </w:r>
          </w:p>
        </w:tc>
        <w:tc>
          <w:tcPr>
            <w:tcW w:w="3119" w:type="dxa"/>
            <w:tcBorders>
              <w:bottom w:val="single" w:sz="12" w:space="0" w:color="auto"/>
            </w:tcBorders>
            <w:shd w:val="clear" w:color="auto" w:fill="B6DDE8" w:themeFill="accent5" w:themeFillTint="66"/>
            <w:vAlign w:val="center"/>
            <w:hideMark/>
          </w:tcPr>
          <w:p w14:paraId="119F810C" w14:textId="77777777" w:rsidR="00AA0841" w:rsidRPr="00AA0841" w:rsidRDefault="00AA0841" w:rsidP="00AA0841">
            <w:pPr>
              <w:spacing w:after="0"/>
              <w:jc w:val="center"/>
              <w:rPr>
                <w:rFonts w:cstheme="minorHAnsi"/>
                <w:b/>
                <w:color w:val="auto"/>
                <w:sz w:val="18"/>
                <w:szCs w:val="18"/>
              </w:rPr>
            </w:pPr>
            <w:r w:rsidRPr="00AA0841">
              <w:rPr>
                <w:rFonts w:cstheme="minorHAnsi"/>
                <w:b/>
                <w:color w:val="auto"/>
                <w:sz w:val="18"/>
                <w:szCs w:val="18"/>
              </w:rPr>
              <w:t>Potential Commonwealth environmental water contribution?</w:t>
            </w:r>
          </w:p>
        </w:tc>
        <w:tc>
          <w:tcPr>
            <w:tcW w:w="2268" w:type="dxa"/>
            <w:tcBorders>
              <w:bottom w:val="single" w:sz="12" w:space="0" w:color="auto"/>
              <w:right w:val="single" w:sz="12" w:space="0" w:color="auto"/>
            </w:tcBorders>
            <w:shd w:val="clear" w:color="auto" w:fill="B6DDE8" w:themeFill="accent5" w:themeFillTint="66"/>
            <w:vAlign w:val="center"/>
            <w:hideMark/>
          </w:tcPr>
          <w:p w14:paraId="2F2662FB" w14:textId="77777777" w:rsidR="00AA0841" w:rsidRPr="00AA0841" w:rsidRDefault="00AA0841" w:rsidP="00AA0841">
            <w:pPr>
              <w:spacing w:after="0"/>
              <w:jc w:val="center"/>
              <w:rPr>
                <w:rFonts w:cstheme="minorHAnsi"/>
                <w:b/>
                <w:color w:val="auto"/>
                <w:sz w:val="18"/>
                <w:szCs w:val="18"/>
              </w:rPr>
            </w:pPr>
            <w:r w:rsidRPr="00AA0841">
              <w:rPr>
                <w:rFonts w:cstheme="minorHAnsi"/>
                <w:b/>
                <w:color w:val="auto"/>
                <w:sz w:val="18"/>
                <w:szCs w:val="18"/>
              </w:rPr>
              <w:t>Likely environmental demand in 2021–22 if watering occurred as planned in 2020</w:t>
            </w:r>
            <w:r w:rsidRPr="00AA0841">
              <w:rPr>
                <w:rFonts w:cstheme="minorHAnsi"/>
                <w:b/>
                <w:bCs/>
                <w:color w:val="auto"/>
                <w:sz w:val="18"/>
                <w:szCs w:val="18"/>
              </w:rPr>
              <w:t>–</w:t>
            </w:r>
            <w:r w:rsidRPr="00AA0841">
              <w:rPr>
                <w:rFonts w:cstheme="minorHAnsi"/>
                <w:b/>
                <w:color w:val="auto"/>
                <w:sz w:val="18"/>
                <w:szCs w:val="18"/>
              </w:rPr>
              <w:t>21</w:t>
            </w:r>
          </w:p>
        </w:tc>
      </w:tr>
      <w:tr w:rsidR="00AA0841" w:rsidRPr="00AA0841" w14:paraId="6DE0A31E" w14:textId="77777777" w:rsidTr="00AA0841">
        <w:trPr>
          <w:trHeight w:val="3008"/>
        </w:trPr>
        <w:tc>
          <w:tcPr>
            <w:tcW w:w="1843" w:type="dxa"/>
            <w:tcBorders>
              <w:top w:val="single" w:sz="12" w:space="0" w:color="auto"/>
              <w:left w:val="single" w:sz="12" w:space="0" w:color="auto"/>
              <w:bottom w:val="single" w:sz="12" w:space="0" w:color="auto"/>
            </w:tcBorders>
          </w:tcPr>
          <w:p w14:paraId="71B559EE" w14:textId="77777777" w:rsidR="00AA0841" w:rsidRPr="00AA0841" w:rsidRDefault="00AA0841" w:rsidP="00AA0841">
            <w:pPr>
              <w:rPr>
                <w:rFonts w:cstheme="minorHAnsi"/>
                <w:b/>
                <w:sz w:val="18"/>
                <w:szCs w:val="18"/>
              </w:rPr>
            </w:pPr>
            <w:r w:rsidRPr="00AA0841">
              <w:rPr>
                <w:rFonts w:cstheme="minorHAnsi"/>
                <w:b/>
                <w:sz w:val="18"/>
                <w:szCs w:val="18"/>
              </w:rPr>
              <w:t xml:space="preserve">Refuge pools along the Gwydir and upper Mehi Rivers as well Carole Creek </w:t>
            </w:r>
          </w:p>
          <w:p w14:paraId="5547EC7B" w14:textId="77777777" w:rsidR="00AA0841" w:rsidRPr="00AA0841" w:rsidRDefault="00AA0841" w:rsidP="00AA0841">
            <w:pPr>
              <w:rPr>
                <w:rFonts w:cstheme="minorHAnsi"/>
                <w:bCs/>
                <w:sz w:val="18"/>
                <w:szCs w:val="18"/>
              </w:rPr>
            </w:pPr>
            <w:r w:rsidRPr="00AA0841">
              <w:rPr>
                <w:rFonts w:cstheme="minorHAnsi"/>
                <w:bCs/>
                <w:sz w:val="18"/>
                <w:szCs w:val="18"/>
              </w:rPr>
              <w:t>Refuge habitat</w:t>
            </w:r>
          </w:p>
          <w:p w14:paraId="43480F9D" w14:textId="77777777" w:rsidR="00AA0841" w:rsidRPr="00AA0841" w:rsidRDefault="00AA0841" w:rsidP="00AA0841">
            <w:pPr>
              <w:rPr>
                <w:rFonts w:cstheme="minorHAnsi"/>
                <w:bCs/>
                <w:sz w:val="18"/>
                <w:szCs w:val="18"/>
              </w:rPr>
            </w:pPr>
            <w:r w:rsidRPr="00AA0841">
              <w:rPr>
                <w:rFonts w:cstheme="minorHAnsi"/>
                <w:bCs/>
                <w:sz w:val="18"/>
                <w:szCs w:val="18"/>
              </w:rPr>
              <w:t>Native fish</w:t>
            </w:r>
          </w:p>
          <w:p w14:paraId="3E8BC736" w14:textId="77777777" w:rsidR="00AA0841" w:rsidRPr="00AA0841" w:rsidRDefault="00AA0841" w:rsidP="00AA0841">
            <w:pPr>
              <w:spacing w:after="0"/>
              <w:rPr>
                <w:rFonts w:cstheme="minorHAnsi"/>
                <w:color w:val="000000" w:themeColor="text1"/>
                <w:sz w:val="18"/>
                <w:szCs w:val="18"/>
              </w:rPr>
            </w:pPr>
            <w:r w:rsidRPr="00AA0841">
              <w:rPr>
                <w:rFonts w:cstheme="minorHAnsi"/>
                <w:bCs/>
                <w:sz w:val="18"/>
                <w:szCs w:val="18"/>
              </w:rPr>
              <w:t>Water quality</w:t>
            </w:r>
          </w:p>
        </w:tc>
        <w:tc>
          <w:tcPr>
            <w:tcW w:w="1559" w:type="dxa"/>
            <w:tcBorders>
              <w:top w:val="single" w:sz="12" w:space="0" w:color="auto"/>
              <w:bottom w:val="single" w:sz="12" w:space="0" w:color="auto"/>
            </w:tcBorders>
            <w:shd w:val="clear" w:color="auto" w:fill="auto"/>
          </w:tcPr>
          <w:p w14:paraId="13663FE8"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Critical drought refuge habitat</w:t>
            </w:r>
          </w:p>
          <w:p w14:paraId="54AE603A"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Native fish maintenance and survival</w:t>
            </w:r>
          </w:p>
        </w:tc>
        <w:tc>
          <w:tcPr>
            <w:tcW w:w="3969" w:type="dxa"/>
            <w:tcBorders>
              <w:top w:val="single" w:sz="12" w:space="0" w:color="auto"/>
              <w:bottom w:val="single" w:sz="12" w:space="0" w:color="auto"/>
            </w:tcBorders>
            <w:shd w:val="clear" w:color="auto" w:fill="auto"/>
          </w:tcPr>
          <w:p w14:paraId="40AE6CB5" w14:textId="77777777" w:rsidR="00AA0841" w:rsidRPr="00AA0841" w:rsidRDefault="00AA0841" w:rsidP="00AA0841">
            <w:pPr>
              <w:rPr>
                <w:rFonts w:cstheme="minorHAnsi"/>
                <w:b/>
                <w:bCs/>
                <w:color w:val="000000" w:themeColor="text1"/>
                <w:sz w:val="18"/>
                <w:szCs w:val="18"/>
              </w:rPr>
            </w:pPr>
            <w:r w:rsidRPr="00AA0841">
              <w:rPr>
                <w:rFonts w:cstheme="minorHAnsi"/>
                <w:b/>
                <w:bCs/>
                <w:color w:val="000000" w:themeColor="text1"/>
                <w:sz w:val="18"/>
                <w:szCs w:val="18"/>
              </w:rPr>
              <w:t>Cease-to-flow Triggers</w:t>
            </w:r>
          </w:p>
          <w:p w14:paraId="7E8D3B36" w14:textId="77777777" w:rsidR="00AA0841" w:rsidRPr="00AA0841" w:rsidRDefault="00AA0841" w:rsidP="00AA0841">
            <w:pPr>
              <w:spacing w:before="120"/>
              <w:rPr>
                <w:rFonts w:cstheme="minorHAnsi"/>
                <w:color w:val="000000" w:themeColor="text1"/>
                <w:sz w:val="18"/>
                <w:szCs w:val="18"/>
                <w:u w:val="single"/>
              </w:rPr>
            </w:pPr>
            <w:r w:rsidRPr="00AA0841">
              <w:rPr>
                <w:rFonts w:cstheme="minorHAnsi"/>
                <w:color w:val="000000" w:themeColor="text1"/>
                <w:sz w:val="18"/>
                <w:szCs w:val="18"/>
                <w:u w:val="single"/>
              </w:rPr>
              <w:t>Gwydir River</w:t>
            </w:r>
          </w:p>
          <w:p w14:paraId="0B257032"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0 ML/d (Gwydir @ Yarraman) for around a maximum of 30–60 days (depending on conditions)</w:t>
            </w:r>
          </w:p>
          <w:p w14:paraId="364DDF18"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Mehi River</w:t>
            </w:r>
          </w:p>
          <w:p w14:paraId="647466A5"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0 ML/d (Mehi @ Moree) for around a maximum of 40–80 days (depending on conditions)</w:t>
            </w:r>
          </w:p>
          <w:p w14:paraId="6092BA5B" w14:textId="77777777" w:rsidR="00AA0841" w:rsidRPr="00AA0841" w:rsidRDefault="00AA0841" w:rsidP="00AA0841">
            <w:pPr>
              <w:spacing w:before="120"/>
              <w:rPr>
                <w:rFonts w:cstheme="minorHAnsi"/>
                <w:color w:val="000000" w:themeColor="text1"/>
                <w:sz w:val="18"/>
                <w:szCs w:val="18"/>
                <w:u w:val="single"/>
              </w:rPr>
            </w:pPr>
            <w:r w:rsidRPr="00AA0841">
              <w:rPr>
                <w:rFonts w:cstheme="minorHAnsi"/>
                <w:color w:val="000000" w:themeColor="text1"/>
                <w:sz w:val="18"/>
                <w:szCs w:val="18"/>
                <w:u w:val="single"/>
              </w:rPr>
              <w:t>Carole Creek</w:t>
            </w:r>
          </w:p>
          <w:p w14:paraId="78041CE8"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0 ML/d (Carole Creek near Garah) for a maximum of around 40–80 days (depending on conditions).</w:t>
            </w:r>
          </w:p>
        </w:tc>
        <w:tc>
          <w:tcPr>
            <w:tcW w:w="1418" w:type="dxa"/>
            <w:tcBorders>
              <w:top w:val="single" w:sz="12" w:space="0" w:color="auto"/>
              <w:bottom w:val="single" w:sz="12" w:space="0" w:color="auto"/>
            </w:tcBorders>
            <w:shd w:val="clear" w:color="auto" w:fill="auto"/>
          </w:tcPr>
          <w:p w14:paraId="50D5E70B" w14:textId="77777777" w:rsidR="00AA0841" w:rsidRPr="00AA0841" w:rsidRDefault="00AA0841" w:rsidP="00AA0841">
            <w:pPr>
              <w:spacing w:before="120"/>
              <w:rPr>
                <w:rFonts w:cstheme="minorHAnsi"/>
                <w:sz w:val="18"/>
                <w:szCs w:val="18"/>
              </w:rPr>
            </w:pPr>
            <w:r w:rsidRPr="00AA0841">
              <w:rPr>
                <w:rFonts w:cstheme="minorHAnsi"/>
                <w:color w:val="000000" w:themeColor="text1"/>
                <w:sz w:val="18"/>
                <w:szCs w:val="18"/>
              </w:rPr>
              <w:t>Cease to flow period should not exceed periods</w:t>
            </w:r>
            <w:r w:rsidRPr="00AA0841">
              <w:rPr>
                <w:rFonts w:cstheme="minorHAnsi"/>
                <w:sz w:val="18"/>
                <w:szCs w:val="18"/>
              </w:rPr>
              <w:t xml:space="preserve"> of 40–80 days</w:t>
            </w:r>
          </w:p>
          <w:p w14:paraId="390D6717" w14:textId="77777777" w:rsidR="00AA0841" w:rsidRPr="00AA0841" w:rsidRDefault="00AA0841" w:rsidP="00AA0841">
            <w:pPr>
              <w:spacing w:before="120"/>
              <w:rPr>
                <w:rFonts w:cstheme="minorHAnsi"/>
                <w:color w:val="000000" w:themeColor="text1"/>
                <w:sz w:val="18"/>
                <w:szCs w:val="18"/>
              </w:rPr>
            </w:pPr>
          </w:p>
        </w:tc>
        <w:tc>
          <w:tcPr>
            <w:tcW w:w="5953" w:type="dxa"/>
            <w:tcBorders>
              <w:top w:val="single" w:sz="12" w:space="0" w:color="auto"/>
              <w:bottom w:val="single" w:sz="12" w:space="0" w:color="auto"/>
            </w:tcBorders>
            <w:shd w:val="clear" w:color="auto" w:fill="auto"/>
          </w:tcPr>
          <w:p w14:paraId="5238ABE1" w14:textId="77777777" w:rsidR="00AA0841" w:rsidRPr="00AA0841" w:rsidRDefault="00AA0841" w:rsidP="00AA0841">
            <w:pPr>
              <w:rPr>
                <w:rFonts w:cstheme="minorHAnsi"/>
                <w:sz w:val="18"/>
                <w:szCs w:val="18"/>
              </w:rPr>
            </w:pPr>
            <w:r w:rsidRPr="00AA0841">
              <w:rPr>
                <w:rFonts w:cstheme="minorHAnsi"/>
                <w:sz w:val="18"/>
                <w:szCs w:val="18"/>
              </w:rPr>
              <w:t xml:space="preserve">The Northern Connectivity Event in April–May 2018 and the Northern Fish Flow April–June 2019 contributed to meeting this demand in key reaches (mainly in the Mehi and to a lesser extent in the Carole). </w:t>
            </w:r>
          </w:p>
          <w:p w14:paraId="6326BE5D" w14:textId="77777777" w:rsidR="00AA0841" w:rsidRPr="00AA0841" w:rsidRDefault="00AA0841" w:rsidP="00AA0841">
            <w:pPr>
              <w:spacing w:before="120"/>
              <w:rPr>
                <w:rFonts w:cstheme="minorHAnsi"/>
                <w:sz w:val="18"/>
                <w:szCs w:val="18"/>
              </w:rPr>
            </w:pPr>
            <w:r w:rsidRPr="00AA0841">
              <w:rPr>
                <w:rFonts w:cstheme="minorHAnsi"/>
                <w:sz w:val="18"/>
                <w:szCs w:val="18"/>
              </w:rPr>
              <w:t xml:space="preserve">Reflecting the extremely dry conditions that persisted through most of 2018–19 and 2019–20, environmental water was delivered to protect critical aquatic and fish refuge habitat in the Gwydir, Carole and Mehi systems to help meet this demand between Oct 2019 and Jan 2020.  </w:t>
            </w:r>
          </w:p>
          <w:p w14:paraId="6061D7A4" w14:textId="77777777" w:rsidR="00AA0841" w:rsidRPr="00AA0841" w:rsidRDefault="00AA0841" w:rsidP="00AA0841">
            <w:pPr>
              <w:spacing w:before="120"/>
              <w:rPr>
                <w:rFonts w:cstheme="minorHAnsi"/>
                <w:color w:val="000000" w:themeColor="text1"/>
                <w:sz w:val="18"/>
                <w:szCs w:val="18"/>
              </w:rPr>
            </w:pPr>
            <w:r w:rsidRPr="00AA0841">
              <w:rPr>
                <w:rFonts w:cstheme="minorHAnsi"/>
                <w:sz w:val="18"/>
                <w:szCs w:val="18"/>
              </w:rPr>
              <w:t>Feb–March rainfall events have moved systems towards more moderate conditions. However, overall the system is still dry, and demand for water has been assessed as high.</w:t>
            </w:r>
          </w:p>
        </w:tc>
        <w:tc>
          <w:tcPr>
            <w:tcW w:w="1843" w:type="dxa"/>
            <w:tcBorders>
              <w:top w:val="single" w:sz="12" w:space="0" w:color="auto"/>
              <w:bottom w:val="single" w:sz="12" w:space="0" w:color="auto"/>
            </w:tcBorders>
            <w:shd w:val="clear" w:color="auto" w:fill="FF0000"/>
            <w:vAlign w:val="center"/>
          </w:tcPr>
          <w:p w14:paraId="249A90F6"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High</w:t>
            </w:r>
          </w:p>
        </w:tc>
        <w:tc>
          <w:tcPr>
            <w:tcW w:w="3119" w:type="dxa"/>
            <w:tcBorders>
              <w:top w:val="single" w:sz="12" w:space="0" w:color="auto"/>
              <w:bottom w:val="single" w:sz="12" w:space="0" w:color="auto"/>
            </w:tcBorders>
            <w:shd w:val="clear" w:color="auto" w:fill="365F91" w:themeFill="accent1" w:themeFillShade="BF"/>
            <w:vAlign w:val="center"/>
          </w:tcPr>
          <w:p w14:paraId="58B7F3CC" w14:textId="77777777" w:rsidR="00AA0841" w:rsidRPr="00AA0841" w:rsidRDefault="00AA0841" w:rsidP="00AA0841">
            <w:pPr>
              <w:spacing w:before="120"/>
              <w:jc w:val="center"/>
              <w:rPr>
                <w:rFonts w:cstheme="minorHAnsi"/>
                <w:color w:val="auto"/>
                <w:sz w:val="18"/>
                <w:szCs w:val="18"/>
              </w:rPr>
            </w:pPr>
            <w:r w:rsidRPr="00AA0841">
              <w:rPr>
                <w:rFonts w:cstheme="minorHAnsi"/>
                <w:color w:val="auto"/>
                <w:sz w:val="18"/>
                <w:szCs w:val="18"/>
              </w:rPr>
              <w:t>A high priority for CEW under very low water availability scenario, subject to availability.</w:t>
            </w:r>
          </w:p>
          <w:p w14:paraId="2410CF6C" w14:textId="77777777" w:rsidR="00AA0841" w:rsidRPr="00AA0841" w:rsidRDefault="00AA0841" w:rsidP="00AA0841">
            <w:pPr>
              <w:spacing w:before="120"/>
              <w:jc w:val="center"/>
              <w:rPr>
                <w:rFonts w:cstheme="minorHAnsi"/>
                <w:color w:val="auto"/>
                <w:sz w:val="18"/>
                <w:szCs w:val="18"/>
              </w:rPr>
            </w:pPr>
            <w:r w:rsidRPr="00AA0841">
              <w:rPr>
                <w:rFonts w:cstheme="minorHAnsi"/>
                <w:color w:val="auto"/>
                <w:sz w:val="18"/>
                <w:szCs w:val="18"/>
              </w:rPr>
              <w:t>Using regulated environmental water entitlements, respond to extended dry periods to protect critical floodplain refuge habitat</w:t>
            </w:r>
          </w:p>
        </w:tc>
        <w:tc>
          <w:tcPr>
            <w:tcW w:w="2268" w:type="dxa"/>
            <w:tcBorders>
              <w:top w:val="single" w:sz="12" w:space="0" w:color="auto"/>
              <w:bottom w:val="single" w:sz="12" w:space="0" w:color="auto"/>
              <w:right w:val="single" w:sz="12" w:space="0" w:color="auto"/>
            </w:tcBorders>
            <w:shd w:val="clear" w:color="auto" w:fill="FFC000"/>
            <w:vAlign w:val="center"/>
          </w:tcPr>
          <w:p w14:paraId="33F234CE"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High</w:t>
            </w:r>
          </w:p>
        </w:tc>
      </w:tr>
      <w:tr w:rsidR="00AA0841" w:rsidRPr="00AA0841" w14:paraId="44D579E4" w14:textId="77777777" w:rsidTr="00AA0841">
        <w:trPr>
          <w:trHeight w:val="539"/>
        </w:trPr>
        <w:tc>
          <w:tcPr>
            <w:tcW w:w="1843" w:type="dxa"/>
            <w:vMerge w:val="restart"/>
            <w:tcBorders>
              <w:top w:val="single" w:sz="12" w:space="0" w:color="auto"/>
              <w:left w:val="single" w:sz="12" w:space="0" w:color="auto"/>
            </w:tcBorders>
          </w:tcPr>
          <w:p w14:paraId="5DDE9F65" w14:textId="77777777" w:rsidR="00AA0841" w:rsidRPr="00AA0841" w:rsidRDefault="00AA0841" w:rsidP="00AA0841">
            <w:pPr>
              <w:rPr>
                <w:rFonts w:cstheme="minorHAnsi"/>
                <w:sz w:val="18"/>
                <w:szCs w:val="18"/>
              </w:rPr>
            </w:pPr>
            <w:r w:rsidRPr="00AA0841">
              <w:rPr>
                <w:rFonts w:cstheme="minorHAnsi"/>
                <w:b/>
                <w:color w:val="000000" w:themeColor="text1"/>
                <w:sz w:val="18"/>
                <w:szCs w:val="18"/>
              </w:rPr>
              <w:t xml:space="preserve">Gwydir Wetlands </w:t>
            </w:r>
            <w:r w:rsidRPr="00AA0841" w:rsidDel="00401081">
              <w:rPr>
                <w:rFonts w:cstheme="minorHAnsi"/>
                <w:sz w:val="18"/>
                <w:szCs w:val="18"/>
              </w:rPr>
              <w:t xml:space="preserve"> </w:t>
            </w:r>
          </w:p>
          <w:p w14:paraId="4095DC4E" w14:textId="77777777" w:rsidR="00AA0841" w:rsidRPr="00AA0841" w:rsidRDefault="00AA0841" w:rsidP="00AA0841">
            <w:pPr>
              <w:spacing w:before="120" w:after="0"/>
              <w:rPr>
                <w:rFonts w:cstheme="minorHAnsi"/>
                <w:color w:val="000000" w:themeColor="text1"/>
                <w:sz w:val="18"/>
                <w:szCs w:val="18"/>
              </w:rPr>
            </w:pPr>
            <w:r w:rsidRPr="00AA0841">
              <w:rPr>
                <w:rFonts w:cstheme="minorHAnsi"/>
                <w:color w:val="000000" w:themeColor="text1"/>
                <w:sz w:val="18"/>
                <w:szCs w:val="18"/>
              </w:rPr>
              <w:t>Areas of Ramsar listed wetlands*</w:t>
            </w:r>
          </w:p>
          <w:p w14:paraId="5031646B" w14:textId="77777777" w:rsidR="00AA0841" w:rsidRPr="00AA0841" w:rsidRDefault="00AA0841" w:rsidP="00AA0841">
            <w:pPr>
              <w:spacing w:before="120" w:after="0"/>
              <w:rPr>
                <w:rFonts w:cstheme="minorHAnsi"/>
                <w:color w:val="000000" w:themeColor="text1"/>
                <w:sz w:val="18"/>
                <w:szCs w:val="18"/>
              </w:rPr>
            </w:pPr>
            <w:r w:rsidRPr="00AA0841">
              <w:rPr>
                <w:rFonts w:cstheme="minorHAnsi"/>
                <w:color w:val="000000" w:themeColor="text1"/>
                <w:sz w:val="18"/>
                <w:szCs w:val="18"/>
              </w:rPr>
              <w:t>Nationally significant wetlands</w:t>
            </w:r>
          </w:p>
          <w:p w14:paraId="11E62CAC" w14:textId="77777777" w:rsidR="00AA0841" w:rsidRPr="00AA0841" w:rsidRDefault="00AA0841" w:rsidP="00AA0841">
            <w:pPr>
              <w:spacing w:before="120" w:after="0"/>
              <w:rPr>
                <w:rFonts w:cstheme="minorHAnsi"/>
                <w:color w:val="000000" w:themeColor="text1"/>
                <w:sz w:val="18"/>
                <w:szCs w:val="18"/>
              </w:rPr>
            </w:pPr>
            <w:r w:rsidRPr="00AA0841">
              <w:rPr>
                <w:rFonts w:cstheme="minorHAnsi"/>
                <w:color w:val="000000" w:themeColor="text1"/>
                <w:sz w:val="18"/>
                <w:szCs w:val="18"/>
              </w:rPr>
              <w:t>Waterbird breeding and habitat</w:t>
            </w:r>
          </w:p>
          <w:p w14:paraId="464C871E" w14:textId="77777777" w:rsidR="00AA0841" w:rsidRPr="00AA0841" w:rsidRDefault="00AA0841" w:rsidP="00AA0841">
            <w:pPr>
              <w:spacing w:before="120" w:after="0"/>
              <w:rPr>
                <w:rFonts w:cstheme="minorHAnsi"/>
                <w:color w:val="000000" w:themeColor="text1"/>
                <w:sz w:val="18"/>
                <w:szCs w:val="18"/>
              </w:rPr>
            </w:pPr>
            <w:r w:rsidRPr="00AA0841">
              <w:rPr>
                <w:rFonts w:cstheme="minorHAnsi"/>
                <w:color w:val="000000" w:themeColor="text1"/>
                <w:sz w:val="18"/>
                <w:szCs w:val="18"/>
              </w:rPr>
              <w:t>Habitat and breeding ground for frogs</w:t>
            </w:r>
          </w:p>
          <w:p w14:paraId="00E8726D" w14:textId="77777777" w:rsidR="00AA0841" w:rsidRPr="00AA0841" w:rsidRDefault="00AA0841" w:rsidP="00AA0841">
            <w:pPr>
              <w:spacing w:before="120" w:after="0"/>
              <w:rPr>
                <w:rFonts w:cstheme="minorHAnsi"/>
                <w:b/>
                <w:color w:val="000000" w:themeColor="text1"/>
                <w:sz w:val="18"/>
                <w:szCs w:val="18"/>
              </w:rPr>
            </w:pPr>
            <w:r w:rsidRPr="00AA0841">
              <w:rPr>
                <w:rFonts w:cstheme="minorHAnsi"/>
                <w:color w:val="000000" w:themeColor="text1"/>
                <w:sz w:val="18"/>
                <w:szCs w:val="18"/>
              </w:rPr>
              <w:t xml:space="preserve">Native fish habitat </w:t>
            </w:r>
          </w:p>
          <w:p w14:paraId="707A81FB" w14:textId="77777777" w:rsidR="00AA0841" w:rsidRPr="00AA0841" w:rsidRDefault="00AA0841" w:rsidP="00AA0841">
            <w:pPr>
              <w:spacing w:before="120" w:after="0"/>
              <w:rPr>
                <w:rFonts w:cstheme="minorHAnsi"/>
                <w:color w:val="000000" w:themeColor="text1"/>
                <w:sz w:val="18"/>
                <w:szCs w:val="18"/>
              </w:rPr>
            </w:pPr>
            <w:r w:rsidRPr="00AA0841">
              <w:rPr>
                <w:rFonts w:cstheme="minorHAnsi"/>
                <w:color w:val="000000" w:themeColor="text1"/>
                <w:sz w:val="18"/>
                <w:szCs w:val="18"/>
              </w:rPr>
              <w:t>Endangered ecological communities</w:t>
            </w:r>
          </w:p>
          <w:p w14:paraId="26D977D7" w14:textId="77777777" w:rsidR="00AA0841" w:rsidRPr="00AA0841" w:rsidRDefault="00AA0841" w:rsidP="00AA0841">
            <w:pPr>
              <w:spacing w:before="120" w:after="0"/>
              <w:rPr>
                <w:rFonts w:cstheme="minorHAnsi"/>
                <w:color w:val="000000" w:themeColor="text1"/>
                <w:sz w:val="18"/>
                <w:szCs w:val="18"/>
              </w:rPr>
            </w:pPr>
            <w:r w:rsidRPr="00AA0841">
              <w:rPr>
                <w:rFonts w:cstheme="minorHAnsi"/>
                <w:color w:val="000000" w:themeColor="text1"/>
                <w:sz w:val="18"/>
                <w:szCs w:val="18"/>
              </w:rPr>
              <w:t>Lagoons and wetlands which have important values for the Gomeroi local Aboriginal community. Key sites include:</w:t>
            </w:r>
          </w:p>
          <w:p w14:paraId="7FD749A5" w14:textId="77777777" w:rsidR="00AA0841" w:rsidRPr="00AA0841" w:rsidRDefault="00AA0841" w:rsidP="005D79EF">
            <w:pPr>
              <w:numPr>
                <w:ilvl w:val="0"/>
                <w:numId w:val="36"/>
              </w:numPr>
              <w:spacing w:before="120" w:after="0"/>
              <w:ind w:left="180" w:hanging="180"/>
              <w:rPr>
                <w:rFonts w:cstheme="minorHAnsi"/>
                <w:color w:val="000000" w:themeColor="text1"/>
                <w:sz w:val="18"/>
                <w:szCs w:val="18"/>
              </w:rPr>
            </w:pPr>
            <w:r w:rsidRPr="00AA0841">
              <w:rPr>
                <w:rFonts w:cstheme="minorHAnsi"/>
                <w:color w:val="000000" w:themeColor="text1"/>
                <w:sz w:val="18"/>
                <w:szCs w:val="18"/>
              </w:rPr>
              <w:t xml:space="preserve">Old Dromana Wetland </w:t>
            </w:r>
          </w:p>
          <w:p w14:paraId="01313748" w14:textId="77777777" w:rsidR="00AA0841" w:rsidRPr="00AA0841" w:rsidRDefault="00AA0841" w:rsidP="005D79EF">
            <w:pPr>
              <w:numPr>
                <w:ilvl w:val="0"/>
                <w:numId w:val="36"/>
              </w:numPr>
              <w:spacing w:before="120" w:after="0"/>
              <w:ind w:left="180" w:hanging="180"/>
              <w:rPr>
                <w:rFonts w:cstheme="minorHAnsi"/>
                <w:color w:val="000000" w:themeColor="text1"/>
                <w:sz w:val="18"/>
                <w:szCs w:val="18"/>
              </w:rPr>
            </w:pPr>
            <w:r w:rsidRPr="00AA0841">
              <w:rPr>
                <w:rFonts w:cstheme="minorHAnsi"/>
                <w:color w:val="000000" w:themeColor="text1"/>
                <w:sz w:val="18"/>
                <w:szCs w:val="18"/>
              </w:rPr>
              <w:t>Bunnor Wetland</w:t>
            </w:r>
          </w:p>
          <w:p w14:paraId="58226DD7" w14:textId="77777777" w:rsidR="00AA0841" w:rsidRPr="00AA0841" w:rsidRDefault="00AA0841" w:rsidP="005D79EF">
            <w:pPr>
              <w:numPr>
                <w:ilvl w:val="0"/>
                <w:numId w:val="36"/>
              </w:numPr>
              <w:spacing w:before="120" w:after="0"/>
              <w:ind w:left="180" w:hanging="180"/>
              <w:rPr>
                <w:rFonts w:cstheme="minorHAnsi"/>
                <w:color w:val="000000" w:themeColor="text1"/>
                <w:sz w:val="18"/>
                <w:szCs w:val="18"/>
              </w:rPr>
            </w:pPr>
            <w:r w:rsidRPr="00AA0841">
              <w:rPr>
                <w:rFonts w:cstheme="minorHAnsi"/>
                <w:color w:val="000000" w:themeColor="text1"/>
                <w:sz w:val="18"/>
                <w:szCs w:val="18"/>
              </w:rPr>
              <w:t>Gingham Waterhole</w:t>
            </w:r>
          </w:p>
          <w:p w14:paraId="3BDCC326" w14:textId="77777777" w:rsidR="00AA0841" w:rsidRPr="00AA0841" w:rsidRDefault="00AA0841" w:rsidP="005D79EF">
            <w:pPr>
              <w:numPr>
                <w:ilvl w:val="0"/>
                <w:numId w:val="36"/>
              </w:numPr>
              <w:spacing w:before="120" w:after="0"/>
              <w:ind w:left="180" w:hanging="180"/>
              <w:rPr>
                <w:rFonts w:cstheme="minorHAnsi"/>
                <w:color w:val="000000" w:themeColor="text1"/>
                <w:sz w:val="18"/>
                <w:szCs w:val="18"/>
              </w:rPr>
            </w:pPr>
            <w:r w:rsidRPr="00AA0841">
              <w:rPr>
                <w:rFonts w:cstheme="minorHAnsi"/>
                <w:color w:val="000000" w:themeColor="text1"/>
                <w:sz w:val="18"/>
                <w:szCs w:val="18"/>
              </w:rPr>
              <w:t xml:space="preserve">Gin Holes  </w:t>
            </w:r>
          </w:p>
        </w:tc>
        <w:tc>
          <w:tcPr>
            <w:tcW w:w="1559" w:type="dxa"/>
            <w:tcBorders>
              <w:top w:val="single" w:sz="12" w:space="0" w:color="auto"/>
            </w:tcBorders>
            <w:shd w:val="clear" w:color="auto" w:fill="auto"/>
          </w:tcPr>
          <w:p w14:paraId="1F375948"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Core wetland inundation</w:t>
            </w:r>
          </w:p>
          <w:p w14:paraId="2968D5C8"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Refuge habitat for native fish, waterbirds, frogs and other aquatic species</w:t>
            </w:r>
          </w:p>
          <w:p w14:paraId="35DE1D18" w14:textId="77777777" w:rsidR="00AA0841" w:rsidRPr="00AA0841" w:rsidRDefault="00AA0841" w:rsidP="00AA0841">
            <w:pPr>
              <w:spacing w:before="120"/>
              <w:rPr>
                <w:rFonts w:cstheme="minorHAnsi"/>
                <w:bCs/>
                <w:color w:val="000000" w:themeColor="text1"/>
                <w:sz w:val="18"/>
                <w:szCs w:val="18"/>
              </w:rPr>
            </w:pPr>
            <w:r w:rsidRPr="00AA0841">
              <w:rPr>
                <w:rFonts w:cstheme="minorHAnsi"/>
                <w:color w:val="000000" w:themeColor="text1"/>
                <w:sz w:val="18"/>
                <w:szCs w:val="18"/>
              </w:rPr>
              <w:t>Maintenance and Regeneration of Wetlands</w:t>
            </w:r>
            <w:r w:rsidRPr="00AA0841">
              <w:rPr>
                <w:rFonts w:cstheme="minorHAnsi"/>
                <w:bCs/>
                <w:color w:val="000000" w:themeColor="text1"/>
                <w:sz w:val="18"/>
                <w:szCs w:val="18"/>
              </w:rPr>
              <w:t xml:space="preserve"> </w:t>
            </w:r>
          </w:p>
          <w:p w14:paraId="250EE77B" w14:textId="77777777" w:rsidR="00AA0841" w:rsidRPr="00AA0841" w:rsidRDefault="00AA0841" w:rsidP="00AA0841">
            <w:pPr>
              <w:spacing w:before="120"/>
              <w:rPr>
                <w:rFonts w:cstheme="minorHAnsi"/>
                <w:color w:val="000000" w:themeColor="text1"/>
                <w:sz w:val="18"/>
                <w:szCs w:val="18"/>
              </w:rPr>
            </w:pPr>
            <w:r w:rsidRPr="00AA0841">
              <w:rPr>
                <w:rFonts w:cstheme="minorHAnsi"/>
                <w:bCs/>
                <w:color w:val="000000" w:themeColor="text1"/>
                <w:sz w:val="18"/>
                <w:szCs w:val="18"/>
              </w:rPr>
              <w:t>Ecosystem function</w:t>
            </w:r>
          </w:p>
        </w:tc>
        <w:tc>
          <w:tcPr>
            <w:tcW w:w="3969" w:type="dxa"/>
            <w:tcBorders>
              <w:top w:val="single" w:sz="12" w:space="0" w:color="auto"/>
            </w:tcBorders>
            <w:shd w:val="clear" w:color="auto" w:fill="auto"/>
          </w:tcPr>
          <w:p w14:paraId="47D31148" w14:textId="77777777" w:rsidR="00AA0841" w:rsidRPr="00AA0841" w:rsidRDefault="00AA0841" w:rsidP="00AA0841">
            <w:pPr>
              <w:rPr>
                <w:rFonts w:cstheme="minorHAnsi"/>
                <w:b/>
                <w:color w:val="000000" w:themeColor="text1"/>
                <w:sz w:val="18"/>
                <w:szCs w:val="18"/>
              </w:rPr>
            </w:pPr>
            <w:r w:rsidRPr="00AA0841">
              <w:rPr>
                <w:rFonts w:cstheme="minorHAnsi"/>
                <w:b/>
                <w:color w:val="000000" w:themeColor="text1"/>
                <w:sz w:val="18"/>
                <w:szCs w:val="18"/>
              </w:rPr>
              <w:t>Small wetland (WL) inundation:</w:t>
            </w:r>
          </w:p>
          <w:p w14:paraId="074AC875" w14:textId="77777777" w:rsidR="00AA0841" w:rsidRPr="00AA0841" w:rsidRDefault="00AA0841" w:rsidP="00AA0841">
            <w:pPr>
              <w:spacing w:before="120"/>
              <w:rPr>
                <w:rFonts w:cstheme="minorHAnsi"/>
                <w:bCs/>
                <w:color w:val="000000" w:themeColor="text1"/>
                <w:sz w:val="18"/>
                <w:szCs w:val="18"/>
              </w:rPr>
            </w:pPr>
            <w:r w:rsidRPr="00AA0841">
              <w:rPr>
                <w:rFonts w:cstheme="minorHAnsi"/>
                <w:color w:val="000000" w:themeColor="text1"/>
                <w:sz w:val="18"/>
                <w:szCs w:val="18"/>
              </w:rPr>
              <w:t>WL1 (Protect Core Wetland)</w:t>
            </w:r>
            <w:r w:rsidRPr="00AA0841">
              <w:rPr>
                <w:rFonts w:cstheme="minorHAnsi"/>
                <w:color w:val="000000" w:themeColor="text1"/>
                <w:sz w:val="24"/>
                <w:szCs w:val="24"/>
                <w:vertAlign w:val="superscript"/>
              </w:rPr>
              <w:t>^</w:t>
            </w:r>
            <w:r w:rsidRPr="00AA0841">
              <w:rPr>
                <w:rFonts w:cstheme="minorHAnsi"/>
                <w:color w:val="000000" w:themeColor="text1"/>
                <w:sz w:val="18"/>
                <w:szCs w:val="18"/>
              </w:rPr>
              <w:t xml:space="preserve">: </w:t>
            </w:r>
          </w:p>
          <w:p w14:paraId="5AF8E70D" w14:textId="77777777" w:rsidR="00AA0841" w:rsidRPr="00AA0841" w:rsidRDefault="00AA0841" w:rsidP="005D79EF">
            <w:pPr>
              <w:numPr>
                <w:ilvl w:val="0"/>
                <w:numId w:val="35"/>
              </w:numPr>
              <w:spacing w:after="0"/>
              <w:ind w:left="210" w:hanging="210"/>
              <w:rPr>
                <w:rFonts w:cstheme="minorHAnsi"/>
                <w:color w:val="000000" w:themeColor="text1"/>
                <w:sz w:val="18"/>
                <w:szCs w:val="18"/>
              </w:rPr>
            </w:pPr>
            <w:r w:rsidRPr="00AA0841">
              <w:rPr>
                <w:rFonts w:cstheme="minorHAnsi"/>
                <w:color w:val="000000" w:themeColor="text1"/>
                <w:sz w:val="18"/>
                <w:szCs w:val="18"/>
              </w:rPr>
              <w:t>&gt;6 GL event over 3–6 months (Gwydir @ Millewa) at any time.</w:t>
            </w:r>
          </w:p>
          <w:p w14:paraId="19C4C08E" w14:textId="77777777" w:rsidR="00AA0841" w:rsidRPr="00AA0841" w:rsidRDefault="00AA0841" w:rsidP="005D79EF">
            <w:pPr>
              <w:numPr>
                <w:ilvl w:val="0"/>
                <w:numId w:val="35"/>
              </w:numPr>
              <w:spacing w:after="0"/>
              <w:ind w:left="210" w:hanging="210"/>
              <w:rPr>
                <w:rFonts w:cstheme="minorHAnsi"/>
                <w:color w:val="000000" w:themeColor="text1"/>
                <w:sz w:val="18"/>
                <w:szCs w:val="18"/>
              </w:rPr>
            </w:pPr>
            <w:r w:rsidRPr="00AA0841">
              <w:rPr>
                <w:rFonts w:cstheme="minorHAnsi"/>
                <w:color w:val="000000" w:themeColor="text1"/>
                <w:sz w:val="18"/>
                <w:szCs w:val="18"/>
              </w:rPr>
              <w:t>&gt;15 GL event over 1–3 months (Gingham @ Teralba) at any time.</w:t>
            </w:r>
          </w:p>
          <w:p w14:paraId="2C1BD177" w14:textId="77777777" w:rsidR="00AA0841" w:rsidRPr="00AA0841" w:rsidRDefault="00AA0841" w:rsidP="005D79EF">
            <w:pPr>
              <w:numPr>
                <w:ilvl w:val="0"/>
                <w:numId w:val="35"/>
              </w:numPr>
              <w:spacing w:after="0"/>
              <w:ind w:left="210" w:hanging="210"/>
              <w:rPr>
                <w:rFonts w:cstheme="minorHAnsi"/>
                <w:color w:val="000000" w:themeColor="text1"/>
                <w:sz w:val="18"/>
                <w:szCs w:val="18"/>
              </w:rPr>
            </w:pPr>
            <w:r w:rsidRPr="00AA0841">
              <w:rPr>
                <w:rFonts w:cstheme="minorHAnsi"/>
                <w:color w:val="000000" w:themeColor="text1"/>
                <w:sz w:val="18"/>
                <w:szCs w:val="18"/>
              </w:rPr>
              <w:t>&gt;15 GL event over 2–6 months (Gingham @ Tillaloo) at any time.</w:t>
            </w:r>
          </w:p>
          <w:p w14:paraId="423F9FD1" w14:textId="77777777" w:rsidR="00AA0841" w:rsidRPr="00AA0841" w:rsidRDefault="00AA0841" w:rsidP="005D79EF">
            <w:pPr>
              <w:numPr>
                <w:ilvl w:val="0"/>
                <w:numId w:val="35"/>
              </w:numPr>
              <w:spacing w:after="0"/>
              <w:ind w:left="210" w:hanging="210"/>
              <w:rPr>
                <w:rFonts w:cstheme="minorHAnsi"/>
                <w:color w:val="000000" w:themeColor="text1"/>
                <w:sz w:val="18"/>
                <w:szCs w:val="18"/>
              </w:rPr>
            </w:pPr>
            <w:r w:rsidRPr="00AA0841">
              <w:rPr>
                <w:rFonts w:cstheme="minorHAnsi"/>
                <w:color w:val="000000" w:themeColor="text1"/>
                <w:sz w:val="18"/>
                <w:szCs w:val="18"/>
              </w:rPr>
              <w:t>&gt;3 GL event 1–4 months (Gingham &amp; Gingham Bridge)</w:t>
            </w:r>
          </w:p>
          <w:p w14:paraId="1DE2E9BF"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WL2 (Maintenance and Regeneration of Wetlands)</w:t>
            </w:r>
            <w:r w:rsidRPr="00AA0841">
              <w:rPr>
                <w:rFonts w:cstheme="minorHAnsi"/>
                <w:color w:val="000000" w:themeColor="text1"/>
                <w:sz w:val="24"/>
                <w:szCs w:val="24"/>
                <w:vertAlign w:val="superscript"/>
              </w:rPr>
              <w:t>^</w:t>
            </w:r>
            <w:r w:rsidRPr="00AA0841">
              <w:rPr>
                <w:rFonts w:cstheme="minorHAnsi"/>
                <w:color w:val="000000" w:themeColor="text1"/>
                <w:sz w:val="18"/>
                <w:szCs w:val="18"/>
              </w:rPr>
              <w:t xml:space="preserve">: </w:t>
            </w:r>
          </w:p>
          <w:p w14:paraId="252E0F8B" w14:textId="77777777" w:rsidR="00AA0841" w:rsidRPr="00AA0841" w:rsidRDefault="00AA0841" w:rsidP="005D79EF">
            <w:pPr>
              <w:numPr>
                <w:ilvl w:val="0"/>
                <w:numId w:val="35"/>
              </w:numPr>
              <w:spacing w:after="60"/>
              <w:ind w:left="210" w:hanging="210"/>
              <w:rPr>
                <w:rFonts w:cstheme="minorHAnsi"/>
                <w:color w:val="000000" w:themeColor="text1"/>
                <w:sz w:val="18"/>
                <w:szCs w:val="18"/>
              </w:rPr>
            </w:pPr>
            <w:r w:rsidRPr="00AA0841">
              <w:rPr>
                <w:rFonts w:cstheme="minorHAnsi"/>
                <w:color w:val="000000" w:themeColor="text1"/>
                <w:sz w:val="18"/>
                <w:szCs w:val="18"/>
              </w:rPr>
              <w:t>&gt;36 GL over 3–6 months (Gwydir @ Allambie) in Sept–Mar (but can occur at any time).</w:t>
            </w:r>
          </w:p>
          <w:p w14:paraId="73170216" w14:textId="77777777" w:rsidR="00AA0841" w:rsidRPr="00AA0841" w:rsidRDefault="00AA0841" w:rsidP="005D79EF">
            <w:pPr>
              <w:numPr>
                <w:ilvl w:val="0"/>
                <w:numId w:val="35"/>
              </w:numPr>
              <w:spacing w:after="60"/>
              <w:ind w:left="210" w:hanging="210"/>
              <w:rPr>
                <w:rFonts w:cstheme="minorHAnsi"/>
                <w:color w:val="000000" w:themeColor="text1"/>
                <w:sz w:val="18"/>
                <w:szCs w:val="18"/>
              </w:rPr>
            </w:pPr>
            <w:r w:rsidRPr="00AA0841">
              <w:rPr>
                <w:rFonts w:cstheme="minorHAnsi"/>
                <w:color w:val="000000" w:themeColor="text1"/>
                <w:sz w:val="18"/>
                <w:szCs w:val="18"/>
              </w:rPr>
              <w:t>&gt;30 GL over 1–3 months (Gingham @ Teralba)</w:t>
            </w:r>
          </w:p>
          <w:p w14:paraId="54B807D8" w14:textId="77777777" w:rsidR="00AA0841" w:rsidRPr="00AA0841" w:rsidRDefault="00AA0841" w:rsidP="005D79EF">
            <w:pPr>
              <w:numPr>
                <w:ilvl w:val="0"/>
                <w:numId w:val="35"/>
              </w:numPr>
              <w:spacing w:after="60"/>
              <w:ind w:left="210" w:hanging="210"/>
              <w:rPr>
                <w:rFonts w:cstheme="minorHAnsi"/>
                <w:color w:val="000000" w:themeColor="text1"/>
                <w:sz w:val="18"/>
                <w:szCs w:val="18"/>
              </w:rPr>
            </w:pPr>
            <w:r w:rsidRPr="00AA0841">
              <w:rPr>
                <w:rFonts w:cstheme="minorHAnsi"/>
                <w:color w:val="000000" w:themeColor="text1"/>
                <w:sz w:val="18"/>
                <w:szCs w:val="18"/>
              </w:rPr>
              <w:t>&gt;30 GL over 2–6 months (Gingham @ Tillaloo) in Sept–Mar (but can occur at any time).</w:t>
            </w:r>
          </w:p>
          <w:p w14:paraId="3311BB11" w14:textId="77777777" w:rsidR="00AA0841" w:rsidRPr="00AA0841" w:rsidRDefault="00AA0841" w:rsidP="005D79EF">
            <w:pPr>
              <w:numPr>
                <w:ilvl w:val="0"/>
                <w:numId w:val="35"/>
              </w:numPr>
              <w:spacing w:after="60"/>
              <w:ind w:left="210" w:hanging="210"/>
              <w:rPr>
                <w:rFonts w:cstheme="minorHAnsi"/>
                <w:color w:val="000000" w:themeColor="text1"/>
                <w:sz w:val="18"/>
                <w:szCs w:val="18"/>
              </w:rPr>
            </w:pPr>
            <w:r w:rsidRPr="00AA0841">
              <w:rPr>
                <w:rFonts w:cstheme="minorHAnsi"/>
                <w:color w:val="000000" w:themeColor="text1"/>
                <w:sz w:val="18"/>
                <w:szCs w:val="18"/>
              </w:rPr>
              <w:t>&gt; 15 GL over 1–4 months (this should have been 2–6 months) (@ Gingham Bridge)</w:t>
            </w:r>
          </w:p>
        </w:tc>
        <w:tc>
          <w:tcPr>
            <w:tcW w:w="1418" w:type="dxa"/>
            <w:tcBorders>
              <w:top w:val="single" w:sz="12" w:space="0" w:color="auto"/>
              <w:bottom w:val="single" w:sz="4" w:space="0" w:color="auto"/>
            </w:tcBorders>
            <w:shd w:val="clear" w:color="auto" w:fill="auto"/>
          </w:tcPr>
          <w:p w14:paraId="4A424D99" w14:textId="77777777" w:rsidR="00AA0841" w:rsidRPr="00AA0841" w:rsidRDefault="00AA0841" w:rsidP="00AA0841">
            <w:pPr>
              <w:spacing w:after="0"/>
              <w:rPr>
                <w:rFonts w:cstheme="minorHAnsi"/>
                <w:color w:val="000000" w:themeColor="text1"/>
                <w:sz w:val="18"/>
                <w:szCs w:val="18"/>
              </w:rPr>
            </w:pPr>
          </w:p>
          <w:p w14:paraId="6CA7B8ED" w14:textId="77777777" w:rsidR="00AA0841" w:rsidRPr="00AA0841" w:rsidRDefault="00AA0841" w:rsidP="00AA0841">
            <w:pPr>
              <w:spacing w:after="0"/>
              <w:rPr>
                <w:rFonts w:cstheme="minorHAnsi"/>
                <w:color w:val="000000" w:themeColor="text1"/>
                <w:sz w:val="18"/>
                <w:szCs w:val="18"/>
              </w:rPr>
            </w:pPr>
          </w:p>
          <w:p w14:paraId="796E4DD6" w14:textId="77777777" w:rsidR="00AA0841" w:rsidRPr="00AA0841" w:rsidRDefault="00AA0841" w:rsidP="00AA0841">
            <w:pPr>
              <w:spacing w:after="0"/>
              <w:rPr>
                <w:rFonts w:cstheme="minorHAnsi"/>
                <w:color w:val="000000" w:themeColor="text1"/>
                <w:sz w:val="18"/>
                <w:szCs w:val="18"/>
              </w:rPr>
            </w:pPr>
          </w:p>
          <w:p w14:paraId="17AD00C2" w14:textId="77777777" w:rsidR="00AA0841" w:rsidRPr="00AA0841" w:rsidRDefault="00AA0841" w:rsidP="00AA0841">
            <w:pPr>
              <w:spacing w:after="0"/>
              <w:rPr>
                <w:rFonts w:cstheme="minorHAnsi"/>
                <w:color w:val="000000" w:themeColor="text1"/>
                <w:sz w:val="18"/>
                <w:szCs w:val="18"/>
              </w:rPr>
            </w:pPr>
          </w:p>
          <w:p w14:paraId="6302C93F"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WL1: 9–10 in 10 years</w:t>
            </w:r>
          </w:p>
          <w:p w14:paraId="7CEF6D9E"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(Max. interval: 1 year)</w:t>
            </w:r>
          </w:p>
          <w:p w14:paraId="084D50A5" w14:textId="77777777" w:rsidR="00AA0841" w:rsidRPr="00AA0841" w:rsidRDefault="00AA0841" w:rsidP="00AA0841">
            <w:pPr>
              <w:spacing w:after="0"/>
              <w:rPr>
                <w:rFonts w:cstheme="minorHAnsi"/>
                <w:bCs/>
                <w:noProof/>
                <w:color w:val="000000" w:themeColor="text1"/>
                <w:sz w:val="18"/>
                <w:szCs w:val="18"/>
              </w:rPr>
            </w:pPr>
          </w:p>
          <w:p w14:paraId="191B825D" w14:textId="77777777" w:rsidR="00AA0841" w:rsidRPr="00AA0841" w:rsidRDefault="00AA0841" w:rsidP="00AA0841">
            <w:pPr>
              <w:spacing w:after="0"/>
              <w:rPr>
                <w:rFonts w:cstheme="minorHAnsi"/>
                <w:color w:val="000000" w:themeColor="text1"/>
                <w:sz w:val="18"/>
                <w:szCs w:val="18"/>
              </w:rPr>
            </w:pPr>
          </w:p>
          <w:p w14:paraId="4F64FB02" w14:textId="77777777" w:rsidR="00AA0841" w:rsidRPr="00AA0841" w:rsidRDefault="00AA0841" w:rsidP="00AA0841">
            <w:pPr>
              <w:spacing w:after="0"/>
              <w:rPr>
                <w:rFonts w:cstheme="minorHAnsi"/>
                <w:color w:val="000000" w:themeColor="text1"/>
                <w:sz w:val="18"/>
                <w:szCs w:val="18"/>
              </w:rPr>
            </w:pPr>
          </w:p>
          <w:p w14:paraId="6FFE51AB" w14:textId="77777777" w:rsidR="00AA0841" w:rsidRPr="00AA0841" w:rsidRDefault="00AA0841" w:rsidP="00AA0841">
            <w:pPr>
              <w:spacing w:after="0"/>
              <w:rPr>
                <w:rFonts w:cstheme="minorHAnsi"/>
                <w:color w:val="000000" w:themeColor="text1"/>
                <w:sz w:val="18"/>
                <w:szCs w:val="18"/>
              </w:rPr>
            </w:pPr>
          </w:p>
          <w:p w14:paraId="0A8FF413"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WL2: 8–9 in 10 years</w:t>
            </w:r>
          </w:p>
          <w:p w14:paraId="4F93468E"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(Max. interval: 2 years)</w:t>
            </w:r>
          </w:p>
        </w:tc>
        <w:tc>
          <w:tcPr>
            <w:tcW w:w="5953" w:type="dxa"/>
            <w:tcBorders>
              <w:top w:val="single" w:sz="12" w:space="0" w:color="auto"/>
            </w:tcBorders>
            <w:shd w:val="clear" w:color="auto" w:fill="auto"/>
            <w:vAlign w:val="center"/>
          </w:tcPr>
          <w:p w14:paraId="6006A4A1"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 xml:space="preserve">The 2016–17 water year was the last time wetland maintenance and regeneration targets were met across the entire Gwydir Wetlands.  </w:t>
            </w:r>
          </w:p>
          <w:p w14:paraId="79E695AB"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Wetlands across the Gingham and Lower Gwydir systems experienced dry conditions during 2017–18 with WL1 flow targets at the Millewa in the Lower Gwydir and Teralba, Tillaloo and Gingham Bridge in the Gingham gauges met.  </w:t>
            </w:r>
          </w:p>
          <w:p w14:paraId="1E08B184"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During 2018–19 an extended environmental watering events (based on a proactive water delivery strategy) enabled all WL1 flow targets to be met.  This enabled most of the core wetlands across both the Gingham and Gwydir systems to be inundated. </w:t>
            </w:r>
          </w:p>
          <w:p w14:paraId="4E8EDA1D"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Natural flows occurred during Feb–Mar 2020 meeting WL1 flow targets, at Millewa and Teralba. Large parts of core wetlands in the Upper and Central Gingham were inundated, but a limited area in the Lower Gingham and limited duration in areas downstream from Gingham Waterhole. The Goddard’s Lease part of the Ramsar site has been inundated but flows did not reach the Crinolyn or Windella Ramsar site areas. In the Lower Gwydir systems most, but not all, core wetland areas and with only with limited duration in some more western and higher sections of these wetlands were inundated. Most of the Old Dromana Ramsar area and most of the marsh club-rush areas received inundation. The inundation was supported by significant rainfall which fell across much of the lower Gwydir system during February and March.</w:t>
            </w:r>
          </w:p>
          <w:p w14:paraId="5952571C" w14:textId="77777777" w:rsidR="00AA0841" w:rsidRPr="00AA0841" w:rsidRDefault="00AA0841" w:rsidP="00AA0841">
            <w:pPr>
              <w:spacing w:before="120"/>
              <w:rPr>
                <w:rFonts w:cstheme="minorHAnsi"/>
                <w:b/>
                <w:sz w:val="18"/>
                <w:szCs w:val="18"/>
              </w:rPr>
            </w:pPr>
            <w:r w:rsidRPr="00AA0841">
              <w:rPr>
                <w:rFonts w:cstheme="minorHAnsi"/>
                <w:color w:val="000000" w:themeColor="text1"/>
                <w:sz w:val="18"/>
                <w:szCs w:val="18"/>
              </w:rPr>
              <w:t xml:space="preserve">Core wetlands have been watered 2-3 times in the last three years, while the flows required to maintain and regenerate wetlands have exceeded their maximum flow interval. </w:t>
            </w:r>
          </w:p>
        </w:tc>
        <w:tc>
          <w:tcPr>
            <w:tcW w:w="1843" w:type="dxa"/>
            <w:tcBorders>
              <w:top w:val="single" w:sz="12" w:space="0" w:color="auto"/>
            </w:tcBorders>
            <w:shd w:val="clear" w:color="auto" w:fill="FF0000"/>
            <w:vAlign w:val="center"/>
          </w:tcPr>
          <w:p w14:paraId="46E4BF70"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High</w:t>
            </w:r>
          </w:p>
        </w:tc>
        <w:tc>
          <w:tcPr>
            <w:tcW w:w="3119" w:type="dxa"/>
            <w:tcBorders>
              <w:top w:val="single" w:sz="12" w:space="0" w:color="auto"/>
            </w:tcBorders>
            <w:shd w:val="clear" w:color="auto" w:fill="365F91" w:themeFill="accent1" w:themeFillShade="BF"/>
            <w:vAlign w:val="center"/>
          </w:tcPr>
          <w:p w14:paraId="5091059A" w14:textId="77777777" w:rsidR="00AA0841" w:rsidRPr="00AA0841" w:rsidRDefault="00AA0841" w:rsidP="00AA0841">
            <w:pPr>
              <w:spacing w:before="120"/>
              <w:jc w:val="center"/>
              <w:rPr>
                <w:rFonts w:cstheme="minorHAnsi"/>
                <w:color w:val="auto"/>
                <w:sz w:val="18"/>
                <w:szCs w:val="18"/>
              </w:rPr>
            </w:pPr>
            <w:r w:rsidRPr="00AA0841">
              <w:rPr>
                <w:rFonts w:cstheme="minorHAnsi"/>
                <w:color w:val="auto"/>
                <w:sz w:val="18"/>
                <w:szCs w:val="18"/>
              </w:rPr>
              <w:t>A high priority for CEW under low to moderate water resource availability scenarios, subject to occurrence of unregulated flow event and water availability.</w:t>
            </w:r>
          </w:p>
          <w:p w14:paraId="6690BD95" w14:textId="77777777" w:rsidR="00AA0841" w:rsidRPr="00AA0841" w:rsidRDefault="00AA0841" w:rsidP="00AA0841">
            <w:pPr>
              <w:spacing w:before="120"/>
              <w:jc w:val="center"/>
              <w:rPr>
                <w:rFonts w:cstheme="minorHAnsi"/>
                <w:color w:val="auto"/>
                <w:sz w:val="18"/>
                <w:szCs w:val="18"/>
              </w:rPr>
            </w:pPr>
            <w:r w:rsidRPr="00AA0841">
              <w:rPr>
                <w:rFonts w:cstheme="minorHAnsi"/>
                <w:color w:val="auto"/>
                <w:sz w:val="18"/>
                <w:szCs w:val="18"/>
              </w:rPr>
              <w:t xml:space="preserve">A combination of entitlements may be used to respond to unregulated flow events, to protect (supplementary) and potentially restore (regulated) parts of a natural flow. </w:t>
            </w:r>
          </w:p>
          <w:p w14:paraId="59C5F8C2" w14:textId="77777777" w:rsidR="00AA0841" w:rsidRPr="00AA0841" w:rsidRDefault="00AA0841" w:rsidP="00AA0841">
            <w:pPr>
              <w:spacing w:before="120"/>
              <w:jc w:val="center"/>
              <w:rPr>
                <w:rFonts w:cstheme="minorHAnsi"/>
                <w:color w:val="auto"/>
                <w:sz w:val="18"/>
                <w:szCs w:val="18"/>
              </w:rPr>
            </w:pPr>
            <w:r w:rsidRPr="00AA0841">
              <w:rPr>
                <w:rFonts w:cstheme="minorHAnsi"/>
                <w:color w:val="auto"/>
                <w:sz w:val="18"/>
                <w:szCs w:val="18"/>
              </w:rPr>
              <w:t>Use of supplementary water to protect natural flow events will be a high priority. Given the low volumes of regulated environmental water available, using regulated releases to restore parts of a natural flow is currently a low priority for 2020–21.</w:t>
            </w:r>
          </w:p>
        </w:tc>
        <w:tc>
          <w:tcPr>
            <w:tcW w:w="2268" w:type="dxa"/>
            <w:tcBorders>
              <w:top w:val="single" w:sz="12" w:space="0" w:color="auto"/>
              <w:right w:val="single" w:sz="12" w:space="0" w:color="auto"/>
            </w:tcBorders>
            <w:shd w:val="clear" w:color="auto" w:fill="FFC000"/>
            <w:vAlign w:val="center"/>
          </w:tcPr>
          <w:p w14:paraId="1AE51F71"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Moderate to High</w:t>
            </w:r>
          </w:p>
          <w:p w14:paraId="62F3FA48"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(subject to occurrence of unregulated flow events)</w:t>
            </w:r>
          </w:p>
        </w:tc>
      </w:tr>
      <w:tr w:rsidR="00AA0841" w:rsidRPr="00AA0841" w14:paraId="4C8040A9" w14:textId="77777777" w:rsidTr="00AA0841">
        <w:trPr>
          <w:trHeight w:val="436"/>
        </w:trPr>
        <w:tc>
          <w:tcPr>
            <w:tcW w:w="1843" w:type="dxa"/>
            <w:vMerge/>
            <w:tcBorders>
              <w:left w:val="single" w:sz="12" w:space="0" w:color="auto"/>
              <w:bottom w:val="single" w:sz="12" w:space="0" w:color="auto"/>
            </w:tcBorders>
          </w:tcPr>
          <w:p w14:paraId="4CB20295" w14:textId="77777777" w:rsidR="00AA0841" w:rsidRPr="00AA0841" w:rsidRDefault="00AA0841" w:rsidP="00AA0841">
            <w:pPr>
              <w:spacing w:before="120"/>
              <w:rPr>
                <w:rFonts w:cstheme="minorHAnsi"/>
                <w:b/>
                <w:color w:val="000000" w:themeColor="text1"/>
                <w:sz w:val="18"/>
                <w:szCs w:val="18"/>
              </w:rPr>
            </w:pPr>
          </w:p>
        </w:tc>
        <w:tc>
          <w:tcPr>
            <w:tcW w:w="1559" w:type="dxa"/>
            <w:tcBorders>
              <w:bottom w:val="single" w:sz="12" w:space="0" w:color="auto"/>
            </w:tcBorders>
            <w:shd w:val="clear" w:color="auto" w:fill="auto"/>
          </w:tcPr>
          <w:p w14:paraId="6419F767" w14:textId="77777777" w:rsidR="00AA0841" w:rsidRPr="00AA0841" w:rsidRDefault="00AA0841" w:rsidP="00AA0841">
            <w:pPr>
              <w:rPr>
                <w:rFonts w:cstheme="minorHAnsi"/>
                <w:bCs/>
                <w:color w:val="000000" w:themeColor="text1"/>
                <w:sz w:val="18"/>
                <w:szCs w:val="18"/>
              </w:rPr>
            </w:pPr>
            <w:r w:rsidRPr="00AA0841">
              <w:rPr>
                <w:rFonts w:cstheme="minorHAnsi"/>
                <w:bCs/>
                <w:color w:val="000000" w:themeColor="text1"/>
                <w:sz w:val="18"/>
                <w:szCs w:val="18"/>
              </w:rPr>
              <w:t>Maintenance and regeneration of floodplain vegetation (including lignum)</w:t>
            </w:r>
          </w:p>
          <w:p w14:paraId="53350C20" w14:textId="77777777" w:rsidR="00AA0841" w:rsidRPr="00AA0841" w:rsidRDefault="00AA0841" w:rsidP="00AA0841">
            <w:pPr>
              <w:rPr>
                <w:rFonts w:cstheme="minorHAnsi"/>
                <w:bCs/>
                <w:color w:val="000000" w:themeColor="text1"/>
                <w:sz w:val="18"/>
                <w:szCs w:val="18"/>
              </w:rPr>
            </w:pPr>
            <w:r w:rsidRPr="00AA0841">
              <w:rPr>
                <w:rFonts w:cstheme="minorHAnsi"/>
                <w:bCs/>
                <w:color w:val="000000" w:themeColor="text1"/>
                <w:sz w:val="18"/>
                <w:szCs w:val="18"/>
              </w:rPr>
              <w:t>Waterbird habitat and potential breeding</w:t>
            </w:r>
          </w:p>
          <w:p w14:paraId="351EFC12" w14:textId="77777777" w:rsidR="00AA0841" w:rsidRPr="00AA0841" w:rsidRDefault="00AA0841" w:rsidP="00AA0841">
            <w:pPr>
              <w:rPr>
                <w:rFonts w:cstheme="minorHAnsi"/>
                <w:bCs/>
                <w:color w:val="000000" w:themeColor="text1"/>
                <w:sz w:val="18"/>
                <w:szCs w:val="18"/>
              </w:rPr>
            </w:pPr>
            <w:r w:rsidRPr="00AA0841">
              <w:rPr>
                <w:rFonts w:cstheme="minorHAnsi"/>
                <w:bCs/>
                <w:color w:val="000000" w:themeColor="text1"/>
                <w:sz w:val="18"/>
                <w:szCs w:val="18"/>
              </w:rPr>
              <w:t>Native fish</w:t>
            </w:r>
          </w:p>
          <w:p w14:paraId="00B90D38" w14:textId="77777777" w:rsidR="00AA0841" w:rsidRPr="00AA0841" w:rsidRDefault="00AA0841" w:rsidP="00AA0841">
            <w:pPr>
              <w:spacing w:before="120"/>
              <w:contextualSpacing/>
              <w:rPr>
                <w:rFonts w:cstheme="minorHAnsi"/>
                <w:color w:val="000000" w:themeColor="text1"/>
                <w:sz w:val="18"/>
                <w:szCs w:val="18"/>
              </w:rPr>
            </w:pPr>
            <w:r w:rsidRPr="00AA0841">
              <w:rPr>
                <w:rFonts w:cstheme="minorHAnsi"/>
                <w:bCs/>
                <w:color w:val="000000" w:themeColor="text1"/>
                <w:sz w:val="18"/>
                <w:szCs w:val="18"/>
              </w:rPr>
              <w:t>Ecosystem function</w:t>
            </w:r>
          </w:p>
        </w:tc>
        <w:tc>
          <w:tcPr>
            <w:tcW w:w="3969" w:type="dxa"/>
            <w:tcBorders>
              <w:bottom w:val="single" w:sz="12" w:space="0" w:color="auto"/>
            </w:tcBorders>
            <w:shd w:val="clear" w:color="auto" w:fill="auto"/>
          </w:tcPr>
          <w:p w14:paraId="563CC62E" w14:textId="77777777" w:rsidR="00AA0841" w:rsidRPr="00AA0841" w:rsidRDefault="00AA0841" w:rsidP="00AA0841">
            <w:pPr>
              <w:rPr>
                <w:rFonts w:cstheme="minorHAnsi"/>
                <w:b/>
                <w:color w:val="000000" w:themeColor="text1"/>
                <w:sz w:val="18"/>
                <w:szCs w:val="18"/>
              </w:rPr>
            </w:pPr>
            <w:r w:rsidRPr="00AA0841">
              <w:rPr>
                <w:rFonts w:cstheme="minorHAnsi"/>
                <w:b/>
                <w:color w:val="000000" w:themeColor="text1"/>
                <w:sz w:val="18"/>
                <w:szCs w:val="18"/>
              </w:rPr>
              <w:t>Large wetland (WL) inundation</w:t>
            </w:r>
            <w:r w:rsidRPr="00AA0841">
              <w:rPr>
                <w:rFonts w:cstheme="minorHAnsi"/>
                <w:color w:val="000000" w:themeColor="text1"/>
                <w:sz w:val="24"/>
                <w:szCs w:val="24"/>
                <w:vertAlign w:val="superscript"/>
              </w:rPr>
              <w:t>^</w:t>
            </w:r>
            <w:r w:rsidRPr="00AA0841">
              <w:rPr>
                <w:rFonts w:cstheme="minorHAnsi"/>
                <w:b/>
                <w:color w:val="000000" w:themeColor="text1"/>
                <w:sz w:val="18"/>
                <w:szCs w:val="18"/>
              </w:rPr>
              <w:t>:</w:t>
            </w:r>
          </w:p>
          <w:p w14:paraId="748BAC53" w14:textId="77777777" w:rsidR="00AA0841" w:rsidRPr="00AA0841" w:rsidRDefault="00AA0841" w:rsidP="00AA0841">
            <w:pPr>
              <w:spacing w:before="120"/>
              <w:rPr>
                <w:rFonts w:cstheme="minorHAnsi"/>
                <w:bCs/>
                <w:color w:val="000000" w:themeColor="text1"/>
                <w:sz w:val="18"/>
                <w:szCs w:val="18"/>
              </w:rPr>
            </w:pPr>
            <w:r w:rsidRPr="00AA0841">
              <w:rPr>
                <w:rFonts w:cstheme="minorHAnsi"/>
                <w:color w:val="000000" w:themeColor="text1"/>
                <w:sz w:val="18"/>
                <w:szCs w:val="18"/>
              </w:rPr>
              <w:t xml:space="preserve">WL3 (Regeneration of Floodplain Vegetation): </w:t>
            </w:r>
          </w:p>
          <w:p w14:paraId="2D5EDABF" w14:textId="77777777" w:rsidR="00AA0841" w:rsidRPr="00AA0841" w:rsidRDefault="00AA0841" w:rsidP="005D79EF">
            <w:pPr>
              <w:numPr>
                <w:ilvl w:val="0"/>
                <w:numId w:val="35"/>
              </w:numPr>
              <w:spacing w:before="120" w:after="100" w:afterAutospacing="1"/>
              <w:ind w:left="210" w:hanging="210"/>
              <w:rPr>
                <w:rFonts w:cstheme="minorHAnsi"/>
                <w:color w:val="000000" w:themeColor="text1"/>
                <w:sz w:val="18"/>
                <w:szCs w:val="18"/>
              </w:rPr>
            </w:pPr>
            <w:r w:rsidRPr="00AA0841">
              <w:rPr>
                <w:rFonts w:cstheme="minorHAnsi"/>
                <w:color w:val="000000" w:themeColor="text1"/>
                <w:sz w:val="18"/>
                <w:szCs w:val="18"/>
              </w:rPr>
              <w:t>&gt;45 GL over 3</w:t>
            </w:r>
            <w:r w:rsidRPr="00AA0841">
              <w:rPr>
                <w:rFonts w:cstheme="minorHAnsi"/>
                <w:bCs/>
                <w:color w:val="000000" w:themeColor="text1"/>
                <w:sz w:val="18"/>
                <w:szCs w:val="18"/>
              </w:rPr>
              <w:t>–</w:t>
            </w:r>
            <w:r w:rsidRPr="00AA0841">
              <w:rPr>
                <w:rFonts w:cstheme="minorHAnsi"/>
                <w:color w:val="000000" w:themeColor="text1"/>
                <w:sz w:val="18"/>
                <w:szCs w:val="18"/>
              </w:rPr>
              <w:t>6 months (Gwydir @ Allambie) in Oct–Apr</w:t>
            </w:r>
          </w:p>
          <w:p w14:paraId="2AFAAF20" w14:textId="77777777" w:rsidR="00AA0841" w:rsidRPr="00AA0841" w:rsidRDefault="00AA0841" w:rsidP="005D79EF">
            <w:pPr>
              <w:numPr>
                <w:ilvl w:val="0"/>
                <w:numId w:val="35"/>
              </w:numPr>
              <w:spacing w:after="100" w:afterAutospacing="1"/>
              <w:ind w:left="210" w:hanging="210"/>
              <w:rPr>
                <w:rFonts w:cstheme="minorHAnsi"/>
                <w:bCs/>
                <w:color w:val="000000" w:themeColor="text1"/>
                <w:sz w:val="18"/>
                <w:szCs w:val="18"/>
              </w:rPr>
            </w:pPr>
            <w:r w:rsidRPr="00AA0841">
              <w:rPr>
                <w:rFonts w:cstheme="minorHAnsi"/>
                <w:bCs/>
                <w:color w:val="000000" w:themeColor="text1"/>
                <w:sz w:val="18"/>
                <w:szCs w:val="18"/>
              </w:rPr>
              <w:t>&gt;45GL over 1–3 months) Gingham @ Teralba</w:t>
            </w:r>
          </w:p>
          <w:p w14:paraId="6E1D1B04" w14:textId="77777777" w:rsidR="00AA0841" w:rsidRPr="00AA0841" w:rsidRDefault="00AA0841" w:rsidP="005D79EF">
            <w:pPr>
              <w:numPr>
                <w:ilvl w:val="0"/>
                <w:numId w:val="35"/>
              </w:numPr>
              <w:spacing w:after="100" w:afterAutospacing="1"/>
              <w:ind w:left="210" w:hanging="210"/>
              <w:rPr>
                <w:rFonts w:cstheme="minorHAnsi"/>
                <w:bCs/>
                <w:color w:val="000000" w:themeColor="text1"/>
                <w:sz w:val="18"/>
                <w:szCs w:val="18"/>
              </w:rPr>
            </w:pPr>
            <w:r w:rsidRPr="00AA0841">
              <w:rPr>
                <w:rFonts w:cstheme="minorHAnsi"/>
                <w:bCs/>
                <w:color w:val="000000" w:themeColor="text1"/>
                <w:sz w:val="18"/>
                <w:szCs w:val="18"/>
              </w:rPr>
              <w:t>&gt;40 GL over 2–6 months (Gingham @ Tillaloo) in Oct–Apr</w:t>
            </w:r>
          </w:p>
          <w:p w14:paraId="6DA251BA" w14:textId="77777777" w:rsidR="00AA0841" w:rsidRPr="00AA0841" w:rsidRDefault="00AA0841" w:rsidP="005D79EF">
            <w:pPr>
              <w:numPr>
                <w:ilvl w:val="0"/>
                <w:numId w:val="35"/>
              </w:numPr>
              <w:ind w:left="210" w:hanging="210"/>
              <w:rPr>
                <w:rFonts w:cstheme="minorHAnsi"/>
                <w:bCs/>
                <w:color w:val="000000" w:themeColor="text1"/>
                <w:sz w:val="18"/>
                <w:szCs w:val="18"/>
              </w:rPr>
            </w:pPr>
            <w:r w:rsidRPr="00AA0841">
              <w:rPr>
                <w:rFonts w:cstheme="minorHAnsi"/>
                <w:bCs/>
                <w:color w:val="000000" w:themeColor="text1"/>
                <w:sz w:val="18"/>
                <w:szCs w:val="18"/>
              </w:rPr>
              <w:t>&gt;20 GL over 1–4 months (@ Gingham Bridge)</w:t>
            </w:r>
          </w:p>
          <w:p w14:paraId="07262E5B" w14:textId="77777777" w:rsidR="00AA0841" w:rsidRPr="00AA0841" w:rsidRDefault="00AA0841" w:rsidP="00AA0841">
            <w:pPr>
              <w:spacing w:before="120"/>
              <w:rPr>
                <w:rFonts w:cstheme="minorHAnsi"/>
                <w:bCs/>
                <w:color w:val="000000" w:themeColor="text1"/>
                <w:sz w:val="18"/>
                <w:szCs w:val="18"/>
              </w:rPr>
            </w:pPr>
            <w:r w:rsidRPr="00AA0841">
              <w:rPr>
                <w:rFonts w:cstheme="minorHAnsi"/>
                <w:bCs/>
                <w:color w:val="000000" w:themeColor="text1"/>
                <w:sz w:val="18"/>
                <w:szCs w:val="18"/>
              </w:rPr>
              <w:t xml:space="preserve">WL4 (Maintenance of </w:t>
            </w:r>
            <w:r w:rsidRPr="00AA0841">
              <w:rPr>
                <w:rFonts w:cstheme="minorHAnsi"/>
                <w:color w:val="000000" w:themeColor="text1"/>
                <w:sz w:val="18"/>
                <w:szCs w:val="18"/>
              </w:rPr>
              <w:t>Floodplain Vegetation)</w:t>
            </w:r>
            <w:r w:rsidRPr="00AA0841">
              <w:rPr>
                <w:rFonts w:cstheme="minorHAnsi"/>
                <w:color w:val="000000" w:themeColor="text1"/>
                <w:sz w:val="24"/>
                <w:szCs w:val="24"/>
                <w:vertAlign w:val="superscript"/>
              </w:rPr>
              <w:t xml:space="preserve"> ^</w:t>
            </w:r>
            <w:r w:rsidRPr="00AA0841">
              <w:rPr>
                <w:rFonts w:cstheme="minorHAnsi"/>
                <w:bCs/>
                <w:color w:val="000000" w:themeColor="text1"/>
                <w:sz w:val="18"/>
                <w:szCs w:val="18"/>
              </w:rPr>
              <w:t xml:space="preserve">: </w:t>
            </w:r>
          </w:p>
          <w:p w14:paraId="5ECD0E2E" w14:textId="77777777" w:rsidR="00AA0841" w:rsidRPr="00AA0841" w:rsidRDefault="00AA0841" w:rsidP="005D79EF">
            <w:pPr>
              <w:numPr>
                <w:ilvl w:val="0"/>
                <w:numId w:val="35"/>
              </w:numPr>
              <w:spacing w:before="120" w:after="0"/>
              <w:ind w:left="210" w:hanging="210"/>
              <w:rPr>
                <w:rFonts w:cstheme="minorHAnsi"/>
                <w:color w:val="000000" w:themeColor="text1"/>
                <w:sz w:val="18"/>
                <w:szCs w:val="18"/>
              </w:rPr>
            </w:pPr>
            <w:r w:rsidRPr="00AA0841">
              <w:rPr>
                <w:rFonts w:cstheme="minorHAnsi"/>
                <w:color w:val="000000" w:themeColor="text1"/>
                <w:sz w:val="18"/>
                <w:szCs w:val="18"/>
              </w:rPr>
              <w:t>&gt;65 GL over 2–6 months (Gwydir @ Allambie) in Aug–Feb (but can occur at any time)</w:t>
            </w:r>
          </w:p>
          <w:p w14:paraId="7BA5F298" w14:textId="77777777" w:rsidR="00AA0841" w:rsidRPr="00AA0841" w:rsidRDefault="00AA0841" w:rsidP="005D79EF">
            <w:pPr>
              <w:numPr>
                <w:ilvl w:val="0"/>
                <w:numId w:val="35"/>
              </w:numPr>
              <w:ind w:left="210" w:hanging="210"/>
              <w:rPr>
                <w:rFonts w:cstheme="minorHAnsi"/>
                <w:color w:val="000000" w:themeColor="text1"/>
                <w:sz w:val="18"/>
                <w:szCs w:val="18"/>
              </w:rPr>
            </w:pPr>
            <w:r w:rsidRPr="00AA0841">
              <w:rPr>
                <w:rFonts w:cstheme="minorHAnsi"/>
                <w:color w:val="000000" w:themeColor="text1"/>
                <w:sz w:val="18"/>
                <w:szCs w:val="18"/>
              </w:rPr>
              <w:t>&gt;60 GL over 2–6 months (Gingham @ Tillaloo) in Aug–Feb (but can occur at any time).</w:t>
            </w:r>
          </w:p>
          <w:p w14:paraId="2858A309" w14:textId="77777777" w:rsidR="00AA0841" w:rsidRPr="00AA0841" w:rsidRDefault="00AA0841" w:rsidP="005D79EF">
            <w:pPr>
              <w:numPr>
                <w:ilvl w:val="0"/>
                <w:numId w:val="35"/>
              </w:numPr>
              <w:ind w:left="210" w:hanging="210"/>
              <w:rPr>
                <w:rFonts w:cstheme="minorHAnsi"/>
                <w:color w:val="000000" w:themeColor="text1"/>
                <w:sz w:val="18"/>
                <w:szCs w:val="18"/>
              </w:rPr>
            </w:pPr>
            <w:r w:rsidRPr="00AA0841">
              <w:rPr>
                <w:rFonts w:cstheme="minorHAnsi"/>
                <w:color w:val="000000" w:themeColor="text1"/>
                <w:sz w:val="18"/>
                <w:szCs w:val="18"/>
              </w:rPr>
              <w:t>&gt;30 GL over 1–4 months (Gingham @ Gingham Bridge) in Aug–Feb (but can occur at any time).</w:t>
            </w:r>
          </w:p>
        </w:tc>
        <w:tc>
          <w:tcPr>
            <w:tcW w:w="1418" w:type="dxa"/>
            <w:tcBorders>
              <w:bottom w:val="single" w:sz="12" w:space="0" w:color="auto"/>
            </w:tcBorders>
            <w:shd w:val="clear" w:color="auto" w:fill="auto"/>
          </w:tcPr>
          <w:p w14:paraId="6B7366CF" w14:textId="77777777" w:rsidR="00AA0841" w:rsidRPr="00AA0841" w:rsidRDefault="00AA0841" w:rsidP="00AA0841">
            <w:pPr>
              <w:spacing w:after="0"/>
              <w:rPr>
                <w:rFonts w:cstheme="minorHAnsi"/>
                <w:color w:val="000000" w:themeColor="text1"/>
                <w:sz w:val="18"/>
                <w:szCs w:val="18"/>
              </w:rPr>
            </w:pPr>
          </w:p>
          <w:p w14:paraId="453C0B89" w14:textId="77777777" w:rsidR="00AA0841" w:rsidRPr="00AA0841" w:rsidRDefault="00AA0841" w:rsidP="00AA0841">
            <w:pPr>
              <w:spacing w:after="0"/>
              <w:rPr>
                <w:rFonts w:cstheme="minorHAnsi"/>
                <w:color w:val="000000" w:themeColor="text1"/>
                <w:sz w:val="18"/>
                <w:szCs w:val="18"/>
              </w:rPr>
            </w:pPr>
          </w:p>
          <w:p w14:paraId="2B9355D2" w14:textId="77777777" w:rsidR="00AA0841" w:rsidRPr="00AA0841" w:rsidRDefault="00AA0841" w:rsidP="00AA0841">
            <w:pPr>
              <w:spacing w:after="0"/>
              <w:rPr>
                <w:rFonts w:cstheme="minorHAnsi"/>
                <w:color w:val="000000" w:themeColor="text1"/>
                <w:sz w:val="18"/>
                <w:szCs w:val="18"/>
              </w:rPr>
            </w:pPr>
          </w:p>
          <w:p w14:paraId="4E5024F7"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WL3: 5–8 in 10 years</w:t>
            </w:r>
          </w:p>
          <w:p w14:paraId="73A7031A"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(Max. interval: 3 years)</w:t>
            </w:r>
          </w:p>
          <w:p w14:paraId="692EE172" w14:textId="77777777" w:rsidR="00AA0841" w:rsidRPr="00AA0841" w:rsidRDefault="00AA0841" w:rsidP="00AA0841">
            <w:pPr>
              <w:spacing w:after="0"/>
              <w:rPr>
                <w:rFonts w:cstheme="minorHAnsi"/>
                <w:color w:val="000000" w:themeColor="text1"/>
                <w:sz w:val="18"/>
                <w:szCs w:val="18"/>
              </w:rPr>
            </w:pPr>
          </w:p>
          <w:p w14:paraId="468BCCEC" w14:textId="77777777" w:rsidR="00AA0841" w:rsidRPr="00AA0841" w:rsidRDefault="00AA0841" w:rsidP="00AA0841">
            <w:pPr>
              <w:spacing w:after="0"/>
              <w:rPr>
                <w:rFonts w:cstheme="minorHAnsi"/>
                <w:color w:val="000000" w:themeColor="text1"/>
                <w:sz w:val="18"/>
                <w:szCs w:val="18"/>
              </w:rPr>
            </w:pPr>
          </w:p>
          <w:p w14:paraId="7C4152E5" w14:textId="77777777" w:rsidR="00AA0841" w:rsidRPr="00AA0841" w:rsidRDefault="00AA0841" w:rsidP="00AA0841">
            <w:pPr>
              <w:spacing w:after="0"/>
              <w:rPr>
                <w:rFonts w:cstheme="minorHAnsi"/>
                <w:color w:val="000000" w:themeColor="text1"/>
                <w:sz w:val="18"/>
                <w:szCs w:val="18"/>
              </w:rPr>
            </w:pPr>
          </w:p>
          <w:p w14:paraId="7116213C" w14:textId="77777777" w:rsidR="00AA0841" w:rsidRPr="00AA0841" w:rsidRDefault="00AA0841" w:rsidP="00AA0841">
            <w:pPr>
              <w:spacing w:after="0"/>
              <w:rPr>
                <w:rFonts w:cstheme="minorHAnsi"/>
                <w:color w:val="000000" w:themeColor="text1"/>
                <w:sz w:val="18"/>
                <w:szCs w:val="18"/>
              </w:rPr>
            </w:pPr>
          </w:p>
          <w:p w14:paraId="7905F959"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WL4: 3–5 in 10 years</w:t>
            </w:r>
          </w:p>
          <w:p w14:paraId="753BC397"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(Max. interval: 5 years)</w:t>
            </w:r>
          </w:p>
        </w:tc>
        <w:tc>
          <w:tcPr>
            <w:tcW w:w="5953" w:type="dxa"/>
            <w:tcBorders>
              <w:bottom w:val="single" w:sz="12" w:space="0" w:color="auto"/>
            </w:tcBorders>
            <w:shd w:val="clear" w:color="auto" w:fill="auto"/>
          </w:tcPr>
          <w:p w14:paraId="10CB663A"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 xml:space="preserve">The 2016–17 water year was the last time a large wetland inundation event occurred across the Gingham and lower Gwydir systems.  </w:t>
            </w:r>
          </w:p>
          <w:p w14:paraId="661D87F9"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During 2019–20 very dry conditions persisted, with no significant inflows entering the central parts of the Gingham and Gwydir systems for much of the year. However, the condition of floodplain vegetation was improved by widespread rainfall, which occurred across the Gingham and Lower Gwydir systems in early 2020. </w:t>
            </w:r>
          </w:p>
          <w:p w14:paraId="15F6518C"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The maximum flow interval for the regeneration of floodplain vegetation has now been exceeded, and water is required in 2020–21. Water will also be required in the next 1–2 years to support the maintenance of floodplain vegetation.  </w:t>
            </w:r>
          </w:p>
        </w:tc>
        <w:tc>
          <w:tcPr>
            <w:tcW w:w="1843" w:type="dxa"/>
            <w:tcBorders>
              <w:bottom w:val="single" w:sz="12" w:space="0" w:color="auto"/>
            </w:tcBorders>
            <w:shd w:val="clear" w:color="auto" w:fill="FFC000"/>
            <w:vAlign w:val="center"/>
          </w:tcPr>
          <w:p w14:paraId="25A32587"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Moderate to High</w:t>
            </w:r>
          </w:p>
        </w:tc>
        <w:tc>
          <w:tcPr>
            <w:tcW w:w="3119" w:type="dxa"/>
            <w:tcBorders>
              <w:bottom w:val="single" w:sz="12" w:space="0" w:color="auto"/>
            </w:tcBorders>
            <w:shd w:val="clear" w:color="auto" w:fill="95B3D7" w:themeFill="accent1" w:themeFillTint="99"/>
            <w:vAlign w:val="center"/>
          </w:tcPr>
          <w:p w14:paraId="7EE37252" w14:textId="77777777" w:rsidR="00AA0841" w:rsidRPr="00AA0841" w:rsidRDefault="00AA0841" w:rsidP="00AA0841">
            <w:pPr>
              <w:spacing w:before="120"/>
              <w:jc w:val="center"/>
              <w:rPr>
                <w:rFonts w:cstheme="minorHAnsi"/>
                <w:color w:val="auto"/>
                <w:sz w:val="18"/>
                <w:szCs w:val="18"/>
              </w:rPr>
            </w:pPr>
            <w:r w:rsidRPr="00AA0841">
              <w:rPr>
                <w:rFonts w:cstheme="minorHAnsi"/>
                <w:color w:val="auto"/>
                <w:sz w:val="18"/>
                <w:szCs w:val="18"/>
              </w:rPr>
              <w:t>Possible use of CEW under moderate to high water resource availability scenarios, subject to occurrence of unregulated flow event and water availability.</w:t>
            </w:r>
          </w:p>
          <w:p w14:paraId="76A5C286"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Given the low volumes of regulated environmental water available, proactive delivery is currently a low priority for 2020–21, while use of supplementary water to protect natural flow events is a higher priority.</w:t>
            </w:r>
          </w:p>
        </w:tc>
        <w:tc>
          <w:tcPr>
            <w:tcW w:w="2268" w:type="dxa"/>
            <w:tcBorders>
              <w:bottom w:val="single" w:sz="12" w:space="0" w:color="auto"/>
              <w:right w:val="single" w:sz="12" w:space="0" w:color="auto"/>
            </w:tcBorders>
            <w:shd w:val="clear" w:color="auto" w:fill="FFC000"/>
            <w:vAlign w:val="center"/>
          </w:tcPr>
          <w:p w14:paraId="50248FEE"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Moderate to High</w:t>
            </w:r>
          </w:p>
          <w:p w14:paraId="25B2840A"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(subject to occurrence of unregulated flow events)</w:t>
            </w:r>
          </w:p>
        </w:tc>
      </w:tr>
      <w:tr w:rsidR="00AA0841" w:rsidRPr="00AA0841" w14:paraId="72629D1B" w14:textId="77777777" w:rsidTr="00AA0841">
        <w:trPr>
          <w:trHeight w:val="3696"/>
        </w:trPr>
        <w:tc>
          <w:tcPr>
            <w:tcW w:w="1843" w:type="dxa"/>
            <w:vMerge w:val="restart"/>
            <w:tcBorders>
              <w:top w:val="single" w:sz="12" w:space="0" w:color="auto"/>
              <w:left w:val="single" w:sz="12" w:space="0" w:color="auto"/>
            </w:tcBorders>
          </w:tcPr>
          <w:p w14:paraId="6F3D62BE" w14:textId="77777777" w:rsidR="00AA0841" w:rsidRPr="00AA0841" w:rsidRDefault="00AA0841" w:rsidP="00AA0841">
            <w:pPr>
              <w:rPr>
                <w:rFonts w:cstheme="minorHAnsi"/>
                <w:b/>
                <w:color w:val="000000" w:themeColor="text1"/>
                <w:sz w:val="18"/>
                <w:szCs w:val="18"/>
              </w:rPr>
            </w:pPr>
            <w:r w:rsidRPr="00AA0841">
              <w:rPr>
                <w:rFonts w:cstheme="minorHAnsi"/>
                <w:b/>
                <w:color w:val="000000" w:themeColor="text1"/>
                <w:sz w:val="18"/>
                <w:szCs w:val="18"/>
              </w:rPr>
              <w:lastRenderedPageBreak/>
              <w:t>Mallowa Wetlands</w:t>
            </w:r>
          </w:p>
          <w:p w14:paraId="2101FA94" w14:textId="77777777" w:rsidR="00AA0841" w:rsidRPr="00AA0841" w:rsidRDefault="00AA0841" w:rsidP="00AA0841">
            <w:pPr>
              <w:spacing w:before="120" w:after="0"/>
              <w:rPr>
                <w:rFonts w:cstheme="minorHAnsi"/>
                <w:color w:val="000000" w:themeColor="text1"/>
                <w:sz w:val="18"/>
                <w:szCs w:val="18"/>
              </w:rPr>
            </w:pPr>
            <w:r w:rsidRPr="00AA0841">
              <w:rPr>
                <w:rFonts w:cstheme="minorHAnsi"/>
                <w:color w:val="000000" w:themeColor="text1"/>
                <w:sz w:val="18"/>
                <w:szCs w:val="18"/>
              </w:rPr>
              <w:t>Waterbird breeding and habitat</w:t>
            </w:r>
          </w:p>
          <w:p w14:paraId="63F6B470" w14:textId="77777777" w:rsidR="00AA0841" w:rsidRPr="00AA0841" w:rsidRDefault="00AA0841" w:rsidP="00AA0841">
            <w:pPr>
              <w:spacing w:before="120" w:after="0"/>
              <w:rPr>
                <w:rFonts w:cstheme="minorHAnsi"/>
                <w:color w:val="000000" w:themeColor="text1"/>
                <w:sz w:val="18"/>
                <w:szCs w:val="18"/>
              </w:rPr>
            </w:pPr>
            <w:r w:rsidRPr="00AA0841">
              <w:rPr>
                <w:rFonts w:cstheme="minorHAnsi"/>
                <w:color w:val="000000" w:themeColor="text1"/>
                <w:sz w:val="18"/>
                <w:szCs w:val="18"/>
              </w:rPr>
              <w:t>Habitat and breeding ground for frogs</w:t>
            </w:r>
          </w:p>
          <w:p w14:paraId="0A752121" w14:textId="77777777" w:rsidR="00AA0841" w:rsidRPr="00AA0841" w:rsidRDefault="00AA0841" w:rsidP="00AA0841">
            <w:pPr>
              <w:spacing w:before="120" w:after="0"/>
              <w:rPr>
                <w:rFonts w:cstheme="minorHAnsi"/>
                <w:color w:val="000000" w:themeColor="text1"/>
                <w:sz w:val="18"/>
                <w:szCs w:val="18"/>
              </w:rPr>
            </w:pPr>
            <w:r w:rsidRPr="00AA0841">
              <w:rPr>
                <w:rFonts w:cstheme="minorHAnsi"/>
                <w:color w:val="000000" w:themeColor="text1"/>
                <w:sz w:val="18"/>
                <w:szCs w:val="18"/>
              </w:rPr>
              <w:t>Endangered ecological communities</w:t>
            </w:r>
          </w:p>
          <w:p w14:paraId="4A84ACCE" w14:textId="77777777" w:rsidR="00AA0841" w:rsidRPr="00AA0841" w:rsidRDefault="00AA0841" w:rsidP="00AA0841">
            <w:pPr>
              <w:spacing w:before="120" w:after="0"/>
              <w:rPr>
                <w:rFonts w:cstheme="minorHAnsi"/>
                <w:color w:val="000000" w:themeColor="text1"/>
                <w:sz w:val="18"/>
                <w:szCs w:val="18"/>
              </w:rPr>
            </w:pPr>
            <w:r w:rsidRPr="00AA0841">
              <w:rPr>
                <w:rFonts w:cstheme="minorHAnsi"/>
                <w:color w:val="000000" w:themeColor="text1"/>
                <w:sz w:val="18"/>
                <w:szCs w:val="18"/>
              </w:rPr>
              <w:t>Lagoons and wetlands which have important values for the Gomeroi local Aboriginal community. Key sites include Valetta swamps and surrounding wetlands</w:t>
            </w:r>
          </w:p>
        </w:tc>
        <w:tc>
          <w:tcPr>
            <w:tcW w:w="1559" w:type="dxa"/>
            <w:tcBorders>
              <w:top w:val="single" w:sz="12" w:space="0" w:color="auto"/>
            </w:tcBorders>
            <w:shd w:val="clear" w:color="auto" w:fill="auto"/>
          </w:tcPr>
          <w:p w14:paraId="5EE62F0E"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Core wetland inundation</w:t>
            </w:r>
          </w:p>
          <w:p w14:paraId="3FA80C38"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Refuge habitat for native fish, waterbirds, frogs and other aquatic species</w:t>
            </w:r>
          </w:p>
          <w:p w14:paraId="2CE99BE8" w14:textId="77777777" w:rsidR="00AA0841" w:rsidRPr="00AA0841" w:rsidRDefault="00AA0841" w:rsidP="00AA0841">
            <w:pPr>
              <w:rPr>
                <w:rFonts w:cstheme="minorHAnsi"/>
                <w:bCs/>
                <w:color w:val="000000" w:themeColor="text1"/>
                <w:sz w:val="18"/>
                <w:szCs w:val="18"/>
              </w:rPr>
            </w:pPr>
            <w:r w:rsidRPr="00AA0841">
              <w:rPr>
                <w:rFonts w:cstheme="minorHAnsi"/>
                <w:bCs/>
                <w:color w:val="000000" w:themeColor="text1"/>
                <w:sz w:val="18"/>
                <w:szCs w:val="18"/>
              </w:rPr>
              <w:t>Wetland and riparian vegetation</w:t>
            </w:r>
          </w:p>
          <w:p w14:paraId="190EEBC6" w14:textId="77777777" w:rsidR="00AA0841" w:rsidRPr="00AA0841" w:rsidRDefault="00AA0841" w:rsidP="00AA0841">
            <w:pPr>
              <w:rPr>
                <w:rFonts w:cstheme="minorHAnsi"/>
                <w:color w:val="000000" w:themeColor="text1"/>
                <w:sz w:val="18"/>
                <w:szCs w:val="18"/>
              </w:rPr>
            </w:pPr>
            <w:r w:rsidRPr="00AA0841">
              <w:rPr>
                <w:rFonts w:cstheme="minorHAnsi"/>
                <w:bCs/>
                <w:color w:val="000000" w:themeColor="text1"/>
                <w:sz w:val="18"/>
                <w:szCs w:val="18"/>
              </w:rPr>
              <w:t>Ecosystem function</w:t>
            </w:r>
          </w:p>
        </w:tc>
        <w:tc>
          <w:tcPr>
            <w:tcW w:w="3969" w:type="dxa"/>
            <w:tcBorders>
              <w:top w:val="single" w:sz="12" w:space="0" w:color="auto"/>
            </w:tcBorders>
            <w:shd w:val="clear" w:color="auto" w:fill="auto"/>
          </w:tcPr>
          <w:p w14:paraId="6C77D242" w14:textId="77777777" w:rsidR="00AA0841" w:rsidRPr="00AA0841" w:rsidRDefault="00AA0841" w:rsidP="00AA0841">
            <w:pPr>
              <w:rPr>
                <w:rFonts w:cstheme="minorHAnsi"/>
                <w:b/>
                <w:color w:val="000000" w:themeColor="text1"/>
                <w:sz w:val="18"/>
                <w:szCs w:val="18"/>
              </w:rPr>
            </w:pPr>
            <w:r w:rsidRPr="00AA0841">
              <w:rPr>
                <w:rFonts w:cstheme="minorHAnsi"/>
                <w:b/>
                <w:color w:val="000000" w:themeColor="text1"/>
                <w:sz w:val="18"/>
                <w:szCs w:val="18"/>
              </w:rPr>
              <w:t>Small wetland (WL) inundation:</w:t>
            </w:r>
          </w:p>
          <w:p w14:paraId="4BCA2B2E"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WL1 (Protect Core Wetland): </w:t>
            </w:r>
          </w:p>
          <w:p w14:paraId="25E771A2"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&gt;3 GL over 2–4 months at the Mallowa Regulator in Oct–Mar (but can occur at any time).</w:t>
            </w:r>
          </w:p>
          <w:p w14:paraId="3AFF193C"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WL2 (Maintenance and Regeneration of Wetlands):</w:t>
            </w:r>
          </w:p>
          <w:p w14:paraId="6777F447"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 &gt;8 GL over 2–4 months at the Mallowa Regulator in Sept–Mar (but can occur at any time).</w:t>
            </w:r>
          </w:p>
        </w:tc>
        <w:tc>
          <w:tcPr>
            <w:tcW w:w="1418" w:type="dxa"/>
            <w:tcBorders>
              <w:top w:val="single" w:sz="12" w:space="0" w:color="auto"/>
            </w:tcBorders>
            <w:shd w:val="clear" w:color="auto" w:fill="auto"/>
          </w:tcPr>
          <w:p w14:paraId="7FE32DB1" w14:textId="77777777" w:rsidR="00AA0841" w:rsidRPr="00AA0841" w:rsidRDefault="00AA0841" w:rsidP="00AA0841">
            <w:pPr>
              <w:spacing w:after="0"/>
              <w:rPr>
                <w:rFonts w:cstheme="minorHAnsi"/>
                <w:color w:val="000000" w:themeColor="text1"/>
                <w:sz w:val="18"/>
                <w:szCs w:val="18"/>
              </w:rPr>
            </w:pPr>
          </w:p>
          <w:p w14:paraId="495CE0B4" w14:textId="77777777" w:rsidR="00AA0841" w:rsidRPr="00AA0841" w:rsidRDefault="00AA0841" w:rsidP="00AA0841">
            <w:pPr>
              <w:spacing w:after="0"/>
              <w:rPr>
                <w:rFonts w:cstheme="minorHAnsi"/>
                <w:color w:val="000000" w:themeColor="text1"/>
                <w:sz w:val="18"/>
                <w:szCs w:val="18"/>
              </w:rPr>
            </w:pPr>
          </w:p>
          <w:p w14:paraId="0B25278B"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WL1: 9–10 in 10 years</w:t>
            </w:r>
          </w:p>
          <w:p w14:paraId="2B6AC448"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(Max. interval: 1.5 years)</w:t>
            </w:r>
          </w:p>
          <w:p w14:paraId="39F8CE41" w14:textId="77777777" w:rsidR="00AA0841" w:rsidRPr="00AA0841" w:rsidRDefault="00AA0841" w:rsidP="00AA0841">
            <w:pPr>
              <w:spacing w:after="0"/>
              <w:rPr>
                <w:rFonts w:cstheme="minorHAnsi"/>
                <w:bCs/>
                <w:color w:val="000000" w:themeColor="text1"/>
                <w:sz w:val="18"/>
                <w:szCs w:val="18"/>
              </w:rPr>
            </w:pPr>
          </w:p>
          <w:p w14:paraId="190D7420"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WL2: 7–9 in 10 years</w:t>
            </w:r>
          </w:p>
          <w:p w14:paraId="342CA14E"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(Max. interval: 2 years)</w:t>
            </w:r>
          </w:p>
        </w:tc>
        <w:tc>
          <w:tcPr>
            <w:tcW w:w="5953" w:type="dxa"/>
            <w:tcBorders>
              <w:top w:val="single" w:sz="12" w:space="0" w:color="auto"/>
            </w:tcBorders>
            <w:shd w:val="clear" w:color="auto" w:fill="auto"/>
          </w:tcPr>
          <w:p w14:paraId="2F34F139"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The Mallowa wetlands experienced dry conditions during 2017–18. During 2018–19 an extended environmental watering event (based on a proactive water delivery strategy) enabled all flow targets to be met, helping to protect, maintain and regenerate core wetland areas. </w:t>
            </w:r>
          </w:p>
          <w:p w14:paraId="1D16E0EA"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The Mallowa wetlands again experienced dry conditions during and 2019–20, with no significant inflows entering the system from the Mehi River. However, several intense high rainfall events across most of the Mehi, Mallowa and Moomin systems in early 2020 provided flows along and into the Mallowa Creek, improving the condition of wetlands across the Mallowa system. </w:t>
            </w:r>
          </w:p>
          <w:p w14:paraId="11BF363F"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Because of system constraints, core wetland areas in the Mallowa require frequent inundation and are approaching the maximum interval between inundation events. Therefore, the demand for water </w:t>
            </w:r>
            <w:r w:rsidRPr="00AA0841">
              <w:rPr>
                <w:rFonts w:cstheme="minorHAnsi"/>
                <w:sz w:val="18"/>
                <w:szCs w:val="18"/>
              </w:rPr>
              <w:t xml:space="preserve">has been assessed as high for flows necessary to support the protection of core wetland areas during 2020–21. </w:t>
            </w:r>
          </w:p>
        </w:tc>
        <w:tc>
          <w:tcPr>
            <w:tcW w:w="1843" w:type="dxa"/>
            <w:tcBorders>
              <w:top w:val="single" w:sz="12" w:space="0" w:color="auto"/>
            </w:tcBorders>
            <w:shd w:val="clear" w:color="auto" w:fill="FF0000"/>
            <w:vAlign w:val="center"/>
          </w:tcPr>
          <w:p w14:paraId="6F90BC11"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High</w:t>
            </w:r>
          </w:p>
        </w:tc>
        <w:tc>
          <w:tcPr>
            <w:tcW w:w="3119" w:type="dxa"/>
            <w:tcBorders>
              <w:top w:val="single" w:sz="12" w:space="0" w:color="auto"/>
            </w:tcBorders>
            <w:shd w:val="clear" w:color="auto" w:fill="365F91" w:themeFill="accent1" w:themeFillShade="BF"/>
            <w:vAlign w:val="center"/>
          </w:tcPr>
          <w:p w14:paraId="1E8BC653" w14:textId="77777777" w:rsidR="00AA0841" w:rsidRPr="00AA0841" w:rsidRDefault="00AA0841" w:rsidP="00AA0841">
            <w:pPr>
              <w:spacing w:before="120"/>
              <w:jc w:val="center"/>
              <w:rPr>
                <w:rFonts w:cstheme="minorHAnsi"/>
                <w:color w:val="auto"/>
                <w:sz w:val="18"/>
                <w:szCs w:val="18"/>
              </w:rPr>
            </w:pPr>
            <w:r w:rsidRPr="00AA0841">
              <w:rPr>
                <w:rFonts w:cstheme="minorHAnsi"/>
                <w:color w:val="auto"/>
                <w:sz w:val="18"/>
                <w:szCs w:val="18"/>
              </w:rPr>
              <w:t>A high priority for CEW under low to moderate water resource availability scenarios, subject to occurrence of unregulated flow event and water availability.</w:t>
            </w:r>
          </w:p>
          <w:p w14:paraId="7344123A"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Use of supplementary water to protect natural flow events will be a high priority. Given the low volumes of regulated environmental water available, using regulated releases to restore parts of a natural flow is currently a low priority for 2020–21.</w:t>
            </w:r>
          </w:p>
        </w:tc>
        <w:tc>
          <w:tcPr>
            <w:tcW w:w="2268" w:type="dxa"/>
            <w:tcBorders>
              <w:top w:val="single" w:sz="12" w:space="0" w:color="auto"/>
              <w:right w:val="single" w:sz="12" w:space="0" w:color="auto"/>
            </w:tcBorders>
            <w:shd w:val="clear" w:color="auto" w:fill="FFC000"/>
            <w:vAlign w:val="center"/>
          </w:tcPr>
          <w:p w14:paraId="157C1E21"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Moderate to High</w:t>
            </w:r>
          </w:p>
          <w:p w14:paraId="559C908F"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(subject to occurrence of unregulated flow events)</w:t>
            </w:r>
          </w:p>
        </w:tc>
      </w:tr>
      <w:tr w:rsidR="00AA0841" w:rsidRPr="00AA0841" w14:paraId="6069E34E" w14:textId="77777777" w:rsidTr="00AA0841">
        <w:trPr>
          <w:trHeight w:val="3537"/>
        </w:trPr>
        <w:tc>
          <w:tcPr>
            <w:tcW w:w="1843" w:type="dxa"/>
            <w:vMerge/>
            <w:tcBorders>
              <w:left w:val="single" w:sz="12" w:space="0" w:color="auto"/>
              <w:bottom w:val="single" w:sz="12" w:space="0" w:color="auto"/>
            </w:tcBorders>
          </w:tcPr>
          <w:p w14:paraId="4C3208DF" w14:textId="77777777" w:rsidR="00AA0841" w:rsidRPr="00AA0841" w:rsidRDefault="00AA0841" w:rsidP="00AA0841">
            <w:pPr>
              <w:spacing w:before="120"/>
              <w:rPr>
                <w:rFonts w:cstheme="minorHAnsi"/>
                <w:b/>
                <w:color w:val="000000" w:themeColor="text1"/>
                <w:sz w:val="18"/>
                <w:szCs w:val="18"/>
              </w:rPr>
            </w:pPr>
          </w:p>
        </w:tc>
        <w:tc>
          <w:tcPr>
            <w:tcW w:w="1559" w:type="dxa"/>
            <w:tcBorders>
              <w:bottom w:val="single" w:sz="12" w:space="0" w:color="auto"/>
            </w:tcBorders>
            <w:shd w:val="clear" w:color="auto" w:fill="auto"/>
          </w:tcPr>
          <w:p w14:paraId="368B3ACA" w14:textId="77777777" w:rsidR="00AA0841" w:rsidRPr="00AA0841" w:rsidRDefault="00AA0841" w:rsidP="00AA0841">
            <w:pPr>
              <w:rPr>
                <w:rFonts w:cstheme="minorHAnsi"/>
                <w:bCs/>
                <w:color w:val="000000" w:themeColor="text1"/>
                <w:sz w:val="18"/>
                <w:szCs w:val="18"/>
              </w:rPr>
            </w:pPr>
            <w:r w:rsidRPr="00AA0841">
              <w:rPr>
                <w:rFonts w:cstheme="minorHAnsi"/>
                <w:bCs/>
                <w:color w:val="000000" w:themeColor="text1"/>
                <w:sz w:val="18"/>
                <w:szCs w:val="18"/>
              </w:rPr>
              <w:t>Wetland vegetation (including lignum)</w:t>
            </w:r>
          </w:p>
          <w:p w14:paraId="165B20D1" w14:textId="77777777" w:rsidR="00AA0841" w:rsidRPr="00AA0841" w:rsidRDefault="00AA0841" w:rsidP="00AA0841">
            <w:pPr>
              <w:rPr>
                <w:rFonts w:cstheme="minorHAnsi"/>
                <w:bCs/>
                <w:color w:val="000000" w:themeColor="text1"/>
                <w:sz w:val="18"/>
                <w:szCs w:val="18"/>
              </w:rPr>
            </w:pPr>
            <w:r w:rsidRPr="00AA0841">
              <w:rPr>
                <w:rFonts w:cstheme="minorHAnsi"/>
                <w:bCs/>
                <w:color w:val="000000" w:themeColor="text1"/>
                <w:sz w:val="18"/>
                <w:szCs w:val="18"/>
              </w:rPr>
              <w:t>Waterbird habitat and potential breeding</w:t>
            </w:r>
          </w:p>
          <w:p w14:paraId="4106A5B4" w14:textId="77777777" w:rsidR="00AA0841" w:rsidRPr="00AA0841" w:rsidRDefault="00AA0841" w:rsidP="00AA0841">
            <w:pPr>
              <w:rPr>
                <w:rFonts w:cstheme="minorHAnsi"/>
                <w:bCs/>
                <w:color w:val="000000" w:themeColor="text1"/>
                <w:sz w:val="18"/>
                <w:szCs w:val="18"/>
              </w:rPr>
            </w:pPr>
            <w:r w:rsidRPr="00AA0841">
              <w:rPr>
                <w:rFonts w:cstheme="minorHAnsi"/>
                <w:bCs/>
                <w:color w:val="000000" w:themeColor="text1"/>
                <w:sz w:val="18"/>
                <w:szCs w:val="18"/>
              </w:rPr>
              <w:t>Native fish</w:t>
            </w:r>
          </w:p>
          <w:p w14:paraId="370FB193" w14:textId="77777777" w:rsidR="00AA0841" w:rsidRPr="00AA0841" w:rsidRDefault="00AA0841" w:rsidP="00AA0841">
            <w:pPr>
              <w:rPr>
                <w:rFonts w:cstheme="minorHAnsi"/>
                <w:b/>
                <w:color w:val="000000" w:themeColor="text1"/>
                <w:sz w:val="18"/>
                <w:szCs w:val="18"/>
              </w:rPr>
            </w:pPr>
            <w:r w:rsidRPr="00AA0841">
              <w:rPr>
                <w:rFonts w:cstheme="minorHAnsi"/>
                <w:bCs/>
                <w:color w:val="000000" w:themeColor="text1"/>
                <w:sz w:val="18"/>
                <w:szCs w:val="18"/>
              </w:rPr>
              <w:t>Ecosystem function</w:t>
            </w:r>
          </w:p>
        </w:tc>
        <w:tc>
          <w:tcPr>
            <w:tcW w:w="3969" w:type="dxa"/>
            <w:tcBorders>
              <w:bottom w:val="single" w:sz="12" w:space="0" w:color="auto"/>
            </w:tcBorders>
            <w:shd w:val="clear" w:color="auto" w:fill="auto"/>
          </w:tcPr>
          <w:p w14:paraId="701C1D4E" w14:textId="77777777" w:rsidR="00AA0841" w:rsidRPr="00AA0841" w:rsidRDefault="00AA0841" w:rsidP="00AA0841">
            <w:pPr>
              <w:rPr>
                <w:rFonts w:cstheme="minorHAnsi"/>
                <w:b/>
                <w:color w:val="000000" w:themeColor="text1"/>
                <w:sz w:val="18"/>
                <w:szCs w:val="18"/>
              </w:rPr>
            </w:pPr>
            <w:r w:rsidRPr="00AA0841">
              <w:rPr>
                <w:rFonts w:cstheme="minorHAnsi"/>
                <w:b/>
                <w:color w:val="000000" w:themeColor="text1"/>
                <w:sz w:val="18"/>
                <w:szCs w:val="18"/>
              </w:rPr>
              <w:t>Large wetland (WL) inundation:</w:t>
            </w:r>
          </w:p>
          <w:p w14:paraId="019D2F6D"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WL3 (Regeneration of Floodplain Vegetation): </w:t>
            </w:r>
          </w:p>
          <w:p w14:paraId="06312644"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&gt;15 GL over 2–4 months at the Mallowa Regulator in Oct–Apr</w:t>
            </w:r>
          </w:p>
          <w:p w14:paraId="2695C4FD" w14:textId="77777777" w:rsidR="00AA0841" w:rsidRPr="00AA0841" w:rsidRDefault="00AA0841" w:rsidP="00AA0841">
            <w:pPr>
              <w:spacing w:before="120"/>
              <w:rPr>
                <w:rFonts w:cstheme="minorHAnsi"/>
                <w:bCs/>
                <w:color w:val="000000" w:themeColor="text1"/>
                <w:sz w:val="18"/>
                <w:szCs w:val="18"/>
              </w:rPr>
            </w:pPr>
            <w:r w:rsidRPr="00AA0841">
              <w:rPr>
                <w:rFonts w:cstheme="minorHAnsi"/>
                <w:bCs/>
                <w:color w:val="000000" w:themeColor="text1"/>
                <w:sz w:val="18"/>
                <w:szCs w:val="18"/>
              </w:rPr>
              <w:t xml:space="preserve">WL4 (Maintenance of </w:t>
            </w:r>
            <w:r w:rsidRPr="00AA0841">
              <w:rPr>
                <w:rFonts w:cstheme="minorHAnsi"/>
                <w:color w:val="000000" w:themeColor="text1"/>
                <w:sz w:val="18"/>
                <w:szCs w:val="18"/>
              </w:rPr>
              <w:t>Floodplain Vegetation)</w:t>
            </w:r>
            <w:r w:rsidRPr="00AA0841">
              <w:rPr>
                <w:rFonts w:cstheme="minorHAnsi"/>
                <w:bCs/>
                <w:color w:val="000000" w:themeColor="text1"/>
                <w:sz w:val="18"/>
                <w:szCs w:val="18"/>
              </w:rPr>
              <w:t xml:space="preserve">: </w:t>
            </w:r>
          </w:p>
          <w:p w14:paraId="5AB2EB6B" w14:textId="77777777" w:rsidR="00AA0841" w:rsidRPr="00AA0841" w:rsidRDefault="00AA0841" w:rsidP="00AA0841">
            <w:pPr>
              <w:spacing w:before="120"/>
              <w:rPr>
                <w:rFonts w:cstheme="minorHAnsi"/>
                <w:b/>
                <w:color w:val="000000" w:themeColor="text1"/>
                <w:sz w:val="18"/>
                <w:szCs w:val="18"/>
              </w:rPr>
            </w:pPr>
            <w:r w:rsidRPr="00AA0841">
              <w:rPr>
                <w:rFonts w:cstheme="minorHAnsi"/>
                <w:color w:val="000000" w:themeColor="text1"/>
                <w:sz w:val="18"/>
                <w:szCs w:val="18"/>
              </w:rPr>
              <w:t>&gt;22 GL over 2–6 months at the Mallowa Regulator in Aug–Feb (but can occur at any time)</w:t>
            </w:r>
          </w:p>
        </w:tc>
        <w:tc>
          <w:tcPr>
            <w:tcW w:w="1418" w:type="dxa"/>
            <w:tcBorders>
              <w:bottom w:val="single" w:sz="12" w:space="0" w:color="auto"/>
            </w:tcBorders>
            <w:shd w:val="clear" w:color="auto" w:fill="auto"/>
          </w:tcPr>
          <w:p w14:paraId="1CFE49B1" w14:textId="77777777" w:rsidR="00AA0841" w:rsidRPr="00AA0841" w:rsidRDefault="00AA0841" w:rsidP="00AA0841">
            <w:pPr>
              <w:spacing w:after="0"/>
              <w:rPr>
                <w:rFonts w:cstheme="minorHAnsi"/>
                <w:color w:val="000000" w:themeColor="text1"/>
                <w:sz w:val="18"/>
                <w:szCs w:val="18"/>
              </w:rPr>
            </w:pPr>
          </w:p>
          <w:p w14:paraId="625DD6FA"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WL3: 5–7 years in 10</w:t>
            </w:r>
          </w:p>
          <w:p w14:paraId="450D2031"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(Max. interval: 3 years)</w:t>
            </w:r>
          </w:p>
          <w:p w14:paraId="2398DCCE" w14:textId="77777777" w:rsidR="00AA0841" w:rsidRPr="00AA0841" w:rsidRDefault="00AA0841" w:rsidP="00AA0841">
            <w:pPr>
              <w:spacing w:after="0"/>
              <w:rPr>
                <w:rFonts w:cstheme="minorHAnsi"/>
                <w:color w:val="000000" w:themeColor="text1"/>
                <w:sz w:val="18"/>
                <w:szCs w:val="18"/>
              </w:rPr>
            </w:pPr>
          </w:p>
          <w:p w14:paraId="3A5B9EFB" w14:textId="77777777" w:rsidR="00AA0841" w:rsidRPr="00AA0841" w:rsidRDefault="00AA0841" w:rsidP="00AA0841">
            <w:pPr>
              <w:spacing w:after="0"/>
              <w:rPr>
                <w:rFonts w:cstheme="minorHAnsi"/>
                <w:color w:val="000000" w:themeColor="text1"/>
                <w:sz w:val="18"/>
                <w:szCs w:val="18"/>
              </w:rPr>
            </w:pPr>
          </w:p>
          <w:p w14:paraId="67EEDC59"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WL4: 3–5 years in 10</w:t>
            </w:r>
          </w:p>
          <w:p w14:paraId="51882204" w14:textId="77777777" w:rsidR="00AA0841" w:rsidRPr="00AA0841" w:rsidRDefault="00AA0841" w:rsidP="00AA0841">
            <w:pPr>
              <w:spacing w:after="0"/>
              <w:rPr>
                <w:rFonts w:cstheme="minorHAnsi"/>
                <w:b/>
                <w:color w:val="000000" w:themeColor="text1"/>
                <w:sz w:val="18"/>
                <w:szCs w:val="18"/>
              </w:rPr>
            </w:pPr>
            <w:r w:rsidRPr="00AA0841">
              <w:rPr>
                <w:rFonts w:cstheme="minorHAnsi"/>
                <w:color w:val="000000" w:themeColor="text1"/>
                <w:sz w:val="18"/>
                <w:szCs w:val="18"/>
              </w:rPr>
              <w:t>(Max. interval: 5 years)</w:t>
            </w:r>
          </w:p>
        </w:tc>
        <w:tc>
          <w:tcPr>
            <w:tcW w:w="5953" w:type="dxa"/>
            <w:tcBorders>
              <w:bottom w:val="single" w:sz="12" w:space="0" w:color="auto"/>
            </w:tcBorders>
            <w:shd w:val="clear" w:color="auto" w:fill="auto"/>
          </w:tcPr>
          <w:p w14:paraId="6E8DCB91"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 xml:space="preserve">Like wetland systems, floodplain areas within the Mallowa system experienced dry conditions during 2017–18. During 2018–19 an extended environmental watering event (based on a proactive water delivery strategy) enabled the flow target for regeneration of floodplain vegetation to be met.  </w:t>
            </w:r>
          </w:p>
          <w:p w14:paraId="50C76AE4"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The Mallowa wetlands again experienced dry conditions during 2019–20, with no significant inflows entering the system. However, the condition of floodplain vegetation communities was improved by widespread rainfall, which occurred across the Mallowa Creek system in early 2020. </w:t>
            </w:r>
          </w:p>
          <w:p w14:paraId="0D5C985B"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Flows to support the regeneration of floodplain vegetation (WL3) have occurred once in the last three years but have not reached the maximum interval between events. WL4 requires natural flow events to occur to enable it to be achieved and has not been met in the last 3 years.  Overall the demand for large wetland inundation flows was assessed as moderate.</w:t>
            </w:r>
          </w:p>
        </w:tc>
        <w:tc>
          <w:tcPr>
            <w:tcW w:w="1843" w:type="dxa"/>
            <w:tcBorders>
              <w:bottom w:val="single" w:sz="12" w:space="0" w:color="auto"/>
            </w:tcBorders>
            <w:shd w:val="clear" w:color="auto" w:fill="FFC000"/>
            <w:vAlign w:val="center"/>
          </w:tcPr>
          <w:p w14:paraId="344D8146"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Moderate</w:t>
            </w:r>
          </w:p>
        </w:tc>
        <w:tc>
          <w:tcPr>
            <w:tcW w:w="3119" w:type="dxa"/>
            <w:tcBorders>
              <w:bottom w:val="single" w:sz="12" w:space="0" w:color="auto"/>
            </w:tcBorders>
            <w:shd w:val="clear" w:color="auto" w:fill="95B3D7" w:themeFill="accent1" w:themeFillTint="99"/>
            <w:vAlign w:val="center"/>
          </w:tcPr>
          <w:p w14:paraId="1C652656"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Possible use of supplementary water (if available) to protect natural flow events.</w:t>
            </w:r>
          </w:p>
        </w:tc>
        <w:tc>
          <w:tcPr>
            <w:tcW w:w="2268" w:type="dxa"/>
            <w:tcBorders>
              <w:bottom w:val="single" w:sz="12" w:space="0" w:color="auto"/>
              <w:right w:val="single" w:sz="12" w:space="0" w:color="auto"/>
            </w:tcBorders>
            <w:shd w:val="clear" w:color="auto" w:fill="FFC000"/>
            <w:vAlign w:val="center"/>
          </w:tcPr>
          <w:p w14:paraId="6F7C64CA"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Moderate</w:t>
            </w:r>
          </w:p>
          <w:p w14:paraId="12339864"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(subject to occurrence of unregulated flow events)</w:t>
            </w:r>
          </w:p>
        </w:tc>
      </w:tr>
      <w:tr w:rsidR="00AA0841" w:rsidRPr="00AA0841" w14:paraId="37220E53" w14:textId="77777777" w:rsidTr="00AA0841">
        <w:trPr>
          <w:trHeight w:val="3517"/>
        </w:trPr>
        <w:tc>
          <w:tcPr>
            <w:tcW w:w="1843" w:type="dxa"/>
            <w:vMerge w:val="restart"/>
            <w:tcBorders>
              <w:top w:val="single" w:sz="12" w:space="0" w:color="auto"/>
              <w:left w:val="single" w:sz="12" w:space="0" w:color="auto"/>
            </w:tcBorders>
          </w:tcPr>
          <w:p w14:paraId="59422344" w14:textId="77777777" w:rsidR="00AA0841" w:rsidRPr="00AA0841" w:rsidRDefault="00AA0841" w:rsidP="00AA0841">
            <w:pPr>
              <w:spacing w:after="0"/>
              <w:rPr>
                <w:rFonts w:cstheme="minorHAnsi"/>
                <w:b/>
                <w:color w:val="000000" w:themeColor="text1"/>
                <w:sz w:val="18"/>
                <w:szCs w:val="18"/>
              </w:rPr>
            </w:pPr>
            <w:r w:rsidRPr="00AA0841">
              <w:rPr>
                <w:rFonts w:cstheme="minorHAnsi"/>
                <w:b/>
                <w:color w:val="000000" w:themeColor="text1"/>
                <w:sz w:val="18"/>
                <w:szCs w:val="18"/>
              </w:rPr>
              <w:t>Carole Creek</w:t>
            </w:r>
          </w:p>
          <w:p w14:paraId="594FD22D"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Waterbird habitat and refuge</w:t>
            </w:r>
          </w:p>
          <w:p w14:paraId="663EE675"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Habitat and refuge for frogs </w:t>
            </w:r>
          </w:p>
          <w:p w14:paraId="161BF5BE"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Native fish habitat, breeding, recruitment and refuge </w:t>
            </w:r>
          </w:p>
          <w:p w14:paraId="49AF2854" w14:textId="77777777" w:rsidR="00AA0841" w:rsidRPr="00AA0841" w:rsidRDefault="00AA0841" w:rsidP="00AA0841">
            <w:pPr>
              <w:rPr>
                <w:rFonts w:cstheme="minorHAnsi"/>
                <w:sz w:val="18"/>
                <w:szCs w:val="18"/>
              </w:rPr>
            </w:pPr>
            <w:r w:rsidRPr="00AA0841">
              <w:rPr>
                <w:rFonts w:cstheme="minorHAnsi"/>
                <w:color w:val="000000" w:themeColor="text1"/>
                <w:sz w:val="18"/>
                <w:szCs w:val="18"/>
              </w:rPr>
              <w:t>Aquatic communities</w:t>
            </w:r>
          </w:p>
        </w:tc>
        <w:tc>
          <w:tcPr>
            <w:tcW w:w="1559" w:type="dxa"/>
            <w:vMerge w:val="restart"/>
            <w:tcBorders>
              <w:top w:val="single" w:sz="12" w:space="0" w:color="auto"/>
            </w:tcBorders>
            <w:shd w:val="clear" w:color="auto" w:fill="auto"/>
          </w:tcPr>
          <w:p w14:paraId="5FAB0218" w14:textId="77777777" w:rsidR="00AA0841" w:rsidRPr="00AA0841" w:rsidRDefault="00AA0841" w:rsidP="00AA0841">
            <w:pPr>
              <w:rPr>
                <w:rFonts w:cstheme="minorHAnsi"/>
                <w:bCs/>
                <w:color w:val="000000" w:themeColor="text1"/>
                <w:sz w:val="18"/>
                <w:szCs w:val="18"/>
              </w:rPr>
            </w:pPr>
            <w:r w:rsidRPr="00AA0841">
              <w:rPr>
                <w:rFonts w:cstheme="minorHAnsi"/>
                <w:bCs/>
                <w:color w:val="000000" w:themeColor="text1"/>
                <w:sz w:val="18"/>
                <w:szCs w:val="18"/>
              </w:rPr>
              <w:t>Native fish dispersal and condition</w:t>
            </w:r>
          </w:p>
          <w:p w14:paraId="3E7C3BEB" w14:textId="77777777" w:rsidR="00AA0841" w:rsidRPr="00AA0841" w:rsidRDefault="00AA0841" w:rsidP="00AA0841">
            <w:pPr>
              <w:rPr>
                <w:rFonts w:cstheme="minorHAnsi"/>
                <w:bCs/>
                <w:color w:val="000000" w:themeColor="text1"/>
                <w:sz w:val="18"/>
                <w:szCs w:val="18"/>
              </w:rPr>
            </w:pPr>
            <w:r w:rsidRPr="00AA0841">
              <w:rPr>
                <w:rFonts w:cstheme="minorHAnsi"/>
                <w:bCs/>
                <w:color w:val="000000" w:themeColor="text1"/>
                <w:sz w:val="18"/>
                <w:szCs w:val="18"/>
              </w:rPr>
              <w:t>Native fish spawning (in-channel specialists and generalists, e.g. Murray cod)</w:t>
            </w:r>
          </w:p>
          <w:p w14:paraId="3F13811C" w14:textId="77777777" w:rsidR="00AA0841" w:rsidRPr="00AA0841" w:rsidRDefault="00AA0841" w:rsidP="00AA0841">
            <w:pPr>
              <w:rPr>
                <w:rFonts w:cstheme="minorHAnsi"/>
                <w:bCs/>
                <w:color w:val="000000" w:themeColor="text1"/>
                <w:sz w:val="18"/>
                <w:szCs w:val="18"/>
              </w:rPr>
            </w:pPr>
            <w:r w:rsidRPr="00AA0841">
              <w:rPr>
                <w:rFonts w:cstheme="minorHAnsi"/>
                <w:bCs/>
                <w:color w:val="000000" w:themeColor="text1"/>
                <w:sz w:val="18"/>
                <w:szCs w:val="18"/>
              </w:rPr>
              <w:t>Native vegetation</w:t>
            </w:r>
          </w:p>
          <w:p w14:paraId="6A4CE7BC" w14:textId="77777777" w:rsidR="00AA0841" w:rsidRPr="00AA0841" w:rsidRDefault="00AA0841" w:rsidP="00AA0841">
            <w:pPr>
              <w:spacing w:after="0"/>
              <w:rPr>
                <w:rFonts w:cstheme="minorHAnsi"/>
                <w:b/>
                <w:color w:val="000000" w:themeColor="text1"/>
                <w:sz w:val="18"/>
                <w:szCs w:val="18"/>
              </w:rPr>
            </w:pPr>
            <w:r w:rsidRPr="00AA0841">
              <w:rPr>
                <w:rFonts w:cstheme="minorHAnsi"/>
                <w:bCs/>
                <w:color w:val="000000" w:themeColor="text1"/>
                <w:sz w:val="18"/>
                <w:szCs w:val="18"/>
              </w:rPr>
              <w:t>Aquatic ecosystem function</w:t>
            </w:r>
          </w:p>
        </w:tc>
        <w:tc>
          <w:tcPr>
            <w:tcW w:w="3969" w:type="dxa"/>
            <w:tcBorders>
              <w:top w:val="single" w:sz="12" w:space="0" w:color="auto"/>
            </w:tcBorders>
            <w:shd w:val="clear" w:color="auto" w:fill="auto"/>
          </w:tcPr>
          <w:p w14:paraId="23630BF6" w14:textId="77777777" w:rsidR="00AA0841" w:rsidRPr="00AA0841" w:rsidRDefault="00AA0841" w:rsidP="00AA0841">
            <w:pPr>
              <w:rPr>
                <w:rFonts w:cstheme="minorHAnsi"/>
                <w:b/>
                <w:noProof/>
                <w:color w:val="000000" w:themeColor="text1"/>
                <w:sz w:val="18"/>
                <w:szCs w:val="18"/>
              </w:rPr>
            </w:pPr>
            <w:r w:rsidRPr="00AA0841">
              <w:rPr>
                <w:rFonts w:cstheme="minorHAnsi"/>
                <w:b/>
                <w:color w:val="000000" w:themeColor="text1"/>
                <w:sz w:val="18"/>
                <w:szCs w:val="18"/>
              </w:rPr>
              <w:t xml:space="preserve">Small fresh (SF): </w:t>
            </w:r>
          </w:p>
          <w:p w14:paraId="29CEAF17"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SF1</w:t>
            </w:r>
            <w:r w:rsidRPr="00AA0841">
              <w:rPr>
                <w:rFonts w:cstheme="minorHAnsi"/>
                <w:noProof/>
                <w:color w:val="000000" w:themeColor="text1"/>
                <w:sz w:val="18"/>
                <w:szCs w:val="18"/>
              </w:rPr>
              <w:t>:</w:t>
            </w:r>
            <w:r w:rsidRPr="00AA0841">
              <w:rPr>
                <w:rFonts w:cstheme="minorHAnsi"/>
                <w:b/>
                <w:color w:val="000000" w:themeColor="text1"/>
                <w:sz w:val="18"/>
                <w:szCs w:val="18"/>
              </w:rPr>
              <w:t xml:space="preserve"> </w:t>
            </w:r>
            <w:r w:rsidRPr="00AA0841">
              <w:rPr>
                <w:rFonts w:cstheme="minorHAnsi"/>
                <w:color w:val="000000" w:themeColor="text1"/>
                <w:sz w:val="18"/>
                <w:szCs w:val="18"/>
              </w:rPr>
              <w:t>&gt;200 ML/d for at least 10 days on the Carole near Garah, in Oct–Apr (but can occur at any time) (native fish condition and dispersal).</w:t>
            </w:r>
          </w:p>
          <w:p w14:paraId="791FCD35" w14:textId="77777777" w:rsidR="00AA0841" w:rsidRPr="00AA0841" w:rsidRDefault="00AA0841" w:rsidP="00AA0841">
            <w:pPr>
              <w:spacing w:before="120"/>
              <w:rPr>
                <w:rFonts w:cstheme="minorHAnsi"/>
                <w:color w:val="FF0000"/>
                <w:sz w:val="18"/>
                <w:szCs w:val="18"/>
              </w:rPr>
            </w:pPr>
            <w:r w:rsidRPr="00AA0841">
              <w:rPr>
                <w:rFonts w:cstheme="minorHAnsi"/>
                <w:color w:val="000000" w:themeColor="text1"/>
                <w:sz w:val="18"/>
                <w:szCs w:val="18"/>
              </w:rPr>
              <w:t>SF2</w:t>
            </w:r>
            <w:r w:rsidRPr="00AA0841">
              <w:rPr>
                <w:rFonts w:cstheme="minorHAnsi"/>
                <w:noProof/>
                <w:color w:val="000000" w:themeColor="text1"/>
                <w:sz w:val="18"/>
                <w:szCs w:val="18"/>
              </w:rPr>
              <w:t>:</w:t>
            </w:r>
            <w:r w:rsidRPr="00AA0841">
              <w:rPr>
                <w:rFonts w:cstheme="minorHAnsi"/>
                <w:color w:val="000000" w:themeColor="text1"/>
                <w:sz w:val="18"/>
                <w:szCs w:val="18"/>
              </w:rPr>
              <w:t xml:space="preserve"> 200–900 ML/d for at least 14 days on the Carole near Garah, in Sept–Apr (spawning of in-channel specialists and generalists)</w:t>
            </w:r>
          </w:p>
        </w:tc>
        <w:tc>
          <w:tcPr>
            <w:tcW w:w="1418" w:type="dxa"/>
            <w:tcBorders>
              <w:top w:val="single" w:sz="12" w:space="0" w:color="auto"/>
            </w:tcBorders>
            <w:shd w:val="clear" w:color="auto" w:fill="auto"/>
          </w:tcPr>
          <w:p w14:paraId="541071E0" w14:textId="77777777" w:rsidR="00AA0841" w:rsidRPr="00AA0841" w:rsidRDefault="00AA0841" w:rsidP="00AA0841">
            <w:pPr>
              <w:spacing w:after="0"/>
              <w:rPr>
                <w:rFonts w:cstheme="minorHAnsi"/>
                <w:color w:val="000000" w:themeColor="text1"/>
                <w:sz w:val="16"/>
                <w:szCs w:val="16"/>
              </w:rPr>
            </w:pPr>
          </w:p>
          <w:p w14:paraId="15ED6F86"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SF1: Annually</w:t>
            </w:r>
          </w:p>
          <w:p w14:paraId="50DC36A7"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(Max. interval: 1 year)</w:t>
            </w:r>
          </w:p>
          <w:p w14:paraId="2B298FBE" w14:textId="77777777" w:rsidR="00AA0841" w:rsidRPr="00AA0841" w:rsidRDefault="00AA0841" w:rsidP="00AA0841">
            <w:pPr>
              <w:spacing w:after="0"/>
              <w:rPr>
                <w:rFonts w:cstheme="minorHAnsi"/>
                <w:color w:val="000000" w:themeColor="text1"/>
                <w:sz w:val="18"/>
                <w:szCs w:val="18"/>
              </w:rPr>
            </w:pPr>
          </w:p>
          <w:p w14:paraId="747C3527"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SF2: 5–10 in 10 years</w:t>
            </w:r>
          </w:p>
          <w:p w14:paraId="5C0FFDCC" w14:textId="77777777" w:rsidR="00AA0841" w:rsidRPr="00AA0841" w:rsidRDefault="00AA0841" w:rsidP="00AA0841">
            <w:pPr>
              <w:spacing w:after="0"/>
              <w:rPr>
                <w:rFonts w:cstheme="minorHAnsi"/>
                <w:color w:val="FF0000"/>
                <w:sz w:val="18"/>
                <w:szCs w:val="18"/>
              </w:rPr>
            </w:pPr>
            <w:r w:rsidRPr="00AA0841">
              <w:rPr>
                <w:rFonts w:cstheme="minorHAnsi"/>
                <w:color w:val="000000" w:themeColor="text1"/>
                <w:sz w:val="18"/>
                <w:szCs w:val="18"/>
              </w:rPr>
              <w:t>(Max. interval: 2 years)</w:t>
            </w:r>
          </w:p>
          <w:p w14:paraId="6C8852D9" w14:textId="77777777" w:rsidR="00AA0841" w:rsidRPr="00AA0841" w:rsidRDefault="00AA0841" w:rsidP="00AA0841">
            <w:pPr>
              <w:spacing w:after="0"/>
              <w:rPr>
                <w:rFonts w:cstheme="minorHAnsi"/>
                <w:color w:val="FF0000"/>
                <w:sz w:val="18"/>
                <w:szCs w:val="18"/>
              </w:rPr>
            </w:pPr>
          </w:p>
        </w:tc>
        <w:tc>
          <w:tcPr>
            <w:tcW w:w="5953" w:type="dxa"/>
            <w:tcBorders>
              <w:top w:val="single" w:sz="12" w:space="0" w:color="auto"/>
            </w:tcBorders>
            <w:shd w:val="clear" w:color="auto" w:fill="auto"/>
          </w:tcPr>
          <w:p w14:paraId="44DF4392"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The 2017–18 water year was the last time small fresh flow targets were met.</w:t>
            </w:r>
          </w:p>
          <w:p w14:paraId="443011E1"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The Carole Creek system experienced dry conditions during both </w:t>
            </w:r>
            <w:r w:rsidRPr="00AA0841">
              <w:rPr>
                <w:rFonts w:cstheme="minorHAnsi"/>
                <w:sz w:val="18"/>
                <w:szCs w:val="18"/>
              </w:rPr>
              <w:t>2018–19 and the initial parts of the 2019–20 water years</w:t>
            </w:r>
            <w:r w:rsidRPr="00AA0841">
              <w:rPr>
                <w:rFonts w:cstheme="minorHAnsi"/>
                <w:color w:val="000000" w:themeColor="text1"/>
                <w:sz w:val="18"/>
                <w:szCs w:val="18"/>
              </w:rPr>
              <w:t xml:space="preserve">, with no significant inflows entering the system for extended periods. During this period environmental water delivery focused on low flows to maintain drought refuges.  </w:t>
            </w:r>
          </w:p>
          <w:p w14:paraId="032AB66A"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Natural flows occurred during Feb–Mar 2020 meeting the SF1 flow target, resulting in this target being met 3 out of the past 4 years. Natural flows in the early part of 2020 were insufficient to meet the SF2 flow target. The SF2 flow target has not been met since the 2017–18 water year and the maximum interval for this flow requirement has now been exceeded. The importance of the SF2 flow target in providing potential spawning conditions for native fish means that the requirements for a small fresh event between September and August is high.  </w:t>
            </w:r>
          </w:p>
        </w:tc>
        <w:tc>
          <w:tcPr>
            <w:tcW w:w="1843" w:type="dxa"/>
            <w:tcBorders>
              <w:top w:val="single" w:sz="12" w:space="0" w:color="auto"/>
            </w:tcBorders>
            <w:shd w:val="clear" w:color="auto" w:fill="FF0000"/>
            <w:vAlign w:val="center"/>
          </w:tcPr>
          <w:p w14:paraId="18A4B389"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High</w:t>
            </w:r>
          </w:p>
        </w:tc>
        <w:tc>
          <w:tcPr>
            <w:tcW w:w="3119" w:type="dxa"/>
            <w:tcBorders>
              <w:top w:val="single" w:sz="12" w:space="0" w:color="auto"/>
            </w:tcBorders>
            <w:shd w:val="clear" w:color="auto" w:fill="365F91" w:themeFill="accent1" w:themeFillShade="BF"/>
            <w:vAlign w:val="center"/>
          </w:tcPr>
          <w:p w14:paraId="01885D00" w14:textId="77777777" w:rsidR="00AA0841" w:rsidRPr="00AA0841" w:rsidRDefault="00AA0841" w:rsidP="00AA0841">
            <w:pPr>
              <w:spacing w:before="120"/>
              <w:jc w:val="center"/>
              <w:rPr>
                <w:rFonts w:cstheme="minorHAnsi"/>
                <w:color w:val="auto"/>
                <w:sz w:val="18"/>
                <w:szCs w:val="18"/>
              </w:rPr>
            </w:pPr>
            <w:r w:rsidRPr="00AA0841">
              <w:rPr>
                <w:rFonts w:cstheme="minorHAnsi"/>
                <w:color w:val="auto"/>
                <w:sz w:val="18"/>
                <w:szCs w:val="18"/>
              </w:rPr>
              <w:t>A high priority for CEW under low to moderate water resource availability scenarios, subject to occurrence of unregulated flow event and water availability.</w:t>
            </w:r>
          </w:p>
          <w:p w14:paraId="67648564" w14:textId="77777777" w:rsidR="00AA0841" w:rsidRPr="00AA0841" w:rsidRDefault="00AA0841" w:rsidP="00AA0841">
            <w:pPr>
              <w:spacing w:before="120"/>
              <w:jc w:val="center"/>
              <w:rPr>
                <w:rFonts w:cstheme="minorHAnsi"/>
                <w:color w:val="auto"/>
                <w:sz w:val="18"/>
                <w:szCs w:val="18"/>
              </w:rPr>
            </w:pPr>
            <w:r w:rsidRPr="00AA0841">
              <w:rPr>
                <w:rFonts w:cstheme="minorHAnsi"/>
                <w:color w:val="auto"/>
                <w:sz w:val="18"/>
                <w:szCs w:val="18"/>
              </w:rPr>
              <w:t>Use of supplementary water to protect natural flow events will be a high priority. Given the low volumes of regulated environmental water available, using regulated releases to restore parts of a natural flow is currently a low priority for 2020–21.</w:t>
            </w:r>
          </w:p>
        </w:tc>
        <w:tc>
          <w:tcPr>
            <w:tcW w:w="2268" w:type="dxa"/>
            <w:tcBorders>
              <w:top w:val="single" w:sz="12" w:space="0" w:color="auto"/>
              <w:right w:val="single" w:sz="12" w:space="0" w:color="auto"/>
            </w:tcBorders>
            <w:shd w:val="clear" w:color="auto" w:fill="FFC000"/>
            <w:vAlign w:val="center"/>
          </w:tcPr>
          <w:p w14:paraId="165E369B"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Moderate to High</w:t>
            </w:r>
          </w:p>
          <w:p w14:paraId="37619F1E"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(subject to occurrence of unregulated flow events)</w:t>
            </w:r>
          </w:p>
        </w:tc>
      </w:tr>
      <w:tr w:rsidR="00AA0841" w:rsidRPr="00AA0841" w14:paraId="4E57EC62" w14:textId="77777777" w:rsidTr="00AA0841">
        <w:trPr>
          <w:trHeight w:val="2381"/>
        </w:trPr>
        <w:tc>
          <w:tcPr>
            <w:tcW w:w="1843" w:type="dxa"/>
            <w:vMerge/>
            <w:tcBorders>
              <w:left w:val="single" w:sz="12" w:space="0" w:color="auto"/>
              <w:bottom w:val="single" w:sz="12" w:space="0" w:color="auto"/>
            </w:tcBorders>
          </w:tcPr>
          <w:p w14:paraId="308C6A7C" w14:textId="77777777" w:rsidR="00AA0841" w:rsidRPr="00AA0841" w:rsidRDefault="00AA0841" w:rsidP="00AA0841">
            <w:pPr>
              <w:spacing w:before="120" w:after="0"/>
              <w:rPr>
                <w:rFonts w:cstheme="minorHAnsi"/>
                <w:b/>
                <w:color w:val="000000" w:themeColor="text1"/>
                <w:sz w:val="18"/>
                <w:szCs w:val="18"/>
              </w:rPr>
            </w:pPr>
          </w:p>
        </w:tc>
        <w:tc>
          <w:tcPr>
            <w:tcW w:w="1559" w:type="dxa"/>
            <w:vMerge/>
            <w:tcBorders>
              <w:bottom w:val="single" w:sz="12" w:space="0" w:color="auto"/>
            </w:tcBorders>
            <w:shd w:val="clear" w:color="auto" w:fill="auto"/>
          </w:tcPr>
          <w:p w14:paraId="15DDD2D8" w14:textId="77777777" w:rsidR="00AA0841" w:rsidRPr="00AA0841" w:rsidRDefault="00AA0841" w:rsidP="00AA0841">
            <w:pPr>
              <w:spacing w:before="120"/>
              <w:rPr>
                <w:rFonts w:cstheme="minorHAnsi"/>
                <w:bCs/>
                <w:color w:val="000000" w:themeColor="text1"/>
                <w:sz w:val="18"/>
                <w:szCs w:val="18"/>
              </w:rPr>
            </w:pPr>
          </w:p>
        </w:tc>
        <w:tc>
          <w:tcPr>
            <w:tcW w:w="3969" w:type="dxa"/>
            <w:tcBorders>
              <w:bottom w:val="single" w:sz="12" w:space="0" w:color="auto"/>
            </w:tcBorders>
            <w:shd w:val="clear" w:color="auto" w:fill="auto"/>
          </w:tcPr>
          <w:p w14:paraId="79EE59FE" w14:textId="77777777" w:rsidR="00AA0841" w:rsidRPr="00AA0841" w:rsidRDefault="00AA0841" w:rsidP="00AA0841">
            <w:pPr>
              <w:rPr>
                <w:rFonts w:cstheme="minorHAnsi"/>
                <w:b/>
                <w:noProof/>
                <w:color w:val="000000" w:themeColor="text1"/>
                <w:sz w:val="18"/>
                <w:szCs w:val="18"/>
              </w:rPr>
            </w:pPr>
            <w:r w:rsidRPr="00AA0841">
              <w:rPr>
                <w:rFonts w:cstheme="minorHAnsi"/>
                <w:b/>
                <w:color w:val="000000" w:themeColor="text1"/>
                <w:sz w:val="18"/>
                <w:szCs w:val="18"/>
              </w:rPr>
              <w:t xml:space="preserve">Large fresh (LF): </w:t>
            </w:r>
          </w:p>
          <w:p w14:paraId="47FF67F3"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LF1</w:t>
            </w:r>
            <w:r w:rsidRPr="00AA0841">
              <w:rPr>
                <w:rFonts w:cstheme="minorHAnsi"/>
                <w:noProof/>
                <w:color w:val="000000" w:themeColor="text1"/>
                <w:sz w:val="18"/>
                <w:szCs w:val="18"/>
              </w:rPr>
              <w:t>:</w:t>
            </w:r>
            <w:r w:rsidRPr="00AA0841">
              <w:rPr>
                <w:rFonts w:cstheme="minorHAnsi"/>
                <w:color w:val="000000" w:themeColor="text1"/>
                <w:sz w:val="18"/>
                <w:szCs w:val="18"/>
              </w:rPr>
              <w:t xml:space="preserve"> &gt;900 ML/d for at least 5 days on the Carole near Garah, in Jul–Sept (but can occur at any time) (native fish condition and dispersal).</w:t>
            </w:r>
          </w:p>
          <w:p w14:paraId="2C43A6BA" w14:textId="77777777" w:rsidR="00AA0841" w:rsidRPr="00AA0841" w:rsidRDefault="00AA0841" w:rsidP="00AA0841">
            <w:pPr>
              <w:spacing w:before="120"/>
              <w:rPr>
                <w:rFonts w:cstheme="minorHAnsi"/>
                <w:b/>
                <w:color w:val="000000" w:themeColor="text1"/>
                <w:sz w:val="18"/>
                <w:szCs w:val="18"/>
              </w:rPr>
            </w:pPr>
            <w:r w:rsidRPr="00AA0841">
              <w:rPr>
                <w:rFonts w:cstheme="minorHAnsi"/>
                <w:color w:val="000000" w:themeColor="text1"/>
                <w:sz w:val="18"/>
                <w:szCs w:val="18"/>
              </w:rPr>
              <w:t>LF2</w:t>
            </w:r>
            <w:r w:rsidRPr="00AA0841">
              <w:rPr>
                <w:rFonts w:cstheme="minorHAnsi"/>
                <w:noProof/>
                <w:color w:val="000000" w:themeColor="text1"/>
                <w:sz w:val="18"/>
                <w:szCs w:val="18"/>
              </w:rPr>
              <w:t>:</w:t>
            </w:r>
            <w:r w:rsidRPr="00AA0841">
              <w:rPr>
                <w:rFonts w:cstheme="minorHAnsi"/>
                <w:color w:val="000000" w:themeColor="text1"/>
                <w:sz w:val="18"/>
                <w:szCs w:val="18"/>
              </w:rPr>
              <w:t xml:space="preserve"> &gt;900 ML/d for at least 5 days on the Carole near Garah, in Oct–Apr (spawning flow specialists).</w:t>
            </w:r>
          </w:p>
        </w:tc>
        <w:tc>
          <w:tcPr>
            <w:tcW w:w="1418" w:type="dxa"/>
            <w:tcBorders>
              <w:bottom w:val="single" w:sz="12" w:space="0" w:color="auto"/>
            </w:tcBorders>
            <w:shd w:val="clear" w:color="auto" w:fill="auto"/>
          </w:tcPr>
          <w:p w14:paraId="3A5FF20E" w14:textId="77777777" w:rsidR="00AA0841" w:rsidRPr="00AA0841" w:rsidRDefault="00AA0841" w:rsidP="00AA0841">
            <w:pPr>
              <w:spacing w:after="0"/>
              <w:rPr>
                <w:rFonts w:cstheme="minorHAnsi"/>
                <w:color w:val="000000" w:themeColor="text1"/>
                <w:sz w:val="18"/>
                <w:szCs w:val="18"/>
              </w:rPr>
            </w:pPr>
          </w:p>
          <w:p w14:paraId="0DD5DDAD"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LF1: 5–10 years in 10</w:t>
            </w:r>
          </w:p>
          <w:p w14:paraId="60A60079"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(Max. interval: 2 years)</w:t>
            </w:r>
          </w:p>
          <w:p w14:paraId="5B6D1EDC" w14:textId="77777777" w:rsidR="00AA0841" w:rsidRPr="00AA0841" w:rsidRDefault="00AA0841" w:rsidP="00AA0841">
            <w:pPr>
              <w:spacing w:after="0"/>
              <w:rPr>
                <w:rFonts w:cstheme="minorHAnsi"/>
                <w:color w:val="000000" w:themeColor="text1"/>
                <w:sz w:val="18"/>
                <w:szCs w:val="18"/>
              </w:rPr>
            </w:pPr>
          </w:p>
          <w:p w14:paraId="0445D643"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LF2: 3–5 years in 10</w:t>
            </w:r>
          </w:p>
          <w:p w14:paraId="063970E1"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(Max. interval: 4 years)</w:t>
            </w:r>
          </w:p>
        </w:tc>
        <w:tc>
          <w:tcPr>
            <w:tcW w:w="5953" w:type="dxa"/>
            <w:tcBorders>
              <w:bottom w:val="single" w:sz="12" w:space="0" w:color="auto"/>
            </w:tcBorders>
            <w:shd w:val="clear" w:color="auto" w:fill="auto"/>
          </w:tcPr>
          <w:p w14:paraId="64AC257A" w14:textId="77777777" w:rsidR="00AA0841" w:rsidRPr="00AA0841" w:rsidRDefault="00AA0841" w:rsidP="00AA0841">
            <w:pPr>
              <w:rPr>
                <w:rFonts w:cstheme="minorHAnsi"/>
                <w:sz w:val="18"/>
                <w:szCs w:val="18"/>
              </w:rPr>
            </w:pPr>
            <w:r w:rsidRPr="00AA0841">
              <w:rPr>
                <w:rFonts w:cstheme="minorHAnsi"/>
                <w:sz w:val="18"/>
                <w:szCs w:val="18"/>
              </w:rPr>
              <w:t>Flows occurring in February 2020 met the LF1 flow target, however, during the previous 3 water years the LF2 flow target for has not been met. Flow targets for large freshes along Carole Creek require large unregulated flows.</w:t>
            </w:r>
          </w:p>
          <w:p w14:paraId="3B26ACEF"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Overall the demand for large fresh flows was assessed as moderate, requiring water in the next 1–2 years.</w:t>
            </w:r>
          </w:p>
          <w:p w14:paraId="55C53114" w14:textId="77777777" w:rsidR="00AA0841" w:rsidRPr="00AA0841" w:rsidRDefault="00AA0841" w:rsidP="00AA0841">
            <w:pPr>
              <w:spacing w:before="120"/>
              <w:rPr>
                <w:rFonts w:cstheme="minorHAnsi"/>
                <w:color w:val="000000" w:themeColor="text1"/>
                <w:sz w:val="18"/>
                <w:szCs w:val="18"/>
              </w:rPr>
            </w:pPr>
          </w:p>
        </w:tc>
        <w:tc>
          <w:tcPr>
            <w:tcW w:w="1843" w:type="dxa"/>
            <w:tcBorders>
              <w:bottom w:val="single" w:sz="12" w:space="0" w:color="auto"/>
            </w:tcBorders>
            <w:shd w:val="clear" w:color="auto" w:fill="FFC000"/>
            <w:vAlign w:val="center"/>
          </w:tcPr>
          <w:p w14:paraId="08F8A775"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Moderate</w:t>
            </w:r>
          </w:p>
        </w:tc>
        <w:tc>
          <w:tcPr>
            <w:tcW w:w="3119" w:type="dxa"/>
            <w:tcBorders>
              <w:bottom w:val="single" w:sz="12" w:space="0" w:color="auto"/>
            </w:tcBorders>
            <w:shd w:val="clear" w:color="auto" w:fill="95B3D7" w:themeFill="accent1" w:themeFillTint="99"/>
            <w:vAlign w:val="center"/>
          </w:tcPr>
          <w:p w14:paraId="463CE927" w14:textId="77777777" w:rsidR="00AA0841" w:rsidRPr="00AA0841" w:rsidRDefault="00AA0841" w:rsidP="00AA0841">
            <w:pPr>
              <w:spacing w:before="120"/>
              <w:jc w:val="center"/>
              <w:rPr>
                <w:rFonts w:cstheme="minorHAnsi"/>
                <w:color w:val="auto"/>
                <w:sz w:val="18"/>
                <w:szCs w:val="18"/>
              </w:rPr>
            </w:pPr>
            <w:r w:rsidRPr="00AA0841">
              <w:rPr>
                <w:rFonts w:cstheme="minorHAnsi"/>
                <w:color w:val="auto"/>
                <w:sz w:val="18"/>
                <w:szCs w:val="18"/>
              </w:rPr>
              <w:t>Possible use of supplementary water (if available) to protect natural flow events.</w:t>
            </w:r>
          </w:p>
        </w:tc>
        <w:tc>
          <w:tcPr>
            <w:tcW w:w="2268" w:type="dxa"/>
            <w:tcBorders>
              <w:bottom w:val="single" w:sz="12" w:space="0" w:color="auto"/>
              <w:right w:val="single" w:sz="12" w:space="0" w:color="auto"/>
            </w:tcBorders>
            <w:shd w:val="clear" w:color="auto" w:fill="FFC000"/>
            <w:vAlign w:val="center"/>
          </w:tcPr>
          <w:p w14:paraId="29C9591B"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Moderate to High</w:t>
            </w:r>
          </w:p>
          <w:p w14:paraId="2C6C35C7"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(subject to occurrence of unregulated flow events)</w:t>
            </w:r>
          </w:p>
        </w:tc>
      </w:tr>
      <w:tr w:rsidR="00AA0841" w:rsidRPr="00AA0841" w14:paraId="3B9B7C2C" w14:textId="77777777" w:rsidTr="00AA0841">
        <w:trPr>
          <w:trHeight w:val="461"/>
        </w:trPr>
        <w:tc>
          <w:tcPr>
            <w:tcW w:w="1843" w:type="dxa"/>
            <w:tcBorders>
              <w:top w:val="single" w:sz="12" w:space="0" w:color="auto"/>
              <w:left w:val="single" w:sz="12" w:space="0" w:color="auto"/>
              <w:bottom w:val="single" w:sz="12" w:space="0" w:color="auto"/>
            </w:tcBorders>
          </w:tcPr>
          <w:p w14:paraId="1E144452" w14:textId="77777777" w:rsidR="00AA0841" w:rsidRPr="00AA0841" w:rsidRDefault="00AA0841" w:rsidP="00AA0841">
            <w:pPr>
              <w:spacing w:after="0"/>
              <w:rPr>
                <w:rFonts w:cstheme="minorHAnsi"/>
                <w:b/>
                <w:color w:val="000000" w:themeColor="text1"/>
                <w:sz w:val="18"/>
                <w:szCs w:val="18"/>
              </w:rPr>
            </w:pPr>
            <w:r w:rsidRPr="00AA0841">
              <w:rPr>
                <w:rFonts w:cstheme="minorHAnsi"/>
                <w:b/>
                <w:color w:val="000000" w:themeColor="text1"/>
                <w:sz w:val="18"/>
                <w:szCs w:val="18"/>
              </w:rPr>
              <w:lastRenderedPageBreak/>
              <w:t>Ballin Boora Riparian Areas</w:t>
            </w:r>
          </w:p>
          <w:p w14:paraId="0A8DB3AB"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In-channel and riparian habitat</w:t>
            </w:r>
          </w:p>
          <w:p w14:paraId="79324B3C" w14:textId="77777777" w:rsidR="00AA0841" w:rsidRPr="00AA0841" w:rsidDel="004108D7"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Aquatic communities</w:t>
            </w:r>
          </w:p>
        </w:tc>
        <w:tc>
          <w:tcPr>
            <w:tcW w:w="1559" w:type="dxa"/>
            <w:tcBorders>
              <w:top w:val="single" w:sz="12" w:space="0" w:color="auto"/>
              <w:bottom w:val="single" w:sz="12" w:space="0" w:color="auto"/>
            </w:tcBorders>
            <w:shd w:val="clear" w:color="auto" w:fill="auto"/>
          </w:tcPr>
          <w:p w14:paraId="197D2BC5"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 xml:space="preserve">Water bird habitat and refuge </w:t>
            </w:r>
          </w:p>
          <w:p w14:paraId="7204D87D"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Habitat and breeding ground for frogs</w:t>
            </w:r>
          </w:p>
          <w:p w14:paraId="3EF22EE4" w14:textId="77777777" w:rsidR="00AA0841" w:rsidRPr="00AA0841" w:rsidRDefault="00AA0841" w:rsidP="00AA0841">
            <w:pPr>
              <w:rPr>
                <w:rFonts w:cstheme="minorHAnsi"/>
                <w:b/>
                <w:color w:val="000000" w:themeColor="text1"/>
                <w:sz w:val="18"/>
                <w:szCs w:val="18"/>
              </w:rPr>
            </w:pPr>
            <w:r w:rsidRPr="00AA0841">
              <w:rPr>
                <w:rFonts w:cstheme="minorHAnsi"/>
                <w:color w:val="000000" w:themeColor="text1"/>
                <w:sz w:val="18"/>
                <w:szCs w:val="18"/>
              </w:rPr>
              <w:t>Native fish habitat</w:t>
            </w:r>
          </w:p>
        </w:tc>
        <w:tc>
          <w:tcPr>
            <w:tcW w:w="3969" w:type="dxa"/>
            <w:tcBorders>
              <w:top w:val="single" w:sz="12" w:space="0" w:color="auto"/>
              <w:bottom w:val="single" w:sz="12" w:space="0" w:color="auto"/>
            </w:tcBorders>
            <w:shd w:val="clear" w:color="auto" w:fill="auto"/>
          </w:tcPr>
          <w:p w14:paraId="6BFDC7DA"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600–1 200 ML event delivered at 10–50 ML/d (via infrastructure) for 12–120 days. May occur at any time.</w:t>
            </w:r>
          </w:p>
        </w:tc>
        <w:tc>
          <w:tcPr>
            <w:tcW w:w="1418" w:type="dxa"/>
            <w:tcBorders>
              <w:top w:val="single" w:sz="12" w:space="0" w:color="auto"/>
              <w:bottom w:val="single" w:sz="12" w:space="0" w:color="auto"/>
            </w:tcBorders>
            <w:shd w:val="clear" w:color="auto" w:fill="auto"/>
          </w:tcPr>
          <w:p w14:paraId="01E8ED09"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 xml:space="preserve">Frequency subject to further examination </w:t>
            </w:r>
          </w:p>
          <w:p w14:paraId="5FDA290A"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(Max. interval: 3 years).</w:t>
            </w:r>
          </w:p>
        </w:tc>
        <w:tc>
          <w:tcPr>
            <w:tcW w:w="5953" w:type="dxa"/>
            <w:tcBorders>
              <w:top w:val="single" w:sz="12" w:space="0" w:color="auto"/>
              <w:bottom w:val="single" w:sz="12" w:space="0" w:color="auto"/>
            </w:tcBorders>
            <w:shd w:val="clear" w:color="auto" w:fill="auto"/>
          </w:tcPr>
          <w:p w14:paraId="4F655C5F"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 xml:space="preserve">Environmental flows were delivered for the first time to the Ballin Boora system during 2018–19. For the 3 water years preceding 2018–19 no environmental flows or other flows had been delivered. </w:t>
            </w:r>
          </w:p>
          <w:p w14:paraId="7E957D07"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The Ballin Boora ran from local runoff following localised intense heavy rainfall several times in Feb–March 2020 (local landholder feedback as per Mallowa). </w:t>
            </w:r>
          </w:p>
          <w:p w14:paraId="47EA718D"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The need for environmental watering in 2020–21 is subject to further examination of environmental demand and operational requirements. However, based on the maximum interval between flows to the Ballin Boora, the demand has been assessed as moderate, needing water in the next 1–2 years.</w:t>
            </w:r>
          </w:p>
        </w:tc>
        <w:tc>
          <w:tcPr>
            <w:tcW w:w="1843" w:type="dxa"/>
            <w:tcBorders>
              <w:top w:val="single" w:sz="12" w:space="0" w:color="auto"/>
              <w:bottom w:val="single" w:sz="12" w:space="0" w:color="auto"/>
            </w:tcBorders>
            <w:shd w:val="clear" w:color="auto" w:fill="FFC000"/>
            <w:vAlign w:val="center"/>
          </w:tcPr>
          <w:p w14:paraId="0812F961"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Moderate</w:t>
            </w:r>
          </w:p>
        </w:tc>
        <w:tc>
          <w:tcPr>
            <w:tcW w:w="3119" w:type="dxa"/>
            <w:tcBorders>
              <w:top w:val="single" w:sz="12" w:space="0" w:color="auto"/>
              <w:bottom w:val="single" w:sz="12" w:space="0" w:color="auto"/>
            </w:tcBorders>
            <w:shd w:val="clear" w:color="auto" w:fill="95B3D7" w:themeFill="accent1" w:themeFillTint="99"/>
            <w:vAlign w:val="center"/>
          </w:tcPr>
          <w:p w14:paraId="5AF5B8D5"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 xml:space="preserve">Use of CEW would occur only if resource availability increases. </w:t>
            </w:r>
          </w:p>
        </w:tc>
        <w:tc>
          <w:tcPr>
            <w:tcW w:w="2268" w:type="dxa"/>
            <w:tcBorders>
              <w:top w:val="single" w:sz="12" w:space="0" w:color="auto"/>
              <w:bottom w:val="single" w:sz="12" w:space="0" w:color="auto"/>
              <w:right w:val="single" w:sz="12" w:space="0" w:color="auto"/>
            </w:tcBorders>
            <w:shd w:val="clear" w:color="auto" w:fill="FFC000"/>
            <w:vAlign w:val="center"/>
          </w:tcPr>
          <w:p w14:paraId="1FC09EDE" w14:textId="77777777" w:rsidR="00AA0841" w:rsidRPr="00AA0841" w:rsidRDefault="00AA0841" w:rsidP="00AA0841">
            <w:pPr>
              <w:spacing w:after="0"/>
              <w:jc w:val="center"/>
              <w:rPr>
                <w:rFonts w:cstheme="minorHAnsi"/>
                <w:color w:val="auto"/>
                <w:sz w:val="18"/>
                <w:szCs w:val="18"/>
                <w:shd w:val="clear" w:color="auto" w:fill="FFC000"/>
              </w:rPr>
            </w:pPr>
            <w:r w:rsidRPr="00AA0841">
              <w:rPr>
                <w:rFonts w:cstheme="minorHAnsi"/>
                <w:color w:val="auto"/>
                <w:sz w:val="18"/>
                <w:szCs w:val="18"/>
                <w:shd w:val="clear" w:color="auto" w:fill="FFC000"/>
              </w:rPr>
              <w:t>Moderate</w:t>
            </w:r>
          </w:p>
        </w:tc>
      </w:tr>
      <w:tr w:rsidR="00AA0841" w:rsidRPr="00AA0841" w14:paraId="6A7A6F20" w14:textId="77777777" w:rsidTr="00AA0841">
        <w:trPr>
          <w:trHeight w:val="4587"/>
        </w:trPr>
        <w:tc>
          <w:tcPr>
            <w:tcW w:w="1843" w:type="dxa"/>
            <w:vMerge w:val="restart"/>
            <w:tcBorders>
              <w:top w:val="single" w:sz="12" w:space="0" w:color="auto"/>
              <w:left w:val="single" w:sz="12" w:space="0" w:color="auto"/>
            </w:tcBorders>
          </w:tcPr>
          <w:p w14:paraId="56F76F70" w14:textId="77777777" w:rsidR="00AA0841" w:rsidRPr="00AA0841" w:rsidRDefault="00AA0841" w:rsidP="00AA0841">
            <w:pPr>
              <w:spacing w:before="120"/>
              <w:rPr>
                <w:rFonts w:cstheme="minorHAnsi"/>
                <w:b/>
                <w:color w:val="000000" w:themeColor="text1"/>
                <w:sz w:val="18"/>
                <w:szCs w:val="18"/>
              </w:rPr>
            </w:pPr>
            <w:r w:rsidRPr="00AA0841">
              <w:rPr>
                <w:rFonts w:cstheme="minorHAnsi"/>
                <w:b/>
                <w:color w:val="000000" w:themeColor="text1"/>
                <w:sz w:val="18"/>
                <w:szCs w:val="18"/>
              </w:rPr>
              <w:t>Mehi River</w:t>
            </w:r>
          </w:p>
          <w:p w14:paraId="6D7AF227" w14:textId="77777777" w:rsidR="00AA0841" w:rsidRPr="00AA0841" w:rsidRDefault="00AA0841" w:rsidP="00AA0841">
            <w:pPr>
              <w:spacing w:after="0"/>
              <w:contextualSpacing/>
              <w:rPr>
                <w:rFonts w:cstheme="minorHAnsi"/>
                <w:color w:val="000000" w:themeColor="text1"/>
                <w:sz w:val="18"/>
                <w:szCs w:val="18"/>
              </w:rPr>
            </w:pPr>
            <w:r w:rsidRPr="00AA0841">
              <w:rPr>
                <w:rFonts w:cstheme="minorHAnsi"/>
                <w:color w:val="000000" w:themeColor="text1"/>
                <w:sz w:val="18"/>
                <w:szCs w:val="18"/>
              </w:rPr>
              <w:t>Waterbird habitat and refuge</w:t>
            </w:r>
          </w:p>
          <w:p w14:paraId="20A8B389" w14:textId="77777777" w:rsidR="00AA0841" w:rsidRPr="00AA0841" w:rsidRDefault="00AA0841" w:rsidP="00AA0841">
            <w:pPr>
              <w:spacing w:after="0"/>
              <w:ind w:left="-14"/>
              <w:contextualSpacing/>
              <w:rPr>
                <w:rFonts w:cstheme="minorHAnsi"/>
                <w:color w:val="000000" w:themeColor="text1"/>
                <w:sz w:val="18"/>
                <w:szCs w:val="18"/>
              </w:rPr>
            </w:pPr>
            <w:r w:rsidRPr="00AA0841">
              <w:rPr>
                <w:rFonts w:cstheme="minorHAnsi"/>
                <w:color w:val="000000" w:themeColor="text1"/>
                <w:sz w:val="18"/>
                <w:szCs w:val="18"/>
              </w:rPr>
              <w:t xml:space="preserve">Habitat and refuge for frogs </w:t>
            </w:r>
          </w:p>
          <w:p w14:paraId="02FC61DE"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Native fish habitat, breeding, recruitment and refuge </w:t>
            </w:r>
          </w:p>
          <w:p w14:paraId="274345FC"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Aquatic Communities</w:t>
            </w:r>
          </w:p>
          <w:p w14:paraId="5AE0A133" w14:textId="77777777" w:rsidR="00AA0841" w:rsidRPr="00AA0841" w:rsidRDefault="00AA0841" w:rsidP="00AA0841">
            <w:pPr>
              <w:spacing w:before="120"/>
              <w:rPr>
                <w:rFonts w:cstheme="minorHAnsi"/>
                <w:b/>
                <w:color w:val="000000" w:themeColor="text1"/>
                <w:sz w:val="18"/>
                <w:szCs w:val="18"/>
              </w:rPr>
            </w:pPr>
            <w:r w:rsidRPr="00AA0841">
              <w:rPr>
                <w:rFonts w:cstheme="minorHAnsi"/>
                <w:color w:val="000000" w:themeColor="text1"/>
                <w:sz w:val="18"/>
                <w:szCs w:val="18"/>
              </w:rPr>
              <w:t>Reaches within the system contain important values for the Gomeroi local aboriginal community</w:t>
            </w:r>
          </w:p>
        </w:tc>
        <w:tc>
          <w:tcPr>
            <w:tcW w:w="1559" w:type="dxa"/>
            <w:tcBorders>
              <w:top w:val="single" w:sz="12" w:space="0" w:color="auto"/>
            </w:tcBorders>
          </w:tcPr>
          <w:p w14:paraId="76950B66" w14:textId="77777777" w:rsidR="00AA0841" w:rsidRPr="00AA0841" w:rsidRDefault="00AA0841" w:rsidP="00AA0841">
            <w:pPr>
              <w:spacing w:before="120"/>
              <w:rPr>
                <w:rFonts w:cstheme="minorHAnsi"/>
                <w:bCs/>
                <w:color w:val="000000" w:themeColor="text1"/>
                <w:sz w:val="18"/>
                <w:szCs w:val="18"/>
              </w:rPr>
            </w:pPr>
            <w:r w:rsidRPr="00AA0841">
              <w:rPr>
                <w:rFonts w:cstheme="minorHAnsi"/>
                <w:bCs/>
                <w:color w:val="000000" w:themeColor="text1"/>
                <w:sz w:val="18"/>
                <w:szCs w:val="18"/>
              </w:rPr>
              <w:t>Native fish dispersal and condition</w:t>
            </w:r>
          </w:p>
          <w:p w14:paraId="4EE33B25" w14:textId="77777777" w:rsidR="00AA0841" w:rsidRPr="00AA0841" w:rsidRDefault="00AA0841" w:rsidP="00AA0841">
            <w:pPr>
              <w:rPr>
                <w:rFonts w:cstheme="minorHAnsi"/>
                <w:bCs/>
                <w:color w:val="000000" w:themeColor="text1"/>
                <w:sz w:val="18"/>
                <w:szCs w:val="18"/>
              </w:rPr>
            </w:pPr>
            <w:r w:rsidRPr="00AA0841">
              <w:rPr>
                <w:rFonts w:cstheme="minorHAnsi"/>
                <w:bCs/>
                <w:color w:val="000000" w:themeColor="text1"/>
                <w:sz w:val="18"/>
                <w:szCs w:val="18"/>
              </w:rPr>
              <w:t>Native fish spawning (in-channel specialists and generalists, e.g. Murray cod)</w:t>
            </w:r>
          </w:p>
          <w:p w14:paraId="7E60D447" w14:textId="77777777" w:rsidR="00AA0841" w:rsidRPr="00AA0841" w:rsidRDefault="00AA0841" w:rsidP="00AA0841">
            <w:pPr>
              <w:rPr>
                <w:rFonts w:cstheme="minorHAnsi"/>
                <w:bCs/>
                <w:color w:val="000000" w:themeColor="text1"/>
                <w:sz w:val="18"/>
                <w:szCs w:val="18"/>
              </w:rPr>
            </w:pPr>
            <w:r w:rsidRPr="00AA0841">
              <w:rPr>
                <w:rFonts w:cstheme="minorHAnsi"/>
                <w:bCs/>
                <w:color w:val="000000" w:themeColor="text1"/>
                <w:sz w:val="18"/>
                <w:szCs w:val="18"/>
              </w:rPr>
              <w:t>Native vegetation</w:t>
            </w:r>
          </w:p>
          <w:p w14:paraId="63BC9FD4" w14:textId="77777777" w:rsidR="00AA0841" w:rsidRPr="00AA0841" w:rsidRDefault="00AA0841" w:rsidP="00AA0841">
            <w:pPr>
              <w:rPr>
                <w:rFonts w:cstheme="minorHAnsi"/>
                <w:color w:val="000000" w:themeColor="text1"/>
                <w:sz w:val="18"/>
                <w:szCs w:val="18"/>
              </w:rPr>
            </w:pPr>
            <w:r w:rsidRPr="00AA0841">
              <w:rPr>
                <w:rFonts w:cstheme="minorHAnsi"/>
                <w:bCs/>
                <w:color w:val="000000" w:themeColor="text1"/>
                <w:sz w:val="18"/>
                <w:szCs w:val="18"/>
              </w:rPr>
              <w:t>Aquatic ecosystem function</w:t>
            </w:r>
          </w:p>
        </w:tc>
        <w:tc>
          <w:tcPr>
            <w:tcW w:w="3969" w:type="dxa"/>
            <w:tcBorders>
              <w:top w:val="single" w:sz="12" w:space="0" w:color="auto"/>
            </w:tcBorders>
            <w:shd w:val="clear" w:color="auto" w:fill="auto"/>
          </w:tcPr>
          <w:p w14:paraId="564C618E" w14:textId="77777777" w:rsidR="00AA0841" w:rsidRPr="00AA0841" w:rsidRDefault="00AA0841" w:rsidP="00AA0841">
            <w:pPr>
              <w:spacing w:before="120"/>
              <w:rPr>
                <w:rFonts w:cstheme="minorHAnsi"/>
                <w:b/>
                <w:bCs/>
                <w:color w:val="000000" w:themeColor="text1"/>
                <w:sz w:val="18"/>
                <w:szCs w:val="18"/>
              </w:rPr>
            </w:pPr>
            <w:r w:rsidRPr="00AA0841">
              <w:rPr>
                <w:rFonts w:cstheme="minorHAnsi"/>
                <w:b/>
                <w:bCs/>
                <w:color w:val="000000" w:themeColor="text1"/>
                <w:sz w:val="18"/>
                <w:szCs w:val="18"/>
              </w:rPr>
              <w:t>Small fresh (SF):</w:t>
            </w:r>
          </w:p>
          <w:p w14:paraId="4B4760BF" w14:textId="77777777" w:rsidR="00AA0841" w:rsidRPr="00AA0841" w:rsidRDefault="00AA0841" w:rsidP="00AA0841">
            <w:pPr>
              <w:spacing w:before="120"/>
              <w:rPr>
                <w:rFonts w:cstheme="minorHAnsi"/>
                <w:noProof/>
                <w:color w:val="000000" w:themeColor="text1"/>
                <w:sz w:val="18"/>
                <w:szCs w:val="18"/>
              </w:rPr>
            </w:pPr>
            <w:r w:rsidRPr="00AA0841">
              <w:rPr>
                <w:rFonts w:cstheme="minorHAnsi"/>
                <w:noProof/>
                <w:color w:val="000000" w:themeColor="text1"/>
                <w:sz w:val="18"/>
                <w:szCs w:val="18"/>
              </w:rPr>
              <w:t>SF1: for at least 10 days in Oct–Apr (but can occur at any time) for native fish condition and dispersal</w:t>
            </w:r>
          </w:p>
          <w:p w14:paraId="0C576944" w14:textId="77777777" w:rsidR="00AA0841" w:rsidRPr="00AA0841" w:rsidRDefault="00AA0841" w:rsidP="005D79EF">
            <w:pPr>
              <w:numPr>
                <w:ilvl w:val="0"/>
                <w:numId w:val="35"/>
              </w:numPr>
              <w:spacing w:after="0"/>
              <w:ind w:left="210" w:hanging="210"/>
              <w:rPr>
                <w:rFonts w:cstheme="minorHAnsi"/>
                <w:color w:val="000000" w:themeColor="text1"/>
                <w:sz w:val="18"/>
                <w:szCs w:val="18"/>
              </w:rPr>
            </w:pPr>
            <w:r w:rsidRPr="00AA0841">
              <w:rPr>
                <w:rFonts w:cstheme="minorHAnsi"/>
                <w:color w:val="000000" w:themeColor="text1"/>
                <w:sz w:val="18"/>
                <w:szCs w:val="18"/>
              </w:rPr>
              <w:t xml:space="preserve">&gt;345 ML/d at Moree </w:t>
            </w:r>
          </w:p>
          <w:p w14:paraId="106DFC12" w14:textId="77777777" w:rsidR="00AA0841" w:rsidRPr="00AA0841" w:rsidRDefault="00AA0841" w:rsidP="005D79EF">
            <w:pPr>
              <w:numPr>
                <w:ilvl w:val="0"/>
                <w:numId w:val="35"/>
              </w:numPr>
              <w:spacing w:after="0"/>
              <w:ind w:left="210" w:hanging="210"/>
              <w:rPr>
                <w:rFonts w:cstheme="minorHAnsi"/>
                <w:color w:val="000000" w:themeColor="text1"/>
                <w:sz w:val="18"/>
                <w:szCs w:val="18"/>
              </w:rPr>
            </w:pPr>
            <w:r w:rsidRPr="00AA0841">
              <w:rPr>
                <w:rFonts w:cstheme="minorHAnsi"/>
                <w:color w:val="000000" w:themeColor="text1"/>
                <w:sz w:val="18"/>
                <w:szCs w:val="18"/>
              </w:rPr>
              <w:t>&gt;220 ML/d d/s Combadello</w:t>
            </w:r>
          </w:p>
          <w:p w14:paraId="666BF203" w14:textId="77777777" w:rsidR="00AA0841" w:rsidRPr="00AA0841" w:rsidRDefault="00AA0841" w:rsidP="005D79EF">
            <w:pPr>
              <w:numPr>
                <w:ilvl w:val="0"/>
                <w:numId w:val="35"/>
              </w:numPr>
              <w:spacing w:after="0"/>
              <w:ind w:left="210" w:hanging="210"/>
              <w:rPr>
                <w:rFonts w:cstheme="minorHAnsi"/>
                <w:color w:val="000000" w:themeColor="text1"/>
                <w:sz w:val="18"/>
                <w:szCs w:val="18"/>
              </w:rPr>
            </w:pPr>
            <w:r w:rsidRPr="00AA0841">
              <w:rPr>
                <w:rFonts w:cstheme="minorHAnsi"/>
                <w:color w:val="000000" w:themeColor="text1"/>
                <w:sz w:val="18"/>
                <w:szCs w:val="18"/>
              </w:rPr>
              <w:t>&gt;100 ML/d d/s Gundare</w:t>
            </w:r>
          </w:p>
          <w:p w14:paraId="56305520"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SF2: in Sept–Apr (</w:t>
            </w:r>
            <w:r w:rsidRPr="00AA0841">
              <w:rPr>
                <w:rFonts w:cstheme="minorHAnsi"/>
                <w:noProof/>
                <w:color w:val="000000" w:themeColor="text1"/>
                <w:sz w:val="18"/>
                <w:szCs w:val="18"/>
              </w:rPr>
              <w:t>spawning of in-channel specialists and generalists)</w:t>
            </w:r>
          </w:p>
          <w:p w14:paraId="173E8604" w14:textId="77777777" w:rsidR="00AA0841" w:rsidRPr="00AA0841" w:rsidRDefault="00AA0841" w:rsidP="005D79EF">
            <w:pPr>
              <w:numPr>
                <w:ilvl w:val="0"/>
                <w:numId w:val="35"/>
              </w:numPr>
              <w:spacing w:after="0"/>
              <w:ind w:left="210" w:hanging="210"/>
              <w:rPr>
                <w:rFonts w:cstheme="minorHAnsi"/>
                <w:color w:val="000000" w:themeColor="text1"/>
                <w:sz w:val="18"/>
                <w:szCs w:val="18"/>
              </w:rPr>
            </w:pPr>
            <w:r w:rsidRPr="00AA0841">
              <w:rPr>
                <w:rFonts w:cstheme="minorHAnsi"/>
                <w:color w:val="000000" w:themeColor="text1"/>
                <w:sz w:val="18"/>
                <w:szCs w:val="18"/>
              </w:rPr>
              <w:t>345–2 800 ML/d at Moree for at least 10 days</w:t>
            </w:r>
          </w:p>
          <w:p w14:paraId="54A815AD" w14:textId="77777777" w:rsidR="00AA0841" w:rsidRPr="00AA0841" w:rsidRDefault="00AA0841" w:rsidP="005D79EF">
            <w:pPr>
              <w:numPr>
                <w:ilvl w:val="0"/>
                <w:numId w:val="35"/>
              </w:numPr>
              <w:spacing w:after="0"/>
              <w:ind w:left="210" w:hanging="210"/>
              <w:rPr>
                <w:rFonts w:cstheme="minorHAnsi"/>
                <w:color w:val="000000" w:themeColor="text1"/>
                <w:sz w:val="18"/>
                <w:szCs w:val="18"/>
              </w:rPr>
            </w:pPr>
            <w:r w:rsidRPr="00AA0841">
              <w:rPr>
                <w:rFonts w:cstheme="minorHAnsi"/>
                <w:color w:val="000000" w:themeColor="text1"/>
                <w:sz w:val="18"/>
                <w:szCs w:val="18"/>
              </w:rPr>
              <w:t xml:space="preserve">220–1 500 ML/d d/s Combadello for at least 14 days </w:t>
            </w:r>
          </w:p>
          <w:p w14:paraId="4F547FF6" w14:textId="77777777" w:rsidR="00AA0841" w:rsidRPr="00AA0841" w:rsidRDefault="00AA0841" w:rsidP="005D79EF">
            <w:pPr>
              <w:numPr>
                <w:ilvl w:val="0"/>
                <w:numId w:val="35"/>
              </w:numPr>
              <w:spacing w:after="0"/>
              <w:ind w:left="210" w:hanging="210"/>
              <w:rPr>
                <w:rFonts w:cstheme="minorHAnsi"/>
                <w:color w:val="000000" w:themeColor="text1"/>
                <w:sz w:val="18"/>
                <w:szCs w:val="18"/>
              </w:rPr>
            </w:pPr>
            <w:r w:rsidRPr="00AA0841">
              <w:rPr>
                <w:rFonts w:cstheme="minorHAnsi"/>
                <w:color w:val="000000" w:themeColor="text1"/>
                <w:sz w:val="18"/>
                <w:szCs w:val="18"/>
              </w:rPr>
              <w:t>100–850 ML/d d/s Gundare for at least 14 days</w:t>
            </w:r>
          </w:p>
          <w:p w14:paraId="77BDF2B4" w14:textId="77777777" w:rsidR="00AA0841" w:rsidRPr="00AA0841" w:rsidRDefault="00AA0841" w:rsidP="00AA0841">
            <w:pPr>
              <w:spacing w:before="120" w:after="0"/>
              <w:rPr>
                <w:rFonts w:cstheme="minorHAnsi"/>
                <w:color w:val="000000" w:themeColor="text1"/>
                <w:sz w:val="18"/>
                <w:szCs w:val="18"/>
              </w:rPr>
            </w:pPr>
            <w:r w:rsidRPr="00AA0841">
              <w:rPr>
                <w:rFonts w:cstheme="minorHAnsi"/>
                <w:color w:val="000000" w:themeColor="text1"/>
                <w:sz w:val="18"/>
                <w:szCs w:val="18"/>
              </w:rPr>
              <w:t>SF3: &gt;90 ML/d d/s Collarenebri for at least 10 days in Oct–Apr (but can occur at any time)</w:t>
            </w:r>
          </w:p>
        </w:tc>
        <w:tc>
          <w:tcPr>
            <w:tcW w:w="1418" w:type="dxa"/>
            <w:tcBorders>
              <w:top w:val="single" w:sz="12" w:space="0" w:color="auto"/>
            </w:tcBorders>
            <w:shd w:val="clear" w:color="auto" w:fill="auto"/>
          </w:tcPr>
          <w:p w14:paraId="4D14EAA3" w14:textId="77777777" w:rsidR="00AA0841" w:rsidRPr="00AA0841" w:rsidRDefault="00AA0841" w:rsidP="00AA0841">
            <w:pPr>
              <w:spacing w:after="0"/>
              <w:rPr>
                <w:rFonts w:cstheme="minorHAnsi"/>
                <w:noProof/>
                <w:color w:val="000000" w:themeColor="text1"/>
                <w:sz w:val="18"/>
                <w:szCs w:val="18"/>
              </w:rPr>
            </w:pPr>
          </w:p>
          <w:p w14:paraId="367A43CF" w14:textId="77777777" w:rsidR="00AA0841" w:rsidRPr="00AA0841" w:rsidRDefault="00AA0841" w:rsidP="00AA0841">
            <w:pPr>
              <w:spacing w:after="0"/>
              <w:rPr>
                <w:rFonts w:cstheme="minorHAnsi"/>
                <w:noProof/>
                <w:color w:val="000000" w:themeColor="text1"/>
                <w:sz w:val="18"/>
                <w:szCs w:val="18"/>
              </w:rPr>
            </w:pPr>
            <w:r w:rsidRPr="00AA0841">
              <w:rPr>
                <w:rFonts w:cstheme="minorHAnsi"/>
                <w:noProof/>
                <w:color w:val="000000" w:themeColor="text1"/>
                <w:sz w:val="18"/>
                <w:szCs w:val="18"/>
              </w:rPr>
              <w:t>SF1: Annually</w:t>
            </w:r>
          </w:p>
          <w:p w14:paraId="0B8838D0" w14:textId="77777777" w:rsidR="00AA0841" w:rsidRPr="00AA0841" w:rsidRDefault="00AA0841" w:rsidP="00AA0841">
            <w:pPr>
              <w:spacing w:after="0"/>
              <w:rPr>
                <w:rFonts w:cstheme="minorHAnsi"/>
                <w:noProof/>
                <w:color w:val="000000" w:themeColor="text1"/>
                <w:sz w:val="18"/>
                <w:szCs w:val="18"/>
              </w:rPr>
            </w:pPr>
            <w:r w:rsidRPr="00AA0841">
              <w:rPr>
                <w:rFonts w:cstheme="minorHAnsi"/>
                <w:noProof/>
                <w:color w:val="000000" w:themeColor="text1"/>
                <w:sz w:val="18"/>
                <w:szCs w:val="18"/>
              </w:rPr>
              <w:t>(Max. interval: 1 year)</w:t>
            </w:r>
          </w:p>
          <w:p w14:paraId="03F84A86" w14:textId="77777777" w:rsidR="00AA0841" w:rsidRPr="00AA0841" w:rsidRDefault="00AA0841" w:rsidP="00AA0841">
            <w:pPr>
              <w:spacing w:after="0"/>
              <w:rPr>
                <w:rFonts w:cstheme="minorHAnsi"/>
                <w:noProof/>
                <w:color w:val="000000" w:themeColor="text1"/>
                <w:sz w:val="18"/>
                <w:szCs w:val="18"/>
              </w:rPr>
            </w:pPr>
          </w:p>
          <w:p w14:paraId="674FAAAE" w14:textId="77777777" w:rsidR="00AA0841" w:rsidRPr="00AA0841" w:rsidRDefault="00AA0841" w:rsidP="00AA0841">
            <w:pPr>
              <w:spacing w:after="0"/>
              <w:rPr>
                <w:rFonts w:cstheme="minorHAnsi"/>
                <w:noProof/>
                <w:color w:val="000000" w:themeColor="text1"/>
                <w:sz w:val="18"/>
                <w:szCs w:val="18"/>
              </w:rPr>
            </w:pPr>
          </w:p>
          <w:p w14:paraId="7653B14B" w14:textId="77777777" w:rsidR="00AA0841" w:rsidRPr="00AA0841" w:rsidRDefault="00AA0841" w:rsidP="00AA0841">
            <w:pPr>
              <w:spacing w:after="0"/>
              <w:rPr>
                <w:rFonts w:cstheme="minorHAnsi"/>
                <w:noProof/>
                <w:color w:val="000000" w:themeColor="text1"/>
                <w:sz w:val="18"/>
                <w:szCs w:val="18"/>
              </w:rPr>
            </w:pPr>
          </w:p>
          <w:p w14:paraId="03C59385" w14:textId="77777777" w:rsidR="00AA0841" w:rsidRPr="00AA0841" w:rsidRDefault="00AA0841" w:rsidP="00AA0841">
            <w:pPr>
              <w:spacing w:after="0"/>
              <w:rPr>
                <w:rFonts w:cstheme="minorHAnsi"/>
                <w:noProof/>
                <w:color w:val="000000" w:themeColor="text1"/>
                <w:sz w:val="18"/>
                <w:szCs w:val="18"/>
              </w:rPr>
            </w:pPr>
            <w:r w:rsidRPr="00AA0841">
              <w:rPr>
                <w:rFonts w:cstheme="minorHAnsi"/>
                <w:noProof/>
                <w:color w:val="000000" w:themeColor="text1"/>
                <w:sz w:val="18"/>
                <w:szCs w:val="18"/>
              </w:rPr>
              <w:t>SF2: 5–10 in 10 years</w:t>
            </w:r>
          </w:p>
          <w:p w14:paraId="4DB8FFCD" w14:textId="77777777" w:rsidR="00AA0841" w:rsidRPr="00AA0841" w:rsidRDefault="00AA0841" w:rsidP="00AA0841">
            <w:pPr>
              <w:spacing w:after="0"/>
              <w:rPr>
                <w:rFonts w:cstheme="minorHAnsi"/>
                <w:noProof/>
                <w:color w:val="000000" w:themeColor="text1"/>
                <w:sz w:val="18"/>
                <w:szCs w:val="18"/>
              </w:rPr>
            </w:pPr>
            <w:r w:rsidRPr="00AA0841">
              <w:rPr>
                <w:rFonts w:cstheme="minorHAnsi"/>
                <w:noProof/>
                <w:color w:val="000000" w:themeColor="text1"/>
                <w:sz w:val="18"/>
                <w:szCs w:val="18"/>
              </w:rPr>
              <w:t>(Max. interval: 2 years)</w:t>
            </w:r>
          </w:p>
          <w:p w14:paraId="4D3A34F0" w14:textId="77777777" w:rsidR="00AA0841" w:rsidRPr="00AA0841" w:rsidRDefault="00AA0841" w:rsidP="00AA0841">
            <w:pPr>
              <w:spacing w:after="0"/>
              <w:rPr>
                <w:rFonts w:cstheme="minorHAnsi"/>
                <w:noProof/>
                <w:color w:val="000000" w:themeColor="text1"/>
                <w:sz w:val="18"/>
                <w:szCs w:val="18"/>
              </w:rPr>
            </w:pPr>
          </w:p>
          <w:p w14:paraId="4D0DB061" w14:textId="77777777" w:rsidR="00AA0841" w:rsidRPr="00AA0841" w:rsidRDefault="00AA0841" w:rsidP="00AA0841">
            <w:pPr>
              <w:spacing w:after="0"/>
              <w:rPr>
                <w:rFonts w:cstheme="minorHAnsi"/>
                <w:noProof/>
                <w:color w:val="000000" w:themeColor="text1"/>
                <w:sz w:val="18"/>
                <w:szCs w:val="18"/>
              </w:rPr>
            </w:pPr>
          </w:p>
          <w:p w14:paraId="2134673C" w14:textId="77777777" w:rsidR="00AA0841" w:rsidRPr="00AA0841" w:rsidRDefault="00AA0841" w:rsidP="00AA0841">
            <w:pPr>
              <w:spacing w:after="0"/>
              <w:rPr>
                <w:rFonts w:cstheme="minorHAnsi"/>
                <w:noProof/>
                <w:color w:val="000000" w:themeColor="text1"/>
                <w:sz w:val="18"/>
                <w:szCs w:val="18"/>
              </w:rPr>
            </w:pPr>
          </w:p>
          <w:p w14:paraId="72693525" w14:textId="77777777" w:rsidR="00AA0841" w:rsidRPr="00AA0841" w:rsidRDefault="00AA0841" w:rsidP="00AA0841">
            <w:pPr>
              <w:spacing w:after="0"/>
              <w:rPr>
                <w:rFonts w:cstheme="minorHAnsi"/>
                <w:noProof/>
                <w:color w:val="000000" w:themeColor="text1"/>
                <w:sz w:val="18"/>
                <w:szCs w:val="18"/>
              </w:rPr>
            </w:pPr>
          </w:p>
          <w:p w14:paraId="4928D02A" w14:textId="77777777" w:rsidR="00AA0841" w:rsidRPr="00AA0841" w:rsidRDefault="00AA0841" w:rsidP="00AA0841">
            <w:pPr>
              <w:spacing w:after="0"/>
              <w:rPr>
                <w:rFonts w:cstheme="minorHAnsi"/>
                <w:noProof/>
                <w:color w:val="000000" w:themeColor="text1"/>
                <w:sz w:val="18"/>
                <w:szCs w:val="18"/>
              </w:rPr>
            </w:pPr>
            <w:r w:rsidRPr="00AA0841">
              <w:rPr>
                <w:rFonts w:cstheme="minorHAnsi"/>
                <w:noProof/>
                <w:color w:val="000000" w:themeColor="text1"/>
                <w:sz w:val="18"/>
                <w:szCs w:val="18"/>
              </w:rPr>
              <w:t>SF3: Within 12 months of a large fresh (LF5)</w:t>
            </w:r>
          </w:p>
          <w:p w14:paraId="3DC6C1AF" w14:textId="77777777" w:rsidR="00AA0841" w:rsidRPr="00AA0841" w:rsidRDefault="00AA0841" w:rsidP="00AA0841">
            <w:pPr>
              <w:spacing w:after="0"/>
              <w:rPr>
                <w:rFonts w:cstheme="minorHAnsi"/>
                <w:noProof/>
                <w:color w:val="000000" w:themeColor="text1"/>
                <w:sz w:val="18"/>
                <w:szCs w:val="18"/>
              </w:rPr>
            </w:pPr>
            <w:r w:rsidRPr="00AA0841">
              <w:rPr>
                <w:rFonts w:cstheme="minorHAnsi"/>
                <w:noProof/>
                <w:color w:val="000000" w:themeColor="text1"/>
                <w:sz w:val="18"/>
                <w:szCs w:val="18"/>
              </w:rPr>
              <w:t>(Max. interval: 4 years)</w:t>
            </w:r>
          </w:p>
        </w:tc>
        <w:tc>
          <w:tcPr>
            <w:tcW w:w="5953" w:type="dxa"/>
            <w:tcBorders>
              <w:top w:val="single" w:sz="12" w:space="0" w:color="auto"/>
            </w:tcBorders>
            <w:shd w:val="clear" w:color="auto" w:fill="auto"/>
          </w:tcPr>
          <w:p w14:paraId="0D013C08" w14:textId="77777777" w:rsidR="00AA0841" w:rsidRPr="00AA0841" w:rsidRDefault="00AA0841" w:rsidP="00AA0841">
            <w:pPr>
              <w:spacing w:before="120"/>
              <w:rPr>
                <w:rFonts w:cstheme="minorHAnsi"/>
                <w:bCs/>
                <w:color w:val="000000" w:themeColor="text1"/>
                <w:sz w:val="18"/>
                <w:szCs w:val="18"/>
              </w:rPr>
            </w:pPr>
            <w:r w:rsidRPr="00AA0841">
              <w:rPr>
                <w:rFonts w:cstheme="minorHAnsi"/>
                <w:bCs/>
                <w:color w:val="000000" w:themeColor="text1"/>
                <w:sz w:val="18"/>
                <w:szCs w:val="18"/>
              </w:rPr>
              <w:t xml:space="preserve">Flow targets for small fresh flows (both SF1 and SF2) were met at Moree in each of the last 4 water years. </w:t>
            </w:r>
          </w:p>
          <w:p w14:paraId="0368B023" w14:textId="77777777" w:rsidR="00AA0841" w:rsidRPr="00AA0841" w:rsidRDefault="00AA0841" w:rsidP="00AA0841">
            <w:pPr>
              <w:spacing w:before="120"/>
              <w:rPr>
                <w:rFonts w:cstheme="minorHAnsi"/>
                <w:bCs/>
                <w:color w:val="000000" w:themeColor="text1"/>
                <w:sz w:val="18"/>
                <w:szCs w:val="18"/>
              </w:rPr>
            </w:pPr>
            <w:r w:rsidRPr="00AA0841">
              <w:rPr>
                <w:rFonts w:cstheme="minorHAnsi"/>
                <w:bCs/>
                <w:color w:val="000000" w:themeColor="text1"/>
                <w:sz w:val="18"/>
                <w:szCs w:val="18"/>
              </w:rPr>
              <w:t>Flow targets to support native fish condition and dispersal (SF1) have also been met downstream of Combardello and Gundare weirs each year since at least 2016–17. However, the flows required to support spawning of in-channel specialists and generalists (SF2) were not achieved at those sites in 2018–19.</w:t>
            </w:r>
          </w:p>
          <w:p w14:paraId="6239EF27" w14:textId="77777777" w:rsidR="00AA0841" w:rsidRPr="00AA0841" w:rsidRDefault="00AA0841" w:rsidP="00AA0841">
            <w:pPr>
              <w:spacing w:before="120"/>
              <w:rPr>
                <w:rFonts w:cstheme="minorHAnsi"/>
                <w:bCs/>
                <w:color w:val="000000" w:themeColor="text1"/>
                <w:sz w:val="18"/>
                <w:szCs w:val="18"/>
              </w:rPr>
            </w:pPr>
            <w:r w:rsidRPr="00AA0841">
              <w:rPr>
                <w:rFonts w:cstheme="minorHAnsi"/>
                <w:bCs/>
                <w:color w:val="000000" w:themeColor="text1"/>
                <w:sz w:val="18"/>
                <w:szCs w:val="18"/>
              </w:rPr>
              <w:t xml:space="preserve">To ensure the maximum interval is not exceeded, particularly for small freshes 1 and 2, water is required in the next 1–2 years. Therefore, the overall the demand for small fresh events along the Mehi River was assessed as low to moderate. </w:t>
            </w:r>
          </w:p>
        </w:tc>
        <w:tc>
          <w:tcPr>
            <w:tcW w:w="1843" w:type="dxa"/>
            <w:tcBorders>
              <w:top w:val="single" w:sz="12" w:space="0" w:color="auto"/>
            </w:tcBorders>
            <w:shd w:val="clear" w:color="auto" w:fill="92D050"/>
            <w:vAlign w:val="center"/>
          </w:tcPr>
          <w:p w14:paraId="63988D19"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Low to Moderate</w:t>
            </w:r>
          </w:p>
        </w:tc>
        <w:tc>
          <w:tcPr>
            <w:tcW w:w="3119" w:type="dxa"/>
            <w:tcBorders>
              <w:top w:val="single" w:sz="12" w:space="0" w:color="auto"/>
            </w:tcBorders>
            <w:shd w:val="clear" w:color="auto" w:fill="FFFFFF" w:themeFill="background1"/>
            <w:vAlign w:val="center"/>
          </w:tcPr>
          <w:p w14:paraId="6E69E16E" w14:textId="77777777" w:rsidR="00AA0841" w:rsidRPr="00AA0841" w:rsidRDefault="00AA0841" w:rsidP="00AA0841">
            <w:pPr>
              <w:spacing w:after="0"/>
              <w:jc w:val="center"/>
              <w:rPr>
                <w:rFonts w:cstheme="minorHAnsi"/>
                <w:color w:val="auto"/>
                <w:sz w:val="18"/>
                <w:szCs w:val="18"/>
              </w:rPr>
            </w:pPr>
          </w:p>
          <w:p w14:paraId="6EFA21A2"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Environmental water for other actions could contribute to these demands</w:t>
            </w:r>
          </w:p>
        </w:tc>
        <w:tc>
          <w:tcPr>
            <w:tcW w:w="2268" w:type="dxa"/>
            <w:tcBorders>
              <w:top w:val="single" w:sz="12" w:space="0" w:color="auto"/>
              <w:right w:val="single" w:sz="12" w:space="0" w:color="auto"/>
            </w:tcBorders>
            <w:shd w:val="clear" w:color="auto" w:fill="92D050"/>
            <w:vAlign w:val="center"/>
          </w:tcPr>
          <w:p w14:paraId="0CE93A9E" w14:textId="77777777" w:rsidR="00AA0841" w:rsidRPr="00AA0841" w:rsidRDefault="00AA0841" w:rsidP="00AA0841">
            <w:pPr>
              <w:spacing w:after="0"/>
              <w:jc w:val="center"/>
              <w:rPr>
                <w:rFonts w:cstheme="minorHAnsi"/>
                <w:color w:val="auto"/>
                <w:sz w:val="18"/>
                <w:szCs w:val="18"/>
                <w:shd w:val="clear" w:color="auto" w:fill="FFC000"/>
              </w:rPr>
            </w:pPr>
            <w:r w:rsidRPr="00AA0841">
              <w:rPr>
                <w:rFonts w:cstheme="minorHAnsi"/>
                <w:color w:val="auto"/>
                <w:sz w:val="18"/>
                <w:szCs w:val="18"/>
              </w:rPr>
              <w:t>Low to Moderate</w:t>
            </w:r>
          </w:p>
        </w:tc>
      </w:tr>
      <w:tr w:rsidR="00AA0841" w:rsidRPr="00AA0841" w14:paraId="3B62F58E" w14:textId="77777777" w:rsidTr="00AA0841">
        <w:trPr>
          <w:trHeight w:val="5815"/>
        </w:trPr>
        <w:tc>
          <w:tcPr>
            <w:tcW w:w="1843" w:type="dxa"/>
            <w:vMerge/>
            <w:tcBorders>
              <w:left w:val="single" w:sz="12" w:space="0" w:color="auto"/>
              <w:bottom w:val="single" w:sz="12" w:space="0" w:color="auto"/>
            </w:tcBorders>
          </w:tcPr>
          <w:p w14:paraId="76061383" w14:textId="77777777" w:rsidR="00AA0841" w:rsidRPr="00AA0841" w:rsidRDefault="00AA0841" w:rsidP="00AA0841">
            <w:pPr>
              <w:spacing w:before="120" w:after="0"/>
              <w:rPr>
                <w:rFonts w:cstheme="minorHAnsi"/>
                <w:b/>
                <w:color w:val="000000" w:themeColor="text1"/>
                <w:sz w:val="18"/>
                <w:szCs w:val="18"/>
              </w:rPr>
            </w:pPr>
          </w:p>
        </w:tc>
        <w:tc>
          <w:tcPr>
            <w:tcW w:w="1559" w:type="dxa"/>
            <w:tcBorders>
              <w:bottom w:val="single" w:sz="12" w:space="0" w:color="auto"/>
            </w:tcBorders>
            <w:shd w:val="clear" w:color="auto" w:fill="auto"/>
          </w:tcPr>
          <w:p w14:paraId="62277037" w14:textId="77777777" w:rsidR="00AA0841" w:rsidRPr="00AA0841" w:rsidRDefault="00AA0841" w:rsidP="00AA0841">
            <w:pPr>
              <w:spacing w:before="120"/>
              <w:rPr>
                <w:rFonts w:cstheme="minorHAnsi"/>
                <w:bCs/>
                <w:color w:val="000000" w:themeColor="text1"/>
                <w:sz w:val="18"/>
                <w:szCs w:val="18"/>
              </w:rPr>
            </w:pPr>
            <w:r w:rsidRPr="00AA0841">
              <w:rPr>
                <w:rFonts w:cstheme="minorHAnsi"/>
                <w:bCs/>
                <w:color w:val="000000" w:themeColor="text1"/>
                <w:sz w:val="18"/>
                <w:szCs w:val="18"/>
              </w:rPr>
              <w:t>Native fish dispersal and condition</w:t>
            </w:r>
          </w:p>
          <w:p w14:paraId="1E08CFEA" w14:textId="77777777" w:rsidR="00AA0841" w:rsidRPr="00AA0841" w:rsidRDefault="00AA0841" w:rsidP="00AA0841">
            <w:pPr>
              <w:spacing w:after="0"/>
              <w:rPr>
                <w:rFonts w:cstheme="minorHAnsi"/>
                <w:bCs/>
                <w:color w:val="000000" w:themeColor="text1"/>
                <w:sz w:val="18"/>
                <w:szCs w:val="18"/>
              </w:rPr>
            </w:pPr>
            <w:r w:rsidRPr="00AA0841">
              <w:rPr>
                <w:rFonts w:cstheme="minorHAnsi"/>
                <w:bCs/>
                <w:color w:val="000000" w:themeColor="text1"/>
                <w:sz w:val="18"/>
                <w:szCs w:val="18"/>
              </w:rPr>
              <w:t>Native fish spawning (flow specialists, e.g. golden perch)</w:t>
            </w:r>
          </w:p>
          <w:p w14:paraId="531D06FE" w14:textId="77777777" w:rsidR="00AA0841" w:rsidRPr="00AA0841" w:rsidRDefault="00AA0841" w:rsidP="00AA0841">
            <w:pPr>
              <w:spacing w:after="0"/>
              <w:rPr>
                <w:rFonts w:cstheme="minorHAnsi"/>
                <w:bCs/>
                <w:color w:val="000000" w:themeColor="text1"/>
                <w:sz w:val="18"/>
                <w:szCs w:val="18"/>
              </w:rPr>
            </w:pPr>
            <w:r w:rsidRPr="00AA0841">
              <w:rPr>
                <w:rFonts w:cstheme="minorHAnsi"/>
                <w:bCs/>
                <w:color w:val="000000" w:themeColor="text1"/>
                <w:sz w:val="18"/>
                <w:szCs w:val="18"/>
              </w:rPr>
              <w:t>Native vegetation</w:t>
            </w:r>
          </w:p>
          <w:p w14:paraId="1BA226F3" w14:textId="77777777" w:rsidR="00AA0841" w:rsidRPr="00AA0841" w:rsidRDefault="00AA0841" w:rsidP="00AA0841">
            <w:pPr>
              <w:spacing w:after="0"/>
              <w:rPr>
                <w:rFonts w:cstheme="minorHAnsi"/>
                <w:bCs/>
                <w:color w:val="000000" w:themeColor="text1"/>
                <w:sz w:val="18"/>
                <w:szCs w:val="18"/>
              </w:rPr>
            </w:pPr>
            <w:r w:rsidRPr="00AA0841">
              <w:rPr>
                <w:rFonts w:cstheme="minorHAnsi"/>
                <w:bCs/>
                <w:color w:val="000000" w:themeColor="text1"/>
                <w:sz w:val="18"/>
                <w:szCs w:val="18"/>
              </w:rPr>
              <w:t>Frog breeding</w:t>
            </w:r>
          </w:p>
          <w:p w14:paraId="36BD089A" w14:textId="77777777" w:rsidR="00AA0841" w:rsidRPr="00AA0841" w:rsidRDefault="00AA0841" w:rsidP="00AA0841">
            <w:pPr>
              <w:rPr>
                <w:rFonts w:cstheme="minorHAnsi"/>
                <w:b/>
                <w:color w:val="000000" w:themeColor="text1"/>
                <w:sz w:val="18"/>
                <w:szCs w:val="18"/>
              </w:rPr>
            </w:pPr>
            <w:r w:rsidRPr="00AA0841">
              <w:rPr>
                <w:rFonts w:cstheme="minorHAnsi"/>
                <w:bCs/>
                <w:color w:val="000000" w:themeColor="text1"/>
                <w:sz w:val="18"/>
                <w:szCs w:val="18"/>
              </w:rPr>
              <w:t>Aquatic ecosystem function</w:t>
            </w:r>
          </w:p>
        </w:tc>
        <w:tc>
          <w:tcPr>
            <w:tcW w:w="3969" w:type="dxa"/>
            <w:tcBorders>
              <w:bottom w:val="single" w:sz="12" w:space="0" w:color="auto"/>
            </w:tcBorders>
            <w:shd w:val="clear" w:color="auto" w:fill="auto"/>
          </w:tcPr>
          <w:p w14:paraId="0CFFCB00" w14:textId="77777777" w:rsidR="00AA0841" w:rsidRPr="00AA0841" w:rsidRDefault="00AA0841" w:rsidP="00AA0841">
            <w:pPr>
              <w:spacing w:before="120"/>
              <w:rPr>
                <w:rFonts w:cstheme="minorHAnsi"/>
                <w:b/>
                <w:noProof/>
                <w:color w:val="000000" w:themeColor="text1"/>
                <w:sz w:val="18"/>
                <w:szCs w:val="18"/>
              </w:rPr>
            </w:pPr>
            <w:r w:rsidRPr="00AA0841">
              <w:rPr>
                <w:rFonts w:cstheme="minorHAnsi"/>
                <w:b/>
                <w:noProof/>
                <w:color w:val="000000" w:themeColor="text1"/>
                <w:sz w:val="18"/>
                <w:szCs w:val="18"/>
              </w:rPr>
              <w:t>Large fresh (LF):</w:t>
            </w:r>
          </w:p>
          <w:p w14:paraId="4C1B6450" w14:textId="77777777" w:rsidR="00AA0841" w:rsidRPr="00AA0841" w:rsidRDefault="00AA0841" w:rsidP="00AA0841">
            <w:pPr>
              <w:spacing w:before="120"/>
              <w:rPr>
                <w:rFonts w:cstheme="minorHAnsi"/>
                <w:bCs/>
                <w:noProof/>
                <w:color w:val="000000" w:themeColor="text1"/>
                <w:sz w:val="18"/>
                <w:szCs w:val="18"/>
              </w:rPr>
            </w:pPr>
            <w:r w:rsidRPr="00AA0841">
              <w:rPr>
                <w:rFonts w:cstheme="minorHAnsi"/>
                <w:bCs/>
                <w:noProof/>
                <w:color w:val="000000" w:themeColor="text1"/>
                <w:sz w:val="18"/>
                <w:szCs w:val="18"/>
              </w:rPr>
              <w:t xml:space="preserve">LF1: for at least 5 days in Jul–Sept (but can occur at any time) for </w:t>
            </w:r>
            <w:r w:rsidRPr="00AA0841">
              <w:rPr>
                <w:rFonts w:cstheme="minorHAnsi"/>
                <w:noProof/>
                <w:color w:val="000000" w:themeColor="text1"/>
                <w:sz w:val="18"/>
                <w:szCs w:val="18"/>
              </w:rPr>
              <w:t>native fish condition and dispersal</w:t>
            </w:r>
          </w:p>
          <w:p w14:paraId="51E43C6F" w14:textId="77777777" w:rsidR="00AA0841" w:rsidRPr="00AA0841" w:rsidRDefault="00AA0841" w:rsidP="005D79EF">
            <w:pPr>
              <w:numPr>
                <w:ilvl w:val="0"/>
                <w:numId w:val="35"/>
              </w:numPr>
              <w:spacing w:after="0"/>
              <w:ind w:left="210" w:hanging="210"/>
              <w:rPr>
                <w:rFonts w:cstheme="minorHAnsi"/>
                <w:color w:val="000000" w:themeColor="text1"/>
                <w:sz w:val="18"/>
                <w:szCs w:val="18"/>
              </w:rPr>
            </w:pPr>
            <w:r w:rsidRPr="00AA0841">
              <w:rPr>
                <w:rFonts w:cstheme="minorHAnsi"/>
                <w:color w:val="000000" w:themeColor="text1"/>
                <w:sz w:val="18"/>
                <w:szCs w:val="18"/>
              </w:rPr>
              <w:t xml:space="preserve">&gt;1 500 ML/d d/s Combadello </w:t>
            </w:r>
          </w:p>
          <w:p w14:paraId="3BEF5354" w14:textId="77777777" w:rsidR="00AA0841" w:rsidRPr="00AA0841" w:rsidRDefault="00AA0841" w:rsidP="005D79EF">
            <w:pPr>
              <w:numPr>
                <w:ilvl w:val="0"/>
                <w:numId w:val="35"/>
              </w:numPr>
              <w:spacing w:after="0"/>
              <w:ind w:left="210" w:hanging="210"/>
              <w:rPr>
                <w:rFonts w:cstheme="minorHAnsi"/>
                <w:color w:val="000000" w:themeColor="text1"/>
                <w:sz w:val="18"/>
                <w:szCs w:val="18"/>
              </w:rPr>
            </w:pPr>
            <w:r w:rsidRPr="00AA0841">
              <w:rPr>
                <w:rFonts w:cstheme="minorHAnsi"/>
                <w:color w:val="000000" w:themeColor="text1"/>
                <w:sz w:val="18"/>
                <w:szCs w:val="18"/>
              </w:rPr>
              <w:t>&gt;850 ML/d d/s Gundare</w:t>
            </w:r>
          </w:p>
          <w:p w14:paraId="675C91A8" w14:textId="77777777" w:rsidR="00AA0841" w:rsidRPr="00AA0841" w:rsidRDefault="00AA0841" w:rsidP="00AA0841">
            <w:pPr>
              <w:spacing w:before="120"/>
              <w:rPr>
                <w:rFonts w:cstheme="minorHAnsi"/>
                <w:bCs/>
                <w:noProof/>
                <w:color w:val="000000" w:themeColor="text1"/>
                <w:sz w:val="18"/>
                <w:szCs w:val="18"/>
              </w:rPr>
            </w:pPr>
            <w:r w:rsidRPr="00AA0841">
              <w:rPr>
                <w:rFonts w:cstheme="minorHAnsi"/>
                <w:bCs/>
                <w:noProof/>
                <w:color w:val="000000" w:themeColor="text1"/>
                <w:sz w:val="18"/>
                <w:szCs w:val="18"/>
              </w:rPr>
              <w:t>LF2: for at least 5 days in Oct–Apr for spawning of flow specialists</w:t>
            </w:r>
          </w:p>
          <w:p w14:paraId="654CD98F" w14:textId="77777777" w:rsidR="00AA0841" w:rsidRPr="00AA0841" w:rsidRDefault="00AA0841" w:rsidP="005D79EF">
            <w:pPr>
              <w:numPr>
                <w:ilvl w:val="0"/>
                <w:numId w:val="35"/>
              </w:numPr>
              <w:spacing w:after="0"/>
              <w:ind w:left="210" w:hanging="210"/>
              <w:rPr>
                <w:rFonts w:cstheme="minorHAnsi"/>
                <w:color w:val="000000" w:themeColor="text1"/>
                <w:sz w:val="18"/>
                <w:szCs w:val="18"/>
              </w:rPr>
            </w:pPr>
            <w:r w:rsidRPr="00AA0841">
              <w:rPr>
                <w:rFonts w:cstheme="minorHAnsi"/>
                <w:bCs/>
                <w:noProof/>
                <w:color w:val="000000" w:themeColor="text1"/>
                <w:sz w:val="18"/>
                <w:szCs w:val="18"/>
              </w:rPr>
              <w:t>&gt;</w:t>
            </w:r>
            <w:r w:rsidRPr="00AA0841">
              <w:rPr>
                <w:rFonts w:cstheme="minorHAnsi"/>
                <w:color w:val="000000" w:themeColor="text1"/>
                <w:sz w:val="18"/>
                <w:szCs w:val="18"/>
              </w:rPr>
              <w:t>1 500 ML/d d/s Combadello</w:t>
            </w:r>
          </w:p>
          <w:p w14:paraId="504322A2" w14:textId="77777777" w:rsidR="00AA0841" w:rsidRPr="00AA0841" w:rsidRDefault="00AA0841" w:rsidP="005D79EF">
            <w:pPr>
              <w:numPr>
                <w:ilvl w:val="0"/>
                <w:numId w:val="35"/>
              </w:numPr>
              <w:spacing w:after="0"/>
              <w:ind w:left="210" w:hanging="210"/>
              <w:rPr>
                <w:rFonts w:cstheme="minorHAnsi"/>
                <w:bCs/>
                <w:noProof/>
                <w:color w:val="000000" w:themeColor="text1"/>
                <w:sz w:val="18"/>
                <w:szCs w:val="18"/>
              </w:rPr>
            </w:pPr>
            <w:r w:rsidRPr="00AA0841">
              <w:rPr>
                <w:rFonts w:cstheme="minorHAnsi"/>
                <w:color w:val="000000" w:themeColor="text1"/>
                <w:sz w:val="18"/>
                <w:szCs w:val="18"/>
              </w:rPr>
              <w:t>&gt;850 ML/d d/s Gundare</w:t>
            </w:r>
          </w:p>
        </w:tc>
        <w:tc>
          <w:tcPr>
            <w:tcW w:w="1418" w:type="dxa"/>
            <w:tcBorders>
              <w:bottom w:val="single" w:sz="12" w:space="0" w:color="auto"/>
            </w:tcBorders>
            <w:shd w:val="clear" w:color="auto" w:fill="auto"/>
          </w:tcPr>
          <w:p w14:paraId="3A9478F8" w14:textId="77777777" w:rsidR="00AA0841" w:rsidRPr="00AA0841" w:rsidRDefault="00AA0841" w:rsidP="00AA0841">
            <w:pPr>
              <w:spacing w:after="0"/>
              <w:rPr>
                <w:rFonts w:cstheme="minorHAnsi"/>
                <w:color w:val="000000" w:themeColor="text1"/>
                <w:sz w:val="18"/>
                <w:szCs w:val="18"/>
              </w:rPr>
            </w:pPr>
          </w:p>
          <w:p w14:paraId="6CF18CF2"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LF1: 5–10 in 10 years</w:t>
            </w:r>
          </w:p>
          <w:p w14:paraId="09B90B5D"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(Max. interval: 2 years)</w:t>
            </w:r>
          </w:p>
          <w:p w14:paraId="1AF5B48C" w14:textId="77777777" w:rsidR="00AA0841" w:rsidRPr="00AA0841" w:rsidRDefault="00AA0841" w:rsidP="00AA0841">
            <w:pPr>
              <w:spacing w:after="0"/>
              <w:rPr>
                <w:rFonts w:cstheme="minorHAnsi"/>
                <w:color w:val="000000" w:themeColor="text1"/>
                <w:sz w:val="18"/>
                <w:szCs w:val="18"/>
              </w:rPr>
            </w:pPr>
          </w:p>
          <w:p w14:paraId="5F1C1674" w14:textId="77777777" w:rsidR="00AA0841" w:rsidRPr="00AA0841" w:rsidRDefault="00AA0841" w:rsidP="00AA0841">
            <w:pPr>
              <w:spacing w:after="0"/>
              <w:rPr>
                <w:rFonts w:cstheme="minorHAnsi"/>
                <w:color w:val="000000" w:themeColor="text1"/>
                <w:sz w:val="18"/>
                <w:szCs w:val="18"/>
              </w:rPr>
            </w:pPr>
          </w:p>
          <w:p w14:paraId="539657CD" w14:textId="77777777" w:rsidR="00AA0841" w:rsidRPr="00AA0841" w:rsidRDefault="00AA0841" w:rsidP="00AA0841">
            <w:pPr>
              <w:spacing w:after="0"/>
              <w:rPr>
                <w:rFonts w:cstheme="minorHAnsi"/>
                <w:color w:val="000000" w:themeColor="text1"/>
                <w:sz w:val="18"/>
                <w:szCs w:val="18"/>
              </w:rPr>
            </w:pPr>
          </w:p>
          <w:p w14:paraId="49B33062"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LF2: 3–5 in 10 years</w:t>
            </w:r>
          </w:p>
          <w:p w14:paraId="7A54026E"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(Max. interval: 4 years)</w:t>
            </w:r>
          </w:p>
        </w:tc>
        <w:tc>
          <w:tcPr>
            <w:tcW w:w="5953" w:type="dxa"/>
            <w:tcBorders>
              <w:bottom w:val="single" w:sz="12" w:space="0" w:color="auto"/>
            </w:tcBorders>
            <w:shd w:val="clear" w:color="auto" w:fill="auto"/>
          </w:tcPr>
          <w:p w14:paraId="03EE2635" w14:textId="77777777" w:rsidR="00AA0841" w:rsidRPr="00AA0841" w:rsidRDefault="00AA0841" w:rsidP="00AA0841">
            <w:pPr>
              <w:spacing w:before="120"/>
              <w:rPr>
                <w:rFonts w:cstheme="minorHAnsi"/>
                <w:sz w:val="18"/>
                <w:szCs w:val="18"/>
              </w:rPr>
            </w:pPr>
            <w:r w:rsidRPr="00AA0841">
              <w:rPr>
                <w:rFonts w:cstheme="minorHAnsi"/>
                <w:sz w:val="18"/>
                <w:szCs w:val="18"/>
              </w:rPr>
              <w:t xml:space="preserve">Flow targets for large freshes along the Mehi River require large unregulated flows to pass the full length of the system. Each large fresh flow target has occurred once in the previous 4 years.   </w:t>
            </w:r>
          </w:p>
          <w:p w14:paraId="623C76A0" w14:textId="77777777" w:rsidR="00AA0841" w:rsidRPr="00AA0841" w:rsidRDefault="00AA0841" w:rsidP="00AA0841">
            <w:pPr>
              <w:spacing w:before="120"/>
              <w:rPr>
                <w:rFonts w:cstheme="minorHAnsi"/>
                <w:bCs/>
                <w:color w:val="000000" w:themeColor="text1"/>
                <w:sz w:val="18"/>
                <w:szCs w:val="18"/>
              </w:rPr>
            </w:pPr>
            <w:r w:rsidRPr="00AA0841">
              <w:rPr>
                <w:rFonts w:cstheme="minorHAnsi"/>
                <w:bCs/>
                <w:color w:val="000000" w:themeColor="text1"/>
                <w:sz w:val="18"/>
                <w:szCs w:val="18"/>
              </w:rPr>
              <w:t>Given the desired frequency range, the demand for large fresh events along the Mehi River was assessed as high.</w:t>
            </w:r>
          </w:p>
        </w:tc>
        <w:tc>
          <w:tcPr>
            <w:tcW w:w="1843" w:type="dxa"/>
            <w:tcBorders>
              <w:bottom w:val="single" w:sz="12" w:space="0" w:color="auto"/>
            </w:tcBorders>
            <w:shd w:val="clear" w:color="auto" w:fill="FF0000"/>
            <w:vAlign w:val="center"/>
          </w:tcPr>
          <w:p w14:paraId="449FBAE1"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High</w:t>
            </w:r>
          </w:p>
        </w:tc>
        <w:tc>
          <w:tcPr>
            <w:tcW w:w="3119" w:type="dxa"/>
            <w:tcBorders>
              <w:bottom w:val="single" w:sz="12" w:space="0" w:color="auto"/>
            </w:tcBorders>
            <w:shd w:val="clear" w:color="auto" w:fill="95B3D7" w:themeFill="accent1" w:themeFillTint="99"/>
            <w:vAlign w:val="center"/>
          </w:tcPr>
          <w:p w14:paraId="3ED13303"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Reliant on the use of supplementary entitlements to protect natural flow events</w:t>
            </w:r>
          </w:p>
        </w:tc>
        <w:tc>
          <w:tcPr>
            <w:tcW w:w="2268" w:type="dxa"/>
            <w:tcBorders>
              <w:bottom w:val="single" w:sz="12" w:space="0" w:color="auto"/>
              <w:right w:val="single" w:sz="12" w:space="0" w:color="auto"/>
            </w:tcBorders>
            <w:shd w:val="clear" w:color="auto" w:fill="FF0000"/>
            <w:vAlign w:val="center"/>
          </w:tcPr>
          <w:p w14:paraId="7A9EDBCB"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High</w:t>
            </w:r>
          </w:p>
        </w:tc>
      </w:tr>
      <w:tr w:rsidR="00AA0841" w:rsidRPr="00AA0841" w14:paraId="61316294" w14:textId="77777777" w:rsidTr="00AA0841">
        <w:trPr>
          <w:trHeight w:val="461"/>
        </w:trPr>
        <w:tc>
          <w:tcPr>
            <w:tcW w:w="1843" w:type="dxa"/>
            <w:vMerge w:val="restart"/>
            <w:tcBorders>
              <w:top w:val="single" w:sz="12" w:space="0" w:color="auto"/>
              <w:left w:val="single" w:sz="12" w:space="0" w:color="auto"/>
            </w:tcBorders>
          </w:tcPr>
          <w:p w14:paraId="5E731756" w14:textId="77777777" w:rsidR="00AA0841" w:rsidRPr="00AA0841" w:rsidRDefault="00AA0841" w:rsidP="00AA0841">
            <w:pPr>
              <w:spacing w:before="120"/>
              <w:rPr>
                <w:rFonts w:cstheme="minorHAnsi"/>
                <w:b/>
                <w:color w:val="000000" w:themeColor="text1"/>
                <w:sz w:val="18"/>
                <w:szCs w:val="18"/>
              </w:rPr>
            </w:pPr>
            <w:r w:rsidRPr="00AA0841">
              <w:rPr>
                <w:rFonts w:cstheme="minorHAnsi"/>
                <w:b/>
                <w:color w:val="000000" w:themeColor="text1"/>
                <w:sz w:val="18"/>
                <w:szCs w:val="18"/>
              </w:rPr>
              <w:lastRenderedPageBreak/>
              <w:t>Gwydir River Downstream of Copeton Dam</w:t>
            </w:r>
          </w:p>
          <w:p w14:paraId="0053146A"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Native fish habitat, spawning and recruitment</w:t>
            </w:r>
          </w:p>
          <w:p w14:paraId="0E42D5A4"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In-stream aquatic ecosystems</w:t>
            </w:r>
          </w:p>
          <w:p w14:paraId="350AB1B9"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Reaches within the system contain important values for the Gomeroi local Aboriginal community</w:t>
            </w:r>
          </w:p>
          <w:p w14:paraId="7650D070" w14:textId="77777777" w:rsidR="00AA0841" w:rsidRPr="00AA0841" w:rsidRDefault="00AA0841" w:rsidP="00AA0841">
            <w:pPr>
              <w:spacing w:before="120" w:after="0"/>
              <w:rPr>
                <w:rFonts w:cstheme="minorHAnsi"/>
                <w:b/>
                <w:color w:val="FF0000"/>
                <w:sz w:val="18"/>
                <w:szCs w:val="18"/>
              </w:rPr>
            </w:pPr>
          </w:p>
        </w:tc>
        <w:tc>
          <w:tcPr>
            <w:tcW w:w="1559" w:type="dxa"/>
            <w:tcBorders>
              <w:top w:val="single" w:sz="12" w:space="0" w:color="auto"/>
            </w:tcBorders>
            <w:shd w:val="clear" w:color="auto" w:fill="auto"/>
          </w:tcPr>
          <w:p w14:paraId="155960FC" w14:textId="77777777" w:rsidR="00AA0841" w:rsidRPr="00AA0841" w:rsidRDefault="00AA0841" w:rsidP="00AA0841">
            <w:pPr>
              <w:spacing w:before="120"/>
              <w:rPr>
                <w:rFonts w:cstheme="minorHAnsi"/>
                <w:color w:val="000000" w:themeColor="text1"/>
                <w:sz w:val="18"/>
                <w:szCs w:val="18"/>
              </w:rPr>
            </w:pPr>
            <w:r w:rsidRPr="00AA0841">
              <w:rPr>
                <w:rFonts w:cstheme="minorHAnsi"/>
                <w:bCs/>
                <w:color w:val="000000" w:themeColor="text1"/>
                <w:sz w:val="18"/>
                <w:szCs w:val="18"/>
              </w:rPr>
              <w:t>Refuge habitat</w:t>
            </w:r>
          </w:p>
          <w:p w14:paraId="20EA669C" w14:textId="77777777" w:rsidR="00AA0841" w:rsidRPr="00AA0841" w:rsidRDefault="00AA0841" w:rsidP="00AA0841">
            <w:pPr>
              <w:spacing w:before="120"/>
              <w:rPr>
                <w:rFonts w:cstheme="minorHAnsi"/>
                <w:bCs/>
                <w:color w:val="000000" w:themeColor="text1"/>
                <w:sz w:val="18"/>
                <w:szCs w:val="18"/>
              </w:rPr>
            </w:pPr>
            <w:r w:rsidRPr="00AA0841">
              <w:rPr>
                <w:rFonts w:cstheme="minorHAnsi"/>
                <w:bCs/>
                <w:color w:val="000000" w:themeColor="text1"/>
                <w:sz w:val="18"/>
                <w:szCs w:val="18"/>
              </w:rPr>
              <w:t>Native fish survival</w:t>
            </w:r>
          </w:p>
          <w:p w14:paraId="5B6F37F3" w14:textId="77777777" w:rsidR="00AA0841" w:rsidRPr="00AA0841" w:rsidRDefault="00AA0841" w:rsidP="00AA0841">
            <w:pPr>
              <w:spacing w:before="120"/>
              <w:rPr>
                <w:rFonts w:cstheme="minorHAnsi"/>
                <w:b/>
                <w:color w:val="000000" w:themeColor="text1"/>
                <w:sz w:val="18"/>
                <w:szCs w:val="18"/>
              </w:rPr>
            </w:pPr>
            <w:r w:rsidRPr="00AA0841">
              <w:rPr>
                <w:rFonts w:cstheme="minorHAnsi"/>
                <w:bCs/>
                <w:color w:val="000000" w:themeColor="text1"/>
                <w:sz w:val="18"/>
                <w:szCs w:val="18"/>
              </w:rPr>
              <w:t>Aquatic ecosystem function</w:t>
            </w:r>
          </w:p>
        </w:tc>
        <w:tc>
          <w:tcPr>
            <w:tcW w:w="3969" w:type="dxa"/>
            <w:tcBorders>
              <w:top w:val="single" w:sz="12" w:space="0" w:color="auto"/>
            </w:tcBorders>
            <w:shd w:val="clear" w:color="auto" w:fill="auto"/>
          </w:tcPr>
          <w:p w14:paraId="54C257D7" w14:textId="77777777" w:rsidR="00AA0841" w:rsidRPr="00AA0841" w:rsidRDefault="00AA0841" w:rsidP="00AA0841">
            <w:pPr>
              <w:spacing w:before="120"/>
              <w:rPr>
                <w:rFonts w:cstheme="minorHAnsi"/>
                <w:color w:val="FF0000"/>
                <w:sz w:val="18"/>
                <w:szCs w:val="18"/>
              </w:rPr>
            </w:pPr>
            <w:r w:rsidRPr="00AA0841">
              <w:rPr>
                <w:rFonts w:cstheme="minorHAnsi"/>
                <w:b/>
                <w:color w:val="000000" w:themeColor="text1"/>
                <w:sz w:val="18"/>
                <w:szCs w:val="18"/>
              </w:rPr>
              <w:t>Very low flow:</w:t>
            </w:r>
            <w:r w:rsidRPr="00AA0841">
              <w:rPr>
                <w:rFonts w:cstheme="minorHAnsi"/>
                <w:color w:val="000000" w:themeColor="text1"/>
                <w:sz w:val="18"/>
                <w:szCs w:val="18"/>
              </w:rPr>
              <w:t xml:space="preserve"> &gt;30 ML/d for at least 200 days at Gravesend. May occur at any time.</w:t>
            </w:r>
          </w:p>
        </w:tc>
        <w:tc>
          <w:tcPr>
            <w:tcW w:w="1418" w:type="dxa"/>
            <w:tcBorders>
              <w:top w:val="single" w:sz="12" w:space="0" w:color="auto"/>
            </w:tcBorders>
            <w:shd w:val="clear" w:color="auto" w:fill="auto"/>
          </w:tcPr>
          <w:p w14:paraId="3EB0C8E5" w14:textId="77777777" w:rsidR="00AA0841" w:rsidRPr="00AA0841" w:rsidRDefault="00AA0841" w:rsidP="00AA0841">
            <w:pPr>
              <w:spacing w:before="120" w:after="0"/>
              <w:rPr>
                <w:rFonts w:cstheme="minorHAnsi"/>
                <w:color w:val="000000" w:themeColor="text1"/>
                <w:sz w:val="18"/>
                <w:szCs w:val="18"/>
              </w:rPr>
            </w:pPr>
            <w:r w:rsidRPr="00AA0841">
              <w:rPr>
                <w:rFonts w:cstheme="minorHAnsi"/>
                <w:color w:val="000000" w:themeColor="text1"/>
                <w:sz w:val="18"/>
                <w:szCs w:val="18"/>
              </w:rPr>
              <w:t xml:space="preserve">Annually </w:t>
            </w:r>
          </w:p>
          <w:p w14:paraId="1F17C15A"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(Max. interval: 1 year)</w:t>
            </w:r>
          </w:p>
        </w:tc>
        <w:tc>
          <w:tcPr>
            <w:tcW w:w="5953" w:type="dxa"/>
            <w:tcBorders>
              <w:top w:val="single" w:sz="12" w:space="0" w:color="auto"/>
            </w:tcBorders>
            <w:shd w:val="clear" w:color="auto" w:fill="auto"/>
          </w:tcPr>
          <w:p w14:paraId="6D614A19" w14:textId="77777777" w:rsidR="00AA0841" w:rsidRPr="00AA0841" w:rsidRDefault="00AA0841" w:rsidP="00AA0841">
            <w:pPr>
              <w:spacing w:before="120"/>
              <w:rPr>
                <w:rFonts w:cstheme="minorHAnsi"/>
                <w:bCs/>
                <w:sz w:val="18"/>
                <w:szCs w:val="18"/>
              </w:rPr>
            </w:pPr>
            <w:r w:rsidRPr="00AA0841">
              <w:rPr>
                <w:rFonts w:cstheme="minorHAnsi"/>
                <w:bCs/>
                <w:sz w:val="18"/>
                <w:szCs w:val="18"/>
              </w:rPr>
              <w:t xml:space="preserve">The very low flow target is generally met by water delivered for a variety of purposes and has been met in 2 out of the last 3 years.  </w:t>
            </w:r>
          </w:p>
          <w:p w14:paraId="486487F5" w14:textId="77777777" w:rsidR="00AA0841" w:rsidRPr="00AA0841" w:rsidRDefault="00AA0841" w:rsidP="00AA0841">
            <w:pPr>
              <w:spacing w:before="120"/>
              <w:rPr>
                <w:rFonts w:cstheme="minorHAnsi"/>
                <w:bCs/>
                <w:sz w:val="18"/>
                <w:szCs w:val="18"/>
              </w:rPr>
            </w:pPr>
            <w:r w:rsidRPr="00AA0841">
              <w:rPr>
                <w:rFonts w:cstheme="minorHAnsi"/>
                <w:bCs/>
                <w:sz w:val="18"/>
                <w:szCs w:val="18"/>
              </w:rPr>
              <w:t xml:space="preserve">The very dry conditions experienced during 2019–20 and implementation of drought management strategies for the Gwydir system meant the target was unable to be met last year.  </w:t>
            </w:r>
          </w:p>
          <w:p w14:paraId="53C0AAFA" w14:textId="77777777" w:rsidR="00AA0841" w:rsidRPr="00AA0841" w:rsidRDefault="00AA0841" w:rsidP="00AA0841">
            <w:pPr>
              <w:spacing w:before="120"/>
              <w:rPr>
                <w:rFonts w:cstheme="minorHAnsi"/>
                <w:bCs/>
                <w:sz w:val="18"/>
                <w:szCs w:val="18"/>
              </w:rPr>
            </w:pPr>
            <w:r w:rsidRPr="00AA0841">
              <w:rPr>
                <w:rFonts w:cstheme="minorHAnsi"/>
                <w:sz w:val="18"/>
                <w:szCs w:val="18"/>
              </w:rPr>
              <w:t xml:space="preserve">Feb–March rainfall events have moved the Gwydir system away from the dry or very dry conditions experienced over the last two water years. If recent rainfall patterns are maintained during 2020–21, current </w:t>
            </w:r>
            <w:r w:rsidRPr="00AA0841">
              <w:rPr>
                <w:rFonts w:cstheme="minorHAnsi"/>
                <w:bCs/>
                <w:sz w:val="18"/>
                <w:szCs w:val="18"/>
              </w:rPr>
              <w:t>drought management strategies are likely be relaxed, making it easier to attain the flow target.</w:t>
            </w:r>
          </w:p>
        </w:tc>
        <w:tc>
          <w:tcPr>
            <w:tcW w:w="1843" w:type="dxa"/>
            <w:tcBorders>
              <w:top w:val="single" w:sz="12" w:space="0" w:color="auto"/>
            </w:tcBorders>
            <w:shd w:val="clear" w:color="auto" w:fill="FFC000"/>
            <w:vAlign w:val="center"/>
          </w:tcPr>
          <w:p w14:paraId="216C2505"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 xml:space="preserve">Moderate to High </w:t>
            </w:r>
          </w:p>
        </w:tc>
        <w:tc>
          <w:tcPr>
            <w:tcW w:w="3119" w:type="dxa"/>
            <w:tcBorders>
              <w:top w:val="single" w:sz="12" w:space="0" w:color="auto"/>
            </w:tcBorders>
            <w:shd w:val="clear" w:color="auto" w:fill="95B3D7" w:themeFill="accent1" w:themeFillTint="99"/>
            <w:vAlign w:val="center"/>
          </w:tcPr>
          <w:p w14:paraId="4CD4EF62" w14:textId="77777777" w:rsidR="00AA0841" w:rsidRPr="00AA0841" w:rsidRDefault="00AA0841" w:rsidP="00AA0841">
            <w:pPr>
              <w:spacing w:before="120"/>
              <w:jc w:val="center"/>
              <w:rPr>
                <w:rFonts w:cstheme="minorHAnsi"/>
                <w:color w:val="auto"/>
                <w:sz w:val="18"/>
                <w:szCs w:val="18"/>
              </w:rPr>
            </w:pPr>
            <w:r w:rsidRPr="00AA0841">
              <w:rPr>
                <w:rFonts w:cstheme="minorHAnsi"/>
                <w:color w:val="auto"/>
                <w:sz w:val="18"/>
                <w:szCs w:val="18"/>
              </w:rPr>
              <w:t>A secondary priority for CEW, as this demand is likely to be met through the delivery of water to meet other downstream demands, depending on conditions and water availability.</w:t>
            </w:r>
          </w:p>
        </w:tc>
        <w:tc>
          <w:tcPr>
            <w:tcW w:w="2268" w:type="dxa"/>
            <w:tcBorders>
              <w:top w:val="single" w:sz="12" w:space="0" w:color="auto"/>
              <w:right w:val="single" w:sz="12" w:space="0" w:color="auto"/>
            </w:tcBorders>
            <w:shd w:val="clear" w:color="auto" w:fill="FFC000"/>
            <w:vAlign w:val="center"/>
          </w:tcPr>
          <w:p w14:paraId="1FF04FC8"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Moderate</w:t>
            </w:r>
          </w:p>
        </w:tc>
      </w:tr>
      <w:tr w:rsidR="00AA0841" w:rsidRPr="00AA0841" w:rsidDel="00C233E4" w14:paraId="12CC5CDC" w14:textId="77777777" w:rsidTr="00AA0841">
        <w:trPr>
          <w:trHeight w:val="461"/>
        </w:trPr>
        <w:tc>
          <w:tcPr>
            <w:tcW w:w="1843" w:type="dxa"/>
            <w:vMerge/>
            <w:tcBorders>
              <w:left w:val="single" w:sz="12" w:space="0" w:color="auto"/>
            </w:tcBorders>
            <w:vAlign w:val="center"/>
          </w:tcPr>
          <w:p w14:paraId="3E9FA713" w14:textId="77777777" w:rsidR="00AA0841" w:rsidRPr="00AA0841" w:rsidRDefault="00AA0841" w:rsidP="00AA0841">
            <w:pPr>
              <w:spacing w:before="120" w:after="0"/>
              <w:rPr>
                <w:rFonts w:cstheme="minorHAnsi"/>
                <w:b/>
                <w:color w:val="000000" w:themeColor="text1"/>
                <w:sz w:val="18"/>
                <w:szCs w:val="18"/>
              </w:rPr>
            </w:pPr>
          </w:p>
        </w:tc>
        <w:tc>
          <w:tcPr>
            <w:tcW w:w="1559" w:type="dxa"/>
            <w:shd w:val="clear" w:color="auto" w:fill="auto"/>
            <w:vAlign w:val="center"/>
          </w:tcPr>
          <w:p w14:paraId="0DD95F8B" w14:textId="77777777" w:rsidR="00AA0841" w:rsidRPr="00AA0841" w:rsidRDefault="00AA0841" w:rsidP="00AA0841">
            <w:pPr>
              <w:rPr>
                <w:rFonts w:cstheme="minorHAnsi"/>
                <w:bCs/>
                <w:color w:val="000000" w:themeColor="text1"/>
                <w:sz w:val="18"/>
                <w:szCs w:val="18"/>
              </w:rPr>
            </w:pPr>
            <w:r w:rsidRPr="00AA0841">
              <w:rPr>
                <w:rFonts w:cstheme="minorHAnsi"/>
                <w:color w:val="000000" w:themeColor="text1"/>
                <w:sz w:val="18"/>
                <w:szCs w:val="18"/>
              </w:rPr>
              <w:t>Native fish movement, condition and recruitment (in-channel specialists and generalists, e.g. Murray cod)</w:t>
            </w:r>
          </w:p>
          <w:p w14:paraId="67331097" w14:textId="77777777" w:rsidR="00AA0841" w:rsidRPr="00AA0841" w:rsidRDefault="00AA0841" w:rsidP="00AA0841">
            <w:pPr>
              <w:rPr>
                <w:rFonts w:cstheme="minorHAnsi"/>
                <w:bCs/>
                <w:color w:val="000000" w:themeColor="text1"/>
                <w:sz w:val="18"/>
                <w:szCs w:val="18"/>
              </w:rPr>
            </w:pPr>
            <w:r w:rsidRPr="00AA0841">
              <w:rPr>
                <w:rFonts w:cstheme="minorHAnsi"/>
                <w:bCs/>
                <w:color w:val="000000" w:themeColor="text1"/>
                <w:sz w:val="18"/>
                <w:szCs w:val="18"/>
              </w:rPr>
              <w:t>Native vegetation</w:t>
            </w:r>
          </w:p>
          <w:p w14:paraId="2D105A6E" w14:textId="77777777" w:rsidR="00AA0841" w:rsidRPr="00AA0841" w:rsidDel="00A35515" w:rsidRDefault="00AA0841" w:rsidP="00AA0841">
            <w:pPr>
              <w:rPr>
                <w:rFonts w:cstheme="minorHAnsi"/>
                <w:color w:val="000000" w:themeColor="text1"/>
                <w:sz w:val="18"/>
                <w:szCs w:val="18"/>
              </w:rPr>
            </w:pPr>
            <w:r w:rsidRPr="00AA0841">
              <w:rPr>
                <w:rFonts w:cstheme="minorHAnsi"/>
                <w:bCs/>
                <w:color w:val="000000" w:themeColor="text1"/>
                <w:sz w:val="18"/>
                <w:szCs w:val="18"/>
              </w:rPr>
              <w:t>Aquatic ecosystem function</w:t>
            </w:r>
          </w:p>
        </w:tc>
        <w:tc>
          <w:tcPr>
            <w:tcW w:w="3969" w:type="dxa"/>
            <w:shd w:val="clear" w:color="auto" w:fill="auto"/>
          </w:tcPr>
          <w:p w14:paraId="676A052D" w14:textId="77777777" w:rsidR="00AA0841" w:rsidRPr="00AA0841" w:rsidRDefault="00AA0841" w:rsidP="00AA0841">
            <w:pPr>
              <w:spacing w:before="120"/>
              <w:rPr>
                <w:rFonts w:cstheme="minorHAnsi"/>
                <w:noProof/>
                <w:color w:val="000000" w:themeColor="text1"/>
                <w:sz w:val="18"/>
                <w:szCs w:val="18"/>
              </w:rPr>
            </w:pPr>
            <w:r w:rsidRPr="00AA0841">
              <w:rPr>
                <w:rFonts w:cstheme="minorHAnsi"/>
                <w:b/>
                <w:color w:val="000000" w:themeColor="text1"/>
                <w:sz w:val="18"/>
                <w:szCs w:val="18"/>
              </w:rPr>
              <w:t>Baseflow (BF):</w:t>
            </w:r>
            <w:r w:rsidRPr="00AA0841">
              <w:rPr>
                <w:rFonts w:cstheme="minorHAnsi"/>
                <w:color w:val="000000" w:themeColor="text1"/>
                <w:sz w:val="18"/>
                <w:szCs w:val="18"/>
              </w:rPr>
              <w:t xml:space="preserve"> </w:t>
            </w:r>
          </w:p>
          <w:p w14:paraId="695579AB"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BF1</w:t>
            </w:r>
            <w:r w:rsidRPr="00AA0841">
              <w:rPr>
                <w:rFonts w:cstheme="minorHAnsi"/>
                <w:noProof/>
                <w:color w:val="000000" w:themeColor="text1"/>
                <w:sz w:val="18"/>
                <w:szCs w:val="18"/>
              </w:rPr>
              <w:t>:</w:t>
            </w:r>
            <w:r w:rsidRPr="00AA0841">
              <w:rPr>
                <w:rFonts w:cstheme="minorHAnsi"/>
                <w:color w:val="000000" w:themeColor="text1"/>
                <w:sz w:val="18"/>
                <w:szCs w:val="18"/>
              </w:rPr>
              <w:t xml:space="preserve"> &gt;440 ML/d for at least 160 days at Gravesend, at any time (native fish movement and condition). </w:t>
            </w:r>
          </w:p>
          <w:p w14:paraId="0F298BA9" w14:textId="77777777" w:rsidR="00AA0841" w:rsidRPr="00AA0841" w:rsidRDefault="00AA0841" w:rsidP="00AA0841">
            <w:pPr>
              <w:spacing w:before="120"/>
              <w:rPr>
                <w:rFonts w:cstheme="minorHAnsi"/>
                <w:b/>
                <w:color w:val="000000" w:themeColor="text1"/>
                <w:sz w:val="18"/>
                <w:szCs w:val="18"/>
              </w:rPr>
            </w:pPr>
            <w:r w:rsidRPr="00AA0841">
              <w:rPr>
                <w:rFonts w:cstheme="minorHAnsi"/>
                <w:color w:val="000000" w:themeColor="text1"/>
                <w:sz w:val="18"/>
                <w:szCs w:val="18"/>
              </w:rPr>
              <w:t>BF2: &gt;440 ML/d at Gravesend for at least 100 days in Sept–Mar (recruitment of in-channel specialist and generalists).</w:t>
            </w:r>
          </w:p>
        </w:tc>
        <w:tc>
          <w:tcPr>
            <w:tcW w:w="1418" w:type="dxa"/>
            <w:shd w:val="clear" w:color="auto" w:fill="auto"/>
          </w:tcPr>
          <w:p w14:paraId="47DF9382" w14:textId="77777777" w:rsidR="00AA0841" w:rsidRPr="00AA0841" w:rsidRDefault="00AA0841" w:rsidP="00AA0841">
            <w:pPr>
              <w:spacing w:after="0"/>
              <w:rPr>
                <w:rFonts w:cstheme="minorHAnsi"/>
                <w:color w:val="000000" w:themeColor="text1"/>
                <w:sz w:val="18"/>
                <w:szCs w:val="18"/>
              </w:rPr>
            </w:pPr>
          </w:p>
          <w:p w14:paraId="672AB625" w14:textId="77777777" w:rsidR="00AA0841" w:rsidRPr="00AA0841" w:rsidRDefault="00AA0841" w:rsidP="00AA0841">
            <w:pPr>
              <w:spacing w:after="0"/>
              <w:rPr>
                <w:rFonts w:cstheme="minorHAnsi"/>
                <w:color w:val="000000" w:themeColor="text1"/>
                <w:sz w:val="18"/>
                <w:szCs w:val="18"/>
              </w:rPr>
            </w:pPr>
          </w:p>
          <w:p w14:paraId="6C9A9410"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BF1: Annually</w:t>
            </w:r>
          </w:p>
          <w:p w14:paraId="012F15DD"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(Max. interval: 1 year)</w:t>
            </w:r>
          </w:p>
          <w:p w14:paraId="06667011" w14:textId="77777777" w:rsidR="00AA0841" w:rsidRPr="00AA0841" w:rsidRDefault="00AA0841" w:rsidP="00AA0841">
            <w:pPr>
              <w:spacing w:after="0"/>
              <w:rPr>
                <w:rFonts w:cstheme="minorHAnsi"/>
                <w:color w:val="000000" w:themeColor="text1"/>
                <w:sz w:val="18"/>
                <w:szCs w:val="18"/>
              </w:rPr>
            </w:pPr>
          </w:p>
          <w:p w14:paraId="22E5F92C" w14:textId="77777777" w:rsidR="00AA0841" w:rsidRPr="00AA0841" w:rsidRDefault="00AA0841" w:rsidP="00AA0841">
            <w:pPr>
              <w:spacing w:after="0"/>
              <w:rPr>
                <w:rFonts w:cstheme="minorHAnsi"/>
                <w:color w:val="000000" w:themeColor="text1"/>
                <w:sz w:val="18"/>
                <w:szCs w:val="18"/>
              </w:rPr>
            </w:pPr>
          </w:p>
          <w:p w14:paraId="6B94C669"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BF2: 5–10 in 10 years</w:t>
            </w:r>
          </w:p>
          <w:p w14:paraId="458C9840"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(Max. interval: 2 years)</w:t>
            </w:r>
          </w:p>
        </w:tc>
        <w:tc>
          <w:tcPr>
            <w:tcW w:w="5953" w:type="dxa"/>
            <w:shd w:val="clear" w:color="auto" w:fill="auto"/>
          </w:tcPr>
          <w:p w14:paraId="3DB9B946"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The combination of timing and duration of required flows means that water for consumptive and environmental use as well as operational flows is required to meet the baseflow target.  </w:t>
            </w:r>
          </w:p>
          <w:p w14:paraId="19058D18"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 xml:space="preserve">Recent drought conditions mean that baseflow targets have only been met 1 out of the last 3 years (last met in 2017–18).    </w:t>
            </w:r>
          </w:p>
          <w:p w14:paraId="0502A352" w14:textId="77777777" w:rsidR="00AA0841" w:rsidRPr="00AA0841" w:rsidDel="00C233E4" w:rsidRDefault="00AA0841" w:rsidP="00AA0841">
            <w:pPr>
              <w:spacing w:before="120"/>
              <w:rPr>
                <w:rFonts w:cstheme="minorHAnsi"/>
                <w:color w:val="000000" w:themeColor="text1"/>
                <w:sz w:val="18"/>
                <w:szCs w:val="18"/>
              </w:rPr>
            </w:pPr>
            <w:r w:rsidRPr="00AA0841">
              <w:rPr>
                <w:rFonts w:cstheme="minorHAnsi"/>
                <w:sz w:val="18"/>
                <w:szCs w:val="18"/>
              </w:rPr>
              <w:t xml:space="preserve">Feb–March rainfall events have moved the Gwydir system towards more moderate flow conditions. If these conditions continue, </w:t>
            </w:r>
            <w:r w:rsidRPr="00AA0841">
              <w:rPr>
                <w:rFonts w:cstheme="minorHAnsi"/>
                <w:color w:val="000000" w:themeColor="text1"/>
                <w:sz w:val="18"/>
                <w:szCs w:val="18"/>
              </w:rPr>
              <w:t>water for consumptive and environmental use as well as operational flows are likely to meet the s</w:t>
            </w:r>
            <w:r w:rsidRPr="00AA0841">
              <w:rPr>
                <w:rFonts w:cstheme="minorHAnsi"/>
                <w:bCs/>
                <w:sz w:val="18"/>
                <w:szCs w:val="18"/>
              </w:rPr>
              <w:t xml:space="preserve">mall fresh flow targets during 2020–21. </w:t>
            </w:r>
            <w:r w:rsidRPr="00AA0841">
              <w:rPr>
                <w:rFonts w:cstheme="minorHAnsi"/>
                <w:color w:val="000000" w:themeColor="text1"/>
                <w:sz w:val="18"/>
                <w:szCs w:val="18"/>
              </w:rPr>
              <w:t xml:space="preserve">Overall </w:t>
            </w:r>
            <w:r w:rsidRPr="00AA0841">
              <w:rPr>
                <w:rFonts w:cstheme="minorHAnsi"/>
                <w:bCs/>
                <w:color w:val="000000" w:themeColor="text1"/>
                <w:sz w:val="18"/>
                <w:szCs w:val="18"/>
              </w:rPr>
              <w:t>the demand for baseflows downstream of Copeton Dam was assessed as high.</w:t>
            </w:r>
          </w:p>
        </w:tc>
        <w:tc>
          <w:tcPr>
            <w:tcW w:w="1843" w:type="dxa"/>
            <w:shd w:val="clear" w:color="auto" w:fill="FF0000"/>
            <w:vAlign w:val="center"/>
          </w:tcPr>
          <w:p w14:paraId="51402CD9" w14:textId="77777777" w:rsidR="00AA0841" w:rsidRPr="00AA0841" w:rsidDel="00C233E4" w:rsidRDefault="00AA0841" w:rsidP="00AA0841">
            <w:pPr>
              <w:spacing w:after="0"/>
              <w:jc w:val="center"/>
              <w:rPr>
                <w:rFonts w:cstheme="minorHAnsi"/>
                <w:color w:val="auto"/>
                <w:sz w:val="18"/>
                <w:szCs w:val="18"/>
              </w:rPr>
            </w:pPr>
            <w:r w:rsidRPr="00AA0841">
              <w:rPr>
                <w:rFonts w:cstheme="minorHAnsi"/>
                <w:color w:val="auto"/>
                <w:sz w:val="18"/>
                <w:szCs w:val="18"/>
              </w:rPr>
              <w:t>High</w:t>
            </w:r>
          </w:p>
        </w:tc>
        <w:tc>
          <w:tcPr>
            <w:tcW w:w="3119" w:type="dxa"/>
            <w:shd w:val="clear" w:color="auto" w:fill="A6A6A6" w:themeFill="background1" w:themeFillShade="A6"/>
            <w:vAlign w:val="center"/>
          </w:tcPr>
          <w:p w14:paraId="2605532E" w14:textId="77777777" w:rsidR="00AA0841" w:rsidRPr="00AA0841" w:rsidDel="00C233E4" w:rsidRDefault="00AA0841" w:rsidP="00AA0841">
            <w:pPr>
              <w:spacing w:before="60" w:after="60"/>
              <w:jc w:val="center"/>
              <w:rPr>
                <w:rFonts w:cstheme="minorHAnsi"/>
                <w:color w:val="auto"/>
                <w:sz w:val="18"/>
                <w:szCs w:val="18"/>
              </w:rPr>
            </w:pPr>
            <w:r w:rsidRPr="00AA0841">
              <w:rPr>
                <w:rFonts w:cstheme="minorHAnsi"/>
                <w:color w:val="auto"/>
                <w:sz w:val="18"/>
                <w:szCs w:val="18"/>
              </w:rPr>
              <w:t xml:space="preserve">Copeton Dam can regulate a high proportion flows from upstream systems. Demand unable to be met at desired frequency </w:t>
            </w:r>
          </w:p>
        </w:tc>
        <w:tc>
          <w:tcPr>
            <w:tcW w:w="2268" w:type="dxa"/>
            <w:tcBorders>
              <w:right w:val="single" w:sz="12" w:space="0" w:color="auto"/>
            </w:tcBorders>
            <w:shd w:val="clear" w:color="auto" w:fill="FFC000"/>
            <w:vAlign w:val="center"/>
          </w:tcPr>
          <w:p w14:paraId="3554D717" w14:textId="77777777" w:rsidR="00AA0841" w:rsidRPr="00AA0841" w:rsidDel="00C233E4" w:rsidRDefault="00AA0841" w:rsidP="00AA0841">
            <w:pPr>
              <w:spacing w:after="0"/>
              <w:jc w:val="center"/>
              <w:rPr>
                <w:rFonts w:cstheme="minorHAnsi"/>
                <w:color w:val="auto"/>
                <w:sz w:val="18"/>
                <w:szCs w:val="18"/>
              </w:rPr>
            </w:pPr>
            <w:r w:rsidRPr="00AA0841">
              <w:rPr>
                <w:rFonts w:cstheme="minorHAnsi"/>
                <w:color w:val="auto"/>
                <w:sz w:val="18"/>
                <w:szCs w:val="18"/>
              </w:rPr>
              <w:t>Moderate to High</w:t>
            </w:r>
          </w:p>
        </w:tc>
      </w:tr>
      <w:tr w:rsidR="00AA0841" w:rsidRPr="00AA0841" w:rsidDel="00C233E4" w14:paraId="6CB1F1E1" w14:textId="77777777" w:rsidTr="00AA0841">
        <w:trPr>
          <w:trHeight w:val="461"/>
        </w:trPr>
        <w:tc>
          <w:tcPr>
            <w:tcW w:w="1843" w:type="dxa"/>
            <w:vMerge/>
            <w:tcBorders>
              <w:left w:val="single" w:sz="12" w:space="0" w:color="auto"/>
              <w:bottom w:val="single" w:sz="12" w:space="0" w:color="auto"/>
            </w:tcBorders>
            <w:vAlign w:val="center"/>
          </w:tcPr>
          <w:p w14:paraId="45130CAF" w14:textId="77777777" w:rsidR="00AA0841" w:rsidRPr="00AA0841" w:rsidRDefault="00AA0841" w:rsidP="00AA0841">
            <w:pPr>
              <w:spacing w:before="120" w:after="0"/>
              <w:rPr>
                <w:rFonts w:cstheme="minorHAnsi"/>
                <w:b/>
                <w:color w:val="000000" w:themeColor="text1"/>
                <w:sz w:val="18"/>
                <w:szCs w:val="18"/>
              </w:rPr>
            </w:pPr>
          </w:p>
        </w:tc>
        <w:tc>
          <w:tcPr>
            <w:tcW w:w="1559" w:type="dxa"/>
            <w:tcBorders>
              <w:bottom w:val="single" w:sz="12" w:space="0" w:color="auto"/>
            </w:tcBorders>
            <w:shd w:val="clear" w:color="auto" w:fill="auto"/>
          </w:tcPr>
          <w:p w14:paraId="06DA6839" w14:textId="77777777" w:rsidR="00AA0841" w:rsidRPr="00AA0841" w:rsidRDefault="00AA0841" w:rsidP="00AA0841">
            <w:pPr>
              <w:rPr>
                <w:rFonts w:cstheme="minorHAnsi"/>
                <w:color w:val="000000" w:themeColor="text1"/>
                <w:sz w:val="18"/>
                <w:szCs w:val="18"/>
              </w:rPr>
            </w:pPr>
            <w:r w:rsidRPr="00AA0841">
              <w:rPr>
                <w:rFonts w:cstheme="minorHAnsi"/>
                <w:color w:val="000000" w:themeColor="text1"/>
                <w:sz w:val="18"/>
                <w:szCs w:val="18"/>
              </w:rPr>
              <w:t>Native fish dispersal and condition</w:t>
            </w:r>
          </w:p>
          <w:p w14:paraId="03DD1399" w14:textId="77777777" w:rsidR="00AA0841" w:rsidRPr="00AA0841" w:rsidRDefault="00AA0841" w:rsidP="00AA0841">
            <w:pPr>
              <w:spacing w:before="120"/>
              <w:rPr>
                <w:rFonts w:cstheme="minorHAnsi"/>
                <w:bCs/>
                <w:color w:val="000000" w:themeColor="text1"/>
                <w:sz w:val="18"/>
                <w:szCs w:val="18"/>
              </w:rPr>
            </w:pPr>
            <w:r w:rsidRPr="00AA0841">
              <w:rPr>
                <w:rFonts w:cstheme="minorHAnsi"/>
                <w:color w:val="000000" w:themeColor="text1"/>
                <w:sz w:val="18"/>
                <w:szCs w:val="18"/>
              </w:rPr>
              <w:t>Native fish spawning (in-channel specialists and generalists, e.g. Murray cod)</w:t>
            </w:r>
          </w:p>
          <w:p w14:paraId="53459399" w14:textId="77777777" w:rsidR="00AA0841" w:rsidRPr="00AA0841" w:rsidRDefault="00AA0841" w:rsidP="00AA0841">
            <w:pPr>
              <w:spacing w:before="120"/>
              <w:rPr>
                <w:rFonts w:cstheme="minorHAnsi"/>
                <w:bCs/>
                <w:color w:val="000000" w:themeColor="text1"/>
                <w:sz w:val="18"/>
                <w:szCs w:val="18"/>
              </w:rPr>
            </w:pPr>
            <w:r w:rsidRPr="00AA0841">
              <w:rPr>
                <w:rFonts w:cstheme="minorHAnsi"/>
                <w:bCs/>
                <w:color w:val="000000" w:themeColor="text1"/>
                <w:sz w:val="18"/>
                <w:szCs w:val="18"/>
              </w:rPr>
              <w:t>Native vegetation</w:t>
            </w:r>
          </w:p>
          <w:p w14:paraId="2F3C2535" w14:textId="77777777" w:rsidR="00AA0841" w:rsidRPr="00AA0841" w:rsidDel="00A35515" w:rsidRDefault="00AA0841" w:rsidP="00AA0841">
            <w:pPr>
              <w:spacing w:before="120"/>
              <w:rPr>
                <w:rFonts w:cstheme="minorHAnsi"/>
                <w:color w:val="000000" w:themeColor="text1"/>
                <w:sz w:val="18"/>
                <w:szCs w:val="18"/>
              </w:rPr>
            </w:pPr>
            <w:r w:rsidRPr="00AA0841">
              <w:rPr>
                <w:rFonts w:cstheme="minorHAnsi"/>
                <w:bCs/>
                <w:color w:val="000000" w:themeColor="text1"/>
                <w:sz w:val="18"/>
                <w:szCs w:val="18"/>
              </w:rPr>
              <w:t>Aquatic ecosystem function</w:t>
            </w:r>
          </w:p>
        </w:tc>
        <w:tc>
          <w:tcPr>
            <w:tcW w:w="3969" w:type="dxa"/>
            <w:tcBorders>
              <w:bottom w:val="single" w:sz="12" w:space="0" w:color="auto"/>
            </w:tcBorders>
            <w:shd w:val="clear" w:color="auto" w:fill="auto"/>
          </w:tcPr>
          <w:p w14:paraId="316C26D1" w14:textId="77777777" w:rsidR="00AA0841" w:rsidRPr="00AA0841" w:rsidRDefault="00AA0841" w:rsidP="00AA0841">
            <w:pPr>
              <w:rPr>
                <w:rFonts w:cstheme="minorHAnsi"/>
                <w:noProof/>
                <w:color w:val="000000" w:themeColor="text1"/>
                <w:sz w:val="18"/>
                <w:szCs w:val="18"/>
              </w:rPr>
            </w:pPr>
            <w:r w:rsidRPr="00AA0841">
              <w:rPr>
                <w:rFonts w:cstheme="minorHAnsi"/>
                <w:b/>
                <w:color w:val="000000" w:themeColor="text1"/>
                <w:sz w:val="18"/>
                <w:szCs w:val="18"/>
              </w:rPr>
              <w:t>Small fresh (SF):</w:t>
            </w:r>
            <w:r w:rsidRPr="00AA0841">
              <w:rPr>
                <w:rFonts w:cstheme="minorHAnsi"/>
                <w:color w:val="000000" w:themeColor="text1"/>
                <w:sz w:val="18"/>
                <w:szCs w:val="18"/>
              </w:rPr>
              <w:t xml:space="preserve"> </w:t>
            </w:r>
          </w:p>
          <w:p w14:paraId="1D19DB1F" w14:textId="77777777" w:rsidR="00AA0841" w:rsidRPr="00AA0841" w:rsidRDefault="00AA0841" w:rsidP="00AA0841">
            <w:pPr>
              <w:spacing w:before="120"/>
              <w:rPr>
                <w:rFonts w:cstheme="minorHAnsi"/>
                <w:color w:val="000000" w:themeColor="text1"/>
                <w:sz w:val="18"/>
                <w:szCs w:val="18"/>
              </w:rPr>
            </w:pPr>
            <w:r w:rsidRPr="00AA0841">
              <w:rPr>
                <w:rFonts w:cstheme="minorHAnsi"/>
                <w:color w:val="000000" w:themeColor="text1"/>
                <w:sz w:val="18"/>
                <w:szCs w:val="18"/>
              </w:rPr>
              <w:t>SF1</w:t>
            </w:r>
            <w:r w:rsidRPr="00AA0841">
              <w:rPr>
                <w:rFonts w:cstheme="minorHAnsi"/>
                <w:noProof/>
                <w:color w:val="000000" w:themeColor="text1"/>
                <w:sz w:val="18"/>
                <w:szCs w:val="18"/>
              </w:rPr>
              <w:t>:</w:t>
            </w:r>
            <w:r w:rsidRPr="00AA0841">
              <w:rPr>
                <w:rFonts w:cstheme="minorHAnsi"/>
                <w:color w:val="000000" w:themeColor="text1"/>
                <w:sz w:val="18"/>
                <w:szCs w:val="18"/>
              </w:rPr>
              <w:t xml:space="preserve"> &gt;990 ML/d at Gravesend for at least 10 days in Oct–Apr (but may occur at any time) (native fish condition and dispersal).</w:t>
            </w:r>
          </w:p>
          <w:p w14:paraId="03F7FAC6" w14:textId="77777777" w:rsidR="00AA0841" w:rsidRPr="00AA0841" w:rsidRDefault="00AA0841" w:rsidP="00AA0841">
            <w:pPr>
              <w:spacing w:before="120"/>
              <w:rPr>
                <w:rFonts w:cstheme="minorHAnsi"/>
                <w:b/>
                <w:color w:val="000000" w:themeColor="text1"/>
                <w:sz w:val="18"/>
                <w:szCs w:val="18"/>
              </w:rPr>
            </w:pPr>
            <w:r w:rsidRPr="00AA0841">
              <w:rPr>
                <w:rFonts w:cstheme="minorHAnsi"/>
                <w:color w:val="000000" w:themeColor="text1"/>
                <w:sz w:val="18"/>
                <w:szCs w:val="18"/>
              </w:rPr>
              <w:t>SF2</w:t>
            </w:r>
            <w:r w:rsidRPr="00AA0841">
              <w:rPr>
                <w:rFonts w:cstheme="minorHAnsi"/>
                <w:noProof/>
                <w:color w:val="000000" w:themeColor="text1"/>
                <w:sz w:val="18"/>
                <w:szCs w:val="18"/>
              </w:rPr>
              <w:t>:</w:t>
            </w:r>
            <w:r w:rsidRPr="00AA0841">
              <w:rPr>
                <w:rFonts w:cstheme="minorHAnsi"/>
                <w:color w:val="000000" w:themeColor="text1"/>
                <w:sz w:val="18"/>
                <w:szCs w:val="18"/>
              </w:rPr>
              <w:t xml:space="preserve"> 990–8 600 ML/d at Gravesend for at least 14 days in Sept–Apr (spawning of in-channel specialists and generalists)</w:t>
            </w:r>
          </w:p>
        </w:tc>
        <w:tc>
          <w:tcPr>
            <w:tcW w:w="1418" w:type="dxa"/>
            <w:tcBorders>
              <w:bottom w:val="single" w:sz="12" w:space="0" w:color="auto"/>
            </w:tcBorders>
            <w:shd w:val="clear" w:color="auto" w:fill="auto"/>
          </w:tcPr>
          <w:p w14:paraId="5B5C2E7B" w14:textId="77777777" w:rsidR="00AA0841" w:rsidRPr="00AA0841" w:rsidRDefault="00AA0841" w:rsidP="00AA0841">
            <w:pPr>
              <w:spacing w:after="0"/>
              <w:rPr>
                <w:rFonts w:cstheme="minorHAnsi"/>
                <w:color w:val="000000" w:themeColor="text1"/>
                <w:sz w:val="18"/>
                <w:szCs w:val="18"/>
              </w:rPr>
            </w:pPr>
          </w:p>
          <w:p w14:paraId="7A70197E" w14:textId="77777777" w:rsidR="00AA0841" w:rsidRPr="00AA0841" w:rsidRDefault="00AA0841" w:rsidP="00AA0841">
            <w:pPr>
              <w:spacing w:after="0"/>
              <w:rPr>
                <w:rFonts w:cstheme="minorHAnsi"/>
                <w:color w:val="000000" w:themeColor="text1"/>
                <w:sz w:val="18"/>
                <w:szCs w:val="18"/>
              </w:rPr>
            </w:pPr>
          </w:p>
          <w:p w14:paraId="398EFDCC"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SF1: Annually (Max. interval: 1 year)</w:t>
            </w:r>
          </w:p>
          <w:p w14:paraId="3DAB3AE0" w14:textId="77777777" w:rsidR="00AA0841" w:rsidRPr="00AA0841" w:rsidRDefault="00AA0841" w:rsidP="00AA0841">
            <w:pPr>
              <w:spacing w:before="120" w:after="0"/>
              <w:rPr>
                <w:rFonts w:cstheme="minorHAnsi"/>
                <w:color w:val="000000" w:themeColor="text1"/>
                <w:sz w:val="18"/>
                <w:szCs w:val="18"/>
              </w:rPr>
            </w:pPr>
            <w:r w:rsidRPr="00AA0841">
              <w:rPr>
                <w:rFonts w:cstheme="minorHAnsi"/>
                <w:color w:val="000000" w:themeColor="text1"/>
                <w:sz w:val="18"/>
                <w:szCs w:val="18"/>
              </w:rPr>
              <w:t>SF2: 5–10 in 10 years (Max. interval 2 years)</w:t>
            </w:r>
          </w:p>
        </w:tc>
        <w:tc>
          <w:tcPr>
            <w:tcW w:w="5953" w:type="dxa"/>
            <w:tcBorders>
              <w:bottom w:val="single" w:sz="12" w:space="0" w:color="auto"/>
            </w:tcBorders>
            <w:shd w:val="clear" w:color="auto" w:fill="auto"/>
          </w:tcPr>
          <w:p w14:paraId="6CFE6CF4" w14:textId="77777777" w:rsidR="00AA0841" w:rsidRPr="00AA0841" w:rsidRDefault="00AA0841" w:rsidP="00AA0841">
            <w:pPr>
              <w:rPr>
                <w:rFonts w:cstheme="minorHAnsi"/>
                <w:bCs/>
                <w:sz w:val="18"/>
                <w:szCs w:val="18"/>
              </w:rPr>
            </w:pPr>
            <w:r w:rsidRPr="00AA0841">
              <w:rPr>
                <w:rFonts w:cstheme="minorHAnsi"/>
                <w:bCs/>
                <w:sz w:val="18"/>
                <w:szCs w:val="18"/>
              </w:rPr>
              <w:t xml:space="preserve">Small fresh flow targets were last met in 2018–19 (SF2) and 2019–20 (SF1). The very dry conditions experienced during 2019–20 meant the 14 day target for the </w:t>
            </w:r>
            <w:r w:rsidRPr="00AA0841">
              <w:rPr>
                <w:rFonts w:cstheme="minorHAnsi"/>
                <w:color w:val="000000" w:themeColor="text1"/>
                <w:sz w:val="18"/>
                <w:szCs w:val="18"/>
              </w:rPr>
              <w:t>spawning of in-channel specialists and generalists (SF2) was</w:t>
            </w:r>
            <w:r w:rsidRPr="00AA0841">
              <w:rPr>
                <w:rFonts w:cstheme="minorHAnsi"/>
                <w:bCs/>
                <w:sz w:val="18"/>
                <w:szCs w:val="18"/>
              </w:rPr>
              <w:t xml:space="preserve"> unable to be met.</w:t>
            </w:r>
          </w:p>
          <w:p w14:paraId="77A6B4B7" w14:textId="77777777" w:rsidR="00AA0841" w:rsidRPr="00AA0841" w:rsidRDefault="00AA0841" w:rsidP="00AA0841">
            <w:pPr>
              <w:spacing w:before="120"/>
              <w:rPr>
                <w:rFonts w:cstheme="minorHAnsi"/>
                <w:bCs/>
                <w:sz w:val="18"/>
                <w:szCs w:val="18"/>
              </w:rPr>
            </w:pPr>
            <w:r w:rsidRPr="00AA0841">
              <w:rPr>
                <w:rFonts w:cstheme="minorHAnsi"/>
                <w:bCs/>
                <w:sz w:val="18"/>
                <w:szCs w:val="18"/>
              </w:rPr>
              <w:t xml:space="preserve">Freshes to support native fish condition and dispersal are required annually, so the demand for water to provide these flows has been assessed as high for 2020–21. Freshes to support the spawning of in-channel specialists and generalists are required 5–10 in 10 years and require water in the next 1–2 years. The demand for these small freshes has been assessed as moderate.  </w:t>
            </w:r>
          </w:p>
          <w:p w14:paraId="516FB5DC" w14:textId="77777777" w:rsidR="00AA0841" w:rsidRPr="00AA0841" w:rsidDel="00C233E4" w:rsidRDefault="00AA0841" w:rsidP="00AA0841">
            <w:pPr>
              <w:spacing w:before="120"/>
              <w:rPr>
                <w:rFonts w:cstheme="minorHAnsi"/>
                <w:sz w:val="18"/>
                <w:szCs w:val="18"/>
              </w:rPr>
            </w:pPr>
            <w:r w:rsidRPr="00AA0841">
              <w:rPr>
                <w:rFonts w:cstheme="minorHAnsi"/>
                <w:sz w:val="18"/>
                <w:szCs w:val="18"/>
              </w:rPr>
              <w:t xml:space="preserve">Feb–March rainfall events have moved the Gwydir system towards more moderate flow conditions. If these conditions continue, </w:t>
            </w:r>
            <w:r w:rsidRPr="00AA0841">
              <w:rPr>
                <w:rFonts w:cstheme="minorHAnsi"/>
                <w:color w:val="000000" w:themeColor="text1"/>
                <w:sz w:val="18"/>
                <w:szCs w:val="18"/>
              </w:rPr>
              <w:t>water for consumptive and environmental use as well as operational flows are likely to meet the s</w:t>
            </w:r>
            <w:r w:rsidRPr="00AA0841">
              <w:rPr>
                <w:rFonts w:cstheme="minorHAnsi"/>
                <w:bCs/>
                <w:sz w:val="18"/>
                <w:szCs w:val="18"/>
              </w:rPr>
              <w:t>mall fresh flow targets during 2020–21.</w:t>
            </w:r>
          </w:p>
        </w:tc>
        <w:tc>
          <w:tcPr>
            <w:tcW w:w="1843" w:type="dxa"/>
            <w:tcBorders>
              <w:bottom w:val="single" w:sz="12" w:space="0" w:color="auto"/>
            </w:tcBorders>
            <w:shd w:val="clear" w:color="auto" w:fill="FFC000"/>
            <w:vAlign w:val="center"/>
          </w:tcPr>
          <w:p w14:paraId="45A0899F" w14:textId="77777777" w:rsidR="00AA0841" w:rsidRPr="00AA0841" w:rsidDel="00C233E4" w:rsidRDefault="00AA0841" w:rsidP="00AA0841">
            <w:pPr>
              <w:spacing w:after="0"/>
              <w:jc w:val="center"/>
              <w:rPr>
                <w:rFonts w:cstheme="minorHAnsi"/>
                <w:color w:val="auto"/>
                <w:sz w:val="18"/>
                <w:szCs w:val="18"/>
              </w:rPr>
            </w:pPr>
            <w:r w:rsidRPr="00AA0841">
              <w:rPr>
                <w:rFonts w:cstheme="minorHAnsi"/>
                <w:color w:val="auto"/>
                <w:sz w:val="18"/>
                <w:szCs w:val="18"/>
              </w:rPr>
              <w:t>Moderate to High</w:t>
            </w:r>
          </w:p>
        </w:tc>
        <w:tc>
          <w:tcPr>
            <w:tcW w:w="3119" w:type="dxa"/>
            <w:tcBorders>
              <w:bottom w:val="single" w:sz="12" w:space="0" w:color="auto"/>
            </w:tcBorders>
            <w:shd w:val="clear" w:color="auto" w:fill="95B3D7" w:themeFill="accent1" w:themeFillTint="99"/>
            <w:vAlign w:val="center"/>
          </w:tcPr>
          <w:p w14:paraId="3ACC644A" w14:textId="77777777" w:rsidR="00AA0841" w:rsidRPr="00AA0841" w:rsidRDefault="00AA0841" w:rsidP="00AA0841">
            <w:pPr>
              <w:spacing w:before="60" w:after="60"/>
              <w:jc w:val="center"/>
              <w:rPr>
                <w:rFonts w:cstheme="minorHAnsi"/>
                <w:color w:val="auto"/>
                <w:sz w:val="18"/>
                <w:szCs w:val="18"/>
              </w:rPr>
            </w:pPr>
            <w:r w:rsidRPr="00AA0841">
              <w:rPr>
                <w:rFonts w:cstheme="minorHAnsi"/>
                <w:color w:val="auto"/>
                <w:sz w:val="18"/>
                <w:szCs w:val="18"/>
              </w:rPr>
              <w:t>A secondary priority for CEW as this demand is likely to be met through the delivery of water to meet other downstream demands, depending on conditions and water availability.</w:t>
            </w:r>
          </w:p>
          <w:p w14:paraId="4E304851" w14:textId="77777777" w:rsidR="00AA0841" w:rsidRPr="00AA0841" w:rsidDel="00C233E4" w:rsidRDefault="00AA0841" w:rsidP="00AA0841">
            <w:pPr>
              <w:spacing w:before="60" w:after="60"/>
              <w:jc w:val="center"/>
              <w:rPr>
                <w:rFonts w:cstheme="minorHAnsi"/>
                <w:color w:val="auto"/>
                <w:sz w:val="18"/>
                <w:szCs w:val="18"/>
              </w:rPr>
            </w:pPr>
          </w:p>
        </w:tc>
        <w:tc>
          <w:tcPr>
            <w:tcW w:w="2268" w:type="dxa"/>
            <w:tcBorders>
              <w:bottom w:val="single" w:sz="12" w:space="0" w:color="auto"/>
              <w:right w:val="single" w:sz="12" w:space="0" w:color="auto"/>
            </w:tcBorders>
            <w:shd w:val="clear" w:color="auto" w:fill="FFC000"/>
            <w:vAlign w:val="center"/>
          </w:tcPr>
          <w:p w14:paraId="2D5338AC" w14:textId="77777777" w:rsidR="00AA0841" w:rsidRPr="00AA0841" w:rsidDel="00C233E4" w:rsidRDefault="00AA0841" w:rsidP="00AA0841">
            <w:pPr>
              <w:spacing w:after="0"/>
              <w:jc w:val="center"/>
              <w:rPr>
                <w:rFonts w:cstheme="minorHAnsi"/>
                <w:color w:val="auto"/>
                <w:sz w:val="18"/>
                <w:szCs w:val="18"/>
              </w:rPr>
            </w:pPr>
            <w:r w:rsidRPr="00AA0841">
              <w:rPr>
                <w:rFonts w:cstheme="minorHAnsi"/>
                <w:color w:val="auto"/>
                <w:sz w:val="18"/>
                <w:szCs w:val="18"/>
              </w:rPr>
              <w:t>Moderate to High</w:t>
            </w:r>
          </w:p>
        </w:tc>
      </w:tr>
      <w:tr w:rsidR="00AA0841" w:rsidRPr="00AA0841" w14:paraId="4E42E20B" w14:textId="77777777" w:rsidTr="00AA0841">
        <w:trPr>
          <w:trHeight w:val="461"/>
        </w:trPr>
        <w:tc>
          <w:tcPr>
            <w:tcW w:w="1843" w:type="dxa"/>
            <w:tcBorders>
              <w:top w:val="single" w:sz="12" w:space="0" w:color="auto"/>
              <w:left w:val="single" w:sz="12" w:space="0" w:color="auto"/>
              <w:bottom w:val="single" w:sz="12" w:space="0" w:color="auto"/>
            </w:tcBorders>
          </w:tcPr>
          <w:p w14:paraId="019924F3" w14:textId="77777777" w:rsidR="00AA0841" w:rsidRPr="00AA0841" w:rsidRDefault="00AA0841" w:rsidP="00AA0841">
            <w:pPr>
              <w:rPr>
                <w:rFonts w:cstheme="minorHAnsi"/>
                <w:b/>
                <w:color w:val="000000" w:themeColor="text1"/>
                <w:sz w:val="18"/>
                <w:szCs w:val="18"/>
              </w:rPr>
            </w:pPr>
            <w:r w:rsidRPr="00AA0841">
              <w:rPr>
                <w:rFonts w:cstheme="minorHAnsi"/>
                <w:b/>
                <w:color w:val="000000" w:themeColor="text1"/>
                <w:sz w:val="18"/>
                <w:szCs w:val="18"/>
              </w:rPr>
              <w:t>Gwydir, and Gingham, and Mallowa systems</w:t>
            </w:r>
          </w:p>
          <w:p w14:paraId="6B2B3A71" w14:textId="77777777" w:rsidR="00AA0841" w:rsidRPr="00AA0841" w:rsidRDefault="00AA0841" w:rsidP="00AA0841">
            <w:pPr>
              <w:rPr>
                <w:rFonts w:cstheme="minorHAnsi"/>
                <w:bCs/>
                <w:color w:val="000000" w:themeColor="text1"/>
                <w:sz w:val="18"/>
                <w:szCs w:val="18"/>
              </w:rPr>
            </w:pPr>
            <w:r w:rsidRPr="00AA0841">
              <w:rPr>
                <w:rFonts w:cstheme="minorHAnsi"/>
                <w:bCs/>
                <w:color w:val="000000" w:themeColor="text1"/>
                <w:sz w:val="18"/>
                <w:szCs w:val="18"/>
              </w:rPr>
              <w:t xml:space="preserve">Bird breeding </w:t>
            </w:r>
          </w:p>
        </w:tc>
        <w:tc>
          <w:tcPr>
            <w:tcW w:w="1559" w:type="dxa"/>
            <w:tcBorders>
              <w:top w:val="single" w:sz="12" w:space="0" w:color="auto"/>
              <w:left w:val="single" w:sz="4" w:space="0" w:color="auto"/>
              <w:bottom w:val="single" w:sz="12" w:space="0" w:color="auto"/>
              <w:right w:val="single" w:sz="4" w:space="0" w:color="auto"/>
            </w:tcBorders>
            <w:shd w:val="clear" w:color="auto" w:fill="auto"/>
          </w:tcPr>
          <w:p w14:paraId="746DFBC8" w14:textId="77777777" w:rsidR="00AA0841" w:rsidRPr="00AA0841" w:rsidRDefault="00AA0841" w:rsidP="00AA0841">
            <w:pPr>
              <w:contextualSpacing/>
              <w:rPr>
                <w:rFonts w:cstheme="minorHAnsi"/>
                <w:bCs/>
                <w:color w:val="000000" w:themeColor="text1"/>
                <w:sz w:val="18"/>
                <w:szCs w:val="18"/>
              </w:rPr>
            </w:pPr>
            <w:r w:rsidRPr="00AA0841">
              <w:rPr>
                <w:rFonts w:cstheme="minorHAnsi"/>
                <w:bCs/>
                <w:color w:val="000000" w:themeColor="text1"/>
                <w:sz w:val="18"/>
                <w:szCs w:val="18"/>
              </w:rPr>
              <w:t>Support large scale colonial waterbird breeding events</w:t>
            </w:r>
          </w:p>
        </w:tc>
        <w:tc>
          <w:tcPr>
            <w:tcW w:w="3969" w:type="dxa"/>
            <w:tcBorders>
              <w:top w:val="single" w:sz="12" w:space="0" w:color="auto"/>
              <w:left w:val="single" w:sz="4" w:space="0" w:color="auto"/>
              <w:bottom w:val="single" w:sz="12" w:space="0" w:color="auto"/>
              <w:right w:val="single" w:sz="4" w:space="0" w:color="auto"/>
            </w:tcBorders>
            <w:shd w:val="clear" w:color="auto" w:fill="auto"/>
          </w:tcPr>
          <w:p w14:paraId="3A612144" w14:textId="77777777" w:rsidR="00AA0841" w:rsidRPr="00AA0841" w:rsidRDefault="00AA0841" w:rsidP="00AA0841">
            <w:pPr>
              <w:rPr>
                <w:rFonts w:cstheme="minorHAnsi"/>
                <w:bCs/>
                <w:color w:val="000000" w:themeColor="text1"/>
                <w:sz w:val="18"/>
                <w:szCs w:val="18"/>
              </w:rPr>
            </w:pPr>
            <w:r w:rsidRPr="00AA0841">
              <w:rPr>
                <w:rFonts w:cstheme="minorHAnsi"/>
                <w:bCs/>
                <w:color w:val="000000" w:themeColor="text1"/>
                <w:sz w:val="18"/>
                <w:szCs w:val="18"/>
              </w:rPr>
              <w:t>10–15 GL</w:t>
            </w:r>
          </w:p>
        </w:tc>
        <w:tc>
          <w:tcPr>
            <w:tcW w:w="1418" w:type="dxa"/>
            <w:tcBorders>
              <w:top w:val="single" w:sz="12" w:space="0" w:color="auto"/>
              <w:left w:val="single" w:sz="4" w:space="0" w:color="auto"/>
              <w:bottom w:val="single" w:sz="12" w:space="0" w:color="auto"/>
              <w:right w:val="single" w:sz="4" w:space="0" w:color="auto"/>
            </w:tcBorders>
            <w:shd w:val="clear" w:color="auto" w:fill="auto"/>
          </w:tcPr>
          <w:p w14:paraId="3B46000D" w14:textId="77777777" w:rsidR="00AA0841" w:rsidRPr="00AA0841" w:rsidRDefault="00AA0841" w:rsidP="00AA0841">
            <w:pPr>
              <w:rPr>
                <w:rFonts w:cstheme="minorHAnsi"/>
                <w:bCs/>
                <w:color w:val="000000" w:themeColor="text1"/>
                <w:sz w:val="18"/>
                <w:szCs w:val="18"/>
              </w:rPr>
            </w:pPr>
            <w:r w:rsidRPr="00AA0841">
              <w:rPr>
                <w:rFonts w:cstheme="minorHAnsi"/>
                <w:bCs/>
                <w:color w:val="000000" w:themeColor="text1"/>
                <w:sz w:val="18"/>
                <w:szCs w:val="18"/>
              </w:rPr>
              <w:t>As required, All years</w:t>
            </w:r>
          </w:p>
        </w:tc>
        <w:tc>
          <w:tcPr>
            <w:tcW w:w="5953" w:type="dxa"/>
            <w:tcBorders>
              <w:top w:val="single" w:sz="12" w:space="0" w:color="auto"/>
              <w:left w:val="single" w:sz="4" w:space="0" w:color="auto"/>
              <w:bottom w:val="single" w:sz="12" w:space="0" w:color="auto"/>
              <w:right w:val="single" w:sz="4" w:space="0" w:color="auto"/>
            </w:tcBorders>
            <w:shd w:val="clear" w:color="auto" w:fill="auto"/>
          </w:tcPr>
          <w:p w14:paraId="077CBE1B" w14:textId="77777777" w:rsidR="00AA0841" w:rsidRPr="00AA0841" w:rsidRDefault="00AA0841" w:rsidP="00AA0841">
            <w:pPr>
              <w:spacing w:after="0"/>
              <w:rPr>
                <w:rFonts w:cstheme="minorHAnsi"/>
                <w:color w:val="000000" w:themeColor="text1"/>
                <w:sz w:val="18"/>
                <w:szCs w:val="18"/>
              </w:rPr>
            </w:pPr>
            <w:r w:rsidRPr="00AA0841">
              <w:rPr>
                <w:rFonts w:cstheme="minorHAnsi"/>
                <w:color w:val="000000" w:themeColor="text1"/>
                <w:sz w:val="18"/>
                <w:szCs w:val="18"/>
              </w:rPr>
              <w:t>Colonial waterbird breeding requirement has not been triggered in the past 6 years and requires large scale natural flows event to trigger. Therefore, the demand has been assessed as moderate. However, under extended very dry conditions this contingency is likely to be used to meet critical environmental water needs.</w:t>
            </w:r>
          </w:p>
        </w:tc>
        <w:tc>
          <w:tcPr>
            <w:tcW w:w="1843" w:type="dxa"/>
            <w:tcBorders>
              <w:top w:val="single" w:sz="12" w:space="0" w:color="auto"/>
              <w:left w:val="single" w:sz="4" w:space="0" w:color="auto"/>
              <w:bottom w:val="single" w:sz="12" w:space="0" w:color="auto"/>
              <w:right w:val="single" w:sz="4" w:space="0" w:color="auto"/>
            </w:tcBorders>
            <w:shd w:val="clear" w:color="auto" w:fill="FFC000"/>
            <w:vAlign w:val="center"/>
          </w:tcPr>
          <w:p w14:paraId="5795BAF1" w14:textId="77777777" w:rsidR="00AA0841" w:rsidRPr="00AA0841" w:rsidRDefault="00AA0841" w:rsidP="00AA0841">
            <w:pPr>
              <w:spacing w:before="120"/>
              <w:jc w:val="center"/>
              <w:rPr>
                <w:rFonts w:cstheme="minorHAnsi"/>
                <w:color w:val="auto"/>
                <w:sz w:val="18"/>
                <w:szCs w:val="18"/>
              </w:rPr>
            </w:pPr>
            <w:r w:rsidRPr="00AA0841">
              <w:rPr>
                <w:rFonts w:cstheme="minorHAnsi"/>
                <w:color w:val="auto"/>
                <w:sz w:val="18"/>
                <w:szCs w:val="18"/>
              </w:rPr>
              <w:t>Moderate</w:t>
            </w:r>
          </w:p>
        </w:tc>
        <w:tc>
          <w:tcPr>
            <w:tcW w:w="3119" w:type="dxa"/>
            <w:tcBorders>
              <w:top w:val="single" w:sz="12" w:space="0" w:color="auto"/>
              <w:left w:val="single" w:sz="4" w:space="0" w:color="auto"/>
              <w:bottom w:val="single" w:sz="12" w:space="0" w:color="auto"/>
              <w:right w:val="single" w:sz="4" w:space="0" w:color="auto"/>
            </w:tcBorders>
            <w:shd w:val="clear" w:color="auto" w:fill="95B3D7" w:themeFill="accent1" w:themeFillTint="99"/>
            <w:vAlign w:val="center"/>
          </w:tcPr>
          <w:p w14:paraId="2631A50A"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Respond to naturally triggered bird breeding, if required</w:t>
            </w:r>
          </w:p>
        </w:tc>
        <w:tc>
          <w:tcPr>
            <w:tcW w:w="2268" w:type="dxa"/>
            <w:tcBorders>
              <w:top w:val="single" w:sz="12" w:space="0" w:color="auto"/>
              <w:left w:val="single" w:sz="4" w:space="0" w:color="auto"/>
              <w:bottom w:val="single" w:sz="12" w:space="0" w:color="auto"/>
              <w:right w:val="single" w:sz="12" w:space="0" w:color="auto"/>
            </w:tcBorders>
            <w:shd w:val="clear" w:color="auto" w:fill="FFC000"/>
            <w:vAlign w:val="center"/>
          </w:tcPr>
          <w:p w14:paraId="59954347" w14:textId="77777777" w:rsidR="00AA0841" w:rsidRPr="00AA0841" w:rsidRDefault="00AA0841" w:rsidP="00AA0841">
            <w:pPr>
              <w:spacing w:after="0"/>
              <w:jc w:val="center"/>
              <w:rPr>
                <w:rFonts w:cstheme="minorHAnsi"/>
                <w:color w:val="auto"/>
                <w:sz w:val="18"/>
                <w:szCs w:val="18"/>
              </w:rPr>
            </w:pPr>
            <w:r w:rsidRPr="00AA0841">
              <w:rPr>
                <w:rFonts w:cstheme="minorHAnsi"/>
                <w:color w:val="auto"/>
                <w:sz w:val="18"/>
                <w:szCs w:val="18"/>
              </w:rPr>
              <w:t>Moderate</w:t>
            </w:r>
          </w:p>
        </w:tc>
      </w:tr>
    </w:tbl>
    <w:bookmarkStart w:id="98" w:name="_Hlk36737023"/>
    <w:p w14:paraId="76E6A55F" w14:textId="77777777" w:rsidR="00AA0841" w:rsidRPr="00AA0841" w:rsidRDefault="00AA0841" w:rsidP="00B044C3">
      <w:pPr>
        <w:spacing w:before="120"/>
        <w:ind w:left="-283" w:right="14316"/>
        <w:jc w:val="both"/>
        <w:rPr>
          <w:rFonts w:cs="Times New Roman"/>
          <w:color w:val="auto"/>
          <w:sz w:val="18"/>
        </w:rPr>
      </w:pPr>
      <w:r w:rsidRPr="00AA0841">
        <w:rPr>
          <w:rFonts w:cs="Times New Roman"/>
          <w:noProof/>
          <w:color w:val="auto"/>
          <w:sz w:val="18"/>
        </w:rPr>
        <mc:AlternateContent>
          <mc:Choice Requires="wps">
            <w:drawing>
              <wp:anchor distT="0" distB="0" distL="114300" distR="114300" simplePos="0" relativeHeight="251665418" behindDoc="0" locked="0" layoutInCell="1" allowOverlap="1" wp14:anchorId="7C3B85DC" wp14:editId="128B4E4C">
                <wp:simplePos x="0" y="0"/>
                <wp:positionH relativeFrom="margin">
                  <wp:posOffset>0</wp:posOffset>
                </wp:positionH>
                <wp:positionV relativeFrom="paragraph">
                  <wp:posOffset>153670</wp:posOffset>
                </wp:positionV>
                <wp:extent cx="5876925" cy="1924050"/>
                <wp:effectExtent l="0" t="0" r="9525" b="0"/>
                <wp:wrapNone/>
                <wp:docPr id="17" name="Text Box 17"/>
                <wp:cNvGraphicFramePr/>
                <a:graphic xmlns:a="http://schemas.openxmlformats.org/drawingml/2006/main">
                  <a:graphicData uri="http://schemas.microsoft.com/office/word/2010/wordprocessingShape">
                    <wps:wsp>
                      <wps:cNvSpPr txBox="1"/>
                      <wps:spPr>
                        <a:xfrm>
                          <a:off x="0" y="0"/>
                          <a:ext cx="5876925" cy="1924050"/>
                        </a:xfrm>
                        <a:prstGeom prst="rect">
                          <a:avLst/>
                        </a:prstGeom>
                        <a:solidFill>
                          <a:sysClr val="window" lastClr="FFFFFF"/>
                        </a:solidFill>
                        <a:ln w="6350">
                          <a:noFill/>
                        </a:ln>
                      </wps:spPr>
                      <wps:txbx>
                        <w:txbxContent>
                          <w:p w14:paraId="65A2D87A" w14:textId="77777777" w:rsidR="00583873" w:rsidRPr="00DC53C6" w:rsidRDefault="00583873" w:rsidP="005D79EF">
                            <w:pPr>
                              <w:pStyle w:val="PlainText"/>
                              <w:numPr>
                                <w:ilvl w:val="0"/>
                                <w:numId w:val="33"/>
                              </w:numPr>
                              <w:spacing w:after="120"/>
                              <w:ind w:left="284" w:hanging="284"/>
                              <w:jc w:val="both"/>
                              <w:rPr>
                                <w:rFonts w:asciiTheme="minorHAnsi" w:hAnsiTheme="minorHAnsi"/>
                                <w:sz w:val="18"/>
                                <w:szCs w:val="20"/>
                              </w:rPr>
                            </w:pPr>
                            <w:r w:rsidRPr="00DC53C6">
                              <w:rPr>
                                <w:rFonts w:asciiTheme="minorHAnsi" w:hAnsiTheme="minorHAnsi"/>
                                <w:color w:val="000000" w:themeColor="text1"/>
                                <w:sz w:val="18"/>
                                <w:szCs w:val="20"/>
                              </w:rPr>
                              <w:t>Four sites in the Lower Gwydir and Gingham are internationally recognised under the Ramsar Convention and other international agreements for migratory species and for their special habitat value for waterbirds. These are Old Dromana on the Lower Gwydir system as well as Goddard’s Lease, Windella and Crinolyn on the Gingham Watercourse. The primary ecological features of the wetlands include large areas of coolibah woodland, water couch and marsh club-rush.</w:t>
                            </w:r>
                            <w:r w:rsidRPr="00DC53C6">
                              <w:rPr>
                                <w:rFonts w:ascii="Calibri" w:hAnsi="Calibri"/>
                                <w:sz w:val="18"/>
                                <w:szCs w:val="20"/>
                              </w:rPr>
                              <w:t xml:space="preserve"> </w:t>
                            </w:r>
                            <w:r w:rsidRPr="00DC53C6">
                              <w:rPr>
                                <w:rFonts w:asciiTheme="minorHAnsi" w:hAnsiTheme="minorHAnsi"/>
                                <w:color w:val="000000" w:themeColor="text1"/>
                                <w:sz w:val="18"/>
                                <w:szCs w:val="20"/>
                              </w:rPr>
                              <w:t>By maintaining this wetland vegetation, other critical components of the Ramsar site may be supported, including waterbird breeding and foraging habitat.</w:t>
                            </w:r>
                          </w:p>
                          <w:p w14:paraId="3357B6B5" w14:textId="77777777" w:rsidR="00583873" w:rsidRPr="00DC53C6" w:rsidRDefault="00583873" w:rsidP="005D79EF">
                            <w:pPr>
                              <w:pStyle w:val="PlainText"/>
                              <w:numPr>
                                <w:ilvl w:val="0"/>
                                <w:numId w:val="34"/>
                              </w:numPr>
                              <w:spacing w:before="120" w:after="120"/>
                              <w:ind w:left="284" w:right="-1" w:hanging="284"/>
                              <w:jc w:val="both"/>
                              <w:rPr>
                                <w:rFonts w:asciiTheme="minorHAnsi" w:hAnsiTheme="minorHAnsi"/>
                                <w:noProof/>
                                <w:sz w:val="18"/>
                                <w:szCs w:val="20"/>
                              </w:rPr>
                            </w:pPr>
                            <w:r w:rsidRPr="00DC53C6">
                              <w:rPr>
                                <w:rFonts w:asciiTheme="minorHAnsi" w:hAnsiTheme="minorHAnsi"/>
                                <w:noProof/>
                                <w:sz w:val="18"/>
                                <w:szCs w:val="20"/>
                              </w:rPr>
                              <w:t>The Gwydir Long Term Water Plan (2018) sets out a series of 5, 10 and 20 year objectives to maintain and enhance the health of rivers and wetlands within the Gwydir system, however, some of these may need to be reviewed with improved knowledge . The Plan also describes the environmental water requirements (EWRs) needed to achieve the specfied ecological objectives. The EWR’s defined within the Gwydir Long Term Water Plan have been used to inform indicative environmental demands for key assets located within the Gwydir system.</w:t>
                            </w:r>
                          </w:p>
                          <w:p w14:paraId="4709174B" w14:textId="77777777" w:rsidR="00583873" w:rsidRPr="00DC53C6" w:rsidRDefault="00583873" w:rsidP="00AA0841">
                            <w:pPr>
                              <w:pStyle w:val="PlainText"/>
                              <w:spacing w:before="120" w:after="120"/>
                              <w:ind w:left="284" w:right="-1" w:hanging="284"/>
                              <w:rPr>
                                <w:rFonts w:asciiTheme="minorHAnsi" w:hAnsiTheme="minorHAnsi"/>
                                <w:noProof/>
                                <w:sz w:val="18"/>
                                <w:szCs w:val="20"/>
                              </w:rPr>
                            </w:pPr>
                            <w:r w:rsidRPr="00DC53C6">
                              <w:rPr>
                                <w:noProof/>
                                <w:sz w:val="19"/>
                              </w:rPr>
                              <w:t>^</w:t>
                            </w:r>
                            <w:r w:rsidRPr="00DC53C6">
                              <w:rPr>
                                <w:noProof/>
                                <w:sz w:val="19"/>
                              </w:rPr>
                              <w:tab/>
                            </w:r>
                            <w:r w:rsidRPr="00DC53C6">
                              <w:rPr>
                                <w:rFonts w:asciiTheme="minorHAnsi" w:hAnsiTheme="minorHAnsi"/>
                                <w:noProof/>
                                <w:sz w:val="18"/>
                                <w:szCs w:val="20"/>
                              </w:rPr>
                              <w:t xml:space="preserve">Volumes are net of any irrigation deliveries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B85DC" id="Text Box 17" o:spid="_x0000_s1028" type="#_x0000_t202" style="position:absolute;left:0;text-align:left;margin-left:0;margin-top:12.1pt;width:462.75pt;height:151.5pt;z-index:2516654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" fillcolor="window" stroked="f" strokeweight=".5pt">
                <v:textbox>
                  <w:txbxContent>
                    <w:p w14:paraId="65A2D87A" w14:textId="77777777" w:rsidR="00583873" w:rsidRPr="00DC53C6" w:rsidRDefault="00583873" w:rsidP="005D79EF">
                      <w:pPr>
                        <w:pStyle w:val="PlainText"/>
                        <w:numPr>
                          <w:ilvl w:val="0"/>
                          <w:numId w:val="33"/>
                        </w:numPr>
                        <w:spacing w:after="120"/>
                        <w:ind w:left="284" w:hanging="284"/>
                        <w:jc w:val="both"/>
                        <w:rPr>
                          <w:rFonts w:asciiTheme="minorHAnsi" w:hAnsiTheme="minorHAnsi"/>
                          <w:sz w:val="18"/>
                          <w:szCs w:val="20"/>
                        </w:rPr>
                      </w:pPr>
                      <w:r w:rsidRPr="00DC53C6">
                        <w:rPr>
                          <w:rFonts w:asciiTheme="minorHAnsi" w:hAnsiTheme="minorHAnsi"/>
                          <w:color w:val="000000" w:themeColor="text1"/>
                          <w:sz w:val="18"/>
                          <w:szCs w:val="20"/>
                        </w:rPr>
                        <w:t>Four sites in the Lower Gwydir and Gingham are internationally recognised under the Ramsar Convention and other international agreements for migratory species and for their special habitat value for waterbirds. These are Old Dromana on the Lower Gwydir system as well as Goddard’s Lease, Windella and Crinolyn on the Gingham Watercourse. The primary ecological features of the wetlands include large areas of coolibah woodland, water couch and marsh club-rush.</w:t>
                      </w:r>
                      <w:r w:rsidRPr="00DC53C6">
                        <w:rPr>
                          <w:rFonts w:ascii="Calibri" w:hAnsi="Calibri"/>
                          <w:sz w:val="18"/>
                          <w:szCs w:val="20"/>
                        </w:rPr>
                        <w:t xml:space="preserve"> </w:t>
                      </w:r>
                      <w:r w:rsidRPr="00DC53C6">
                        <w:rPr>
                          <w:rFonts w:asciiTheme="minorHAnsi" w:hAnsiTheme="minorHAnsi"/>
                          <w:color w:val="000000" w:themeColor="text1"/>
                          <w:sz w:val="18"/>
                          <w:szCs w:val="20"/>
                        </w:rPr>
                        <w:t>By maintaining this wetland vegetation, other critical components of the Ramsar site may be supported, including waterbird breeding and foraging habitat.</w:t>
                      </w:r>
                    </w:p>
                    <w:p w14:paraId="3357B6B5" w14:textId="77777777" w:rsidR="00583873" w:rsidRPr="00DC53C6" w:rsidRDefault="00583873" w:rsidP="005D79EF">
                      <w:pPr>
                        <w:pStyle w:val="PlainText"/>
                        <w:numPr>
                          <w:ilvl w:val="0"/>
                          <w:numId w:val="34"/>
                        </w:numPr>
                        <w:spacing w:before="120" w:after="120"/>
                        <w:ind w:left="284" w:right="-1" w:hanging="284"/>
                        <w:jc w:val="both"/>
                        <w:rPr>
                          <w:rFonts w:asciiTheme="minorHAnsi" w:hAnsiTheme="minorHAnsi"/>
                          <w:noProof/>
                          <w:sz w:val="18"/>
                          <w:szCs w:val="20"/>
                        </w:rPr>
                      </w:pPr>
                      <w:r w:rsidRPr="00DC53C6">
                        <w:rPr>
                          <w:rFonts w:asciiTheme="minorHAnsi" w:hAnsiTheme="minorHAnsi"/>
                          <w:noProof/>
                          <w:sz w:val="18"/>
                          <w:szCs w:val="20"/>
                        </w:rPr>
                        <w:t>The Gwydir Long Term Water Plan (2018) sets out a series of 5, 10 and 20 year objectives to maintain and enhance the health of rivers and wetlands within the Gwydir system, however, some of these may need to be reviewed with improved knowledge . The Plan also describes the environmental water requirements (EWRs) needed to achieve the specfied ecological objectives. The EWR’s defined within the Gwydir Long Term Water Plan have been used to inform indicative environmental demands for key assets located within the Gwydir system.</w:t>
                      </w:r>
                    </w:p>
                    <w:p w14:paraId="4709174B" w14:textId="77777777" w:rsidR="00583873" w:rsidRPr="00DC53C6" w:rsidRDefault="00583873" w:rsidP="00AA0841">
                      <w:pPr>
                        <w:pStyle w:val="PlainText"/>
                        <w:spacing w:before="120" w:after="120"/>
                        <w:ind w:left="284" w:right="-1" w:hanging="284"/>
                        <w:rPr>
                          <w:rFonts w:asciiTheme="minorHAnsi" w:hAnsiTheme="minorHAnsi"/>
                          <w:noProof/>
                          <w:sz w:val="18"/>
                          <w:szCs w:val="20"/>
                        </w:rPr>
                      </w:pPr>
                      <w:r w:rsidRPr="00DC53C6">
                        <w:rPr>
                          <w:noProof/>
                          <w:sz w:val="19"/>
                        </w:rPr>
                        <w:t>^</w:t>
                      </w:r>
                      <w:r w:rsidRPr="00DC53C6">
                        <w:rPr>
                          <w:noProof/>
                          <w:sz w:val="19"/>
                        </w:rPr>
                        <w:tab/>
                      </w:r>
                      <w:r w:rsidRPr="00DC53C6">
                        <w:rPr>
                          <w:rFonts w:asciiTheme="minorHAnsi" w:hAnsiTheme="minorHAnsi"/>
                          <w:noProof/>
                          <w:sz w:val="18"/>
                          <w:szCs w:val="20"/>
                        </w:rPr>
                        <w:t xml:space="preserve">Volumes are net of any irrigation deliveries </w:t>
                      </w:r>
                    </w:p>
                  </w:txbxContent>
                </v:textbox>
                <w10:wrap anchorx="margin"/>
              </v:shape>
            </w:pict>
          </mc:Fallback>
        </mc:AlternateContent>
      </w:r>
      <w:r w:rsidRPr="00AA0841">
        <w:rPr>
          <w:rFonts w:cs="Times New Roman"/>
          <w:noProof/>
          <w:color w:val="auto"/>
          <w:sz w:val="18"/>
        </w:rPr>
        <mc:AlternateContent>
          <mc:Choice Requires="wps">
            <w:drawing>
              <wp:anchor distT="0" distB="0" distL="114300" distR="114300" simplePos="0" relativeHeight="251666442" behindDoc="0" locked="0" layoutInCell="1" allowOverlap="1" wp14:anchorId="05477961" wp14:editId="22082175">
                <wp:simplePos x="0" y="0"/>
                <wp:positionH relativeFrom="margin">
                  <wp:align>right</wp:align>
                </wp:positionH>
                <wp:positionV relativeFrom="paragraph">
                  <wp:posOffset>153670</wp:posOffset>
                </wp:positionV>
                <wp:extent cx="8029575" cy="2028825"/>
                <wp:effectExtent l="0" t="0" r="9525" b="9525"/>
                <wp:wrapNone/>
                <wp:docPr id="19" name="Text Box 19"/>
                <wp:cNvGraphicFramePr/>
                <a:graphic xmlns:a="http://schemas.openxmlformats.org/drawingml/2006/main">
                  <a:graphicData uri="http://schemas.microsoft.com/office/word/2010/wordprocessingShape">
                    <wps:wsp>
                      <wps:cNvSpPr txBox="1"/>
                      <wps:spPr>
                        <a:xfrm>
                          <a:off x="0" y="0"/>
                          <a:ext cx="8029575" cy="2028825"/>
                        </a:xfrm>
                        <a:prstGeom prst="rect">
                          <a:avLst/>
                        </a:prstGeom>
                        <a:solidFill>
                          <a:sysClr val="window" lastClr="FFFFFF"/>
                        </a:solidFill>
                        <a:ln w="6350">
                          <a:noFill/>
                        </a:ln>
                      </wps:spPr>
                      <wps:txbx>
                        <w:txbxContent>
                          <w:p w14:paraId="2BB1A3A8" w14:textId="77777777" w:rsidR="00583873" w:rsidRDefault="00583873" w:rsidP="00AA0841">
                            <w:r w:rsidRPr="00391EBE">
                              <w:rPr>
                                <w:rStyle w:val="Hyperlink"/>
                                <w:noProof/>
                              </w:rPr>
                              <w:drawing>
                                <wp:inline distT="0" distB="0" distL="0" distR="0" wp14:anchorId="2BBB5C51" wp14:editId="4F88ACFC">
                                  <wp:extent cx="8032197" cy="1609725"/>
                                  <wp:effectExtent l="0" t="0" r="698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102001" cy="16237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477961" id="Text Box 19" o:spid="_x0000_s1029" type="#_x0000_t202" style="position:absolute;left:0;text-align:left;margin-left:581.05pt;margin-top:12.1pt;width:632.25pt;height:159.75pt;z-index:25166644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" fillcolor="window" stroked="f" strokeweight=".5pt">
                <v:textbox>
                  <w:txbxContent>
                    <w:p w14:paraId="2BB1A3A8" w14:textId="77777777" w:rsidR="00583873" w:rsidRDefault="00583873" w:rsidP="00AA0841">
                      <w:r w:rsidRPr="00391EBE">
                        <w:rPr>
                          <w:rStyle w:val="Hyperlink"/>
                          <w:noProof/>
                        </w:rPr>
                        <w:drawing>
                          <wp:inline distT="0" distB="0" distL="0" distR="0" wp14:anchorId="2BBB5C51" wp14:editId="4F88ACFC">
                            <wp:extent cx="8032197" cy="1609725"/>
                            <wp:effectExtent l="0" t="0" r="698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102001" cy="1623714"/>
                                    </a:xfrm>
                                    <a:prstGeom prst="rect">
                                      <a:avLst/>
                                    </a:prstGeom>
                                    <a:noFill/>
                                    <a:ln>
                                      <a:noFill/>
                                    </a:ln>
                                  </pic:spPr>
                                </pic:pic>
                              </a:graphicData>
                            </a:graphic>
                          </wp:inline>
                        </w:drawing>
                      </w:r>
                    </w:p>
                  </w:txbxContent>
                </v:textbox>
                <w10:wrap anchorx="margin"/>
              </v:shape>
            </w:pict>
          </mc:Fallback>
        </mc:AlternateContent>
      </w:r>
    </w:p>
    <w:bookmarkEnd w:id="98"/>
    <w:p w14:paraId="09632480" w14:textId="77777777" w:rsidR="00AA0841" w:rsidRPr="00AA0841" w:rsidRDefault="00AA0841" w:rsidP="00AA0841">
      <w:pPr>
        <w:spacing w:after="240"/>
        <w:rPr>
          <w:rFonts w:ascii="Century Gothic" w:hAnsi="Century Gothic" w:cs="Arial"/>
          <w:noProof/>
          <w:color w:val="0000FF"/>
          <w:u w:val="single"/>
        </w:rPr>
        <w:sectPr w:rsidR="00AA0841" w:rsidRPr="00AA0841" w:rsidSect="00B044C3">
          <w:footnotePr>
            <w:numFmt w:val="chicago"/>
          </w:footnotePr>
          <w:pgSz w:w="23814" w:h="16839" w:orient="landscape" w:code="8"/>
          <w:pgMar w:top="851" w:right="992" w:bottom="851" w:left="964" w:header="425" w:footer="369" w:gutter="0"/>
          <w:cols w:space="708"/>
          <w:docGrid w:linePitch="360"/>
        </w:sectPr>
      </w:pPr>
    </w:p>
    <w:p w14:paraId="3B7C070F" w14:textId="77777777" w:rsidR="00AA0841" w:rsidRPr="00AA0841" w:rsidRDefault="00AA0841" w:rsidP="00B044C3">
      <w:pPr>
        <w:pStyle w:val="Heading3"/>
      </w:pPr>
      <w:r w:rsidRPr="00AA0841">
        <w:lastRenderedPageBreak/>
        <w:t>Water delivery in 2020–21</w:t>
      </w:r>
    </w:p>
    <w:p w14:paraId="2027AC02" w14:textId="77777777" w:rsidR="00AA0841" w:rsidRPr="00AA0841" w:rsidRDefault="00AA0841" w:rsidP="00AA0841">
      <w:r w:rsidRPr="00AA0841">
        <w:t>Based on the demand for water for the environment, water availability (supply), and catchment conditions, the overall purpose for managing Commonwealth water for the environment in the Gwydir River Valley in 2020–21 is to:</w:t>
      </w:r>
    </w:p>
    <w:p w14:paraId="2CFE8F3C" w14:textId="77777777" w:rsidR="00AA0841" w:rsidRPr="00AA0841" w:rsidRDefault="00AA0841" w:rsidP="00B044C3">
      <w:pPr>
        <w:pStyle w:val="DotStyle1"/>
      </w:pPr>
      <w:r w:rsidRPr="00AA0841">
        <w:t>avoid damage or loss of significant communities and species</w:t>
      </w:r>
    </w:p>
    <w:p w14:paraId="3CC9C7B7" w14:textId="77777777" w:rsidR="00AA0841" w:rsidRPr="00AA0841" w:rsidRDefault="00AA0841" w:rsidP="00B044C3">
      <w:pPr>
        <w:pStyle w:val="DotStyle1"/>
      </w:pPr>
      <w:r w:rsidRPr="00AA0841">
        <w:t xml:space="preserve">protect the health and resilience of aquatic ecosystems </w:t>
      </w:r>
    </w:p>
    <w:p w14:paraId="23FF85EF" w14:textId="77777777" w:rsidR="00AA0841" w:rsidRPr="00AA0841" w:rsidRDefault="00AA0841" w:rsidP="00B044C3">
      <w:pPr>
        <w:pStyle w:val="DotStyle1"/>
      </w:pPr>
      <w:r w:rsidRPr="00AA0841">
        <w:t xml:space="preserve">maintain the long-term condition of core wetland and riparian areas. </w:t>
      </w:r>
    </w:p>
    <w:p w14:paraId="1CC1DC1F" w14:textId="77777777" w:rsidR="00AA0841" w:rsidRPr="00AA0841" w:rsidRDefault="00AA0841" w:rsidP="00AA0841">
      <w:r w:rsidRPr="00AA0841">
        <w:t>Consistent with the demands and purpose identified, the CEWO is considering supplying water for the environment for the following actions in 2020–21.</w:t>
      </w:r>
    </w:p>
    <w:p w14:paraId="542650E0" w14:textId="77777777" w:rsidR="00AA0841" w:rsidRPr="00AA0841" w:rsidRDefault="00AA0841" w:rsidP="00AA0841">
      <w:r w:rsidRPr="00AA0841">
        <w:t>Within the confines of environmental water availability during 2020–21, deliver water in the following ways:</w:t>
      </w:r>
    </w:p>
    <w:p w14:paraId="5CF98361" w14:textId="77777777" w:rsidR="00AA0841" w:rsidRPr="00AA0841" w:rsidRDefault="00AA0841" w:rsidP="00B044C3">
      <w:pPr>
        <w:pStyle w:val="DotStyle1"/>
      </w:pPr>
      <w:r w:rsidRPr="00AA0841">
        <w:t xml:space="preserve">Should dry conditions return and rivers and creeks across the lower part of the system stop flowing, NSW and Commonwealth water for the environment would be used to maintain the condition of drought refuges across the lower Gwydir system pools. Refuges along the Gwydir River between Tareelaroi weir and Brageen Crossing as wells as the Mehi River upstream of Combadello and Carole Creek upstream of the Garah gauge would be the focus of this watering action.  </w:t>
      </w:r>
    </w:p>
    <w:p w14:paraId="6B32108E" w14:textId="77777777" w:rsidR="00AA0841" w:rsidRPr="00AA0841" w:rsidRDefault="00AA0841" w:rsidP="00B044C3">
      <w:pPr>
        <w:pStyle w:val="DotStyle1"/>
      </w:pPr>
      <w:r w:rsidRPr="00AA0841">
        <w:t xml:space="preserve">Should unregulated tributary flows enter the Gwydir River upstream of Pallamallawa, NSW and Commonwealth water for the environment may be used to restore the condition of core wetland and riparian areas in the lower parts of the Gwydir system, including along the Lower Gwydir and Gingham watercourses as well as Mallowa and Carole Creeks. </w:t>
      </w:r>
    </w:p>
    <w:p w14:paraId="7AB1FC23" w14:textId="77777777" w:rsidR="00AA0841" w:rsidRPr="00AA0841" w:rsidRDefault="00AA0841" w:rsidP="00AA0841">
      <w:r w:rsidRPr="00AA0841">
        <w:t xml:space="preserve">Four sites in the Lower Gwydir and Gingham are internationally recognised under the Ramsar Convention, these are Old Dromana on the Lower Gwydir as well as Goddard’s Lease, Windella and Crinolyn on the Gingham Watercourse. This watering action would seek to support the values of the Ramsar site by maintaining condition of wetland communities, including water couch and marsh club-rush communities within the Old Dromana and Goddard’s Lease sites. </w:t>
      </w:r>
    </w:p>
    <w:p w14:paraId="1922C1EE" w14:textId="77777777" w:rsidR="00AA0841" w:rsidRPr="00AA0841" w:rsidRDefault="00AA0841" w:rsidP="00AA0841">
      <w:r w:rsidRPr="00AA0841">
        <w:t>As in previous years, the use of Commonwealth and NSW environmental water in the Gwydir River Valley will be adaptively managed throughout 2020–21, in response to changing water resource availability and environmental conditions and demands.</w:t>
      </w:r>
    </w:p>
    <w:p w14:paraId="65767AA3" w14:textId="77777777" w:rsidR="00AA0841" w:rsidRPr="00AA0841" w:rsidRDefault="00AA0841" w:rsidP="00B044C3">
      <w:pPr>
        <w:pStyle w:val="Heading3"/>
      </w:pPr>
      <w:r w:rsidRPr="00AA0841">
        <w:t>Monitoring and Lessons learned</w:t>
      </w:r>
    </w:p>
    <w:p w14:paraId="0D4B9B61" w14:textId="77777777" w:rsidR="00AA0841" w:rsidRPr="00AA0841" w:rsidRDefault="00AA0841" w:rsidP="00B044C3">
      <w:pPr>
        <w:pStyle w:val="Heading4"/>
      </w:pPr>
      <w:r w:rsidRPr="00AA0841">
        <w:t>Monitoring</w:t>
      </w:r>
    </w:p>
    <w:p w14:paraId="28949BC0" w14:textId="77777777" w:rsidR="00AA0841" w:rsidRPr="00AA0841" w:rsidRDefault="00AA0841" w:rsidP="00AA0841">
      <w:r w:rsidRPr="00AA0841">
        <w:t xml:space="preserve">Monitoring and evaluation are key elements of the CEWO’s response to the requirements of the Water Act and Basin Plan. They support improved decision making through the application of adaptive management principles. Monitoring and evaluation are critical steps in the management of Commonwealth environmental water; supporting the efficient and effective use of Commonwealth environmental water within the planning framework and demonstrating the achievement of environmental objectives. </w:t>
      </w:r>
    </w:p>
    <w:p w14:paraId="6827E179" w14:textId="77777777" w:rsidR="00AA0841" w:rsidRPr="00AA0841" w:rsidRDefault="00AA0841" w:rsidP="00AA0841">
      <w:r w:rsidRPr="00AA0841">
        <w:t xml:space="preserve">The Monitoring, Evaluation and Research (MER) Program (previously the Long-Term Intervention Monitoring Project 2014-2019) has sites in the Gwydir River Valley. In particular, the program focuses on the Lower Gwydir and Gingham Watercourse wetlands, sections of the Mehi River, the Mallowa Creek and wetlands, and the Gwydir River downstream of Copeton Dam. The MER program is completed jointly with NSW DPIE – EES with support from NPWS for the monitoring of vegetation and waterbirds. The MER program aims to understand the environmental response to Commonwealth environmental watering over a number of years, to help inform future water management. </w:t>
      </w:r>
    </w:p>
    <w:p w14:paraId="5D01DF28" w14:textId="77777777" w:rsidR="00AA0841" w:rsidRPr="00AA0841" w:rsidRDefault="00AA0841" w:rsidP="00AA0841">
      <w:r w:rsidRPr="00AA0841">
        <w:t xml:space="preserve">Details of monitoring activities funded by the CEWO in the Gwydir River Valley can be found at: </w:t>
      </w:r>
      <w:hyperlink r:id="rId123" w:history="1">
        <w:r w:rsidRPr="00AA0841">
          <w:rPr>
            <w:color w:val="0000FF"/>
            <w:u w:val="single"/>
          </w:rPr>
          <w:t>http://www.environment.gov.au/water/cewo/catchment/gwydir/monitoring</w:t>
        </w:r>
      </w:hyperlink>
      <w:r w:rsidRPr="00AA0841">
        <w:t xml:space="preserve">. </w:t>
      </w:r>
    </w:p>
    <w:p w14:paraId="2BDAF991" w14:textId="77777777" w:rsidR="00AA0841" w:rsidRPr="00AA0841" w:rsidRDefault="00AA0841" w:rsidP="00AA0841">
      <w:r w:rsidRPr="00AA0841">
        <w:t>Monitoring information is also provided by NSW agencies, including NSW DPIE – EES (vegetation, waterbirds and frogs), NSW DPI – Fisheries (native fish), and WaterNSW (hydrology and flow delivery data).</w:t>
      </w:r>
    </w:p>
    <w:p w14:paraId="0AA50912" w14:textId="77777777" w:rsidR="00AA0841" w:rsidRPr="00AA0841" w:rsidRDefault="00AA0841" w:rsidP="00B044C3">
      <w:pPr>
        <w:pStyle w:val="Heading4"/>
      </w:pPr>
      <w:r w:rsidRPr="00AA0841">
        <w:lastRenderedPageBreak/>
        <w:t>Lessons learned</w:t>
      </w:r>
    </w:p>
    <w:p w14:paraId="78599F66" w14:textId="77777777" w:rsidR="00AA0841" w:rsidRPr="00AA0841" w:rsidRDefault="00AA0841" w:rsidP="00AA0841">
      <w:pPr>
        <w:rPr>
          <w:rFonts w:cstheme="minorHAnsi"/>
          <w:color w:val="000000" w:themeColor="text1"/>
        </w:rPr>
      </w:pPr>
      <w:r w:rsidRPr="00AA0841">
        <w:rPr>
          <w:rFonts w:cstheme="minorHAnsi"/>
          <w:color w:val="000000" w:themeColor="text1"/>
        </w:rPr>
        <w:t>Outcomes from monitoring and lessons learned in previous years are a critical component for the effective and efficient use of Commonwealth water for the environment. These learnings are incorporated into the way environmental water is managed.</w:t>
      </w:r>
    </w:p>
    <w:p w14:paraId="2144FE2C" w14:textId="343B27BF" w:rsidR="00AA0841" w:rsidRPr="00AA0841" w:rsidRDefault="00AA0841" w:rsidP="00AA0841">
      <w:r w:rsidRPr="00AA0841">
        <w:t xml:space="preserve">Key findings from water delivery and monitoring in the Gwydir River Valley is summarised in </w:t>
      </w:r>
      <w:r w:rsidRPr="00AA0841">
        <w:fldChar w:fldCharType="begin"/>
      </w:r>
      <w:r w:rsidRPr="00AA0841">
        <w:instrText xml:space="preserve"> REF _Ref43816725 \h  \* MERGEFORMAT </w:instrText>
      </w:r>
      <w:r w:rsidRPr="00AA0841">
        <w:fldChar w:fldCharType="separate"/>
      </w:r>
      <w:r w:rsidR="001B2852" w:rsidRPr="001B2852">
        <w:t xml:space="preserve">Table </w:t>
      </w:r>
      <w:r w:rsidR="001B2852" w:rsidRPr="001B2852">
        <w:rPr>
          <w:noProof/>
        </w:rPr>
        <w:t>18</w:t>
      </w:r>
      <w:r w:rsidRPr="00AA0841">
        <w:fldChar w:fldCharType="end"/>
      </w:r>
      <w:r w:rsidRPr="00AA0841">
        <w:t>.</w:t>
      </w:r>
    </w:p>
    <w:p w14:paraId="6ED7AA09" w14:textId="50985126" w:rsidR="00AA0841" w:rsidRPr="00AA0841" w:rsidRDefault="00AA0841" w:rsidP="00AA0841">
      <w:pPr>
        <w:spacing w:before="240"/>
      </w:pPr>
      <w:bookmarkStart w:id="99" w:name="_Ref43816725"/>
      <w:r w:rsidRPr="00AA0841">
        <w:rPr>
          <w:b/>
        </w:rPr>
        <w:t xml:space="preserve">Table </w:t>
      </w:r>
      <w:r w:rsidRPr="00AA0841">
        <w:rPr>
          <w:b/>
        </w:rPr>
        <w:fldChar w:fldCharType="begin"/>
      </w:r>
      <w:r w:rsidRPr="00AA0841">
        <w:rPr>
          <w:b/>
        </w:rPr>
        <w:instrText xml:space="preserve"> SEQ Table \* ARABIC </w:instrText>
      </w:r>
      <w:r w:rsidRPr="00AA0841">
        <w:rPr>
          <w:b/>
        </w:rPr>
        <w:fldChar w:fldCharType="separate"/>
      </w:r>
      <w:r w:rsidR="001B2852">
        <w:rPr>
          <w:b/>
          <w:noProof/>
        </w:rPr>
        <w:t>18</w:t>
      </w:r>
      <w:r w:rsidRPr="00AA0841">
        <w:rPr>
          <w:b/>
        </w:rPr>
        <w:fldChar w:fldCharType="end"/>
      </w:r>
      <w:bookmarkEnd w:id="99"/>
      <w:r w:rsidRPr="00AA0841">
        <w:rPr>
          <w:b/>
          <w:bCs/>
        </w:rPr>
        <w:t>:</w:t>
      </w:r>
      <w:r w:rsidRPr="00AA0841">
        <w:t xml:space="preserve"> Key lessons learned in the Gwydir River Valley</w:t>
      </w:r>
    </w:p>
    <w:tbl>
      <w:tblPr>
        <w:tblStyle w:val="TableGrid"/>
        <w:tblW w:w="0" w:type="auto"/>
        <w:tblLook w:val="04A0" w:firstRow="1" w:lastRow="0" w:firstColumn="1" w:lastColumn="0" w:noHBand="0" w:noVBand="1"/>
      </w:tblPr>
      <w:tblGrid>
        <w:gridCol w:w="1682"/>
        <w:gridCol w:w="8117"/>
      </w:tblGrid>
      <w:tr w:rsidR="00AA0841" w:rsidRPr="00AA0841" w14:paraId="1015C528" w14:textId="77777777" w:rsidTr="00AA0841">
        <w:trPr>
          <w:cnfStyle w:val="100000000000" w:firstRow="1" w:lastRow="0" w:firstColumn="0" w:lastColumn="0" w:oddVBand="0" w:evenVBand="0" w:oddHBand="0" w:evenHBand="0" w:firstRowFirstColumn="0" w:firstRowLastColumn="0" w:lastRowFirstColumn="0" w:lastRowLastColumn="0"/>
          <w:tblHeader/>
        </w:trPr>
        <w:tc>
          <w:tcPr>
            <w:tcW w:w="1696" w:type="dxa"/>
            <w:shd w:val="clear" w:color="auto" w:fill="B6DDE8" w:themeFill="accent5" w:themeFillTint="66"/>
          </w:tcPr>
          <w:p w14:paraId="62A3031E" w14:textId="77777777" w:rsidR="00AA0841" w:rsidRPr="00AA0841" w:rsidRDefault="00AA0841" w:rsidP="00AA0841">
            <w:pPr>
              <w:rPr>
                <w:b/>
              </w:rPr>
            </w:pPr>
            <w:r w:rsidRPr="00AA0841">
              <w:rPr>
                <w:b/>
              </w:rPr>
              <w:t>Theme</w:t>
            </w:r>
          </w:p>
        </w:tc>
        <w:tc>
          <w:tcPr>
            <w:tcW w:w="8358" w:type="dxa"/>
            <w:shd w:val="clear" w:color="auto" w:fill="B6DDE8" w:themeFill="accent5" w:themeFillTint="66"/>
          </w:tcPr>
          <w:p w14:paraId="22BB8CD0" w14:textId="77777777" w:rsidR="00AA0841" w:rsidRPr="00AA0841" w:rsidRDefault="00AA0841" w:rsidP="00AA0841">
            <w:pPr>
              <w:rPr>
                <w:b/>
              </w:rPr>
            </w:pPr>
            <w:r w:rsidRPr="00AA0841">
              <w:rPr>
                <w:b/>
              </w:rPr>
              <w:t>Lesson learned</w:t>
            </w:r>
          </w:p>
        </w:tc>
      </w:tr>
      <w:tr w:rsidR="00AA0841" w:rsidRPr="00AA0841" w14:paraId="0F8EBDC9" w14:textId="77777777" w:rsidTr="00AA0841">
        <w:trPr>
          <w:cnfStyle w:val="000000100000" w:firstRow="0" w:lastRow="0" w:firstColumn="0" w:lastColumn="0" w:oddVBand="0" w:evenVBand="0" w:oddHBand="1" w:evenHBand="0" w:firstRowFirstColumn="0" w:firstRowLastColumn="0" w:lastRowFirstColumn="0" w:lastRowLastColumn="0"/>
        </w:trPr>
        <w:tc>
          <w:tcPr>
            <w:tcW w:w="1696" w:type="dxa"/>
            <w:shd w:val="clear" w:color="auto" w:fill="B6DDE8" w:themeFill="accent5" w:themeFillTint="66"/>
          </w:tcPr>
          <w:p w14:paraId="2E394ED9" w14:textId="77777777" w:rsidR="00AA0841" w:rsidRPr="00AA0841" w:rsidRDefault="00AA0841" w:rsidP="00AA0841">
            <w:r w:rsidRPr="00AA0841">
              <w:t>Native fish</w:t>
            </w:r>
          </w:p>
        </w:tc>
        <w:tc>
          <w:tcPr>
            <w:tcW w:w="8358" w:type="dxa"/>
          </w:tcPr>
          <w:p w14:paraId="6792A0F6" w14:textId="77777777" w:rsidR="00AA0841" w:rsidRPr="00AA0841" w:rsidRDefault="00AA0841" w:rsidP="00B044C3">
            <w:pPr>
              <w:pStyle w:val="DotStyle1"/>
            </w:pPr>
            <w:r w:rsidRPr="00AA0841">
              <w:t xml:space="preserve">The fish population in the Gwydir River system remains under stress, with many native species and endangered species in low abundance. This may reflect the carrying capacity of the system in its current state. While some species appear to be breeding and recruiting, others, especially some of the more iconic species such as golden perch, freshwater catfish and Murray cod, are not recruiting sufficiently to improve their populations. </w:t>
            </w:r>
          </w:p>
          <w:p w14:paraId="7F35FE2A" w14:textId="77777777" w:rsidR="00AA0841" w:rsidRPr="00AA0841" w:rsidRDefault="00AA0841" w:rsidP="00B044C3">
            <w:pPr>
              <w:pStyle w:val="DotStyle1"/>
              <w:rPr>
                <w:rFonts w:cstheme="minorHAnsi"/>
                <w:szCs w:val="22"/>
              </w:rPr>
            </w:pPr>
            <w:r w:rsidRPr="00AA0841">
              <w:rPr>
                <w:rFonts w:cstheme="minorHAnsi"/>
                <w:szCs w:val="22"/>
              </w:rPr>
              <w:t>Flow events delivered earlier in the water year (winter/spring) improve water quality, stimulate fish to move through the system and encourage the development of diverse invertebrate communities. Primary and secondary production during flows at this time of year are limited by colder water temperatures.</w:t>
            </w:r>
          </w:p>
          <w:p w14:paraId="55649AAD" w14:textId="77777777" w:rsidR="00AA0841" w:rsidRPr="00AA0841" w:rsidRDefault="00AA0841" w:rsidP="00B044C3">
            <w:pPr>
              <w:pStyle w:val="DotStyle1"/>
              <w:rPr>
                <w:rFonts w:ascii="Century Gothic" w:hAnsi="Century Gothic"/>
              </w:rPr>
            </w:pPr>
            <w:r w:rsidRPr="00AA0841">
              <w:t>Along with providing environmental flows, other options such as habitat rehabilitation, restocking and barrier remediation should be considered to improve fish community condition.</w:t>
            </w:r>
          </w:p>
        </w:tc>
      </w:tr>
      <w:tr w:rsidR="00AA0841" w:rsidRPr="00AA0841" w14:paraId="7D95A4E6" w14:textId="77777777" w:rsidTr="00AA0841">
        <w:trPr>
          <w:cnfStyle w:val="000000010000" w:firstRow="0" w:lastRow="0" w:firstColumn="0" w:lastColumn="0" w:oddVBand="0" w:evenVBand="0" w:oddHBand="0" w:evenHBand="1" w:firstRowFirstColumn="0" w:firstRowLastColumn="0" w:lastRowFirstColumn="0" w:lastRowLastColumn="0"/>
        </w:trPr>
        <w:tc>
          <w:tcPr>
            <w:tcW w:w="1696" w:type="dxa"/>
            <w:shd w:val="clear" w:color="auto" w:fill="B6DDE8" w:themeFill="accent5" w:themeFillTint="66"/>
          </w:tcPr>
          <w:p w14:paraId="721380D0" w14:textId="77777777" w:rsidR="00AA0841" w:rsidRPr="00AA0841" w:rsidRDefault="00AA0841" w:rsidP="00AA0841">
            <w:r w:rsidRPr="00AA0841">
              <w:t>Vegetation</w:t>
            </w:r>
          </w:p>
        </w:tc>
        <w:tc>
          <w:tcPr>
            <w:tcW w:w="8358" w:type="dxa"/>
          </w:tcPr>
          <w:p w14:paraId="71419FA0" w14:textId="77777777" w:rsidR="00AA0841" w:rsidRPr="00AA0841" w:rsidRDefault="00AA0841" w:rsidP="00B044C3">
            <w:pPr>
              <w:pStyle w:val="DotStyle1"/>
            </w:pPr>
            <w:r w:rsidRPr="00AA0841">
              <w:t>Delivery of water for the environment, in combination with natural inflows, has been effective in improving the extent and condition of wetland vegetation. In particular, water couch-spike rush meadows, cumbungi and marsh club-rush tall sedgelands and wetland areas of coolibah woodlands have benefited from watering. These areas are key to maintaining the ecological condition of Ramsar sites within the Gwydir.</w:t>
            </w:r>
          </w:p>
        </w:tc>
      </w:tr>
      <w:tr w:rsidR="00AA0841" w:rsidRPr="00AA0841" w14:paraId="611B29AD" w14:textId="77777777" w:rsidTr="00AA0841">
        <w:trPr>
          <w:cnfStyle w:val="000000100000" w:firstRow="0" w:lastRow="0" w:firstColumn="0" w:lastColumn="0" w:oddVBand="0" w:evenVBand="0" w:oddHBand="1" w:evenHBand="0" w:firstRowFirstColumn="0" w:firstRowLastColumn="0" w:lastRowFirstColumn="0" w:lastRowLastColumn="0"/>
          <w:trHeight w:val="569"/>
        </w:trPr>
        <w:tc>
          <w:tcPr>
            <w:tcW w:w="1696" w:type="dxa"/>
            <w:shd w:val="clear" w:color="auto" w:fill="B6DDE8" w:themeFill="accent5" w:themeFillTint="66"/>
          </w:tcPr>
          <w:p w14:paraId="70E3FB6C" w14:textId="77777777" w:rsidR="00AA0841" w:rsidRPr="00AA0841" w:rsidRDefault="00AA0841" w:rsidP="00AA0841">
            <w:r w:rsidRPr="00AA0841">
              <w:t>Wetlands</w:t>
            </w:r>
          </w:p>
        </w:tc>
        <w:tc>
          <w:tcPr>
            <w:tcW w:w="8358" w:type="dxa"/>
          </w:tcPr>
          <w:p w14:paraId="75313F6A" w14:textId="77777777" w:rsidR="00AA0841" w:rsidRPr="00AA0841" w:rsidRDefault="00AA0841" w:rsidP="00B044C3">
            <w:pPr>
              <w:pStyle w:val="DotStyle1"/>
            </w:pPr>
            <w:r w:rsidRPr="00AA0841">
              <w:t xml:space="preserve">Providing flows to wetlands in the Gwydir system promotes invertebrate production and supports waterbird populations and vegetation condition. </w:t>
            </w:r>
          </w:p>
          <w:p w14:paraId="7D5AB5F9" w14:textId="77777777" w:rsidR="00AA0841" w:rsidRPr="00AA0841" w:rsidRDefault="00AA0841" w:rsidP="00B044C3">
            <w:pPr>
              <w:pStyle w:val="DotStyle1"/>
              <w:rPr>
                <w:rFonts w:cstheme="minorHAnsi"/>
                <w:color w:val="000000" w:themeColor="text1"/>
              </w:rPr>
            </w:pPr>
            <w:r w:rsidRPr="00AA0841">
              <w:rPr>
                <w:rFonts w:cstheme="minorHAnsi"/>
                <w:color w:val="000000" w:themeColor="text1"/>
              </w:rPr>
              <w:t>While small frequent flows to the Gingham and Lower Gwydir wetlands can occur both from protected portions of natural flows and small deliveries of water for the environment, these small flows tend to only reach into the more eastern portions, and do not result in effective inundation of the central and western portions of wetlands in the Gingham and Lower Gwydir.</w:t>
            </w:r>
            <w:r w:rsidRPr="00AA0841">
              <w:rPr>
                <w:rFonts w:ascii="Century Gothic" w:hAnsi="Century Gothic"/>
                <w:color w:val="000000" w:themeColor="text1"/>
              </w:rPr>
              <w:t xml:space="preserve"> </w:t>
            </w:r>
            <w:r w:rsidRPr="00AA0841">
              <w:rPr>
                <w:rFonts w:cstheme="minorHAnsi"/>
                <w:color w:val="000000" w:themeColor="text1"/>
              </w:rPr>
              <w:t>A larger volume event, be it by natural flooding or a larger</w:t>
            </w:r>
            <w:r w:rsidRPr="00AA0841">
              <w:rPr>
                <w:rFonts w:ascii="Century Gothic" w:hAnsi="Century Gothic"/>
                <w:color w:val="000000" w:themeColor="text1"/>
              </w:rPr>
              <w:t xml:space="preserve"> </w:t>
            </w:r>
            <w:r w:rsidRPr="00AA0841">
              <w:rPr>
                <w:rFonts w:cstheme="minorHAnsi"/>
                <w:color w:val="000000" w:themeColor="text1"/>
              </w:rPr>
              <w:t xml:space="preserve">delivered volume from dam accounts is required at least once every three years to preserve and conserve the water dependent assets over time. The Mallowa wetlands rely almost solely on environmental water deliveries for all inflows except for inflows that occur from the larger natural flooding events. </w:t>
            </w:r>
          </w:p>
          <w:p w14:paraId="1C040406" w14:textId="77777777" w:rsidR="00AA0841" w:rsidRPr="00AA0841" w:rsidRDefault="00AA0841" w:rsidP="00B044C3">
            <w:pPr>
              <w:pStyle w:val="DotStyle1"/>
              <w:rPr>
                <w:rFonts w:cstheme="minorHAnsi"/>
                <w:i/>
                <w:color w:val="000000" w:themeColor="text1"/>
              </w:rPr>
            </w:pPr>
            <w:r w:rsidRPr="00AA0841">
              <w:rPr>
                <w:rFonts w:cstheme="minorHAnsi"/>
                <w:color w:val="000000" w:themeColor="text1"/>
              </w:rPr>
              <w:t xml:space="preserve">While it is preferred to use natural flow triggers for a ‘reactive’ use of water for the environment to inundate the east, central and western portions of the wetlands in the western Gwydir catchment, it is important to ensure that the wetlands within valley receive water across their entire length at least once every three years. Where a ‘reactive’ approach is insufficient to achieve inundation in the three-year period, a ‘proactive’ approach, involving the use of a larger delivered volume from dam accounts into the wetlands, is then undertaken to ensure the continued health of the wetlands. This proactive approach reflects the available water, constraints and modifications of the system. Larger scale proactive environmental watering in 2014-15 and 2018-19 successfully contributed to the recovery of wetland vegetation in the Lower Gwydir and Gingham Watercourses. The Old Dromana and </w:t>
            </w:r>
            <w:r w:rsidRPr="00AA0841">
              <w:rPr>
                <w:rFonts w:cstheme="minorHAnsi"/>
                <w:color w:val="000000" w:themeColor="text1"/>
              </w:rPr>
              <w:lastRenderedPageBreak/>
              <w:t xml:space="preserve">Goddard’s Lease Ramsar sites, can be successfully inundated with a large-scale proactive watering action (60 </w:t>
            </w:r>
            <w:r w:rsidRPr="00AA0841">
              <w:t>gigalitres</w:t>
            </w:r>
            <w:r w:rsidRPr="00AA0841">
              <w:rPr>
                <w:rFonts w:cstheme="minorHAnsi"/>
                <w:color w:val="000000" w:themeColor="text1"/>
              </w:rPr>
              <w:t xml:space="preserve"> with around 30 </w:t>
            </w:r>
            <w:r w:rsidRPr="00AA0841">
              <w:t>gigalitres</w:t>
            </w:r>
            <w:r w:rsidRPr="00AA0841">
              <w:rPr>
                <w:rFonts w:cstheme="minorHAnsi"/>
                <w:color w:val="000000" w:themeColor="text1"/>
              </w:rPr>
              <w:t xml:space="preserve"> each to the Gingham and Lower Gwydir), helping to support areas of coolibah woodland, water couch, cumbungi and marsh club-rush.</w:t>
            </w:r>
          </w:p>
        </w:tc>
      </w:tr>
      <w:tr w:rsidR="00AA0841" w:rsidRPr="00AA0841" w14:paraId="41E3B0DC" w14:textId="77777777" w:rsidTr="00AA0841">
        <w:trPr>
          <w:cnfStyle w:val="000000010000" w:firstRow="0" w:lastRow="0" w:firstColumn="0" w:lastColumn="0" w:oddVBand="0" w:evenVBand="0" w:oddHBand="0" w:evenHBand="1" w:firstRowFirstColumn="0" w:firstRowLastColumn="0" w:lastRowFirstColumn="0" w:lastRowLastColumn="0"/>
        </w:trPr>
        <w:tc>
          <w:tcPr>
            <w:tcW w:w="1696" w:type="dxa"/>
            <w:shd w:val="clear" w:color="auto" w:fill="B6DDE8" w:themeFill="accent5" w:themeFillTint="66"/>
          </w:tcPr>
          <w:p w14:paraId="6A1AC755" w14:textId="77777777" w:rsidR="00AA0841" w:rsidRPr="00AA0841" w:rsidRDefault="00AA0841" w:rsidP="00AA0841">
            <w:r w:rsidRPr="00AA0841">
              <w:lastRenderedPageBreak/>
              <w:t>Ramsar sites</w:t>
            </w:r>
          </w:p>
        </w:tc>
        <w:tc>
          <w:tcPr>
            <w:tcW w:w="8358" w:type="dxa"/>
          </w:tcPr>
          <w:p w14:paraId="205E00E4" w14:textId="77777777" w:rsidR="00AA0841" w:rsidRPr="00AA0841" w:rsidRDefault="00AA0841" w:rsidP="00B044C3">
            <w:pPr>
              <w:pStyle w:val="DotStyle1"/>
            </w:pPr>
            <w:r w:rsidRPr="00AA0841">
              <w:t xml:space="preserve">Four sites within the wetlands are listed as a Wetland of International Importance under the Ramsar Convention: Old Dromana on the Lower Gwydir Watercourse, and Goddard’s Lease, Windella and Crinolyn on the Gingham Watercourse. The inundation extent achieved by environmental water deliveries varies between the four Ramsar parcels.  </w:t>
            </w:r>
          </w:p>
          <w:p w14:paraId="5154EBB7" w14:textId="77777777" w:rsidR="00AA0841" w:rsidRPr="00AA0841" w:rsidRDefault="00AA0841" w:rsidP="00B044C3">
            <w:pPr>
              <w:pStyle w:val="DotStyle1"/>
            </w:pPr>
            <w:r w:rsidRPr="00AA0841">
              <w:t xml:space="preserve">Environmental water deliveries during the 2018–19 water year effectively inundated the two upstream Ramsar parcels on Old Dromana and Goddard's Lease. However, environmental water deliveries did not spill into the wetland areas located on Crinolyn and Windella but continued past these sites and reached Morialta Road downstream. These deliveries have demonstrated that while the upstream Ramsar parcels can be watered relatively easily, the two downstream sites require rehabilitation to allow flows to inundate them. This is because channelisation and works in the mid and lower sections of the Gingham Watercourse has resulted in a deepening of the old stock and domestic channel. This means that higher flow rates and/or remediation works are required for environmental water to be able to flow out onto the wetlands at the Crinolyn and Windella parcels. </w:t>
            </w:r>
          </w:p>
        </w:tc>
      </w:tr>
      <w:tr w:rsidR="00AA0841" w:rsidRPr="00AA0841" w14:paraId="0F45C56E" w14:textId="77777777" w:rsidTr="00AA0841">
        <w:trPr>
          <w:cnfStyle w:val="000000100000" w:firstRow="0" w:lastRow="0" w:firstColumn="0" w:lastColumn="0" w:oddVBand="0" w:evenVBand="0" w:oddHBand="1" w:evenHBand="0" w:firstRowFirstColumn="0" w:firstRowLastColumn="0" w:lastRowFirstColumn="0" w:lastRowLastColumn="0"/>
        </w:trPr>
        <w:tc>
          <w:tcPr>
            <w:tcW w:w="1696" w:type="dxa"/>
            <w:shd w:val="clear" w:color="auto" w:fill="B6DDE8" w:themeFill="accent5" w:themeFillTint="66"/>
          </w:tcPr>
          <w:p w14:paraId="5704B88B" w14:textId="77777777" w:rsidR="00AA0841" w:rsidRPr="00AA0841" w:rsidRDefault="00AA0841" w:rsidP="00AA0841">
            <w:r w:rsidRPr="00AA0841">
              <w:t xml:space="preserve">Survival (Managing extended Cease to Flow Periods) </w:t>
            </w:r>
          </w:p>
        </w:tc>
        <w:tc>
          <w:tcPr>
            <w:tcW w:w="8358" w:type="dxa"/>
          </w:tcPr>
          <w:p w14:paraId="6B28976B" w14:textId="77777777" w:rsidR="00AA0841" w:rsidRPr="00AA0841" w:rsidRDefault="00AA0841" w:rsidP="00B044C3">
            <w:pPr>
              <w:pStyle w:val="DotStyle1"/>
              <w:rPr>
                <w:szCs w:val="22"/>
              </w:rPr>
            </w:pPr>
            <w:r w:rsidRPr="00AA0841">
              <w:t xml:space="preserve">Avoiding extended cease to flow periods is important in key river and creek reaches. Guidelines would help to understand how water for the environment could be managed to help prevent maximum intervals between flows from being exceeded, and how to manage low dissolved oxygen/water quality when restarting rivers. For example, cease to flow conditions reached ~100 days in the Mehi River in 2019, and the outcomes of this experience could be used to guide future water delivery during dry conditions. </w:t>
            </w:r>
          </w:p>
        </w:tc>
      </w:tr>
      <w:tr w:rsidR="00AA0841" w:rsidRPr="00AA0841" w14:paraId="340338D3" w14:textId="77777777" w:rsidTr="00AA0841">
        <w:trPr>
          <w:cnfStyle w:val="000000010000" w:firstRow="0" w:lastRow="0" w:firstColumn="0" w:lastColumn="0" w:oddVBand="0" w:evenVBand="0" w:oddHBand="0" w:evenHBand="1" w:firstRowFirstColumn="0" w:firstRowLastColumn="0" w:lastRowFirstColumn="0" w:lastRowLastColumn="0"/>
        </w:trPr>
        <w:tc>
          <w:tcPr>
            <w:tcW w:w="1696" w:type="dxa"/>
            <w:shd w:val="clear" w:color="auto" w:fill="B6DDE8" w:themeFill="accent5" w:themeFillTint="66"/>
          </w:tcPr>
          <w:p w14:paraId="02B3D39F" w14:textId="77777777" w:rsidR="00AA0841" w:rsidRPr="00AA0841" w:rsidRDefault="00AA0841" w:rsidP="00AA0841">
            <w:r w:rsidRPr="00AA0841">
              <w:t>Productivity</w:t>
            </w:r>
          </w:p>
        </w:tc>
        <w:tc>
          <w:tcPr>
            <w:tcW w:w="8358" w:type="dxa"/>
          </w:tcPr>
          <w:p w14:paraId="47CA3940" w14:textId="77777777" w:rsidR="00AA0841" w:rsidRPr="00AA0841" w:rsidRDefault="00AA0841" w:rsidP="00B044C3">
            <w:pPr>
              <w:pStyle w:val="DotStyle1"/>
              <w:rPr>
                <w:szCs w:val="22"/>
              </w:rPr>
            </w:pPr>
            <w:r w:rsidRPr="00AA0841">
              <w:rPr>
                <w:szCs w:val="22"/>
              </w:rPr>
              <w:t>Flows delivered over the summer/autumn period tend to improve water quality and promote primary and secondary production. This supports animals further up the food chain such as fish, frogs and waterbirds.</w:t>
            </w:r>
          </w:p>
        </w:tc>
      </w:tr>
      <w:tr w:rsidR="00AA0841" w:rsidRPr="00AA0841" w14:paraId="3F35E8B7" w14:textId="77777777" w:rsidTr="00AA0841">
        <w:trPr>
          <w:cnfStyle w:val="000000100000" w:firstRow="0" w:lastRow="0" w:firstColumn="0" w:lastColumn="0" w:oddVBand="0" w:evenVBand="0" w:oddHBand="1" w:evenHBand="0" w:firstRowFirstColumn="0" w:firstRowLastColumn="0" w:lastRowFirstColumn="0" w:lastRowLastColumn="0"/>
        </w:trPr>
        <w:tc>
          <w:tcPr>
            <w:tcW w:w="1696" w:type="dxa"/>
            <w:shd w:val="clear" w:color="auto" w:fill="B6DDE8" w:themeFill="accent5" w:themeFillTint="66"/>
          </w:tcPr>
          <w:p w14:paraId="7AA7C8B2" w14:textId="77777777" w:rsidR="00AA0841" w:rsidRPr="00AA0841" w:rsidRDefault="00AA0841" w:rsidP="00AA0841">
            <w:r w:rsidRPr="00AA0841">
              <w:t>Connectivity</w:t>
            </w:r>
          </w:p>
        </w:tc>
        <w:tc>
          <w:tcPr>
            <w:tcW w:w="8358" w:type="dxa"/>
          </w:tcPr>
          <w:p w14:paraId="11CB50E6" w14:textId="77777777" w:rsidR="00AA0841" w:rsidRPr="00AA0841" w:rsidRDefault="00AA0841" w:rsidP="00B044C3">
            <w:pPr>
              <w:pStyle w:val="DotStyle1"/>
            </w:pPr>
            <w:r w:rsidRPr="00AA0841">
              <w:t>Connectivity between Gwydir and Barwon rivers can be achieved using water for the environment, and is important for supporting native fish habitat, and allowing the movement of native fish between rivers for spawning, dispersal and recruitment.</w:t>
            </w:r>
          </w:p>
          <w:p w14:paraId="3FEB4153" w14:textId="77777777" w:rsidR="00AA0841" w:rsidRPr="00AA0841" w:rsidRDefault="00AA0841" w:rsidP="00B044C3">
            <w:pPr>
              <w:pStyle w:val="DotStyle1"/>
            </w:pPr>
            <w:r w:rsidRPr="00AA0841">
              <w:t>The Northern Connectivity Event and Northern Fish Flow delivered from the Gwydir via the Mehi River and/or Carole Creek systems into the Barwon–Darling system during the 2017–18 and 2018–19 water years were critical actions. These events reconnected channel habitats and promoted fish movement among the channels of the lower Gwydir system via the Mehi and Carole and between the Gwydir and Baron Darling systems. Protecting environmental water delivered in these events from extraction was essential for success. In the absence of appropriate protection, these watering action would not have provided the same level of environmental outcomes.</w:t>
            </w:r>
          </w:p>
        </w:tc>
      </w:tr>
      <w:tr w:rsidR="00AA0841" w:rsidRPr="00AA0841" w14:paraId="45E6633A" w14:textId="77777777" w:rsidTr="00AA0841">
        <w:trPr>
          <w:cnfStyle w:val="000000010000" w:firstRow="0" w:lastRow="0" w:firstColumn="0" w:lastColumn="0" w:oddVBand="0" w:evenVBand="0" w:oddHBand="0" w:evenHBand="1" w:firstRowFirstColumn="0" w:firstRowLastColumn="0" w:lastRowFirstColumn="0" w:lastRowLastColumn="0"/>
        </w:trPr>
        <w:tc>
          <w:tcPr>
            <w:tcW w:w="1696" w:type="dxa"/>
            <w:shd w:val="clear" w:color="auto" w:fill="B6DDE8" w:themeFill="accent5" w:themeFillTint="66"/>
          </w:tcPr>
          <w:p w14:paraId="122D8CF9" w14:textId="77777777" w:rsidR="00AA0841" w:rsidRPr="00AA0841" w:rsidRDefault="00AA0841" w:rsidP="00AA0841">
            <w:r w:rsidRPr="00AA0841">
              <w:t>Other</w:t>
            </w:r>
          </w:p>
        </w:tc>
        <w:tc>
          <w:tcPr>
            <w:tcW w:w="8358" w:type="dxa"/>
          </w:tcPr>
          <w:p w14:paraId="7885F3C9" w14:textId="77777777" w:rsidR="00AA0841" w:rsidRPr="00AA0841" w:rsidRDefault="00AA0841" w:rsidP="00B044C3">
            <w:pPr>
              <w:pStyle w:val="DotStyle1"/>
            </w:pPr>
            <w:r w:rsidRPr="00AA0841">
              <w:rPr>
                <w:szCs w:val="22"/>
              </w:rPr>
              <w:t>The principle management strategies employed in the lower sections of the Gwydir system of multi-year wetting and drying and using multiple flow types to target a range of wetland and channel outcomes, is helping to sustain the ecology of the system.</w:t>
            </w:r>
          </w:p>
        </w:tc>
      </w:tr>
    </w:tbl>
    <w:p w14:paraId="77BC38DE" w14:textId="77777777" w:rsidR="00AA0841" w:rsidRPr="00AA0841" w:rsidRDefault="00AA0841" w:rsidP="00AA0841">
      <w:pPr>
        <w:spacing w:after="0"/>
        <w:rPr>
          <w:rFonts w:ascii="Century Gothic" w:hAnsi="Century Gothic" w:cs="Times New Roman"/>
          <w:color w:val="auto"/>
          <w:sz w:val="20"/>
          <w:lang w:val="en-US" w:eastAsia="en-US"/>
        </w:rPr>
      </w:pPr>
      <w:r w:rsidRPr="00AA0841">
        <w:rPr>
          <w:rFonts w:ascii="Century Gothic" w:hAnsi="Century Gothic"/>
        </w:rPr>
        <w:br w:type="page"/>
      </w:r>
    </w:p>
    <w:p w14:paraId="0ADEA47F" w14:textId="77777777" w:rsidR="00AA0841" w:rsidRPr="00AA0841" w:rsidRDefault="00AA0841" w:rsidP="00B044C3">
      <w:pPr>
        <w:pStyle w:val="Heading3"/>
      </w:pPr>
      <w:r w:rsidRPr="00AA0841">
        <w:lastRenderedPageBreak/>
        <w:t>Bibliography</w:t>
      </w:r>
    </w:p>
    <w:p w14:paraId="1A595BC1" w14:textId="77777777" w:rsidR="00AA0841" w:rsidRPr="00AA0841" w:rsidRDefault="00AA0841" w:rsidP="00AA0841">
      <w:pPr>
        <w:rPr>
          <w:rFonts w:cstheme="minorHAnsi"/>
          <w:szCs w:val="22"/>
        </w:rPr>
      </w:pPr>
      <w:r w:rsidRPr="00AA0841">
        <w:rPr>
          <w:rFonts w:cstheme="minorHAnsi"/>
          <w:szCs w:val="22"/>
        </w:rPr>
        <w:t xml:space="preserve">Bureau of Meteorology (2020). </w:t>
      </w:r>
      <w:r w:rsidRPr="00AA0841">
        <w:rPr>
          <w:i/>
          <w:iCs/>
          <w:szCs w:val="22"/>
          <w:lang w:val="en"/>
        </w:rPr>
        <w:t xml:space="preserve">Rainfall—The chance of above median for July to September 2020. </w:t>
      </w:r>
      <w:hyperlink r:id="rId124" w:anchor="/rainfall/median/seasonal/0" w:history="1">
        <w:r w:rsidRPr="00AA0841">
          <w:rPr>
            <w:rFonts w:cstheme="minorHAnsi"/>
            <w:color w:val="0000FF"/>
            <w:szCs w:val="22"/>
            <w:u w:val="single"/>
          </w:rPr>
          <w:t>http://www.bom.gov.au/climate/outlooks/#/rainfall/median/seasonal/0</w:t>
        </w:r>
      </w:hyperlink>
      <w:r w:rsidRPr="00AA0841">
        <w:rPr>
          <w:rFonts w:cstheme="minorHAnsi"/>
          <w:szCs w:val="22"/>
        </w:rPr>
        <w:t xml:space="preserve"> </w:t>
      </w:r>
    </w:p>
    <w:p w14:paraId="7121B6C1" w14:textId="77777777" w:rsidR="00AA0841" w:rsidRPr="00AA0841" w:rsidRDefault="00AA0841" w:rsidP="00AA0841">
      <w:pPr>
        <w:rPr>
          <w:rFonts w:cstheme="minorHAnsi"/>
          <w:szCs w:val="22"/>
        </w:rPr>
      </w:pPr>
      <w:r w:rsidRPr="00AA0841">
        <w:rPr>
          <w:rFonts w:cstheme="minorHAnsi"/>
          <w:szCs w:val="22"/>
        </w:rPr>
        <w:t xml:space="preserve">Bureau of Meteorology (2020). </w:t>
      </w:r>
      <w:r w:rsidRPr="00AA0841">
        <w:rPr>
          <w:i/>
          <w:iCs/>
          <w:szCs w:val="22"/>
          <w:lang w:val="en"/>
        </w:rPr>
        <w:t xml:space="preserve">Rainfall—The chance of above median for August to October 2020. </w:t>
      </w:r>
      <w:hyperlink r:id="rId125" w:anchor="/rainfall/median/seasonal/1" w:history="1">
        <w:r w:rsidRPr="00AA0841">
          <w:rPr>
            <w:rFonts w:cstheme="minorHAnsi"/>
            <w:color w:val="0000FF"/>
            <w:szCs w:val="22"/>
            <w:u w:val="single"/>
          </w:rPr>
          <w:t>http://www.bom.gov.au/climate/outlooks/#/rainfall/median/seasonal/1</w:t>
        </w:r>
      </w:hyperlink>
      <w:r w:rsidRPr="00AA0841">
        <w:rPr>
          <w:rFonts w:cstheme="minorHAnsi"/>
          <w:szCs w:val="22"/>
        </w:rPr>
        <w:t xml:space="preserve"> </w:t>
      </w:r>
    </w:p>
    <w:p w14:paraId="356CFA6F" w14:textId="77777777" w:rsidR="00AA0841" w:rsidRPr="00AA0841" w:rsidRDefault="00AA0841" w:rsidP="00AA0841">
      <w:pPr>
        <w:rPr>
          <w:rFonts w:cstheme="minorHAnsi"/>
          <w:szCs w:val="22"/>
        </w:rPr>
      </w:pPr>
      <w:r w:rsidRPr="00AA0841">
        <w:rPr>
          <w:rFonts w:cstheme="minorHAnsi"/>
          <w:szCs w:val="22"/>
        </w:rPr>
        <w:t xml:space="preserve">Bureau of Meteorology (2020). </w:t>
      </w:r>
      <w:r w:rsidRPr="00AA0841">
        <w:rPr>
          <w:i/>
          <w:iCs/>
          <w:szCs w:val="22"/>
          <w:lang w:val="en"/>
        </w:rPr>
        <w:t>Temperature—The chance of above median maximum temperature for June to August 2020</w:t>
      </w:r>
      <w:r w:rsidRPr="00AA0841">
        <w:rPr>
          <w:szCs w:val="22"/>
          <w:lang w:val="en"/>
        </w:rPr>
        <w:t xml:space="preserve">. </w:t>
      </w:r>
      <w:hyperlink r:id="rId126" w:anchor="/temperature/maximum/median/seasonal/0" w:history="1">
        <w:r w:rsidRPr="00AA0841">
          <w:rPr>
            <w:rFonts w:cstheme="minorHAnsi"/>
            <w:color w:val="0000FF"/>
            <w:szCs w:val="22"/>
            <w:u w:val="single"/>
          </w:rPr>
          <w:t>http://www.bom.gov.au/climate/outlooks/#/temperature/maximum/median/seasonal/0</w:t>
        </w:r>
      </w:hyperlink>
      <w:r w:rsidRPr="00AA0841">
        <w:rPr>
          <w:rFonts w:cstheme="minorHAnsi"/>
          <w:szCs w:val="22"/>
        </w:rPr>
        <w:t xml:space="preserve"> </w:t>
      </w:r>
    </w:p>
    <w:p w14:paraId="30D03297" w14:textId="77777777" w:rsidR="00AA0841" w:rsidRPr="00AA0841" w:rsidRDefault="00AA0841" w:rsidP="00AA0841">
      <w:pPr>
        <w:rPr>
          <w:rFonts w:cstheme="minorHAnsi"/>
          <w:szCs w:val="22"/>
        </w:rPr>
      </w:pPr>
      <w:r w:rsidRPr="00AA0841">
        <w:rPr>
          <w:rFonts w:cstheme="minorHAnsi"/>
          <w:szCs w:val="22"/>
        </w:rPr>
        <w:t xml:space="preserve">Bureau of Meteorology (2020). </w:t>
      </w:r>
      <w:r w:rsidRPr="00AA0841">
        <w:rPr>
          <w:i/>
          <w:iCs/>
          <w:szCs w:val="22"/>
          <w:lang w:val="en"/>
        </w:rPr>
        <w:t>Temperature—The chance of above median maximum temperature for July to September 2020</w:t>
      </w:r>
      <w:r w:rsidRPr="00AA0841">
        <w:rPr>
          <w:szCs w:val="22"/>
          <w:lang w:val="en"/>
        </w:rPr>
        <w:t xml:space="preserve">. </w:t>
      </w:r>
      <w:hyperlink r:id="rId127" w:anchor="/temperature/maximum/median/seasonal/1" w:history="1">
        <w:r w:rsidRPr="00AA0841">
          <w:rPr>
            <w:color w:val="0000FF"/>
            <w:szCs w:val="22"/>
            <w:u w:val="single"/>
            <w:lang w:val="en"/>
          </w:rPr>
          <w:t>http://www.bom.gov.au/climate/outlooks/#/temperature/maximum/median/seasonal/1</w:t>
        </w:r>
      </w:hyperlink>
      <w:r w:rsidRPr="00AA0841">
        <w:rPr>
          <w:szCs w:val="22"/>
          <w:lang w:val="en"/>
        </w:rPr>
        <w:t xml:space="preserve">  </w:t>
      </w:r>
    </w:p>
    <w:p w14:paraId="3E31A286" w14:textId="77777777" w:rsidR="00AA0841" w:rsidRPr="00AA0841" w:rsidRDefault="00AA0841" w:rsidP="00AA0841">
      <w:pPr>
        <w:rPr>
          <w:rFonts w:cstheme="minorHAnsi"/>
          <w:szCs w:val="22"/>
          <w:highlight w:val="yellow"/>
          <w:lang w:val="en-GB" w:eastAsia="en-US"/>
        </w:rPr>
      </w:pPr>
      <w:r w:rsidRPr="00AA0841">
        <w:rPr>
          <w:rFonts w:cstheme="minorHAnsi"/>
          <w:szCs w:val="24"/>
          <w:lang w:val="en-GB" w:eastAsia="en-US"/>
        </w:rPr>
        <w:t xml:space="preserve">Bureau of Meteorology (2020). </w:t>
      </w:r>
      <w:r w:rsidRPr="00AA0841">
        <w:rPr>
          <w:rFonts w:cstheme="minorHAnsi"/>
          <w:i/>
          <w:iCs/>
          <w:szCs w:val="24"/>
          <w:lang w:val="en-GB" w:eastAsia="en-US"/>
        </w:rPr>
        <w:t>Thirty-six monthly rainfall deciles for New South Wales / ACT.</w:t>
      </w:r>
      <w:r w:rsidRPr="00AA0841">
        <w:rPr>
          <w:rFonts w:cstheme="minorHAnsi"/>
          <w:szCs w:val="24"/>
          <w:lang w:val="en-GB" w:eastAsia="en-US"/>
        </w:rPr>
        <w:t xml:space="preserve"> </w:t>
      </w:r>
      <w:hyperlink r:id="rId128" w:history="1">
        <w:r w:rsidRPr="00AA0841">
          <w:rPr>
            <w:rFonts w:cstheme="minorHAnsi"/>
            <w:color w:val="0000FF"/>
            <w:szCs w:val="24"/>
            <w:u w:val="single"/>
            <w:lang w:val="en-GB" w:eastAsia="en-US"/>
          </w:rPr>
          <w:t>http://www.bom.gov.au/jsp/awap/rain/index.jsp?colour=colour&amp;time=latest&amp;step=0&amp;map=decile&amp;period=36month&amp;area=ns</w:t>
        </w:r>
      </w:hyperlink>
    </w:p>
    <w:p w14:paraId="1134B617" w14:textId="77777777" w:rsidR="00AA0841" w:rsidRPr="00AA0841" w:rsidRDefault="00AA0841" w:rsidP="00AA0841">
      <w:pPr>
        <w:rPr>
          <w:rFonts w:cstheme="minorHAnsi"/>
          <w:szCs w:val="22"/>
          <w:lang w:val="en-GB" w:eastAsia="en-US"/>
        </w:rPr>
      </w:pPr>
      <w:r w:rsidRPr="00AA0841">
        <w:rPr>
          <w:rFonts w:cstheme="minorHAnsi"/>
          <w:szCs w:val="22"/>
          <w:lang w:val="en-GB" w:eastAsia="en-US"/>
        </w:rPr>
        <w:t xml:space="preserve">Commonwealth Environmental Water Office (2014). </w:t>
      </w:r>
      <w:r w:rsidRPr="00AA0841">
        <w:rPr>
          <w:rFonts w:cstheme="minorHAnsi"/>
          <w:i/>
          <w:szCs w:val="22"/>
          <w:lang w:val="en-GB" w:eastAsia="en-US"/>
        </w:rPr>
        <w:t>Commonwealth environmental water use options 2014–15: Gwydir River Valley</w:t>
      </w:r>
      <w:r w:rsidRPr="00AA0841">
        <w:rPr>
          <w:rFonts w:cstheme="minorHAnsi"/>
          <w:szCs w:val="22"/>
          <w:lang w:val="en-GB" w:eastAsia="en-US"/>
        </w:rPr>
        <w:t xml:space="preserve">. Commonwealth of Australia 2014. </w:t>
      </w:r>
      <w:hyperlink r:id="rId129" w:history="1">
        <w:r w:rsidRPr="00AA0841">
          <w:rPr>
            <w:rFonts w:cstheme="minorHAnsi"/>
            <w:color w:val="0000FF"/>
            <w:szCs w:val="22"/>
            <w:u w:val="single"/>
            <w:lang w:val="en-GB" w:eastAsia="en-US"/>
          </w:rPr>
          <w:t>http://www.environment.gov.au/resource/commonwealth-environmental-water-annual-use-options-gwydir-river-valley</w:t>
        </w:r>
      </w:hyperlink>
      <w:r w:rsidRPr="00AA0841">
        <w:rPr>
          <w:rFonts w:cstheme="minorHAnsi"/>
          <w:szCs w:val="22"/>
          <w:lang w:val="en-GB" w:eastAsia="en-US"/>
        </w:rPr>
        <w:t xml:space="preserve"> </w:t>
      </w:r>
    </w:p>
    <w:p w14:paraId="2E3A47CE" w14:textId="77777777" w:rsidR="00AA0841" w:rsidRPr="00AA0841" w:rsidRDefault="00AA0841" w:rsidP="00AA0841">
      <w:pPr>
        <w:tabs>
          <w:tab w:val="left" w:pos="851"/>
        </w:tabs>
        <w:rPr>
          <w:rFonts w:cstheme="minorHAnsi"/>
          <w:i/>
          <w:iCs/>
          <w:color w:val="auto"/>
          <w:szCs w:val="22"/>
          <w:lang w:eastAsia="zh-CN" w:bidi="th-TH"/>
        </w:rPr>
      </w:pPr>
      <w:r w:rsidRPr="00AA0841">
        <w:rPr>
          <w:rFonts w:cstheme="minorHAnsi"/>
          <w:color w:val="auto"/>
          <w:szCs w:val="22"/>
          <w:lang w:eastAsia="zh-CN" w:bidi="th-TH"/>
        </w:rPr>
        <w:t xml:space="preserve">Eco Logical Australia (2018). </w:t>
      </w:r>
      <w:r w:rsidRPr="00AA0841">
        <w:rPr>
          <w:rFonts w:cstheme="minorHAnsi"/>
          <w:i/>
          <w:iCs/>
          <w:color w:val="auto"/>
          <w:szCs w:val="22"/>
          <w:lang w:eastAsia="zh-CN" w:bidi="th-TH"/>
        </w:rPr>
        <w:t xml:space="preserve">Commonwealth Environmental Water Office Long Term Intervention Monitoring Project Gwydir River system Selected Area – 2017–18 Annual Evaluation Report. </w:t>
      </w:r>
      <w:r w:rsidRPr="00AA0841">
        <w:rPr>
          <w:rFonts w:cstheme="minorHAnsi"/>
          <w:color w:val="auto"/>
          <w:szCs w:val="22"/>
          <w:lang w:eastAsia="zh-CN" w:bidi="th-TH"/>
        </w:rPr>
        <w:t>Commonwealth of Australia 2018.</w:t>
      </w:r>
    </w:p>
    <w:p w14:paraId="0CE16D33" w14:textId="77777777" w:rsidR="00AA0841" w:rsidRPr="00AA0841" w:rsidRDefault="00AA0841" w:rsidP="00AA0841">
      <w:pPr>
        <w:tabs>
          <w:tab w:val="left" w:pos="851"/>
        </w:tabs>
        <w:rPr>
          <w:rFonts w:cstheme="minorHAnsi"/>
          <w:color w:val="auto"/>
          <w:szCs w:val="22"/>
          <w:lang w:eastAsia="zh-CN" w:bidi="th-TH"/>
        </w:rPr>
      </w:pPr>
      <w:r w:rsidRPr="00AA0841">
        <w:rPr>
          <w:rFonts w:cstheme="minorHAnsi"/>
          <w:color w:val="auto"/>
          <w:szCs w:val="22"/>
          <w:lang w:eastAsia="zh-CN" w:bidi="th-TH"/>
        </w:rPr>
        <w:t xml:space="preserve">Eco Logical Australia (2019). </w:t>
      </w:r>
      <w:r w:rsidRPr="00AA0841">
        <w:rPr>
          <w:rFonts w:cstheme="minorHAnsi"/>
          <w:i/>
          <w:iCs/>
          <w:color w:val="auto"/>
          <w:szCs w:val="22"/>
          <w:lang w:eastAsia="zh-CN" w:bidi="th-TH"/>
        </w:rPr>
        <w:t>Commonwealth Environmental Water Office Long Term Intervention Monitoring Project Gwydir River system Selected Area – Five Year Evaluation Report</w:t>
      </w:r>
      <w:r w:rsidRPr="00AA0841">
        <w:rPr>
          <w:rFonts w:cstheme="minorHAnsi"/>
          <w:color w:val="auto"/>
          <w:szCs w:val="22"/>
          <w:lang w:eastAsia="zh-CN" w:bidi="th-TH"/>
        </w:rPr>
        <w:t>. Commonwealth of Australia 2019.</w:t>
      </w:r>
    </w:p>
    <w:p w14:paraId="3F26FC51" w14:textId="77777777" w:rsidR="00AA0841" w:rsidRPr="00AA0841" w:rsidRDefault="00AA0841" w:rsidP="00AA0841">
      <w:pPr>
        <w:spacing w:line="269" w:lineRule="auto"/>
        <w:ind w:right="437"/>
        <w:rPr>
          <w:bCs/>
        </w:rPr>
      </w:pPr>
      <w:r w:rsidRPr="00AA0841">
        <w:t xml:space="preserve"> Hudson Consulting and Woodlots &amp; Wetlands Pty Ltd (2009).  </w:t>
      </w:r>
      <w:r w:rsidRPr="00AA0841">
        <w:rPr>
          <w:bCs/>
          <w:i/>
        </w:rPr>
        <w:t xml:space="preserve">Culturally Significant Lagoons and Salt Affected Sites Project for the Border Rivers – Gwydir Catchment Management Authority. </w:t>
      </w:r>
      <w:r w:rsidRPr="00AA0841">
        <w:rPr>
          <w:bCs/>
        </w:rPr>
        <w:t xml:space="preserve">Border Rivers – Gwydir Catchment Management Authority, Inverell. </w:t>
      </w:r>
    </w:p>
    <w:p w14:paraId="55AA9182" w14:textId="77777777" w:rsidR="00AA0841" w:rsidRPr="00AA0841" w:rsidRDefault="00AA0841" w:rsidP="00AA0841">
      <w:pPr>
        <w:spacing w:line="269" w:lineRule="auto"/>
        <w:ind w:right="437"/>
        <w:rPr>
          <w:rFonts w:cstheme="minorHAnsi"/>
        </w:rPr>
      </w:pPr>
      <w:r w:rsidRPr="00AA0841">
        <w:rPr>
          <w:rFonts w:cstheme="minorHAnsi"/>
        </w:rPr>
        <w:t xml:space="preserve">Moree Plains Shire Council (2009). </w:t>
      </w:r>
      <w:r w:rsidRPr="00AA0841">
        <w:rPr>
          <w:rFonts w:cstheme="minorHAnsi"/>
          <w:i/>
        </w:rPr>
        <w:t xml:space="preserve">Moree Plains Shire Council </w:t>
      </w:r>
      <w:r w:rsidRPr="00AA0841">
        <w:rPr>
          <w:i/>
          <w:color w:val="000000" w:themeColor="text1"/>
        </w:rPr>
        <w:t>Aboriginal Heritage Study.</w:t>
      </w:r>
      <w:r w:rsidRPr="00AA0841">
        <w:rPr>
          <w:color w:val="000000" w:themeColor="text1"/>
        </w:rPr>
        <w:t xml:space="preserve"> Heritage Concepts for Moree Plains Shire Council, Moree. </w:t>
      </w:r>
      <w:hyperlink r:id="rId130" w:history="1">
        <w:r w:rsidRPr="00AA0841">
          <w:rPr>
            <w:rFonts w:cs="Times New Roman"/>
            <w:color w:val="0000FF"/>
            <w:u w:val="single"/>
          </w:rPr>
          <w:t>https://www.mpsc.nsw.gov.au/index.php/56-development-applications/conservation/aboriginal-heritage-study</w:t>
        </w:r>
      </w:hyperlink>
    </w:p>
    <w:p w14:paraId="0B9CF927" w14:textId="77777777" w:rsidR="00AA0841" w:rsidRPr="00AA0841" w:rsidRDefault="00AA0841" w:rsidP="00AA0841">
      <w:pPr>
        <w:tabs>
          <w:tab w:val="left" w:pos="851"/>
        </w:tabs>
        <w:rPr>
          <w:rFonts w:cstheme="minorHAnsi"/>
          <w:color w:val="auto"/>
          <w:szCs w:val="22"/>
          <w:lang w:eastAsia="zh-CN" w:bidi="th-TH"/>
        </w:rPr>
      </w:pPr>
      <w:r w:rsidRPr="00AA0841">
        <w:rPr>
          <w:rFonts w:cstheme="minorHAnsi"/>
          <w:color w:val="auto"/>
          <w:szCs w:val="22"/>
          <w:lang w:eastAsia="zh-CN" w:bidi="th-TH"/>
        </w:rPr>
        <w:t xml:space="preserve">Murray-Darling Basin Authority (2014a). </w:t>
      </w:r>
      <w:r w:rsidRPr="00AA0841">
        <w:rPr>
          <w:rFonts w:cstheme="minorHAnsi"/>
          <w:i/>
          <w:color w:val="auto"/>
          <w:szCs w:val="22"/>
          <w:lang w:eastAsia="zh-CN" w:bidi="th-TH"/>
        </w:rPr>
        <w:t>Development of the benchmark model for calculation of supply contributions</w:t>
      </w:r>
      <w:r w:rsidRPr="00AA0841">
        <w:rPr>
          <w:rFonts w:cstheme="minorHAnsi"/>
          <w:i/>
          <w:iCs/>
          <w:color w:val="auto"/>
          <w:szCs w:val="22"/>
          <w:lang w:eastAsia="zh-CN" w:bidi="th-TH"/>
        </w:rPr>
        <w:t>.</w:t>
      </w:r>
      <w:r w:rsidRPr="00AA0841">
        <w:rPr>
          <w:rFonts w:cstheme="minorHAnsi"/>
          <w:color w:val="auto"/>
          <w:szCs w:val="22"/>
          <w:lang w:eastAsia="zh-CN" w:bidi="th-TH"/>
        </w:rPr>
        <w:t xml:space="preserve"> Preliminary draft as on 9 April 2014. Canberra.</w:t>
      </w:r>
    </w:p>
    <w:p w14:paraId="200F073D" w14:textId="77777777" w:rsidR="00AA0841" w:rsidRPr="00AA0841" w:rsidRDefault="00AA0841" w:rsidP="00AA0841">
      <w:pPr>
        <w:tabs>
          <w:tab w:val="left" w:pos="851"/>
        </w:tabs>
        <w:rPr>
          <w:rFonts w:cstheme="minorHAnsi"/>
          <w:color w:val="auto"/>
          <w:szCs w:val="22"/>
          <w:lang w:eastAsia="zh-CN" w:bidi="th-TH"/>
        </w:rPr>
      </w:pPr>
      <w:r w:rsidRPr="00AA0841">
        <w:rPr>
          <w:rFonts w:cstheme="minorHAnsi"/>
          <w:color w:val="auto"/>
          <w:szCs w:val="22"/>
          <w:lang w:eastAsia="zh-CN" w:bidi="th-TH"/>
        </w:rPr>
        <w:t xml:space="preserve">Murray-Darling Basin Authority (2014b). </w:t>
      </w:r>
      <w:r w:rsidRPr="00AA0841">
        <w:rPr>
          <w:rFonts w:cstheme="minorHAnsi"/>
          <w:i/>
          <w:color w:val="auto"/>
          <w:szCs w:val="22"/>
          <w:lang w:eastAsia="zh-CN" w:bidi="th-TH"/>
        </w:rPr>
        <w:t>Basin-wide environmental watering strategy</w:t>
      </w:r>
      <w:r w:rsidRPr="00AA0841">
        <w:rPr>
          <w:rFonts w:cstheme="minorHAnsi"/>
          <w:color w:val="auto"/>
          <w:szCs w:val="22"/>
          <w:lang w:eastAsia="zh-CN" w:bidi="th-TH"/>
        </w:rPr>
        <w:t>. Canberra.</w:t>
      </w:r>
    </w:p>
    <w:p w14:paraId="7B95803B" w14:textId="77777777" w:rsidR="00AA0841" w:rsidRPr="00AA0841" w:rsidRDefault="00AA0841" w:rsidP="00AA0841">
      <w:pPr>
        <w:tabs>
          <w:tab w:val="left" w:pos="851"/>
        </w:tabs>
        <w:rPr>
          <w:rFonts w:cstheme="minorHAnsi"/>
          <w:color w:val="0000FF"/>
          <w:szCs w:val="22"/>
          <w:u w:val="single"/>
          <w:lang w:eastAsia="zh-CN" w:bidi="th-TH"/>
        </w:rPr>
      </w:pPr>
      <w:r w:rsidRPr="00AA0841">
        <w:rPr>
          <w:rFonts w:cstheme="minorHAnsi"/>
          <w:color w:val="auto"/>
          <w:szCs w:val="22"/>
          <w:lang w:eastAsia="zh-CN" w:bidi="th-TH"/>
        </w:rPr>
        <w:t xml:space="preserve">Murray-Darling Basin Authority (2012). </w:t>
      </w:r>
      <w:r w:rsidRPr="00AA0841">
        <w:rPr>
          <w:rFonts w:cstheme="minorHAnsi"/>
          <w:i/>
          <w:color w:val="auto"/>
          <w:szCs w:val="22"/>
          <w:lang w:eastAsia="zh-CN" w:bidi="th-TH"/>
        </w:rPr>
        <w:t>Assessment of environmental water requirements for the proposed Basin Plan: Gwydir Wetlands</w:t>
      </w:r>
      <w:r w:rsidRPr="00AA0841">
        <w:rPr>
          <w:rFonts w:cstheme="minorHAnsi"/>
          <w:color w:val="auto"/>
          <w:szCs w:val="22"/>
          <w:lang w:eastAsia="zh-CN" w:bidi="th-TH"/>
        </w:rPr>
        <w:t xml:space="preserve">. </w:t>
      </w:r>
      <w:hyperlink r:id="rId131" w:history="1">
        <w:r w:rsidRPr="00AA0841">
          <w:rPr>
            <w:rFonts w:cstheme="minorHAnsi"/>
            <w:color w:val="0000FF"/>
            <w:szCs w:val="22"/>
            <w:u w:val="single"/>
            <w:lang w:eastAsia="zh-CN" w:bidi="th-TH"/>
          </w:rPr>
          <w:t>http://www.mdba.gov.au/what-we-do/basin-plan/development/bp-science/assessing-environmental-water-requirements</w:t>
        </w:r>
      </w:hyperlink>
    </w:p>
    <w:p w14:paraId="316545CE" w14:textId="77777777" w:rsidR="00AA0841" w:rsidRPr="00AA0841" w:rsidRDefault="00AA0841" w:rsidP="00AA0841">
      <w:pPr>
        <w:contextualSpacing/>
        <w:rPr>
          <w:rFonts w:cstheme="minorHAnsi"/>
        </w:rPr>
      </w:pPr>
      <w:r w:rsidRPr="00AA0841">
        <w:rPr>
          <w:rFonts w:cstheme="minorHAnsi"/>
        </w:rPr>
        <w:t xml:space="preserve">NSW Department of Industries (2015). </w:t>
      </w:r>
      <w:r w:rsidRPr="00AA0841">
        <w:rPr>
          <w:bCs/>
          <w:i/>
        </w:rPr>
        <w:t>Gwydir Valley Floodplain Management Plan</w:t>
      </w:r>
      <w:r w:rsidRPr="00AA0841">
        <w:t xml:space="preserve"> </w:t>
      </w:r>
      <w:r w:rsidRPr="00AA0841">
        <w:rPr>
          <w:i/>
        </w:rPr>
        <w:t xml:space="preserve">Technical Guide. </w:t>
      </w:r>
      <w:r w:rsidRPr="00AA0841">
        <w:rPr>
          <w:rFonts w:cstheme="minorHAnsi"/>
        </w:rPr>
        <w:t xml:space="preserve">NSW Department of Industries, Sydney. </w:t>
      </w:r>
      <w:r w:rsidRPr="00AA0841">
        <w:rPr>
          <w:i/>
        </w:rPr>
        <w:t xml:space="preserve"> </w:t>
      </w:r>
      <w:r w:rsidRPr="00AA0841">
        <w:t xml:space="preserve"> </w:t>
      </w:r>
      <w:hyperlink r:id="rId132" w:history="1">
        <w:r w:rsidRPr="00AA0841">
          <w:rPr>
            <w:rFonts w:cs="Times New Roman"/>
            <w:color w:val="0000FF"/>
            <w:u w:val="single"/>
          </w:rPr>
          <w:t>https://www.industry.nsw.gov.au/__data/assets/pdf_file/0016/143152/rural-fmp-draft-technical-manual.pdf</w:t>
        </w:r>
      </w:hyperlink>
    </w:p>
    <w:p w14:paraId="1533B8BE" w14:textId="77777777" w:rsidR="00AA0841" w:rsidRPr="00AA0841" w:rsidRDefault="00AA0841" w:rsidP="00AA0841">
      <w:pPr>
        <w:contextualSpacing/>
        <w:rPr>
          <w:i/>
          <w:color w:val="000000" w:themeColor="text1"/>
        </w:rPr>
      </w:pPr>
    </w:p>
    <w:p w14:paraId="7C4320BE" w14:textId="77777777" w:rsidR="00AA0841" w:rsidRPr="00AA0841" w:rsidRDefault="00AA0841" w:rsidP="00AA0841">
      <w:pPr>
        <w:contextualSpacing/>
        <w:rPr>
          <w:color w:val="000000" w:themeColor="text1"/>
        </w:rPr>
      </w:pPr>
      <w:r w:rsidRPr="00AA0841">
        <w:rPr>
          <w:i/>
          <w:color w:val="000000" w:themeColor="text1"/>
        </w:rPr>
        <w:t>Report on culturally appropriate First Nations consultation with Gomeroi Nation</w:t>
      </w:r>
      <w:r w:rsidRPr="00AA0841">
        <w:rPr>
          <w:color w:val="000000" w:themeColor="text1"/>
        </w:rPr>
        <w:t xml:space="preserve">.  </w:t>
      </w:r>
      <w:r w:rsidRPr="00AA0841">
        <w:t xml:space="preserve">Dhirranggal Solutions for </w:t>
      </w:r>
      <w:r w:rsidRPr="00AA0841">
        <w:rPr>
          <w:rFonts w:cstheme="minorHAnsi"/>
        </w:rPr>
        <w:t xml:space="preserve">NSW Department of Industries, Sydney. </w:t>
      </w:r>
      <w:hyperlink r:id="rId133" w:history="1">
        <w:r w:rsidRPr="00AA0841">
          <w:rPr>
            <w:rFonts w:cs="Times New Roman"/>
            <w:color w:val="0000FF"/>
            <w:u w:val="single"/>
          </w:rPr>
          <w:t>https://www.industry.nsw.gov.au/__data/assets/pdf_file/0020/192332/gwydir-first-nations-consultation-gomeroi-nation-report.pdf</w:t>
        </w:r>
      </w:hyperlink>
      <w:r w:rsidRPr="00AA0841">
        <w:t xml:space="preserve"> </w:t>
      </w:r>
    </w:p>
    <w:p w14:paraId="364C236B" w14:textId="77777777" w:rsidR="00AA0841" w:rsidRPr="00AA0841" w:rsidRDefault="00AA0841" w:rsidP="00AA0841">
      <w:pPr>
        <w:spacing w:line="259" w:lineRule="auto"/>
        <w:contextualSpacing/>
        <w:rPr>
          <w:rFonts w:cstheme="minorHAnsi"/>
          <w:color w:val="auto"/>
          <w:szCs w:val="22"/>
          <w:lang w:eastAsia="zh-CN" w:bidi="th-TH"/>
        </w:rPr>
      </w:pPr>
    </w:p>
    <w:p w14:paraId="21F7863B" w14:textId="77777777" w:rsidR="00AA0841" w:rsidRPr="00AA0841" w:rsidRDefault="00AA0841" w:rsidP="00AA0841">
      <w:pPr>
        <w:spacing w:line="259" w:lineRule="auto"/>
        <w:contextualSpacing/>
      </w:pPr>
      <w:r w:rsidRPr="00AA0841">
        <w:rPr>
          <w:rFonts w:cstheme="minorHAnsi"/>
          <w:color w:val="auto"/>
          <w:szCs w:val="22"/>
          <w:lang w:eastAsia="zh-CN" w:bidi="th-TH"/>
        </w:rPr>
        <w:t xml:space="preserve">NSW Department of Environment, Climate Change and Water (2010). Aboriginal Cultural Values of the Macquarie Marshes and Gwydir Wetlands. NSW Department of Environment Climate Change and Water, Sydney. </w:t>
      </w:r>
      <w:hyperlink r:id="rId134" w:history="1">
        <w:r w:rsidRPr="00AA0841">
          <w:rPr>
            <w:rFonts w:cstheme="minorHAnsi"/>
            <w:color w:val="auto"/>
            <w:szCs w:val="22"/>
            <w:lang w:eastAsia="zh-CN" w:bidi="th-TH"/>
          </w:rPr>
          <w:t>https://www.environment.nsw.gov.au/chpublications/index.htm</w:t>
        </w:r>
      </w:hyperlink>
      <w:r w:rsidRPr="00AA0841">
        <w:t xml:space="preserve">    </w:t>
      </w:r>
      <w:hyperlink r:id="rId135" w:history="1">
        <w:r w:rsidRPr="00AA0841">
          <w:rPr>
            <w:rFonts w:cs="Times New Roman"/>
            <w:color w:val="0000FF"/>
            <w:u w:val="single"/>
          </w:rPr>
          <w:t>http://www.wetlandrecovery.nsw.gov.au/projectsAboriginal_values.htm</w:t>
        </w:r>
      </w:hyperlink>
      <w:r w:rsidRPr="00AA0841">
        <w:t xml:space="preserve"> </w:t>
      </w:r>
    </w:p>
    <w:p w14:paraId="2FE54E6A" w14:textId="77777777" w:rsidR="00AA0841" w:rsidRPr="00AA0841" w:rsidRDefault="00AA0841" w:rsidP="00AA0841">
      <w:pPr>
        <w:tabs>
          <w:tab w:val="left" w:pos="851"/>
        </w:tabs>
        <w:rPr>
          <w:rFonts w:cstheme="minorHAnsi"/>
          <w:color w:val="auto"/>
          <w:szCs w:val="22"/>
        </w:rPr>
      </w:pPr>
      <w:r w:rsidRPr="00AA0841">
        <w:rPr>
          <w:rFonts w:cstheme="minorHAnsi"/>
          <w:color w:val="auto"/>
          <w:szCs w:val="22"/>
        </w:rPr>
        <w:lastRenderedPageBreak/>
        <w:t xml:space="preserve">NSW Department of Environment, Climate Change and Water (2011). </w:t>
      </w:r>
      <w:r w:rsidRPr="00AA0841">
        <w:rPr>
          <w:rFonts w:cstheme="minorHAnsi"/>
          <w:i/>
          <w:color w:val="auto"/>
          <w:szCs w:val="22"/>
        </w:rPr>
        <w:t>Gwydir Wetlands Adaptive Environmental Management Plan</w:t>
      </w:r>
      <w:r w:rsidRPr="00AA0841">
        <w:rPr>
          <w:rFonts w:cstheme="minorHAnsi"/>
          <w:color w:val="auto"/>
          <w:szCs w:val="22"/>
        </w:rPr>
        <w:t>. NSW Department of Environment Climate Change and Water, Sydney.</w:t>
      </w:r>
    </w:p>
    <w:p w14:paraId="0AFE0F34" w14:textId="77777777" w:rsidR="00AA0841" w:rsidRPr="00AA0841" w:rsidRDefault="00AA0841" w:rsidP="00AA0841">
      <w:pPr>
        <w:tabs>
          <w:tab w:val="left" w:pos="851"/>
        </w:tabs>
        <w:rPr>
          <w:rFonts w:cstheme="minorHAnsi"/>
          <w:noProof/>
          <w:color w:val="auto"/>
          <w:szCs w:val="22"/>
          <w:lang w:eastAsia="zh-CN" w:bidi="th-TH"/>
        </w:rPr>
      </w:pPr>
      <w:bookmarkStart w:id="100" w:name="_Hlk44657471"/>
      <w:bookmarkStart w:id="101" w:name="_ENREF_12"/>
      <w:r w:rsidRPr="00AA0841">
        <w:rPr>
          <w:rFonts w:cstheme="minorHAnsi"/>
          <w:noProof/>
          <w:color w:val="auto"/>
          <w:szCs w:val="22"/>
          <w:lang w:eastAsia="zh-CN" w:bidi="th-TH"/>
        </w:rPr>
        <w:t xml:space="preserve">NSW Department of Planning, Industry and Environment (2020). Water Allocation Statement – NSW Regulated Rivers Water Sources 1 July 2020. NSW Department of Planning, Industry and Environment INT20/75956. </w:t>
      </w:r>
      <w:hyperlink r:id="rId136" w:history="1">
        <w:r w:rsidRPr="00AA0841">
          <w:rPr>
            <w:rFonts w:cstheme="minorHAnsi"/>
            <w:noProof/>
            <w:color w:val="0000FF"/>
            <w:szCs w:val="22"/>
            <w:u w:val="single"/>
            <w:lang w:eastAsia="zh-CN" w:bidi="th-TH"/>
          </w:rPr>
          <w:t>https://www.industry.nsw.gov.au/__data/assets/pdf_file/0012/313032/WAS-Regulated-Rivers-20200701.pdf</w:t>
        </w:r>
      </w:hyperlink>
    </w:p>
    <w:bookmarkEnd w:id="100"/>
    <w:p w14:paraId="4F99F76F" w14:textId="77777777" w:rsidR="00AA0841" w:rsidRPr="00AA0841" w:rsidRDefault="00AA0841" w:rsidP="00AA0841">
      <w:pPr>
        <w:tabs>
          <w:tab w:val="left" w:pos="851"/>
        </w:tabs>
        <w:rPr>
          <w:rFonts w:cstheme="minorHAnsi"/>
          <w:noProof/>
          <w:color w:val="auto"/>
          <w:szCs w:val="22"/>
          <w:lang w:eastAsia="zh-CN" w:bidi="th-TH"/>
        </w:rPr>
      </w:pPr>
      <w:r w:rsidRPr="00AA0841">
        <w:rPr>
          <w:rFonts w:cstheme="minorHAnsi"/>
          <w:noProof/>
          <w:color w:val="auto"/>
          <w:szCs w:val="22"/>
          <w:lang w:eastAsia="zh-CN" w:bidi="th-TH"/>
        </w:rPr>
        <w:t xml:space="preserve">NSW Office of Environment and Heritage (2018a). </w:t>
      </w:r>
      <w:r w:rsidRPr="00AA0841">
        <w:rPr>
          <w:rFonts w:cstheme="minorHAnsi"/>
          <w:i/>
          <w:iCs/>
          <w:noProof/>
          <w:color w:val="auto"/>
          <w:szCs w:val="22"/>
          <w:lang w:eastAsia="zh-CN" w:bidi="th-TH"/>
        </w:rPr>
        <w:t xml:space="preserve">Gwydir Long Term Water Plan Part A: Gwydir catchment. Draft for exhibition. </w:t>
      </w:r>
      <w:hyperlink r:id="rId137" w:history="1">
        <w:r w:rsidRPr="00AA0841">
          <w:rPr>
            <w:rFonts w:cstheme="minorHAnsi"/>
            <w:noProof/>
            <w:color w:val="0000FF"/>
            <w:szCs w:val="22"/>
            <w:u w:val="single"/>
            <w:lang w:eastAsia="zh-CN" w:bidi="th-TH"/>
          </w:rPr>
          <w:t>https://www.environment.nsw.gov.au/research-and-publications/publications-search/gwydir-long-term-water-plan-part-a-gwydir-catchment-draft</w:t>
        </w:r>
      </w:hyperlink>
      <w:r w:rsidRPr="00AA0841">
        <w:rPr>
          <w:rFonts w:cstheme="minorHAnsi"/>
          <w:noProof/>
          <w:color w:val="auto"/>
          <w:szCs w:val="22"/>
          <w:lang w:eastAsia="zh-CN" w:bidi="th-TH"/>
        </w:rPr>
        <w:t xml:space="preserve"> </w:t>
      </w:r>
    </w:p>
    <w:p w14:paraId="60B64A58" w14:textId="77777777" w:rsidR="00AA0841" w:rsidRPr="00AA0841" w:rsidRDefault="00AA0841" w:rsidP="00AA0841">
      <w:pPr>
        <w:tabs>
          <w:tab w:val="left" w:pos="851"/>
        </w:tabs>
        <w:rPr>
          <w:rFonts w:cstheme="minorHAnsi"/>
          <w:noProof/>
          <w:color w:val="auto"/>
          <w:szCs w:val="22"/>
          <w:lang w:eastAsia="zh-CN" w:bidi="th-TH"/>
        </w:rPr>
      </w:pPr>
      <w:r w:rsidRPr="00AA0841">
        <w:rPr>
          <w:rFonts w:cstheme="minorHAnsi"/>
          <w:noProof/>
          <w:color w:val="auto"/>
          <w:szCs w:val="22"/>
          <w:lang w:eastAsia="zh-CN" w:bidi="th-TH"/>
        </w:rPr>
        <w:t xml:space="preserve">NSW Office of Environment and Heritage (2018b). </w:t>
      </w:r>
      <w:r w:rsidRPr="00AA0841">
        <w:rPr>
          <w:rFonts w:cstheme="minorHAnsi"/>
          <w:i/>
          <w:iCs/>
          <w:noProof/>
          <w:color w:val="auto"/>
          <w:szCs w:val="22"/>
          <w:lang w:eastAsia="zh-CN" w:bidi="th-TH"/>
        </w:rPr>
        <w:t>Gwydir Long Term Water Plan Part B: Gwydir planning units. Draft for exhibition</w:t>
      </w:r>
      <w:r w:rsidRPr="00AA0841">
        <w:rPr>
          <w:rFonts w:cstheme="minorHAnsi"/>
          <w:noProof/>
          <w:color w:val="auto"/>
          <w:szCs w:val="22"/>
          <w:lang w:eastAsia="zh-CN" w:bidi="th-TH"/>
        </w:rPr>
        <w:t xml:space="preserve">. </w:t>
      </w:r>
      <w:hyperlink r:id="rId138" w:history="1">
        <w:r w:rsidRPr="00AA0841">
          <w:rPr>
            <w:rFonts w:cstheme="minorHAnsi"/>
            <w:noProof/>
            <w:color w:val="0000FF"/>
            <w:szCs w:val="22"/>
            <w:u w:val="single"/>
            <w:lang w:eastAsia="zh-CN" w:bidi="th-TH"/>
          </w:rPr>
          <w:t>https://www.environment.nsw.gov.au/research-and-publications/publications-search/gwydir-long-term-water-plan-part-b-gwydir-planning-units-draft</w:t>
        </w:r>
      </w:hyperlink>
      <w:r w:rsidRPr="00AA0841">
        <w:rPr>
          <w:rFonts w:cstheme="minorHAnsi"/>
          <w:noProof/>
          <w:color w:val="auto"/>
          <w:szCs w:val="22"/>
          <w:lang w:eastAsia="zh-CN" w:bidi="th-TH"/>
        </w:rPr>
        <w:t xml:space="preserve"> </w:t>
      </w:r>
    </w:p>
    <w:p w14:paraId="4C4EF6D2" w14:textId="77777777" w:rsidR="00AA0841" w:rsidRPr="00AA0841" w:rsidRDefault="00AA0841" w:rsidP="00AA0841">
      <w:pPr>
        <w:ind w:left="369" w:hanging="369"/>
      </w:pPr>
      <w:r w:rsidRPr="00AA0841">
        <w:t xml:space="preserve">Northern Basin Aboriginal Nations (NBAN) Ltd. (2020). </w:t>
      </w:r>
      <w:r w:rsidRPr="00AA0841">
        <w:rPr>
          <w:i/>
          <w:iCs/>
        </w:rPr>
        <w:t>First Nations Environmental Water Guidance Report.</w:t>
      </w:r>
    </w:p>
    <w:p w14:paraId="0C5FC2DD" w14:textId="77777777" w:rsidR="00AA0841" w:rsidRPr="00AA0841" w:rsidRDefault="00AA0841" w:rsidP="00AA0841">
      <w:pPr>
        <w:tabs>
          <w:tab w:val="left" w:pos="851"/>
        </w:tabs>
        <w:rPr>
          <w:rFonts w:cstheme="minorHAnsi"/>
          <w:color w:val="auto"/>
          <w:szCs w:val="22"/>
          <w:lang w:eastAsia="zh-CN" w:bidi="th-TH"/>
        </w:rPr>
      </w:pPr>
      <w:r w:rsidRPr="00AA0841">
        <w:rPr>
          <w:rFonts w:cstheme="minorHAnsi"/>
          <w:color w:val="auto"/>
          <w:szCs w:val="22"/>
          <w:lang w:eastAsia="zh-CN" w:bidi="th-TH"/>
        </w:rPr>
        <w:t xml:space="preserve">Pietsch, T. J. (2006). </w:t>
      </w:r>
      <w:r w:rsidRPr="00AA0841">
        <w:rPr>
          <w:rFonts w:cstheme="minorHAnsi"/>
          <w:i/>
          <w:color w:val="auto"/>
          <w:szCs w:val="22"/>
          <w:lang w:eastAsia="zh-CN" w:bidi="th-TH"/>
        </w:rPr>
        <w:t>Fluvial geomorphology and late quaternary geochronology of the Gwydir fan-plain.</w:t>
      </w:r>
      <w:r w:rsidRPr="00AA0841">
        <w:rPr>
          <w:rFonts w:cstheme="minorHAnsi"/>
          <w:color w:val="auto"/>
          <w:szCs w:val="22"/>
          <w:lang w:eastAsia="zh-CN" w:bidi="th-TH"/>
        </w:rPr>
        <w:t xml:space="preserve"> PhD, University of Wollongong.</w:t>
      </w:r>
      <w:bookmarkEnd w:id="101"/>
    </w:p>
    <w:p w14:paraId="50C35354" w14:textId="77777777" w:rsidR="00AA0841" w:rsidRPr="00AA0841" w:rsidRDefault="00AA0841" w:rsidP="00AA0841">
      <w:pPr>
        <w:rPr>
          <w:rFonts w:ascii="Verdana" w:hAnsi="Verdana" w:cs="Times New Roman"/>
          <w:b/>
          <w:bCs/>
          <w:color w:val="0083BE"/>
          <w:sz w:val="29"/>
          <w:szCs w:val="29"/>
          <w:lang w:val="en-US" w:eastAsia="en-US"/>
        </w:rPr>
      </w:pPr>
      <w:r w:rsidRPr="00AA0841">
        <w:rPr>
          <w:rFonts w:cstheme="minorHAnsi"/>
          <w:noProof/>
          <w:color w:val="auto"/>
          <w:szCs w:val="22"/>
          <w:lang w:val="en-US" w:eastAsia="en-US"/>
        </w:rPr>
        <w:t xml:space="preserve">WaterNSW (2020). </w:t>
      </w:r>
      <w:r w:rsidRPr="00AA0841">
        <w:rPr>
          <w:rFonts w:cstheme="minorHAnsi"/>
          <w:i/>
          <w:iCs/>
          <w:noProof/>
          <w:color w:val="auto"/>
          <w:szCs w:val="22"/>
          <w:lang w:val="en-US" w:eastAsia="en-US"/>
        </w:rPr>
        <w:t>Real time data: 418-Gwydir River Basin.</w:t>
      </w:r>
      <w:r w:rsidRPr="00AA0841">
        <w:rPr>
          <w:rFonts w:cstheme="minorHAnsi"/>
          <w:noProof/>
          <w:color w:val="auto"/>
          <w:szCs w:val="22"/>
          <w:lang w:val="en-US" w:eastAsia="en-US"/>
        </w:rPr>
        <w:t xml:space="preserve"> </w:t>
      </w:r>
      <w:hyperlink r:id="rId139" w:history="1">
        <w:r w:rsidRPr="00AA0841">
          <w:rPr>
            <w:rFonts w:cstheme="minorHAnsi"/>
            <w:color w:val="0000FF"/>
            <w:szCs w:val="22"/>
            <w:u w:val="single"/>
            <w:lang w:val="en-US" w:eastAsia="en-US"/>
          </w:rPr>
          <w:t>https://realtimedata.waternsw.com.au/</w:t>
        </w:r>
      </w:hyperlink>
      <w:r w:rsidRPr="00AA0841">
        <w:rPr>
          <w:rFonts w:ascii="Verdana" w:hAnsi="Verdana" w:cs="Times New Roman"/>
          <w:b/>
          <w:bCs/>
          <w:color w:val="0083BE"/>
          <w:sz w:val="29"/>
          <w:szCs w:val="29"/>
          <w:lang w:val="en-US" w:eastAsia="en-US"/>
        </w:rPr>
        <w:t xml:space="preserve"> </w:t>
      </w:r>
    </w:p>
    <w:p w14:paraId="70609C72" w14:textId="77777777" w:rsidR="00AA0841" w:rsidRPr="00AA0841" w:rsidRDefault="00AA0841" w:rsidP="00AA0841">
      <w:pPr>
        <w:rPr>
          <w:rFonts w:cstheme="minorHAnsi"/>
          <w:color w:val="auto"/>
          <w:sz w:val="24"/>
          <w:szCs w:val="24"/>
          <w:lang w:val="en-US" w:eastAsia="en-US"/>
        </w:rPr>
      </w:pPr>
      <w:r w:rsidRPr="00AA0841">
        <w:rPr>
          <w:rFonts w:ascii="Calibri" w:hAnsi="Calibri" w:cstheme="minorHAnsi"/>
          <w:color w:val="auto"/>
          <w:szCs w:val="24"/>
          <w:lang w:val="en-US" w:eastAsia="en-US"/>
        </w:rPr>
        <w:t xml:space="preserve">WaterNSW (2020). </w:t>
      </w:r>
      <w:r w:rsidRPr="00AA0841">
        <w:rPr>
          <w:rFonts w:ascii="Calibri" w:hAnsi="Calibri" w:cstheme="minorHAnsi"/>
          <w:i/>
          <w:iCs/>
          <w:color w:val="auto"/>
          <w:szCs w:val="24"/>
          <w:lang w:val="en-US" w:eastAsia="en-US"/>
        </w:rPr>
        <w:t xml:space="preserve">Regional water availability report – Weekly edition 27 April 2020. </w:t>
      </w:r>
      <w:hyperlink r:id="rId140" w:history="1">
        <w:r w:rsidRPr="00AA0841">
          <w:rPr>
            <w:rFonts w:ascii="Calibri" w:hAnsi="Calibri" w:cstheme="minorHAnsi"/>
            <w:color w:val="0000FF"/>
            <w:szCs w:val="24"/>
            <w:u w:val="single"/>
            <w:lang w:val="en-US" w:eastAsia="en-US"/>
          </w:rPr>
          <w:t>https://www.waternsw.com.au/__data/assets/pdf_file/0005/156146/Water-Availability-Report-27-April-2020.PDF?utm_source=Swift&amp;utm_medium=Email&amp;utm_campaign=NSW_availability</w:t>
        </w:r>
      </w:hyperlink>
    </w:p>
    <w:p w14:paraId="455EC6F0" w14:textId="77777777" w:rsidR="00AA0841" w:rsidRPr="00AA0841" w:rsidRDefault="00AA0841" w:rsidP="00AA0841">
      <w:pPr>
        <w:rPr>
          <w:rFonts w:cstheme="minorHAnsi"/>
          <w:color w:val="auto"/>
          <w:szCs w:val="22"/>
          <w:lang w:val="en-US" w:eastAsia="en-US"/>
        </w:rPr>
      </w:pPr>
      <w:r w:rsidRPr="00AA0841">
        <w:rPr>
          <w:rFonts w:cstheme="minorHAnsi"/>
          <w:color w:val="auto"/>
          <w:szCs w:val="22"/>
          <w:lang w:val="en-US" w:eastAsia="en-US"/>
        </w:rPr>
        <w:t xml:space="preserve">Wilson, G. G., Bickel, T. O., Berney, P. J. &amp; Sisson, J. L. (2009). </w:t>
      </w:r>
      <w:r w:rsidRPr="00AA0841">
        <w:rPr>
          <w:rFonts w:cstheme="minorHAnsi"/>
          <w:i/>
          <w:color w:val="auto"/>
          <w:szCs w:val="22"/>
          <w:lang w:val="en-US" w:eastAsia="en-US"/>
        </w:rPr>
        <w:t>Managing environmental flows in an agricultural landscape: the Lower Gwydir floodplain</w:t>
      </w:r>
      <w:r w:rsidRPr="00AA0841">
        <w:rPr>
          <w:rFonts w:cstheme="minorHAnsi"/>
          <w:color w:val="auto"/>
          <w:szCs w:val="22"/>
          <w:lang w:val="en-US" w:eastAsia="en-US"/>
        </w:rPr>
        <w:t>. Final Report to the Commonwealth Department of Environment, Water, Heritage and the Arts.</w:t>
      </w:r>
      <w:r w:rsidRPr="00AA0841">
        <w:rPr>
          <w:rFonts w:cstheme="minorHAnsi"/>
          <w:noProof/>
          <w:color w:val="auto"/>
          <w:szCs w:val="22"/>
          <w:lang w:val="en-US" w:eastAsia="en-US"/>
        </w:rPr>
        <w:t xml:space="preserve">  </w:t>
      </w:r>
    </w:p>
    <w:p w14:paraId="295D611E" w14:textId="77777777" w:rsidR="0071217B" w:rsidRDefault="0071217B">
      <w:pPr>
        <w:spacing w:after="0"/>
      </w:pPr>
      <w:r>
        <w:br w:type="page"/>
      </w:r>
    </w:p>
    <w:p w14:paraId="136F85F3" w14:textId="77777777" w:rsidR="00AA0841" w:rsidRPr="00915E5A" w:rsidRDefault="00AA0841" w:rsidP="0057535E">
      <w:pPr>
        <w:pStyle w:val="Heading2"/>
        <w:rPr>
          <w:rFonts w:ascii="Century Gothic" w:hAnsi="Century Gothic"/>
          <w:noProof/>
        </w:rPr>
      </w:pPr>
      <w:r>
        <w:lastRenderedPageBreak/>
        <w:t>Namoi</w:t>
      </w:r>
      <w:r w:rsidRPr="008D54B2">
        <w:t xml:space="preserve"> Valley</w:t>
      </w:r>
    </w:p>
    <w:p w14:paraId="38726503" w14:textId="77777777" w:rsidR="00AA0841" w:rsidRDefault="00AA0841" w:rsidP="00B044C3">
      <w:pPr>
        <w:pStyle w:val="Heading3"/>
        <w:spacing w:after="240"/>
      </w:pPr>
      <w:r>
        <w:t>Region overview</w:t>
      </w:r>
    </w:p>
    <w:p w14:paraId="179A049A" w14:textId="77777777" w:rsidR="00AA0841" w:rsidRPr="00365FE2" w:rsidRDefault="00AA0841" w:rsidP="0057535E">
      <w:pPr>
        <w:pStyle w:val="Heading4"/>
      </w:pPr>
      <w:r w:rsidRPr="00365FE2">
        <w:t xml:space="preserve">River </w:t>
      </w:r>
      <w:r>
        <w:t>valley</w:t>
      </w:r>
    </w:p>
    <w:p w14:paraId="0AAF39A0" w14:textId="1AF95DCA" w:rsidR="00AA0841" w:rsidRPr="00BD3755" w:rsidRDefault="00AA0841" w:rsidP="00AA0841">
      <w:r w:rsidRPr="00BD3755">
        <w:t xml:space="preserve">The Namoi River </w:t>
      </w:r>
      <w:r>
        <w:t>v</w:t>
      </w:r>
      <w:r w:rsidRPr="00BD3755">
        <w:t>alley is located in north-eastern New South Wales, extending westwards of Nundle to Walgett. Rainfall in the upper catchment drives river flows and can be highly variable between years. Water for regulated delivery throughout the valley is stored in Split Rock and Keepit dams (</w:t>
      </w:r>
      <w:r w:rsidRPr="00A9737D">
        <w:fldChar w:fldCharType="begin"/>
      </w:r>
      <w:r w:rsidRPr="00A9737D">
        <w:instrText xml:space="preserve"> REF _Ref475454230 \h  \* MERGEFORMAT </w:instrText>
      </w:r>
      <w:r w:rsidRPr="00A9737D">
        <w:fldChar w:fldCharType="separate"/>
      </w:r>
      <w:r w:rsidR="001B2852" w:rsidRPr="001B2852">
        <w:t xml:space="preserve">Figure </w:t>
      </w:r>
      <w:r w:rsidR="001B2852" w:rsidRPr="001B2852">
        <w:rPr>
          <w:noProof/>
        </w:rPr>
        <w:t>5</w:t>
      </w:r>
      <w:r w:rsidRPr="00A9737D">
        <w:fldChar w:fldCharType="end"/>
      </w:r>
      <w:r w:rsidRPr="00BD3755">
        <w:t xml:space="preserve">). There are also a number of smaller regulating weirs downstream of Keepit Dam. </w:t>
      </w:r>
    </w:p>
    <w:p w14:paraId="7F427302" w14:textId="77777777" w:rsidR="00AA0841" w:rsidRPr="00BD3755" w:rsidRDefault="00AA0841" w:rsidP="00AA0841">
      <w:r w:rsidRPr="00BD3755">
        <w:t>The Namoi River is the primary riverine asset and is a major tributary of the Barwon River. Major tributaries of the Namoi include Cox’s Creek and the Mooki, Manilla and the Peel rivers, which join the Namoi River upstream of Boggabri. Flows are confined in-channel until the floodplain begins to broaden at Gunnedah. The Pian (an anabranch of the Namoi River), Narrabri, Baradine and Bohena creeks contribute flows to the Namoi River downstream of Boggabri. The Namoi River connects with the Barwon</w:t>
      </w:r>
      <w:r>
        <w:t>–</w:t>
      </w:r>
      <w:r w:rsidRPr="00BD3755">
        <w:t xml:space="preserve">Darling near Walgett. </w:t>
      </w:r>
    </w:p>
    <w:p w14:paraId="3343034C" w14:textId="77777777" w:rsidR="00AA0841" w:rsidRPr="00BD3755" w:rsidRDefault="00AA0841" w:rsidP="00AA0841">
      <w:r w:rsidRPr="00BD3755">
        <w:t xml:space="preserve">Flows in the Peel River are regulated out of Chaffey Dam and flow into the Namoi River slightly downstream of Keepit Dam. Major tributaries into the Peel River are Goonoo Goonoo Creek, the Cockburn River and Dungowan Creek. </w:t>
      </w:r>
    </w:p>
    <w:p w14:paraId="2CE23FEB" w14:textId="77777777" w:rsidR="00AA0841" w:rsidRPr="00365FE2" w:rsidRDefault="00AA0841" w:rsidP="0057535E">
      <w:pPr>
        <w:pStyle w:val="Heading4"/>
      </w:pPr>
      <w:r w:rsidRPr="00365FE2">
        <w:t xml:space="preserve">Traditional </w:t>
      </w:r>
      <w:r>
        <w:t>O</w:t>
      </w:r>
      <w:r w:rsidRPr="00365FE2">
        <w:t>wners</w:t>
      </w:r>
    </w:p>
    <w:p w14:paraId="7EBAF4E2" w14:textId="77777777" w:rsidR="00AA0841" w:rsidRPr="00365FE2" w:rsidRDefault="00AA0841" w:rsidP="00AA0841">
      <w:r w:rsidRPr="00365FE2">
        <w:t xml:space="preserve">The rivers of the </w:t>
      </w:r>
      <w:r>
        <w:t>Namoi River</w:t>
      </w:r>
      <w:r w:rsidRPr="00365FE2">
        <w:t xml:space="preserve"> Valley hold significant spiritual and cultural importance for Aboriginal people. </w:t>
      </w:r>
      <w:r>
        <w:t xml:space="preserve">The Namoi and Peel rivers are within the traditional lands of the </w:t>
      </w:r>
      <w:r w:rsidRPr="00E554C3">
        <w:t>Gomeroi/Kamilaroi people.</w:t>
      </w:r>
      <w:r w:rsidRPr="00365FE2">
        <w:t xml:space="preserve"> </w:t>
      </w:r>
    </w:p>
    <w:p w14:paraId="65516C20" w14:textId="77777777" w:rsidR="00AA0841" w:rsidRPr="00365FE2" w:rsidRDefault="00AA0841" w:rsidP="0057535E">
      <w:pPr>
        <w:pStyle w:val="Heading4"/>
      </w:pPr>
      <w:r>
        <w:t xml:space="preserve">Important sites and </w:t>
      </w:r>
      <w:r w:rsidRPr="00365FE2">
        <w:t>value</w:t>
      </w:r>
    </w:p>
    <w:p w14:paraId="7FADE25C" w14:textId="77777777" w:rsidR="00AA0841" w:rsidRPr="00BD3755" w:rsidRDefault="00AA0841" w:rsidP="00AA0841">
      <w:r w:rsidRPr="00BD3755">
        <w:t>The Peel and Namoi rivers support a number of threatened fish species including Murray cod, silver perch, freshwater catfish, olive perchlet, purple spotted gudgeon and the river snail. Riverine vegetation in the Namoi River Valley includes emergent aquatic plants and river oaks, rough-barked apple and river red gum.</w:t>
      </w:r>
    </w:p>
    <w:p w14:paraId="4CD1E25A" w14:textId="77777777" w:rsidR="00AA0841" w:rsidRPr="00BD3755" w:rsidRDefault="00AA0841" w:rsidP="00AA0841">
      <w:r w:rsidRPr="00BD3755">
        <w:t xml:space="preserve">The aquatic community of the Namoi River forms part of the </w:t>
      </w:r>
      <w:r w:rsidRPr="00BD3755">
        <w:rPr>
          <w:i/>
        </w:rPr>
        <w:t>Lowland Darling River aquatic ecological community</w:t>
      </w:r>
      <w:r w:rsidRPr="00BD3755">
        <w:t>, which is listed as endangered under the</w:t>
      </w:r>
      <w:r w:rsidRPr="00BD3755">
        <w:rPr>
          <w:i/>
        </w:rPr>
        <w:t xml:space="preserve"> NSW Fisheries Management Act 1994</w:t>
      </w:r>
      <w:r w:rsidRPr="00BD3755">
        <w:t>. This community includes 21 native fish species and hundreds of native invertebrate species that are found within the Darling River and its associated streams, wetlands and anabranches within NSW.</w:t>
      </w:r>
    </w:p>
    <w:p w14:paraId="2AE56526" w14:textId="77777777" w:rsidR="00AA0841" w:rsidRPr="00365FE2" w:rsidRDefault="00AA0841" w:rsidP="0057535E">
      <w:pPr>
        <w:pStyle w:val="Heading4"/>
      </w:pPr>
      <w:r w:rsidRPr="00365FE2">
        <w:t>Stakeholder engagement</w:t>
      </w:r>
    </w:p>
    <w:p w14:paraId="3D661D19" w14:textId="77777777" w:rsidR="00AA0841" w:rsidRDefault="00AA0841" w:rsidP="00AA0841">
      <w:pPr>
        <w:rPr>
          <w:color w:val="auto"/>
        </w:rPr>
      </w:pPr>
      <w:r w:rsidRPr="00365FE2">
        <w:t xml:space="preserve">In the </w:t>
      </w:r>
      <w:r>
        <w:t>Namoi</w:t>
      </w:r>
      <w:r w:rsidRPr="00365FE2">
        <w:t xml:space="preserve"> River Valley, the planning, management, and delivery of Commonwealth water for the environment is undertaken </w:t>
      </w:r>
      <w:r>
        <w:t xml:space="preserve">in </w:t>
      </w:r>
      <w:r w:rsidRPr="00365FE2">
        <w:t xml:space="preserve">conjunction with a range of partners and stakeholder groups. Key stakeholders in the </w:t>
      </w:r>
      <w:r>
        <w:t>Namoi River Valley</w:t>
      </w:r>
      <w:r w:rsidRPr="00365FE2">
        <w:t xml:space="preserve"> include the NSW Department of Planning, Industry and Environment (DPIE), the Department of Primary Industries (DPI) – Fisheries, and </w:t>
      </w:r>
      <w:r>
        <w:t>WaterNSW.</w:t>
      </w:r>
    </w:p>
    <w:p w14:paraId="11772E10" w14:textId="77777777" w:rsidR="00AA0841" w:rsidRPr="00C942DF" w:rsidRDefault="00AA0841" w:rsidP="00AA0841">
      <w:pPr>
        <w:rPr>
          <w:color w:val="auto"/>
        </w:rPr>
        <w:sectPr w:rsidR="00AA0841" w:rsidRPr="00C942DF" w:rsidSect="003737D8">
          <w:headerReference w:type="default" r:id="rId141"/>
          <w:footerReference w:type="default" r:id="rId142"/>
          <w:footerReference w:type="first" r:id="rId143"/>
          <w:pgSz w:w="11906" w:h="16838"/>
          <w:pgMar w:top="1134" w:right="1133" w:bottom="851" w:left="964" w:header="567" w:footer="397" w:gutter="0"/>
          <w:cols w:space="708"/>
          <w:docGrid w:linePitch="360"/>
        </w:sectPr>
      </w:pPr>
      <w:r w:rsidRPr="00CB3172">
        <w:rPr>
          <w:color w:val="auto"/>
        </w:rPr>
        <w:t xml:space="preserve">CEWO is looking to build engagement around the planning, management and delivery of Commonwealth water with the local Aboriginal community, by developing relationships with local individuals and organisations. It is important to work with those who have a direct kinship right to the Namoi system, as well as the broader Aboriginal and community groups in the Namoi-Peel. </w:t>
      </w:r>
    </w:p>
    <w:p w14:paraId="242ED775" w14:textId="77777777" w:rsidR="00AA0841" w:rsidRPr="004932F2" w:rsidRDefault="00AA0841" w:rsidP="00AA0841">
      <w:pPr>
        <w:spacing w:after="60"/>
        <w:rPr>
          <w:rFonts w:ascii="Century Gothic" w:hAnsi="Century Gothic" w:cs="Arial"/>
          <w:color w:val="5F497A" w:themeColor="accent4" w:themeShade="BF"/>
        </w:rPr>
      </w:pPr>
      <w:r>
        <w:rPr>
          <w:rFonts w:ascii="Century Gothic" w:hAnsi="Century Gothic"/>
          <w:noProof/>
        </w:rPr>
        <w:lastRenderedPageBreak/>
        <w:drawing>
          <wp:inline distT="0" distB="0" distL="0" distR="0" wp14:anchorId="22D466DC" wp14:editId="497AC217">
            <wp:extent cx="9147810" cy="5948045"/>
            <wp:effectExtent l="0" t="0" r="0" b="0"/>
            <wp:docPr id="43" name="Picture 43" descr="A map of the Namoi River Valley including major towns, water storages and rivers. Major towns include Tamworth and Gunnedah. The three major water storages are Keepit Dam, Split Rock Dam and Chaffey Dam. The two major rivers are the Namoi River and the Peel River." title="Figure 1. Map of the Namoi River V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amoi Catchment Map June 2018 - ERIN -RT328187.jpg"/>
                    <pic:cNvPicPr/>
                  </pic:nvPicPr>
                  <pic:blipFill rotWithShape="1">
                    <a:blip r:embed="rId144" cstate="print">
                      <a:extLst>
                        <a:ext uri="{28A0092B-C50C-407E-A947-70E740481C1C}">
                          <a14:useLocalDpi xmlns:a14="http://schemas.microsoft.com/office/drawing/2010/main" val="0"/>
                        </a:ext>
                      </a:extLst>
                    </a:blip>
                    <a:srcRect t="5531" b="2484"/>
                    <a:stretch/>
                  </pic:blipFill>
                  <pic:spPr bwMode="auto">
                    <a:xfrm>
                      <a:off x="0" y="0"/>
                      <a:ext cx="9147810" cy="5948045"/>
                    </a:xfrm>
                    <a:prstGeom prst="rect">
                      <a:avLst/>
                    </a:prstGeom>
                    <a:ln>
                      <a:noFill/>
                    </a:ln>
                    <a:extLst>
                      <a:ext uri="{53640926-AAD7-44D8-BBD7-CCE9431645EC}">
                        <a14:shadowObscured xmlns:a14="http://schemas.microsoft.com/office/drawing/2010/main"/>
                      </a:ext>
                    </a:extLst>
                  </pic:spPr>
                </pic:pic>
              </a:graphicData>
            </a:graphic>
          </wp:inline>
        </w:drawing>
      </w:r>
    </w:p>
    <w:p w14:paraId="5BD0060E" w14:textId="4471E2CC" w:rsidR="00AA0841" w:rsidRPr="00AD27E0" w:rsidRDefault="00AA0841" w:rsidP="00B044C3">
      <w:pPr>
        <w:sectPr w:rsidR="00AA0841" w:rsidRPr="00AD27E0" w:rsidSect="003737D8">
          <w:pgSz w:w="16838" w:h="11906" w:orient="landscape"/>
          <w:pgMar w:top="1134" w:right="992" w:bottom="851" w:left="964" w:header="567" w:footer="397" w:gutter="0"/>
          <w:cols w:space="708"/>
          <w:docGrid w:linePitch="360"/>
        </w:sectPr>
      </w:pPr>
      <w:r w:rsidRPr="00C942DF">
        <w:rPr>
          <w:b/>
        </w:rPr>
        <w:t xml:space="preserve">Figure </w:t>
      </w:r>
      <w:r w:rsidRPr="00C942DF">
        <w:rPr>
          <w:b/>
        </w:rPr>
        <w:fldChar w:fldCharType="begin"/>
      </w:r>
      <w:r w:rsidRPr="00C942DF">
        <w:rPr>
          <w:b/>
        </w:rPr>
        <w:instrText xml:space="preserve"> SEQ Figure \* ARABIC </w:instrText>
      </w:r>
      <w:r w:rsidRPr="00C942DF">
        <w:rPr>
          <w:b/>
        </w:rPr>
        <w:fldChar w:fldCharType="separate"/>
      </w:r>
      <w:r w:rsidR="001B2852">
        <w:rPr>
          <w:b/>
          <w:noProof/>
        </w:rPr>
        <w:t>9</w:t>
      </w:r>
      <w:r w:rsidRPr="00C942DF">
        <w:rPr>
          <w:b/>
        </w:rPr>
        <w:fldChar w:fldCharType="end"/>
      </w:r>
      <w:r w:rsidRPr="004932F2">
        <w:t xml:space="preserve">: </w:t>
      </w:r>
      <w:r w:rsidRPr="006B1FCF">
        <w:rPr>
          <w:rFonts w:cstheme="minorHAnsi"/>
        </w:rPr>
        <w:t xml:space="preserve">Map of the Namoi River Valley </w:t>
      </w:r>
      <w:r>
        <w:rPr>
          <w:rFonts w:cstheme="minorHAnsi"/>
        </w:rPr>
        <w:t>(</w:t>
      </w:r>
      <w:r w:rsidRPr="006B1FCF">
        <w:rPr>
          <w:rFonts w:cstheme="minorHAnsi"/>
        </w:rPr>
        <w:t>produced by the Department of Environment and Energy, June 2018</w:t>
      </w:r>
      <w:r>
        <w:rPr>
          <w:rFonts w:cstheme="minorHAnsi"/>
        </w:rPr>
        <w:t>)</w:t>
      </w:r>
      <w:r w:rsidRPr="006B1FCF">
        <w:rPr>
          <w:rFonts w:cstheme="minorHAnsi"/>
        </w:rPr>
        <w:t>.</w:t>
      </w:r>
      <w:r>
        <w:tab/>
      </w:r>
    </w:p>
    <w:p w14:paraId="56853E25" w14:textId="77777777" w:rsidR="00AA0841" w:rsidRDefault="00AA0841" w:rsidP="0057535E">
      <w:pPr>
        <w:pStyle w:val="Heading3"/>
      </w:pPr>
      <w:r w:rsidRPr="00365FE2">
        <w:lastRenderedPageBreak/>
        <w:t>Environmental</w:t>
      </w:r>
      <w:r>
        <w:t xml:space="preserve"> objectives</w:t>
      </w:r>
    </w:p>
    <w:p w14:paraId="50AE0355" w14:textId="77777777" w:rsidR="00AA0841" w:rsidRPr="00365FE2" w:rsidRDefault="00AA0841" w:rsidP="00AA0841">
      <w:r w:rsidRPr="00365FE2">
        <w:t>Based on long-term environmental objectives in the Basin Plan,</w:t>
      </w:r>
      <w:r>
        <w:t xml:space="preserve"> draft</w:t>
      </w:r>
      <w:r w:rsidRPr="00365FE2">
        <w:t xml:space="preserve"> state long-term watering plans, and best available knowledge, the following objectives are relevant for environmental watering in the </w:t>
      </w:r>
      <w:r>
        <w:t>Namoi</w:t>
      </w:r>
      <w:r w:rsidRPr="00365FE2">
        <w:t xml:space="preserve"> catchment.</w:t>
      </w:r>
    </w:p>
    <w:p w14:paraId="3EC2B151" w14:textId="77777777" w:rsidR="00AA0841" w:rsidRPr="00365FE2" w:rsidRDefault="00AA0841" w:rsidP="00AA0841">
      <w:r w:rsidRPr="00365FE2">
        <w:t>The objectives that are targeted in a particular year may vary, depending on available water, catchment conditions, operational feasibility, and demand for environmental water. These objectives will continue to be revised as part of the Commonwealth Environmental Water Office’s</w:t>
      </w:r>
      <w:r>
        <w:t xml:space="preserve"> (CEWO)</w:t>
      </w:r>
      <w:r w:rsidRPr="00365FE2">
        <w:t xml:space="preserve"> commitment to adaptive management.</w:t>
      </w:r>
    </w:p>
    <w:p w14:paraId="4E19374F" w14:textId="77777777" w:rsidR="00AA0841" w:rsidRPr="00365FE2" w:rsidRDefault="00AA0841" w:rsidP="00AA0841">
      <w:r w:rsidRPr="00365FE2">
        <w:rPr>
          <w:b/>
        </w:rPr>
        <w:t>Vegetation</w:t>
      </w:r>
      <w:r w:rsidRPr="00365FE2">
        <w:t xml:space="preserve">: Maintain the condition, growth and survival of riparian, in-channel, </w:t>
      </w:r>
      <w:r>
        <w:t>anabranch</w:t>
      </w:r>
      <w:r w:rsidRPr="00365FE2">
        <w:t xml:space="preserve"> and wetland vegetation.</w:t>
      </w:r>
    </w:p>
    <w:p w14:paraId="386BA518" w14:textId="77777777" w:rsidR="00AA0841" w:rsidRPr="00365FE2" w:rsidRDefault="00AA0841" w:rsidP="00AA0841">
      <w:r w:rsidRPr="00365FE2">
        <w:rPr>
          <w:b/>
        </w:rPr>
        <w:t>Waterbirds</w:t>
      </w:r>
      <w:r w:rsidRPr="00365FE2">
        <w:t xml:space="preserve">: </w:t>
      </w:r>
      <w:r>
        <w:t>Provide drought refuge for waterbirds and support waterbird habitat.</w:t>
      </w:r>
      <w:r w:rsidRPr="00365FE2">
        <w:t xml:space="preserve"> </w:t>
      </w:r>
    </w:p>
    <w:p w14:paraId="14A969EE" w14:textId="77777777" w:rsidR="00AA0841" w:rsidRPr="00365FE2" w:rsidRDefault="00AA0841" w:rsidP="00AA0841">
      <w:r w:rsidRPr="00365FE2">
        <w:rPr>
          <w:b/>
        </w:rPr>
        <w:t>Native fish</w:t>
      </w:r>
      <w:r w:rsidRPr="00365FE2">
        <w:t>: Prevent loss of native fish species by supporting opportunities for movement, dispersal, reproduction, and recruitment</w:t>
      </w:r>
      <w:r>
        <w:t>, and providing in-channel refuge and aquatic habitat</w:t>
      </w:r>
      <w:r w:rsidRPr="00365FE2">
        <w:t>.</w:t>
      </w:r>
    </w:p>
    <w:p w14:paraId="42518BA1" w14:textId="77777777" w:rsidR="00AA0841" w:rsidRPr="00365FE2" w:rsidRDefault="00AA0841" w:rsidP="00AA0841">
      <w:r w:rsidRPr="00365FE2">
        <w:rPr>
          <w:b/>
        </w:rPr>
        <w:t>Other vertebrates</w:t>
      </w:r>
      <w:r w:rsidRPr="00365FE2">
        <w:t>: Support opportunities for the reproduction and recruitment of other native aquatic species, including frogs and turtles.</w:t>
      </w:r>
    </w:p>
    <w:p w14:paraId="4D6673DB" w14:textId="77777777" w:rsidR="00AA0841" w:rsidRPr="00365FE2" w:rsidRDefault="00AA0841" w:rsidP="00AA0841">
      <w:r w:rsidRPr="00365FE2">
        <w:rPr>
          <w:b/>
        </w:rPr>
        <w:t>Connectivity</w:t>
      </w:r>
      <w:r w:rsidRPr="00365FE2">
        <w:t>: Support longitudinal connectivity, including with the</w:t>
      </w:r>
      <w:r>
        <w:t xml:space="preserve"> Lower Namoi floodplain and the</w:t>
      </w:r>
      <w:r w:rsidRPr="00365FE2">
        <w:t xml:space="preserve"> Barwon River, and lateral connectivity between the river and floodplain. </w:t>
      </w:r>
    </w:p>
    <w:p w14:paraId="6E7786A0" w14:textId="77777777" w:rsidR="00AA0841" w:rsidRPr="00365FE2" w:rsidRDefault="00AA0841" w:rsidP="00AA0841">
      <w:r w:rsidRPr="00365FE2">
        <w:rPr>
          <w:b/>
        </w:rPr>
        <w:t>Processes/water quality/resilience</w:t>
      </w:r>
      <w:r w:rsidRPr="00365FE2">
        <w:t>: Support key ecosystem functions and promote productivity</w:t>
      </w:r>
      <w:r>
        <w:t xml:space="preserve"> and nutrient cycling</w:t>
      </w:r>
      <w:r w:rsidRPr="00365FE2">
        <w:t>; maintain water quality in channels and pools; and maintain drought refuge habitat.</w:t>
      </w:r>
    </w:p>
    <w:p w14:paraId="7A74A1CE" w14:textId="77777777" w:rsidR="00AA0841" w:rsidRDefault="00AA0841" w:rsidP="0057535E">
      <w:pPr>
        <w:pStyle w:val="Heading3"/>
      </w:pPr>
      <w:bookmarkStart w:id="102" w:name="_Hlk42795098"/>
      <w:r w:rsidRPr="00F8531D">
        <w:t>First Nations environmental objectives</w:t>
      </w:r>
    </w:p>
    <w:bookmarkEnd w:id="102"/>
    <w:p w14:paraId="67705B70" w14:textId="77777777" w:rsidR="00AA0841" w:rsidRPr="001E6073" w:rsidRDefault="00AA0841" w:rsidP="00AA0841">
      <w:r w:rsidRPr="001E6073">
        <w:t>Representatives of the First Nations peoples of the Namoi River valley</w:t>
      </w:r>
      <w:r w:rsidRPr="001E6073">
        <w:rPr>
          <w:rFonts w:cstheme="minorHAnsi"/>
        </w:rPr>
        <w:t xml:space="preserve"> </w:t>
      </w:r>
      <w:r w:rsidRPr="001E6073">
        <w:t>have identified environmental objectives for their country for 2020</w:t>
      </w:r>
      <w:r>
        <w:t>–</w:t>
      </w:r>
      <w:r w:rsidRPr="009F4E23">
        <w:t>21 (</w:t>
      </w:r>
      <w:r>
        <w:t>Table 1</w:t>
      </w:r>
      <w:r w:rsidRPr="009F4E23">
        <w:t>). These objectives</w:t>
      </w:r>
      <w:r w:rsidRPr="001E6073">
        <w:t xml:space="preserve"> were developed through the First Nations Environmental Guidance project undertaken by the Northern Basin Aboriginal Nations organisation. </w:t>
      </w:r>
      <w:r w:rsidRPr="00E061A2">
        <w:rPr>
          <w:rFonts w:cs="Calibri"/>
        </w:rPr>
        <w:t xml:space="preserve">Some of these objectives sit outside the scope of water for the environment to influence, while for others, the link between water for the environment and the site or </w:t>
      </w:r>
      <w:r>
        <w:rPr>
          <w:rFonts w:cs="Calibri"/>
        </w:rPr>
        <w:t xml:space="preserve">species </w:t>
      </w:r>
      <w:r w:rsidRPr="00E061A2">
        <w:rPr>
          <w:rFonts w:cs="Calibri"/>
        </w:rPr>
        <w:t>is not well understood. </w:t>
      </w:r>
    </w:p>
    <w:p w14:paraId="5C70BE6A" w14:textId="77777777" w:rsidR="00AA0841" w:rsidRPr="001E6073" w:rsidRDefault="00AA0841" w:rsidP="00AA0841">
      <w:r w:rsidRPr="001E6073">
        <w:t>The CEWO is committed to working with First Nations groups to better understand their objectives.</w:t>
      </w:r>
      <w:r>
        <w:t xml:space="preserve"> </w:t>
      </w:r>
      <w:r w:rsidRPr="001E6073">
        <w:t>The CEWO will use environmental flows to contribute to these objectives where possible and where this is consistent with the Commonwealth Environmental Water Holder’s statutory responsibility of protecting and restoring environmental assets in the Basin.</w:t>
      </w:r>
    </w:p>
    <w:p w14:paraId="6C45C378" w14:textId="0ADA90E8" w:rsidR="00AA0841" w:rsidRPr="009F4E23" w:rsidRDefault="00AA0841" w:rsidP="00AA0841">
      <w:pPr>
        <w:spacing w:before="240"/>
      </w:pPr>
      <w:bookmarkStart w:id="103" w:name="_Ref43389073"/>
      <w:r w:rsidRPr="00A9737D">
        <w:rPr>
          <w:b/>
        </w:rPr>
        <w:t xml:space="preserve">Table </w:t>
      </w:r>
      <w:r w:rsidRPr="00A9737D">
        <w:rPr>
          <w:b/>
        </w:rPr>
        <w:fldChar w:fldCharType="begin"/>
      </w:r>
      <w:r w:rsidRPr="00A9737D">
        <w:rPr>
          <w:b/>
        </w:rPr>
        <w:instrText xml:space="preserve"> SEQ Table \* ARABIC </w:instrText>
      </w:r>
      <w:r w:rsidRPr="00A9737D">
        <w:rPr>
          <w:b/>
        </w:rPr>
        <w:fldChar w:fldCharType="separate"/>
      </w:r>
      <w:r w:rsidR="001B2852">
        <w:rPr>
          <w:b/>
          <w:noProof/>
        </w:rPr>
        <w:t>19</w:t>
      </w:r>
      <w:r w:rsidRPr="00A9737D">
        <w:rPr>
          <w:b/>
        </w:rPr>
        <w:fldChar w:fldCharType="end"/>
      </w:r>
      <w:r>
        <w:t xml:space="preserve">: </w:t>
      </w:r>
      <w:bookmarkEnd w:id="103"/>
      <w:r w:rsidRPr="009F4E23">
        <w:t>First Nations environmental objectives for the Namoi River system for 2020</w:t>
      </w:r>
      <w:r>
        <w:t>–</w:t>
      </w:r>
      <w:r w:rsidRPr="009F4E23">
        <w:t>21 (NBAN Ltd</w:t>
      </w:r>
      <w:r>
        <w:t>.</w:t>
      </w:r>
      <w:r w:rsidRPr="009F4E23">
        <w:t xml:space="preserve"> 2020)</w:t>
      </w:r>
    </w:p>
    <w:tbl>
      <w:tblPr>
        <w:tblStyle w:val="TableGrid1"/>
        <w:tblW w:w="9781" w:type="dxa"/>
        <w:tblInd w:w="-5" w:type="dxa"/>
        <w:tblBorders>
          <w:insideH w:val="none" w:sz="0" w:space="0" w:color="auto"/>
          <w:insideV w:val="none" w:sz="0" w:space="0" w:color="auto"/>
        </w:tblBorders>
        <w:tblLook w:val="04A0" w:firstRow="1" w:lastRow="0" w:firstColumn="1" w:lastColumn="0" w:noHBand="0" w:noVBand="1"/>
      </w:tblPr>
      <w:tblGrid>
        <w:gridCol w:w="9781"/>
      </w:tblGrid>
      <w:tr w:rsidR="00AA0841" w:rsidRPr="00BD1AF3" w14:paraId="0C9D0E31" w14:textId="77777777" w:rsidTr="00AA0841">
        <w:tc>
          <w:tcPr>
            <w:tcW w:w="9781" w:type="dxa"/>
            <w:tcBorders>
              <w:bottom w:val="nil"/>
            </w:tcBorders>
            <w:shd w:val="clear" w:color="auto" w:fill="B6DDE8" w:themeFill="accent5" w:themeFillTint="66"/>
            <w:vAlign w:val="center"/>
          </w:tcPr>
          <w:p w14:paraId="4B68C010" w14:textId="77777777" w:rsidR="00AA0841" w:rsidRPr="00BD1AF3" w:rsidRDefault="00AA0841" w:rsidP="00AA0841">
            <w:pPr>
              <w:rPr>
                <w:b/>
                <w:sz w:val="21"/>
                <w:szCs w:val="22"/>
                <w:lang w:val="en-GB"/>
              </w:rPr>
            </w:pPr>
            <w:r w:rsidRPr="00BD1AF3">
              <w:rPr>
                <w:b/>
                <w:sz w:val="21"/>
                <w:szCs w:val="22"/>
                <w:lang w:val="en-GB"/>
              </w:rPr>
              <w:t>River flows and Connectivity</w:t>
            </w:r>
          </w:p>
        </w:tc>
      </w:tr>
      <w:tr w:rsidR="00AA0841" w:rsidRPr="00BD1AF3" w14:paraId="37CCD0C9" w14:textId="77777777" w:rsidTr="00AA0841">
        <w:tc>
          <w:tcPr>
            <w:tcW w:w="9781" w:type="dxa"/>
            <w:tcBorders>
              <w:top w:val="nil"/>
              <w:bottom w:val="single" w:sz="4" w:space="0" w:color="auto"/>
            </w:tcBorders>
          </w:tcPr>
          <w:p w14:paraId="00362241" w14:textId="77777777" w:rsidR="00AA0841" w:rsidRPr="00BD1AF3" w:rsidRDefault="00AA0841" w:rsidP="00AA0841">
            <w:pPr>
              <w:rPr>
                <w:rFonts w:cs="Arial"/>
                <w:sz w:val="21"/>
                <w:szCs w:val="22"/>
              </w:rPr>
            </w:pPr>
            <w:r w:rsidRPr="00BD1AF3">
              <w:rPr>
                <w:rStyle w:val="Heading5Char"/>
                <w:sz w:val="21"/>
              </w:rPr>
              <w:t>Priority sites</w:t>
            </w:r>
            <w:r w:rsidRPr="00BD1AF3">
              <w:rPr>
                <w:rFonts w:cs="Arial"/>
                <w:sz w:val="21"/>
                <w:szCs w:val="22"/>
              </w:rPr>
              <w:t>: Narrabri is an important site for recreational activities; Namoi to flow at a certain level at all times.</w:t>
            </w:r>
          </w:p>
        </w:tc>
      </w:tr>
      <w:tr w:rsidR="00AA0841" w:rsidRPr="00BD1AF3" w14:paraId="0DA07B03" w14:textId="77777777" w:rsidTr="00AA0841">
        <w:tc>
          <w:tcPr>
            <w:tcW w:w="9781" w:type="dxa"/>
            <w:tcBorders>
              <w:top w:val="single" w:sz="4" w:space="0" w:color="auto"/>
              <w:bottom w:val="nil"/>
            </w:tcBorders>
            <w:shd w:val="clear" w:color="auto" w:fill="B6DDE8" w:themeFill="accent5" w:themeFillTint="66"/>
          </w:tcPr>
          <w:p w14:paraId="47727933" w14:textId="77777777" w:rsidR="00AA0841" w:rsidRPr="00BD1AF3" w:rsidRDefault="00AA0841" w:rsidP="00AA0841">
            <w:pPr>
              <w:rPr>
                <w:rFonts w:cs="Arial"/>
                <w:sz w:val="21"/>
                <w:szCs w:val="22"/>
                <w:lang w:val="en-GB"/>
              </w:rPr>
            </w:pPr>
            <w:r w:rsidRPr="00BD1AF3">
              <w:rPr>
                <w:b/>
                <w:sz w:val="21"/>
                <w:szCs w:val="22"/>
                <w:lang w:val="en-GB"/>
              </w:rPr>
              <w:t>Native Vegetation</w:t>
            </w:r>
          </w:p>
        </w:tc>
      </w:tr>
      <w:tr w:rsidR="00AA0841" w:rsidRPr="00BD1AF3" w14:paraId="572BB886" w14:textId="77777777" w:rsidTr="00AA0841">
        <w:tc>
          <w:tcPr>
            <w:tcW w:w="9781" w:type="dxa"/>
            <w:tcBorders>
              <w:top w:val="nil"/>
              <w:bottom w:val="single" w:sz="4" w:space="0" w:color="auto"/>
            </w:tcBorders>
          </w:tcPr>
          <w:p w14:paraId="609BE1A1" w14:textId="77777777" w:rsidR="00AA0841" w:rsidRPr="00BD1AF3" w:rsidRDefault="00AA0841" w:rsidP="00AA0841">
            <w:pPr>
              <w:rPr>
                <w:sz w:val="21"/>
                <w:szCs w:val="22"/>
              </w:rPr>
            </w:pPr>
            <w:r w:rsidRPr="00BD1AF3">
              <w:rPr>
                <w:rStyle w:val="Heading5Char"/>
                <w:sz w:val="21"/>
              </w:rPr>
              <w:t>Indicator species:</w:t>
            </w:r>
            <w:r w:rsidRPr="00BD1AF3">
              <w:rPr>
                <w:sz w:val="21"/>
                <w:szCs w:val="22"/>
              </w:rPr>
              <w:t xml:space="preserve"> Gidgee Gum</w:t>
            </w:r>
            <w:r w:rsidRPr="00BD1AF3">
              <w:rPr>
                <w:sz w:val="21"/>
                <w:szCs w:val="22"/>
                <w:vertAlign w:val="superscript"/>
              </w:rPr>
              <w:t>i</w:t>
            </w:r>
            <w:r w:rsidRPr="00BD1AF3">
              <w:rPr>
                <w:sz w:val="21"/>
                <w:szCs w:val="22"/>
              </w:rPr>
              <w:t>, blue gum</w:t>
            </w:r>
            <w:r w:rsidRPr="00BD1AF3">
              <w:rPr>
                <w:sz w:val="21"/>
                <w:szCs w:val="22"/>
                <w:vertAlign w:val="superscript"/>
              </w:rPr>
              <w:t>i</w:t>
            </w:r>
            <w:r w:rsidRPr="00BD1AF3">
              <w:rPr>
                <w:sz w:val="21"/>
                <w:szCs w:val="22"/>
              </w:rPr>
              <w:t>, bulrush, water lily, sedges, tea trees</w:t>
            </w:r>
            <w:r w:rsidRPr="00BD1AF3">
              <w:rPr>
                <w:sz w:val="21"/>
                <w:szCs w:val="22"/>
                <w:vertAlign w:val="superscript"/>
              </w:rPr>
              <w:t>i</w:t>
            </w:r>
            <w:r w:rsidRPr="00BD1AF3">
              <w:rPr>
                <w:sz w:val="21"/>
                <w:szCs w:val="22"/>
              </w:rPr>
              <w:t>, sandalwood</w:t>
            </w:r>
            <w:r w:rsidRPr="00BD1AF3">
              <w:rPr>
                <w:sz w:val="21"/>
                <w:szCs w:val="22"/>
                <w:vertAlign w:val="superscript"/>
              </w:rPr>
              <w:t>i</w:t>
            </w:r>
            <w:r w:rsidRPr="00BD1AF3">
              <w:rPr>
                <w:sz w:val="21"/>
                <w:szCs w:val="22"/>
              </w:rPr>
              <w:t>, iron bark (poplar box)</w:t>
            </w:r>
            <w:r w:rsidRPr="00BD1AF3">
              <w:rPr>
                <w:sz w:val="21"/>
                <w:szCs w:val="22"/>
                <w:vertAlign w:val="superscript"/>
              </w:rPr>
              <w:t>i</w:t>
            </w:r>
            <w:r w:rsidRPr="00BD1AF3">
              <w:rPr>
                <w:sz w:val="21"/>
                <w:szCs w:val="22"/>
              </w:rPr>
              <w:t>.</w:t>
            </w:r>
          </w:p>
        </w:tc>
      </w:tr>
      <w:tr w:rsidR="00AA0841" w:rsidRPr="00BD1AF3" w14:paraId="5D932013" w14:textId="77777777" w:rsidTr="00AA0841">
        <w:tc>
          <w:tcPr>
            <w:tcW w:w="9781" w:type="dxa"/>
            <w:tcBorders>
              <w:top w:val="single" w:sz="4" w:space="0" w:color="auto"/>
              <w:bottom w:val="nil"/>
            </w:tcBorders>
            <w:shd w:val="clear" w:color="auto" w:fill="B6DDE8" w:themeFill="accent5" w:themeFillTint="66"/>
          </w:tcPr>
          <w:p w14:paraId="4352E11E" w14:textId="77777777" w:rsidR="00AA0841" w:rsidRPr="00BD1AF3" w:rsidRDefault="00AA0841" w:rsidP="00AA0841">
            <w:pPr>
              <w:rPr>
                <w:sz w:val="21"/>
                <w:szCs w:val="22"/>
                <w:lang w:val="en-GB"/>
              </w:rPr>
            </w:pPr>
            <w:r w:rsidRPr="00BD1AF3">
              <w:rPr>
                <w:b/>
                <w:sz w:val="21"/>
                <w:szCs w:val="22"/>
                <w:lang w:val="en-GB"/>
              </w:rPr>
              <w:t>Native Birds</w:t>
            </w:r>
          </w:p>
        </w:tc>
      </w:tr>
      <w:tr w:rsidR="00AA0841" w:rsidRPr="00BD1AF3" w14:paraId="40553C2E" w14:textId="77777777" w:rsidTr="00AA0841">
        <w:tc>
          <w:tcPr>
            <w:tcW w:w="9781" w:type="dxa"/>
            <w:tcBorders>
              <w:top w:val="nil"/>
              <w:bottom w:val="single" w:sz="4" w:space="0" w:color="auto"/>
            </w:tcBorders>
          </w:tcPr>
          <w:p w14:paraId="7042737B" w14:textId="77777777" w:rsidR="00AA0841" w:rsidRPr="00BD1AF3" w:rsidRDefault="00AA0841" w:rsidP="00AA0841">
            <w:pPr>
              <w:rPr>
                <w:sz w:val="21"/>
                <w:szCs w:val="22"/>
              </w:rPr>
            </w:pPr>
            <w:r w:rsidRPr="00BD1AF3">
              <w:rPr>
                <w:rStyle w:val="Heading5Char"/>
                <w:sz w:val="21"/>
              </w:rPr>
              <w:t>Indicator species</w:t>
            </w:r>
            <w:r w:rsidRPr="00BD1AF3">
              <w:rPr>
                <w:bCs/>
                <w:sz w:val="21"/>
                <w:szCs w:val="22"/>
              </w:rPr>
              <w:t>:</w:t>
            </w:r>
            <w:r w:rsidRPr="00BD1AF3">
              <w:rPr>
                <w:sz w:val="21"/>
                <w:szCs w:val="22"/>
              </w:rPr>
              <w:t xml:space="preserve"> Teal, crimson wing, storks, white long-legged heron.</w:t>
            </w:r>
          </w:p>
        </w:tc>
      </w:tr>
      <w:tr w:rsidR="00AA0841" w:rsidRPr="00BD1AF3" w14:paraId="13FF11CB" w14:textId="77777777" w:rsidTr="00AA0841">
        <w:tc>
          <w:tcPr>
            <w:tcW w:w="9781" w:type="dxa"/>
            <w:tcBorders>
              <w:top w:val="single" w:sz="4" w:space="0" w:color="auto"/>
              <w:bottom w:val="nil"/>
            </w:tcBorders>
            <w:shd w:val="clear" w:color="auto" w:fill="B6DDE8" w:themeFill="accent5" w:themeFillTint="66"/>
          </w:tcPr>
          <w:p w14:paraId="20F28C5A" w14:textId="77777777" w:rsidR="00AA0841" w:rsidRPr="00BD1AF3" w:rsidRDefault="00AA0841" w:rsidP="00AA0841">
            <w:pPr>
              <w:rPr>
                <w:sz w:val="21"/>
                <w:szCs w:val="22"/>
                <w:lang w:val="en-GB"/>
              </w:rPr>
            </w:pPr>
            <w:r w:rsidRPr="00BD1AF3">
              <w:rPr>
                <w:b/>
                <w:sz w:val="21"/>
                <w:szCs w:val="22"/>
                <w:lang w:val="en-GB"/>
              </w:rPr>
              <w:t>Native Animals</w:t>
            </w:r>
          </w:p>
        </w:tc>
      </w:tr>
      <w:tr w:rsidR="00AA0841" w:rsidRPr="00BD1AF3" w14:paraId="14869D39" w14:textId="77777777" w:rsidTr="00AA0841">
        <w:tc>
          <w:tcPr>
            <w:tcW w:w="9781" w:type="dxa"/>
            <w:tcBorders>
              <w:top w:val="nil"/>
              <w:bottom w:val="single" w:sz="4" w:space="0" w:color="auto"/>
            </w:tcBorders>
          </w:tcPr>
          <w:p w14:paraId="3B5A5BF5" w14:textId="77777777" w:rsidR="00AA0841" w:rsidRPr="00BD1AF3" w:rsidRDefault="00AA0841" w:rsidP="00AA0841">
            <w:pPr>
              <w:rPr>
                <w:sz w:val="21"/>
                <w:szCs w:val="22"/>
              </w:rPr>
            </w:pPr>
            <w:r w:rsidRPr="00BD1AF3">
              <w:rPr>
                <w:rStyle w:val="Heading5Char"/>
                <w:sz w:val="21"/>
              </w:rPr>
              <w:t>Indicator species:</w:t>
            </w:r>
            <w:r w:rsidRPr="00BD1AF3">
              <w:rPr>
                <w:sz w:val="21"/>
                <w:szCs w:val="22"/>
              </w:rPr>
              <w:t xml:space="preserve">  Dhufish (eel tailed catfish), yellowbelly, codfish, black bream (silver perch).</w:t>
            </w:r>
          </w:p>
        </w:tc>
      </w:tr>
      <w:tr w:rsidR="00AA0841" w:rsidRPr="00BD1AF3" w14:paraId="3E120B4B" w14:textId="77777777" w:rsidTr="00AA0841">
        <w:tc>
          <w:tcPr>
            <w:tcW w:w="9781" w:type="dxa"/>
            <w:tcBorders>
              <w:top w:val="single" w:sz="4" w:space="0" w:color="auto"/>
            </w:tcBorders>
            <w:shd w:val="clear" w:color="auto" w:fill="B6DDE8" w:themeFill="accent5" w:themeFillTint="66"/>
          </w:tcPr>
          <w:p w14:paraId="0B4A57AC" w14:textId="77777777" w:rsidR="00AA0841" w:rsidRPr="00BD1AF3" w:rsidRDefault="00AA0841" w:rsidP="00AA0841">
            <w:pPr>
              <w:rPr>
                <w:sz w:val="21"/>
                <w:szCs w:val="22"/>
                <w:lang w:val="en-GB"/>
              </w:rPr>
            </w:pPr>
            <w:r w:rsidRPr="00BD1AF3">
              <w:rPr>
                <w:b/>
                <w:sz w:val="21"/>
                <w:szCs w:val="22"/>
                <w:lang w:val="en-GB"/>
              </w:rPr>
              <w:t>Connecting with Country</w:t>
            </w:r>
          </w:p>
        </w:tc>
      </w:tr>
      <w:tr w:rsidR="00AA0841" w:rsidRPr="00BD1AF3" w14:paraId="4B8F4420" w14:textId="77777777" w:rsidTr="00AA0841">
        <w:tc>
          <w:tcPr>
            <w:tcW w:w="9781" w:type="dxa"/>
          </w:tcPr>
          <w:p w14:paraId="554823B9" w14:textId="77777777" w:rsidR="00AA0841" w:rsidRPr="00BD1AF3" w:rsidRDefault="00AA0841" w:rsidP="00AA0841">
            <w:pPr>
              <w:rPr>
                <w:sz w:val="21"/>
                <w:szCs w:val="22"/>
              </w:rPr>
            </w:pPr>
            <w:r w:rsidRPr="00BD1AF3">
              <w:rPr>
                <w:sz w:val="21"/>
                <w:szCs w:val="22"/>
              </w:rPr>
              <w:t>To tell and share our stories, to be able to hunt and fish along the rivers, to gather at the river as a Nation to camp.</w:t>
            </w:r>
          </w:p>
        </w:tc>
      </w:tr>
    </w:tbl>
    <w:p w14:paraId="52356A3F" w14:textId="77777777" w:rsidR="00AA0841" w:rsidRDefault="00AA0841" w:rsidP="00AA0841">
      <w:pPr>
        <w:spacing w:after="0"/>
        <w:rPr>
          <w:sz w:val="20"/>
        </w:rPr>
      </w:pPr>
      <w:bookmarkStart w:id="104" w:name="_Hlk43372940"/>
      <w:r w:rsidRPr="001E6073">
        <w:rPr>
          <w:sz w:val="20"/>
        </w:rPr>
        <w:t xml:space="preserve">  </w:t>
      </w:r>
      <w:r w:rsidRPr="00B95704">
        <w:rPr>
          <w:vertAlign w:val="superscript"/>
        </w:rPr>
        <w:t>i</w:t>
      </w:r>
      <w:r w:rsidRPr="001E6073">
        <w:rPr>
          <w:sz w:val="20"/>
          <w:lang w:val="en-GB"/>
        </w:rPr>
        <w:t xml:space="preserve"> </w:t>
      </w:r>
      <w:r w:rsidRPr="001E6073">
        <w:rPr>
          <w:sz w:val="20"/>
        </w:rPr>
        <w:t>Water for the environment targeting</w:t>
      </w:r>
      <w:r>
        <w:rPr>
          <w:sz w:val="20"/>
        </w:rPr>
        <w:t xml:space="preserve"> other</w:t>
      </w:r>
      <w:r w:rsidRPr="001E6073">
        <w:rPr>
          <w:sz w:val="20"/>
        </w:rPr>
        <w:t xml:space="preserve"> environmental outcomes may</w:t>
      </w:r>
      <w:r>
        <w:rPr>
          <w:sz w:val="20"/>
        </w:rPr>
        <w:t xml:space="preserve"> influence this species or objective</w:t>
      </w:r>
    </w:p>
    <w:bookmarkEnd w:id="104"/>
    <w:p w14:paraId="6639DEEE" w14:textId="77777777" w:rsidR="00AA0841" w:rsidRPr="00365FE2" w:rsidRDefault="00AA0841" w:rsidP="0057535E">
      <w:pPr>
        <w:pStyle w:val="Heading3"/>
      </w:pPr>
      <w:r w:rsidRPr="00365FE2">
        <w:lastRenderedPageBreak/>
        <w:t>Recent conditions and seasonal outlook</w:t>
      </w:r>
    </w:p>
    <w:p w14:paraId="552A4DD1" w14:textId="77777777" w:rsidR="00AA0841" w:rsidRPr="00365FE2" w:rsidRDefault="00AA0841" w:rsidP="00B044C3">
      <w:pPr>
        <w:pStyle w:val="Heading4"/>
        <w:spacing w:after="120"/>
      </w:pPr>
      <w:r w:rsidRPr="00365FE2">
        <w:t xml:space="preserve">Recent conditions </w:t>
      </w:r>
      <w:r w:rsidRPr="00237831">
        <w:t>and environmental water use</w:t>
      </w:r>
    </w:p>
    <w:p w14:paraId="52F82058" w14:textId="77777777" w:rsidR="00AA0841" w:rsidRPr="00365FE2" w:rsidRDefault="00AA0841" w:rsidP="00AA0841">
      <w:r w:rsidRPr="00365FE2">
        <w:t xml:space="preserve">The </w:t>
      </w:r>
      <w:r>
        <w:t>Namoi</w:t>
      </w:r>
      <w:r w:rsidRPr="00365FE2">
        <w:t xml:space="preserve"> catchment has experienced very hot and dry conditions since 2017–18, with </w:t>
      </w:r>
      <w:r>
        <w:t xml:space="preserve">lowest on record </w:t>
      </w:r>
      <w:r w:rsidRPr="00365FE2">
        <w:t>rainfall, and highest on record temperatures. Inflows to</w:t>
      </w:r>
      <w:r>
        <w:t xml:space="preserve"> storage</w:t>
      </w:r>
      <w:r w:rsidRPr="00365FE2">
        <w:t xml:space="preserve"> have been extremely low during this time, </w:t>
      </w:r>
      <w:r>
        <w:t xml:space="preserve">and no releases have been made from Keepit Dam since December 2018, with the exception of a 200 megalitres stock and domestic flow in March 2020. </w:t>
      </w:r>
    </w:p>
    <w:p w14:paraId="13FDAC82" w14:textId="77777777" w:rsidR="00AA0841" w:rsidRDefault="00AA0841" w:rsidP="00AA0841">
      <w:r w:rsidRPr="00365FE2">
        <w:t xml:space="preserve">With </w:t>
      </w:r>
      <w:r>
        <w:t>extreme</w:t>
      </w:r>
      <w:r w:rsidRPr="00365FE2">
        <w:t xml:space="preserve"> drought conditions in the </w:t>
      </w:r>
      <w:r>
        <w:t>Namoi</w:t>
      </w:r>
      <w:r w:rsidRPr="00365FE2">
        <w:t xml:space="preserve"> River Valley, </w:t>
      </w:r>
      <w:r>
        <w:t>general security allocations were zero during 2019–20 in both the Lower Namoi and Peel. A</w:t>
      </w:r>
      <w:r w:rsidRPr="00365FE2">
        <w:t xml:space="preserve">ccess to general security </w:t>
      </w:r>
      <w:r>
        <w:t>carryover water was also restricted in the Lower Namoi until this restriction was lifted on 25 February 2020. Carryover is not available in the Peel, and environmental accounts remain unavailable for use. No Commonwealth water for the environment was delivered in 2019–20 in either the Namoi or Peel rivers.</w:t>
      </w:r>
    </w:p>
    <w:p w14:paraId="05CFB738" w14:textId="77777777" w:rsidR="00AA0841" w:rsidRDefault="00AA0841" w:rsidP="00AA0841">
      <w:r>
        <w:t xml:space="preserve">Ongoing very hot and dry conditions have affected the condition of the Namoi and Peel rivers. Extended cease to flow conditions in the Namoi River resulted in the drying of refuge pools and stressed riparian and floodplain vegetation. Flows below Dungowan on the Peel River were restricted from 30 November 2019, to help secure town water supply, resulting in very little flow downstream. </w:t>
      </w:r>
      <w:r w:rsidRPr="00365FE2">
        <w:t xml:space="preserve"> </w:t>
      </w:r>
      <w:r>
        <w:t>A number of fish kills occurred over the summer in the Namoi and Peel rivers, which included native fish such as Murray cod, golden and silver perch, and freshwater catfish.</w:t>
      </w:r>
    </w:p>
    <w:p w14:paraId="0CB49778" w14:textId="77777777" w:rsidR="00AA0841" w:rsidRPr="00365FE2" w:rsidRDefault="00AA0841" w:rsidP="00AA0841">
      <w:r w:rsidRPr="007A1377">
        <w:t xml:space="preserve">Increased rainfall began in February 2020, which provided much needed flows to parts of the Lower Namoi and Peel rivers. Inflows also resulted in some increase in storage levels in Keepit Dam, which was at </w:t>
      </w:r>
      <w:r>
        <w:t>14.8</w:t>
      </w:r>
      <w:r w:rsidRPr="007A1377">
        <w:t xml:space="preserve"> per</w:t>
      </w:r>
      <w:r>
        <w:t> </w:t>
      </w:r>
      <w:r w:rsidRPr="007A1377">
        <w:t xml:space="preserve">cent capacity as of </w:t>
      </w:r>
      <w:r>
        <w:t xml:space="preserve">30 June </w:t>
      </w:r>
      <w:r w:rsidRPr="007A1377">
        <w:t xml:space="preserve">2020 (up from </w:t>
      </w:r>
      <w:r>
        <w:t xml:space="preserve">less than </w:t>
      </w:r>
      <w:r w:rsidRPr="007A1377">
        <w:t xml:space="preserve">1 per cent at the end of January). As of </w:t>
      </w:r>
      <w:r>
        <w:t>30 June</w:t>
      </w:r>
      <w:r w:rsidRPr="007A1377">
        <w:t>, Chaffey Dam was at 1</w:t>
      </w:r>
      <w:r>
        <w:t>5.1</w:t>
      </w:r>
      <w:r w:rsidRPr="007A1377">
        <w:t xml:space="preserve"> per cent capacity.</w:t>
      </w:r>
      <w:r>
        <w:t xml:space="preserve">  However, in the absence of further significant rainfall, there may be insufficient water available to meet system requirements in 2020–21. Around 34 gigalitres of inflows into Keepit Dam are required </w:t>
      </w:r>
      <w:r w:rsidRPr="00365FE2">
        <w:t>before any new allocations would be available</w:t>
      </w:r>
      <w:r>
        <w:t xml:space="preserve"> in the Lower Namoi</w:t>
      </w:r>
      <w:r w:rsidRPr="00365FE2">
        <w:t>.</w:t>
      </w:r>
      <w:r>
        <w:t xml:space="preserve"> </w:t>
      </w:r>
    </w:p>
    <w:p w14:paraId="07238BF2" w14:textId="77777777" w:rsidR="00AA0841" w:rsidRPr="00365FE2" w:rsidRDefault="00AA0841" w:rsidP="00AA0841">
      <w:r w:rsidRPr="00365FE2">
        <w:t xml:space="preserve">Details of previous Commonwealth environmental use in the </w:t>
      </w:r>
      <w:r>
        <w:t>Namoi River Valley</w:t>
      </w:r>
      <w:r w:rsidRPr="00365FE2">
        <w:t xml:space="preserve"> are available at: </w:t>
      </w:r>
      <w:hyperlink r:id="rId145" w:history="1">
        <w:r w:rsidRPr="00D1202C">
          <w:rPr>
            <w:rStyle w:val="Hyperlink"/>
          </w:rPr>
          <w:t>http://www.environment.gov.au/water/cewo/catchment/namoi/history</w:t>
        </w:r>
      </w:hyperlink>
      <w:r>
        <w:t xml:space="preserve">. </w:t>
      </w:r>
    </w:p>
    <w:p w14:paraId="79BC82F9" w14:textId="77777777" w:rsidR="00AA0841" w:rsidRPr="00365FE2" w:rsidRDefault="00AA0841" w:rsidP="00B044C3">
      <w:pPr>
        <w:pStyle w:val="Heading4"/>
        <w:spacing w:after="120"/>
      </w:pPr>
      <w:r w:rsidRPr="00365FE2">
        <w:t>Seasonal outlook</w:t>
      </w:r>
    </w:p>
    <w:p w14:paraId="4FF99646" w14:textId="77777777" w:rsidR="00AA0841" w:rsidRPr="00365FE2" w:rsidRDefault="00AA0841" w:rsidP="00AA0841">
      <w:r w:rsidRPr="00365FE2">
        <w:t>According to the Bureau of Meteorology outlook</w:t>
      </w:r>
      <w:r>
        <w:t xml:space="preserve"> in July, above median rainfall is forecast across the Namoi River Valley from late winter into spring. While this forecast suggests that the recent severe dry conditions may ease somewhat, several months of above average rainfall are needed to see a recovery from the current severe drought. Stream flows may be less than expected during the recovery. However, wetter conditions can return suddenly in the northern Basin. Maximum temperatures are also forecast to remain above average over the coming months. </w:t>
      </w:r>
    </w:p>
    <w:p w14:paraId="3506D32C" w14:textId="77777777" w:rsidR="00AA0841" w:rsidRPr="00365FE2" w:rsidRDefault="00AA0841" w:rsidP="00B044C3">
      <w:pPr>
        <w:pStyle w:val="Heading4"/>
        <w:spacing w:after="120"/>
      </w:pPr>
      <w:r w:rsidRPr="00365FE2">
        <w:t>Water availability</w:t>
      </w:r>
    </w:p>
    <w:p w14:paraId="61E00D5C" w14:textId="77777777" w:rsidR="00AA0841" w:rsidRPr="00365FE2" w:rsidRDefault="00AA0841" w:rsidP="00AA0841">
      <w:r w:rsidRPr="00365FE2">
        <w:t xml:space="preserve">The volume of Commonwealth environmental water carried over in the </w:t>
      </w:r>
      <w:r>
        <w:t>Namoi</w:t>
      </w:r>
      <w:r w:rsidRPr="00365FE2">
        <w:t xml:space="preserve"> River Valley for use in 2020–21 is </w:t>
      </w:r>
      <w:r>
        <w:t>0.6</w:t>
      </w:r>
      <w:r w:rsidRPr="008D16B6">
        <w:t xml:space="preserve"> </w:t>
      </w:r>
      <w:r>
        <w:t>gigalitres</w:t>
      </w:r>
      <w:r w:rsidRPr="008D16B6">
        <w:t>. Further improvements in resource availability are required before any new allocations are expected</w:t>
      </w:r>
      <w:r>
        <w:t xml:space="preserve"> in either the Namoi or Peel rivers</w:t>
      </w:r>
      <w:r w:rsidRPr="008D16B6">
        <w:t xml:space="preserve">. </w:t>
      </w:r>
    </w:p>
    <w:p w14:paraId="6B6D5C1C" w14:textId="77777777" w:rsidR="00AA0841" w:rsidRPr="00365FE2" w:rsidRDefault="00AA0841" w:rsidP="00AA0841">
      <w:r w:rsidRPr="00365FE2">
        <w:t xml:space="preserve">Based on the expected available volume of water held by the Commonwealth and other water holders, as well as recent and forecast catchment conditions, it is expected that the overall resource availability will be </w:t>
      </w:r>
      <w:r w:rsidRPr="008D16B6">
        <w:t>very low to low</w:t>
      </w:r>
      <w:r w:rsidRPr="00365FE2">
        <w:t xml:space="preserve"> in 2020–21. </w:t>
      </w:r>
    </w:p>
    <w:p w14:paraId="5D738845" w14:textId="77777777" w:rsidR="00AA0841" w:rsidRPr="00365FE2" w:rsidRDefault="00AA0841" w:rsidP="00B044C3">
      <w:pPr>
        <w:pStyle w:val="Heading4"/>
        <w:spacing w:after="120"/>
      </w:pPr>
      <w:r w:rsidRPr="00365FE2">
        <w:t>Environmental demands</w:t>
      </w:r>
    </w:p>
    <w:p w14:paraId="343FA0B3" w14:textId="77777777" w:rsidR="00AA0841" w:rsidRPr="00365FE2" w:rsidRDefault="00AA0841" w:rsidP="00AA0841">
      <w:r w:rsidRPr="00365FE2">
        <w:t xml:space="preserve">Considering the </w:t>
      </w:r>
      <w:r>
        <w:t>prolonged</w:t>
      </w:r>
      <w:r w:rsidRPr="00365FE2">
        <w:t xml:space="preserve"> drought and need to</w:t>
      </w:r>
      <w:r>
        <w:t xml:space="preserve"> support recovery and</w:t>
      </w:r>
      <w:r w:rsidRPr="00365FE2">
        <w:t xml:space="preserve"> avoid further damage to key assets, there are a number of environmental demands that require water urgently in 2020–21. </w:t>
      </w:r>
    </w:p>
    <w:p w14:paraId="0804C082" w14:textId="7993A3B6" w:rsidR="00AA0841" w:rsidRPr="00365FE2" w:rsidRDefault="00AA0841" w:rsidP="00AA0841">
      <w:r w:rsidRPr="00365FE2">
        <w:t xml:space="preserve">The environmental water demands for assets in the </w:t>
      </w:r>
      <w:r>
        <w:t>Namoi River Valley</w:t>
      </w:r>
      <w:r w:rsidRPr="00365FE2">
        <w:t xml:space="preserve"> in 2020–21 are represented in </w:t>
      </w:r>
      <w:r w:rsidRPr="00A9737D">
        <w:fldChar w:fldCharType="begin"/>
      </w:r>
      <w:r w:rsidRPr="00A9737D">
        <w:instrText xml:space="preserve"> REF _Ref43892082 \h  \* MERGEFORMAT </w:instrText>
      </w:r>
      <w:r w:rsidRPr="00A9737D">
        <w:fldChar w:fldCharType="separate"/>
      </w:r>
      <w:r w:rsidR="001B2852">
        <w:rPr>
          <w:b/>
          <w:bCs/>
          <w:lang w:val="en-US"/>
        </w:rPr>
        <w:t>Error! Reference source not found.</w:t>
      </w:r>
      <w:r w:rsidRPr="00A9737D">
        <w:fldChar w:fldCharType="end"/>
      </w:r>
      <w:r w:rsidRPr="00365FE2">
        <w:t>. Note that the capacity to contribute to these environmental demands is contingent on a substantial improvement in water availability in the catchment.</w:t>
      </w:r>
    </w:p>
    <w:p w14:paraId="3959E7A9" w14:textId="77777777" w:rsidR="00AA0841" w:rsidRPr="000F4C60" w:rsidRDefault="00AA0841" w:rsidP="00AA0841">
      <w:pPr>
        <w:pStyle w:val="NormalWeb"/>
        <w:spacing w:after="240"/>
        <w:rPr>
          <w:rFonts w:ascii="Century Gothic" w:hAnsi="Century Gothic"/>
        </w:rPr>
        <w:sectPr w:rsidR="00AA0841" w:rsidRPr="000F4C60" w:rsidSect="003737D8">
          <w:pgSz w:w="11906" w:h="16838"/>
          <w:pgMar w:top="1134" w:right="1133" w:bottom="851" w:left="964" w:header="567" w:footer="397" w:gutter="0"/>
          <w:cols w:space="708"/>
          <w:docGrid w:linePitch="360"/>
        </w:sectPr>
      </w:pPr>
    </w:p>
    <w:p w14:paraId="49190D38" w14:textId="34A9E77A" w:rsidR="00AA0841" w:rsidRDefault="00AA0841" w:rsidP="00AA0841">
      <w:r w:rsidRPr="006C51E4">
        <w:rPr>
          <w:b/>
        </w:rPr>
        <w:lastRenderedPageBreak/>
        <w:t xml:space="preserve">Table </w:t>
      </w:r>
      <w:r w:rsidRPr="006C51E4">
        <w:rPr>
          <w:b/>
        </w:rPr>
        <w:fldChar w:fldCharType="begin"/>
      </w:r>
      <w:r w:rsidRPr="006C51E4">
        <w:rPr>
          <w:b/>
        </w:rPr>
        <w:instrText xml:space="preserve"> SEQ Table \* ARABIC </w:instrText>
      </w:r>
      <w:r w:rsidRPr="006C51E4">
        <w:rPr>
          <w:b/>
        </w:rPr>
        <w:fldChar w:fldCharType="separate"/>
      </w:r>
      <w:r w:rsidR="001B2852">
        <w:rPr>
          <w:b/>
          <w:noProof/>
        </w:rPr>
        <w:t>20</w:t>
      </w:r>
      <w:r w:rsidRPr="006C51E4">
        <w:rPr>
          <w:b/>
        </w:rPr>
        <w:fldChar w:fldCharType="end"/>
      </w:r>
      <w:r>
        <w:t xml:space="preserve">: </w:t>
      </w:r>
      <w:r w:rsidRPr="00B461DE">
        <w:t xml:space="preserve">Environmental demands, priority for watering in 2020–21 and outlook for coming year in the </w:t>
      </w:r>
      <w:r w:rsidRPr="00EB55D0">
        <w:t>Namoi River Valley</w:t>
      </w:r>
    </w:p>
    <w:tbl>
      <w:tblPr>
        <w:tblW w:w="21971" w:type="dxa"/>
        <w:tblInd w:w="-5" w:type="dxa"/>
        <w:tblLayout w:type="fixed"/>
        <w:tblLook w:val="04A0" w:firstRow="1" w:lastRow="0" w:firstColumn="1" w:lastColumn="0" w:noHBand="0" w:noVBand="1"/>
      </w:tblPr>
      <w:tblGrid>
        <w:gridCol w:w="1843"/>
        <w:gridCol w:w="1985"/>
        <w:gridCol w:w="3969"/>
        <w:gridCol w:w="1984"/>
        <w:gridCol w:w="4961"/>
        <w:gridCol w:w="1843"/>
        <w:gridCol w:w="3118"/>
        <w:gridCol w:w="2268"/>
      </w:tblGrid>
      <w:tr w:rsidR="00AA0841" w:rsidRPr="0043594E" w14:paraId="377962A2" w14:textId="77777777" w:rsidTr="00AA0841">
        <w:trPr>
          <w:trHeight w:val="540"/>
          <w:tblHeader/>
        </w:trPr>
        <w:tc>
          <w:tcPr>
            <w:tcW w:w="1843" w:type="dxa"/>
            <w:vMerge w:val="restart"/>
            <w:tcBorders>
              <w:top w:val="single" w:sz="12" w:space="0" w:color="auto"/>
              <w:left w:val="single" w:sz="12" w:space="0" w:color="auto"/>
              <w:bottom w:val="single" w:sz="4" w:space="0" w:color="auto"/>
              <w:right w:val="single" w:sz="4" w:space="0" w:color="auto"/>
            </w:tcBorders>
            <w:shd w:val="clear" w:color="auto" w:fill="B6DDE8" w:themeFill="accent5" w:themeFillTint="66"/>
            <w:vAlign w:val="center"/>
          </w:tcPr>
          <w:p w14:paraId="611CFA7A" w14:textId="77777777" w:rsidR="00AA0841" w:rsidRPr="006C51E4" w:rsidRDefault="00AA0841" w:rsidP="00AA0841">
            <w:pPr>
              <w:jc w:val="center"/>
              <w:rPr>
                <w:rFonts w:ascii="Times New Roman" w:hAnsi="Times New Roman" w:cs="Times New Roman"/>
                <w:b/>
                <w:color w:val="auto"/>
                <w:sz w:val="18"/>
                <w:szCs w:val="18"/>
              </w:rPr>
            </w:pPr>
            <w:r w:rsidRPr="006C51E4">
              <w:rPr>
                <w:b/>
                <w:sz w:val="18"/>
                <w:szCs w:val="18"/>
              </w:rPr>
              <w:t>Environmental asset</w:t>
            </w:r>
          </w:p>
        </w:tc>
        <w:tc>
          <w:tcPr>
            <w:tcW w:w="1985" w:type="dxa"/>
            <w:vMerge w:val="restart"/>
            <w:tcBorders>
              <w:top w:val="single" w:sz="12" w:space="0" w:color="auto"/>
              <w:left w:val="single" w:sz="4" w:space="0" w:color="auto"/>
              <w:bottom w:val="single" w:sz="8" w:space="0" w:color="000000" w:themeColor="text1"/>
              <w:right w:val="single" w:sz="4" w:space="0" w:color="auto"/>
            </w:tcBorders>
            <w:shd w:val="clear" w:color="auto" w:fill="B6DDE8" w:themeFill="accent5" w:themeFillTint="66"/>
            <w:vAlign w:val="center"/>
            <w:hideMark/>
          </w:tcPr>
          <w:p w14:paraId="2FC2120F" w14:textId="77777777" w:rsidR="00AA0841" w:rsidRPr="006C51E4" w:rsidRDefault="00AA0841" w:rsidP="00AA0841">
            <w:pPr>
              <w:jc w:val="center"/>
              <w:rPr>
                <w:b/>
                <w:sz w:val="18"/>
                <w:szCs w:val="18"/>
              </w:rPr>
            </w:pPr>
            <w:r w:rsidRPr="006C51E4">
              <w:rPr>
                <w:b/>
                <w:sz w:val="18"/>
                <w:szCs w:val="18"/>
              </w:rPr>
              <w:t>Target values</w:t>
            </w:r>
          </w:p>
        </w:tc>
        <w:tc>
          <w:tcPr>
            <w:tcW w:w="5953" w:type="dxa"/>
            <w:gridSpan w:val="2"/>
            <w:tcBorders>
              <w:top w:val="single" w:sz="12" w:space="0" w:color="auto"/>
              <w:left w:val="nil"/>
              <w:bottom w:val="single" w:sz="8" w:space="0" w:color="000000" w:themeColor="text1"/>
              <w:right w:val="single" w:sz="4" w:space="0" w:color="auto"/>
            </w:tcBorders>
            <w:shd w:val="clear" w:color="auto" w:fill="B6DDE8" w:themeFill="accent5" w:themeFillTint="66"/>
            <w:vAlign w:val="center"/>
            <w:hideMark/>
          </w:tcPr>
          <w:p w14:paraId="433B86F7" w14:textId="77777777" w:rsidR="00AA0841" w:rsidRPr="006C51E4" w:rsidRDefault="00AA0841" w:rsidP="00AA0841">
            <w:pPr>
              <w:jc w:val="center"/>
              <w:rPr>
                <w:b/>
                <w:sz w:val="18"/>
                <w:szCs w:val="18"/>
              </w:rPr>
            </w:pPr>
            <w:r w:rsidRPr="006C51E4">
              <w:rPr>
                <w:b/>
                <w:sz w:val="18"/>
                <w:szCs w:val="18"/>
              </w:rPr>
              <w:t xml:space="preserve">Indicative demand (for </w:t>
            </w:r>
            <w:r w:rsidRPr="006C51E4">
              <w:rPr>
                <w:b/>
                <w:sz w:val="18"/>
                <w:szCs w:val="18"/>
                <w:u w:val="single"/>
              </w:rPr>
              <w:t>all sources of water</w:t>
            </w:r>
            <w:r w:rsidRPr="006C51E4">
              <w:rPr>
                <w:b/>
                <w:sz w:val="18"/>
                <w:szCs w:val="18"/>
              </w:rPr>
              <w:t xml:space="preserve"> in the system)</w:t>
            </w:r>
          </w:p>
        </w:tc>
        <w:tc>
          <w:tcPr>
            <w:tcW w:w="4961" w:type="dxa"/>
            <w:tcBorders>
              <w:top w:val="single" w:sz="12" w:space="0" w:color="auto"/>
              <w:left w:val="nil"/>
              <w:bottom w:val="single" w:sz="8" w:space="0" w:color="000000" w:themeColor="text1"/>
              <w:right w:val="single" w:sz="4" w:space="0" w:color="auto"/>
            </w:tcBorders>
            <w:shd w:val="clear" w:color="auto" w:fill="B6DDE8" w:themeFill="accent5" w:themeFillTint="66"/>
            <w:vAlign w:val="center"/>
            <w:hideMark/>
          </w:tcPr>
          <w:p w14:paraId="5DB59070" w14:textId="77777777" w:rsidR="00AA0841" w:rsidRPr="006C51E4" w:rsidRDefault="00AA0841" w:rsidP="00AA0841">
            <w:pPr>
              <w:jc w:val="center"/>
              <w:rPr>
                <w:b/>
                <w:sz w:val="18"/>
                <w:szCs w:val="18"/>
              </w:rPr>
            </w:pPr>
            <w:r w:rsidRPr="006C51E4">
              <w:rPr>
                <w:b/>
                <w:sz w:val="18"/>
                <w:szCs w:val="18"/>
              </w:rPr>
              <w:t>Watering history</w:t>
            </w:r>
          </w:p>
        </w:tc>
        <w:tc>
          <w:tcPr>
            <w:tcW w:w="4961" w:type="dxa"/>
            <w:gridSpan w:val="2"/>
            <w:tcBorders>
              <w:top w:val="single" w:sz="12" w:space="0" w:color="auto"/>
              <w:left w:val="nil"/>
              <w:bottom w:val="single" w:sz="8" w:space="0" w:color="000000" w:themeColor="text1"/>
              <w:right w:val="single" w:sz="4" w:space="0" w:color="auto"/>
            </w:tcBorders>
            <w:shd w:val="clear" w:color="auto" w:fill="B6DDE8" w:themeFill="accent5" w:themeFillTint="66"/>
            <w:vAlign w:val="center"/>
            <w:hideMark/>
          </w:tcPr>
          <w:p w14:paraId="1973094F" w14:textId="77777777" w:rsidR="00AA0841" w:rsidRPr="0043594E" w:rsidRDefault="00AA0841" w:rsidP="00AA0841">
            <w:pPr>
              <w:jc w:val="center"/>
              <w:rPr>
                <w:b/>
                <w:color w:val="auto"/>
                <w:sz w:val="18"/>
                <w:szCs w:val="18"/>
              </w:rPr>
            </w:pPr>
            <w:r w:rsidRPr="0043594E">
              <w:rPr>
                <w:b/>
                <w:color w:val="auto"/>
                <w:sz w:val="18"/>
                <w:szCs w:val="18"/>
              </w:rPr>
              <w:t>2020</w:t>
            </w:r>
            <w:r w:rsidRPr="0043594E">
              <w:rPr>
                <w:rFonts w:ascii="Symbol" w:hAnsi="Symbol"/>
                <w:b/>
                <w:color w:val="auto"/>
                <w:sz w:val="18"/>
                <w:szCs w:val="18"/>
              </w:rPr>
              <w:t></w:t>
            </w:r>
            <w:r w:rsidRPr="0043594E">
              <w:rPr>
                <w:b/>
                <w:color w:val="auto"/>
                <w:sz w:val="18"/>
                <w:szCs w:val="18"/>
              </w:rPr>
              <w:t>21</w:t>
            </w:r>
          </w:p>
        </w:tc>
        <w:tc>
          <w:tcPr>
            <w:tcW w:w="2268" w:type="dxa"/>
            <w:tcBorders>
              <w:top w:val="single" w:sz="12" w:space="0" w:color="auto"/>
              <w:left w:val="nil"/>
              <w:bottom w:val="single" w:sz="8" w:space="0" w:color="000000" w:themeColor="text1"/>
              <w:right w:val="single" w:sz="12" w:space="0" w:color="auto"/>
            </w:tcBorders>
            <w:shd w:val="clear" w:color="auto" w:fill="B6DDE8" w:themeFill="accent5" w:themeFillTint="66"/>
            <w:vAlign w:val="center"/>
            <w:hideMark/>
          </w:tcPr>
          <w:p w14:paraId="6D38CF66" w14:textId="77777777" w:rsidR="00AA0841" w:rsidRPr="0043594E" w:rsidRDefault="00AA0841" w:rsidP="00AA0841">
            <w:pPr>
              <w:jc w:val="center"/>
              <w:rPr>
                <w:b/>
                <w:color w:val="auto"/>
                <w:sz w:val="18"/>
                <w:szCs w:val="18"/>
              </w:rPr>
            </w:pPr>
            <w:r w:rsidRPr="0043594E">
              <w:rPr>
                <w:b/>
                <w:color w:val="auto"/>
                <w:sz w:val="18"/>
                <w:szCs w:val="18"/>
              </w:rPr>
              <w:t>Implications for future demands</w:t>
            </w:r>
          </w:p>
        </w:tc>
      </w:tr>
      <w:tr w:rsidR="00AA0841" w:rsidRPr="0043594E" w14:paraId="5146EC1C" w14:textId="77777777" w:rsidTr="00AA0841">
        <w:trPr>
          <w:trHeight w:val="1009"/>
          <w:tblHeader/>
        </w:trPr>
        <w:tc>
          <w:tcPr>
            <w:tcW w:w="1843" w:type="dxa"/>
            <w:vMerge/>
            <w:tcBorders>
              <w:left w:val="single" w:sz="12" w:space="0" w:color="auto"/>
              <w:bottom w:val="single" w:sz="12" w:space="0" w:color="auto"/>
              <w:right w:val="single" w:sz="4" w:space="0" w:color="auto"/>
            </w:tcBorders>
            <w:shd w:val="clear" w:color="auto" w:fill="B6DDE8" w:themeFill="accent5" w:themeFillTint="66"/>
            <w:vAlign w:val="center"/>
          </w:tcPr>
          <w:p w14:paraId="46C9ADF4" w14:textId="77777777" w:rsidR="00AA0841" w:rsidRPr="006C51E4" w:rsidRDefault="00AA0841" w:rsidP="00AA0841">
            <w:pPr>
              <w:jc w:val="center"/>
              <w:rPr>
                <w:b/>
                <w:sz w:val="18"/>
                <w:szCs w:val="18"/>
              </w:rPr>
            </w:pPr>
          </w:p>
        </w:tc>
        <w:tc>
          <w:tcPr>
            <w:tcW w:w="1985"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42233FF5" w14:textId="77777777" w:rsidR="00AA0841" w:rsidRPr="006C51E4" w:rsidRDefault="00AA0841" w:rsidP="00AA0841">
            <w:pPr>
              <w:jc w:val="center"/>
              <w:rPr>
                <w:b/>
                <w:sz w:val="18"/>
                <w:szCs w:val="18"/>
              </w:rPr>
            </w:pPr>
          </w:p>
        </w:tc>
        <w:tc>
          <w:tcPr>
            <w:tcW w:w="3969" w:type="dxa"/>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5D597D6F" w14:textId="77777777" w:rsidR="00AA0841" w:rsidRPr="006C51E4" w:rsidRDefault="00AA0841" w:rsidP="00AA0841">
            <w:pPr>
              <w:jc w:val="center"/>
              <w:rPr>
                <w:b/>
                <w:sz w:val="18"/>
                <w:szCs w:val="18"/>
              </w:rPr>
            </w:pPr>
            <w:r w:rsidRPr="006C51E4">
              <w:rPr>
                <w:b/>
                <w:sz w:val="18"/>
                <w:szCs w:val="18"/>
              </w:rPr>
              <w:t>Flow/Volume</w:t>
            </w:r>
          </w:p>
        </w:tc>
        <w:tc>
          <w:tcPr>
            <w:tcW w:w="1984" w:type="dxa"/>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4D2DE696" w14:textId="77777777" w:rsidR="00AA0841" w:rsidRPr="006C51E4" w:rsidRDefault="00AA0841" w:rsidP="00AA0841">
            <w:pPr>
              <w:jc w:val="center"/>
              <w:rPr>
                <w:b/>
                <w:sz w:val="18"/>
                <w:szCs w:val="18"/>
              </w:rPr>
            </w:pPr>
            <w:r w:rsidRPr="006C51E4">
              <w:rPr>
                <w:b/>
                <w:sz w:val="18"/>
                <w:szCs w:val="18"/>
              </w:rPr>
              <w:t>Required frequency (maximum dry interval)</w:t>
            </w:r>
          </w:p>
        </w:tc>
        <w:tc>
          <w:tcPr>
            <w:tcW w:w="4961" w:type="dxa"/>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74F3EB78" w14:textId="77777777" w:rsidR="00AA0841" w:rsidRPr="006C51E4" w:rsidRDefault="00AA0841" w:rsidP="00AA0841">
            <w:pPr>
              <w:jc w:val="center"/>
              <w:rPr>
                <w:b/>
                <w:sz w:val="18"/>
                <w:szCs w:val="18"/>
              </w:rPr>
            </w:pPr>
            <w:r w:rsidRPr="006C51E4">
              <w:rPr>
                <w:b/>
                <w:sz w:val="18"/>
                <w:szCs w:val="18"/>
              </w:rPr>
              <w:t>(from all sources of water)</w:t>
            </w:r>
          </w:p>
        </w:tc>
        <w:tc>
          <w:tcPr>
            <w:tcW w:w="1843" w:type="dxa"/>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4C9D58C6" w14:textId="77777777" w:rsidR="00AA0841" w:rsidRPr="0043594E" w:rsidRDefault="00AA0841" w:rsidP="00AA0841">
            <w:pPr>
              <w:jc w:val="center"/>
              <w:rPr>
                <w:b/>
                <w:color w:val="auto"/>
                <w:sz w:val="18"/>
                <w:szCs w:val="18"/>
              </w:rPr>
            </w:pPr>
            <w:r w:rsidRPr="0043594E">
              <w:rPr>
                <w:b/>
                <w:color w:val="auto"/>
                <w:sz w:val="18"/>
                <w:szCs w:val="18"/>
              </w:rPr>
              <w:t>Environmental demands for water</w:t>
            </w:r>
          </w:p>
        </w:tc>
        <w:tc>
          <w:tcPr>
            <w:tcW w:w="3118" w:type="dxa"/>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4B637946" w14:textId="77777777" w:rsidR="00AA0841" w:rsidRPr="0043594E" w:rsidRDefault="00AA0841" w:rsidP="00AA0841">
            <w:pPr>
              <w:jc w:val="center"/>
              <w:rPr>
                <w:b/>
                <w:color w:val="auto"/>
                <w:sz w:val="18"/>
                <w:szCs w:val="18"/>
              </w:rPr>
            </w:pPr>
            <w:r w:rsidRPr="0043594E">
              <w:rPr>
                <w:b/>
                <w:color w:val="auto"/>
                <w:sz w:val="18"/>
                <w:szCs w:val="18"/>
              </w:rPr>
              <w:t>Potential Commonwealth environmental water contribution?</w:t>
            </w:r>
          </w:p>
        </w:tc>
        <w:tc>
          <w:tcPr>
            <w:tcW w:w="2268" w:type="dxa"/>
            <w:tcBorders>
              <w:top w:val="single" w:sz="8" w:space="0" w:color="000000" w:themeColor="text1"/>
              <w:left w:val="single" w:sz="4" w:space="0" w:color="auto"/>
              <w:bottom w:val="single" w:sz="12" w:space="0" w:color="auto"/>
              <w:right w:val="single" w:sz="12" w:space="0" w:color="auto"/>
            </w:tcBorders>
            <w:shd w:val="clear" w:color="auto" w:fill="B6DDE8" w:themeFill="accent5" w:themeFillTint="66"/>
            <w:vAlign w:val="center"/>
            <w:hideMark/>
          </w:tcPr>
          <w:p w14:paraId="423047FF" w14:textId="77777777" w:rsidR="00AA0841" w:rsidRPr="0043594E" w:rsidRDefault="00AA0841" w:rsidP="00AA0841">
            <w:pPr>
              <w:jc w:val="center"/>
              <w:rPr>
                <w:b/>
                <w:color w:val="auto"/>
                <w:sz w:val="18"/>
                <w:szCs w:val="18"/>
              </w:rPr>
            </w:pPr>
            <w:r w:rsidRPr="0043594E">
              <w:rPr>
                <w:b/>
                <w:color w:val="auto"/>
                <w:sz w:val="18"/>
                <w:szCs w:val="18"/>
              </w:rPr>
              <w:t>Likely environmental demand in 2021–22 if watering occurred as planned in 2020</w:t>
            </w:r>
            <w:r w:rsidRPr="0043594E">
              <w:rPr>
                <w:rFonts w:ascii="Symbol" w:hAnsi="Symbol"/>
                <w:b/>
                <w:color w:val="auto"/>
                <w:sz w:val="18"/>
                <w:szCs w:val="18"/>
              </w:rPr>
              <w:t></w:t>
            </w:r>
            <w:r w:rsidRPr="0043594E">
              <w:rPr>
                <w:b/>
                <w:color w:val="auto"/>
                <w:sz w:val="18"/>
                <w:szCs w:val="18"/>
              </w:rPr>
              <w:t>21</w:t>
            </w:r>
          </w:p>
        </w:tc>
      </w:tr>
      <w:tr w:rsidR="00AA0841" w:rsidRPr="0043594E" w14:paraId="34FE7A40" w14:textId="77777777" w:rsidTr="00AA0841">
        <w:trPr>
          <w:trHeight w:val="3497"/>
        </w:trPr>
        <w:tc>
          <w:tcPr>
            <w:tcW w:w="1843" w:type="dxa"/>
            <w:vMerge w:val="restart"/>
            <w:tcBorders>
              <w:top w:val="single" w:sz="12" w:space="0" w:color="auto"/>
              <w:left w:val="single" w:sz="12" w:space="0" w:color="auto"/>
              <w:right w:val="single" w:sz="4" w:space="0" w:color="auto"/>
            </w:tcBorders>
          </w:tcPr>
          <w:p w14:paraId="28DCCC49" w14:textId="77777777" w:rsidR="00AA0841" w:rsidRPr="006C51E4" w:rsidRDefault="00AA0841" w:rsidP="00AA0841">
            <w:pPr>
              <w:rPr>
                <w:rFonts w:cstheme="minorHAnsi"/>
                <w:color w:val="000000" w:themeColor="text1"/>
                <w:sz w:val="18"/>
                <w:szCs w:val="18"/>
              </w:rPr>
            </w:pPr>
            <w:r w:rsidRPr="0063367B">
              <w:rPr>
                <w:rFonts w:cstheme="minorHAnsi"/>
                <w:b/>
                <w:color w:val="000000" w:themeColor="text1"/>
                <w:sz w:val="18"/>
                <w:szCs w:val="18"/>
              </w:rPr>
              <w:t>Lower Namoi River channel</w:t>
            </w:r>
            <w:r w:rsidRPr="006C51E4">
              <w:rPr>
                <w:rFonts w:cstheme="minorHAnsi"/>
                <w:color w:val="000000" w:themeColor="text1"/>
                <w:sz w:val="18"/>
                <w:szCs w:val="18"/>
              </w:rPr>
              <w:t>:</w:t>
            </w:r>
          </w:p>
          <w:p w14:paraId="3995C564" w14:textId="77777777" w:rsidR="00AA0841" w:rsidRPr="0063367B" w:rsidRDefault="00AA0841" w:rsidP="005D79EF">
            <w:pPr>
              <w:pStyle w:val="ListParagraph"/>
              <w:numPr>
                <w:ilvl w:val="0"/>
                <w:numId w:val="40"/>
              </w:numPr>
              <w:ind w:left="319" w:hanging="284"/>
              <w:rPr>
                <w:rFonts w:cstheme="minorHAnsi"/>
                <w:b/>
                <w:color w:val="000000" w:themeColor="text1"/>
                <w:sz w:val="18"/>
                <w:szCs w:val="18"/>
              </w:rPr>
            </w:pPr>
            <w:r w:rsidRPr="0063367B">
              <w:rPr>
                <w:rFonts w:cstheme="minorHAnsi"/>
                <w:b/>
                <w:color w:val="000000" w:themeColor="text1"/>
                <w:sz w:val="18"/>
                <w:szCs w:val="18"/>
              </w:rPr>
              <w:t>D</w:t>
            </w:r>
            <w:r w:rsidRPr="0063367B">
              <w:rPr>
                <w:rFonts w:cstheme="minorHAnsi"/>
                <w:b/>
                <w:bCs/>
                <w:color w:val="000000" w:themeColor="text1"/>
                <w:sz w:val="18"/>
                <w:szCs w:val="18"/>
              </w:rPr>
              <w:t xml:space="preserve">/s </w:t>
            </w:r>
            <w:r w:rsidRPr="0063367B">
              <w:rPr>
                <w:rFonts w:cstheme="minorHAnsi"/>
                <w:b/>
                <w:color w:val="000000" w:themeColor="text1"/>
                <w:sz w:val="18"/>
                <w:szCs w:val="18"/>
              </w:rPr>
              <w:t>Keepit Dam to Boggabri</w:t>
            </w:r>
          </w:p>
          <w:p w14:paraId="41C261FF" w14:textId="77777777" w:rsidR="00AA0841" w:rsidRPr="0063367B" w:rsidRDefault="00AA0841" w:rsidP="005D79EF">
            <w:pPr>
              <w:pStyle w:val="ListParagraph"/>
              <w:numPr>
                <w:ilvl w:val="0"/>
                <w:numId w:val="40"/>
              </w:numPr>
              <w:ind w:left="319" w:hanging="284"/>
              <w:rPr>
                <w:rFonts w:cstheme="minorHAnsi"/>
                <w:b/>
                <w:color w:val="000000" w:themeColor="text1"/>
                <w:sz w:val="18"/>
                <w:szCs w:val="18"/>
              </w:rPr>
            </w:pPr>
            <w:r w:rsidRPr="0063367B">
              <w:rPr>
                <w:rFonts w:cstheme="minorHAnsi"/>
                <w:b/>
                <w:color w:val="000000" w:themeColor="text1"/>
                <w:sz w:val="18"/>
                <w:szCs w:val="18"/>
              </w:rPr>
              <w:t>Boggabri to Mollee</w:t>
            </w:r>
          </w:p>
          <w:p w14:paraId="59365737" w14:textId="77777777" w:rsidR="00AA0841" w:rsidRPr="0063367B" w:rsidRDefault="00AA0841" w:rsidP="005D79EF">
            <w:pPr>
              <w:pStyle w:val="ListParagraph"/>
              <w:numPr>
                <w:ilvl w:val="0"/>
                <w:numId w:val="40"/>
              </w:numPr>
              <w:ind w:left="319" w:hanging="284"/>
              <w:rPr>
                <w:rFonts w:cstheme="minorHAnsi"/>
                <w:b/>
                <w:color w:val="000000" w:themeColor="text1"/>
                <w:sz w:val="18"/>
                <w:szCs w:val="18"/>
              </w:rPr>
            </w:pPr>
            <w:r w:rsidRPr="0063367B">
              <w:rPr>
                <w:rFonts w:cstheme="minorHAnsi"/>
                <w:b/>
                <w:color w:val="000000" w:themeColor="text1"/>
                <w:sz w:val="18"/>
                <w:szCs w:val="18"/>
              </w:rPr>
              <w:t>Mollee to Bugilbone</w:t>
            </w:r>
          </w:p>
          <w:p w14:paraId="14BCC22F" w14:textId="77777777" w:rsidR="00AA0841" w:rsidRPr="0063367B" w:rsidRDefault="00AA0841" w:rsidP="005D79EF">
            <w:pPr>
              <w:pStyle w:val="ListParagraph"/>
              <w:numPr>
                <w:ilvl w:val="0"/>
                <w:numId w:val="40"/>
              </w:numPr>
              <w:ind w:left="319" w:hanging="284"/>
              <w:rPr>
                <w:rFonts w:cstheme="minorHAnsi"/>
                <w:b/>
                <w:color w:val="000000" w:themeColor="text1"/>
                <w:sz w:val="18"/>
                <w:szCs w:val="18"/>
              </w:rPr>
            </w:pPr>
            <w:r w:rsidRPr="0063367B">
              <w:rPr>
                <w:rFonts w:cstheme="minorHAnsi"/>
                <w:b/>
                <w:color w:val="000000" w:themeColor="text1"/>
                <w:sz w:val="18"/>
                <w:szCs w:val="18"/>
              </w:rPr>
              <w:t>Bugilbone to Walgett</w:t>
            </w:r>
          </w:p>
          <w:p w14:paraId="28723973" w14:textId="77777777" w:rsidR="00AA0841" w:rsidRPr="006C51E4" w:rsidRDefault="00AA0841" w:rsidP="00AA0841">
            <w:pPr>
              <w:rPr>
                <w:rFonts w:cstheme="minorHAnsi"/>
                <w:color w:val="000000" w:themeColor="text1"/>
                <w:sz w:val="18"/>
                <w:szCs w:val="18"/>
              </w:rPr>
            </w:pPr>
          </w:p>
          <w:p w14:paraId="4112C958" w14:textId="77777777" w:rsidR="00AA0841" w:rsidRPr="006C51E4" w:rsidRDefault="00AA0841" w:rsidP="00AA0841">
            <w:pPr>
              <w:rPr>
                <w:rFonts w:cstheme="minorHAnsi"/>
                <w:bCs/>
                <w:color w:val="000000" w:themeColor="text1"/>
                <w:sz w:val="18"/>
                <w:szCs w:val="18"/>
              </w:rPr>
            </w:pPr>
            <w:r w:rsidRPr="006C51E4">
              <w:rPr>
                <w:rFonts w:cstheme="minorHAnsi"/>
                <w:bCs/>
                <w:color w:val="000000" w:themeColor="text1"/>
                <w:sz w:val="18"/>
                <w:szCs w:val="18"/>
              </w:rPr>
              <w:t>Native fish habitat, dispersal and spawning</w:t>
            </w:r>
          </w:p>
          <w:p w14:paraId="08C30346" w14:textId="77777777" w:rsidR="00AA0841" w:rsidRPr="006C51E4" w:rsidRDefault="00AA0841" w:rsidP="00AA0841">
            <w:pPr>
              <w:rPr>
                <w:rFonts w:cstheme="minorHAnsi"/>
                <w:bCs/>
                <w:color w:val="000000" w:themeColor="text1"/>
                <w:sz w:val="18"/>
                <w:szCs w:val="18"/>
              </w:rPr>
            </w:pPr>
            <w:r w:rsidRPr="006C51E4">
              <w:rPr>
                <w:rFonts w:cstheme="minorHAnsi"/>
                <w:bCs/>
                <w:color w:val="000000" w:themeColor="text1"/>
                <w:sz w:val="18"/>
                <w:szCs w:val="18"/>
              </w:rPr>
              <w:t>Instream aquatic ecosystems</w:t>
            </w:r>
          </w:p>
          <w:p w14:paraId="3C6140CA" w14:textId="77777777" w:rsidR="00AA0841" w:rsidRPr="006C51E4" w:rsidRDefault="00AA0841" w:rsidP="00AA0841">
            <w:pPr>
              <w:rPr>
                <w:rFonts w:cstheme="minorHAnsi"/>
                <w:bCs/>
                <w:color w:val="000000" w:themeColor="text1"/>
                <w:sz w:val="18"/>
                <w:szCs w:val="18"/>
              </w:rPr>
            </w:pPr>
            <w:r w:rsidRPr="006C51E4">
              <w:rPr>
                <w:rFonts w:cstheme="minorHAnsi"/>
                <w:bCs/>
                <w:color w:val="000000" w:themeColor="text1"/>
                <w:sz w:val="18"/>
                <w:szCs w:val="18"/>
              </w:rPr>
              <w:t>Riparian vegetation</w:t>
            </w:r>
          </w:p>
          <w:p w14:paraId="79FF4D3C" w14:textId="77777777" w:rsidR="00AA0841" w:rsidRPr="006C51E4" w:rsidRDefault="00AA0841" w:rsidP="00AA0841">
            <w:pPr>
              <w:rPr>
                <w:rFonts w:cstheme="minorHAnsi"/>
                <w:bCs/>
                <w:color w:val="000000" w:themeColor="text1"/>
                <w:sz w:val="18"/>
                <w:szCs w:val="18"/>
              </w:rPr>
            </w:pPr>
            <w:r w:rsidRPr="006C51E4">
              <w:rPr>
                <w:rFonts w:cstheme="minorHAnsi"/>
                <w:bCs/>
                <w:color w:val="000000" w:themeColor="text1"/>
                <w:sz w:val="18"/>
                <w:szCs w:val="18"/>
              </w:rPr>
              <w:t>Threatened species e.g. silver perch, eel tailed catfish</w:t>
            </w:r>
          </w:p>
        </w:tc>
        <w:tc>
          <w:tcPr>
            <w:tcW w:w="1985" w:type="dxa"/>
            <w:tcBorders>
              <w:top w:val="single" w:sz="12" w:space="0" w:color="auto"/>
              <w:left w:val="single" w:sz="4" w:space="0" w:color="auto"/>
              <w:bottom w:val="single" w:sz="4" w:space="0" w:color="auto"/>
              <w:right w:val="single" w:sz="4" w:space="0" w:color="auto"/>
            </w:tcBorders>
            <w:shd w:val="clear" w:color="auto" w:fill="auto"/>
            <w:vAlign w:val="center"/>
          </w:tcPr>
          <w:p w14:paraId="5242FE6B" w14:textId="77777777" w:rsidR="00AA0841" w:rsidRPr="006C51E4" w:rsidRDefault="00AA0841" w:rsidP="00AA0841">
            <w:pPr>
              <w:jc w:val="center"/>
              <w:rPr>
                <w:rFonts w:cstheme="minorHAnsi"/>
                <w:sz w:val="18"/>
                <w:szCs w:val="18"/>
              </w:rPr>
            </w:pPr>
            <w:r w:rsidRPr="006C51E4">
              <w:rPr>
                <w:rFonts w:cstheme="minorHAnsi"/>
                <w:sz w:val="18"/>
                <w:szCs w:val="18"/>
              </w:rPr>
              <w:t>Drought refuge habitat</w:t>
            </w:r>
          </w:p>
          <w:p w14:paraId="6F272004" w14:textId="77777777" w:rsidR="00AA0841" w:rsidRPr="006C51E4" w:rsidRDefault="00AA0841" w:rsidP="00AA0841">
            <w:pPr>
              <w:jc w:val="center"/>
              <w:rPr>
                <w:rFonts w:cstheme="minorHAnsi"/>
                <w:sz w:val="18"/>
                <w:szCs w:val="18"/>
              </w:rPr>
            </w:pPr>
            <w:r w:rsidRPr="006C51E4">
              <w:rPr>
                <w:rFonts w:cstheme="minorHAnsi"/>
                <w:sz w:val="18"/>
                <w:szCs w:val="18"/>
              </w:rPr>
              <w:t>Water quality</w:t>
            </w:r>
          </w:p>
          <w:p w14:paraId="4B042ECA" w14:textId="77777777" w:rsidR="00AA0841" w:rsidRPr="006C51E4" w:rsidRDefault="00AA0841" w:rsidP="00AA0841">
            <w:pPr>
              <w:jc w:val="center"/>
              <w:rPr>
                <w:rFonts w:cstheme="minorHAnsi"/>
                <w:sz w:val="18"/>
                <w:szCs w:val="18"/>
              </w:rPr>
            </w:pPr>
            <w:r w:rsidRPr="006C51E4">
              <w:rPr>
                <w:rFonts w:cstheme="minorHAnsi"/>
                <w:sz w:val="18"/>
                <w:szCs w:val="18"/>
              </w:rPr>
              <w:t>Fish maintenance and survival (all groups)</w:t>
            </w:r>
          </w:p>
        </w:tc>
        <w:tc>
          <w:tcPr>
            <w:tcW w:w="3969" w:type="dxa"/>
            <w:tcBorders>
              <w:top w:val="single" w:sz="12" w:space="0" w:color="auto"/>
              <w:left w:val="nil"/>
              <w:bottom w:val="single" w:sz="4" w:space="0" w:color="auto"/>
              <w:right w:val="single" w:sz="4" w:space="0" w:color="auto"/>
            </w:tcBorders>
            <w:shd w:val="clear" w:color="auto" w:fill="auto"/>
            <w:vAlign w:val="center"/>
          </w:tcPr>
          <w:p w14:paraId="7A83E69A" w14:textId="77777777" w:rsidR="00AA0841" w:rsidRPr="006C51E4" w:rsidRDefault="00AA0841" w:rsidP="00AA0841">
            <w:pPr>
              <w:rPr>
                <w:rFonts w:cstheme="minorHAnsi"/>
                <w:color w:val="000000" w:themeColor="text1"/>
                <w:sz w:val="18"/>
                <w:szCs w:val="18"/>
                <w:u w:val="single"/>
              </w:rPr>
            </w:pPr>
            <w:r w:rsidRPr="006C51E4">
              <w:rPr>
                <w:rFonts w:cstheme="minorHAnsi"/>
                <w:sz w:val="18"/>
                <w:szCs w:val="18"/>
                <w:u w:val="single"/>
              </w:rPr>
              <w:t>Very low flows:</w:t>
            </w:r>
          </w:p>
          <w:p w14:paraId="31329F60"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5–200 ML/day d/s Keepit Dam (min. 365 days)</w:t>
            </w:r>
          </w:p>
          <w:p w14:paraId="7E190268"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1–200 ML/day at Gunnedah (min. 365 days)</w:t>
            </w:r>
          </w:p>
          <w:p w14:paraId="207E5C80"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1–150 ML/day at Boggabri (min. 356 days)</w:t>
            </w:r>
          </w:p>
          <w:p w14:paraId="2AAF52C6"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1–200 ML/day at Mollee (min. 343 days)</w:t>
            </w:r>
          </w:p>
          <w:p w14:paraId="23073938"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1–150 ML/day at Bugilbone (min. 336 days)</w:t>
            </w:r>
          </w:p>
          <w:p w14:paraId="672AD12A"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1–25 ML/day at Goangra (min. 323 days)</w:t>
            </w:r>
          </w:p>
        </w:tc>
        <w:tc>
          <w:tcPr>
            <w:tcW w:w="1984" w:type="dxa"/>
            <w:tcBorders>
              <w:top w:val="single" w:sz="12" w:space="0" w:color="auto"/>
              <w:left w:val="nil"/>
              <w:bottom w:val="single" w:sz="4" w:space="0" w:color="auto"/>
              <w:right w:val="single" w:sz="4" w:space="0" w:color="auto"/>
            </w:tcBorders>
            <w:shd w:val="clear" w:color="auto" w:fill="auto"/>
            <w:vAlign w:val="center"/>
          </w:tcPr>
          <w:p w14:paraId="70A71E75" w14:textId="77777777" w:rsidR="00AA0841" w:rsidRPr="006C51E4" w:rsidRDefault="00AA0841" w:rsidP="00AA0841">
            <w:pPr>
              <w:jc w:val="center"/>
              <w:rPr>
                <w:rFonts w:cstheme="minorHAnsi"/>
                <w:color w:val="000000" w:themeColor="text1"/>
                <w:sz w:val="18"/>
                <w:szCs w:val="18"/>
              </w:rPr>
            </w:pPr>
            <w:r w:rsidRPr="006C51E4">
              <w:rPr>
                <w:rFonts w:cstheme="minorHAnsi"/>
                <w:color w:val="000000" w:themeColor="text1"/>
                <w:sz w:val="18"/>
                <w:szCs w:val="18"/>
              </w:rPr>
              <w:t>Annually</w:t>
            </w:r>
          </w:p>
          <w:p w14:paraId="5648656A" w14:textId="77777777" w:rsidR="00AA0841" w:rsidRPr="006C51E4" w:rsidRDefault="00AA0841" w:rsidP="00AA0841">
            <w:pPr>
              <w:jc w:val="center"/>
              <w:rPr>
                <w:rFonts w:cstheme="minorHAnsi"/>
                <w:color w:val="000000" w:themeColor="text1"/>
                <w:sz w:val="18"/>
                <w:szCs w:val="18"/>
              </w:rPr>
            </w:pPr>
          </w:p>
          <w:p w14:paraId="3267778A" w14:textId="77777777" w:rsidR="00AA0841" w:rsidRPr="006C51E4" w:rsidRDefault="00AA0841" w:rsidP="00AA0841">
            <w:pPr>
              <w:jc w:val="center"/>
              <w:rPr>
                <w:rFonts w:cstheme="minorHAnsi"/>
                <w:bCs/>
                <w:color w:val="000000" w:themeColor="text1"/>
                <w:sz w:val="18"/>
                <w:szCs w:val="18"/>
              </w:rPr>
            </w:pPr>
            <w:r w:rsidRPr="006C51E4">
              <w:rPr>
                <w:rFonts w:cstheme="minorHAnsi"/>
                <w:color w:val="000000" w:themeColor="text1"/>
                <w:sz w:val="18"/>
                <w:szCs w:val="18"/>
              </w:rPr>
              <w:t>(can occur at any time of year)</w:t>
            </w:r>
          </w:p>
        </w:tc>
        <w:tc>
          <w:tcPr>
            <w:tcW w:w="4961" w:type="dxa"/>
            <w:tcBorders>
              <w:top w:val="single" w:sz="12" w:space="0" w:color="auto"/>
              <w:left w:val="nil"/>
              <w:bottom w:val="single" w:sz="4" w:space="0" w:color="auto"/>
              <w:right w:val="single" w:sz="4" w:space="0" w:color="auto"/>
            </w:tcBorders>
            <w:shd w:val="clear" w:color="auto" w:fill="auto"/>
            <w:vAlign w:val="center"/>
          </w:tcPr>
          <w:p w14:paraId="4661AF6A" w14:textId="77777777" w:rsidR="00AA0841" w:rsidRPr="006C51E4" w:rsidRDefault="00AA0841" w:rsidP="00AA0841">
            <w:pPr>
              <w:rPr>
                <w:rFonts w:cstheme="minorHAnsi"/>
                <w:color w:val="000000" w:themeColor="text1"/>
                <w:sz w:val="18"/>
                <w:szCs w:val="18"/>
              </w:rPr>
            </w:pPr>
            <w:r w:rsidRPr="006C51E4">
              <w:rPr>
                <w:rFonts w:cstheme="minorHAnsi"/>
                <w:color w:val="000000" w:themeColor="text1"/>
                <w:sz w:val="18"/>
                <w:szCs w:val="18"/>
              </w:rPr>
              <w:t xml:space="preserve">Very low flows were last met in 2017–18 in the Namoi River between Keepit Dam and Mollee, and in 2016–17 between Mollee and Walgett. With prolonged periods of cease to flow conditions, very low flows were not achieved in the Lower Namoi River in any reach in 2019–20. </w:t>
            </w:r>
          </w:p>
          <w:p w14:paraId="2C935DE2" w14:textId="77777777" w:rsidR="00AA0841" w:rsidRPr="006C51E4" w:rsidRDefault="00AA0841" w:rsidP="00AA0841">
            <w:pPr>
              <w:rPr>
                <w:rFonts w:cstheme="minorHAnsi"/>
                <w:color w:val="000000" w:themeColor="text1"/>
                <w:sz w:val="18"/>
                <w:szCs w:val="18"/>
              </w:rPr>
            </w:pPr>
            <w:r w:rsidRPr="006C51E4">
              <w:rPr>
                <w:rFonts w:cstheme="minorHAnsi"/>
                <w:color w:val="000000" w:themeColor="text1"/>
                <w:sz w:val="18"/>
                <w:szCs w:val="18"/>
              </w:rPr>
              <w:t>Very low flows are required annually. Therefore, the demand for water in 2020–21 in the Lower Namoi River between Keepit and Walgett has been assessed as critical.</w:t>
            </w:r>
          </w:p>
        </w:tc>
        <w:tc>
          <w:tcPr>
            <w:tcW w:w="1843" w:type="dxa"/>
            <w:tcBorders>
              <w:top w:val="single" w:sz="12" w:space="0" w:color="auto"/>
              <w:left w:val="nil"/>
              <w:bottom w:val="single" w:sz="4" w:space="0" w:color="auto"/>
              <w:right w:val="single" w:sz="4" w:space="0" w:color="auto"/>
            </w:tcBorders>
            <w:shd w:val="clear" w:color="auto" w:fill="C00000"/>
            <w:vAlign w:val="center"/>
          </w:tcPr>
          <w:p w14:paraId="2C8581EB" w14:textId="77777777" w:rsidR="00AA0841" w:rsidRPr="0043594E" w:rsidRDefault="00AA0841" w:rsidP="00AA0841">
            <w:pPr>
              <w:jc w:val="center"/>
              <w:rPr>
                <w:rFonts w:cstheme="minorHAnsi"/>
                <w:bCs/>
                <w:color w:val="auto"/>
                <w:sz w:val="18"/>
                <w:szCs w:val="18"/>
              </w:rPr>
            </w:pPr>
            <w:r w:rsidRPr="0043594E">
              <w:rPr>
                <w:rFonts w:cstheme="minorHAnsi"/>
                <w:bCs/>
                <w:color w:val="auto"/>
                <w:sz w:val="18"/>
                <w:szCs w:val="18"/>
              </w:rPr>
              <w:t>Critical</w:t>
            </w:r>
          </w:p>
        </w:tc>
        <w:tc>
          <w:tcPr>
            <w:tcW w:w="3118" w:type="dxa"/>
            <w:tcBorders>
              <w:top w:val="single" w:sz="12" w:space="0" w:color="auto"/>
              <w:left w:val="nil"/>
              <w:bottom w:val="single" w:sz="4" w:space="0" w:color="auto"/>
              <w:right w:val="single" w:sz="4" w:space="0" w:color="auto"/>
            </w:tcBorders>
            <w:shd w:val="clear" w:color="auto" w:fill="365F91" w:themeFill="accent1" w:themeFillShade="BF"/>
            <w:vAlign w:val="center"/>
          </w:tcPr>
          <w:p w14:paraId="18D5CD8B"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High priority for CEW under very low to low scenarios, subject to water availability. Would be met by other water in moderate to very high scenarios.</w:t>
            </w:r>
          </w:p>
          <w:p w14:paraId="5D3B17AC" w14:textId="77777777" w:rsidR="00AA0841" w:rsidRPr="0043594E" w:rsidRDefault="00AA0841" w:rsidP="00AA0841">
            <w:pPr>
              <w:jc w:val="center"/>
              <w:rPr>
                <w:rFonts w:cstheme="minorHAnsi"/>
                <w:bCs/>
                <w:color w:val="auto"/>
                <w:sz w:val="18"/>
                <w:szCs w:val="18"/>
              </w:rPr>
            </w:pPr>
            <w:r w:rsidRPr="0043594E">
              <w:rPr>
                <w:rFonts w:cstheme="minorHAnsi"/>
                <w:color w:val="auto"/>
                <w:sz w:val="18"/>
                <w:szCs w:val="18"/>
              </w:rPr>
              <w:t>The reaches between Mollee and Walgett may be a particularly important target for CEW.</w:t>
            </w:r>
          </w:p>
        </w:tc>
        <w:tc>
          <w:tcPr>
            <w:tcW w:w="2268" w:type="dxa"/>
            <w:tcBorders>
              <w:top w:val="single" w:sz="12" w:space="0" w:color="auto"/>
              <w:left w:val="nil"/>
              <w:bottom w:val="single" w:sz="4" w:space="0" w:color="auto"/>
              <w:right w:val="single" w:sz="12" w:space="0" w:color="auto"/>
            </w:tcBorders>
            <w:shd w:val="clear" w:color="auto" w:fill="FF0000"/>
            <w:vAlign w:val="center"/>
          </w:tcPr>
          <w:p w14:paraId="3F081AF2" w14:textId="77777777" w:rsidR="00AA0841" w:rsidRPr="0043594E" w:rsidRDefault="00AA0841" w:rsidP="00AA0841">
            <w:pPr>
              <w:jc w:val="center"/>
              <w:rPr>
                <w:rFonts w:cstheme="minorHAnsi"/>
                <w:bCs/>
                <w:color w:val="auto"/>
                <w:sz w:val="18"/>
                <w:szCs w:val="18"/>
              </w:rPr>
            </w:pPr>
            <w:r w:rsidRPr="0043594E">
              <w:rPr>
                <w:rFonts w:cstheme="minorHAnsi"/>
                <w:bCs/>
                <w:color w:val="auto"/>
                <w:sz w:val="18"/>
                <w:szCs w:val="18"/>
              </w:rPr>
              <w:t>High</w:t>
            </w:r>
          </w:p>
        </w:tc>
      </w:tr>
      <w:tr w:rsidR="00AA0841" w:rsidRPr="0043594E" w14:paraId="4F29F0EC" w14:textId="77777777" w:rsidTr="00AA0841">
        <w:trPr>
          <w:trHeight w:val="4237"/>
        </w:trPr>
        <w:tc>
          <w:tcPr>
            <w:tcW w:w="1843" w:type="dxa"/>
            <w:vMerge/>
            <w:tcBorders>
              <w:left w:val="single" w:sz="12" w:space="0" w:color="auto"/>
              <w:right w:val="single" w:sz="4" w:space="0" w:color="auto"/>
            </w:tcBorders>
          </w:tcPr>
          <w:p w14:paraId="21A4B5E7" w14:textId="77777777" w:rsidR="00AA0841" w:rsidRPr="006C51E4" w:rsidRDefault="00AA0841" w:rsidP="00AA0841">
            <w:pPr>
              <w:rPr>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46E331CA" w14:textId="77777777" w:rsidR="00AA0841" w:rsidRPr="006C51E4" w:rsidRDefault="00AA0841" w:rsidP="00AA0841">
            <w:pPr>
              <w:jc w:val="center"/>
              <w:rPr>
                <w:rFonts w:cstheme="minorHAnsi"/>
                <w:sz w:val="18"/>
                <w:szCs w:val="18"/>
              </w:rPr>
            </w:pPr>
            <w:r w:rsidRPr="006C51E4">
              <w:rPr>
                <w:rFonts w:cstheme="minorHAnsi"/>
                <w:sz w:val="18"/>
                <w:szCs w:val="18"/>
              </w:rPr>
              <w:t>Water quality</w:t>
            </w:r>
          </w:p>
          <w:p w14:paraId="14F9E82E" w14:textId="77777777" w:rsidR="00AA0841" w:rsidRPr="006C51E4" w:rsidRDefault="00AA0841" w:rsidP="00AA0841">
            <w:pPr>
              <w:jc w:val="center"/>
              <w:rPr>
                <w:rFonts w:cstheme="minorHAnsi"/>
                <w:sz w:val="18"/>
                <w:szCs w:val="18"/>
              </w:rPr>
            </w:pPr>
            <w:r w:rsidRPr="006C51E4">
              <w:rPr>
                <w:rFonts w:cstheme="minorHAnsi"/>
                <w:sz w:val="18"/>
                <w:szCs w:val="18"/>
              </w:rPr>
              <w:t>Habitat maintenance</w:t>
            </w:r>
          </w:p>
          <w:p w14:paraId="524CDF5D" w14:textId="77777777" w:rsidR="00AA0841" w:rsidRPr="006C51E4" w:rsidRDefault="00AA0841" w:rsidP="00AA0841">
            <w:pPr>
              <w:jc w:val="center"/>
              <w:rPr>
                <w:rFonts w:cstheme="minorHAnsi"/>
                <w:sz w:val="18"/>
                <w:szCs w:val="18"/>
              </w:rPr>
            </w:pPr>
            <w:r w:rsidRPr="006C51E4">
              <w:rPr>
                <w:rFonts w:cstheme="minorHAnsi"/>
                <w:sz w:val="18"/>
                <w:szCs w:val="18"/>
              </w:rPr>
              <w:t>Connectivity</w:t>
            </w:r>
          </w:p>
          <w:p w14:paraId="6A21C488" w14:textId="77777777" w:rsidR="00AA0841" w:rsidRPr="006C51E4" w:rsidRDefault="00AA0841" w:rsidP="00AA0841">
            <w:pPr>
              <w:jc w:val="center"/>
              <w:rPr>
                <w:rFonts w:cstheme="minorHAnsi"/>
                <w:sz w:val="18"/>
                <w:szCs w:val="18"/>
              </w:rPr>
            </w:pPr>
            <w:r w:rsidRPr="006C51E4">
              <w:rPr>
                <w:rFonts w:cstheme="minorHAnsi"/>
                <w:sz w:val="18"/>
                <w:szCs w:val="18"/>
              </w:rPr>
              <w:t>Fish maintenance and survival (all groups)</w:t>
            </w:r>
          </w:p>
          <w:p w14:paraId="2C7D75C4" w14:textId="77777777" w:rsidR="00AA0841" w:rsidRPr="006C51E4" w:rsidRDefault="00AA0841" w:rsidP="00AA0841">
            <w:pPr>
              <w:jc w:val="center"/>
              <w:rPr>
                <w:rFonts w:cstheme="minorHAnsi"/>
                <w:sz w:val="18"/>
                <w:szCs w:val="18"/>
              </w:rPr>
            </w:pPr>
            <w:r w:rsidRPr="006C51E4">
              <w:rPr>
                <w:rFonts w:cstheme="minorHAnsi"/>
                <w:sz w:val="18"/>
                <w:szCs w:val="18"/>
              </w:rPr>
              <w:t>Fish recruitment (generalists + in-channel specialists)</w:t>
            </w:r>
          </w:p>
        </w:tc>
        <w:tc>
          <w:tcPr>
            <w:tcW w:w="3969" w:type="dxa"/>
            <w:tcBorders>
              <w:top w:val="single" w:sz="4" w:space="0" w:color="auto"/>
              <w:left w:val="nil"/>
              <w:bottom w:val="single" w:sz="4" w:space="0" w:color="auto"/>
              <w:right w:val="single" w:sz="4" w:space="0" w:color="auto"/>
            </w:tcBorders>
            <w:shd w:val="clear" w:color="auto" w:fill="auto"/>
            <w:vAlign w:val="center"/>
          </w:tcPr>
          <w:p w14:paraId="641BAA4E" w14:textId="77777777" w:rsidR="00AA0841" w:rsidRPr="006C51E4" w:rsidRDefault="00AA0841" w:rsidP="00AA0841">
            <w:pPr>
              <w:rPr>
                <w:rFonts w:cstheme="minorHAnsi"/>
                <w:color w:val="000000" w:themeColor="text1"/>
                <w:sz w:val="18"/>
                <w:szCs w:val="18"/>
              </w:rPr>
            </w:pPr>
            <w:r w:rsidRPr="006C51E4">
              <w:rPr>
                <w:rFonts w:cstheme="minorHAnsi"/>
                <w:sz w:val="18"/>
                <w:szCs w:val="18"/>
                <w:u w:val="single"/>
              </w:rPr>
              <w:t>Baseflows:</w:t>
            </w:r>
          </w:p>
          <w:p w14:paraId="146164D4"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200–500 ML/day d/s Keepit (min. 209 days for survival; 119 days for recruitment)</w:t>
            </w:r>
          </w:p>
          <w:p w14:paraId="7765E178"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200–600 ML/day at Gunnedah (min. 240 days for survival; 140 days for recruitment)</w:t>
            </w:r>
          </w:p>
          <w:p w14:paraId="1A87AB3D"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150–300 ML/day at Boggabri (for a min. 274 days for survival; 154 days for recruitment)</w:t>
            </w:r>
          </w:p>
          <w:p w14:paraId="61C0F356"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200–500 ML/day at Mollee (min. 267 days survival; 154 days recruitment)</w:t>
            </w:r>
          </w:p>
          <w:p w14:paraId="42442294"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150–300 ML/day at Bugilbone (min. 277 days for survival; 158 days for recruitment)</w:t>
            </w:r>
          </w:p>
          <w:p w14:paraId="4AEF56AA"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25–65 ML/day at Goangra (min. 335 days for survival; 195 days for recruitment)</w:t>
            </w:r>
          </w:p>
          <w:p w14:paraId="5ADC9BDC"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30–200 ML/day u/s of Walgett</w:t>
            </w:r>
          </w:p>
        </w:tc>
        <w:tc>
          <w:tcPr>
            <w:tcW w:w="1984" w:type="dxa"/>
            <w:tcBorders>
              <w:top w:val="nil"/>
              <w:left w:val="nil"/>
              <w:bottom w:val="single" w:sz="4" w:space="0" w:color="auto"/>
              <w:right w:val="single" w:sz="4" w:space="0" w:color="auto"/>
            </w:tcBorders>
            <w:shd w:val="clear" w:color="auto" w:fill="auto"/>
            <w:vAlign w:val="center"/>
          </w:tcPr>
          <w:p w14:paraId="5C543A89" w14:textId="77777777" w:rsidR="00AA0841" w:rsidRPr="006C51E4" w:rsidRDefault="00AA0841" w:rsidP="00AA0841">
            <w:pPr>
              <w:jc w:val="center"/>
              <w:rPr>
                <w:rFonts w:cstheme="minorHAnsi"/>
                <w:color w:val="000000" w:themeColor="text1"/>
                <w:sz w:val="18"/>
                <w:szCs w:val="18"/>
              </w:rPr>
            </w:pPr>
            <w:r w:rsidRPr="006C51E4">
              <w:rPr>
                <w:rFonts w:cstheme="minorHAnsi"/>
                <w:color w:val="000000" w:themeColor="text1"/>
                <w:sz w:val="18"/>
                <w:szCs w:val="18"/>
              </w:rPr>
              <w:t>1 in 1–2 years</w:t>
            </w:r>
          </w:p>
          <w:p w14:paraId="26567E07" w14:textId="77777777" w:rsidR="00AA0841" w:rsidRPr="006C51E4" w:rsidRDefault="00AA0841" w:rsidP="00AA0841">
            <w:pPr>
              <w:jc w:val="center"/>
              <w:rPr>
                <w:rFonts w:cstheme="minorHAnsi"/>
                <w:color w:val="000000" w:themeColor="text1"/>
                <w:sz w:val="18"/>
                <w:szCs w:val="18"/>
              </w:rPr>
            </w:pPr>
            <w:r w:rsidRPr="006C51E4">
              <w:rPr>
                <w:rFonts w:cstheme="minorHAnsi"/>
                <w:color w:val="000000" w:themeColor="text1"/>
                <w:sz w:val="18"/>
                <w:szCs w:val="18"/>
              </w:rPr>
              <w:t>(Max interval 2 years for fish recruitment)</w:t>
            </w:r>
          </w:p>
          <w:p w14:paraId="5F2D875E" w14:textId="77777777" w:rsidR="00AA0841" w:rsidRPr="006C51E4" w:rsidRDefault="00AA0841" w:rsidP="00AA0841">
            <w:pPr>
              <w:jc w:val="center"/>
              <w:rPr>
                <w:rFonts w:cstheme="minorHAnsi"/>
                <w:color w:val="000000" w:themeColor="text1"/>
                <w:sz w:val="18"/>
                <w:szCs w:val="18"/>
              </w:rPr>
            </w:pPr>
          </w:p>
          <w:p w14:paraId="70AEFD28" w14:textId="77777777" w:rsidR="00AA0841" w:rsidRPr="006C51E4" w:rsidRDefault="00AA0841" w:rsidP="00AA0841">
            <w:pPr>
              <w:jc w:val="center"/>
              <w:rPr>
                <w:rFonts w:cstheme="minorHAnsi"/>
                <w:color w:val="000000" w:themeColor="text1"/>
                <w:sz w:val="18"/>
                <w:szCs w:val="18"/>
              </w:rPr>
            </w:pPr>
            <w:r w:rsidRPr="006C51E4">
              <w:rPr>
                <w:rFonts w:cstheme="minorHAnsi"/>
                <w:color w:val="000000" w:themeColor="text1"/>
                <w:sz w:val="18"/>
                <w:szCs w:val="18"/>
              </w:rPr>
              <w:t>(can occur at any time for native fish maintenance and survival, or Sept-Mar for native fish recruitment)</w:t>
            </w:r>
          </w:p>
        </w:tc>
        <w:tc>
          <w:tcPr>
            <w:tcW w:w="4961" w:type="dxa"/>
            <w:tcBorders>
              <w:top w:val="single" w:sz="4" w:space="0" w:color="auto"/>
              <w:left w:val="nil"/>
              <w:bottom w:val="single" w:sz="4" w:space="0" w:color="auto"/>
              <w:right w:val="single" w:sz="4" w:space="0" w:color="auto"/>
            </w:tcBorders>
            <w:shd w:val="clear" w:color="auto" w:fill="auto"/>
            <w:vAlign w:val="center"/>
          </w:tcPr>
          <w:p w14:paraId="0432E9D6" w14:textId="77777777" w:rsidR="00AA0841" w:rsidRPr="006C51E4" w:rsidRDefault="00AA0841" w:rsidP="00AA0841">
            <w:pPr>
              <w:rPr>
                <w:rFonts w:cstheme="minorHAnsi"/>
                <w:color w:val="000000" w:themeColor="text1"/>
                <w:sz w:val="18"/>
                <w:szCs w:val="18"/>
              </w:rPr>
            </w:pPr>
            <w:r w:rsidRPr="006C51E4">
              <w:rPr>
                <w:rFonts w:cstheme="minorHAnsi"/>
                <w:color w:val="000000" w:themeColor="text1"/>
                <w:sz w:val="18"/>
                <w:szCs w:val="18"/>
              </w:rPr>
              <w:t>Baseflows have generally only been partially or not met in the Lower Namoi River over at least the past five years, except at Goangra, which was met in 2016–17.</w:t>
            </w:r>
          </w:p>
          <w:p w14:paraId="3041656C" w14:textId="77777777" w:rsidR="00AA0841" w:rsidRPr="006C51E4" w:rsidRDefault="00AA0841" w:rsidP="00AA0841">
            <w:pPr>
              <w:rPr>
                <w:rFonts w:cstheme="minorHAnsi"/>
                <w:color w:val="000000" w:themeColor="text1"/>
                <w:sz w:val="18"/>
                <w:szCs w:val="18"/>
              </w:rPr>
            </w:pPr>
            <w:r w:rsidRPr="006C51E4">
              <w:rPr>
                <w:rFonts w:cstheme="minorHAnsi"/>
                <w:color w:val="000000" w:themeColor="text1"/>
                <w:sz w:val="18"/>
                <w:szCs w:val="18"/>
              </w:rPr>
              <w:t>In 2019–20, prolonged periods of cease to flow conditions meant that baseflows were not achieved in the Lower Namoi River. River flows commencing in February were substantially shorter in duration than the minimum required, even in very dry years. Also, the maximum time between baseflow events and required frequency to support native fish have been exceeded.</w:t>
            </w:r>
          </w:p>
          <w:p w14:paraId="57DCC04B" w14:textId="77777777" w:rsidR="00AA0841" w:rsidRPr="006C51E4" w:rsidRDefault="00AA0841" w:rsidP="00AA0841">
            <w:pPr>
              <w:rPr>
                <w:rFonts w:cstheme="minorHAnsi"/>
                <w:color w:val="000000" w:themeColor="text1"/>
                <w:sz w:val="18"/>
                <w:szCs w:val="18"/>
              </w:rPr>
            </w:pPr>
            <w:r w:rsidRPr="006C51E4">
              <w:rPr>
                <w:rFonts w:cstheme="minorHAnsi"/>
                <w:color w:val="000000" w:themeColor="text1"/>
                <w:sz w:val="18"/>
                <w:szCs w:val="18"/>
              </w:rPr>
              <w:t>Considering baseflows are required once every 1–2 years, and they have not been adequately met for a number of years, the demand for these flows in 2020–21 has been assessed as critical.</w:t>
            </w:r>
          </w:p>
        </w:tc>
        <w:tc>
          <w:tcPr>
            <w:tcW w:w="1843" w:type="dxa"/>
            <w:tcBorders>
              <w:top w:val="nil"/>
              <w:left w:val="nil"/>
              <w:bottom w:val="single" w:sz="4" w:space="0" w:color="auto"/>
              <w:right w:val="single" w:sz="4" w:space="0" w:color="auto"/>
            </w:tcBorders>
            <w:shd w:val="clear" w:color="auto" w:fill="C00000"/>
            <w:vAlign w:val="center"/>
          </w:tcPr>
          <w:p w14:paraId="4AC9D1D7" w14:textId="77777777" w:rsidR="00AA0841" w:rsidRPr="0043594E" w:rsidRDefault="00AA0841" w:rsidP="00AA0841">
            <w:pPr>
              <w:jc w:val="center"/>
              <w:rPr>
                <w:rFonts w:cstheme="minorHAnsi"/>
                <w:bCs/>
                <w:color w:val="auto"/>
                <w:sz w:val="18"/>
                <w:szCs w:val="18"/>
              </w:rPr>
            </w:pPr>
            <w:r w:rsidRPr="0043594E">
              <w:rPr>
                <w:rFonts w:cstheme="minorHAnsi"/>
                <w:bCs/>
                <w:color w:val="auto"/>
                <w:sz w:val="18"/>
                <w:szCs w:val="18"/>
              </w:rPr>
              <w:t>Critical</w:t>
            </w:r>
          </w:p>
        </w:tc>
        <w:tc>
          <w:tcPr>
            <w:tcW w:w="3118" w:type="dxa"/>
            <w:tcBorders>
              <w:top w:val="nil"/>
              <w:left w:val="nil"/>
              <w:bottom w:val="single" w:sz="4" w:space="0" w:color="auto"/>
              <w:right w:val="single" w:sz="4" w:space="0" w:color="auto"/>
            </w:tcBorders>
            <w:shd w:val="clear" w:color="auto" w:fill="365F91" w:themeFill="accent1" w:themeFillShade="BF"/>
            <w:vAlign w:val="center"/>
          </w:tcPr>
          <w:p w14:paraId="3B8401B8"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High priority for CEW under very low to moderate scenarios, subject to water availability.</w:t>
            </w:r>
          </w:p>
          <w:p w14:paraId="5242B6CD"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May be met by other water in high/very high scenarios.</w:t>
            </w:r>
          </w:p>
          <w:p w14:paraId="646BB0D6" w14:textId="77777777" w:rsidR="00AA0841" w:rsidRPr="0043594E" w:rsidRDefault="00AA0841" w:rsidP="00AA0841">
            <w:pPr>
              <w:jc w:val="center"/>
              <w:rPr>
                <w:rFonts w:cstheme="minorHAnsi"/>
                <w:color w:val="auto"/>
                <w:sz w:val="18"/>
                <w:szCs w:val="18"/>
              </w:rPr>
            </w:pPr>
          </w:p>
        </w:tc>
        <w:tc>
          <w:tcPr>
            <w:tcW w:w="2268" w:type="dxa"/>
            <w:tcBorders>
              <w:top w:val="nil"/>
              <w:left w:val="nil"/>
              <w:bottom w:val="single" w:sz="4" w:space="0" w:color="auto"/>
              <w:right w:val="single" w:sz="12" w:space="0" w:color="auto"/>
            </w:tcBorders>
            <w:shd w:val="clear" w:color="auto" w:fill="FF0000"/>
            <w:vAlign w:val="center"/>
          </w:tcPr>
          <w:p w14:paraId="126BDDD5" w14:textId="77777777" w:rsidR="00AA0841" w:rsidRPr="0043594E" w:rsidRDefault="00AA0841" w:rsidP="00AA0841">
            <w:pPr>
              <w:jc w:val="center"/>
              <w:rPr>
                <w:rFonts w:cstheme="minorHAnsi"/>
                <w:bCs/>
                <w:color w:val="auto"/>
                <w:sz w:val="18"/>
                <w:szCs w:val="18"/>
              </w:rPr>
            </w:pPr>
            <w:r w:rsidRPr="0043594E">
              <w:rPr>
                <w:rFonts w:cstheme="minorHAnsi"/>
                <w:bCs/>
                <w:color w:val="auto"/>
                <w:sz w:val="18"/>
                <w:szCs w:val="18"/>
              </w:rPr>
              <w:t>High</w:t>
            </w:r>
          </w:p>
        </w:tc>
      </w:tr>
      <w:tr w:rsidR="00AA0841" w:rsidRPr="0043594E" w14:paraId="2ECE76A4" w14:textId="77777777" w:rsidTr="00AA0841">
        <w:trPr>
          <w:trHeight w:val="2309"/>
        </w:trPr>
        <w:tc>
          <w:tcPr>
            <w:tcW w:w="1843" w:type="dxa"/>
            <w:vMerge/>
            <w:tcBorders>
              <w:left w:val="single" w:sz="12" w:space="0" w:color="auto"/>
              <w:bottom w:val="single" w:sz="4" w:space="0" w:color="auto"/>
              <w:right w:val="single" w:sz="4" w:space="0" w:color="auto"/>
            </w:tcBorders>
          </w:tcPr>
          <w:p w14:paraId="170C5E96" w14:textId="77777777" w:rsidR="00AA0841" w:rsidRPr="006C51E4" w:rsidRDefault="00AA0841" w:rsidP="00AA0841">
            <w:pPr>
              <w:rPr>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50955398" w14:textId="77777777" w:rsidR="00AA0841" w:rsidRPr="006C51E4" w:rsidRDefault="00AA0841" w:rsidP="00AA0841">
            <w:pPr>
              <w:jc w:val="center"/>
              <w:rPr>
                <w:rFonts w:cstheme="minorHAnsi"/>
                <w:sz w:val="18"/>
                <w:szCs w:val="18"/>
              </w:rPr>
            </w:pPr>
            <w:r w:rsidRPr="006C51E4">
              <w:rPr>
                <w:rFonts w:cstheme="minorHAnsi"/>
                <w:sz w:val="18"/>
                <w:szCs w:val="18"/>
              </w:rPr>
              <w:t>Longitudinal connectivity</w:t>
            </w:r>
          </w:p>
          <w:p w14:paraId="0BB4C36A" w14:textId="77777777" w:rsidR="00AA0841" w:rsidRPr="006C51E4" w:rsidRDefault="00AA0841" w:rsidP="00AA0841">
            <w:pPr>
              <w:jc w:val="center"/>
              <w:rPr>
                <w:rFonts w:cstheme="minorHAnsi"/>
                <w:sz w:val="18"/>
                <w:szCs w:val="18"/>
              </w:rPr>
            </w:pPr>
            <w:r w:rsidRPr="006C51E4">
              <w:rPr>
                <w:rFonts w:cstheme="minorHAnsi"/>
                <w:sz w:val="18"/>
                <w:szCs w:val="18"/>
              </w:rPr>
              <w:t>Low level bank and bar wetting</w:t>
            </w:r>
          </w:p>
          <w:p w14:paraId="30B98124" w14:textId="77777777" w:rsidR="00AA0841" w:rsidRPr="006C51E4" w:rsidRDefault="00AA0841" w:rsidP="00AA0841">
            <w:pPr>
              <w:jc w:val="center"/>
              <w:rPr>
                <w:rFonts w:cstheme="minorHAnsi"/>
                <w:sz w:val="18"/>
                <w:szCs w:val="18"/>
              </w:rPr>
            </w:pPr>
            <w:r w:rsidRPr="006C51E4">
              <w:rPr>
                <w:rFonts w:cstheme="minorHAnsi"/>
                <w:sz w:val="18"/>
                <w:szCs w:val="18"/>
              </w:rPr>
              <w:t>Pool maintenance</w:t>
            </w:r>
          </w:p>
          <w:p w14:paraId="579C0E6E" w14:textId="77777777" w:rsidR="00AA0841" w:rsidRPr="006C51E4" w:rsidRDefault="00AA0841" w:rsidP="00AA0841">
            <w:pPr>
              <w:jc w:val="center"/>
              <w:rPr>
                <w:rFonts w:cstheme="minorHAnsi"/>
                <w:sz w:val="18"/>
                <w:szCs w:val="18"/>
              </w:rPr>
            </w:pPr>
            <w:r w:rsidRPr="006C51E4">
              <w:rPr>
                <w:rFonts w:cstheme="minorHAnsi"/>
                <w:sz w:val="18"/>
                <w:szCs w:val="18"/>
              </w:rPr>
              <w:t>Fish movement, productivity and condition</w:t>
            </w:r>
          </w:p>
          <w:p w14:paraId="18E26F53" w14:textId="77777777" w:rsidR="00AA0841" w:rsidRPr="006C51E4" w:rsidRDefault="00AA0841" w:rsidP="00AA0841">
            <w:pPr>
              <w:jc w:val="center"/>
              <w:rPr>
                <w:rFonts w:cstheme="minorHAnsi"/>
                <w:sz w:val="18"/>
                <w:szCs w:val="18"/>
              </w:rPr>
            </w:pPr>
            <w:r w:rsidRPr="006C51E4">
              <w:rPr>
                <w:rFonts w:cstheme="minorHAnsi"/>
                <w:sz w:val="18"/>
                <w:szCs w:val="18"/>
              </w:rPr>
              <w:t>Fish spawning (generalists + in-channel specialists)</w:t>
            </w:r>
          </w:p>
        </w:tc>
        <w:tc>
          <w:tcPr>
            <w:tcW w:w="3969" w:type="dxa"/>
            <w:tcBorders>
              <w:top w:val="single" w:sz="4" w:space="0" w:color="auto"/>
              <w:left w:val="nil"/>
              <w:bottom w:val="single" w:sz="4" w:space="0" w:color="auto"/>
              <w:right w:val="single" w:sz="4" w:space="0" w:color="auto"/>
            </w:tcBorders>
            <w:shd w:val="clear" w:color="auto" w:fill="auto"/>
            <w:vAlign w:val="center"/>
          </w:tcPr>
          <w:p w14:paraId="41D58311" w14:textId="77777777" w:rsidR="00AA0841" w:rsidRPr="006C51E4" w:rsidRDefault="00AA0841" w:rsidP="00AA0841">
            <w:pPr>
              <w:rPr>
                <w:rFonts w:cstheme="minorHAnsi"/>
                <w:color w:val="000000" w:themeColor="text1"/>
                <w:sz w:val="18"/>
                <w:szCs w:val="18"/>
              </w:rPr>
            </w:pPr>
            <w:r w:rsidRPr="006C51E4">
              <w:rPr>
                <w:rFonts w:cstheme="minorHAnsi"/>
                <w:sz w:val="18"/>
                <w:szCs w:val="18"/>
                <w:u w:val="single"/>
              </w:rPr>
              <w:t>Small freshes:</w:t>
            </w:r>
          </w:p>
          <w:p w14:paraId="3711FAB1"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500–1 400 ML/day d/s Keepit</w:t>
            </w:r>
          </w:p>
          <w:p w14:paraId="47CB3822"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600–5 400 ML/day at Gunnedah</w:t>
            </w:r>
          </w:p>
          <w:p w14:paraId="5A355667"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350–3 600 ML/day at Boggabri</w:t>
            </w:r>
          </w:p>
          <w:p w14:paraId="4B409664"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500–6 000 ML/day at Mollee</w:t>
            </w:r>
          </w:p>
          <w:p w14:paraId="07D66687"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350–3 200 ML/day at Bugilbone</w:t>
            </w:r>
          </w:p>
          <w:p w14:paraId="4728079C"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65–1 000 ML/day at Goangra</w:t>
            </w:r>
          </w:p>
          <w:p w14:paraId="65B8B8D9"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200–2 250 ML/day u/s of Walgett</w:t>
            </w:r>
          </w:p>
        </w:tc>
        <w:tc>
          <w:tcPr>
            <w:tcW w:w="1984" w:type="dxa"/>
            <w:tcBorders>
              <w:top w:val="nil"/>
              <w:left w:val="nil"/>
              <w:bottom w:val="single" w:sz="4" w:space="0" w:color="auto"/>
              <w:right w:val="single" w:sz="4" w:space="0" w:color="auto"/>
            </w:tcBorders>
            <w:shd w:val="clear" w:color="auto" w:fill="auto"/>
            <w:vAlign w:val="center"/>
          </w:tcPr>
          <w:p w14:paraId="7A983A1D" w14:textId="77777777" w:rsidR="00AA0841" w:rsidRPr="006C51E4" w:rsidRDefault="00AA0841" w:rsidP="00AA0841">
            <w:pPr>
              <w:jc w:val="center"/>
              <w:rPr>
                <w:rFonts w:cstheme="minorHAnsi"/>
                <w:color w:val="000000" w:themeColor="text1"/>
                <w:sz w:val="18"/>
                <w:szCs w:val="18"/>
              </w:rPr>
            </w:pPr>
            <w:r w:rsidRPr="006C51E4">
              <w:rPr>
                <w:rFonts w:cstheme="minorHAnsi"/>
                <w:color w:val="000000" w:themeColor="text1"/>
                <w:sz w:val="18"/>
                <w:szCs w:val="18"/>
              </w:rPr>
              <w:t>Annually for fish dispersal and productivity/ condition (max interval 1 year);</w:t>
            </w:r>
          </w:p>
          <w:p w14:paraId="3CFA7035" w14:textId="77777777" w:rsidR="00AA0841" w:rsidRPr="006C51E4" w:rsidRDefault="00AA0841" w:rsidP="00AA0841">
            <w:pPr>
              <w:jc w:val="center"/>
              <w:rPr>
                <w:rFonts w:cstheme="minorHAnsi"/>
                <w:color w:val="000000" w:themeColor="text1"/>
                <w:sz w:val="18"/>
                <w:szCs w:val="18"/>
              </w:rPr>
            </w:pPr>
            <w:r w:rsidRPr="006C51E4">
              <w:rPr>
                <w:rFonts w:cstheme="minorHAnsi"/>
                <w:color w:val="000000" w:themeColor="text1"/>
                <w:sz w:val="18"/>
                <w:szCs w:val="18"/>
              </w:rPr>
              <w:t>1 in 1–2 years for fish spawning (max interval 2 years)</w:t>
            </w:r>
          </w:p>
          <w:p w14:paraId="6EAF7CE4" w14:textId="77777777" w:rsidR="00AA0841" w:rsidRPr="006C51E4" w:rsidRDefault="00AA0841" w:rsidP="00AA0841">
            <w:pPr>
              <w:jc w:val="center"/>
              <w:rPr>
                <w:rFonts w:cstheme="minorHAnsi"/>
                <w:color w:val="000000" w:themeColor="text1"/>
                <w:sz w:val="18"/>
                <w:szCs w:val="18"/>
              </w:rPr>
            </w:pPr>
          </w:p>
          <w:p w14:paraId="5D571649" w14:textId="77777777" w:rsidR="00AA0841" w:rsidRPr="006C51E4" w:rsidRDefault="00AA0841" w:rsidP="00AA0841">
            <w:pPr>
              <w:jc w:val="center"/>
              <w:rPr>
                <w:rFonts w:cstheme="minorHAnsi"/>
                <w:color w:val="000000" w:themeColor="text1"/>
                <w:sz w:val="18"/>
                <w:szCs w:val="18"/>
              </w:rPr>
            </w:pPr>
            <w:r w:rsidRPr="006C51E4">
              <w:rPr>
                <w:rFonts w:cstheme="minorHAnsi"/>
                <w:color w:val="000000" w:themeColor="text1"/>
                <w:sz w:val="18"/>
                <w:szCs w:val="18"/>
              </w:rPr>
              <w:t>(Ideally Oct–Apr for fish dispersal and condition/ productivity (but can occur any time) for a minimum of 10 days.</w:t>
            </w:r>
          </w:p>
          <w:p w14:paraId="70FED83E" w14:textId="77777777" w:rsidR="00AA0841" w:rsidRPr="006C51E4" w:rsidRDefault="00AA0841" w:rsidP="00AA0841">
            <w:pPr>
              <w:jc w:val="center"/>
              <w:rPr>
                <w:rFonts w:cstheme="minorHAnsi"/>
                <w:color w:val="000000" w:themeColor="text1"/>
                <w:sz w:val="18"/>
                <w:szCs w:val="18"/>
              </w:rPr>
            </w:pPr>
            <w:r w:rsidRPr="006C51E4">
              <w:rPr>
                <w:rFonts w:cstheme="minorHAnsi"/>
                <w:color w:val="000000" w:themeColor="text1"/>
                <w:sz w:val="18"/>
                <w:szCs w:val="18"/>
              </w:rPr>
              <w:t>Sept–Apr for fish spawning for a minimum of 14 days)</w:t>
            </w:r>
          </w:p>
        </w:tc>
        <w:tc>
          <w:tcPr>
            <w:tcW w:w="4961" w:type="dxa"/>
            <w:tcBorders>
              <w:top w:val="single" w:sz="4" w:space="0" w:color="auto"/>
              <w:left w:val="nil"/>
              <w:bottom w:val="single" w:sz="4" w:space="0" w:color="auto"/>
              <w:right w:val="single" w:sz="4" w:space="0" w:color="auto"/>
            </w:tcBorders>
            <w:shd w:val="clear" w:color="auto" w:fill="auto"/>
            <w:vAlign w:val="center"/>
          </w:tcPr>
          <w:p w14:paraId="7BBAA7AC" w14:textId="77777777" w:rsidR="00AA0841" w:rsidRPr="006C51E4" w:rsidRDefault="00AA0841" w:rsidP="00AA0841">
            <w:pPr>
              <w:rPr>
                <w:rFonts w:cstheme="minorHAnsi"/>
                <w:color w:val="000000" w:themeColor="text1"/>
                <w:sz w:val="18"/>
                <w:szCs w:val="18"/>
              </w:rPr>
            </w:pPr>
            <w:r w:rsidRPr="006C51E4">
              <w:rPr>
                <w:rFonts w:cstheme="minorHAnsi"/>
                <w:color w:val="000000" w:themeColor="text1"/>
                <w:sz w:val="18"/>
                <w:szCs w:val="18"/>
              </w:rPr>
              <w:t>Small freshes have been met each year in the Namoi River between Keepit Dam and Mollee since at least 2015–16, except in 2019–20, when they were not met below Keepit Dam and only partially met at Gunnedah. Downstream of Mollee, small freshes have been less frequent, particularly at Bugilbone and upstream of Walgett.</w:t>
            </w:r>
          </w:p>
          <w:p w14:paraId="42BF7A14" w14:textId="77777777" w:rsidR="00AA0841" w:rsidRPr="006C51E4" w:rsidRDefault="00AA0841" w:rsidP="00AA0841">
            <w:pPr>
              <w:rPr>
                <w:rFonts w:cstheme="minorHAnsi"/>
                <w:color w:val="000000" w:themeColor="text1"/>
                <w:sz w:val="18"/>
                <w:szCs w:val="18"/>
              </w:rPr>
            </w:pPr>
            <w:r w:rsidRPr="006C51E4">
              <w:rPr>
                <w:rFonts w:cstheme="minorHAnsi"/>
                <w:color w:val="000000" w:themeColor="text1"/>
                <w:sz w:val="18"/>
                <w:szCs w:val="18"/>
              </w:rPr>
              <w:t>However, rainfall between February and April provided sufficient flows to achieve this demand from Boggabri down to Walgett.</w:t>
            </w:r>
          </w:p>
          <w:p w14:paraId="46BB3033" w14:textId="77777777" w:rsidR="00AA0841" w:rsidRPr="006C51E4" w:rsidRDefault="00AA0841" w:rsidP="00AA0841">
            <w:pPr>
              <w:rPr>
                <w:rFonts w:cstheme="minorHAnsi"/>
                <w:sz w:val="18"/>
                <w:szCs w:val="18"/>
              </w:rPr>
            </w:pPr>
            <w:r w:rsidRPr="006C51E4">
              <w:rPr>
                <w:rFonts w:cstheme="minorHAnsi"/>
                <w:color w:val="000000" w:themeColor="text1"/>
                <w:sz w:val="18"/>
                <w:szCs w:val="18"/>
              </w:rPr>
              <w:t>Small freshes are ideally met each year, particularly for native fish dispersal and condition. The maximum interval for these flows will be exceeded if water is not provided in 2020–21 downstream of Keepit Dam and at Gunnedah, and small freshes have not been consistently provided across years further downstream. Therefore, the demand for small freshes has been assessed as high (Boggabri to Walgett) to critical (downstream Keepit to Gunnedah).</w:t>
            </w:r>
          </w:p>
        </w:tc>
        <w:tc>
          <w:tcPr>
            <w:tcW w:w="1843" w:type="dxa"/>
            <w:tcBorders>
              <w:top w:val="nil"/>
              <w:left w:val="nil"/>
              <w:bottom w:val="single" w:sz="4" w:space="0" w:color="auto"/>
              <w:right w:val="single" w:sz="4" w:space="0" w:color="auto"/>
            </w:tcBorders>
            <w:shd w:val="clear" w:color="auto" w:fill="FF0000"/>
            <w:vAlign w:val="center"/>
          </w:tcPr>
          <w:p w14:paraId="1634F3B0" w14:textId="77777777" w:rsidR="00AA0841" w:rsidRPr="0043594E" w:rsidRDefault="00AA0841" w:rsidP="00AA0841">
            <w:pPr>
              <w:jc w:val="center"/>
              <w:rPr>
                <w:rFonts w:cstheme="minorHAnsi"/>
                <w:bCs/>
                <w:color w:val="auto"/>
                <w:sz w:val="18"/>
                <w:szCs w:val="18"/>
              </w:rPr>
            </w:pPr>
            <w:r w:rsidRPr="0043594E">
              <w:rPr>
                <w:rFonts w:cstheme="minorHAnsi"/>
                <w:bCs/>
                <w:color w:val="auto"/>
                <w:sz w:val="18"/>
                <w:szCs w:val="18"/>
              </w:rPr>
              <w:t>High to Critical</w:t>
            </w:r>
          </w:p>
        </w:tc>
        <w:tc>
          <w:tcPr>
            <w:tcW w:w="3118" w:type="dxa"/>
            <w:tcBorders>
              <w:top w:val="nil"/>
              <w:left w:val="nil"/>
              <w:bottom w:val="single" w:sz="4" w:space="0" w:color="auto"/>
              <w:right w:val="single" w:sz="4" w:space="0" w:color="auto"/>
            </w:tcBorders>
            <w:shd w:val="clear" w:color="auto" w:fill="365F91" w:themeFill="accent1" w:themeFillShade="BF"/>
            <w:vAlign w:val="center"/>
          </w:tcPr>
          <w:p w14:paraId="087574A4"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High priority for CEW, particularly between Mollee and Walgett under low to high water resource scenarios, subject to water availability and being delivered in conjunction with other water.</w:t>
            </w:r>
          </w:p>
          <w:p w14:paraId="1D0878EB"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May be met by other water under a very high scenario.</w:t>
            </w:r>
          </w:p>
        </w:tc>
        <w:tc>
          <w:tcPr>
            <w:tcW w:w="2268" w:type="dxa"/>
            <w:tcBorders>
              <w:top w:val="nil"/>
              <w:left w:val="nil"/>
              <w:bottom w:val="single" w:sz="4" w:space="0" w:color="auto"/>
              <w:right w:val="single" w:sz="12" w:space="0" w:color="auto"/>
            </w:tcBorders>
            <w:shd w:val="clear" w:color="auto" w:fill="FF0000"/>
            <w:vAlign w:val="center"/>
          </w:tcPr>
          <w:p w14:paraId="691391D5" w14:textId="77777777" w:rsidR="00AA0841" w:rsidRPr="0043594E" w:rsidRDefault="00AA0841" w:rsidP="00AA0841">
            <w:pPr>
              <w:jc w:val="center"/>
              <w:rPr>
                <w:rFonts w:cstheme="minorHAnsi"/>
                <w:bCs/>
                <w:color w:val="auto"/>
                <w:sz w:val="18"/>
                <w:szCs w:val="18"/>
              </w:rPr>
            </w:pPr>
            <w:r w:rsidRPr="0043594E">
              <w:rPr>
                <w:rFonts w:cstheme="minorHAnsi"/>
                <w:bCs/>
                <w:color w:val="auto"/>
                <w:sz w:val="18"/>
                <w:szCs w:val="18"/>
              </w:rPr>
              <w:t>High</w:t>
            </w:r>
          </w:p>
        </w:tc>
      </w:tr>
      <w:tr w:rsidR="00AA0841" w:rsidRPr="0043594E" w14:paraId="45B52213" w14:textId="77777777" w:rsidTr="00AA0841">
        <w:trPr>
          <w:trHeight w:val="2235"/>
        </w:trPr>
        <w:tc>
          <w:tcPr>
            <w:tcW w:w="1843" w:type="dxa"/>
            <w:vMerge w:val="restart"/>
            <w:tcBorders>
              <w:top w:val="single" w:sz="4" w:space="0" w:color="auto"/>
              <w:left w:val="single" w:sz="12" w:space="0" w:color="auto"/>
              <w:right w:val="single" w:sz="4" w:space="0" w:color="auto"/>
            </w:tcBorders>
          </w:tcPr>
          <w:p w14:paraId="41AA3863" w14:textId="77777777" w:rsidR="00AA0841" w:rsidRPr="006C51E4" w:rsidRDefault="00AA0841" w:rsidP="00AA0841">
            <w:pPr>
              <w:rPr>
                <w:sz w:val="18"/>
                <w:szCs w:val="18"/>
              </w:rPr>
            </w:pPr>
            <w:r w:rsidRPr="0063367B">
              <w:rPr>
                <w:rFonts w:cstheme="minorHAnsi"/>
                <w:b/>
                <w:color w:val="000000" w:themeColor="text1"/>
                <w:sz w:val="18"/>
                <w:szCs w:val="18"/>
              </w:rPr>
              <w:lastRenderedPageBreak/>
              <w:t>Lower Namoi River channel</w:t>
            </w:r>
            <w:r w:rsidRPr="006C51E4">
              <w:rPr>
                <w:rFonts w:cstheme="minorHAnsi"/>
                <w:color w:val="000000" w:themeColor="text1"/>
                <w:sz w:val="18"/>
                <w:szCs w:val="18"/>
              </w:rPr>
              <w:t xml:space="preserve"> (ctd)</w:t>
            </w:r>
          </w:p>
        </w:tc>
        <w:tc>
          <w:tcPr>
            <w:tcW w:w="1985" w:type="dxa"/>
            <w:vMerge w:val="restart"/>
            <w:tcBorders>
              <w:top w:val="single" w:sz="4" w:space="0" w:color="auto"/>
              <w:left w:val="single" w:sz="4" w:space="0" w:color="auto"/>
              <w:right w:val="single" w:sz="4" w:space="0" w:color="auto"/>
            </w:tcBorders>
            <w:shd w:val="clear" w:color="auto" w:fill="auto"/>
            <w:vAlign w:val="center"/>
          </w:tcPr>
          <w:p w14:paraId="3A41FA64" w14:textId="77777777" w:rsidR="00AA0841" w:rsidRPr="006C51E4" w:rsidRDefault="00AA0841" w:rsidP="00AA0841">
            <w:pPr>
              <w:jc w:val="center"/>
              <w:rPr>
                <w:rFonts w:cstheme="minorHAnsi"/>
                <w:sz w:val="18"/>
                <w:szCs w:val="18"/>
              </w:rPr>
            </w:pPr>
            <w:r w:rsidRPr="006C51E4">
              <w:rPr>
                <w:rFonts w:cstheme="minorHAnsi"/>
                <w:sz w:val="18"/>
                <w:szCs w:val="18"/>
              </w:rPr>
              <w:t>Longitudinal connectivity</w:t>
            </w:r>
          </w:p>
          <w:p w14:paraId="102FB2A9" w14:textId="77777777" w:rsidR="00AA0841" w:rsidRPr="006C51E4" w:rsidRDefault="00AA0841" w:rsidP="00AA0841">
            <w:pPr>
              <w:jc w:val="center"/>
              <w:rPr>
                <w:rFonts w:cstheme="minorHAnsi"/>
                <w:sz w:val="18"/>
                <w:szCs w:val="18"/>
              </w:rPr>
            </w:pPr>
            <w:r w:rsidRPr="006C51E4">
              <w:rPr>
                <w:rFonts w:cstheme="minorHAnsi"/>
                <w:sz w:val="18"/>
                <w:szCs w:val="18"/>
              </w:rPr>
              <w:t>Increase ecosystem function</w:t>
            </w:r>
          </w:p>
          <w:p w14:paraId="10E5B931" w14:textId="77777777" w:rsidR="00AA0841" w:rsidRPr="006C51E4" w:rsidRDefault="00AA0841" w:rsidP="00AA0841">
            <w:pPr>
              <w:jc w:val="center"/>
              <w:rPr>
                <w:rFonts w:cstheme="minorHAnsi"/>
                <w:sz w:val="18"/>
                <w:szCs w:val="18"/>
              </w:rPr>
            </w:pPr>
            <w:r w:rsidRPr="006C51E4">
              <w:rPr>
                <w:rFonts w:cstheme="minorHAnsi"/>
                <w:sz w:val="18"/>
                <w:szCs w:val="18"/>
              </w:rPr>
              <w:t>Bench and bank wetting</w:t>
            </w:r>
          </w:p>
          <w:p w14:paraId="57FE3E54" w14:textId="77777777" w:rsidR="00AA0841" w:rsidRPr="006C51E4" w:rsidRDefault="00AA0841" w:rsidP="00AA0841">
            <w:pPr>
              <w:jc w:val="center"/>
              <w:rPr>
                <w:rFonts w:cstheme="minorHAnsi"/>
                <w:sz w:val="18"/>
                <w:szCs w:val="18"/>
              </w:rPr>
            </w:pPr>
            <w:r w:rsidRPr="006C51E4">
              <w:rPr>
                <w:rFonts w:cstheme="minorHAnsi"/>
                <w:sz w:val="18"/>
                <w:szCs w:val="18"/>
              </w:rPr>
              <w:t>Access to habitat</w:t>
            </w:r>
          </w:p>
          <w:p w14:paraId="4FA9F8D4" w14:textId="77777777" w:rsidR="00AA0841" w:rsidRPr="006C51E4" w:rsidRDefault="00AA0841" w:rsidP="00AA0841">
            <w:pPr>
              <w:jc w:val="center"/>
              <w:rPr>
                <w:rFonts w:cstheme="minorHAnsi"/>
                <w:sz w:val="18"/>
                <w:szCs w:val="18"/>
              </w:rPr>
            </w:pPr>
            <w:r w:rsidRPr="006C51E4">
              <w:rPr>
                <w:rFonts w:cstheme="minorHAnsi"/>
                <w:sz w:val="18"/>
                <w:szCs w:val="18"/>
              </w:rPr>
              <w:t>Nutrient cycling</w:t>
            </w:r>
          </w:p>
          <w:p w14:paraId="46BBAE76" w14:textId="77777777" w:rsidR="00AA0841" w:rsidRPr="006C51E4" w:rsidRDefault="00AA0841" w:rsidP="00AA0841">
            <w:pPr>
              <w:jc w:val="center"/>
              <w:rPr>
                <w:rFonts w:cstheme="minorHAnsi"/>
                <w:sz w:val="18"/>
                <w:szCs w:val="18"/>
              </w:rPr>
            </w:pPr>
            <w:r w:rsidRPr="006C51E4">
              <w:rPr>
                <w:rFonts w:cstheme="minorHAnsi"/>
                <w:sz w:val="18"/>
                <w:szCs w:val="18"/>
              </w:rPr>
              <w:t>Fish dispersal and productivity/condition (all groups)</w:t>
            </w:r>
          </w:p>
          <w:p w14:paraId="2920CFB7" w14:textId="77777777" w:rsidR="00AA0841" w:rsidRPr="006C51E4" w:rsidRDefault="00AA0841" w:rsidP="00AA0841">
            <w:pPr>
              <w:jc w:val="center"/>
              <w:rPr>
                <w:rFonts w:cstheme="minorHAnsi"/>
                <w:sz w:val="18"/>
                <w:szCs w:val="18"/>
              </w:rPr>
            </w:pPr>
            <w:r w:rsidRPr="006C51E4">
              <w:rPr>
                <w:rFonts w:cstheme="minorHAnsi"/>
                <w:sz w:val="18"/>
                <w:szCs w:val="18"/>
              </w:rPr>
              <w:t>Fish spawning (flow specialists)</w:t>
            </w:r>
          </w:p>
        </w:tc>
        <w:tc>
          <w:tcPr>
            <w:tcW w:w="3969" w:type="dxa"/>
            <w:vMerge w:val="restart"/>
            <w:tcBorders>
              <w:top w:val="single" w:sz="4" w:space="0" w:color="auto"/>
              <w:left w:val="nil"/>
              <w:right w:val="single" w:sz="4" w:space="0" w:color="auto"/>
            </w:tcBorders>
            <w:shd w:val="clear" w:color="auto" w:fill="auto"/>
            <w:vAlign w:val="center"/>
          </w:tcPr>
          <w:p w14:paraId="6ACD7A11" w14:textId="77777777" w:rsidR="00AA0841" w:rsidRPr="006C51E4" w:rsidRDefault="00AA0841" w:rsidP="00AA0841">
            <w:pPr>
              <w:rPr>
                <w:rFonts w:cstheme="minorHAnsi"/>
                <w:color w:val="000000" w:themeColor="text1"/>
                <w:sz w:val="18"/>
                <w:szCs w:val="18"/>
                <w:u w:val="single"/>
              </w:rPr>
            </w:pPr>
            <w:r w:rsidRPr="006C51E4">
              <w:rPr>
                <w:rFonts w:cstheme="minorHAnsi"/>
                <w:sz w:val="18"/>
                <w:szCs w:val="18"/>
                <w:u w:val="single"/>
              </w:rPr>
              <w:t>Large freshes:</w:t>
            </w:r>
          </w:p>
          <w:p w14:paraId="67D0CF2A"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1 400–3 500 ML/day d/s Keepit</w:t>
            </w:r>
          </w:p>
          <w:p w14:paraId="50A87B2A"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5 400–32 700 ML/day at Gunnedah</w:t>
            </w:r>
          </w:p>
          <w:p w14:paraId="6A89CC3A"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3 600–17 750 ML/day at Boggabri</w:t>
            </w:r>
          </w:p>
          <w:p w14:paraId="436CC255"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6 000–18 750 ML/day at Mollee</w:t>
            </w:r>
          </w:p>
          <w:p w14:paraId="3E681AFC"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3 200–9 900 ML/day at Bugilbone</w:t>
            </w:r>
          </w:p>
          <w:p w14:paraId="3AE002CC"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1 000–5 800 ML/day at Goangra</w:t>
            </w:r>
          </w:p>
          <w:p w14:paraId="3ED8305D"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2 250–8 500 ML/day u/s Walgett</w:t>
            </w:r>
          </w:p>
        </w:tc>
        <w:tc>
          <w:tcPr>
            <w:tcW w:w="1984" w:type="dxa"/>
            <w:vMerge w:val="restart"/>
            <w:tcBorders>
              <w:top w:val="nil"/>
              <w:left w:val="nil"/>
              <w:right w:val="single" w:sz="4" w:space="0" w:color="auto"/>
            </w:tcBorders>
            <w:shd w:val="clear" w:color="auto" w:fill="auto"/>
            <w:vAlign w:val="center"/>
          </w:tcPr>
          <w:p w14:paraId="06C43AFA" w14:textId="77777777" w:rsidR="00AA0841" w:rsidRPr="006C51E4" w:rsidRDefault="00AA0841" w:rsidP="00AA0841">
            <w:pPr>
              <w:jc w:val="center"/>
              <w:rPr>
                <w:rFonts w:cstheme="minorHAnsi"/>
                <w:color w:val="000000" w:themeColor="text1"/>
                <w:sz w:val="18"/>
                <w:szCs w:val="18"/>
              </w:rPr>
            </w:pPr>
            <w:r w:rsidRPr="006C51E4">
              <w:rPr>
                <w:rFonts w:cstheme="minorHAnsi"/>
                <w:color w:val="000000" w:themeColor="text1"/>
                <w:sz w:val="18"/>
                <w:szCs w:val="18"/>
              </w:rPr>
              <w:t>1 in 1–2 years for fish dispersal and productivity/condition (max interval 2 years);</w:t>
            </w:r>
          </w:p>
          <w:p w14:paraId="31173E78" w14:textId="77777777" w:rsidR="00AA0841" w:rsidRPr="006C51E4" w:rsidRDefault="00AA0841" w:rsidP="00AA0841">
            <w:pPr>
              <w:jc w:val="center"/>
              <w:rPr>
                <w:rFonts w:cstheme="minorHAnsi"/>
                <w:color w:val="000000" w:themeColor="text1"/>
                <w:sz w:val="18"/>
                <w:szCs w:val="18"/>
              </w:rPr>
            </w:pPr>
            <w:r w:rsidRPr="006C51E4">
              <w:rPr>
                <w:rFonts w:cstheme="minorHAnsi"/>
                <w:color w:val="000000" w:themeColor="text1"/>
                <w:sz w:val="18"/>
                <w:szCs w:val="18"/>
              </w:rPr>
              <w:t>1 in 2–3 years for fish spawning (max interval 4 years)</w:t>
            </w:r>
          </w:p>
          <w:p w14:paraId="63C45D87" w14:textId="77777777" w:rsidR="00AA0841" w:rsidRPr="006C51E4" w:rsidRDefault="00AA0841" w:rsidP="00AA0841">
            <w:pPr>
              <w:jc w:val="center"/>
              <w:rPr>
                <w:rFonts w:cstheme="minorHAnsi"/>
                <w:color w:val="000000" w:themeColor="text1"/>
                <w:sz w:val="18"/>
                <w:szCs w:val="18"/>
              </w:rPr>
            </w:pPr>
          </w:p>
          <w:p w14:paraId="7F44FF5F" w14:textId="77777777" w:rsidR="00AA0841" w:rsidRPr="006C51E4" w:rsidRDefault="00AA0841" w:rsidP="00AA0841">
            <w:pPr>
              <w:jc w:val="center"/>
              <w:rPr>
                <w:rFonts w:cstheme="minorHAnsi"/>
                <w:color w:val="000000" w:themeColor="text1"/>
                <w:sz w:val="18"/>
                <w:szCs w:val="18"/>
              </w:rPr>
            </w:pPr>
            <w:r w:rsidRPr="006C51E4">
              <w:rPr>
                <w:rFonts w:cstheme="minorHAnsi"/>
                <w:color w:val="000000" w:themeColor="text1"/>
                <w:sz w:val="18"/>
                <w:szCs w:val="18"/>
              </w:rPr>
              <w:t>(Ideally July–Sept for fish dispersal and productivity/condition (but can occur any time) for a minimum of 5 days.</w:t>
            </w:r>
          </w:p>
          <w:p w14:paraId="1505DEF8" w14:textId="77777777" w:rsidR="00AA0841" w:rsidRPr="006C51E4" w:rsidRDefault="00AA0841" w:rsidP="00AA0841">
            <w:pPr>
              <w:jc w:val="center"/>
              <w:rPr>
                <w:rFonts w:cstheme="minorHAnsi"/>
                <w:color w:val="000000" w:themeColor="text1"/>
                <w:sz w:val="18"/>
                <w:szCs w:val="18"/>
              </w:rPr>
            </w:pPr>
            <w:r w:rsidRPr="006C51E4">
              <w:rPr>
                <w:rFonts w:cstheme="minorHAnsi"/>
                <w:color w:val="000000" w:themeColor="text1"/>
                <w:sz w:val="18"/>
                <w:szCs w:val="18"/>
              </w:rPr>
              <w:t>Oct–Apr for flow specialists spawning for a minimum of 5 days.)</w:t>
            </w:r>
          </w:p>
        </w:tc>
        <w:tc>
          <w:tcPr>
            <w:tcW w:w="4961" w:type="dxa"/>
            <w:vMerge w:val="restart"/>
            <w:tcBorders>
              <w:top w:val="single" w:sz="4" w:space="0" w:color="auto"/>
              <w:left w:val="nil"/>
              <w:right w:val="single" w:sz="4" w:space="0" w:color="auto"/>
            </w:tcBorders>
            <w:shd w:val="clear" w:color="auto" w:fill="auto"/>
            <w:vAlign w:val="center"/>
          </w:tcPr>
          <w:p w14:paraId="1D478286" w14:textId="77777777" w:rsidR="00AA0841" w:rsidRPr="006C51E4" w:rsidRDefault="00AA0841" w:rsidP="00AA0841">
            <w:pPr>
              <w:rPr>
                <w:rFonts w:cstheme="minorHAnsi"/>
                <w:color w:val="000000" w:themeColor="text1"/>
                <w:sz w:val="18"/>
                <w:szCs w:val="18"/>
              </w:rPr>
            </w:pPr>
            <w:r w:rsidRPr="006C51E4">
              <w:rPr>
                <w:rFonts w:cstheme="minorHAnsi"/>
                <w:color w:val="000000" w:themeColor="text1"/>
                <w:sz w:val="18"/>
                <w:szCs w:val="18"/>
              </w:rPr>
              <w:t>The achievement of large freshes in the Lower Namoi River has been variable. Downstream of Keepit Dam, large freshes were last achieved in 2017–18. Between Gunnedah and Boggabri, large freshes have not been adequately met since 2013–14, or longer.</w:t>
            </w:r>
          </w:p>
          <w:p w14:paraId="5B670B85" w14:textId="77777777" w:rsidR="00AA0841" w:rsidRPr="006C51E4" w:rsidRDefault="00AA0841" w:rsidP="00AA0841">
            <w:pPr>
              <w:rPr>
                <w:rFonts w:cstheme="minorHAnsi"/>
                <w:color w:val="000000" w:themeColor="text1"/>
                <w:sz w:val="18"/>
                <w:szCs w:val="18"/>
              </w:rPr>
            </w:pPr>
            <w:r w:rsidRPr="006C51E4">
              <w:rPr>
                <w:rFonts w:cstheme="minorHAnsi"/>
                <w:color w:val="000000" w:themeColor="text1"/>
                <w:sz w:val="18"/>
                <w:szCs w:val="18"/>
              </w:rPr>
              <w:t>However, rainfall resulted in sufficient river flows to achieve large freshes in February 2020 at Mollee, Bugilbone, Goangra and Walgett. Before that, large freshes had not been met since 2012–13 (Mollee and Bugilbone) and 2016–17 (Goangra and Walgett).</w:t>
            </w:r>
          </w:p>
          <w:p w14:paraId="1B31DA0A" w14:textId="77777777" w:rsidR="00AA0841" w:rsidRPr="006C51E4" w:rsidRDefault="00AA0841" w:rsidP="00AA0841">
            <w:pPr>
              <w:rPr>
                <w:rFonts w:cstheme="minorHAnsi"/>
                <w:color w:val="000000" w:themeColor="text1"/>
                <w:sz w:val="18"/>
                <w:szCs w:val="18"/>
              </w:rPr>
            </w:pPr>
            <w:r w:rsidRPr="006C51E4">
              <w:rPr>
                <w:rFonts w:cstheme="minorHAnsi"/>
                <w:color w:val="000000" w:themeColor="text1"/>
                <w:sz w:val="18"/>
                <w:szCs w:val="18"/>
              </w:rPr>
              <w:t>Large freshes are required in 2020–21 downstream of Keepit Dam to Boggabri, particularly for native fish dispersal and condition, which is required once every 1–2 years. The demand at these locations has been assessed as critical.</w:t>
            </w:r>
          </w:p>
          <w:p w14:paraId="62867A9C" w14:textId="77777777" w:rsidR="00AA0841" w:rsidRPr="006C51E4" w:rsidRDefault="00AA0841" w:rsidP="00AA0841">
            <w:pPr>
              <w:rPr>
                <w:rFonts w:cstheme="minorHAnsi"/>
                <w:color w:val="000000" w:themeColor="text1"/>
                <w:sz w:val="18"/>
                <w:szCs w:val="18"/>
              </w:rPr>
            </w:pPr>
            <w:r w:rsidRPr="006C51E4">
              <w:rPr>
                <w:rFonts w:cstheme="minorHAnsi"/>
                <w:color w:val="000000" w:themeColor="text1"/>
                <w:sz w:val="18"/>
                <w:szCs w:val="18"/>
              </w:rPr>
              <w:t>From Mollee to Walgett small freshes were met in 2019–20, however, had not been met for multiple years before that, so may require water again in 2020–21. Therefore, the demand at these locations has been assessed as moderate to high.</w:t>
            </w:r>
          </w:p>
        </w:tc>
        <w:tc>
          <w:tcPr>
            <w:tcW w:w="1843" w:type="dxa"/>
            <w:tcBorders>
              <w:top w:val="single" w:sz="4" w:space="0" w:color="auto"/>
              <w:left w:val="nil"/>
              <w:bottom w:val="single" w:sz="4" w:space="0" w:color="auto"/>
              <w:right w:val="single" w:sz="4" w:space="0" w:color="auto"/>
            </w:tcBorders>
            <w:shd w:val="clear" w:color="auto" w:fill="C00000"/>
            <w:vAlign w:val="center"/>
          </w:tcPr>
          <w:p w14:paraId="5C1AAFBA"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Critical</w:t>
            </w:r>
          </w:p>
          <w:p w14:paraId="06D4527B"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(d/s Keepit to Boggabri)</w:t>
            </w:r>
          </w:p>
        </w:tc>
        <w:tc>
          <w:tcPr>
            <w:tcW w:w="3118" w:type="dxa"/>
            <w:vMerge w:val="restart"/>
            <w:tcBorders>
              <w:top w:val="nil"/>
              <w:left w:val="nil"/>
              <w:right w:val="single" w:sz="4" w:space="0" w:color="auto"/>
            </w:tcBorders>
            <w:shd w:val="clear" w:color="auto" w:fill="95B3D7" w:themeFill="accent1" w:themeFillTint="99"/>
            <w:vAlign w:val="center"/>
          </w:tcPr>
          <w:p w14:paraId="1A6CFF58"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Possible use of CEW only if there is an increase in available water under high to very high water resource availability scenarios. Would need to be delivered in conjunction with other flows.</w:t>
            </w:r>
          </w:p>
        </w:tc>
        <w:tc>
          <w:tcPr>
            <w:tcW w:w="2268" w:type="dxa"/>
            <w:vMerge w:val="restart"/>
            <w:tcBorders>
              <w:top w:val="nil"/>
              <w:left w:val="nil"/>
              <w:right w:val="single" w:sz="12" w:space="0" w:color="auto"/>
            </w:tcBorders>
            <w:shd w:val="clear" w:color="auto" w:fill="FF0000"/>
            <w:vAlign w:val="center"/>
          </w:tcPr>
          <w:p w14:paraId="628C9175"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High to Critical</w:t>
            </w:r>
          </w:p>
        </w:tc>
      </w:tr>
      <w:tr w:rsidR="00AA0841" w:rsidRPr="0043594E" w14:paraId="1DDC2079" w14:textId="77777777" w:rsidTr="00AA0841">
        <w:trPr>
          <w:trHeight w:val="2936"/>
        </w:trPr>
        <w:tc>
          <w:tcPr>
            <w:tcW w:w="1843" w:type="dxa"/>
            <w:vMerge/>
            <w:tcBorders>
              <w:left w:val="single" w:sz="12" w:space="0" w:color="auto"/>
              <w:right w:val="single" w:sz="4" w:space="0" w:color="auto"/>
            </w:tcBorders>
          </w:tcPr>
          <w:p w14:paraId="50E9144F" w14:textId="77777777" w:rsidR="00AA0841" w:rsidRPr="006C51E4" w:rsidRDefault="00AA0841" w:rsidP="00AA0841">
            <w:pPr>
              <w:rPr>
                <w:sz w:val="18"/>
                <w:szCs w:val="18"/>
              </w:rPr>
            </w:pPr>
          </w:p>
        </w:tc>
        <w:tc>
          <w:tcPr>
            <w:tcW w:w="1985" w:type="dxa"/>
            <w:vMerge/>
            <w:tcBorders>
              <w:left w:val="single" w:sz="4" w:space="0" w:color="auto"/>
              <w:bottom w:val="single" w:sz="4" w:space="0" w:color="auto"/>
              <w:right w:val="single" w:sz="4" w:space="0" w:color="auto"/>
            </w:tcBorders>
            <w:shd w:val="clear" w:color="auto" w:fill="auto"/>
            <w:vAlign w:val="center"/>
          </w:tcPr>
          <w:p w14:paraId="18BCF9A3" w14:textId="77777777" w:rsidR="00AA0841" w:rsidRPr="006C51E4" w:rsidRDefault="00AA0841" w:rsidP="00AA0841">
            <w:pPr>
              <w:jc w:val="center"/>
              <w:rPr>
                <w:rFonts w:cstheme="minorHAnsi"/>
                <w:sz w:val="18"/>
                <w:szCs w:val="18"/>
              </w:rPr>
            </w:pPr>
          </w:p>
        </w:tc>
        <w:tc>
          <w:tcPr>
            <w:tcW w:w="3969" w:type="dxa"/>
            <w:vMerge/>
            <w:tcBorders>
              <w:left w:val="nil"/>
              <w:bottom w:val="single" w:sz="4" w:space="0" w:color="auto"/>
              <w:right w:val="single" w:sz="4" w:space="0" w:color="auto"/>
            </w:tcBorders>
            <w:shd w:val="clear" w:color="auto" w:fill="auto"/>
            <w:vAlign w:val="center"/>
          </w:tcPr>
          <w:p w14:paraId="24C19B03" w14:textId="77777777" w:rsidR="00AA0841" w:rsidRPr="006C51E4" w:rsidRDefault="00AA0841" w:rsidP="00AA0841">
            <w:pPr>
              <w:rPr>
                <w:rFonts w:cstheme="minorHAnsi"/>
                <w:sz w:val="18"/>
                <w:szCs w:val="18"/>
                <w:u w:val="single"/>
              </w:rPr>
            </w:pPr>
          </w:p>
        </w:tc>
        <w:tc>
          <w:tcPr>
            <w:tcW w:w="1984" w:type="dxa"/>
            <w:vMerge/>
            <w:tcBorders>
              <w:left w:val="nil"/>
              <w:bottom w:val="single" w:sz="4" w:space="0" w:color="auto"/>
              <w:right w:val="single" w:sz="4" w:space="0" w:color="auto"/>
            </w:tcBorders>
            <w:shd w:val="clear" w:color="auto" w:fill="auto"/>
            <w:vAlign w:val="center"/>
          </w:tcPr>
          <w:p w14:paraId="32648FCB" w14:textId="77777777" w:rsidR="00AA0841" w:rsidRPr="006C51E4" w:rsidRDefault="00AA0841" w:rsidP="00AA0841">
            <w:pPr>
              <w:jc w:val="center"/>
              <w:rPr>
                <w:rFonts w:cstheme="minorHAnsi"/>
                <w:color w:val="000000" w:themeColor="text1"/>
                <w:sz w:val="18"/>
                <w:szCs w:val="18"/>
              </w:rPr>
            </w:pPr>
          </w:p>
        </w:tc>
        <w:tc>
          <w:tcPr>
            <w:tcW w:w="4961" w:type="dxa"/>
            <w:vMerge/>
            <w:tcBorders>
              <w:left w:val="nil"/>
              <w:bottom w:val="single" w:sz="4" w:space="0" w:color="auto"/>
              <w:right w:val="single" w:sz="4" w:space="0" w:color="auto"/>
            </w:tcBorders>
            <w:shd w:val="clear" w:color="auto" w:fill="auto"/>
            <w:vAlign w:val="center"/>
          </w:tcPr>
          <w:p w14:paraId="56ED2015" w14:textId="77777777" w:rsidR="00AA0841" w:rsidRPr="006C51E4" w:rsidRDefault="00AA0841" w:rsidP="00AA0841">
            <w:pPr>
              <w:rPr>
                <w:rFonts w:cstheme="minorHAnsi"/>
                <w:color w:val="000000" w:themeColor="text1"/>
                <w:sz w:val="18"/>
                <w:szCs w:val="18"/>
              </w:rPr>
            </w:pPr>
          </w:p>
        </w:tc>
        <w:tc>
          <w:tcPr>
            <w:tcW w:w="1843" w:type="dxa"/>
            <w:tcBorders>
              <w:top w:val="single" w:sz="4" w:space="0" w:color="auto"/>
              <w:left w:val="nil"/>
              <w:bottom w:val="single" w:sz="4" w:space="0" w:color="auto"/>
              <w:right w:val="single" w:sz="4" w:space="0" w:color="auto"/>
            </w:tcBorders>
            <w:shd w:val="clear" w:color="auto" w:fill="FFC000"/>
            <w:vAlign w:val="center"/>
          </w:tcPr>
          <w:p w14:paraId="61F4AE74"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Moderate to High</w:t>
            </w:r>
          </w:p>
          <w:p w14:paraId="02D57668"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(Mollee to Walgett)</w:t>
            </w:r>
          </w:p>
        </w:tc>
        <w:tc>
          <w:tcPr>
            <w:tcW w:w="3118" w:type="dxa"/>
            <w:vMerge/>
            <w:tcBorders>
              <w:left w:val="nil"/>
              <w:bottom w:val="single" w:sz="4" w:space="0" w:color="auto"/>
              <w:right w:val="single" w:sz="4" w:space="0" w:color="auto"/>
            </w:tcBorders>
            <w:shd w:val="clear" w:color="auto" w:fill="95B3D7" w:themeFill="accent1" w:themeFillTint="99"/>
            <w:vAlign w:val="center"/>
          </w:tcPr>
          <w:p w14:paraId="522C1439" w14:textId="77777777" w:rsidR="00AA0841" w:rsidRPr="0043594E" w:rsidRDefault="00AA0841" w:rsidP="00AA0841">
            <w:pPr>
              <w:jc w:val="center"/>
              <w:rPr>
                <w:rFonts w:cstheme="minorHAnsi"/>
                <w:color w:val="auto"/>
                <w:sz w:val="18"/>
                <w:szCs w:val="18"/>
              </w:rPr>
            </w:pPr>
          </w:p>
        </w:tc>
        <w:tc>
          <w:tcPr>
            <w:tcW w:w="2268" w:type="dxa"/>
            <w:vMerge/>
            <w:tcBorders>
              <w:left w:val="nil"/>
              <w:bottom w:val="single" w:sz="4" w:space="0" w:color="auto"/>
              <w:right w:val="single" w:sz="12" w:space="0" w:color="auto"/>
            </w:tcBorders>
            <w:shd w:val="clear" w:color="auto" w:fill="FF0000"/>
            <w:vAlign w:val="center"/>
          </w:tcPr>
          <w:p w14:paraId="0010C181" w14:textId="77777777" w:rsidR="00AA0841" w:rsidRPr="0043594E" w:rsidRDefault="00AA0841" w:rsidP="00AA0841">
            <w:pPr>
              <w:jc w:val="center"/>
              <w:rPr>
                <w:rFonts w:cstheme="minorHAnsi"/>
                <w:color w:val="auto"/>
                <w:sz w:val="18"/>
                <w:szCs w:val="18"/>
              </w:rPr>
            </w:pPr>
          </w:p>
        </w:tc>
      </w:tr>
      <w:tr w:rsidR="00AA0841" w:rsidRPr="0043594E" w14:paraId="0CDF50D4" w14:textId="77777777" w:rsidTr="00AA0841">
        <w:trPr>
          <w:trHeight w:val="6664"/>
        </w:trPr>
        <w:tc>
          <w:tcPr>
            <w:tcW w:w="1843" w:type="dxa"/>
            <w:vMerge/>
            <w:tcBorders>
              <w:left w:val="single" w:sz="12" w:space="0" w:color="auto"/>
              <w:bottom w:val="single" w:sz="4" w:space="0" w:color="auto"/>
              <w:right w:val="single" w:sz="4" w:space="0" w:color="auto"/>
            </w:tcBorders>
          </w:tcPr>
          <w:p w14:paraId="20D674B0" w14:textId="77777777" w:rsidR="00AA0841" w:rsidRPr="006C51E4" w:rsidRDefault="00AA0841" w:rsidP="00AA0841">
            <w:pPr>
              <w:rPr>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5E4743ED" w14:textId="77777777" w:rsidR="00AA0841" w:rsidRPr="006C51E4" w:rsidRDefault="00AA0841" w:rsidP="00AA0841">
            <w:pPr>
              <w:jc w:val="center"/>
              <w:rPr>
                <w:rFonts w:cstheme="minorHAnsi"/>
                <w:sz w:val="18"/>
                <w:szCs w:val="18"/>
              </w:rPr>
            </w:pPr>
            <w:r w:rsidRPr="006C51E4">
              <w:rPr>
                <w:rFonts w:cstheme="minorHAnsi"/>
                <w:sz w:val="18"/>
                <w:szCs w:val="18"/>
              </w:rPr>
              <w:t>Lateral and longitudinal connectivity</w:t>
            </w:r>
          </w:p>
          <w:p w14:paraId="6F05B994" w14:textId="77777777" w:rsidR="00AA0841" w:rsidRPr="006C51E4" w:rsidRDefault="00AA0841" w:rsidP="00AA0841">
            <w:pPr>
              <w:jc w:val="center"/>
              <w:rPr>
                <w:rFonts w:cstheme="minorHAnsi"/>
                <w:sz w:val="18"/>
                <w:szCs w:val="18"/>
              </w:rPr>
            </w:pPr>
            <w:r w:rsidRPr="006C51E4">
              <w:rPr>
                <w:rFonts w:cstheme="minorHAnsi"/>
                <w:sz w:val="18"/>
                <w:szCs w:val="18"/>
              </w:rPr>
              <w:t>Riparian vegetation in low commence to flow anabranch channels</w:t>
            </w:r>
          </w:p>
          <w:p w14:paraId="49AD64D7" w14:textId="77777777" w:rsidR="00AA0841" w:rsidRPr="006C51E4" w:rsidRDefault="00AA0841" w:rsidP="00AA0841">
            <w:pPr>
              <w:jc w:val="center"/>
              <w:rPr>
                <w:rFonts w:cstheme="minorHAnsi"/>
                <w:sz w:val="18"/>
                <w:szCs w:val="18"/>
              </w:rPr>
            </w:pPr>
            <w:r w:rsidRPr="006C51E4">
              <w:rPr>
                <w:rFonts w:cstheme="minorHAnsi"/>
                <w:sz w:val="18"/>
                <w:szCs w:val="18"/>
              </w:rPr>
              <w:t>Increase ecosystem function</w:t>
            </w:r>
          </w:p>
          <w:p w14:paraId="1C027289" w14:textId="77777777" w:rsidR="00AA0841" w:rsidRPr="006C51E4" w:rsidRDefault="00AA0841" w:rsidP="00AA0841">
            <w:pPr>
              <w:jc w:val="center"/>
              <w:rPr>
                <w:rFonts w:cstheme="minorHAnsi"/>
                <w:sz w:val="18"/>
                <w:szCs w:val="18"/>
              </w:rPr>
            </w:pPr>
            <w:r w:rsidRPr="006C51E4">
              <w:rPr>
                <w:rFonts w:cstheme="minorHAnsi"/>
                <w:sz w:val="18"/>
                <w:szCs w:val="18"/>
              </w:rPr>
              <w:t>Nutrient cycling</w:t>
            </w:r>
          </w:p>
          <w:p w14:paraId="24F0B0DC" w14:textId="77777777" w:rsidR="00AA0841" w:rsidRPr="006C51E4" w:rsidRDefault="00AA0841" w:rsidP="00AA0841">
            <w:pPr>
              <w:jc w:val="center"/>
              <w:rPr>
                <w:rFonts w:cstheme="minorHAnsi"/>
                <w:sz w:val="18"/>
                <w:szCs w:val="18"/>
              </w:rPr>
            </w:pPr>
            <w:r w:rsidRPr="006C51E4">
              <w:rPr>
                <w:rFonts w:cstheme="minorHAnsi"/>
                <w:sz w:val="18"/>
                <w:szCs w:val="18"/>
              </w:rPr>
              <w:t>Access to habitat</w:t>
            </w:r>
          </w:p>
          <w:p w14:paraId="40BDBF83" w14:textId="77777777" w:rsidR="00AA0841" w:rsidRPr="006C51E4" w:rsidRDefault="00AA0841" w:rsidP="00AA0841">
            <w:pPr>
              <w:jc w:val="center"/>
              <w:rPr>
                <w:rFonts w:cstheme="minorHAnsi"/>
                <w:sz w:val="18"/>
                <w:szCs w:val="18"/>
              </w:rPr>
            </w:pPr>
            <w:r w:rsidRPr="006C51E4">
              <w:rPr>
                <w:rFonts w:cstheme="minorHAnsi"/>
                <w:sz w:val="18"/>
                <w:szCs w:val="18"/>
              </w:rPr>
              <w:t>Fish spawning (floodplain specialists)</w:t>
            </w:r>
          </w:p>
          <w:p w14:paraId="4A68EB64" w14:textId="77777777" w:rsidR="00AA0841" w:rsidRPr="006C51E4" w:rsidRDefault="00AA0841" w:rsidP="00AA0841">
            <w:pPr>
              <w:jc w:val="center"/>
              <w:rPr>
                <w:rFonts w:cstheme="minorHAnsi"/>
                <w:sz w:val="18"/>
                <w:szCs w:val="18"/>
              </w:rPr>
            </w:pPr>
            <w:r w:rsidRPr="006C51E4">
              <w:rPr>
                <w:rFonts w:cstheme="minorHAnsi"/>
                <w:sz w:val="18"/>
                <w:szCs w:val="18"/>
              </w:rPr>
              <w:t>Fish dispersal and productivity/condition (all groups)</w:t>
            </w:r>
          </w:p>
        </w:tc>
        <w:tc>
          <w:tcPr>
            <w:tcW w:w="3969" w:type="dxa"/>
            <w:tcBorders>
              <w:top w:val="single" w:sz="4" w:space="0" w:color="auto"/>
              <w:left w:val="nil"/>
              <w:bottom w:val="single" w:sz="4" w:space="0" w:color="auto"/>
              <w:right w:val="single" w:sz="4" w:space="0" w:color="auto"/>
            </w:tcBorders>
            <w:shd w:val="clear" w:color="auto" w:fill="auto"/>
            <w:vAlign w:val="center"/>
          </w:tcPr>
          <w:p w14:paraId="361B3D43" w14:textId="77777777" w:rsidR="00AA0841" w:rsidRPr="006C51E4" w:rsidRDefault="00AA0841" w:rsidP="00AA0841">
            <w:pPr>
              <w:rPr>
                <w:rFonts w:cstheme="minorHAnsi"/>
                <w:color w:val="000000" w:themeColor="text1"/>
                <w:sz w:val="18"/>
                <w:szCs w:val="18"/>
                <w:u w:val="single"/>
              </w:rPr>
            </w:pPr>
            <w:r w:rsidRPr="006C51E4">
              <w:rPr>
                <w:rFonts w:cstheme="minorHAnsi"/>
                <w:sz w:val="18"/>
                <w:szCs w:val="18"/>
                <w:u w:val="single"/>
              </w:rPr>
              <w:t>Bankfull and overbank flows:</w:t>
            </w:r>
          </w:p>
          <w:p w14:paraId="4E09F653"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3 500–6 150+ ML/day d/s Keepit</w:t>
            </w:r>
          </w:p>
          <w:p w14:paraId="6F3BB6D3"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32 700–40 000+ ML/day at Gunnedah</w:t>
            </w:r>
          </w:p>
          <w:p w14:paraId="60E1B356"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17 750–22 000+ ML/day at Boggabri</w:t>
            </w:r>
          </w:p>
          <w:p w14:paraId="4DA9DFA8"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18 750–21 750+ ML/day at Mollee</w:t>
            </w:r>
          </w:p>
          <w:p w14:paraId="08F5FBB6"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9 900–13 400+ ML/day at Bugilbone</w:t>
            </w:r>
          </w:p>
          <w:p w14:paraId="5FC63A20"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5 800–8 200+ ML/day at Goangra</w:t>
            </w:r>
          </w:p>
          <w:p w14:paraId="52B0C2A1" w14:textId="77777777" w:rsidR="00AA0841" w:rsidRPr="006C51E4"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000000" w:themeColor="text1"/>
                <w:sz w:val="18"/>
                <w:szCs w:val="18"/>
              </w:rPr>
              <w:t>8 500–10 600+ ML/day u/s Walgett</w:t>
            </w:r>
          </w:p>
        </w:tc>
        <w:tc>
          <w:tcPr>
            <w:tcW w:w="1984" w:type="dxa"/>
            <w:tcBorders>
              <w:top w:val="nil"/>
              <w:left w:val="nil"/>
              <w:bottom w:val="single" w:sz="4" w:space="0" w:color="auto"/>
              <w:right w:val="single" w:sz="4" w:space="0" w:color="auto"/>
            </w:tcBorders>
            <w:shd w:val="clear" w:color="auto" w:fill="auto"/>
            <w:vAlign w:val="center"/>
          </w:tcPr>
          <w:p w14:paraId="62276EA2" w14:textId="77777777" w:rsidR="00AA0841" w:rsidRPr="006C51E4" w:rsidRDefault="00AA0841" w:rsidP="00AA0841">
            <w:pPr>
              <w:jc w:val="center"/>
              <w:rPr>
                <w:rFonts w:cstheme="minorHAnsi"/>
                <w:color w:val="000000" w:themeColor="text1"/>
                <w:sz w:val="18"/>
                <w:szCs w:val="18"/>
              </w:rPr>
            </w:pPr>
            <w:r w:rsidRPr="006C51E4">
              <w:rPr>
                <w:rFonts w:cstheme="minorHAnsi"/>
                <w:color w:val="000000" w:themeColor="text1"/>
                <w:sz w:val="18"/>
                <w:szCs w:val="18"/>
              </w:rPr>
              <w:t>1 in 2 years for fish spawning (max interval 4 years);</w:t>
            </w:r>
          </w:p>
          <w:p w14:paraId="1DCC1605" w14:textId="77777777" w:rsidR="00AA0841" w:rsidRPr="006C51E4" w:rsidRDefault="00AA0841" w:rsidP="00AA0841">
            <w:pPr>
              <w:jc w:val="center"/>
              <w:rPr>
                <w:rFonts w:cstheme="minorHAnsi"/>
                <w:color w:val="000000" w:themeColor="text1"/>
                <w:sz w:val="18"/>
                <w:szCs w:val="18"/>
              </w:rPr>
            </w:pPr>
            <w:r w:rsidRPr="006C51E4">
              <w:rPr>
                <w:rFonts w:cstheme="minorHAnsi"/>
                <w:color w:val="000000" w:themeColor="text1"/>
                <w:sz w:val="18"/>
                <w:szCs w:val="18"/>
              </w:rPr>
              <w:t>1 in 3–5 years for fish dispersal and productivity/condition (max interval 5 years)</w:t>
            </w:r>
          </w:p>
          <w:p w14:paraId="39757723" w14:textId="77777777" w:rsidR="00AA0841" w:rsidRPr="006C51E4" w:rsidRDefault="00AA0841" w:rsidP="00AA0841">
            <w:pPr>
              <w:jc w:val="center"/>
              <w:rPr>
                <w:rFonts w:cstheme="minorHAnsi"/>
                <w:color w:val="000000" w:themeColor="text1"/>
                <w:sz w:val="18"/>
                <w:szCs w:val="18"/>
              </w:rPr>
            </w:pPr>
          </w:p>
          <w:p w14:paraId="6A6851D4" w14:textId="77777777" w:rsidR="00AA0841" w:rsidRPr="006C51E4" w:rsidRDefault="00AA0841" w:rsidP="00AA0841">
            <w:pPr>
              <w:jc w:val="center"/>
              <w:rPr>
                <w:rFonts w:cstheme="minorHAnsi"/>
                <w:color w:val="000000" w:themeColor="text1"/>
                <w:sz w:val="18"/>
                <w:szCs w:val="18"/>
              </w:rPr>
            </w:pPr>
            <w:r w:rsidRPr="006C51E4">
              <w:rPr>
                <w:rFonts w:cstheme="minorHAnsi"/>
                <w:color w:val="000000" w:themeColor="text1"/>
                <w:sz w:val="18"/>
                <w:szCs w:val="18"/>
              </w:rPr>
              <w:t>(Oct–Apr for fish spawning (floodplain specialists) for a minimum of 10 days.</w:t>
            </w:r>
          </w:p>
          <w:p w14:paraId="3F18233C" w14:textId="77777777" w:rsidR="00AA0841" w:rsidRPr="006C51E4" w:rsidRDefault="00AA0841" w:rsidP="00AA0841">
            <w:pPr>
              <w:jc w:val="center"/>
              <w:rPr>
                <w:rFonts w:cstheme="minorHAnsi"/>
                <w:color w:val="000000" w:themeColor="text1"/>
                <w:sz w:val="18"/>
                <w:szCs w:val="18"/>
              </w:rPr>
            </w:pPr>
            <w:r w:rsidRPr="006C51E4">
              <w:rPr>
                <w:rFonts w:cstheme="minorHAnsi"/>
                <w:color w:val="000000" w:themeColor="text1"/>
                <w:sz w:val="18"/>
                <w:szCs w:val="18"/>
              </w:rPr>
              <w:t>Ideally Sept–Feb for fish dispersal and productivity/ condition (but can occur any time) for a minimum of 5 days.)</w:t>
            </w:r>
          </w:p>
        </w:tc>
        <w:tc>
          <w:tcPr>
            <w:tcW w:w="4961" w:type="dxa"/>
            <w:tcBorders>
              <w:top w:val="single" w:sz="4" w:space="0" w:color="auto"/>
              <w:left w:val="nil"/>
              <w:bottom w:val="single" w:sz="4" w:space="0" w:color="auto"/>
              <w:right w:val="single" w:sz="4" w:space="0" w:color="auto"/>
            </w:tcBorders>
            <w:shd w:val="clear" w:color="auto" w:fill="auto"/>
            <w:vAlign w:val="center"/>
          </w:tcPr>
          <w:p w14:paraId="1C0C79E2" w14:textId="77777777" w:rsidR="00AA0841" w:rsidRPr="006C51E4" w:rsidRDefault="00AA0841" w:rsidP="00AA0841">
            <w:pPr>
              <w:rPr>
                <w:rFonts w:cstheme="minorHAnsi"/>
                <w:color w:val="000000" w:themeColor="text1"/>
                <w:sz w:val="18"/>
                <w:szCs w:val="18"/>
              </w:rPr>
            </w:pPr>
            <w:r w:rsidRPr="006C51E4">
              <w:rPr>
                <w:rFonts w:cstheme="minorHAnsi"/>
                <w:color w:val="000000" w:themeColor="text1"/>
                <w:sz w:val="18"/>
                <w:szCs w:val="18"/>
              </w:rPr>
              <w:t>Bankfull and overbank flows have not been met in the Lower Namoi River between Keepit Dam and Walgett in the last three years, and during the past six years, have only been met at Goangra and Walgett in 2016–17.</w:t>
            </w:r>
          </w:p>
          <w:p w14:paraId="25AC98B6" w14:textId="77777777" w:rsidR="00AA0841" w:rsidRPr="006C51E4" w:rsidRDefault="00AA0841" w:rsidP="00AA0841">
            <w:pPr>
              <w:rPr>
                <w:rFonts w:cstheme="minorHAnsi"/>
                <w:color w:val="000000" w:themeColor="text1"/>
                <w:sz w:val="18"/>
                <w:szCs w:val="18"/>
              </w:rPr>
            </w:pPr>
            <w:r w:rsidRPr="006C51E4">
              <w:rPr>
                <w:rFonts w:cstheme="minorHAnsi"/>
                <w:color w:val="000000" w:themeColor="text1"/>
                <w:sz w:val="18"/>
                <w:szCs w:val="18"/>
              </w:rPr>
              <w:t>The maximum interval for these flows has been exceeded between Keepit Dam and Bugilbone for both spawning and dispersal/conditioning flows for native fish, and for fish spawning between Goangra and Walgett. Therefore, the demand for 2020–21 has been assessed as critical overall, particularly between Keepit and Bugilbone.</w:t>
            </w:r>
          </w:p>
        </w:tc>
        <w:tc>
          <w:tcPr>
            <w:tcW w:w="1843" w:type="dxa"/>
            <w:tcBorders>
              <w:top w:val="single" w:sz="4" w:space="0" w:color="auto"/>
              <w:left w:val="nil"/>
              <w:bottom w:val="single" w:sz="4" w:space="0" w:color="auto"/>
              <w:right w:val="single" w:sz="4" w:space="0" w:color="auto"/>
            </w:tcBorders>
            <w:shd w:val="clear" w:color="auto" w:fill="C00000"/>
            <w:vAlign w:val="center"/>
          </w:tcPr>
          <w:p w14:paraId="696B4E23"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Critical</w:t>
            </w:r>
          </w:p>
        </w:tc>
        <w:tc>
          <w:tcPr>
            <w:tcW w:w="3118" w:type="dxa"/>
            <w:tcBorders>
              <w:top w:val="nil"/>
              <w:left w:val="nil"/>
              <w:bottom w:val="single" w:sz="4" w:space="0" w:color="auto"/>
              <w:right w:val="single" w:sz="4" w:space="0" w:color="auto"/>
            </w:tcBorders>
            <w:shd w:val="clear" w:color="auto" w:fill="A6A6A6" w:themeFill="background1" w:themeFillShade="A6"/>
            <w:vAlign w:val="center"/>
          </w:tcPr>
          <w:p w14:paraId="54A1949E"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Commonwealth environmental water unlikely to contribute to this demand because of insufficient water and system constraints.</w:t>
            </w:r>
          </w:p>
        </w:tc>
        <w:tc>
          <w:tcPr>
            <w:tcW w:w="2268" w:type="dxa"/>
            <w:tcBorders>
              <w:top w:val="nil"/>
              <w:left w:val="nil"/>
              <w:bottom w:val="single" w:sz="4" w:space="0" w:color="auto"/>
              <w:right w:val="single" w:sz="12" w:space="0" w:color="auto"/>
            </w:tcBorders>
            <w:shd w:val="clear" w:color="auto" w:fill="FF0000"/>
            <w:vAlign w:val="center"/>
          </w:tcPr>
          <w:p w14:paraId="55CF4D8F"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High to Critical</w:t>
            </w:r>
          </w:p>
        </w:tc>
      </w:tr>
      <w:tr w:rsidR="00AA0841" w:rsidRPr="0043594E" w14:paraId="0585718F" w14:textId="77777777" w:rsidTr="00AA0841">
        <w:trPr>
          <w:trHeight w:val="1539"/>
        </w:trPr>
        <w:tc>
          <w:tcPr>
            <w:tcW w:w="1843" w:type="dxa"/>
            <w:vMerge w:val="restart"/>
            <w:tcBorders>
              <w:top w:val="nil"/>
              <w:left w:val="single" w:sz="12" w:space="0" w:color="auto"/>
              <w:right w:val="single" w:sz="4" w:space="0" w:color="auto"/>
            </w:tcBorders>
          </w:tcPr>
          <w:p w14:paraId="6E2C7B60" w14:textId="77777777" w:rsidR="00AA0841" w:rsidRPr="005C7CF1" w:rsidRDefault="00AA0841" w:rsidP="00AA0841">
            <w:pPr>
              <w:rPr>
                <w:rFonts w:cstheme="minorHAnsi"/>
                <w:b/>
                <w:color w:val="000000" w:themeColor="text1"/>
                <w:sz w:val="18"/>
                <w:szCs w:val="18"/>
              </w:rPr>
            </w:pPr>
            <w:r w:rsidRPr="005C7CF1">
              <w:rPr>
                <w:rFonts w:cstheme="minorHAnsi"/>
                <w:b/>
                <w:color w:val="000000" w:themeColor="text1"/>
                <w:sz w:val="18"/>
                <w:szCs w:val="18"/>
              </w:rPr>
              <w:lastRenderedPageBreak/>
              <w:t>Peel River channel</w:t>
            </w:r>
            <w:r w:rsidRPr="005C7CF1">
              <w:rPr>
                <w:rFonts w:cstheme="minorHAnsi"/>
                <w:b/>
                <w:bCs/>
                <w:color w:val="000000" w:themeColor="text1"/>
                <w:sz w:val="18"/>
                <w:szCs w:val="18"/>
                <w:vertAlign w:val="superscript"/>
              </w:rPr>
              <w:t>3</w:t>
            </w:r>
          </w:p>
          <w:p w14:paraId="3B861214" w14:textId="77777777" w:rsidR="00AA0841" w:rsidRPr="0063367B" w:rsidRDefault="00AA0841" w:rsidP="005D79EF">
            <w:pPr>
              <w:pStyle w:val="ListParagraph"/>
              <w:numPr>
                <w:ilvl w:val="0"/>
                <w:numId w:val="40"/>
              </w:numPr>
              <w:ind w:left="319" w:hanging="284"/>
              <w:rPr>
                <w:rFonts w:cstheme="minorHAnsi"/>
                <w:b/>
                <w:color w:val="auto"/>
                <w:sz w:val="18"/>
                <w:szCs w:val="18"/>
              </w:rPr>
            </w:pPr>
            <w:r w:rsidRPr="0063367B">
              <w:rPr>
                <w:rFonts w:cstheme="minorHAnsi"/>
                <w:b/>
                <w:color w:val="auto"/>
                <w:sz w:val="18"/>
                <w:szCs w:val="18"/>
              </w:rPr>
              <w:t>d/s Chaffey Dam to Piallamore</w:t>
            </w:r>
          </w:p>
          <w:p w14:paraId="21705B04" w14:textId="77777777" w:rsidR="00AA0841" w:rsidRPr="0063367B" w:rsidRDefault="00AA0841" w:rsidP="005D79EF">
            <w:pPr>
              <w:pStyle w:val="ListParagraph"/>
              <w:numPr>
                <w:ilvl w:val="0"/>
                <w:numId w:val="40"/>
              </w:numPr>
              <w:ind w:left="319" w:hanging="284"/>
              <w:rPr>
                <w:rFonts w:cstheme="minorHAnsi"/>
                <w:b/>
                <w:color w:val="auto"/>
                <w:sz w:val="18"/>
                <w:szCs w:val="18"/>
              </w:rPr>
            </w:pPr>
            <w:r w:rsidRPr="0063367B">
              <w:rPr>
                <w:rFonts w:cstheme="minorHAnsi"/>
                <w:b/>
                <w:color w:val="auto"/>
                <w:sz w:val="18"/>
                <w:szCs w:val="18"/>
              </w:rPr>
              <w:t>Piallamore to Carrol Gap</w:t>
            </w:r>
          </w:p>
          <w:p w14:paraId="6E606272" w14:textId="77777777" w:rsidR="00AA0841" w:rsidRPr="006C51E4" w:rsidRDefault="00AA0841" w:rsidP="00AA0841">
            <w:pPr>
              <w:rPr>
                <w:rFonts w:cstheme="minorHAnsi"/>
                <w:color w:val="000000" w:themeColor="text1"/>
                <w:sz w:val="18"/>
                <w:szCs w:val="18"/>
              </w:rPr>
            </w:pPr>
          </w:p>
          <w:p w14:paraId="02AD9FE3" w14:textId="77777777" w:rsidR="00AA0841" w:rsidRPr="006C51E4" w:rsidRDefault="00AA0841" w:rsidP="00AA0841">
            <w:pPr>
              <w:rPr>
                <w:rFonts w:cstheme="minorHAnsi"/>
                <w:bCs/>
                <w:color w:val="000000" w:themeColor="text1"/>
                <w:sz w:val="18"/>
                <w:szCs w:val="18"/>
              </w:rPr>
            </w:pPr>
            <w:r w:rsidRPr="006C51E4">
              <w:rPr>
                <w:rFonts w:cstheme="minorHAnsi"/>
                <w:bCs/>
                <w:color w:val="000000" w:themeColor="text1"/>
                <w:sz w:val="18"/>
                <w:szCs w:val="18"/>
              </w:rPr>
              <w:t>Native fish habitat and spawning</w:t>
            </w:r>
          </w:p>
          <w:p w14:paraId="59DB6D4D" w14:textId="77777777" w:rsidR="00AA0841" w:rsidRPr="006C51E4" w:rsidRDefault="00AA0841" w:rsidP="00AA0841">
            <w:pPr>
              <w:rPr>
                <w:rFonts w:cstheme="minorHAnsi"/>
                <w:bCs/>
                <w:color w:val="000000" w:themeColor="text1"/>
                <w:sz w:val="18"/>
                <w:szCs w:val="18"/>
              </w:rPr>
            </w:pPr>
            <w:r w:rsidRPr="006C51E4">
              <w:rPr>
                <w:rFonts w:cstheme="minorHAnsi"/>
                <w:bCs/>
                <w:color w:val="000000" w:themeColor="text1"/>
                <w:sz w:val="18"/>
                <w:szCs w:val="18"/>
              </w:rPr>
              <w:t>Instream aquatic ecosystems</w:t>
            </w:r>
          </w:p>
          <w:p w14:paraId="51FD18C3" w14:textId="77777777" w:rsidR="00AA0841" w:rsidRPr="006C51E4" w:rsidRDefault="00AA0841" w:rsidP="00AA0841">
            <w:pPr>
              <w:rPr>
                <w:sz w:val="18"/>
                <w:szCs w:val="18"/>
              </w:rPr>
            </w:pPr>
            <w:r w:rsidRPr="006C51E4">
              <w:rPr>
                <w:rFonts w:cstheme="minorHAnsi"/>
                <w:bCs/>
                <w:color w:val="000000" w:themeColor="text1"/>
                <w:sz w:val="18"/>
                <w:szCs w:val="18"/>
              </w:rPr>
              <w:t>Riparian vegetation</w:t>
            </w:r>
          </w:p>
        </w:tc>
        <w:tc>
          <w:tcPr>
            <w:tcW w:w="1985" w:type="dxa"/>
            <w:tcBorders>
              <w:top w:val="nil"/>
              <w:left w:val="single" w:sz="4" w:space="0" w:color="auto"/>
              <w:bottom w:val="single" w:sz="4" w:space="0" w:color="auto"/>
              <w:right w:val="single" w:sz="4" w:space="0" w:color="auto"/>
            </w:tcBorders>
            <w:shd w:val="clear" w:color="auto" w:fill="auto"/>
            <w:vAlign w:val="center"/>
          </w:tcPr>
          <w:p w14:paraId="75ABCFFF"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Drought refuge habitat</w:t>
            </w:r>
          </w:p>
          <w:p w14:paraId="5B575DB3"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Water quality</w:t>
            </w:r>
          </w:p>
          <w:p w14:paraId="41B283CE"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Fish maintenance and survival (all groups)</w:t>
            </w:r>
          </w:p>
        </w:tc>
        <w:tc>
          <w:tcPr>
            <w:tcW w:w="3969" w:type="dxa"/>
            <w:tcBorders>
              <w:top w:val="single" w:sz="4" w:space="0" w:color="auto"/>
              <w:left w:val="nil"/>
              <w:bottom w:val="single" w:sz="4" w:space="0" w:color="auto"/>
              <w:right w:val="single" w:sz="4" w:space="0" w:color="auto"/>
            </w:tcBorders>
            <w:shd w:val="clear" w:color="auto" w:fill="auto"/>
            <w:vAlign w:val="center"/>
          </w:tcPr>
          <w:p w14:paraId="78773F43" w14:textId="77777777" w:rsidR="00AA0841" w:rsidRPr="006C51E4" w:rsidRDefault="00AA0841" w:rsidP="00AA0841">
            <w:pPr>
              <w:rPr>
                <w:rFonts w:cstheme="minorHAnsi"/>
                <w:color w:val="auto"/>
                <w:sz w:val="18"/>
                <w:szCs w:val="18"/>
                <w:u w:val="single"/>
              </w:rPr>
            </w:pPr>
            <w:r w:rsidRPr="006C51E4">
              <w:rPr>
                <w:rFonts w:cstheme="minorHAnsi"/>
                <w:color w:val="auto"/>
                <w:sz w:val="18"/>
                <w:szCs w:val="18"/>
                <w:u w:val="single"/>
              </w:rPr>
              <w:t>Very low flows:</w:t>
            </w:r>
          </w:p>
          <w:p w14:paraId="11C2EDD8" w14:textId="77777777" w:rsidR="00AA0841" w:rsidRPr="006C51E4" w:rsidRDefault="00AA0841" w:rsidP="005D79EF">
            <w:pPr>
              <w:pStyle w:val="ListParagraph"/>
              <w:numPr>
                <w:ilvl w:val="0"/>
                <w:numId w:val="40"/>
              </w:numPr>
              <w:ind w:left="319" w:hanging="284"/>
              <w:rPr>
                <w:rFonts w:cstheme="minorHAnsi"/>
                <w:color w:val="auto"/>
                <w:sz w:val="18"/>
                <w:szCs w:val="18"/>
              </w:rPr>
            </w:pPr>
            <w:r w:rsidRPr="006C51E4">
              <w:rPr>
                <w:rFonts w:cstheme="minorHAnsi"/>
                <w:color w:val="auto"/>
                <w:sz w:val="18"/>
                <w:szCs w:val="18"/>
              </w:rPr>
              <w:t>1–100 ML/</w:t>
            </w:r>
            <w:r w:rsidRPr="0063367B">
              <w:rPr>
                <w:rFonts w:cstheme="minorHAnsi"/>
                <w:color w:val="000000" w:themeColor="text1"/>
                <w:sz w:val="18"/>
                <w:szCs w:val="18"/>
              </w:rPr>
              <w:t>day</w:t>
            </w:r>
            <w:r w:rsidRPr="006C51E4">
              <w:rPr>
                <w:rFonts w:cstheme="minorHAnsi"/>
                <w:color w:val="auto"/>
                <w:sz w:val="18"/>
                <w:szCs w:val="18"/>
              </w:rPr>
              <w:t xml:space="preserve"> d/s Chaffey Dam, and at Piallamore and Carrol Gap, for a minimum 365 days</w:t>
            </w:r>
          </w:p>
          <w:p w14:paraId="7E2B3EB9" w14:textId="77777777" w:rsidR="00AA0841" w:rsidRPr="006C51E4" w:rsidRDefault="00AA0841" w:rsidP="00AA0841">
            <w:pPr>
              <w:rPr>
                <w:rFonts w:cstheme="minorHAnsi"/>
                <w:color w:val="auto"/>
                <w:sz w:val="18"/>
                <w:szCs w:val="18"/>
              </w:rPr>
            </w:pPr>
            <w:r w:rsidRPr="006C51E4">
              <w:rPr>
                <w:rFonts w:cstheme="minorHAnsi"/>
                <w:color w:val="auto"/>
                <w:sz w:val="18"/>
                <w:szCs w:val="18"/>
              </w:rPr>
              <w:t>Very low flows may occur at any time.</w:t>
            </w:r>
          </w:p>
        </w:tc>
        <w:tc>
          <w:tcPr>
            <w:tcW w:w="1984" w:type="dxa"/>
            <w:tcBorders>
              <w:top w:val="nil"/>
              <w:left w:val="nil"/>
              <w:bottom w:val="single" w:sz="4" w:space="0" w:color="auto"/>
              <w:right w:val="single" w:sz="4" w:space="0" w:color="auto"/>
            </w:tcBorders>
            <w:shd w:val="clear" w:color="auto" w:fill="auto"/>
            <w:vAlign w:val="center"/>
          </w:tcPr>
          <w:p w14:paraId="5C123571"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Annually</w:t>
            </w:r>
          </w:p>
        </w:tc>
        <w:tc>
          <w:tcPr>
            <w:tcW w:w="4961" w:type="dxa"/>
            <w:tcBorders>
              <w:top w:val="single" w:sz="4" w:space="0" w:color="auto"/>
              <w:left w:val="nil"/>
              <w:bottom w:val="single" w:sz="4" w:space="0" w:color="auto"/>
              <w:right w:val="single" w:sz="4" w:space="0" w:color="auto"/>
            </w:tcBorders>
            <w:shd w:val="clear" w:color="auto" w:fill="auto"/>
            <w:vAlign w:val="center"/>
          </w:tcPr>
          <w:p w14:paraId="4199222B" w14:textId="77777777" w:rsidR="00AA0841" w:rsidRPr="006C51E4" w:rsidRDefault="00AA0841" w:rsidP="00AA0841">
            <w:pPr>
              <w:rPr>
                <w:rFonts w:cstheme="minorHAnsi"/>
                <w:color w:val="auto"/>
                <w:sz w:val="18"/>
                <w:szCs w:val="18"/>
              </w:rPr>
            </w:pPr>
            <w:r w:rsidRPr="006C51E4">
              <w:rPr>
                <w:rFonts w:cstheme="minorHAnsi"/>
                <w:color w:val="auto"/>
                <w:sz w:val="18"/>
                <w:szCs w:val="18"/>
              </w:rPr>
              <w:t>Very low flows have been met in the Peel River downstream of Chaffey Dam to Carrol Gap in every year between 2012–13 and 2018–19. However, these flows were only partially met at Piallamore and Carrol Gap in 2019–20, with flows being &lt;1 ML/day for part of the year.</w:t>
            </w:r>
          </w:p>
          <w:p w14:paraId="2AC0979A" w14:textId="77777777" w:rsidR="00AA0841" w:rsidRPr="006C51E4" w:rsidRDefault="00AA0841" w:rsidP="00AA0841">
            <w:pPr>
              <w:rPr>
                <w:rFonts w:cstheme="minorHAnsi"/>
                <w:color w:val="auto"/>
                <w:sz w:val="18"/>
                <w:szCs w:val="18"/>
              </w:rPr>
            </w:pPr>
            <w:r w:rsidRPr="006C51E4">
              <w:rPr>
                <w:rFonts w:cstheme="minorHAnsi"/>
                <w:color w:val="auto"/>
                <w:sz w:val="18"/>
                <w:szCs w:val="18"/>
              </w:rPr>
              <w:t>Because very low flows are required annually and were not fully met at all sites for all of 2019–20, the demand for water in 2020–21 has been assessed as high to critical.</w:t>
            </w:r>
          </w:p>
        </w:tc>
        <w:tc>
          <w:tcPr>
            <w:tcW w:w="1843" w:type="dxa"/>
            <w:tcBorders>
              <w:top w:val="single" w:sz="4" w:space="0" w:color="auto"/>
              <w:left w:val="nil"/>
              <w:bottom w:val="single" w:sz="4" w:space="0" w:color="auto"/>
              <w:right w:val="single" w:sz="4" w:space="0" w:color="auto"/>
            </w:tcBorders>
            <w:shd w:val="clear" w:color="auto" w:fill="FF0000"/>
            <w:vAlign w:val="center"/>
          </w:tcPr>
          <w:p w14:paraId="3984A977"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High to Critical</w:t>
            </w:r>
          </w:p>
        </w:tc>
        <w:tc>
          <w:tcPr>
            <w:tcW w:w="3118" w:type="dxa"/>
            <w:tcBorders>
              <w:top w:val="single" w:sz="4" w:space="0" w:color="auto"/>
              <w:left w:val="nil"/>
              <w:bottom w:val="single" w:sz="4" w:space="0" w:color="auto"/>
              <w:right w:val="single" w:sz="4" w:space="0" w:color="auto"/>
            </w:tcBorders>
            <w:shd w:val="clear" w:color="auto" w:fill="365F91" w:themeFill="accent1" w:themeFillShade="BF"/>
            <w:vAlign w:val="center"/>
          </w:tcPr>
          <w:p w14:paraId="31660EC0"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High priority for CEW under very low and low water resource scenarios, subject to water availability.</w:t>
            </w:r>
          </w:p>
          <w:p w14:paraId="3350B165" w14:textId="77777777" w:rsidR="00AA0841" w:rsidRPr="0043594E" w:rsidRDefault="00AA0841" w:rsidP="00AA0841">
            <w:pPr>
              <w:jc w:val="center"/>
              <w:rPr>
                <w:rFonts w:cstheme="minorHAnsi"/>
                <w:color w:val="auto"/>
                <w:sz w:val="18"/>
                <w:szCs w:val="18"/>
              </w:rPr>
            </w:pPr>
            <w:r w:rsidRPr="0043594E">
              <w:rPr>
                <w:color w:val="auto"/>
                <w:spacing w:val="-1"/>
                <w:sz w:val="18"/>
                <w:szCs w:val="18"/>
              </w:rPr>
              <w:t xml:space="preserve">Expected to be met </w:t>
            </w:r>
            <w:r w:rsidRPr="0043594E">
              <w:rPr>
                <w:rFonts w:cstheme="minorHAnsi"/>
                <w:color w:val="auto"/>
                <w:sz w:val="18"/>
                <w:szCs w:val="18"/>
              </w:rPr>
              <w:t>by other water under moderate to very high scenarios.</w:t>
            </w:r>
          </w:p>
        </w:tc>
        <w:tc>
          <w:tcPr>
            <w:tcW w:w="2268" w:type="dxa"/>
            <w:tcBorders>
              <w:top w:val="single" w:sz="4" w:space="0" w:color="auto"/>
              <w:left w:val="nil"/>
              <w:bottom w:val="single" w:sz="4" w:space="0" w:color="auto"/>
              <w:right w:val="single" w:sz="12" w:space="0" w:color="auto"/>
            </w:tcBorders>
            <w:shd w:val="clear" w:color="auto" w:fill="FF0000"/>
            <w:vAlign w:val="center"/>
          </w:tcPr>
          <w:p w14:paraId="39B23AC5"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High</w:t>
            </w:r>
          </w:p>
        </w:tc>
      </w:tr>
      <w:tr w:rsidR="00AA0841" w:rsidRPr="0043594E" w14:paraId="79CC41AE" w14:textId="77777777" w:rsidTr="00AA0841">
        <w:trPr>
          <w:trHeight w:val="792"/>
        </w:trPr>
        <w:tc>
          <w:tcPr>
            <w:tcW w:w="1843" w:type="dxa"/>
            <w:vMerge/>
            <w:tcBorders>
              <w:left w:val="single" w:sz="12" w:space="0" w:color="auto"/>
              <w:right w:val="single" w:sz="4" w:space="0" w:color="auto"/>
            </w:tcBorders>
          </w:tcPr>
          <w:p w14:paraId="6B623431" w14:textId="77777777" w:rsidR="00AA0841" w:rsidRPr="006C51E4" w:rsidRDefault="00AA0841" w:rsidP="00AA0841">
            <w:pPr>
              <w:rPr>
                <w:sz w:val="18"/>
                <w:szCs w:val="18"/>
              </w:rPr>
            </w:pPr>
          </w:p>
        </w:tc>
        <w:tc>
          <w:tcPr>
            <w:tcW w:w="1985" w:type="dxa"/>
            <w:tcBorders>
              <w:top w:val="nil"/>
              <w:left w:val="single" w:sz="4" w:space="0" w:color="auto"/>
              <w:bottom w:val="single" w:sz="4" w:space="0" w:color="auto"/>
              <w:right w:val="single" w:sz="4" w:space="0" w:color="auto"/>
            </w:tcBorders>
            <w:shd w:val="clear" w:color="auto" w:fill="auto"/>
            <w:vAlign w:val="center"/>
          </w:tcPr>
          <w:p w14:paraId="31793350"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Water quality</w:t>
            </w:r>
          </w:p>
          <w:p w14:paraId="11B2531D"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Habitat maintenance</w:t>
            </w:r>
          </w:p>
          <w:p w14:paraId="012B4B38"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Connectivity</w:t>
            </w:r>
          </w:p>
          <w:p w14:paraId="74F141FD"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Fish maintenance and survival (all groups)</w:t>
            </w:r>
          </w:p>
          <w:p w14:paraId="667D6BEA"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Fish recruitment (generalists + in-channel specialists)</w:t>
            </w:r>
          </w:p>
        </w:tc>
        <w:tc>
          <w:tcPr>
            <w:tcW w:w="3969" w:type="dxa"/>
            <w:tcBorders>
              <w:top w:val="single" w:sz="4" w:space="0" w:color="auto"/>
              <w:left w:val="nil"/>
              <w:bottom w:val="single" w:sz="4" w:space="0" w:color="auto"/>
              <w:right w:val="single" w:sz="4" w:space="0" w:color="auto"/>
            </w:tcBorders>
            <w:shd w:val="clear" w:color="auto" w:fill="auto"/>
            <w:vAlign w:val="center"/>
          </w:tcPr>
          <w:p w14:paraId="74A1CFB0" w14:textId="77777777" w:rsidR="00AA0841" w:rsidRPr="006C51E4" w:rsidRDefault="00AA0841" w:rsidP="00AA0841">
            <w:pPr>
              <w:rPr>
                <w:rFonts w:cstheme="minorHAnsi"/>
                <w:color w:val="auto"/>
                <w:sz w:val="18"/>
                <w:szCs w:val="18"/>
                <w:u w:val="single"/>
              </w:rPr>
            </w:pPr>
            <w:r w:rsidRPr="006C51E4">
              <w:rPr>
                <w:rFonts w:cstheme="minorHAnsi"/>
                <w:color w:val="auto"/>
                <w:sz w:val="18"/>
                <w:szCs w:val="18"/>
                <w:u w:val="single"/>
              </w:rPr>
              <w:t>Baseflows:</w:t>
            </w:r>
          </w:p>
          <w:p w14:paraId="7EA9916A" w14:textId="77777777" w:rsidR="00AA0841" w:rsidRPr="0063367B"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auto"/>
                <w:sz w:val="18"/>
                <w:szCs w:val="18"/>
              </w:rPr>
              <w:t>100–250 ML</w:t>
            </w:r>
            <w:r w:rsidRPr="0063367B">
              <w:rPr>
                <w:rFonts w:cstheme="minorHAnsi"/>
                <w:color w:val="000000" w:themeColor="text1"/>
                <w:sz w:val="18"/>
                <w:szCs w:val="18"/>
              </w:rPr>
              <w:t>/day d/s Chaffey Dam (min. 60 days for survival; 29 days for recruitment)</w:t>
            </w:r>
          </w:p>
          <w:p w14:paraId="4A3C80B9" w14:textId="77777777" w:rsidR="00AA0841" w:rsidRPr="006C51E4" w:rsidRDefault="00AA0841" w:rsidP="005D79EF">
            <w:pPr>
              <w:pStyle w:val="ListParagraph"/>
              <w:numPr>
                <w:ilvl w:val="0"/>
                <w:numId w:val="40"/>
              </w:numPr>
              <w:ind w:left="319" w:hanging="284"/>
              <w:rPr>
                <w:rFonts w:cstheme="minorHAnsi"/>
                <w:color w:val="auto"/>
                <w:sz w:val="18"/>
                <w:szCs w:val="18"/>
                <w:u w:val="single"/>
              </w:rPr>
            </w:pPr>
            <w:r w:rsidRPr="0063367B">
              <w:rPr>
                <w:rFonts w:cstheme="minorHAnsi"/>
                <w:color w:val="000000" w:themeColor="text1"/>
                <w:sz w:val="18"/>
                <w:szCs w:val="18"/>
              </w:rPr>
              <w:t>100–250 ML/day at Piallamore (min. 130 days for survival; 78 days for recruitment</w:t>
            </w:r>
            <w:r w:rsidRPr="006C51E4">
              <w:rPr>
                <w:rFonts w:cstheme="minorHAnsi"/>
                <w:color w:val="auto"/>
                <w:sz w:val="18"/>
                <w:szCs w:val="18"/>
              </w:rPr>
              <w:t>)</w:t>
            </w:r>
          </w:p>
          <w:p w14:paraId="0E2324BC" w14:textId="77777777" w:rsidR="00AA0841" w:rsidRPr="006C51E4" w:rsidRDefault="00AA0841" w:rsidP="005D79EF">
            <w:pPr>
              <w:pStyle w:val="ListParagraph"/>
              <w:numPr>
                <w:ilvl w:val="0"/>
                <w:numId w:val="40"/>
              </w:numPr>
              <w:ind w:left="319" w:hanging="284"/>
              <w:rPr>
                <w:rFonts w:cstheme="minorHAnsi"/>
                <w:color w:val="auto"/>
                <w:sz w:val="18"/>
                <w:szCs w:val="18"/>
                <w:u w:val="single"/>
              </w:rPr>
            </w:pPr>
            <w:r w:rsidRPr="006C51E4">
              <w:rPr>
                <w:rFonts w:cstheme="minorHAnsi"/>
                <w:color w:val="auto"/>
                <w:sz w:val="18"/>
                <w:szCs w:val="18"/>
              </w:rPr>
              <w:t>100–300 ML/day at Carrol Gap (min. 241 days for survival; 152 days for recruitment)</w:t>
            </w:r>
          </w:p>
        </w:tc>
        <w:tc>
          <w:tcPr>
            <w:tcW w:w="1984" w:type="dxa"/>
            <w:tcBorders>
              <w:top w:val="nil"/>
              <w:left w:val="nil"/>
              <w:bottom w:val="single" w:sz="4" w:space="0" w:color="auto"/>
              <w:right w:val="single" w:sz="4" w:space="0" w:color="auto"/>
            </w:tcBorders>
            <w:shd w:val="clear" w:color="auto" w:fill="auto"/>
            <w:vAlign w:val="center"/>
          </w:tcPr>
          <w:p w14:paraId="7544E682"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1 in 1–2 years</w:t>
            </w:r>
          </w:p>
          <w:p w14:paraId="6F4BFB7D"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(Max interval 2 years for fish recruitment)</w:t>
            </w:r>
          </w:p>
          <w:p w14:paraId="50FBEAC3" w14:textId="77777777" w:rsidR="00AA0841" w:rsidRPr="006C51E4" w:rsidRDefault="00AA0841" w:rsidP="00AA0841">
            <w:pPr>
              <w:jc w:val="center"/>
              <w:rPr>
                <w:rFonts w:cstheme="minorHAnsi"/>
                <w:color w:val="auto"/>
                <w:sz w:val="18"/>
                <w:szCs w:val="18"/>
              </w:rPr>
            </w:pPr>
          </w:p>
          <w:p w14:paraId="6B6A1A85"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(May occur at any time for native fish maintenance and survival, or Sept–Mar for native fish recruitment.)</w:t>
            </w:r>
          </w:p>
        </w:tc>
        <w:tc>
          <w:tcPr>
            <w:tcW w:w="4961" w:type="dxa"/>
            <w:tcBorders>
              <w:top w:val="single" w:sz="4" w:space="0" w:color="auto"/>
              <w:left w:val="nil"/>
              <w:bottom w:val="single" w:sz="4" w:space="0" w:color="auto"/>
              <w:right w:val="single" w:sz="4" w:space="0" w:color="auto"/>
            </w:tcBorders>
            <w:shd w:val="clear" w:color="auto" w:fill="auto"/>
            <w:vAlign w:val="center"/>
          </w:tcPr>
          <w:p w14:paraId="60885ECB" w14:textId="77777777" w:rsidR="00AA0841" w:rsidRPr="006C51E4" w:rsidRDefault="00AA0841" w:rsidP="00AA0841">
            <w:pPr>
              <w:rPr>
                <w:rFonts w:cstheme="minorHAnsi"/>
                <w:color w:val="auto"/>
                <w:sz w:val="18"/>
                <w:szCs w:val="18"/>
              </w:rPr>
            </w:pPr>
            <w:r w:rsidRPr="006C51E4">
              <w:rPr>
                <w:rFonts w:cstheme="minorHAnsi"/>
                <w:color w:val="auto"/>
                <w:sz w:val="18"/>
                <w:szCs w:val="18"/>
              </w:rPr>
              <w:t>Baseflows were not met in the Peel River in 2019–20. These flows were last met downstream of Chaffey and at Piallamore in 2018–19 but have not been sufficiently met for at least the past eight years at Carrol Gap (partially met in 2012–13 and 2016–17).</w:t>
            </w:r>
          </w:p>
          <w:p w14:paraId="6AA982F6" w14:textId="77777777" w:rsidR="00AA0841" w:rsidRPr="006C51E4" w:rsidRDefault="00AA0841" w:rsidP="00AA0841">
            <w:pPr>
              <w:rPr>
                <w:rFonts w:cstheme="minorHAnsi"/>
                <w:color w:val="auto"/>
                <w:sz w:val="18"/>
                <w:szCs w:val="18"/>
              </w:rPr>
            </w:pPr>
            <w:r w:rsidRPr="006C51E4">
              <w:rPr>
                <w:rFonts w:cstheme="minorHAnsi"/>
                <w:color w:val="auto"/>
                <w:sz w:val="18"/>
                <w:szCs w:val="18"/>
              </w:rPr>
              <w:t>These flows are required once in every 1–2 years, with a maximum interval of 2 years for native fish recruitment. Therefore, the demand for water in 2020–21 has been assessed as critical.</w:t>
            </w:r>
          </w:p>
        </w:tc>
        <w:tc>
          <w:tcPr>
            <w:tcW w:w="1843" w:type="dxa"/>
            <w:tcBorders>
              <w:top w:val="single" w:sz="4" w:space="0" w:color="auto"/>
              <w:left w:val="nil"/>
              <w:bottom w:val="single" w:sz="4" w:space="0" w:color="auto"/>
              <w:right w:val="single" w:sz="4" w:space="0" w:color="auto"/>
            </w:tcBorders>
            <w:shd w:val="clear" w:color="auto" w:fill="C00000"/>
            <w:vAlign w:val="center"/>
          </w:tcPr>
          <w:p w14:paraId="041202D1"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Critical</w:t>
            </w:r>
          </w:p>
        </w:tc>
        <w:tc>
          <w:tcPr>
            <w:tcW w:w="3118" w:type="dxa"/>
            <w:tcBorders>
              <w:top w:val="single" w:sz="4" w:space="0" w:color="auto"/>
              <w:left w:val="nil"/>
              <w:bottom w:val="single" w:sz="4" w:space="0" w:color="auto"/>
              <w:right w:val="single" w:sz="4" w:space="0" w:color="auto"/>
            </w:tcBorders>
            <w:shd w:val="clear" w:color="auto" w:fill="365F91" w:themeFill="accent1" w:themeFillShade="BF"/>
            <w:vAlign w:val="center"/>
          </w:tcPr>
          <w:p w14:paraId="4202D189"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High priority for CEW (particularly to Piallamore and Carrol Gap) under very low to moderate water resource scenarios, subject to water availability.</w:t>
            </w:r>
          </w:p>
          <w:p w14:paraId="012D44CC"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May be met by other water under high to very high scenarios.</w:t>
            </w:r>
          </w:p>
        </w:tc>
        <w:tc>
          <w:tcPr>
            <w:tcW w:w="2268" w:type="dxa"/>
            <w:tcBorders>
              <w:top w:val="single" w:sz="4" w:space="0" w:color="auto"/>
              <w:left w:val="nil"/>
              <w:bottom w:val="single" w:sz="4" w:space="0" w:color="auto"/>
              <w:right w:val="single" w:sz="12" w:space="0" w:color="auto"/>
            </w:tcBorders>
            <w:shd w:val="clear" w:color="auto" w:fill="FF0000"/>
            <w:vAlign w:val="center"/>
          </w:tcPr>
          <w:p w14:paraId="40B4F949"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High</w:t>
            </w:r>
          </w:p>
        </w:tc>
      </w:tr>
      <w:tr w:rsidR="00AA0841" w:rsidRPr="0043594E" w14:paraId="4EE82F6D" w14:textId="77777777" w:rsidTr="00AA0841">
        <w:trPr>
          <w:trHeight w:val="1155"/>
        </w:trPr>
        <w:tc>
          <w:tcPr>
            <w:tcW w:w="1843" w:type="dxa"/>
            <w:vMerge/>
            <w:tcBorders>
              <w:left w:val="single" w:sz="12" w:space="0" w:color="auto"/>
              <w:right w:val="single" w:sz="4" w:space="0" w:color="auto"/>
            </w:tcBorders>
          </w:tcPr>
          <w:p w14:paraId="2C00A58D" w14:textId="77777777" w:rsidR="00AA0841" w:rsidRPr="006C51E4" w:rsidRDefault="00AA0841" w:rsidP="00AA0841">
            <w:pPr>
              <w:rPr>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2FDBD715"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Longitudinal connectivity</w:t>
            </w:r>
          </w:p>
          <w:p w14:paraId="1FD717B3"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Low level bank and bar wetting</w:t>
            </w:r>
          </w:p>
          <w:p w14:paraId="19B4E40E"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Pool maintenance</w:t>
            </w:r>
          </w:p>
          <w:p w14:paraId="4B9D9F23"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Fish movement, productivity and condition</w:t>
            </w:r>
          </w:p>
          <w:p w14:paraId="78EEE870"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Fish spawning (generalists + in-channel specialists)</w:t>
            </w:r>
          </w:p>
        </w:tc>
        <w:tc>
          <w:tcPr>
            <w:tcW w:w="3969" w:type="dxa"/>
            <w:tcBorders>
              <w:top w:val="single" w:sz="4" w:space="0" w:color="auto"/>
              <w:left w:val="nil"/>
              <w:bottom w:val="single" w:sz="4" w:space="0" w:color="auto"/>
              <w:right w:val="single" w:sz="4" w:space="0" w:color="auto"/>
            </w:tcBorders>
            <w:shd w:val="clear" w:color="auto" w:fill="auto"/>
            <w:vAlign w:val="center"/>
          </w:tcPr>
          <w:p w14:paraId="00581205" w14:textId="77777777" w:rsidR="00AA0841" w:rsidRPr="006C51E4" w:rsidRDefault="00AA0841" w:rsidP="00AA0841">
            <w:pPr>
              <w:rPr>
                <w:rFonts w:cstheme="minorHAnsi"/>
                <w:color w:val="auto"/>
                <w:sz w:val="18"/>
                <w:szCs w:val="18"/>
              </w:rPr>
            </w:pPr>
            <w:r w:rsidRPr="006C51E4">
              <w:rPr>
                <w:rFonts w:cstheme="minorHAnsi"/>
                <w:color w:val="auto"/>
                <w:sz w:val="18"/>
                <w:szCs w:val="18"/>
                <w:u w:val="single"/>
              </w:rPr>
              <w:t>Small freshes:</w:t>
            </w:r>
          </w:p>
          <w:p w14:paraId="4DB7EAB6" w14:textId="77777777" w:rsidR="00AA0841" w:rsidRPr="0063367B"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auto"/>
                <w:sz w:val="18"/>
                <w:szCs w:val="18"/>
              </w:rPr>
              <w:t xml:space="preserve">250–900 ML/day d/s </w:t>
            </w:r>
            <w:r w:rsidRPr="0063367B">
              <w:rPr>
                <w:rFonts w:cstheme="minorHAnsi"/>
                <w:color w:val="000000" w:themeColor="text1"/>
                <w:sz w:val="18"/>
                <w:szCs w:val="18"/>
              </w:rPr>
              <w:t>Chaffey Dam</w:t>
            </w:r>
          </w:p>
          <w:p w14:paraId="23B417FF" w14:textId="77777777" w:rsidR="00AA0841" w:rsidRPr="0063367B" w:rsidRDefault="00AA0841" w:rsidP="005D79EF">
            <w:pPr>
              <w:pStyle w:val="ListParagraph"/>
              <w:numPr>
                <w:ilvl w:val="0"/>
                <w:numId w:val="40"/>
              </w:numPr>
              <w:ind w:left="319" w:hanging="284"/>
              <w:rPr>
                <w:rFonts w:cstheme="minorHAnsi"/>
                <w:color w:val="000000" w:themeColor="text1"/>
                <w:sz w:val="18"/>
                <w:szCs w:val="18"/>
              </w:rPr>
            </w:pPr>
            <w:r w:rsidRPr="0063367B">
              <w:rPr>
                <w:rFonts w:cstheme="minorHAnsi"/>
                <w:color w:val="000000" w:themeColor="text1"/>
                <w:sz w:val="18"/>
                <w:szCs w:val="18"/>
              </w:rPr>
              <w:t>250–1 350 ML/day at Piallamore</w:t>
            </w:r>
          </w:p>
          <w:p w14:paraId="4F094543" w14:textId="77777777" w:rsidR="00AA0841" w:rsidRPr="006C51E4" w:rsidRDefault="00AA0841" w:rsidP="005D79EF">
            <w:pPr>
              <w:pStyle w:val="ListParagraph"/>
              <w:numPr>
                <w:ilvl w:val="0"/>
                <w:numId w:val="40"/>
              </w:numPr>
              <w:ind w:left="319" w:hanging="284"/>
              <w:rPr>
                <w:rFonts w:cstheme="minorHAnsi"/>
                <w:color w:val="auto"/>
                <w:sz w:val="18"/>
                <w:szCs w:val="18"/>
              </w:rPr>
            </w:pPr>
            <w:r w:rsidRPr="0063367B">
              <w:rPr>
                <w:rFonts w:cstheme="minorHAnsi"/>
                <w:color w:val="000000" w:themeColor="text1"/>
                <w:sz w:val="18"/>
                <w:szCs w:val="18"/>
              </w:rPr>
              <w:t>300–3 900 ML/day at Carrol</w:t>
            </w:r>
            <w:r w:rsidRPr="006C51E4">
              <w:rPr>
                <w:rFonts w:cstheme="minorHAnsi"/>
                <w:color w:val="auto"/>
                <w:sz w:val="18"/>
                <w:szCs w:val="18"/>
              </w:rPr>
              <w:t xml:space="preserve"> Gap</w:t>
            </w:r>
          </w:p>
        </w:tc>
        <w:tc>
          <w:tcPr>
            <w:tcW w:w="1984" w:type="dxa"/>
            <w:tcBorders>
              <w:top w:val="single" w:sz="4" w:space="0" w:color="auto"/>
              <w:left w:val="nil"/>
              <w:bottom w:val="single" w:sz="4" w:space="0" w:color="auto"/>
              <w:right w:val="single" w:sz="4" w:space="0" w:color="000000"/>
            </w:tcBorders>
            <w:shd w:val="clear" w:color="auto" w:fill="auto"/>
            <w:vAlign w:val="center"/>
          </w:tcPr>
          <w:p w14:paraId="31B2FAF3"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Annually for fish dispersal and productivity/ condition (max interval 1 year);</w:t>
            </w:r>
          </w:p>
          <w:p w14:paraId="3A520D6D"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1 in 1–2 years for fish spawning (max interval 2 years)</w:t>
            </w:r>
          </w:p>
          <w:p w14:paraId="78D9DD92" w14:textId="77777777" w:rsidR="00AA0841" w:rsidRPr="006C51E4" w:rsidRDefault="00AA0841" w:rsidP="00AA0841">
            <w:pPr>
              <w:jc w:val="center"/>
              <w:rPr>
                <w:rFonts w:cstheme="minorHAnsi"/>
                <w:color w:val="auto"/>
                <w:sz w:val="18"/>
                <w:szCs w:val="18"/>
              </w:rPr>
            </w:pPr>
          </w:p>
          <w:p w14:paraId="5916151C"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(Ideally Oct–Apr for fish dispersal and condition/productivity (but can occur any time) for a minimum of 10 days.</w:t>
            </w:r>
          </w:p>
          <w:p w14:paraId="3F34C2BE"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Sept–Apr for fish spawning for a minimum of 14 days)</w:t>
            </w:r>
          </w:p>
        </w:tc>
        <w:tc>
          <w:tcPr>
            <w:tcW w:w="4961" w:type="dxa"/>
            <w:tcBorders>
              <w:top w:val="single" w:sz="4" w:space="0" w:color="auto"/>
              <w:left w:val="nil"/>
              <w:bottom w:val="single" w:sz="4" w:space="0" w:color="auto"/>
              <w:right w:val="single" w:sz="4" w:space="0" w:color="auto"/>
            </w:tcBorders>
            <w:shd w:val="clear" w:color="auto" w:fill="auto"/>
            <w:vAlign w:val="center"/>
          </w:tcPr>
          <w:p w14:paraId="661FB841" w14:textId="77777777" w:rsidR="00AA0841" w:rsidRPr="006C51E4" w:rsidRDefault="00AA0841" w:rsidP="00AA0841">
            <w:pPr>
              <w:rPr>
                <w:rFonts w:cstheme="minorHAnsi"/>
                <w:color w:val="auto"/>
                <w:sz w:val="18"/>
                <w:szCs w:val="18"/>
              </w:rPr>
            </w:pPr>
            <w:r w:rsidRPr="006C51E4">
              <w:rPr>
                <w:rFonts w:cstheme="minorHAnsi"/>
                <w:color w:val="auto"/>
                <w:sz w:val="18"/>
                <w:szCs w:val="18"/>
              </w:rPr>
              <w:t>Small freshes were not met downstream of Chaffey and at Piallamore in 2019–20, however, a small fresh was achieved at Carrol Gap in February 2020. Before this, small freshes were last met at all three sites in 2016–17.</w:t>
            </w:r>
          </w:p>
          <w:p w14:paraId="69EC8F85" w14:textId="77777777" w:rsidR="00AA0841" w:rsidRPr="006C51E4" w:rsidRDefault="00AA0841" w:rsidP="00AA0841">
            <w:pPr>
              <w:rPr>
                <w:rFonts w:cstheme="minorHAnsi"/>
                <w:color w:val="auto"/>
                <w:sz w:val="18"/>
                <w:szCs w:val="18"/>
              </w:rPr>
            </w:pPr>
            <w:r w:rsidRPr="006C51E4">
              <w:rPr>
                <w:rFonts w:cstheme="minorHAnsi"/>
                <w:color w:val="auto"/>
                <w:sz w:val="18"/>
                <w:szCs w:val="18"/>
              </w:rPr>
              <w:t>These flows are required annually for native fish dispersal and condition, and the maximum interval has been exceeded downstream of Chaffey and Piallamore. Therefore, this demand for water in 2019–20 has been assessed as high to critical (high at Carrol Gap, and critical downstream of Chaffey and at Piallamore).</w:t>
            </w:r>
          </w:p>
        </w:tc>
        <w:tc>
          <w:tcPr>
            <w:tcW w:w="1843" w:type="dxa"/>
            <w:tcBorders>
              <w:top w:val="single" w:sz="4" w:space="0" w:color="auto"/>
              <w:left w:val="nil"/>
              <w:bottom w:val="single" w:sz="4" w:space="0" w:color="auto"/>
              <w:right w:val="single" w:sz="4" w:space="0" w:color="auto"/>
            </w:tcBorders>
            <w:shd w:val="clear" w:color="auto" w:fill="FF0000"/>
            <w:vAlign w:val="center"/>
          </w:tcPr>
          <w:p w14:paraId="334ACF76"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High to Critical</w:t>
            </w:r>
          </w:p>
        </w:tc>
        <w:tc>
          <w:tcPr>
            <w:tcW w:w="3118" w:type="dxa"/>
            <w:tcBorders>
              <w:top w:val="nil"/>
              <w:left w:val="nil"/>
              <w:bottom w:val="single" w:sz="4" w:space="0" w:color="auto"/>
              <w:right w:val="single" w:sz="4" w:space="0" w:color="auto"/>
            </w:tcBorders>
            <w:shd w:val="clear" w:color="auto" w:fill="365F91" w:themeFill="accent1" w:themeFillShade="BF"/>
            <w:vAlign w:val="center"/>
          </w:tcPr>
          <w:p w14:paraId="5805BC28"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High priority for CEW in conjunction with other water under low to high scenarios.</w:t>
            </w:r>
          </w:p>
          <w:p w14:paraId="6F101FA6"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Would be met by other water in very high scenario.</w:t>
            </w:r>
          </w:p>
        </w:tc>
        <w:tc>
          <w:tcPr>
            <w:tcW w:w="2268" w:type="dxa"/>
            <w:tcBorders>
              <w:top w:val="single" w:sz="4" w:space="0" w:color="auto"/>
              <w:left w:val="nil"/>
              <w:bottom w:val="single" w:sz="4" w:space="0" w:color="auto"/>
              <w:right w:val="single" w:sz="12" w:space="0" w:color="auto"/>
            </w:tcBorders>
            <w:shd w:val="clear" w:color="auto" w:fill="FF0000"/>
            <w:vAlign w:val="center"/>
          </w:tcPr>
          <w:p w14:paraId="589B0A54"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High</w:t>
            </w:r>
          </w:p>
        </w:tc>
      </w:tr>
      <w:tr w:rsidR="00AA0841" w:rsidRPr="0043594E" w14:paraId="4DB6AA1E" w14:textId="77777777" w:rsidTr="00AA0841">
        <w:trPr>
          <w:trHeight w:val="1155"/>
        </w:trPr>
        <w:tc>
          <w:tcPr>
            <w:tcW w:w="1843" w:type="dxa"/>
            <w:vMerge/>
            <w:tcBorders>
              <w:left w:val="single" w:sz="12" w:space="0" w:color="auto"/>
              <w:bottom w:val="single" w:sz="4" w:space="0" w:color="auto"/>
              <w:right w:val="single" w:sz="4" w:space="0" w:color="auto"/>
            </w:tcBorders>
          </w:tcPr>
          <w:p w14:paraId="3C704C8D" w14:textId="77777777" w:rsidR="00AA0841" w:rsidRPr="006C51E4" w:rsidRDefault="00AA0841" w:rsidP="00AA0841">
            <w:pPr>
              <w:rPr>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3B35A2E7"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Longitudinal connectivity</w:t>
            </w:r>
          </w:p>
          <w:p w14:paraId="13B73E0E"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Increase ecosystem function</w:t>
            </w:r>
          </w:p>
          <w:p w14:paraId="77D45328"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Bench and bank wetting</w:t>
            </w:r>
          </w:p>
          <w:p w14:paraId="27872EF4"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Access to habitat</w:t>
            </w:r>
          </w:p>
          <w:p w14:paraId="0820FF37"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Nutrient cycling</w:t>
            </w:r>
          </w:p>
          <w:p w14:paraId="74EB99C6"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Fish dispersal and productivity/condition (all groups)</w:t>
            </w:r>
          </w:p>
          <w:p w14:paraId="0D7734FF"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Fish spawning (flow specialists)</w:t>
            </w:r>
          </w:p>
        </w:tc>
        <w:tc>
          <w:tcPr>
            <w:tcW w:w="3969" w:type="dxa"/>
            <w:tcBorders>
              <w:top w:val="single" w:sz="4" w:space="0" w:color="auto"/>
              <w:left w:val="nil"/>
              <w:bottom w:val="single" w:sz="4" w:space="0" w:color="auto"/>
              <w:right w:val="single" w:sz="4" w:space="0" w:color="auto"/>
            </w:tcBorders>
            <w:shd w:val="clear" w:color="auto" w:fill="auto"/>
            <w:vAlign w:val="center"/>
          </w:tcPr>
          <w:p w14:paraId="3138DC0D" w14:textId="77777777" w:rsidR="00AA0841" w:rsidRPr="006C51E4" w:rsidRDefault="00AA0841" w:rsidP="00AA0841">
            <w:pPr>
              <w:rPr>
                <w:rFonts w:cstheme="minorHAnsi"/>
                <w:color w:val="auto"/>
                <w:sz w:val="18"/>
                <w:szCs w:val="18"/>
                <w:u w:val="single"/>
              </w:rPr>
            </w:pPr>
            <w:r w:rsidRPr="006C51E4">
              <w:rPr>
                <w:rFonts w:cstheme="minorHAnsi"/>
                <w:color w:val="auto"/>
                <w:sz w:val="18"/>
                <w:szCs w:val="18"/>
                <w:u w:val="single"/>
              </w:rPr>
              <w:t>Large freshes:</w:t>
            </w:r>
          </w:p>
          <w:p w14:paraId="6D5EA826" w14:textId="77777777" w:rsidR="00AA0841" w:rsidRPr="0063367B"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auto"/>
                <w:sz w:val="18"/>
                <w:szCs w:val="18"/>
              </w:rPr>
              <w:t>900–2 900 ML/</w:t>
            </w:r>
            <w:r w:rsidRPr="0063367B">
              <w:rPr>
                <w:rFonts w:cstheme="minorHAnsi"/>
                <w:color w:val="000000" w:themeColor="text1"/>
                <w:sz w:val="18"/>
                <w:szCs w:val="18"/>
              </w:rPr>
              <w:t>day d/s Chaffey Dam</w:t>
            </w:r>
          </w:p>
          <w:p w14:paraId="6365BA4E" w14:textId="77777777" w:rsidR="00AA0841" w:rsidRPr="0063367B" w:rsidRDefault="00AA0841" w:rsidP="005D79EF">
            <w:pPr>
              <w:pStyle w:val="ListParagraph"/>
              <w:numPr>
                <w:ilvl w:val="0"/>
                <w:numId w:val="40"/>
              </w:numPr>
              <w:ind w:left="319" w:hanging="284"/>
              <w:rPr>
                <w:rFonts w:cstheme="minorHAnsi"/>
                <w:color w:val="000000" w:themeColor="text1"/>
                <w:sz w:val="18"/>
                <w:szCs w:val="18"/>
              </w:rPr>
            </w:pPr>
            <w:r w:rsidRPr="0063367B">
              <w:rPr>
                <w:rFonts w:cstheme="minorHAnsi"/>
                <w:color w:val="000000" w:themeColor="text1"/>
                <w:sz w:val="18"/>
                <w:szCs w:val="18"/>
              </w:rPr>
              <w:t>1 350–5 150 ML/day at Piallamore</w:t>
            </w:r>
          </w:p>
          <w:p w14:paraId="50A92FF5" w14:textId="77777777" w:rsidR="00AA0841" w:rsidRPr="006C51E4" w:rsidRDefault="00AA0841" w:rsidP="005D79EF">
            <w:pPr>
              <w:pStyle w:val="ListParagraph"/>
              <w:numPr>
                <w:ilvl w:val="0"/>
                <w:numId w:val="40"/>
              </w:numPr>
              <w:ind w:left="319" w:hanging="284"/>
              <w:rPr>
                <w:rFonts w:cstheme="minorHAnsi"/>
                <w:color w:val="auto"/>
                <w:sz w:val="18"/>
                <w:szCs w:val="18"/>
              </w:rPr>
            </w:pPr>
            <w:r w:rsidRPr="0063367B">
              <w:rPr>
                <w:rFonts w:cstheme="minorHAnsi"/>
                <w:color w:val="000000" w:themeColor="text1"/>
                <w:sz w:val="18"/>
                <w:szCs w:val="18"/>
              </w:rPr>
              <w:t>3 900–13 500 ML/day at</w:t>
            </w:r>
            <w:r w:rsidRPr="006C51E4">
              <w:rPr>
                <w:rFonts w:cstheme="minorHAnsi"/>
                <w:color w:val="auto"/>
                <w:sz w:val="18"/>
                <w:szCs w:val="18"/>
              </w:rPr>
              <w:t xml:space="preserve"> Carrol Gap</w:t>
            </w:r>
          </w:p>
        </w:tc>
        <w:tc>
          <w:tcPr>
            <w:tcW w:w="1984" w:type="dxa"/>
            <w:tcBorders>
              <w:top w:val="single" w:sz="4" w:space="0" w:color="auto"/>
              <w:left w:val="nil"/>
              <w:bottom w:val="single" w:sz="4" w:space="0" w:color="auto"/>
              <w:right w:val="single" w:sz="4" w:space="0" w:color="000000"/>
            </w:tcBorders>
            <w:shd w:val="clear" w:color="auto" w:fill="auto"/>
            <w:vAlign w:val="center"/>
          </w:tcPr>
          <w:p w14:paraId="05A199E2"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1 in 1–2 years for fish dispersal and productivity/condition (max interval 2 years);</w:t>
            </w:r>
          </w:p>
          <w:p w14:paraId="23991858"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1 in 2–3 years for fish spawning (max interval 4 years)</w:t>
            </w:r>
          </w:p>
          <w:p w14:paraId="4347A602" w14:textId="77777777" w:rsidR="00AA0841" w:rsidRPr="006C51E4" w:rsidRDefault="00AA0841" w:rsidP="00AA0841">
            <w:pPr>
              <w:jc w:val="center"/>
              <w:rPr>
                <w:rFonts w:cstheme="minorHAnsi"/>
                <w:color w:val="auto"/>
                <w:sz w:val="18"/>
                <w:szCs w:val="18"/>
              </w:rPr>
            </w:pPr>
          </w:p>
          <w:p w14:paraId="2EB883DA"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(Ideally July–Sept for fish dispersal and productivity/ condition (but can occur any time) for a minimum of 5 days.</w:t>
            </w:r>
          </w:p>
        </w:tc>
        <w:tc>
          <w:tcPr>
            <w:tcW w:w="4961" w:type="dxa"/>
            <w:tcBorders>
              <w:top w:val="single" w:sz="4" w:space="0" w:color="auto"/>
              <w:left w:val="nil"/>
              <w:bottom w:val="single" w:sz="4" w:space="0" w:color="auto"/>
              <w:right w:val="single" w:sz="4" w:space="0" w:color="auto"/>
            </w:tcBorders>
            <w:shd w:val="clear" w:color="auto" w:fill="auto"/>
            <w:vAlign w:val="center"/>
          </w:tcPr>
          <w:p w14:paraId="77A715F6" w14:textId="77777777" w:rsidR="00AA0841" w:rsidRPr="006C51E4" w:rsidRDefault="00AA0841" w:rsidP="00AA0841">
            <w:pPr>
              <w:rPr>
                <w:rFonts w:cstheme="minorHAnsi"/>
                <w:color w:val="auto"/>
                <w:sz w:val="18"/>
                <w:szCs w:val="18"/>
              </w:rPr>
            </w:pPr>
            <w:r w:rsidRPr="006C51E4">
              <w:rPr>
                <w:rFonts w:cstheme="minorHAnsi"/>
                <w:color w:val="auto"/>
                <w:sz w:val="18"/>
                <w:szCs w:val="18"/>
              </w:rPr>
              <w:t>Large freshes have not been achieved in the Peel River between Chaffey Dam and Carrol Gap in the period assessed since 2012–13. During that time, large freshes have only been partially met (for a dispersal flow) in 2016–17 at Piallamore and Carrol Gap, and have otherwise not been met.</w:t>
            </w:r>
          </w:p>
          <w:p w14:paraId="6002816A" w14:textId="77777777" w:rsidR="00AA0841" w:rsidRPr="006C51E4" w:rsidRDefault="00AA0841" w:rsidP="00AA0841">
            <w:pPr>
              <w:rPr>
                <w:rFonts w:cstheme="minorHAnsi"/>
                <w:color w:val="auto"/>
                <w:sz w:val="18"/>
                <w:szCs w:val="18"/>
              </w:rPr>
            </w:pPr>
            <w:r w:rsidRPr="006C51E4">
              <w:rPr>
                <w:rFonts w:cstheme="minorHAnsi"/>
                <w:color w:val="auto"/>
                <w:sz w:val="18"/>
                <w:szCs w:val="18"/>
              </w:rPr>
              <w:t>Large freshes are ideally required every 1–2 years for native fish dispersal and once in every 2–3 years for spawning. The maximum intervals for both flows have been exceeded in this reach. Therefore, the demand for water in 2020–21 has been assessed as critical.</w:t>
            </w:r>
          </w:p>
        </w:tc>
        <w:tc>
          <w:tcPr>
            <w:tcW w:w="1843" w:type="dxa"/>
            <w:tcBorders>
              <w:top w:val="nil"/>
              <w:left w:val="nil"/>
              <w:bottom w:val="single" w:sz="4" w:space="0" w:color="auto"/>
              <w:right w:val="single" w:sz="4" w:space="0" w:color="auto"/>
            </w:tcBorders>
            <w:shd w:val="clear" w:color="auto" w:fill="C00000"/>
            <w:vAlign w:val="center"/>
          </w:tcPr>
          <w:p w14:paraId="5B2BB3DF"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Critical</w:t>
            </w:r>
          </w:p>
        </w:tc>
        <w:tc>
          <w:tcPr>
            <w:tcW w:w="3118" w:type="dxa"/>
            <w:tcBorders>
              <w:top w:val="nil"/>
              <w:left w:val="nil"/>
              <w:bottom w:val="single" w:sz="4" w:space="0" w:color="auto"/>
              <w:right w:val="single" w:sz="4" w:space="0" w:color="auto"/>
            </w:tcBorders>
            <w:shd w:val="clear" w:color="auto" w:fill="A6A6A6" w:themeFill="background1" w:themeFillShade="A6"/>
            <w:vAlign w:val="center"/>
          </w:tcPr>
          <w:p w14:paraId="36A04F39"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Commonwealth environmental water unlikely to contribute to this demand because of insufficient water and system constraints.</w:t>
            </w:r>
          </w:p>
        </w:tc>
        <w:tc>
          <w:tcPr>
            <w:tcW w:w="2268" w:type="dxa"/>
            <w:tcBorders>
              <w:top w:val="nil"/>
              <w:left w:val="nil"/>
              <w:bottom w:val="single" w:sz="4" w:space="0" w:color="auto"/>
              <w:right w:val="single" w:sz="12" w:space="0" w:color="auto"/>
            </w:tcBorders>
            <w:shd w:val="clear" w:color="auto" w:fill="C00000"/>
            <w:vAlign w:val="center"/>
          </w:tcPr>
          <w:p w14:paraId="3F0C160C"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Critical</w:t>
            </w:r>
          </w:p>
        </w:tc>
      </w:tr>
      <w:tr w:rsidR="00AA0841" w:rsidRPr="0043594E" w14:paraId="6E63ECA7" w14:textId="77777777" w:rsidTr="00AA0841">
        <w:trPr>
          <w:trHeight w:val="1155"/>
        </w:trPr>
        <w:tc>
          <w:tcPr>
            <w:tcW w:w="1843" w:type="dxa"/>
            <w:tcBorders>
              <w:top w:val="single" w:sz="4" w:space="0" w:color="auto"/>
              <w:left w:val="single" w:sz="12" w:space="0" w:color="auto"/>
              <w:bottom w:val="single" w:sz="12" w:space="0" w:color="auto"/>
              <w:right w:val="single" w:sz="4" w:space="0" w:color="auto"/>
            </w:tcBorders>
          </w:tcPr>
          <w:p w14:paraId="73A91FFB" w14:textId="77777777" w:rsidR="00AA0841" w:rsidRPr="0063367B" w:rsidRDefault="00AA0841" w:rsidP="00AA0841">
            <w:pPr>
              <w:rPr>
                <w:rFonts w:cstheme="minorHAnsi"/>
                <w:b/>
                <w:color w:val="000000" w:themeColor="text1"/>
                <w:sz w:val="18"/>
                <w:szCs w:val="18"/>
              </w:rPr>
            </w:pPr>
            <w:r w:rsidRPr="0063367B">
              <w:rPr>
                <w:rFonts w:cstheme="minorHAnsi"/>
                <w:b/>
                <w:color w:val="000000" w:themeColor="text1"/>
                <w:sz w:val="18"/>
                <w:szCs w:val="18"/>
              </w:rPr>
              <w:lastRenderedPageBreak/>
              <w:t>Peel River channel</w:t>
            </w:r>
            <w:r w:rsidRPr="0063367B">
              <w:rPr>
                <w:rFonts w:cstheme="minorHAnsi"/>
                <w:b/>
                <w:bCs/>
                <w:color w:val="000000" w:themeColor="text1"/>
                <w:sz w:val="18"/>
                <w:szCs w:val="18"/>
                <w:vertAlign w:val="superscript"/>
              </w:rPr>
              <w:t>3</w:t>
            </w:r>
          </w:p>
          <w:p w14:paraId="3A3CCD48" w14:textId="77777777" w:rsidR="00AA0841" w:rsidRPr="006C51E4" w:rsidRDefault="00AA0841" w:rsidP="00AA0841">
            <w:pPr>
              <w:rPr>
                <w:sz w:val="18"/>
                <w:szCs w:val="18"/>
              </w:rPr>
            </w:pPr>
            <w:r w:rsidRPr="006C51E4">
              <w:rPr>
                <w:sz w:val="18"/>
                <w:szCs w:val="18"/>
              </w:rPr>
              <w:t xml:space="preserve"> (ctd)</w:t>
            </w:r>
          </w:p>
        </w:tc>
        <w:tc>
          <w:tcPr>
            <w:tcW w:w="1985" w:type="dxa"/>
            <w:tcBorders>
              <w:top w:val="single" w:sz="4" w:space="0" w:color="auto"/>
              <w:left w:val="single" w:sz="4" w:space="0" w:color="auto"/>
              <w:bottom w:val="single" w:sz="12" w:space="0" w:color="auto"/>
              <w:right w:val="single" w:sz="4" w:space="0" w:color="auto"/>
            </w:tcBorders>
            <w:shd w:val="clear" w:color="auto" w:fill="auto"/>
            <w:vAlign w:val="center"/>
          </w:tcPr>
          <w:p w14:paraId="499C089D"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Lateral and longitudinal connectivity</w:t>
            </w:r>
          </w:p>
          <w:p w14:paraId="0203577D"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Riparian vegetation in low commence to flow anabranch channels</w:t>
            </w:r>
          </w:p>
          <w:p w14:paraId="554011D4"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Increase ecosystem function</w:t>
            </w:r>
          </w:p>
          <w:p w14:paraId="15F8CD6F"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Nutrient cycling</w:t>
            </w:r>
          </w:p>
          <w:p w14:paraId="04EDD686"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Access to habitat</w:t>
            </w:r>
          </w:p>
          <w:p w14:paraId="334B72D3"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Fish spawning (floodplain specialists)</w:t>
            </w:r>
          </w:p>
          <w:p w14:paraId="7080DF91"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Fish dispersal and productivity/condition (all groups)</w:t>
            </w:r>
          </w:p>
        </w:tc>
        <w:tc>
          <w:tcPr>
            <w:tcW w:w="3969" w:type="dxa"/>
            <w:tcBorders>
              <w:top w:val="single" w:sz="4" w:space="0" w:color="auto"/>
              <w:left w:val="nil"/>
              <w:bottom w:val="single" w:sz="12" w:space="0" w:color="auto"/>
              <w:right w:val="single" w:sz="4" w:space="0" w:color="auto"/>
            </w:tcBorders>
            <w:shd w:val="clear" w:color="auto" w:fill="auto"/>
            <w:vAlign w:val="center"/>
          </w:tcPr>
          <w:p w14:paraId="1B0DB27E" w14:textId="77777777" w:rsidR="00AA0841" w:rsidRPr="006C51E4" w:rsidRDefault="00AA0841" w:rsidP="00AA0841">
            <w:pPr>
              <w:rPr>
                <w:rFonts w:cstheme="minorHAnsi"/>
                <w:color w:val="auto"/>
                <w:sz w:val="18"/>
                <w:szCs w:val="18"/>
                <w:u w:val="single"/>
              </w:rPr>
            </w:pPr>
            <w:r w:rsidRPr="006C51E4">
              <w:rPr>
                <w:rFonts w:cstheme="minorHAnsi"/>
                <w:color w:val="auto"/>
                <w:sz w:val="18"/>
                <w:szCs w:val="18"/>
                <w:u w:val="single"/>
              </w:rPr>
              <w:t>Bankfull and overbank flows:</w:t>
            </w:r>
          </w:p>
          <w:p w14:paraId="77854624" w14:textId="77777777" w:rsidR="00AA0841" w:rsidRPr="0063367B" w:rsidRDefault="00AA0841" w:rsidP="005D79EF">
            <w:pPr>
              <w:pStyle w:val="ListParagraph"/>
              <w:numPr>
                <w:ilvl w:val="0"/>
                <w:numId w:val="40"/>
              </w:numPr>
              <w:ind w:left="319" w:hanging="284"/>
              <w:rPr>
                <w:rFonts w:cstheme="minorHAnsi"/>
                <w:color w:val="000000" w:themeColor="text1"/>
                <w:sz w:val="18"/>
                <w:szCs w:val="18"/>
              </w:rPr>
            </w:pPr>
            <w:r w:rsidRPr="006C51E4">
              <w:rPr>
                <w:rFonts w:cstheme="minorHAnsi"/>
                <w:color w:val="auto"/>
                <w:sz w:val="18"/>
                <w:szCs w:val="18"/>
              </w:rPr>
              <w:t>2 900–6 400+ ML/</w:t>
            </w:r>
            <w:r w:rsidRPr="0063367B">
              <w:rPr>
                <w:rFonts w:cstheme="minorHAnsi"/>
                <w:color w:val="000000" w:themeColor="text1"/>
                <w:sz w:val="18"/>
                <w:szCs w:val="18"/>
              </w:rPr>
              <w:t>day d/s Chaffey Dam</w:t>
            </w:r>
          </w:p>
          <w:p w14:paraId="4EE0C006" w14:textId="77777777" w:rsidR="00AA0841" w:rsidRPr="0063367B" w:rsidRDefault="00AA0841" w:rsidP="005D79EF">
            <w:pPr>
              <w:pStyle w:val="ListParagraph"/>
              <w:numPr>
                <w:ilvl w:val="0"/>
                <w:numId w:val="40"/>
              </w:numPr>
              <w:ind w:left="319" w:hanging="284"/>
              <w:rPr>
                <w:rFonts w:cstheme="minorHAnsi"/>
                <w:color w:val="000000" w:themeColor="text1"/>
                <w:sz w:val="18"/>
                <w:szCs w:val="18"/>
              </w:rPr>
            </w:pPr>
            <w:r w:rsidRPr="0063367B">
              <w:rPr>
                <w:rFonts w:cstheme="minorHAnsi"/>
                <w:color w:val="000000" w:themeColor="text1"/>
                <w:sz w:val="18"/>
                <w:szCs w:val="18"/>
              </w:rPr>
              <w:t>5 150–13 400+ ML/day at Piallamore</w:t>
            </w:r>
          </w:p>
          <w:p w14:paraId="1F338438" w14:textId="77777777" w:rsidR="00AA0841" w:rsidRPr="006C51E4" w:rsidRDefault="00AA0841" w:rsidP="005D79EF">
            <w:pPr>
              <w:pStyle w:val="ListParagraph"/>
              <w:numPr>
                <w:ilvl w:val="0"/>
                <w:numId w:val="40"/>
              </w:numPr>
              <w:ind w:left="319" w:hanging="284"/>
              <w:rPr>
                <w:rFonts w:cstheme="minorHAnsi"/>
                <w:color w:val="auto"/>
                <w:sz w:val="18"/>
                <w:szCs w:val="18"/>
              </w:rPr>
            </w:pPr>
            <w:r w:rsidRPr="0063367B">
              <w:rPr>
                <w:rFonts w:cstheme="minorHAnsi"/>
                <w:color w:val="000000" w:themeColor="text1"/>
                <w:sz w:val="18"/>
                <w:szCs w:val="18"/>
              </w:rPr>
              <w:t>13 500–40 000+ ML/day</w:t>
            </w:r>
            <w:r w:rsidRPr="006C51E4">
              <w:rPr>
                <w:rFonts w:cstheme="minorHAnsi"/>
                <w:color w:val="auto"/>
                <w:sz w:val="18"/>
                <w:szCs w:val="18"/>
              </w:rPr>
              <w:t xml:space="preserve"> at Carrol Gap</w:t>
            </w:r>
          </w:p>
        </w:tc>
        <w:tc>
          <w:tcPr>
            <w:tcW w:w="1984" w:type="dxa"/>
            <w:tcBorders>
              <w:top w:val="single" w:sz="4" w:space="0" w:color="auto"/>
              <w:left w:val="nil"/>
              <w:bottom w:val="single" w:sz="12" w:space="0" w:color="auto"/>
              <w:right w:val="single" w:sz="4" w:space="0" w:color="000000"/>
            </w:tcBorders>
            <w:shd w:val="clear" w:color="auto" w:fill="auto"/>
            <w:vAlign w:val="center"/>
          </w:tcPr>
          <w:p w14:paraId="16640A40"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1 in 2 years for fish spawning (max interval 4 years);</w:t>
            </w:r>
          </w:p>
          <w:p w14:paraId="16E9EBAE"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1 in 3–5 years for fish dispersal and productivity/ condition (max interval 5 years)</w:t>
            </w:r>
          </w:p>
          <w:p w14:paraId="27032F0E" w14:textId="77777777" w:rsidR="00AA0841" w:rsidRPr="006C51E4" w:rsidRDefault="00AA0841" w:rsidP="00AA0841">
            <w:pPr>
              <w:jc w:val="center"/>
              <w:rPr>
                <w:rFonts w:cstheme="minorHAnsi"/>
                <w:color w:val="auto"/>
                <w:sz w:val="18"/>
                <w:szCs w:val="18"/>
              </w:rPr>
            </w:pPr>
          </w:p>
          <w:p w14:paraId="4030F272"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(Oct–Apr for fish spawning (floodplain specialists) for a minimum of 10 days.</w:t>
            </w:r>
          </w:p>
          <w:p w14:paraId="30D1C865" w14:textId="77777777" w:rsidR="00AA0841" w:rsidRPr="006C51E4" w:rsidRDefault="00AA0841" w:rsidP="00AA0841">
            <w:pPr>
              <w:jc w:val="center"/>
              <w:rPr>
                <w:rFonts w:cstheme="minorHAnsi"/>
                <w:color w:val="auto"/>
                <w:sz w:val="18"/>
                <w:szCs w:val="18"/>
              </w:rPr>
            </w:pPr>
            <w:r w:rsidRPr="006C51E4">
              <w:rPr>
                <w:rFonts w:cstheme="minorHAnsi"/>
                <w:color w:val="auto"/>
                <w:sz w:val="18"/>
                <w:szCs w:val="18"/>
              </w:rPr>
              <w:t>Ideally Sept–Feb for fish dispersal and productivity/ condition (but can occur any time) for a minimum of 5 days.)</w:t>
            </w:r>
          </w:p>
        </w:tc>
        <w:tc>
          <w:tcPr>
            <w:tcW w:w="4961" w:type="dxa"/>
            <w:tcBorders>
              <w:top w:val="single" w:sz="4" w:space="0" w:color="auto"/>
              <w:left w:val="nil"/>
              <w:bottom w:val="single" w:sz="12" w:space="0" w:color="auto"/>
              <w:right w:val="single" w:sz="4" w:space="0" w:color="auto"/>
            </w:tcBorders>
            <w:shd w:val="clear" w:color="auto" w:fill="auto"/>
            <w:vAlign w:val="center"/>
          </w:tcPr>
          <w:p w14:paraId="7B01A161" w14:textId="77777777" w:rsidR="00AA0841" w:rsidRPr="006C51E4" w:rsidRDefault="00AA0841" w:rsidP="00AA0841">
            <w:pPr>
              <w:rPr>
                <w:rFonts w:cstheme="minorHAnsi"/>
                <w:color w:val="auto"/>
                <w:sz w:val="18"/>
                <w:szCs w:val="18"/>
              </w:rPr>
            </w:pPr>
            <w:r w:rsidRPr="006C51E4">
              <w:rPr>
                <w:rFonts w:cstheme="minorHAnsi"/>
                <w:color w:val="auto"/>
                <w:sz w:val="18"/>
                <w:szCs w:val="18"/>
              </w:rPr>
              <w:t>Bankfull and overbank flows have not been met in the Peel River between Chaffey Dam and Carrol Gap during the period assessed since 2012–13.</w:t>
            </w:r>
          </w:p>
          <w:p w14:paraId="08990C83" w14:textId="77777777" w:rsidR="00AA0841" w:rsidRPr="006C51E4" w:rsidRDefault="00AA0841" w:rsidP="00AA0841">
            <w:pPr>
              <w:rPr>
                <w:rFonts w:cstheme="minorHAnsi"/>
                <w:color w:val="auto"/>
                <w:sz w:val="18"/>
                <w:szCs w:val="18"/>
              </w:rPr>
            </w:pPr>
            <w:r w:rsidRPr="006C51E4">
              <w:rPr>
                <w:rFonts w:cstheme="minorHAnsi"/>
                <w:color w:val="auto"/>
                <w:sz w:val="18"/>
                <w:szCs w:val="18"/>
              </w:rPr>
              <w:t>These flows are ideally required 1 in 2 years for native fish flow spawning, and the maximum intervals for both spawning and dispersal flows have been exceeded. Therefore, this demand has been assessed as critical, with water being required in 2020–21.</w:t>
            </w:r>
          </w:p>
        </w:tc>
        <w:tc>
          <w:tcPr>
            <w:tcW w:w="1843" w:type="dxa"/>
            <w:tcBorders>
              <w:top w:val="nil"/>
              <w:left w:val="nil"/>
              <w:bottom w:val="single" w:sz="12" w:space="0" w:color="auto"/>
              <w:right w:val="single" w:sz="4" w:space="0" w:color="auto"/>
            </w:tcBorders>
            <w:shd w:val="clear" w:color="auto" w:fill="C00000"/>
            <w:vAlign w:val="center"/>
          </w:tcPr>
          <w:p w14:paraId="7281C43F"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Critical</w:t>
            </w:r>
          </w:p>
        </w:tc>
        <w:tc>
          <w:tcPr>
            <w:tcW w:w="3118" w:type="dxa"/>
            <w:tcBorders>
              <w:top w:val="nil"/>
              <w:left w:val="nil"/>
              <w:bottom w:val="single" w:sz="12" w:space="0" w:color="auto"/>
              <w:right w:val="single" w:sz="4" w:space="0" w:color="auto"/>
            </w:tcBorders>
            <w:shd w:val="clear" w:color="auto" w:fill="A6A6A6" w:themeFill="background1" w:themeFillShade="A6"/>
            <w:vAlign w:val="center"/>
          </w:tcPr>
          <w:p w14:paraId="775289BD"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Commonwealth environmental water unlikely to contribute to this demand because of insufficient water and system constraints.</w:t>
            </w:r>
          </w:p>
        </w:tc>
        <w:tc>
          <w:tcPr>
            <w:tcW w:w="2268" w:type="dxa"/>
            <w:tcBorders>
              <w:top w:val="nil"/>
              <w:left w:val="nil"/>
              <w:bottom w:val="single" w:sz="12" w:space="0" w:color="auto"/>
              <w:right w:val="single" w:sz="12" w:space="0" w:color="auto"/>
            </w:tcBorders>
            <w:shd w:val="clear" w:color="auto" w:fill="C00000"/>
            <w:vAlign w:val="center"/>
          </w:tcPr>
          <w:p w14:paraId="347B0462" w14:textId="77777777" w:rsidR="00AA0841" w:rsidRPr="0043594E" w:rsidRDefault="00AA0841" w:rsidP="00AA0841">
            <w:pPr>
              <w:jc w:val="center"/>
              <w:rPr>
                <w:rFonts w:cstheme="minorHAnsi"/>
                <w:color w:val="auto"/>
                <w:sz w:val="18"/>
                <w:szCs w:val="18"/>
              </w:rPr>
            </w:pPr>
            <w:r w:rsidRPr="0043594E">
              <w:rPr>
                <w:rFonts w:cstheme="minorHAnsi"/>
                <w:color w:val="auto"/>
                <w:sz w:val="18"/>
                <w:szCs w:val="18"/>
              </w:rPr>
              <w:t>Critical</w:t>
            </w:r>
          </w:p>
        </w:tc>
      </w:tr>
    </w:tbl>
    <w:p w14:paraId="0A7AC6B2" w14:textId="77777777" w:rsidR="00AA0841" w:rsidRPr="00365FE2" w:rsidRDefault="00AA0841" w:rsidP="00AA0841">
      <w:pPr>
        <w:rPr>
          <w:rFonts w:hAnsi="Century Gothic"/>
          <w:sz w:val="18"/>
          <w:szCs w:val="18"/>
        </w:rPr>
      </w:pPr>
      <w:r w:rsidRPr="00365FE2">
        <w:rPr>
          <w:rFonts w:hAnsi="Century Gothic"/>
          <w:sz w:val="18"/>
          <w:szCs w:val="18"/>
        </w:rPr>
        <w:t>Note: contributions to meet Barwon</w:t>
      </w:r>
      <w:r>
        <w:rPr>
          <w:rFonts w:hAnsi="Century Gothic"/>
          <w:sz w:val="18"/>
          <w:szCs w:val="18"/>
        </w:rPr>
        <w:t>-</w:t>
      </w:r>
      <w:r w:rsidRPr="00365FE2">
        <w:rPr>
          <w:rFonts w:hAnsi="Century Gothic"/>
          <w:sz w:val="18"/>
          <w:szCs w:val="18"/>
        </w:rPr>
        <w:t xml:space="preserve">Darling environmental requirements may be considered subject to water availability, antecedent conditions, and environmental demands. Refer to </w:t>
      </w:r>
      <w:r>
        <w:rPr>
          <w:rFonts w:hAnsi="Century Gothic"/>
          <w:sz w:val="18"/>
          <w:szCs w:val="18"/>
        </w:rPr>
        <w:t>CEWO Water</w:t>
      </w:r>
      <w:r w:rsidRPr="00365FE2">
        <w:rPr>
          <w:rFonts w:hAnsi="Century Gothic"/>
          <w:sz w:val="18"/>
          <w:szCs w:val="18"/>
        </w:rPr>
        <w:t xml:space="preserve"> Management Plan</w:t>
      </w:r>
      <w:r>
        <w:rPr>
          <w:rFonts w:hAnsi="Century Gothic"/>
          <w:sz w:val="18"/>
          <w:szCs w:val="18"/>
        </w:rPr>
        <w:t xml:space="preserve"> 2020-21</w:t>
      </w:r>
      <w:r w:rsidRPr="00365FE2">
        <w:rPr>
          <w:rFonts w:hAnsi="Century Gothic"/>
          <w:sz w:val="18"/>
          <w:szCs w:val="18"/>
        </w:rPr>
        <w:t xml:space="preserve">: </w:t>
      </w:r>
      <w:r>
        <w:rPr>
          <w:rFonts w:hAnsi="Century Gothic"/>
          <w:sz w:val="18"/>
          <w:szCs w:val="18"/>
        </w:rPr>
        <w:t xml:space="preserve">Chapter 3.7 </w:t>
      </w:r>
      <w:r w:rsidRPr="00365FE2">
        <w:rPr>
          <w:rFonts w:hAnsi="Century Gothic"/>
          <w:sz w:val="18"/>
          <w:szCs w:val="18"/>
        </w:rPr>
        <w:t>Barwon</w:t>
      </w:r>
      <w:r>
        <w:rPr>
          <w:rFonts w:hAnsi="Century Gothic"/>
          <w:sz w:val="18"/>
          <w:szCs w:val="18"/>
        </w:rPr>
        <w:t>–</w:t>
      </w:r>
      <w:r w:rsidRPr="00365FE2">
        <w:rPr>
          <w:rFonts w:hAnsi="Century Gothic"/>
          <w:sz w:val="18"/>
          <w:szCs w:val="18"/>
        </w:rPr>
        <w:t>Darling</w:t>
      </w:r>
      <w:r>
        <w:rPr>
          <w:rFonts w:hAnsi="Century Gothic"/>
          <w:sz w:val="18"/>
          <w:szCs w:val="18"/>
        </w:rPr>
        <w:t>.</w:t>
      </w:r>
    </w:p>
    <w:p w14:paraId="2325503D" w14:textId="77777777" w:rsidR="00AA0841" w:rsidRPr="00C4348A" w:rsidRDefault="00AA0841" w:rsidP="00AA0841">
      <w:pPr>
        <w:spacing w:before="60" w:after="60"/>
        <w:rPr>
          <w:rFonts w:cstheme="minorHAnsi"/>
          <w:b/>
          <w:sz w:val="18"/>
          <w:szCs w:val="18"/>
        </w:rPr>
      </w:pPr>
      <w:r w:rsidRPr="00C4348A">
        <w:rPr>
          <w:rFonts w:cstheme="minorHAnsi"/>
          <w:b/>
          <w:sz w:val="18"/>
          <w:szCs w:val="18"/>
        </w:rPr>
        <w:t>References</w:t>
      </w:r>
    </w:p>
    <w:p w14:paraId="69840920" w14:textId="77777777" w:rsidR="00AA0841" w:rsidRPr="0006676F" w:rsidRDefault="00AA0841" w:rsidP="005D79EF">
      <w:pPr>
        <w:pStyle w:val="ListParagraph"/>
        <w:numPr>
          <w:ilvl w:val="0"/>
          <w:numId w:val="39"/>
        </w:numPr>
        <w:spacing w:before="60" w:after="60"/>
        <w:ind w:left="161" w:hanging="161"/>
        <w:contextualSpacing/>
        <w:rPr>
          <w:rFonts w:cstheme="minorHAnsi"/>
          <w:sz w:val="18"/>
          <w:szCs w:val="18"/>
        </w:rPr>
      </w:pPr>
      <w:r w:rsidRPr="0006676F">
        <w:rPr>
          <w:rFonts w:cstheme="minorHAnsi"/>
          <w:sz w:val="18"/>
          <w:szCs w:val="18"/>
        </w:rPr>
        <w:t>Sourced from information provided by Green et al</w:t>
      </w:r>
      <w:r>
        <w:rPr>
          <w:rFonts w:cstheme="minorHAnsi"/>
          <w:sz w:val="18"/>
          <w:szCs w:val="18"/>
        </w:rPr>
        <w:t>.</w:t>
      </w:r>
      <w:r w:rsidRPr="0006676F">
        <w:rPr>
          <w:rFonts w:cstheme="minorHAnsi"/>
          <w:sz w:val="18"/>
          <w:szCs w:val="18"/>
        </w:rPr>
        <w:t xml:space="preserve"> (2011), MDBA (2012), and previous environmental watering, with advice from NSW DPI – Fisheries (Anthony Townsend, pers. comm.)</w:t>
      </w:r>
    </w:p>
    <w:p w14:paraId="095F1015" w14:textId="77777777" w:rsidR="00AA0841" w:rsidRPr="00DD09BD" w:rsidRDefault="00AA0841" w:rsidP="00AA0841">
      <w:pPr>
        <w:spacing w:before="60" w:after="60"/>
        <w:rPr>
          <w:rFonts w:cstheme="minorHAnsi"/>
          <w:sz w:val="18"/>
          <w:szCs w:val="18"/>
        </w:rPr>
      </w:pPr>
      <w:r w:rsidRPr="00DD09BD">
        <w:rPr>
          <w:rFonts w:cstheme="minorHAnsi"/>
          <w:sz w:val="18"/>
          <w:szCs w:val="18"/>
        </w:rPr>
        <w:t>2. Sourced from information provided by Green et al</w:t>
      </w:r>
      <w:r>
        <w:rPr>
          <w:rFonts w:cstheme="minorHAnsi"/>
          <w:sz w:val="18"/>
          <w:szCs w:val="18"/>
        </w:rPr>
        <w:t>.</w:t>
      </w:r>
      <w:r w:rsidRPr="00DD09BD">
        <w:rPr>
          <w:rFonts w:cstheme="minorHAnsi"/>
          <w:sz w:val="18"/>
          <w:szCs w:val="18"/>
        </w:rPr>
        <w:t xml:space="preserve"> (2011), MDBA (2012)</w:t>
      </w:r>
      <w:r>
        <w:rPr>
          <w:rFonts w:cstheme="minorHAnsi"/>
          <w:sz w:val="18"/>
          <w:szCs w:val="18"/>
        </w:rPr>
        <w:t>, NSW OEH (2019a and b),</w:t>
      </w:r>
      <w:r w:rsidRPr="00DD09BD">
        <w:rPr>
          <w:rFonts w:cstheme="minorHAnsi"/>
          <w:sz w:val="18"/>
          <w:szCs w:val="18"/>
        </w:rPr>
        <w:t xml:space="preserve"> and Foster (1999), with advice from NSW DPI – Fisheries (Anthony Townsend, pers. comm.)</w:t>
      </w:r>
    </w:p>
    <w:p w14:paraId="1EF8A7FC" w14:textId="77777777" w:rsidR="00AA0841" w:rsidRPr="00C4348A" w:rsidRDefault="00AA0841" w:rsidP="00AA0841">
      <w:pPr>
        <w:spacing w:before="60" w:after="60"/>
        <w:rPr>
          <w:rFonts w:cstheme="minorHAnsi"/>
          <w:sz w:val="18"/>
          <w:szCs w:val="18"/>
        </w:rPr>
      </w:pPr>
      <w:r w:rsidRPr="00C4348A">
        <w:rPr>
          <w:rFonts w:cstheme="minorHAnsi"/>
          <w:sz w:val="18"/>
          <w:szCs w:val="18"/>
        </w:rPr>
        <w:t xml:space="preserve">3. Sourced from Barma Water Resources et al. (2012), with advice from NSW DPI – Fisheries (Anthony Townsend, pers. comm.) </w:t>
      </w:r>
    </w:p>
    <w:p w14:paraId="4451246C" w14:textId="77777777" w:rsidR="00AA0841" w:rsidRDefault="00AA0841" w:rsidP="00AA0841">
      <w:pPr>
        <w:spacing w:before="60" w:after="60"/>
        <w:rPr>
          <w:rFonts w:cstheme="minorHAnsi"/>
          <w:sz w:val="18"/>
          <w:szCs w:val="18"/>
        </w:rPr>
      </w:pPr>
      <w:r w:rsidRPr="00C4348A">
        <w:rPr>
          <w:rFonts w:cstheme="minorHAnsi"/>
          <w:sz w:val="18"/>
          <w:szCs w:val="18"/>
        </w:rPr>
        <w:t>4. All watering history sourced from data from the following gauges (WaterNSW 2020):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3690"/>
        <w:gridCol w:w="3114"/>
      </w:tblGrid>
      <w:tr w:rsidR="00AA0841" w14:paraId="331F4B47" w14:textId="77777777" w:rsidTr="00AA0841">
        <w:trPr>
          <w:cnfStyle w:val="100000000000" w:firstRow="1" w:lastRow="0" w:firstColumn="0" w:lastColumn="0" w:oddVBand="0" w:evenVBand="0" w:oddHBand="0" w:evenHBand="0" w:firstRowFirstColumn="0" w:firstRowLastColumn="0" w:lastRowFirstColumn="0" w:lastRowLastColumn="0"/>
        </w:trPr>
        <w:tc>
          <w:tcPr>
            <w:tcW w:w="3823" w:type="dxa"/>
          </w:tcPr>
          <w:p w14:paraId="77EF0DB6" w14:textId="77777777" w:rsidR="00AA0841" w:rsidRPr="005D5434" w:rsidRDefault="00AA0841" w:rsidP="005D79EF">
            <w:pPr>
              <w:pStyle w:val="ListBullet"/>
              <w:numPr>
                <w:ilvl w:val="1"/>
                <w:numId w:val="38"/>
              </w:numPr>
              <w:spacing w:after="0"/>
              <w:ind w:left="312" w:hanging="284"/>
              <w:contextualSpacing w:val="0"/>
              <w:jc w:val="both"/>
              <w:rPr>
                <w:rFonts w:cstheme="minorHAnsi"/>
                <w:sz w:val="18"/>
                <w:szCs w:val="18"/>
              </w:rPr>
            </w:pPr>
            <w:r w:rsidRPr="00C4348A">
              <w:rPr>
                <w:rFonts w:cstheme="minorHAnsi"/>
                <w:sz w:val="18"/>
                <w:szCs w:val="18"/>
              </w:rPr>
              <w:t>419021: Namoi River at Bugilbone</w:t>
            </w:r>
          </w:p>
        </w:tc>
        <w:tc>
          <w:tcPr>
            <w:tcW w:w="3690" w:type="dxa"/>
          </w:tcPr>
          <w:p w14:paraId="28EDEE16" w14:textId="77777777" w:rsidR="00AA0841" w:rsidRPr="005D5434" w:rsidRDefault="00AA0841" w:rsidP="005D79EF">
            <w:pPr>
              <w:pStyle w:val="ListBullet"/>
              <w:numPr>
                <w:ilvl w:val="1"/>
                <w:numId w:val="38"/>
              </w:numPr>
              <w:spacing w:after="0"/>
              <w:ind w:left="312" w:hanging="284"/>
              <w:contextualSpacing w:val="0"/>
              <w:jc w:val="both"/>
              <w:rPr>
                <w:rFonts w:cstheme="minorHAnsi"/>
                <w:sz w:val="18"/>
                <w:szCs w:val="18"/>
              </w:rPr>
            </w:pPr>
            <w:r w:rsidRPr="00C4348A">
              <w:rPr>
                <w:rFonts w:cstheme="minorHAnsi"/>
                <w:sz w:val="18"/>
                <w:szCs w:val="18"/>
              </w:rPr>
              <w:t>419094: Namoi River d/s Duncan’s Junction</w:t>
            </w:r>
          </w:p>
        </w:tc>
        <w:tc>
          <w:tcPr>
            <w:tcW w:w="3114" w:type="dxa"/>
          </w:tcPr>
          <w:p w14:paraId="4AD39C48" w14:textId="77777777" w:rsidR="00AA0841" w:rsidRPr="00C4348A" w:rsidRDefault="00AA0841" w:rsidP="005D79EF">
            <w:pPr>
              <w:pStyle w:val="ListBullet"/>
              <w:numPr>
                <w:ilvl w:val="1"/>
                <w:numId w:val="38"/>
              </w:numPr>
              <w:spacing w:after="0"/>
              <w:ind w:left="312" w:hanging="284"/>
              <w:contextualSpacing w:val="0"/>
              <w:jc w:val="both"/>
              <w:rPr>
                <w:rFonts w:cstheme="minorHAnsi"/>
                <w:sz w:val="18"/>
                <w:szCs w:val="18"/>
              </w:rPr>
            </w:pPr>
            <w:r w:rsidRPr="00C4348A">
              <w:rPr>
                <w:rFonts w:cstheme="minorHAnsi"/>
                <w:sz w:val="18"/>
                <w:szCs w:val="18"/>
              </w:rPr>
              <w:t>422001: Dangar Bridge</w:t>
            </w:r>
          </w:p>
        </w:tc>
      </w:tr>
      <w:tr w:rsidR="00AA0841" w14:paraId="3BDF36A3" w14:textId="77777777" w:rsidTr="00AA0841">
        <w:trPr>
          <w:cnfStyle w:val="000000100000" w:firstRow="0" w:lastRow="0" w:firstColumn="0" w:lastColumn="0" w:oddVBand="0" w:evenVBand="0" w:oddHBand="1" w:evenHBand="0" w:firstRowFirstColumn="0" w:firstRowLastColumn="0" w:lastRowFirstColumn="0" w:lastRowLastColumn="0"/>
        </w:trPr>
        <w:tc>
          <w:tcPr>
            <w:tcW w:w="3823" w:type="dxa"/>
          </w:tcPr>
          <w:p w14:paraId="5297A375" w14:textId="77777777" w:rsidR="00AA0841" w:rsidRPr="005D5434" w:rsidRDefault="00AA0841" w:rsidP="005D79EF">
            <w:pPr>
              <w:pStyle w:val="ListBullet"/>
              <w:numPr>
                <w:ilvl w:val="1"/>
                <w:numId w:val="38"/>
              </w:numPr>
              <w:spacing w:after="0"/>
              <w:ind w:left="312" w:hanging="284"/>
              <w:contextualSpacing w:val="0"/>
              <w:jc w:val="both"/>
              <w:rPr>
                <w:rFonts w:cstheme="minorHAnsi"/>
                <w:sz w:val="18"/>
                <w:szCs w:val="18"/>
              </w:rPr>
            </w:pPr>
            <w:r w:rsidRPr="00C4348A">
              <w:rPr>
                <w:rFonts w:cstheme="minorHAnsi"/>
                <w:sz w:val="18"/>
                <w:szCs w:val="18"/>
              </w:rPr>
              <w:t>419012: Namoi River at Boggabri</w:t>
            </w:r>
          </w:p>
        </w:tc>
        <w:tc>
          <w:tcPr>
            <w:tcW w:w="3690" w:type="dxa"/>
          </w:tcPr>
          <w:p w14:paraId="1E668FFB" w14:textId="77777777" w:rsidR="00AA0841" w:rsidRPr="005D5434" w:rsidRDefault="00AA0841" w:rsidP="005D79EF">
            <w:pPr>
              <w:pStyle w:val="ListBullet"/>
              <w:numPr>
                <w:ilvl w:val="1"/>
                <w:numId w:val="38"/>
              </w:numPr>
              <w:spacing w:after="0"/>
              <w:ind w:left="312" w:hanging="284"/>
              <w:contextualSpacing w:val="0"/>
              <w:jc w:val="both"/>
              <w:rPr>
                <w:rFonts w:cstheme="minorHAnsi"/>
                <w:sz w:val="18"/>
                <w:szCs w:val="18"/>
              </w:rPr>
            </w:pPr>
            <w:r w:rsidRPr="00C4348A">
              <w:rPr>
                <w:rFonts w:cstheme="minorHAnsi"/>
                <w:sz w:val="18"/>
                <w:szCs w:val="18"/>
              </w:rPr>
              <w:t xml:space="preserve">419091: Upstream Walgett </w:t>
            </w:r>
          </w:p>
        </w:tc>
        <w:tc>
          <w:tcPr>
            <w:tcW w:w="3114" w:type="dxa"/>
          </w:tcPr>
          <w:p w14:paraId="5FAE46CE" w14:textId="77777777" w:rsidR="00AA0841" w:rsidRPr="005D5434" w:rsidRDefault="00AA0841" w:rsidP="005D79EF">
            <w:pPr>
              <w:pStyle w:val="ListBullet"/>
              <w:numPr>
                <w:ilvl w:val="1"/>
                <w:numId w:val="38"/>
              </w:numPr>
              <w:spacing w:after="0"/>
              <w:ind w:left="312" w:hanging="284"/>
              <w:contextualSpacing w:val="0"/>
              <w:jc w:val="both"/>
              <w:rPr>
                <w:rFonts w:cstheme="minorHAnsi"/>
                <w:sz w:val="18"/>
                <w:szCs w:val="18"/>
              </w:rPr>
            </w:pPr>
            <w:r w:rsidRPr="00C4348A">
              <w:rPr>
                <w:rFonts w:cstheme="minorHAnsi"/>
                <w:sz w:val="18"/>
                <w:szCs w:val="18"/>
              </w:rPr>
              <w:t>419045: Peel River d/s Chaffey Dam</w:t>
            </w:r>
          </w:p>
        </w:tc>
      </w:tr>
      <w:tr w:rsidR="00AA0841" w14:paraId="320B6E46" w14:textId="77777777" w:rsidTr="00AA0841">
        <w:trPr>
          <w:cnfStyle w:val="000000010000" w:firstRow="0" w:lastRow="0" w:firstColumn="0" w:lastColumn="0" w:oddVBand="0" w:evenVBand="0" w:oddHBand="0" w:evenHBand="1" w:firstRowFirstColumn="0" w:firstRowLastColumn="0" w:lastRowFirstColumn="0" w:lastRowLastColumn="0"/>
        </w:trPr>
        <w:tc>
          <w:tcPr>
            <w:tcW w:w="3823" w:type="dxa"/>
          </w:tcPr>
          <w:p w14:paraId="7D3FD0F8" w14:textId="77777777" w:rsidR="00AA0841" w:rsidRPr="005D5434" w:rsidRDefault="00AA0841" w:rsidP="005D79EF">
            <w:pPr>
              <w:pStyle w:val="ListBullet"/>
              <w:numPr>
                <w:ilvl w:val="1"/>
                <w:numId w:val="38"/>
              </w:numPr>
              <w:spacing w:after="0"/>
              <w:ind w:left="312" w:hanging="284"/>
              <w:contextualSpacing w:val="0"/>
              <w:jc w:val="both"/>
              <w:rPr>
                <w:rFonts w:cstheme="minorHAnsi"/>
                <w:sz w:val="18"/>
                <w:szCs w:val="18"/>
              </w:rPr>
            </w:pPr>
            <w:r w:rsidRPr="00C4348A">
              <w:rPr>
                <w:rFonts w:cstheme="minorHAnsi"/>
                <w:sz w:val="18"/>
                <w:szCs w:val="18"/>
              </w:rPr>
              <w:t>419059: Namoi River d/s Gunidgera Weir (Wee Waa)</w:t>
            </w:r>
          </w:p>
        </w:tc>
        <w:tc>
          <w:tcPr>
            <w:tcW w:w="3690" w:type="dxa"/>
          </w:tcPr>
          <w:p w14:paraId="1440BE6C" w14:textId="77777777" w:rsidR="00AA0841" w:rsidRPr="005D5434" w:rsidRDefault="00AA0841" w:rsidP="00AA0841">
            <w:pPr>
              <w:pStyle w:val="ListBullet"/>
              <w:numPr>
                <w:ilvl w:val="0"/>
                <w:numId w:val="0"/>
              </w:numPr>
              <w:spacing w:after="220"/>
              <w:jc w:val="both"/>
              <w:rPr>
                <w:rFonts w:cstheme="minorHAnsi"/>
                <w:sz w:val="18"/>
                <w:szCs w:val="18"/>
              </w:rPr>
            </w:pPr>
          </w:p>
        </w:tc>
        <w:tc>
          <w:tcPr>
            <w:tcW w:w="3114" w:type="dxa"/>
          </w:tcPr>
          <w:p w14:paraId="12D5E052" w14:textId="77777777" w:rsidR="00AA0841" w:rsidRPr="00C4348A" w:rsidRDefault="00AA0841" w:rsidP="00AA0841">
            <w:pPr>
              <w:pStyle w:val="ListBullet"/>
              <w:numPr>
                <w:ilvl w:val="0"/>
                <w:numId w:val="0"/>
              </w:numPr>
              <w:spacing w:after="220"/>
              <w:jc w:val="both"/>
              <w:rPr>
                <w:rFonts w:cstheme="minorHAnsi"/>
                <w:sz w:val="18"/>
                <w:szCs w:val="18"/>
              </w:rPr>
            </w:pPr>
          </w:p>
        </w:tc>
      </w:tr>
    </w:tbl>
    <w:p w14:paraId="7B924E04" w14:textId="77777777" w:rsidR="00AA0841" w:rsidRDefault="00AA0841" w:rsidP="00AA0841">
      <w:pPr>
        <w:rPr>
          <w:rFonts w:hAnsi="Century Gothic"/>
          <w:sz w:val="18"/>
          <w:szCs w:val="18"/>
        </w:rPr>
      </w:pPr>
    </w:p>
    <w:p w14:paraId="36C7E072" w14:textId="77777777" w:rsidR="00AA0841" w:rsidRDefault="00AA0841" w:rsidP="00AA0841">
      <w:pPr>
        <w:pStyle w:val="PlainText"/>
        <w:rPr>
          <w:noProof/>
        </w:rPr>
      </w:pPr>
      <w:r>
        <w:rPr>
          <w:noProof/>
        </w:rPr>
        <w:drawing>
          <wp:inline distT="0" distB="0" distL="0" distR="0" wp14:anchorId="0574C0BB" wp14:editId="6B126746">
            <wp:extent cx="10336347" cy="1956363"/>
            <wp:effectExtent l="0" t="0" r="0" b="6350"/>
            <wp:docPr id="44" name="Picture 2">
              <a:extLst xmlns:a="http://schemas.openxmlformats.org/drawingml/2006/main">
                <a:ext uri="{FF2B5EF4-FFF2-40B4-BE49-F238E27FC236}">
                  <a16:creationId xmlns:a16="http://schemas.microsoft.com/office/drawing/2014/main" id="{44C6E65D-16A7-4929-AC15-EE3EC6EA9F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4C6E65D-16A7-4929-AC15-EE3EC6EA9F11}"/>
                        </a:ext>
                      </a:extLst>
                    </pic:cNvPr>
                    <pic:cNvPicPr>
                      <a:picLocks noChangeAspect="1"/>
                    </pic:cNvPicPr>
                  </pic:nvPicPr>
                  <pic:blipFill>
                    <a:blip r:embed="rId88"/>
                    <a:stretch>
                      <a:fillRect/>
                    </a:stretch>
                  </pic:blipFill>
                  <pic:spPr>
                    <a:xfrm>
                      <a:off x="0" y="0"/>
                      <a:ext cx="10462224" cy="1980188"/>
                    </a:xfrm>
                    <a:prstGeom prst="rect">
                      <a:avLst/>
                    </a:prstGeom>
                  </pic:spPr>
                </pic:pic>
              </a:graphicData>
            </a:graphic>
          </wp:inline>
        </w:drawing>
      </w:r>
    </w:p>
    <w:p w14:paraId="2CFA4BF5" w14:textId="77777777" w:rsidR="00AA0841" w:rsidRPr="00716A3C" w:rsidRDefault="00AA0841" w:rsidP="00AA0841">
      <w:pPr>
        <w:pStyle w:val="PlainText"/>
        <w:rPr>
          <w:rFonts w:asciiTheme="minorHAnsi" w:hAnsiTheme="minorHAnsi"/>
          <w:sz w:val="22"/>
          <w:szCs w:val="22"/>
        </w:rPr>
      </w:pPr>
    </w:p>
    <w:p w14:paraId="1940C7FA" w14:textId="77777777" w:rsidR="00AA0841" w:rsidRDefault="00AA0841" w:rsidP="00AA0841">
      <w:pPr>
        <w:spacing w:after="240"/>
        <w:rPr>
          <w:rStyle w:val="Hyperlink"/>
          <w:rFonts w:ascii="Century Gothic" w:hAnsi="Century Gothic" w:cs="Arial"/>
          <w:noProof/>
        </w:rPr>
        <w:sectPr w:rsidR="00AA0841" w:rsidSect="003737D8">
          <w:footerReference w:type="first" r:id="rId146"/>
          <w:footnotePr>
            <w:numFmt w:val="chicago"/>
          </w:footnotePr>
          <w:pgSz w:w="23814" w:h="16839" w:orient="landscape" w:code="8"/>
          <w:pgMar w:top="1134" w:right="821" w:bottom="851" w:left="964" w:header="567" w:footer="397" w:gutter="0"/>
          <w:cols w:space="708"/>
          <w:docGrid w:linePitch="360"/>
        </w:sectPr>
      </w:pPr>
    </w:p>
    <w:p w14:paraId="654490B8" w14:textId="77777777" w:rsidR="00AA0841" w:rsidRDefault="00AA0841" w:rsidP="0057535E">
      <w:pPr>
        <w:pStyle w:val="Heading3"/>
      </w:pPr>
      <w:r>
        <w:lastRenderedPageBreak/>
        <w:t>Water delivery in 2020–21</w:t>
      </w:r>
    </w:p>
    <w:p w14:paraId="1270C6F3" w14:textId="77777777" w:rsidR="00AA0841" w:rsidRPr="00365FE2" w:rsidRDefault="00AA0841" w:rsidP="00AA0841">
      <w:r w:rsidRPr="00365FE2">
        <w:t xml:space="preserve">Based on the demand for water for the environment, water availability (supply), and catchment conditions, the overall purpose for managing Commonwealth water for the environment in the </w:t>
      </w:r>
      <w:r>
        <w:t>Namoi</w:t>
      </w:r>
      <w:r w:rsidRPr="00365FE2">
        <w:t xml:space="preserve"> River Valley in 2020–21 is to avoid damage and protect the health and resilience of aquatic ecosystems in the</w:t>
      </w:r>
      <w:r>
        <w:t xml:space="preserve"> Lower Namoi and Peel rivers.</w:t>
      </w:r>
      <w:r w:rsidRPr="00365FE2">
        <w:t xml:space="preserve"> </w:t>
      </w:r>
    </w:p>
    <w:p w14:paraId="0B8D2588" w14:textId="77777777" w:rsidR="00AA0841" w:rsidRDefault="00AA0841" w:rsidP="00AA0841">
      <w:r>
        <w:t>Subject to water availability, and c</w:t>
      </w:r>
      <w:r w:rsidRPr="00365FE2">
        <w:t xml:space="preserve">onsistent with the demands and purpose identified, the </w:t>
      </w:r>
      <w:r>
        <w:t>CEWO</w:t>
      </w:r>
      <w:r w:rsidRPr="00365FE2">
        <w:t xml:space="preserve"> is considering supplying water for the environment to the following actions in 2020–21.</w:t>
      </w:r>
    </w:p>
    <w:p w14:paraId="40E5904C" w14:textId="77777777" w:rsidR="00AA0841" w:rsidRDefault="00AA0841" w:rsidP="00AA0841">
      <w:r w:rsidRPr="00C6649E">
        <w:t xml:space="preserve">There is a critical demand to provide very low flows and baseflows in both the Lower Namoi and Peel rivers, where prolonged drought conditions have meant </w:t>
      </w:r>
      <w:r>
        <w:t xml:space="preserve">requirements for </w:t>
      </w:r>
      <w:r w:rsidRPr="00C6649E">
        <w:t>these flow</w:t>
      </w:r>
      <w:r>
        <w:t xml:space="preserve"> components</w:t>
      </w:r>
      <w:r w:rsidRPr="00C6649E">
        <w:t xml:space="preserve"> have not </w:t>
      </w:r>
      <w:r>
        <w:t xml:space="preserve">been </w:t>
      </w:r>
      <w:r w:rsidRPr="00C6649E">
        <w:t>adequately met. In particular,</w:t>
      </w:r>
      <w:r>
        <w:t xml:space="preserve"> requirements for</w:t>
      </w:r>
      <w:r w:rsidRPr="00C6649E">
        <w:t xml:space="preserve"> baseflows have generally not been adequately met for a number of years in the Lower Namoi River.</w:t>
      </w:r>
      <w:r>
        <w:t xml:space="preserve"> Maintaining a very low flow (at minimum) and preferably a baseflow along as great a length of river as possible will be a high priority for 2020–21. These flows would help provide refuge habitat, improve water quality, increase connectivity, support native fish, and help to build resilience. </w:t>
      </w:r>
    </w:p>
    <w:p w14:paraId="41DD8ECC" w14:textId="77777777" w:rsidR="00AA0841" w:rsidRPr="00365FE2" w:rsidRDefault="00AA0841" w:rsidP="00AA0841">
      <w:r>
        <w:t xml:space="preserve">Should conditions improve, and more water becomes available, the priority would be to reassess demand and potentially deliver critical components, which may include extending the duration of baseflows, or providing small freshes, which currently have a high to critical demand for water. Providing small freshes in either the Lower Namoi River or Peel River would be dependent on delivering water for the environment in conjunction with other water. The highest priority reaches for delivering small freshes may be Keepit Dam to Gunnedah (especially downstream of Keepit to the Peel River junction) in the Lower Namoi River, and Chaffey Dam to Piallamore in the Peel River, where these flows were not met in 2019–20. Delivering small freshes would provide connectivity, maintain pools and water quality, support native fish movement and condition, and possibly provide opportunity for spawning of some species (flow generalists and in-channel specialists). </w:t>
      </w:r>
    </w:p>
    <w:p w14:paraId="6BBC041E" w14:textId="77777777" w:rsidR="00AA0841" w:rsidRDefault="00AA0841" w:rsidP="00AA0841">
      <w:r w:rsidRPr="00F377C1">
        <w:t xml:space="preserve">While there are also critical demands for water to achieve </w:t>
      </w:r>
      <w:r w:rsidRPr="00EF4D6B">
        <w:t>large</w:t>
      </w:r>
      <w:r w:rsidRPr="00F377C1">
        <w:t xml:space="preserve"> freshes and bankfull flows in the Namoi and Peel rivers, the capacity to use Commonwealth environmental water to contribute to these demands is limited. In the Namoi, a significant increase in water availability would be required, and environmental water is unlikely to contribute to these flows in the Peel River because of the </w:t>
      </w:r>
      <w:r>
        <w:t xml:space="preserve">relatively </w:t>
      </w:r>
      <w:r w:rsidRPr="00F377C1">
        <w:t xml:space="preserve">small volumes available </w:t>
      </w:r>
      <w:r>
        <w:t xml:space="preserve">to meet demand, </w:t>
      </w:r>
      <w:r w:rsidRPr="00F377C1">
        <w:t xml:space="preserve">and system constraints. </w:t>
      </w:r>
    </w:p>
    <w:p w14:paraId="26F6F533" w14:textId="77777777" w:rsidR="00AA0841" w:rsidRPr="00365FE2" w:rsidRDefault="00AA0841" w:rsidP="00AA0841">
      <w:r w:rsidRPr="00365FE2">
        <w:t>As in previous years, the use of Commonwealth water</w:t>
      </w:r>
      <w:r>
        <w:t xml:space="preserve"> for the environment</w:t>
      </w:r>
      <w:r w:rsidRPr="00365FE2">
        <w:t xml:space="preserve"> in the </w:t>
      </w:r>
      <w:r>
        <w:t>Namoi</w:t>
      </w:r>
      <w:r w:rsidRPr="00365FE2">
        <w:t xml:space="preserve"> River Valley will be adaptively managed throughout 2020–21, in response to changing water resource availability and environmental conditions and demands.</w:t>
      </w:r>
      <w:r>
        <w:t xml:space="preserve"> </w:t>
      </w:r>
    </w:p>
    <w:p w14:paraId="6B297A92" w14:textId="77777777" w:rsidR="00AA0841" w:rsidRDefault="00AA0841" w:rsidP="00AA0841">
      <w:pPr>
        <w:spacing w:after="0"/>
        <w:rPr>
          <w:noProof/>
          <w:color w:val="5F497A" w:themeColor="accent4" w:themeShade="BF"/>
          <w:sz w:val="26"/>
          <w:szCs w:val="24"/>
          <w:lang w:val="en-GB"/>
        </w:rPr>
      </w:pPr>
      <w:r>
        <w:rPr>
          <w:noProof/>
        </w:rPr>
        <w:br w:type="page"/>
      </w:r>
    </w:p>
    <w:p w14:paraId="31501319" w14:textId="77777777" w:rsidR="00AA0841" w:rsidRPr="000B4649" w:rsidRDefault="00AA0841" w:rsidP="0057535E">
      <w:pPr>
        <w:pStyle w:val="Heading3"/>
      </w:pPr>
      <w:r w:rsidRPr="000B4649">
        <w:lastRenderedPageBreak/>
        <w:t>Monitoring and Lessons learn</w:t>
      </w:r>
      <w:r>
        <w:t>ed</w:t>
      </w:r>
    </w:p>
    <w:p w14:paraId="67F97AD3" w14:textId="77777777" w:rsidR="00AA0841" w:rsidRPr="00A75F68" w:rsidRDefault="00AA0841" w:rsidP="0057535E">
      <w:pPr>
        <w:pStyle w:val="Heading4"/>
      </w:pPr>
      <w:r w:rsidRPr="00A75F68">
        <w:t>Monitoring</w:t>
      </w:r>
    </w:p>
    <w:p w14:paraId="68E9DB33" w14:textId="77777777" w:rsidR="00AA0841" w:rsidRPr="00D1079D" w:rsidRDefault="00AA0841" w:rsidP="00AA0841">
      <w:r w:rsidRPr="00C35582">
        <w:t>In the Namoi River Valley, monitoring is primarily undertaken by NSW agencies including NSW DPIE, (inundation and photo point monitoring), NSW DPI – Fisheries (native fish), and WaterNSW (hydrology and flow delivery data).</w:t>
      </w:r>
      <w:r w:rsidRPr="00D1079D">
        <w:t xml:space="preserve"> </w:t>
      </w:r>
    </w:p>
    <w:p w14:paraId="6E8B189A" w14:textId="77777777" w:rsidR="00AA0841" w:rsidRPr="00F24369" w:rsidRDefault="00AA0841" w:rsidP="0057535E">
      <w:pPr>
        <w:pStyle w:val="Heading4"/>
      </w:pPr>
      <w:r w:rsidRPr="00F24369">
        <w:t>Lessons learn</w:t>
      </w:r>
      <w:r>
        <w:t>ed</w:t>
      </w:r>
    </w:p>
    <w:p w14:paraId="693BCD6B" w14:textId="77777777" w:rsidR="00AA0841" w:rsidRPr="00D1079D" w:rsidRDefault="00AA0841" w:rsidP="00AA0841">
      <w:r w:rsidRPr="00D1079D">
        <w:t>Outcomes from monitoring and lessons learned in previous years are a critical component for the effective and efficient use of Commonwealth water for the environment. These learnings are incorporated into the way environmental water is managed.</w:t>
      </w:r>
    </w:p>
    <w:p w14:paraId="36447D47" w14:textId="6BBABBFB" w:rsidR="00AA0841" w:rsidRPr="00D1079D" w:rsidRDefault="00AA0841" w:rsidP="00AA0841">
      <w:r w:rsidRPr="00D1079D">
        <w:t xml:space="preserve">Key </w:t>
      </w:r>
      <w:r>
        <w:t xml:space="preserve">lessons and </w:t>
      </w:r>
      <w:r w:rsidRPr="00D1079D">
        <w:t xml:space="preserve">findings </w:t>
      </w:r>
      <w:r>
        <w:t xml:space="preserve">the 2017–18 and 2018–19 watering years and state agency monitoring results in the Namoi River Valley are summarised in </w:t>
      </w:r>
      <w:r w:rsidRPr="00A9737D">
        <w:fldChar w:fldCharType="begin"/>
      </w:r>
      <w:r w:rsidRPr="00A9737D">
        <w:instrText xml:space="preserve"> REF _Ref43892165 \h  \* MERGEFORMAT </w:instrText>
      </w:r>
      <w:r w:rsidRPr="00A9737D">
        <w:fldChar w:fldCharType="separate"/>
      </w:r>
      <w:r w:rsidR="001B2852" w:rsidRPr="001B2852">
        <w:t xml:space="preserve">Table </w:t>
      </w:r>
      <w:r w:rsidR="001B2852" w:rsidRPr="001B2852">
        <w:rPr>
          <w:noProof/>
        </w:rPr>
        <w:t>21</w:t>
      </w:r>
      <w:r w:rsidRPr="00A9737D">
        <w:fldChar w:fldCharType="end"/>
      </w:r>
      <w:r>
        <w:t>.</w:t>
      </w:r>
    </w:p>
    <w:p w14:paraId="7C86ECD9" w14:textId="732AACCF" w:rsidR="00AA0841" w:rsidRPr="00D1079D" w:rsidRDefault="00AA0841" w:rsidP="00AA0841">
      <w:pPr>
        <w:spacing w:before="240"/>
      </w:pPr>
      <w:bookmarkStart w:id="105" w:name="_Ref43892165"/>
      <w:r w:rsidRPr="00A9737D">
        <w:rPr>
          <w:b/>
        </w:rPr>
        <w:t xml:space="preserve">Table </w:t>
      </w:r>
      <w:r w:rsidRPr="00A9737D">
        <w:rPr>
          <w:b/>
        </w:rPr>
        <w:fldChar w:fldCharType="begin"/>
      </w:r>
      <w:r w:rsidRPr="00A9737D">
        <w:rPr>
          <w:b/>
        </w:rPr>
        <w:instrText xml:space="preserve"> SEQ Table \* ARABIC </w:instrText>
      </w:r>
      <w:r w:rsidRPr="00A9737D">
        <w:rPr>
          <w:b/>
        </w:rPr>
        <w:fldChar w:fldCharType="separate"/>
      </w:r>
      <w:r w:rsidR="001B2852">
        <w:rPr>
          <w:b/>
          <w:noProof/>
        </w:rPr>
        <w:t>21</w:t>
      </w:r>
      <w:r w:rsidRPr="00A9737D">
        <w:rPr>
          <w:b/>
        </w:rPr>
        <w:fldChar w:fldCharType="end"/>
      </w:r>
      <w:bookmarkEnd w:id="105"/>
      <w:r>
        <w:t xml:space="preserve">: Key lessons learned in </w:t>
      </w:r>
      <w:r w:rsidRPr="00DC5672">
        <w:t>the Namoi River Valley</w:t>
      </w:r>
    </w:p>
    <w:tbl>
      <w:tblPr>
        <w:tblStyle w:val="TableGrid"/>
        <w:tblW w:w="0" w:type="auto"/>
        <w:tblLook w:val="04A0" w:firstRow="1" w:lastRow="0" w:firstColumn="1" w:lastColumn="0" w:noHBand="0" w:noVBand="1"/>
      </w:tblPr>
      <w:tblGrid>
        <w:gridCol w:w="1684"/>
        <w:gridCol w:w="8115"/>
      </w:tblGrid>
      <w:tr w:rsidR="00AA0841" w:rsidRPr="00D1079D" w14:paraId="6A452D76" w14:textId="77777777" w:rsidTr="00AA0841">
        <w:trPr>
          <w:cnfStyle w:val="100000000000" w:firstRow="1" w:lastRow="0" w:firstColumn="0" w:lastColumn="0" w:oddVBand="0" w:evenVBand="0" w:oddHBand="0" w:evenHBand="0" w:firstRowFirstColumn="0" w:firstRowLastColumn="0" w:lastRowFirstColumn="0" w:lastRowLastColumn="0"/>
        </w:trPr>
        <w:tc>
          <w:tcPr>
            <w:tcW w:w="1696" w:type="dxa"/>
            <w:shd w:val="clear" w:color="auto" w:fill="B6DDE8" w:themeFill="accent5" w:themeFillTint="66"/>
          </w:tcPr>
          <w:p w14:paraId="5F393BCA" w14:textId="77777777" w:rsidR="00AA0841" w:rsidRPr="009835DA" w:rsidRDefault="00AA0841" w:rsidP="00AA0841">
            <w:pPr>
              <w:keepNext/>
              <w:keepLines/>
              <w:rPr>
                <w:b/>
              </w:rPr>
            </w:pPr>
            <w:r w:rsidRPr="009835DA">
              <w:rPr>
                <w:b/>
              </w:rPr>
              <w:t>Theme</w:t>
            </w:r>
          </w:p>
        </w:tc>
        <w:tc>
          <w:tcPr>
            <w:tcW w:w="8358" w:type="dxa"/>
            <w:shd w:val="clear" w:color="auto" w:fill="B6DDE8" w:themeFill="accent5" w:themeFillTint="66"/>
          </w:tcPr>
          <w:p w14:paraId="31B79112" w14:textId="77777777" w:rsidR="00AA0841" w:rsidRPr="009835DA" w:rsidRDefault="00AA0841" w:rsidP="00AA0841">
            <w:pPr>
              <w:keepNext/>
              <w:keepLines/>
              <w:rPr>
                <w:b/>
              </w:rPr>
            </w:pPr>
            <w:r w:rsidRPr="009835DA">
              <w:rPr>
                <w:b/>
              </w:rPr>
              <w:t>Lesson learned</w:t>
            </w:r>
          </w:p>
        </w:tc>
      </w:tr>
      <w:tr w:rsidR="00AA0841" w:rsidRPr="00D1079D" w14:paraId="13AE29F7" w14:textId="77777777" w:rsidTr="00AA0841">
        <w:trPr>
          <w:cnfStyle w:val="000000100000" w:firstRow="0" w:lastRow="0" w:firstColumn="0" w:lastColumn="0" w:oddVBand="0" w:evenVBand="0" w:oddHBand="1" w:evenHBand="0" w:firstRowFirstColumn="0" w:firstRowLastColumn="0" w:lastRowFirstColumn="0" w:lastRowLastColumn="0"/>
        </w:trPr>
        <w:tc>
          <w:tcPr>
            <w:tcW w:w="1696" w:type="dxa"/>
            <w:shd w:val="clear" w:color="auto" w:fill="B6DDE8" w:themeFill="accent5" w:themeFillTint="66"/>
          </w:tcPr>
          <w:p w14:paraId="7AEE0478" w14:textId="77777777" w:rsidR="00AA0841" w:rsidRPr="00D1079D" w:rsidRDefault="00AA0841" w:rsidP="00AA0841">
            <w:pPr>
              <w:keepNext/>
              <w:keepLines/>
            </w:pPr>
            <w:r w:rsidRPr="00D1079D">
              <w:t>Native fish</w:t>
            </w:r>
          </w:p>
        </w:tc>
        <w:tc>
          <w:tcPr>
            <w:tcW w:w="8358" w:type="dxa"/>
          </w:tcPr>
          <w:p w14:paraId="182E726C" w14:textId="77777777" w:rsidR="00AA0841" w:rsidRPr="00014884" w:rsidRDefault="00AA0841" w:rsidP="00AA0841">
            <w:pPr>
              <w:pStyle w:val="DotStyle1"/>
            </w:pPr>
            <w:r w:rsidRPr="00014884">
              <w:t>Providing a small flow to the lower Namoi River during dry conditions can be beneficial for</w:t>
            </w:r>
            <w:r>
              <w:t xml:space="preserve"> improving</w:t>
            </w:r>
            <w:r w:rsidRPr="00014884">
              <w:t xml:space="preserve"> water quality and native fish survival, by increasing water depth and dissolved oxygen levels in refuge pools.</w:t>
            </w:r>
          </w:p>
          <w:p w14:paraId="48E85268" w14:textId="77777777" w:rsidR="00AA0841" w:rsidRPr="00D1079D" w:rsidRDefault="00AA0841" w:rsidP="00AA0841">
            <w:pPr>
              <w:pStyle w:val="DotStyle1"/>
            </w:pPr>
            <w:r w:rsidRPr="00014884">
              <w:t>The number of small freshes ha</w:t>
            </w:r>
            <w:r>
              <w:t>s</w:t>
            </w:r>
            <w:r w:rsidRPr="00014884">
              <w:t xml:space="preserve"> been substantially reduced by river regulation downstream of Chaffey Dam. Therefore, providing environmental water may be important for supporting native fish that depend on these flows to maintain healthy condition, and to support dispersal and recruitment, which is needed to maintain native fish populations.</w:t>
            </w:r>
          </w:p>
        </w:tc>
      </w:tr>
      <w:tr w:rsidR="00AA0841" w:rsidRPr="00D1079D" w14:paraId="4CD07E76" w14:textId="77777777" w:rsidTr="00AA0841">
        <w:trPr>
          <w:cnfStyle w:val="000000010000" w:firstRow="0" w:lastRow="0" w:firstColumn="0" w:lastColumn="0" w:oddVBand="0" w:evenVBand="0" w:oddHBand="0" w:evenHBand="1" w:firstRowFirstColumn="0" w:firstRowLastColumn="0" w:lastRowFirstColumn="0" w:lastRowLastColumn="0"/>
        </w:trPr>
        <w:tc>
          <w:tcPr>
            <w:tcW w:w="1696" w:type="dxa"/>
            <w:shd w:val="clear" w:color="auto" w:fill="B6DDE8" w:themeFill="accent5" w:themeFillTint="66"/>
          </w:tcPr>
          <w:p w14:paraId="1B8C9577" w14:textId="77777777" w:rsidR="00AA0841" w:rsidRPr="00D1079D" w:rsidRDefault="00AA0841" w:rsidP="00AA0841">
            <w:pPr>
              <w:keepNext/>
              <w:keepLines/>
            </w:pPr>
            <w:r w:rsidRPr="00D1079D">
              <w:t>Connectivity</w:t>
            </w:r>
            <w:r>
              <w:t>/ processes</w:t>
            </w:r>
          </w:p>
        </w:tc>
        <w:tc>
          <w:tcPr>
            <w:tcW w:w="8358" w:type="dxa"/>
          </w:tcPr>
          <w:p w14:paraId="7B4EBA90" w14:textId="77777777" w:rsidR="00AA0841" w:rsidRPr="00014884" w:rsidRDefault="00AA0841" w:rsidP="00AA0841">
            <w:pPr>
              <w:pStyle w:val="DotStyle1"/>
            </w:pPr>
            <w:r w:rsidRPr="00014884">
              <w:t xml:space="preserve">A pulse of 750 ML/day is more effective than 500 ML/day in wetting </w:t>
            </w:r>
            <w:r>
              <w:t xml:space="preserve">more </w:t>
            </w:r>
            <w:r w:rsidRPr="00014884">
              <w:t>low-level benches in the Peel River</w:t>
            </w:r>
            <w:r>
              <w:t xml:space="preserve"> and providing greater depths for fish movement</w:t>
            </w:r>
            <w:r w:rsidRPr="00014884">
              <w:t>.</w:t>
            </w:r>
          </w:p>
          <w:p w14:paraId="16581955" w14:textId="77777777" w:rsidR="00AA0841" w:rsidRPr="00D1079D" w:rsidRDefault="00AA0841" w:rsidP="00AA0841">
            <w:pPr>
              <w:pStyle w:val="DotStyle1"/>
            </w:pPr>
            <w:r w:rsidRPr="00014884">
              <w:t>Flows of 750 ML/day can also result in some fine sediment movement/scouring, however, flows over 1 000 ML/day may be required to effectively mobilise sediment and algae that has accumulated downstream of Chaffey Dam.</w:t>
            </w:r>
          </w:p>
        </w:tc>
      </w:tr>
    </w:tbl>
    <w:p w14:paraId="759051A0" w14:textId="77777777" w:rsidR="00AA0841" w:rsidRDefault="00AA0841" w:rsidP="00AA0841">
      <w:pPr>
        <w:pStyle w:val="NormalWeb"/>
        <w:spacing w:after="240"/>
        <w:rPr>
          <w:rFonts w:ascii="Century Gothic" w:hAnsi="Century Gothic"/>
        </w:rPr>
      </w:pPr>
    </w:p>
    <w:p w14:paraId="3C986262" w14:textId="77777777" w:rsidR="00AA0841" w:rsidRDefault="00AA0841" w:rsidP="00AA0841">
      <w:pPr>
        <w:spacing w:after="0"/>
        <w:rPr>
          <w:rFonts w:ascii="Century Gothic" w:hAnsi="Century Gothic" w:cs="Times New Roman"/>
          <w:color w:val="auto"/>
          <w:sz w:val="20"/>
          <w:lang w:val="en-US" w:eastAsia="en-US"/>
        </w:rPr>
      </w:pPr>
      <w:r>
        <w:rPr>
          <w:rFonts w:ascii="Century Gothic" w:hAnsi="Century Gothic"/>
        </w:rPr>
        <w:br w:type="page"/>
      </w:r>
    </w:p>
    <w:p w14:paraId="3D031BCC" w14:textId="77777777" w:rsidR="00AA0841" w:rsidRPr="00764C2A" w:rsidRDefault="00AA0841" w:rsidP="0057535E">
      <w:pPr>
        <w:pStyle w:val="Heading3"/>
      </w:pPr>
      <w:r w:rsidRPr="00D1079D">
        <w:lastRenderedPageBreak/>
        <w:t>Bibliography</w:t>
      </w:r>
    </w:p>
    <w:p w14:paraId="3B4E44EA" w14:textId="77777777" w:rsidR="00AA0841" w:rsidRPr="00B85A4D" w:rsidRDefault="00AA0841" w:rsidP="00AA0841">
      <w:pPr>
        <w:pStyle w:val="Para0"/>
        <w:spacing w:after="240" w:line="240" w:lineRule="auto"/>
        <w:jc w:val="left"/>
        <w:rPr>
          <w:rFonts w:asciiTheme="minorHAnsi" w:hAnsiTheme="minorHAnsi" w:cstheme="minorHAnsi"/>
          <w:sz w:val="22"/>
          <w:szCs w:val="22"/>
        </w:rPr>
      </w:pPr>
      <w:r w:rsidRPr="00B85A4D">
        <w:rPr>
          <w:rFonts w:asciiTheme="minorHAnsi" w:hAnsiTheme="minorHAnsi" w:cstheme="minorHAnsi"/>
          <w:sz w:val="22"/>
          <w:szCs w:val="22"/>
        </w:rPr>
        <w:t xml:space="preserve">Barma Water Resources, Thurtell, L. and Wettin, P. (2012). </w:t>
      </w:r>
      <w:r w:rsidRPr="00B85A4D">
        <w:rPr>
          <w:rFonts w:asciiTheme="minorHAnsi" w:hAnsiTheme="minorHAnsi" w:cstheme="minorHAnsi"/>
          <w:i/>
          <w:sz w:val="22"/>
          <w:szCs w:val="22"/>
        </w:rPr>
        <w:t>Environmental water delivery: Namoi River</w:t>
      </w:r>
      <w:r w:rsidRPr="00B85A4D">
        <w:rPr>
          <w:rFonts w:asciiTheme="minorHAnsi" w:hAnsiTheme="minorHAnsi" w:cstheme="minorHAnsi"/>
          <w:sz w:val="22"/>
          <w:szCs w:val="22"/>
        </w:rPr>
        <w:t>. Prepared for Commonwealth Environmental Water, Department of Sustainability, Environment, Water, Population and Communities, Canberra.</w:t>
      </w:r>
    </w:p>
    <w:p w14:paraId="44B69CC0" w14:textId="77777777" w:rsidR="00AA0841" w:rsidRDefault="00AA0841" w:rsidP="00AA0841">
      <w:pPr>
        <w:spacing w:after="240"/>
        <w:rPr>
          <w:rFonts w:cstheme="minorHAnsi"/>
          <w:szCs w:val="22"/>
        </w:rPr>
      </w:pPr>
      <w:r>
        <w:rPr>
          <w:rFonts w:cstheme="minorHAnsi"/>
          <w:szCs w:val="22"/>
        </w:rPr>
        <w:t xml:space="preserve">Bureau of Meteorology (2020). </w:t>
      </w:r>
      <w:r w:rsidRPr="00292C5A">
        <w:rPr>
          <w:i/>
          <w:iCs/>
          <w:szCs w:val="22"/>
          <w:lang w:val="en"/>
        </w:rPr>
        <w:t>Rainfall—</w:t>
      </w:r>
      <w:r w:rsidRPr="00292C5A">
        <w:rPr>
          <w:rStyle w:val="app-title-description"/>
          <w:i/>
          <w:iCs/>
          <w:szCs w:val="22"/>
          <w:lang w:val="en"/>
        </w:rPr>
        <w:t>The chance of above median</w:t>
      </w:r>
      <w:r w:rsidRPr="00292C5A">
        <w:rPr>
          <w:i/>
          <w:iCs/>
          <w:szCs w:val="22"/>
          <w:lang w:val="en"/>
        </w:rPr>
        <w:t xml:space="preserve"> for </w:t>
      </w:r>
      <w:r>
        <w:rPr>
          <w:i/>
          <w:iCs/>
          <w:szCs w:val="22"/>
          <w:lang w:val="en"/>
        </w:rPr>
        <w:t>July</w:t>
      </w:r>
      <w:r w:rsidRPr="00292C5A">
        <w:rPr>
          <w:i/>
          <w:iCs/>
          <w:szCs w:val="22"/>
          <w:lang w:val="en"/>
        </w:rPr>
        <w:t xml:space="preserve"> to </w:t>
      </w:r>
      <w:r>
        <w:rPr>
          <w:i/>
          <w:iCs/>
          <w:szCs w:val="22"/>
          <w:lang w:val="en"/>
        </w:rPr>
        <w:t xml:space="preserve">September 2020. </w:t>
      </w:r>
      <w:hyperlink r:id="rId147" w:anchor="/rainfall/median/seasonal/0" w:history="1">
        <w:r w:rsidRPr="0083580E">
          <w:rPr>
            <w:rStyle w:val="Hyperlink"/>
            <w:rFonts w:cstheme="minorHAnsi"/>
          </w:rPr>
          <w:t>http://www.bom.gov.au/climate/outlooks/#/rainfall/median/seasonal/0</w:t>
        </w:r>
      </w:hyperlink>
      <w:r>
        <w:rPr>
          <w:rFonts w:cstheme="minorHAnsi"/>
          <w:szCs w:val="22"/>
        </w:rPr>
        <w:t xml:space="preserve"> </w:t>
      </w:r>
    </w:p>
    <w:p w14:paraId="2CA84020" w14:textId="77777777" w:rsidR="00AA0841" w:rsidRDefault="00AA0841" w:rsidP="00AA0841">
      <w:pPr>
        <w:spacing w:after="240"/>
        <w:rPr>
          <w:rFonts w:cstheme="minorHAnsi"/>
          <w:szCs w:val="22"/>
        </w:rPr>
      </w:pPr>
      <w:r>
        <w:rPr>
          <w:rFonts w:cstheme="minorHAnsi"/>
          <w:szCs w:val="22"/>
        </w:rPr>
        <w:t xml:space="preserve">Bureau of Meteorology (2020). </w:t>
      </w:r>
      <w:r w:rsidRPr="00292C5A">
        <w:rPr>
          <w:i/>
          <w:iCs/>
          <w:szCs w:val="22"/>
          <w:lang w:val="en"/>
        </w:rPr>
        <w:t>Rainfall—</w:t>
      </w:r>
      <w:r w:rsidRPr="00292C5A">
        <w:rPr>
          <w:rStyle w:val="app-title-description"/>
          <w:i/>
          <w:iCs/>
          <w:szCs w:val="22"/>
          <w:lang w:val="en"/>
        </w:rPr>
        <w:t>The chance of above median</w:t>
      </w:r>
      <w:r w:rsidRPr="00292C5A">
        <w:rPr>
          <w:i/>
          <w:iCs/>
          <w:szCs w:val="22"/>
          <w:lang w:val="en"/>
        </w:rPr>
        <w:t xml:space="preserve"> for </w:t>
      </w:r>
      <w:r>
        <w:rPr>
          <w:i/>
          <w:iCs/>
          <w:szCs w:val="22"/>
          <w:lang w:val="en"/>
        </w:rPr>
        <w:t xml:space="preserve">August to October 2020. </w:t>
      </w:r>
      <w:hyperlink r:id="rId148" w:anchor="/rainfall/median/seasonal/1" w:history="1">
        <w:r w:rsidRPr="001249D0">
          <w:rPr>
            <w:rStyle w:val="Hyperlink"/>
            <w:rFonts w:cstheme="minorHAnsi"/>
          </w:rPr>
          <w:t>http://www.bom.gov.au/climate/outlooks/#/rainfall/median/seasonal/1</w:t>
        </w:r>
      </w:hyperlink>
    </w:p>
    <w:p w14:paraId="4DB0E550" w14:textId="77777777" w:rsidR="00AA0841" w:rsidRDefault="00AA0841" w:rsidP="00AA0841">
      <w:pPr>
        <w:spacing w:after="240"/>
        <w:rPr>
          <w:rFonts w:cstheme="minorHAnsi"/>
          <w:szCs w:val="22"/>
        </w:rPr>
      </w:pPr>
      <w:r>
        <w:rPr>
          <w:rFonts w:cstheme="minorHAnsi"/>
          <w:szCs w:val="22"/>
        </w:rPr>
        <w:t xml:space="preserve">Bureau of Meteorology (2020). </w:t>
      </w:r>
      <w:r w:rsidRPr="00292C5A">
        <w:rPr>
          <w:i/>
          <w:iCs/>
          <w:szCs w:val="22"/>
          <w:lang w:val="en"/>
        </w:rPr>
        <w:t>Temperature—</w:t>
      </w:r>
      <w:r w:rsidRPr="00292C5A">
        <w:rPr>
          <w:rStyle w:val="app-title-description"/>
          <w:i/>
          <w:iCs/>
          <w:szCs w:val="22"/>
          <w:lang w:val="en"/>
        </w:rPr>
        <w:t>The chance of above median maximum temperature</w:t>
      </w:r>
      <w:r w:rsidRPr="00292C5A">
        <w:rPr>
          <w:i/>
          <w:iCs/>
          <w:szCs w:val="22"/>
          <w:lang w:val="en"/>
        </w:rPr>
        <w:t xml:space="preserve"> for </w:t>
      </w:r>
      <w:r>
        <w:rPr>
          <w:i/>
          <w:iCs/>
          <w:szCs w:val="22"/>
          <w:lang w:val="en"/>
        </w:rPr>
        <w:t>June</w:t>
      </w:r>
      <w:r w:rsidRPr="00292C5A">
        <w:rPr>
          <w:i/>
          <w:iCs/>
          <w:szCs w:val="22"/>
          <w:lang w:val="en"/>
        </w:rPr>
        <w:t xml:space="preserve"> to </w:t>
      </w:r>
      <w:r>
        <w:rPr>
          <w:i/>
          <w:iCs/>
          <w:szCs w:val="22"/>
          <w:lang w:val="en"/>
        </w:rPr>
        <w:t>August</w:t>
      </w:r>
      <w:r w:rsidRPr="00292C5A">
        <w:rPr>
          <w:i/>
          <w:iCs/>
          <w:szCs w:val="22"/>
          <w:lang w:val="en"/>
        </w:rPr>
        <w:t xml:space="preserve"> 2020</w:t>
      </w:r>
      <w:r>
        <w:rPr>
          <w:szCs w:val="22"/>
          <w:lang w:val="en"/>
        </w:rPr>
        <w:t xml:space="preserve">. </w:t>
      </w:r>
      <w:hyperlink r:id="rId149" w:anchor="/temperature/maximum/median/seasonal/0" w:history="1">
        <w:r w:rsidRPr="0083580E">
          <w:rPr>
            <w:rStyle w:val="Hyperlink"/>
            <w:rFonts w:cstheme="minorHAnsi"/>
          </w:rPr>
          <w:t>http://www.bom.gov.au/climate/outlooks/#/temperature/maximum/median/seasonal/0</w:t>
        </w:r>
      </w:hyperlink>
      <w:r>
        <w:rPr>
          <w:rFonts w:cstheme="minorHAnsi"/>
          <w:szCs w:val="22"/>
        </w:rPr>
        <w:t xml:space="preserve"> </w:t>
      </w:r>
    </w:p>
    <w:p w14:paraId="165A182A" w14:textId="77777777" w:rsidR="00AA0841" w:rsidRDefault="00AA0841" w:rsidP="00AA0841">
      <w:pPr>
        <w:rPr>
          <w:rStyle w:val="Hyperlink"/>
          <w:lang w:val="en"/>
        </w:rPr>
      </w:pPr>
      <w:r>
        <w:rPr>
          <w:rFonts w:cstheme="minorHAnsi"/>
          <w:szCs w:val="22"/>
        </w:rPr>
        <w:t xml:space="preserve">Bureau of Meteorology (2020). </w:t>
      </w:r>
      <w:r w:rsidRPr="00292C5A">
        <w:rPr>
          <w:i/>
          <w:iCs/>
          <w:szCs w:val="22"/>
          <w:lang w:val="en"/>
        </w:rPr>
        <w:t>Temperature—</w:t>
      </w:r>
      <w:r w:rsidRPr="00292C5A">
        <w:rPr>
          <w:rStyle w:val="app-title-description"/>
          <w:i/>
          <w:iCs/>
          <w:szCs w:val="22"/>
          <w:lang w:val="en"/>
        </w:rPr>
        <w:t>The chance of above median maximum temperature</w:t>
      </w:r>
      <w:r w:rsidRPr="00292C5A">
        <w:rPr>
          <w:i/>
          <w:iCs/>
          <w:szCs w:val="22"/>
          <w:lang w:val="en"/>
        </w:rPr>
        <w:t xml:space="preserve"> for </w:t>
      </w:r>
      <w:r>
        <w:rPr>
          <w:i/>
          <w:iCs/>
          <w:szCs w:val="22"/>
          <w:lang w:val="en"/>
        </w:rPr>
        <w:t>July</w:t>
      </w:r>
      <w:r w:rsidRPr="00292C5A">
        <w:rPr>
          <w:i/>
          <w:iCs/>
          <w:szCs w:val="22"/>
          <w:lang w:val="en"/>
        </w:rPr>
        <w:t xml:space="preserve"> to </w:t>
      </w:r>
      <w:r>
        <w:rPr>
          <w:i/>
          <w:iCs/>
          <w:szCs w:val="22"/>
          <w:lang w:val="en"/>
        </w:rPr>
        <w:t>September</w:t>
      </w:r>
      <w:r w:rsidRPr="00292C5A">
        <w:rPr>
          <w:i/>
          <w:iCs/>
          <w:szCs w:val="22"/>
          <w:lang w:val="en"/>
        </w:rPr>
        <w:t xml:space="preserve"> 2020</w:t>
      </w:r>
      <w:r>
        <w:rPr>
          <w:szCs w:val="22"/>
          <w:lang w:val="en"/>
        </w:rPr>
        <w:t xml:space="preserve">. </w:t>
      </w:r>
      <w:hyperlink r:id="rId150" w:anchor="/temperature/maximum/median/seasonal/1" w:history="1">
        <w:r w:rsidRPr="0083580E">
          <w:rPr>
            <w:rStyle w:val="Hyperlink"/>
            <w:lang w:val="en"/>
          </w:rPr>
          <w:t>http://www.bom.gov.au/climate/outlooks/#/temperature/maximum/median/seasonal/1</w:t>
        </w:r>
      </w:hyperlink>
    </w:p>
    <w:p w14:paraId="195DBE87" w14:textId="77777777" w:rsidR="00AA0841" w:rsidRDefault="00AA0841" w:rsidP="00AA0841">
      <w:pPr>
        <w:rPr>
          <w:rStyle w:val="Hyperlink"/>
          <w:rFonts w:cstheme="minorHAnsi"/>
        </w:rPr>
      </w:pPr>
      <w:r>
        <w:rPr>
          <w:rFonts w:cstheme="minorHAnsi"/>
          <w:szCs w:val="22"/>
        </w:rPr>
        <w:t xml:space="preserve">Bureau of Meteorology (2020). </w:t>
      </w:r>
      <w:r w:rsidRPr="00FF1014">
        <w:rPr>
          <w:rFonts w:cstheme="minorHAnsi"/>
          <w:i/>
          <w:iCs/>
          <w:szCs w:val="22"/>
        </w:rPr>
        <w:t>Thirty-six monthly rainfall deciles for New South Wales / ACT.</w:t>
      </w:r>
      <w:r>
        <w:rPr>
          <w:rFonts w:cstheme="minorHAnsi"/>
          <w:szCs w:val="22"/>
        </w:rPr>
        <w:t xml:space="preserve"> </w:t>
      </w:r>
      <w:hyperlink r:id="rId151" w:history="1">
        <w:r w:rsidRPr="0083580E">
          <w:rPr>
            <w:rStyle w:val="Hyperlink"/>
            <w:rFonts w:cstheme="minorHAnsi"/>
          </w:rPr>
          <w:t>http://www.bom.gov.au/jsp/awap/rain/index.jsp?colour=colour&amp;time=latest&amp;step=0&amp;map=decile&amp;period=36month&amp;area=ns</w:t>
        </w:r>
      </w:hyperlink>
    </w:p>
    <w:p w14:paraId="3C630E85" w14:textId="77777777" w:rsidR="00AA0841" w:rsidRPr="00B85A4D" w:rsidRDefault="00AA0841" w:rsidP="00AA0841">
      <w:pPr>
        <w:pStyle w:val="Para0"/>
        <w:spacing w:after="240" w:line="240" w:lineRule="auto"/>
        <w:jc w:val="left"/>
        <w:rPr>
          <w:rFonts w:asciiTheme="minorHAnsi" w:hAnsiTheme="minorHAnsi" w:cstheme="minorHAnsi"/>
          <w:sz w:val="22"/>
          <w:szCs w:val="22"/>
        </w:rPr>
      </w:pPr>
      <w:r w:rsidRPr="00B85A4D">
        <w:rPr>
          <w:rFonts w:asciiTheme="minorHAnsi" w:hAnsiTheme="minorHAnsi" w:cstheme="minorHAnsi"/>
          <w:sz w:val="22"/>
          <w:szCs w:val="22"/>
        </w:rPr>
        <w:t xml:space="preserve">Department of the Environment (2014). </w:t>
      </w:r>
      <w:r w:rsidRPr="00B85A4D">
        <w:rPr>
          <w:rFonts w:asciiTheme="minorHAnsi" w:hAnsiTheme="minorHAnsi" w:cstheme="minorHAnsi"/>
          <w:i/>
          <w:sz w:val="22"/>
          <w:szCs w:val="22"/>
        </w:rPr>
        <w:t>Commonwealth environmental water use options 2014–15: Namoi River Valley</w:t>
      </w:r>
      <w:r w:rsidRPr="00B85A4D">
        <w:rPr>
          <w:rFonts w:asciiTheme="minorHAnsi" w:hAnsiTheme="minorHAnsi" w:cstheme="minorHAnsi"/>
          <w:sz w:val="22"/>
          <w:szCs w:val="22"/>
        </w:rPr>
        <w:t xml:space="preserve">, Commonwealth of Australia 2014. </w:t>
      </w:r>
      <w:hyperlink r:id="rId152" w:history="1">
        <w:r w:rsidRPr="00B85A4D">
          <w:rPr>
            <w:rStyle w:val="Hyperlink"/>
            <w:rFonts w:asciiTheme="minorHAnsi" w:hAnsiTheme="minorHAnsi" w:cstheme="minorHAnsi"/>
            <w:sz w:val="22"/>
          </w:rPr>
          <w:t>http://www.environment.gov.au/resource/commonwealth-environmental-water-annual-use-options-namoi-river-valley</w:t>
        </w:r>
      </w:hyperlink>
      <w:r w:rsidRPr="00B85A4D">
        <w:rPr>
          <w:rFonts w:asciiTheme="minorHAnsi" w:hAnsiTheme="minorHAnsi" w:cstheme="minorHAnsi"/>
          <w:sz w:val="22"/>
          <w:szCs w:val="22"/>
        </w:rPr>
        <w:t xml:space="preserve"> </w:t>
      </w:r>
    </w:p>
    <w:p w14:paraId="3F30D71D" w14:textId="77777777" w:rsidR="00AA0841" w:rsidRPr="00C4348A" w:rsidRDefault="00AA0841" w:rsidP="00AA0841">
      <w:pPr>
        <w:pStyle w:val="Para0"/>
        <w:spacing w:after="240" w:line="240" w:lineRule="auto"/>
        <w:jc w:val="left"/>
        <w:rPr>
          <w:rFonts w:asciiTheme="minorHAnsi" w:hAnsiTheme="minorHAnsi" w:cstheme="minorHAnsi"/>
          <w:sz w:val="22"/>
          <w:szCs w:val="22"/>
        </w:rPr>
      </w:pPr>
      <w:r w:rsidRPr="00C4348A">
        <w:rPr>
          <w:rFonts w:asciiTheme="minorHAnsi" w:hAnsiTheme="minorHAnsi" w:cstheme="minorHAnsi"/>
          <w:sz w:val="22"/>
          <w:szCs w:val="22"/>
        </w:rPr>
        <w:t xml:space="preserve">Foster N. (1999). </w:t>
      </w:r>
      <w:r w:rsidRPr="00C4348A">
        <w:rPr>
          <w:rFonts w:asciiTheme="minorHAnsi" w:hAnsiTheme="minorHAnsi" w:cstheme="minorHAnsi"/>
          <w:i/>
          <w:sz w:val="22"/>
          <w:szCs w:val="22"/>
        </w:rPr>
        <w:t>An Assessment of the Commence-to-flow levels of Wetlands of the Lower Namoi Valley</w:t>
      </w:r>
      <w:r w:rsidRPr="00C4348A">
        <w:rPr>
          <w:rFonts w:asciiTheme="minorHAnsi" w:hAnsiTheme="minorHAnsi" w:cstheme="minorHAnsi"/>
          <w:sz w:val="22"/>
          <w:szCs w:val="22"/>
        </w:rPr>
        <w:t>, Department of Land and Water Conservation.</w:t>
      </w:r>
    </w:p>
    <w:p w14:paraId="4FB9425C" w14:textId="77777777" w:rsidR="00AA0841" w:rsidRDefault="00AA0841" w:rsidP="00AA0841">
      <w:pPr>
        <w:pStyle w:val="Para0"/>
        <w:spacing w:after="240" w:line="240" w:lineRule="auto"/>
        <w:jc w:val="left"/>
        <w:rPr>
          <w:rFonts w:asciiTheme="minorHAnsi" w:hAnsiTheme="minorHAnsi" w:cstheme="minorHAnsi"/>
          <w:sz w:val="22"/>
          <w:szCs w:val="22"/>
        </w:rPr>
      </w:pPr>
      <w:r w:rsidRPr="00C4348A">
        <w:rPr>
          <w:rFonts w:asciiTheme="minorHAnsi" w:hAnsiTheme="minorHAnsi" w:cstheme="minorHAnsi"/>
          <w:sz w:val="22"/>
          <w:szCs w:val="22"/>
        </w:rPr>
        <w:t>Green D., Petrovic J., Moss P., Burrell M. (2011)</w:t>
      </w:r>
      <w:r>
        <w:rPr>
          <w:rFonts w:asciiTheme="minorHAnsi" w:hAnsiTheme="minorHAnsi" w:cstheme="minorHAnsi"/>
          <w:sz w:val="22"/>
          <w:szCs w:val="22"/>
        </w:rPr>
        <w:t>.</w:t>
      </w:r>
      <w:r w:rsidRPr="00C4348A">
        <w:rPr>
          <w:rFonts w:asciiTheme="minorHAnsi" w:hAnsiTheme="minorHAnsi" w:cstheme="minorHAnsi"/>
          <w:sz w:val="22"/>
          <w:szCs w:val="22"/>
        </w:rPr>
        <w:t xml:space="preserve"> </w:t>
      </w:r>
      <w:r w:rsidRPr="00C4348A">
        <w:rPr>
          <w:rFonts w:asciiTheme="minorHAnsi" w:hAnsiTheme="minorHAnsi" w:cstheme="minorHAnsi"/>
          <w:i/>
          <w:iCs/>
          <w:sz w:val="22"/>
          <w:szCs w:val="22"/>
        </w:rPr>
        <w:t>Water resources and management overview: Namoi catchment</w:t>
      </w:r>
      <w:r>
        <w:rPr>
          <w:rFonts w:asciiTheme="minorHAnsi" w:hAnsiTheme="minorHAnsi" w:cstheme="minorHAnsi"/>
          <w:i/>
          <w:iCs/>
          <w:sz w:val="22"/>
          <w:szCs w:val="22"/>
        </w:rPr>
        <w:t>.</w:t>
      </w:r>
      <w:r w:rsidRPr="00C4348A">
        <w:rPr>
          <w:rFonts w:asciiTheme="minorHAnsi" w:hAnsiTheme="minorHAnsi" w:cstheme="minorHAnsi"/>
          <w:sz w:val="22"/>
          <w:szCs w:val="22"/>
        </w:rPr>
        <w:t xml:space="preserve"> NSW Office of Water, Sydney</w:t>
      </w:r>
      <w:r>
        <w:rPr>
          <w:rFonts w:asciiTheme="minorHAnsi" w:hAnsiTheme="minorHAnsi" w:cstheme="minorHAnsi"/>
          <w:sz w:val="22"/>
          <w:szCs w:val="22"/>
        </w:rPr>
        <w:t>.</w:t>
      </w:r>
    </w:p>
    <w:p w14:paraId="1133A090" w14:textId="77777777" w:rsidR="00AA0841" w:rsidRPr="00B85A4D" w:rsidRDefault="00AA0841" w:rsidP="00AA0841">
      <w:pPr>
        <w:pStyle w:val="NormalWeb"/>
        <w:spacing w:after="240"/>
        <w:rPr>
          <w:rFonts w:asciiTheme="minorHAnsi" w:hAnsiTheme="minorHAnsi" w:cstheme="minorHAnsi"/>
          <w:sz w:val="22"/>
          <w:szCs w:val="22"/>
        </w:rPr>
      </w:pPr>
      <w:r w:rsidRPr="00B85A4D">
        <w:rPr>
          <w:rFonts w:asciiTheme="minorHAnsi" w:hAnsiTheme="minorHAnsi" w:cstheme="minorHAnsi"/>
          <w:sz w:val="22"/>
          <w:szCs w:val="22"/>
        </w:rPr>
        <w:t xml:space="preserve">Murray–Darling Basin Authority (2012). </w:t>
      </w:r>
      <w:r w:rsidRPr="00B85A4D">
        <w:rPr>
          <w:rFonts w:asciiTheme="minorHAnsi" w:hAnsiTheme="minorHAnsi" w:cstheme="minorHAnsi"/>
          <w:i/>
          <w:sz w:val="22"/>
          <w:szCs w:val="22"/>
        </w:rPr>
        <w:t>Assessment of environmental water requirements for the proposed Basin Plan: Lower Namoi River (in-channel flows),</w:t>
      </w:r>
      <w:r w:rsidRPr="00B85A4D">
        <w:rPr>
          <w:rFonts w:asciiTheme="minorHAnsi" w:hAnsiTheme="minorHAnsi" w:cstheme="minorHAnsi"/>
          <w:sz w:val="22"/>
          <w:szCs w:val="22"/>
        </w:rPr>
        <w:t xml:space="preserve"> Commonwealth of Australia 2012 </w:t>
      </w:r>
      <w:hyperlink r:id="rId153" w:history="1">
        <w:r w:rsidRPr="00B85A4D">
          <w:rPr>
            <w:rStyle w:val="Hyperlink"/>
            <w:rFonts w:asciiTheme="minorHAnsi" w:hAnsiTheme="minorHAnsi" w:cstheme="minorHAnsi"/>
            <w:sz w:val="22"/>
          </w:rPr>
          <w:t xml:space="preserve">http://www.mdba.gov.au/sites/default/files/archived/proposed/EWR-Lower-Namoi-River-in-channelflows.pdf </w:t>
        </w:r>
      </w:hyperlink>
      <w:r w:rsidRPr="00B85A4D">
        <w:rPr>
          <w:rFonts w:asciiTheme="minorHAnsi" w:hAnsiTheme="minorHAnsi" w:cstheme="minorHAnsi"/>
          <w:color w:val="000000"/>
          <w:sz w:val="22"/>
          <w:szCs w:val="22"/>
          <w:lang w:val="en-GB"/>
        </w:rPr>
        <w:t xml:space="preserve"> </w:t>
      </w:r>
    </w:p>
    <w:p w14:paraId="04A35F53" w14:textId="77777777" w:rsidR="00AA0841" w:rsidRPr="00B85A4D" w:rsidRDefault="00AA0841" w:rsidP="00AA0841">
      <w:pPr>
        <w:pStyle w:val="NormalWeb"/>
        <w:spacing w:after="240"/>
        <w:rPr>
          <w:rStyle w:val="Hyperlink"/>
          <w:rFonts w:asciiTheme="minorHAnsi" w:hAnsiTheme="minorHAnsi" w:cstheme="minorHAnsi"/>
          <w:sz w:val="22"/>
        </w:rPr>
      </w:pPr>
      <w:r w:rsidRPr="00B85A4D">
        <w:rPr>
          <w:rFonts w:asciiTheme="minorHAnsi" w:hAnsiTheme="minorHAnsi" w:cstheme="minorHAnsi"/>
          <w:sz w:val="22"/>
          <w:szCs w:val="22"/>
        </w:rPr>
        <w:t xml:space="preserve">Murray–Darling Basin Authority (2014). </w:t>
      </w:r>
      <w:r w:rsidRPr="00B85A4D">
        <w:rPr>
          <w:rFonts w:asciiTheme="minorHAnsi" w:hAnsiTheme="minorHAnsi" w:cstheme="minorHAnsi"/>
          <w:i/>
          <w:sz w:val="22"/>
          <w:szCs w:val="22"/>
        </w:rPr>
        <w:t>Basin-wide environmental watering strategy</w:t>
      </w:r>
      <w:r w:rsidRPr="00B85A4D">
        <w:rPr>
          <w:rFonts w:asciiTheme="minorHAnsi" w:hAnsiTheme="minorHAnsi" w:cstheme="minorHAnsi"/>
          <w:sz w:val="22"/>
          <w:szCs w:val="22"/>
        </w:rPr>
        <w:t xml:space="preserve">, Commonwealth of Australia 2014 </w:t>
      </w:r>
      <w:hyperlink r:id="rId154" w:history="1">
        <w:r w:rsidRPr="00B85A4D">
          <w:rPr>
            <w:rStyle w:val="Hyperlink"/>
            <w:rFonts w:asciiTheme="minorHAnsi" w:hAnsiTheme="minorHAnsi" w:cstheme="minorHAnsi"/>
            <w:sz w:val="22"/>
          </w:rPr>
          <w:t>http://www.mdba.gov.au/sites/default/files/pubs/Final-BWS-Nov14.pdf</w:t>
        </w:r>
      </w:hyperlink>
    </w:p>
    <w:p w14:paraId="0A8CB0AC" w14:textId="77777777" w:rsidR="00AA0841" w:rsidRPr="00B85A4D" w:rsidRDefault="00AA0841" w:rsidP="00AA0841">
      <w:pPr>
        <w:spacing w:after="240"/>
        <w:rPr>
          <w:rFonts w:cstheme="minorHAnsi"/>
          <w:color w:val="5F497A" w:themeColor="accent4" w:themeShade="BF"/>
          <w:szCs w:val="22"/>
        </w:rPr>
      </w:pPr>
      <w:r w:rsidRPr="00B85A4D">
        <w:rPr>
          <w:rFonts w:cstheme="minorHAnsi"/>
          <w:szCs w:val="22"/>
          <w:lang w:val="en-GB" w:eastAsia="en-US"/>
        </w:rPr>
        <w:t xml:space="preserve">Murray–Darling Basin Authority (2019). </w:t>
      </w:r>
      <w:r w:rsidRPr="00B85A4D">
        <w:rPr>
          <w:rFonts w:cstheme="minorHAnsi"/>
          <w:i/>
          <w:szCs w:val="22"/>
          <w:lang w:val="en-GB" w:eastAsia="en-US"/>
        </w:rPr>
        <w:t>Namoi catchment – People, industry and water use.</w:t>
      </w:r>
      <w:r w:rsidRPr="00B85A4D">
        <w:rPr>
          <w:rFonts w:cstheme="minorHAnsi"/>
          <w:szCs w:val="22"/>
          <w:lang w:val="en-GB" w:eastAsia="en-US"/>
        </w:rPr>
        <w:t xml:space="preserve"> </w:t>
      </w:r>
      <w:hyperlink r:id="rId155" w:history="1">
        <w:r w:rsidRPr="00B85A4D">
          <w:rPr>
            <w:rStyle w:val="Hyperlink"/>
            <w:rFonts w:cstheme="minorHAnsi"/>
          </w:rPr>
          <w:t>https://www.mdba.gov.au/discover-basin/catchments/namoi</w:t>
        </w:r>
      </w:hyperlink>
      <w:r w:rsidRPr="00B85A4D">
        <w:rPr>
          <w:rFonts w:cstheme="minorHAnsi"/>
          <w:color w:val="5F497A" w:themeColor="accent4" w:themeShade="BF"/>
          <w:szCs w:val="22"/>
        </w:rPr>
        <w:t xml:space="preserve"> </w:t>
      </w:r>
    </w:p>
    <w:p w14:paraId="52626ED4" w14:textId="77777777" w:rsidR="00AA0841" w:rsidRDefault="00AA0841" w:rsidP="00AA0841">
      <w:pPr>
        <w:pStyle w:val="imprintheading"/>
        <w:rPr>
          <w:rFonts w:asciiTheme="minorHAnsi" w:hAnsiTheme="minorHAnsi" w:cstheme="minorHAnsi"/>
          <w:b w:val="0"/>
          <w:sz w:val="22"/>
          <w:szCs w:val="22"/>
        </w:rPr>
      </w:pPr>
      <w:r>
        <w:rPr>
          <w:rFonts w:asciiTheme="minorHAnsi" w:hAnsiTheme="minorHAnsi" w:cstheme="minorHAnsi"/>
          <w:b w:val="0"/>
          <w:sz w:val="22"/>
          <w:szCs w:val="22"/>
        </w:rPr>
        <w:t xml:space="preserve">Northern Basin Aboriginal Nations (NBAN) (2020). </w:t>
      </w:r>
      <w:r w:rsidRPr="00F8531D">
        <w:rPr>
          <w:rFonts w:asciiTheme="minorHAnsi" w:hAnsiTheme="minorHAnsi" w:cstheme="minorHAnsi"/>
          <w:b w:val="0"/>
          <w:i/>
          <w:iCs/>
          <w:sz w:val="22"/>
          <w:szCs w:val="22"/>
        </w:rPr>
        <w:t>First Nations Environmental Water Guidance Report</w:t>
      </w:r>
      <w:r>
        <w:rPr>
          <w:rFonts w:asciiTheme="minorHAnsi" w:hAnsiTheme="minorHAnsi" w:cstheme="minorHAnsi"/>
          <w:b w:val="0"/>
          <w:i/>
          <w:iCs/>
          <w:sz w:val="22"/>
          <w:szCs w:val="22"/>
        </w:rPr>
        <w:t xml:space="preserve">. </w:t>
      </w:r>
      <w:r w:rsidRPr="00F8531D">
        <w:rPr>
          <w:rFonts w:asciiTheme="minorHAnsi" w:hAnsiTheme="minorHAnsi" w:cstheme="minorHAnsi"/>
          <w:b w:val="0"/>
          <w:sz w:val="22"/>
          <w:szCs w:val="22"/>
        </w:rPr>
        <w:t>Report provided to Commonwealth Environmental Water Office</w:t>
      </w:r>
      <w:r>
        <w:rPr>
          <w:rFonts w:asciiTheme="minorHAnsi" w:hAnsiTheme="minorHAnsi" w:cstheme="minorHAnsi"/>
          <w:b w:val="0"/>
          <w:sz w:val="22"/>
          <w:szCs w:val="22"/>
        </w:rPr>
        <w:t>.</w:t>
      </w:r>
    </w:p>
    <w:p w14:paraId="2542ABA3" w14:textId="77777777" w:rsidR="00AA0841" w:rsidRPr="00B85A4D" w:rsidRDefault="00AA0841" w:rsidP="00AA0841">
      <w:pPr>
        <w:pStyle w:val="imprintheading"/>
        <w:rPr>
          <w:rFonts w:asciiTheme="minorHAnsi" w:hAnsiTheme="minorHAnsi" w:cstheme="minorHAnsi"/>
          <w:b w:val="0"/>
          <w:sz w:val="22"/>
          <w:szCs w:val="22"/>
        </w:rPr>
      </w:pPr>
      <w:r w:rsidRPr="00B85A4D">
        <w:rPr>
          <w:rFonts w:asciiTheme="minorHAnsi" w:hAnsiTheme="minorHAnsi" w:cstheme="minorHAnsi"/>
          <w:b w:val="0"/>
          <w:sz w:val="22"/>
          <w:szCs w:val="22"/>
        </w:rPr>
        <w:t xml:space="preserve">NSW Department of Primary Industries – Fisheries (2020). </w:t>
      </w:r>
      <w:r w:rsidRPr="00B85A4D">
        <w:rPr>
          <w:rFonts w:asciiTheme="minorHAnsi" w:hAnsiTheme="minorHAnsi" w:cstheme="minorHAnsi"/>
          <w:b w:val="0"/>
          <w:i/>
          <w:iCs/>
          <w:sz w:val="22"/>
          <w:szCs w:val="22"/>
        </w:rPr>
        <w:t>Fish kills in NSW.</w:t>
      </w:r>
      <w:r w:rsidRPr="00B85A4D">
        <w:rPr>
          <w:rFonts w:asciiTheme="minorHAnsi" w:hAnsiTheme="minorHAnsi" w:cstheme="minorHAnsi"/>
          <w:b w:val="0"/>
          <w:sz w:val="22"/>
          <w:szCs w:val="22"/>
        </w:rPr>
        <w:t xml:space="preserve"> </w:t>
      </w:r>
      <w:hyperlink r:id="rId156" w:history="1">
        <w:r w:rsidRPr="00B85A4D">
          <w:rPr>
            <w:rStyle w:val="Hyperlink"/>
            <w:rFonts w:asciiTheme="minorHAnsi" w:hAnsiTheme="minorHAnsi" w:cstheme="minorHAnsi"/>
            <w:sz w:val="22"/>
          </w:rPr>
          <w:t>https://www.dpi.nsw.gov.au/fishing/habitat/threats/fish-kills</w:t>
        </w:r>
      </w:hyperlink>
      <w:r w:rsidRPr="00B85A4D">
        <w:rPr>
          <w:rFonts w:asciiTheme="minorHAnsi" w:hAnsiTheme="minorHAnsi" w:cstheme="minorHAnsi"/>
          <w:b w:val="0"/>
          <w:sz w:val="22"/>
          <w:szCs w:val="22"/>
        </w:rPr>
        <w:t xml:space="preserve"> </w:t>
      </w:r>
    </w:p>
    <w:p w14:paraId="09BF3FEB" w14:textId="77777777" w:rsidR="00AA0841" w:rsidRPr="007D71CE" w:rsidRDefault="00AA0841" w:rsidP="00AA0841">
      <w:pPr>
        <w:pStyle w:val="imprintheading"/>
        <w:rPr>
          <w:rFonts w:asciiTheme="minorHAnsi" w:hAnsiTheme="minorHAnsi" w:cstheme="minorHAnsi"/>
          <w:sz w:val="22"/>
          <w:szCs w:val="22"/>
        </w:rPr>
      </w:pPr>
      <w:r w:rsidRPr="007D71CE">
        <w:rPr>
          <w:rFonts w:asciiTheme="minorHAnsi" w:hAnsiTheme="minorHAnsi" w:cstheme="minorHAnsi"/>
          <w:b w:val="0"/>
          <w:sz w:val="22"/>
          <w:szCs w:val="22"/>
        </w:rPr>
        <w:t xml:space="preserve">NSW Department of Primary Industries (2018). </w:t>
      </w:r>
      <w:r w:rsidRPr="007D71CE">
        <w:rPr>
          <w:rFonts w:asciiTheme="minorHAnsi" w:hAnsiTheme="minorHAnsi" w:cstheme="minorHAnsi"/>
          <w:b w:val="0"/>
          <w:i/>
          <w:sz w:val="22"/>
          <w:szCs w:val="22"/>
        </w:rPr>
        <w:t>Fish and Flows in the Northern Basin Stage II: Namoi Valley</w:t>
      </w:r>
      <w:r w:rsidRPr="007D71CE">
        <w:rPr>
          <w:rFonts w:asciiTheme="minorHAnsi" w:hAnsiTheme="minorHAnsi" w:cstheme="minorHAnsi"/>
          <w:b w:val="0"/>
          <w:sz w:val="22"/>
          <w:szCs w:val="22"/>
        </w:rPr>
        <w:t>. Prepared for the Murray-Darling Basin Authority. NSW Department of Primary Industries, Tamworth.</w:t>
      </w:r>
    </w:p>
    <w:p w14:paraId="0903DA97" w14:textId="77777777" w:rsidR="00AA0841" w:rsidRDefault="00AA0841" w:rsidP="00AA0841">
      <w:pPr>
        <w:pStyle w:val="imprintheading"/>
        <w:rPr>
          <w:rFonts w:asciiTheme="minorHAnsi" w:hAnsiTheme="minorHAnsi" w:cstheme="minorHAnsi"/>
          <w:highlight w:val="cyan"/>
        </w:rPr>
      </w:pPr>
      <w:r w:rsidRPr="007D71CE">
        <w:rPr>
          <w:rFonts w:asciiTheme="minorHAnsi" w:hAnsiTheme="minorHAnsi" w:cstheme="minorHAnsi"/>
          <w:b w:val="0"/>
          <w:sz w:val="22"/>
          <w:szCs w:val="22"/>
        </w:rPr>
        <w:t>NSW Office of Environment and Heritage (2019</w:t>
      </w:r>
      <w:r>
        <w:rPr>
          <w:rFonts w:asciiTheme="minorHAnsi" w:hAnsiTheme="minorHAnsi" w:cstheme="minorHAnsi"/>
          <w:b w:val="0"/>
          <w:sz w:val="22"/>
          <w:szCs w:val="22"/>
        </w:rPr>
        <w:t>a</w:t>
      </w:r>
      <w:r w:rsidRPr="007D71CE">
        <w:rPr>
          <w:rFonts w:asciiTheme="minorHAnsi" w:hAnsiTheme="minorHAnsi" w:cstheme="minorHAnsi"/>
          <w:b w:val="0"/>
          <w:sz w:val="22"/>
          <w:szCs w:val="22"/>
        </w:rPr>
        <w:t xml:space="preserve">). </w:t>
      </w:r>
      <w:r w:rsidRPr="007D71CE">
        <w:rPr>
          <w:rFonts w:asciiTheme="minorHAnsi" w:hAnsiTheme="minorHAnsi" w:cstheme="minorHAnsi"/>
          <w:b w:val="0"/>
          <w:i/>
          <w:iCs/>
          <w:sz w:val="22"/>
          <w:szCs w:val="22"/>
        </w:rPr>
        <w:t xml:space="preserve">Namoi Long Term Water Plan Part A: Namoi catchment. Draft for exhibition. </w:t>
      </w:r>
      <w:hyperlink r:id="rId157" w:history="1">
        <w:r w:rsidRPr="007D71CE">
          <w:rPr>
            <w:rStyle w:val="Hyperlink"/>
            <w:rFonts w:asciiTheme="minorHAnsi" w:hAnsiTheme="minorHAnsi" w:cstheme="minorHAnsi"/>
            <w:bCs/>
            <w:sz w:val="22"/>
          </w:rPr>
          <w:t>https://www.environment.nsw.gov.au/research-and-publications/publications-search/namoi-long-term-water-plan-part-a-catchment-draft</w:t>
        </w:r>
      </w:hyperlink>
      <w:r w:rsidRPr="007D71CE">
        <w:rPr>
          <w:rFonts w:asciiTheme="minorHAnsi" w:hAnsiTheme="minorHAnsi" w:cstheme="minorHAnsi"/>
          <w:sz w:val="22"/>
          <w:szCs w:val="22"/>
        </w:rPr>
        <w:t xml:space="preserve"> </w:t>
      </w:r>
    </w:p>
    <w:p w14:paraId="73E57984" w14:textId="77777777" w:rsidR="00AA0841" w:rsidRDefault="00AA0841" w:rsidP="00AA0841">
      <w:pPr>
        <w:pStyle w:val="Para0"/>
        <w:spacing w:after="240" w:line="240" w:lineRule="auto"/>
        <w:jc w:val="left"/>
      </w:pPr>
      <w:r w:rsidRPr="008E0943">
        <w:rPr>
          <w:rFonts w:asciiTheme="minorHAnsi" w:hAnsiTheme="minorHAnsi" w:cstheme="minorHAnsi"/>
          <w:sz w:val="22"/>
          <w:szCs w:val="22"/>
        </w:rPr>
        <w:t>NSW Office of Environment and Heritage (2019</w:t>
      </w:r>
      <w:r>
        <w:rPr>
          <w:rFonts w:asciiTheme="minorHAnsi" w:hAnsiTheme="minorHAnsi" w:cstheme="minorHAnsi"/>
          <w:sz w:val="22"/>
          <w:szCs w:val="22"/>
        </w:rPr>
        <w:t>b</w:t>
      </w:r>
      <w:r w:rsidRPr="008E0943">
        <w:rPr>
          <w:rFonts w:asciiTheme="minorHAnsi" w:hAnsiTheme="minorHAnsi" w:cstheme="minorHAnsi"/>
          <w:sz w:val="22"/>
          <w:szCs w:val="22"/>
        </w:rPr>
        <w:t xml:space="preserve">). </w:t>
      </w:r>
      <w:r w:rsidRPr="008E0943">
        <w:rPr>
          <w:rFonts w:asciiTheme="minorHAnsi" w:hAnsiTheme="minorHAnsi" w:cstheme="minorHAnsi"/>
          <w:i/>
          <w:iCs/>
          <w:sz w:val="22"/>
          <w:szCs w:val="22"/>
        </w:rPr>
        <w:t>Namoi Long Term Water Plan Part B: Namoi planning units. Draft for exhibition.</w:t>
      </w:r>
      <w:r>
        <w:rPr>
          <w:rFonts w:asciiTheme="minorHAnsi" w:hAnsiTheme="minorHAnsi" w:cstheme="minorHAnsi"/>
          <w:sz w:val="22"/>
          <w:szCs w:val="22"/>
        </w:rPr>
        <w:t xml:space="preserve"> </w:t>
      </w:r>
      <w:hyperlink r:id="rId158" w:history="1">
        <w:r w:rsidRPr="008E0943">
          <w:rPr>
            <w:rStyle w:val="Hyperlink"/>
            <w:rFonts w:asciiTheme="minorHAnsi" w:hAnsiTheme="minorHAnsi" w:cstheme="minorHAnsi"/>
            <w:sz w:val="22"/>
          </w:rPr>
          <w:t>https://www.environment.nsw.gov.au/research-and-publications/publications-search/namoi-long-term-water-plan-part-b-planning-units-draft</w:t>
        </w:r>
      </w:hyperlink>
      <w:r w:rsidRPr="008E0943">
        <w:rPr>
          <w:sz w:val="22"/>
          <w:szCs w:val="22"/>
        </w:rPr>
        <w:t xml:space="preserve"> </w:t>
      </w:r>
    </w:p>
    <w:p w14:paraId="4573B2AA" w14:textId="77777777" w:rsidR="00AA0841" w:rsidRPr="004E4E6A" w:rsidRDefault="00AA0841" w:rsidP="00AA0841">
      <w:r w:rsidRPr="004E4E6A">
        <w:lastRenderedPageBreak/>
        <w:t xml:space="preserve">WaterNSW (2019). </w:t>
      </w:r>
      <w:r w:rsidRPr="004E4E6A">
        <w:rPr>
          <w:i/>
          <w:iCs/>
        </w:rPr>
        <w:t xml:space="preserve">Peel River Critical Drought Measures. 14 December 2019. </w:t>
      </w:r>
      <w:hyperlink r:id="rId159" w:history="1">
        <w:r w:rsidRPr="0083580E">
          <w:rPr>
            <w:rStyle w:val="Hyperlink"/>
          </w:rPr>
          <w:t>https://www.waternsw.com.au/__data/assets/pdf_file/0004/151897/191214-Operations-Update-Peel.pdf</w:t>
        </w:r>
      </w:hyperlink>
      <w:r>
        <w:t xml:space="preserve"> </w:t>
      </w:r>
    </w:p>
    <w:p w14:paraId="029A0B63" w14:textId="77777777" w:rsidR="00AA0841" w:rsidRDefault="00AA0841" w:rsidP="00AA0841">
      <w:pPr>
        <w:rPr>
          <w:rFonts w:cstheme="minorHAnsi"/>
          <w:szCs w:val="22"/>
        </w:rPr>
      </w:pPr>
      <w:r>
        <w:rPr>
          <w:rFonts w:cstheme="minorHAnsi"/>
          <w:szCs w:val="22"/>
        </w:rPr>
        <w:t xml:space="preserve">NSW Department of Planning, Industry and Environment – Water (2020). </w:t>
      </w:r>
      <w:r w:rsidRPr="00DA72C7">
        <w:rPr>
          <w:i/>
          <w:iCs/>
          <w:lang w:val="en"/>
        </w:rPr>
        <w:t>Temporary Water Restriction - Upper and Lower Namoi Regulated River Water Sources.</w:t>
      </w:r>
      <w:r>
        <w:rPr>
          <w:lang w:val="en"/>
        </w:rPr>
        <w:t xml:space="preserve"> </w:t>
      </w:r>
      <w:hyperlink r:id="rId160" w:history="1">
        <w:r w:rsidRPr="0083580E">
          <w:rPr>
            <w:rStyle w:val="Hyperlink"/>
            <w:rFonts w:cstheme="minorHAnsi"/>
          </w:rPr>
          <w:t>https://www.industry.nsw.gov.au/water/allocations-availability/temporary-water-restrictions/expired/upper-lower-namoi-reg-river</w:t>
        </w:r>
      </w:hyperlink>
      <w:r>
        <w:rPr>
          <w:rFonts w:cstheme="minorHAnsi"/>
          <w:szCs w:val="22"/>
        </w:rPr>
        <w:t xml:space="preserve"> </w:t>
      </w:r>
    </w:p>
    <w:p w14:paraId="6AB39075" w14:textId="77777777" w:rsidR="00AA0841" w:rsidRPr="008F7412" w:rsidRDefault="00AA0841" w:rsidP="00AA0841">
      <w:pPr>
        <w:spacing w:after="240"/>
        <w:rPr>
          <w:rStyle w:val="Hyperlink"/>
          <w:rFonts w:cstheme="minorHAnsi"/>
        </w:rPr>
      </w:pPr>
      <w:r w:rsidRPr="008F7412">
        <w:rPr>
          <w:rFonts w:cstheme="minorHAnsi"/>
          <w:szCs w:val="22"/>
        </w:rPr>
        <w:t>WaterNSW (20</w:t>
      </w:r>
      <w:r>
        <w:rPr>
          <w:rFonts w:cstheme="minorHAnsi"/>
          <w:szCs w:val="22"/>
        </w:rPr>
        <w:t>20</w:t>
      </w:r>
      <w:r w:rsidRPr="008F7412">
        <w:rPr>
          <w:rFonts w:cstheme="minorHAnsi"/>
          <w:szCs w:val="22"/>
        </w:rPr>
        <w:t xml:space="preserve">). </w:t>
      </w:r>
      <w:r w:rsidRPr="008F7412">
        <w:rPr>
          <w:rFonts w:cstheme="minorHAnsi"/>
          <w:i/>
          <w:szCs w:val="22"/>
        </w:rPr>
        <w:t>Real time data: 419 – Namoi River Basin</w:t>
      </w:r>
      <w:r w:rsidRPr="008F7412">
        <w:rPr>
          <w:rFonts w:cstheme="minorHAnsi"/>
          <w:szCs w:val="22"/>
        </w:rPr>
        <w:t xml:space="preserve">. </w:t>
      </w:r>
      <w:hyperlink r:id="rId161" w:history="1">
        <w:r w:rsidRPr="008F7412">
          <w:rPr>
            <w:rStyle w:val="Hyperlink"/>
            <w:rFonts w:cstheme="minorHAnsi"/>
          </w:rPr>
          <w:t>https://realtimedata.waternsw.com.au/</w:t>
        </w:r>
      </w:hyperlink>
    </w:p>
    <w:p w14:paraId="05B9BAE4" w14:textId="77777777" w:rsidR="00AA0841" w:rsidRPr="00FF1014" w:rsidRDefault="00AA0841" w:rsidP="00AA0841">
      <w:pPr>
        <w:spacing w:after="240"/>
        <w:rPr>
          <w:rFonts w:cstheme="minorHAnsi"/>
          <w:i/>
          <w:iCs/>
          <w:szCs w:val="22"/>
        </w:rPr>
      </w:pPr>
      <w:r>
        <w:rPr>
          <w:rFonts w:cstheme="minorHAnsi"/>
          <w:szCs w:val="22"/>
        </w:rPr>
        <w:t xml:space="preserve">WaterNSW (2020). </w:t>
      </w:r>
      <w:r w:rsidRPr="00FF1014">
        <w:rPr>
          <w:rFonts w:cstheme="minorHAnsi"/>
          <w:i/>
          <w:iCs/>
          <w:szCs w:val="22"/>
        </w:rPr>
        <w:t>Regional water availability report – Weekly edition 27 April 2020.</w:t>
      </w:r>
      <w:r>
        <w:rPr>
          <w:rFonts w:cstheme="minorHAnsi"/>
          <w:i/>
          <w:iCs/>
          <w:szCs w:val="22"/>
        </w:rPr>
        <w:t xml:space="preserve"> </w:t>
      </w:r>
      <w:hyperlink r:id="rId162" w:history="1">
        <w:r w:rsidRPr="0083580E">
          <w:rPr>
            <w:rStyle w:val="Hyperlink"/>
            <w:rFonts w:cstheme="minorHAnsi"/>
          </w:rPr>
          <w:t>https://www.waternsw.com.au/__data/assets/pdf_file/0005/156146/Water-Availability-Report-27-April-2020.PDF?utm_source=Swift&amp;utm_medium=Email&amp;utm_campaign=NSW_availability</w:t>
        </w:r>
      </w:hyperlink>
      <w:r>
        <w:rPr>
          <w:rFonts w:cstheme="minorHAnsi"/>
          <w:szCs w:val="22"/>
        </w:rPr>
        <w:t xml:space="preserve"> </w:t>
      </w:r>
    </w:p>
    <w:p w14:paraId="414373E7" w14:textId="77777777" w:rsidR="00AA0841" w:rsidRDefault="00AA0841" w:rsidP="00AA0841">
      <w:pPr>
        <w:rPr>
          <w:rFonts w:cstheme="minorHAnsi"/>
          <w:i/>
          <w:iCs/>
          <w:szCs w:val="22"/>
        </w:rPr>
      </w:pPr>
      <w:r>
        <w:rPr>
          <w:rFonts w:cstheme="minorHAnsi"/>
          <w:szCs w:val="22"/>
        </w:rPr>
        <w:t xml:space="preserve">WaterNSW (2020). </w:t>
      </w:r>
      <w:r w:rsidRPr="00FF1014">
        <w:rPr>
          <w:rFonts w:cstheme="minorHAnsi"/>
          <w:i/>
          <w:iCs/>
          <w:szCs w:val="22"/>
        </w:rPr>
        <w:t xml:space="preserve">Regional water availability report – Weekly edition </w:t>
      </w:r>
      <w:r>
        <w:rPr>
          <w:rFonts w:cstheme="minorHAnsi"/>
          <w:i/>
          <w:iCs/>
          <w:szCs w:val="22"/>
        </w:rPr>
        <w:t>29 June</w:t>
      </w:r>
      <w:r w:rsidRPr="00FF1014">
        <w:rPr>
          <w:rFonts w:cstheme="minorHAnsi"/>
          <w:i/>
          <w:iCs/>
          <w:szCs w:val="22"/>
        </w:rPr>
        <w:t xml:space="preserve"> 2020.</w:t>
      </w:r>
      <w:r>
        <w:rPr>
          <w:rFonts w:cstheme="minorHAnsi"/>
          <w:i/>
          <w:iCs/>
          <w:szCs w:val="22"/>
        </w:rPr>
        <w:t xml:space="preserve"> </w:t>
      </w:r>
      <w:hyperlink r:id="rId163" w:history="1">
        <w:r w:rsidRPr="001249D0">
          <w:rPr>
            <w:rStyle w:val="Hyperlink"/>
            <w:rFonts w:cstheme="minorHAnsi"/>
            <w:i/>
            <w:iCs/>
          </w:rPr>
          <w:t>https://www.waternsw.com.au/__data/assets/pdf_file/0007/159037/Weekly-Availability-Report-29-June-2020.pdf</w:t>
        </w:r>
      </w:hyperlink>
    </w:p>
    <w:p w14:paraId="53C22BCD" w14:textId="77777777" w:rsidR="00AA0841" w:rsidRDefault="00AA0841" w:rsidP="00AA0841">
      <w:pPr>
        <w:rPr>
          <w:rFonts w:cstheme="minorHAnsi"/>
          <w:i/>
          <w:iCs/>
          <w:szCs w:val="22"/>
        </w:rPr>
      </w:pPr>
    </w:p>
    <w:p w14:paraId="5B172ADE" w14:textId="77777777" w:rsidR="00AA0841" w:rsidRPr="00B85A4D" w:rsidRDefault="00AA0841" w:rsidP="00AA0841">
      <w:pPr>
        <w:rPr>
          <w:rFonts w:cstheme="minorHAnsi"/>
          <w:szCs w:val="22"/>
        </w:rPr>
      </w:pPr>
    </w:p>
    <w:p w14:paraId="4B749C5A" w14:textId="77777777" w:rsidR="0071217B" w:rsidRDefault="0071217B">
      <w:pPr>
        <w:spacing w:after="0"/>
      </w:pPr>
      <w:r>
        <w:br w:type="page"/>
      </w:r>
    </w:p>
    <w:p w14:paraId="792F16B9" w14:textId="77777777" w:rsidR="00AA0841" w:rsidRPr="00FA6736" w:rsidRDefault="00AA0841" w:rsidP="0057535E">
      <w:pPr>
        <w:pStyle w:val="Heading2"/>
        <w:rPr>
          <w:rFonts w:ascii="Century Gothic" w:hAnsi="Century Gothic"/>
          <w:noProof/>
        </w:rPr>
      </w:pPr>
      <w:r w:rsidRPr="008D54B2">
        <w:lastRenderedPageBreak/>
        <w:t>Macquarie River Valley</w:t>
      </w:r>
    </w:p>
    <w:p w14:paraId="1E87A654" w14:textId="77777777" w:rsidR="00AA0841" w:rsidRDefault="00AA0841" w:rsidP="0057535E">
      <w:pPr>
        <w:pStyle w:val="Heading3"/>
      </w:pPr>
      <w:r>
        <w:t>Region overview</w:t>
      </w:r>
    </w:p>
    <w:p w14:paraId="5504A660" w14:textId="77777777" w:rsidR="00AA0841" w:rsidRPr="00365FE2" w:rsidRDefault="00AA0841" w:rsidP="0057535E">
      <w:pPr>
        <w:pStyle w:val="Heading4"/>
      </w:pPr>
      <w:bookmarkStart w:id="106" w:name="_Hlk37842982"/>
      <w:r w:rsidRPr="00365FE2">
        <w:t xml:space="preserve">River </w:t>
      </w:r>
      <w:r>
        <w:t>valley</w:t>
      </w:r>
    </w:p>
    <w:bookmarkEnd w:id="106"/>
    <w:p w14:paraId="2E6FA41E" w14:textId="4CF919FA" w:rsidR="00AA0841" w:rsidRPr="00365FE2" w:rsidRDefault="00AA0841" w:rsidP="00AA0841">
      <w:r w:rsidRPr="00365FE2">
        <w:t>The Macquarie River forms above Bathurst in Central Western New South Wales</w:t>
      </w:r>
      <w:r>
        <w:t xml:space="preserve"> (NSW)</w:t>
      </w:r>
      <w:r w:rsidRPr="00365FE2">
        <w:t xml:space="preserve">, where the Campbells and Fish rivers join, and flows into Burrendong Dam, south east of </w:t>
      </w:r>
      <w:r w:rsidRPr="00BD7491">
        <w:t>Wellington (</w:t>
      </w:r>
      <w:r w:rsidRPr="00BD7491">
        <w:fldChar w:fldCharType="begin"/>
      </w:r>
      <w:r w:rsidRPr="00BD7491">
        <w:instrText xml:space="preserve"> REF _Ref475454230 \h  \* MERGEFORMAT </w:instrText>
      </w:r>
      <w:r w:rsidRPr="00BD7491">
        <w:fldChar w:fldCharType="separate"/>
      </w:r>
      <w:r w:rsidR="001B2852" w:rsidRPr="001B2852">
        <w:t>Figure 5</w:t>
      </w:r>
      <w:r w:rsidRPr="00BD7491">
        <w:fldChar w:fldCharType="end"/>
      </w:r>
      <w:r w:rsidRPr="00BD7491">
        <w:t>). Below</w:t>
      </w:r>
      <w:r w:rsidRPr="00365FE2">
        <w:t xml:space="preserve"> the dam, tributary flows are provided by the Bell, Little and Talbragar rivers, and Wambangalong and Coolbaggie creeks. As the land flattens further west of Dubbo, the Macquarie River provides flows to distributary creeks, wetlands and rich alluvial river flats associated with braided channels and can connect with the Barwon</w:t>
      </w:r>
      <w:r w:rsidR="00B044C3">
        <w:noBreakHyphen/>
      </w:r>
      <w:r w:rsidRPr="00365FE2">
        <w:t xml:space="preserve">Darling River.  </w:t>
      </w:r>
    </w:p>
    <w:p w14:paraId="0BF7D450" w14:textId="77777777" w:rsidR="00AA0841" w:rsidRPr="00365FE2" w:rsidRDefault="00AA0841" w:rsidP="00AA0841">
      <w:r w:rsidRPr="00365FE2">
        <w:t>Macquarie River flows are heavily influenced by large rainfall events in the upper catchment and flows in tributary systems. Two major storages, Windamere Dam (capacity 368 gigalitres) on the Cudgegong River, and Burrendong Dam on the Macquarie River (storage capacity of 1 188 gigalitres, with additional storage capacity of 489 gigalitres in the flood mitigation zone), regulate catchment water supplies.</w:t>
      </w:r>
    </w:p>
    <w:p w14:paraId="3D98CA7E" w14:textId="77777777" w:rsidR="00AA0841" w:rsidRPr="00365FE2" w:rsidRDefault="00AA0841" w:rsidP="0057535E">
      <w:pPr>
        <w:pStyle w:val="Heading4"/>
      </w:pPr>
      <w:r w:rsidRPr="00365FE2">
        <w:t xml:space="preserve">Traditional </w:t>
      </w:r>
      <w:r>
        <w:t>O</w:t>
      </w:r>
      <w:r w:rsidRPr="00365FE2">
        <w:t>wners</w:t>
      </w:r>
    </w:p>
    <w:p w14:paraId="299D1DEA" w14:textId="77777777" w:rsidR="00AA0841" w:rsidRPr="00365FE2" w:rsidRDefault="00AA0841" w:rsidP="00AA0841">
      <w:r w:rsidRPr="00365FE2">
        <w:t xml:space="preserve">The rivers and wetlands of the Macquarie </w:t>
      </w:r>
      <w:r>
        <w:t xml:space="preserve">River </w:t>
      </w:r>
      <w:r w:rsidRPr="00365FE2">
        <w:t xml:space="preserve">Valley hold significant spiritual and cultural importance for Aboriginal people. In the upper and middle Macquarie </w:t>
      </w:r>
      <w:r>
        <w:t>valley</w:t>
      </w:r>
      <w:r w:rsidRPr="00365FE2">
        <w:t xml:space="preserve">, the Aboriginal people are the Wiradjuri, while on the plains the Bogan River forms the boundary between the Ngemba and Ngiyampaa Nations to the west and the </w:t>
      </w:r>
      <w:r w:rsidRPr="00DC04E5">
        <w:t>Wayilwan</w:t>
      </w:r>
      <w:r w:rsidRPr="00365FE2">
        <w:t xml:space="preserve"> Nation to the east. Wa</w:t>
      </w:r>
      <w:r>
        <w:t>y</w:t>
      </w:r>
      <w:r w:rsidRPr="00365FE2">
        <w:t>ilwan country includes most of the Castlereagh catchment, except the north-east corner, which is the traditional land of the Kamilaroi.</w:t>
      </w:r>
    </w:p>
    <w:p w14:paraId="0B916131" w14:textId="77777777" w:rsidR="00AA0841" w:rsidRPr="00365FE2" w:rsidRDefault="00AA0841" w:rsidP="0057535E">
      <w:pPr>
        <w:pStyle w:val="Heading4"/>
      </w:pPr>
      <w:r>
        <w:t>Important sites and values</w:t>
      </w:r>
    </w:p>
    <w:p w14:paraId="634A5DB4" w14:textId="77777777" w:rsidR="00AA0841" w:rsidRDefault="00AA0841" w:rsidP="00AA0841">
      <w:r w:rsidRPr="00365FE2">
        <w:t xml:space="preserve">The </w:t>
      </w:r>
      <w:r>
        <w:t>valley</w:t>
      </w:r>
      <w:r w:rsidRPr="00365FE2">
        <w:t xml:space="preserve"> includes the Macquarie Marshes complex on the lower reaches of the Macquarie River, of which, parts of the northern, southern and eastern Marshes are listed as a Wetland of International Importance under the Ramsar Convention. Parts of the Macquarie Marshes were recognised under the Ramsar Convention for being a unique example of a wetland type in the region in terms of their size and their diversity of wetland types, supporting species of conservation significance and biological diversity, providing refuge during adverse conditions, and regularly supporting large numbers of waterbirds. This includes those listed under international migratory agreements (JAMBA, ROKAMBA, CAMBA). The Ramsar site contains a range of habitats including core areas of semi-permanent wetlands, </w:t>
      </w:r>
      <w:r>
        <w:t>such as</w:t>
      </w:r>
      <w:r w:rsidRPr="00365FE2">
        <w:t xml:space="preserve"> forests and woodlands, reed beds, marshes, rushlands and open lagoons. These vegetation types have been identified as critical components of the Ramsar site. </w:t>
      </w:r>
    </w:p>
    <w:p w14:paraId="36F9B87A" w14:textId="77777777" w:rsidR="00AA0841" w:rsidRPr="00365FE2" w:rsidRDefault="00AA0841" w:rsidP="00AA0841">
      <w:r w:rsidRPr="00365FE2">
        <w:t xml:space="preserve">Other assets in the </w:t>
      </w:r>
      <w:r>
        <w:t>valley</w:t>
      </w:r>
      <w:r w:rsidRPr="00365FE2">
        <w:t xml:space="preserve"> include the Macquarie River channel, the unregulated components of the lower Macquarie River and the distributary creek system to the west of the Marshes. </w:t>
      </w:r>
    </w:p>
    <w:p w14:paraId="2527045A" w14:textId="77777777" w:rsidR="00AA0841" w:rsidRPr="00365FE2" w:rsidRDefault="00AA0841" w:rsidP="00AA0841">
      <w:r w:rsidRPr="00365FE2">
        <w:t xml:space="preserve">The Macquarie Marshes and Macquarie River support </w:t>
      </w:r>
      <w:r>
        <w:t>numerous</w:t>
      </w:r>
      <w:r w:rsidRPr="00365FE2">
        <w:t xml:space="preserve"> species listed as endangered or vulnerable under the </w:t>
      </w:r>
      <w:r w:rsidRPr="005B52A9">
        <w:rPr>
          <w:i/>
          <w:iCs/>
        </w:rPr>
        <w:t>Environment Protection and Biodiversity Conservation Act 1999</w:t>
      </w:r>
      <w:r w:rsidRPr="00365FE2">
        <w:t xml:space="preserve">, for example, the Australian painted snipe, Australasian bittern, Murray cod, trout cod and spike rush. The aquatic community of the Macquarie also forms part of the Lowland Darling River aquatic ecological community, which is listed as endangered under the </w:t>
      </w:r>
      <w:r w:rsidRPr="005B52A9">
        <w:rPr>
          <w:i/>
          <w:iCs/>
        </w:rPr>
        <w:t>NSW Fisheries Management Act 1994</w:t>
      </w:r>
      <w:r w:rsidRPr="00365FE2">
        <w:t>.</w:t>
      </w:r>
    </w:p>
    <w:p w14:paraId="64DEB6FA" w14:textId="77777777" w:rsidR="00AA0841" w:rsidRDefault="00AA0841" w:rsidP="00AA0841">
      <w:pPr>
        <w:spacing w:after="0"/>
        <w:rPr>
          <w:rFonts w:cs="Arial"/>
          <w:i/>
          <w:noProof/>
          <w:color w:val="5F497A" w:themeColor="accent4" w:themeShade="BF"/>
          <w:sz w:val="26"/>
          <w:szCs w:val="24"/>
          <w:lang w:val="en-GB"/>
        </w:rPr>
      </w:pPr>
      <w:r>
        <w:br w:type="page"/>
      </w:r>
    </w:p>
    <w:p w14:paraId="4F1E7D32" w14:textId="77777777" w:rsidR="00AA0841" w:rsidRDefault="00AA0841" w:rsidP="00AA0841">
      <w:pPr>
        <w:rPr>
          <w:rFonts w:ascii="Century Gothic" w:hAnsi="Century Gothic"/>
          <w:sz w:val="20"/>
        </w:rPr>
        <w:sectPr w:rsidR="00AA0841" w:rsidSect="003737D8">
          <w:headerReference w:type="default" r:id="rId164"/>
          <w:footerReference w:type="default" r:id="rId165"/>
          <w:footerReference w:type="first" r:id="rId166"/>
          <w:pgSz w:w="11906" w:h="16838"/>
          <w:pgMar w:top="1134" w:right="1133" w:bottom="851" w:left="964" w:header="426" w:footer="515" w:gutter="0"/>
          <w:cols w:space="708"/>
          <w:docGrid w:linePitch="360"/>
        </w:sectPr>
      </w:pPr>
    </w:p>
    <w:p w14:paraId="5FB5C1FA" w14:textId="77777777" w:rsidR="00AA0841" w:rsidRPr="004932F2" w:rsidRDefault="00AA0841" w:rsidP="00AA0841">
      <w:pPr>
        <w:spacing w:after="60"/>
        <w:rPr>
          <w:rFonts w:ascii="Century Gothic" w:hAnsi="Century Gothic" w:cs="Arial"/>
          <w:color w:val="5F497A" w:themeColor="accent4" w:themeShade="BF"/>
        </w:rPr>
      </w:pPr>
      <w:r w:rsidRPr="00515D34">
        <w:rPr>
          <w:noProof/>
        </w:rPr>
        <w:lastRenderedPageBreak/>
        <w:drawing>
          <wp:inline distT="0" distB="0" distL="0" distR="0" wp14:anchorId="69211F02" wp14:editId="36AF8BBC">
            <wp:extent cx="8752763" cy="5899867"/>
            <wp:effectExtent l="0" t="0" r="0" b="5715"/>
            <wp:docPr id="28" name="Picture 28" descr="A map of the Macquarie catchment including major towns, water storages, unregulated and regulated rivers, artificial channels and environmental assets." title="Figure 1 Map of the Macquarie River V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8764551" cy="5907813"/>
                    </a:xfrm>
                    <a:prstGeom prst="rect">
                      <a:avLst/>
                    </a:prstGeom>
                  </pic:spPr>
                </pic:pic>
              </a:graphicData>
            </a:graphic>
          </wp:inline>
        </w:drawing>
      </w:r>
    </w:p>
    <w:p w14:paraId="5ADF735A" w14:textId="25298DC4" w:rsidR="00AA0841" w:rsidRDefault="00AA0841" w:rsidP="00AA0841">
      <w:r w:rsidRPr="00E331C9">
        <w:rPr>
          <w:b/>
        </w:rPr>
        <w:t xml:space="preserve">Figure </w:t>
      </w:r>
      <w:r w:rsidRPr="00E331C9">
        <w:rPr>
          <w:b/>
        </w:rPr>
        <w:fldChar w:fldCharType="begin"/>
      </w:r>
      <w:r w:rsidRPr="00E331C9">
        <w:rPr>
          <w:b/>
        </w:rPr>
        <w:instrText xml:space="preserve"> SEQ Figure \* ARABIC </w:instrText>
      </w:r>
      <w:r w:rsidRPr="00E331C9">
        <w:rPr>
          <w:b/>
        </w:rPr>
        <w:fldChar w:fldCharType="separate"/>
      </w:r>
      <w:r w:rsidR="001B2852">
        <w:rPr>
          <w:b/>
          <w:noProof/>
        </w:rPr>
        <w:t>10</w:t>
      </w:r>
      <w:r w:rsidRPr="00E331C9">
        <w:rPr>
          <w:b/>
        </w:rPr>
        <w:fldChar w:fldCharType="end"/>
      </w:r>
      <w:r w:rsidRPr="004932F2">
        <w:t>: Map of the Macquarie River Valley (produced by the Department of the Environment and Energy, June 2018.</w:t>
      </w:r>
      <w:r>
        <w:t>)</w:t>
      </w:r>
    </w:p>
    <w:p w14:paraId="4959343D" w14:textId="77777777" w:rsidR="00AA0841" w:rsidRPr="00BD7491" w:rsidRDefault="00AA0841" w:rsidP="00AA0841">
      <w:pPr>
        <w:rPr>
          <w:lang w:val="en-GB"/>
        </w:rPr>
        <w:sectPr w:rsidR="00AA0841" w:rsidRPr="00BD7491" w:rsidSect="003737D8">
          <w:pgSz w:w="16838" w:h="11906" w:orient="landscape"/>
          <w:pgMar w:top="1134" w:right="1134" w:bottom="851" w:left="964" w:header="426" w:footer="542" w:gutter="0"/>
          <w:cols w:space="708"/>
          <w:docGrid w:linePitch="360"/>
        </w:sectPr>
      </w:pPr>
    </w:p>
    <w:p w14:paraId="7E35DB41" w14:textId="77777777" w:rsidR="00AA0841" w:rsidRPr="00365FE2" w:rsidRDefault="00AA0841" w:rsidP="0057535E">
      <w:pPr>
        <w:pStyle w:val="Heading4"/>
      </w:pPr>
      <w:r w:rsidRPr="00365FE2">
        <w:lastRenderedPageBreak/>
        <w:t>Stakeholder engagement</w:t>
      </w:r>
    </w:p>
    <w:p w14:paraId="7329374F" w14:textId="77777777" w:rsidR="00AA0841" w:rsidRPr="00F62C99" w:rsidRDefault="00AA0841" w:rsidP="00AA0841">
      <w:pPr>
        <w:rPr>
          <w:color w:val="auto"/>
        </w:rPr>
      </w:pPr>
      <w:r w:rsidRPr="00365FE2">
        <w:t>In the Macquarie River Valley, the planning, management, and delivery of Commonwealth water for the environment is undertaken</w:t>
      </w:r>
      <w:r>
        <w:t xml:space="preserve"> in</w:t>
      </w:r>
      <w:r w:rsidRPr="00365FE2">
        <w:t xml:space="preserve"> conjunction with a range of partners and stakeholder groups. Key stakeholders in the Macquarie include the NSW Department of Planning, Industry and Environment (DPIE), the Department of Primary Industries (DPI) – Fisheries, WaterNSW, and the Macquarie Cudgegong Environmental Flow Reference Group (EFRG), who provide advice to water managers on priorities for water use</w:t>
      </w:r>
      <w:r w:rsidRPr="00F62C99">
        <w:rPr>
          <w:color w:val="auto"/>
        </w:rPr>
        <w:t xml:space="preserve">. </w:t>
      </w:r>
    </w:p>
    <w:p w14:paraId="0F3BC4B8" w14:textId="77777777" w:rsidR="00AA0841" w:rsidRDefault="00AA0841" w:rsidP="00AA0841">
      <w:r w:rsidRPr="0011347F">
        <w:t xml:space="preserve">Local Engagement Officers from the Commonwealth Environmental Water Office (CEWO) also work with different stakeholders as part a broader program of engagement around the management of the Commonwealth environmental water entitlements. As part of this work, </w:t>
      </w:r>
      <w:bookmarkStart w:id="107" w:name="_Hlk40258294"/>
      <w:r w:rsidRPr="0011347F">
        <w:t xml:space="preserve">Local Engagement Officers have been engaging directly with members of the local </w:t>
      </w:r>
      <w:bookmarkStart w:id="108" w:name="_Hlk40257710"/>
      <w:r w:rsidRPr="0011347F">
        <w:t>Aboriginal</w:t>
      </w:r>
      <w:bookmarkEnd w:id="108"/>
      <w:r w:rsidRPr="0011347F">
        <w:t xml:space="preserve"> community</w:t>
      </w:r>
      <w:bookmarkEnd w:id="107"/>
      <w:r w:rsidRPr="0011347F">
        <w:t>.</w:t>
      </w:r>
      <w:r>
        <w:t xml:space="preserve">  </w:t>
      </w:r>
    </w:p>
    <w:p w14:paraId="02F6736E" w14:textId="77777777" w:rsidR="00AA0841" w:rsidRPr="00A90A67" w:rsidRDefault="00AA0841" w:rsidP="0057535E">
      <w:pPr>
        <w:pStyle w:val="Heading3"/>
      </w:pPr>
      <w:r w:rsidRPr="00A90A67">
        <w:t>Environmental objectives</w:t>
      </w:r>
    </w:p>
    <w:p w14:paraId="43B6F95C" w14:textId="77777777" w:rsidR="00AA0841" w:rsidRPr="00365FE2" w:rsidRDefault="00AA0841" w:rsidP="00AA0841">
      <w:r w:rsidRPr="00365FE2">
        <w:t xml:space="preserve">Based on long-term environmental objectives in the Basin Plan, </w:t>
      </w:r>
      <w:r w:rsidRPr="00E331C9">
        <w:t>draft state</w:t>
      </w:r>
      <w:r w:rsidRPr="00365FE2">
        <w:t xml:space="preserve"> long-term watering plans, </w:t>
      </w:r>
      <w:r>
        <w:t xml:space="preserve">site management plans (including Ramsar site ecological character descriptions), </w:t>
      </w:r>
      <w:r w:rsidRPr="00365FE2">
        <w:t xml:space="preserve">and best available knowledge, the following objectives are relevant for environmental watering in the Macquarie </w:t>
      </w:r>
      <w:r>
        <w:t>River Valley</w:t>
      </w:r>
      <w:r w:rsidRPr="00365FE2">
        <w:t>.</w:t>
      </w:r>
    </w:p>
    <w:p w14:paraId="5D891351" w14:textId="77777777" w:rsidR="00AA0841" w:rsidRPr="00365FE2" w:rsidRDefault="00AA0841" w:rsidP="00AA0841">
      <w:r w:rsidRPr="00365FE2">
        <w:t xml:space="preserve">The objectives targeted in a particular year may vary, depending on available water, catchment conditions, operational feasibility, and demand for environmental water. These objectives will continue to be revised as part of the </w:t>
      </w:r>
      <w:r>
        <w:t>CEWO’s</w:t>
      </w:r>
      <w:r w:rsidRPr="00365FE2">
        <w:t xml:space="preserve"> commitment to adaptive management.</w:t>
      </w:r>
    </w:p>
    <w:p w14:paraId="6EB6F38C" w14:textId="77777777" w:rsidR="00AA0841" w:rsidRPr="00365FE2" w:rsidRDefault="00AA0841" w:rsidP="00AA0841">
      <w:r w:rsidRPr="00365FE2">
        <w:rPr>
          <w:b/>
        </w:rPr>
        <w:t>Vegetation</w:t>
      </w:r>
      <w:r w:rsidRPr="00365FE2">
        <w:t>: Maintain the condition, growth and survival of riparian, in-channel, floodplain and wetland vegetation.</w:t>
      </w:r>
    </w:p>
    <w:p w14:paraId="7BAA3BFD" w14:textId="77777777" w:rsidR="00AA0841" w:rsidRPr="00365FE2" w:rsidRDefault="00AA0841" w:rsidP="00AA0841">
      <w:r w:rsidRPr="00365FE2">
        <w:rPr>
          <w:b/>
        </w:rPr>
        <w:t>Waterbirds</w:t>
      </w:r>
      <w:r w:rsidRPr="00365FE2">
        <w:t xml:space="preserve">: Increase waterbird abundance and maintain species diversity by supporting naturally triggered breeding events, and maintaining suitable refuge, feeding and breeding habitat. </w:t>
      </w:r>
    </w:p>
    <w:p w14:paraId="4CCC5C1C" w14:textId="77777777" w:rsidR="00AA0841" w:rsidRPr="00365FE2" w:rsidRDefault="00AA0841" w:rsidP="00AA0841">
      <w:r w:rsidRPr="00365FE2">
        <w:rPr>
          <w:b/>
        </w:rPr>
        <w:t>Native fish</w:t>
      </w:r>
      <w:r w:rsidRPr="00365FE2">
        <w:t>: Prevent loss of native fish species and improve population structure and distribution, by supporting opportunities for movement, dispersal, reproduction, and recruitment.</w:t>
      </w:r>
    </w:p>
    <w:p w14:paraId="56F67A1C" w14:textId="77777777" w:rsidR="00AA0841" w:rsidRPr="00365FE2" w:rsidRDefault="00AA0841" w:rsidP="00AA0841">
      <w:r w:rsidRPr="00365FE2">
        <w:rPr>
          <w:b/>
        </w:rPr>
        <w:t>Other vertebrates</w:t>
      </w:r>
      <w:r w:rsidRPr="00365FE2">
        <w:t>: Support opportunities for the reproduction and recruitment of other native aquatic species, including frogs and turtles.</w:t>
      </w:r>
    </w:p>
    <w:p w14:paraId="48B75924" w14:textId="77777777" w:rsidR="00AA0841" w:rsidRPr="00365FE2" w:rsidRDefault="00AA0841" w:rsidP="00AA0841">
      <w:r w:rsidRPr="00365FE2">
        <w:rPr>
          <w:b/>
        </w:rPr>
        <w:t>Connectivity</w:t>
      </w:r>
      <w:r w:rsidRPr="00365FE2">
        <w:t xml:space="preserve">: Support longitudinal connectivity, including with the Barwon River, and lateral connectivity between the river and floodplain. </w:t>
      </w:r>
    </w:p>
    <w:p w14:paraId="3CE3932B" w14:textId="77777777" w:rsidR="00AA0841" w:rsidRDefault="00AA0841" w:rsidP="00AA0841">
      <w:r w:rsidRPr="00365FE2">
        <w:rPr>
          <w:b/>
        </w:rPr>
        <w:t>Processes/water quality/resilience</w:t>
      </w:r>
      <w:r w:rsidRPr="00365FE2">
        <w:t>: Support key ecosystem functions and promote productivity; maintain water quality in channels and pools; and maintain drought refuge habitat.</w:t>
      </w:r>
    </w:p>
    <w:p w14:paraId="0191B157" w14:textId="77777777" w:rsidR="00AA0841" w:rsidRPr="00F61CCD" w:rsidRDefault="00AA0841" w:rsidP="0057535E">
      <w:pPr>
        <w:pStyle w:val="Heading3"/>
      </w:pPr>
      <w:r>
        <w:t>First Nations</w:t>
      </w:r>
      <w:r w:rsidRPr="00F61CCD">
        <w:t xml:space="preserve"> </w:t>
      </w:r>
      <w:r>
        <w:t xml:space="preserve">environmental </w:t>
      </w:r>
      <w:r w:rsidRPr="00F61CCD">
        <w:t>objectives</w:t>
      </w:r>
    </w:p>
    <w:p w14:paraId="4D4D0C7A" w14:textId="7AFD97E5" w:rsidR="00AA0841" w:rsidRPr="001E6073" w:rsidRDefault="00AA0841" w:rsidP="00AA0841">
      <w:pPr>
        <w:rPr>
          <w:rFonts w:ascii="Century Gothic" w:hAnsi="Century Gothic" w:cs="Times New Roman"/>
          <w:sz w:val="20"/>
        </w:rPr>
      </w:pPr>
      <w:r w:rsidRPr="001E6073">
        <w:t>Representatives of the First Nations peoples of the Macquarie valley have identified environmental objectives for their country for 2020</w:t>
      </w:r>
      <w:r>
        <w:t>–</w:t>
      </w:r>
      <w:r w:rsidRPr="00BD7491">
        <w:t>21 (</w:t>
      </w:r>
      <w:r w:rsidRPr="00BD7491">
        <w:fldChar w:fldCharType="begin"/>
      </w:r>
      <w:r w:rsidRPr="00BD7491">
        <w:instrText xml:space="preserve"> REF _Ref43388778 \h  \* MERGEFORMAT </w:instrText>
      </w:r>
      <w:r w:rsidRPr="00BD7491">
        <w:fldChar w:fldCharType="separate"/>
      </w:r>
      <w:r w:rsidR="001B2852" w:rsidRPr="001B2852">
        <w:t xml:space="preserve">Table </w:t>
      </w:r>
      <w:r w:rsidR="001B2852" w:rsidRPr="001B2852">
        <w:rPr>
          <w:noProof/>
        </w:rPr>
        <w:t>22</w:t>
      </w:r>
      <w:r w:rsidRPr="00BD7491">
        <w:fldChar w:fldCharType="end"/>
      </w:r>
      <w:r w:rsidRPr="00BD7491">
        <w:t xml:space="preserve"> and </w:t>
      </w:r>
      <w:r w:rsidRPr="00BD7491">
        <w:fldChar w:fldCharType="begin"/>
      </w:r>
      <w:r w:rsidRPr="00BD7491">
        <w:instrText xml:space="preserve"> REF _Ref43388851 \h  \* MERGEFORMAT </w:instrText>
      </w:r>
      <w:r w:rsidRPr="00BD7491">
        <w:fldChar w:fldCharType="separate"/>
      </w:r>
      <w:r w:rsidR="001B2852" w:rsidRPr="001B2852">
        <w:t xml:space="preserve">Table </w:t>
      </w:r>
      <w:r w:rsidR="001B2852" w:rsidRPr="001B2852">
        <w:rPr>
          <w:noProof/>
        </w:rPr>
        <w:t>23</w:t>
      </w:r>
      <w:r w:rsidRPr="00BD7491">
        <w:fldChar w:fldCharType="end"/>
      </w:r>
      <w:r w:rsidRPr="00BD7491">
        <w:t>). These</w:t>
      </w:r>
      <w:r w:rsidRPr="001E6073">
        <w:t xml:space="preserve"> objectives were developed through the First Nations Environmental Guidance project undertaken by the N</w:t>
      </w:r>
      <w:r>
        <w:t xml:space="preserve">orthern </w:t>
      </w:r>
      <w:r w:rsidRPr="001E6073">
        <w:t>B</w:t>
      </w:r>
      <w:r>
        <w:t xml:space="preserve">asin </w:t>
      </w:r>
      <w:r w:rsidRPr="001E6073">
        <w:t>A</w:t>
      </w:r>
      <w:r>
        <w:t xml:space="preserve">boriginal </w:t>
      </w:r>
      <w:r w:rsidRPr="001E6073">
        <w:t>N</w:t>
      </w:r>
      <w:r>
        <w:t>ations (NBAN)</w:t>
      </w:r>
      <w:r w:rsidRPr="001E6073">
        <w:t xml:space="preserve"> and the</w:t>
      </w:r>
      <w:r>
        <w:t xml:space="preserve"> Murray Lower Darling Rivers Indigenous Nations (</w:t>
      </w:r>
      <w:r w:rsidRPr="001E6073">
        <w:t>MLDRIN</w:t>
      </w:r>
      <w:r>
        <w:t>)</w:t>
      </w:r>
      <w:r w:rsidRPr="001E6073">
        <w:t xml:space="preserve"> organisations, as well as directly from local Ngiyampaa, Wa</w:t>
      </w:r>
      <w:r>
        <w:t>y</w:t>
      </w:r>
      <w:r w:rsidRPr="001E6073">
        <w:t xml:space="preserve">ilwan and Wiradjuri Aboriginal community members. </w:t>
      </w:r>
    </w:p>
    <w:p w14:paraId="1FE4952A" w14:textId="77777777" w:rsidR="00AA0841" w:rsidRPr="001E6073" w:rsidRDefault="00AA0841" w:rsidP="00AA0841">
      <w:r w:rsidRPr="001E6073">
        <w:t>Some of these objectives sit outside the scope of water for the environment to influence, while for others, the link between water for the environment and the site or issues is not well understood. The CEWO will use environmental flows to contribute to these objectives where possible and where this is consistent with the Commonwealth Environmental Water Holder’s statutory responsibility of protecting and restoring environmental assets in the Basin.</w:t>
      </w:r>
    </w:p>
    <w:p w14:paraId="1F3B4054" w14:textId="77777777" w:rsidR="00AA0841" w:rsidRDefault="00AA0841" w:rsidP="00AA0841">
      <w:pPr>
        <w:rPr>
          <w:b/>
          <w:bCs/>
        </w:rPr>
      </w:pPr>
      <w:r w:rsidRPr="001E6073">
        <w:t>The Commonwealth Environmental Water Holder is committed to continuing to work with the local Aboriginal community to better understand their objectives.</w:t>
      </w:r>
      <w:r>
        <w:rPr>
          <w:b/>
          <w:bCs/>
        </w:rPr>
        <w:br w:type="page"/>
      </w:r>
    </w:p>
    <w:p w14:paraId="3F1FA8B6" w14:textId="3F007169" w:rsidR="00AA0841" w:rsidRPr="001E6073" w:rsidRDefault="00AA0841" w:rsidP="00AA0841">
      <w:bookmarkStart w:id="109" w:name="_Ref43388778"/>
      <w:r w:rsidRPr="00AE6A76">
        <w:rPr>
          <w:b/>
        </w:rPr>
        <w:lastRenderedPageBreak/>
        <w:t xml:space="preserve">Table </w:t>
      </w:r>
      <w:r w:rsidRPr="00AE6A76">
        <w:rPr>
          <w:b/>
        </w:rPr>
        <w:fldChar w:fldCharType="begin"/>
      </w:r>
      <w:r w:rsidRPr="00AE6A76">
        <w:rPr>
          <w:b/>
        </w:rPr>
        <w:instrText xml:space="preserve"> SEQ Table \* ARABIC </w:instrText>
      </w:r>
      <w:r w:rsidRPr="00AE6A76">
        <w:rPr>
          <w:b/>
        </w:rPr>
        <w:fldChar w:fldCharType="separate"/>
      </w:r>
      <w:r w:rsidR="001B2852">
        <w:rPr>
          <w:b/>
          <w:noProof/>
        </w:rPr>
        <w:t>22</w:t>
      </w:r>
      <w:r w:rsidRPr="00AE6A76">
        <w:rPr>
          <w:b/>
        </w:rPr>
        <w:fldChar w:fldCharType="end"/>
      </w:r>
      <w:bookmarkEnd w:id="109"/>
      <w:r>
        <w:t xml:space="preserve">: </w:t>
      </w:r>
      <w:r w:rsidRPr="001E6073">
        <w:t>First Nations environmental objectives for the Macquarie Valley for 2020</w:t>
      </w:r>
      <w:r>
        <w:t>–</w:t>
      </w:r>
      <w:r w:rsidRPr="001E6073">
        <w:t>21</w:t>
      </w:r>
      <w:r>
        <w:t xml:space="preserve"> from NBAN</w:t>
      </w:r>
      <w:r w:rsidRPr="001E6073">
        <w:t xml:space="preserve"> </w:t>
      </w:r>
      <w:r>
        <w:t>(NBAN Ltd.  2020)</w:t>
      </w:r>
    </w:p>
    <w:tbl>
      <w:tblPr>
        <w:tblStyle w:val="TableGrid1"/>
        <w:tblW w:w="9781" w:type="dxa"/>
        <w:tblInd w:w="-5" w:type="dxa"/>
        <w:tblBorders>
          <w:insideH w:val="none" w:sz="0" w:space="0" w:color="auto"/>
          <w:insideV w:val="none" w:sz="0" w:space="0" w:color="auto"/>
        </w:tblBorders>
        <w:tblLook w:val="04A0" w:firstRow="1" w:lastRow="0" w:firstColumn="1" w:lastColumn="0" w:noHBand="0" w:noVBand="1"/>
      </w:tblPr>
      <w:tblGrid>
        <w:gridCol w:w="9781"/>
      </w:tblGrid>
      <w:tr w:rsidR="00AA0841" w:rsidRPr="009F4E23" w14:paraId="35C0027A" w14:textId="77777777" w:rsidTr="00AA0841">
        <w:tc>
          <w:tcPr>
            <w:tcW w:w="9781" w:type="dxa"/>
            <w:tcBorders>
              <w:bottom w:val="nil"/>
            </w:tcBorders>
            <w:shd w:val="clear" w:color="auto" w:fill="B6DDE8" w:themeFill="accent5" w:themeFillTint="66"/>
            <w:vAlign w:val="center"/>
          </w:tcPr>
          <w:p w14:paraId="3C9831EC" w14:textId="77777777" w:rsidR="00AA0841" w:rsidRPr="009F4E23" w:rsidRDefault="00AA0841" w:rsidP="00AA0841">
            <w:pPr>
              <w:rPr>
                <w:b/>
                <w:szCs w:val="22"/>
                <w:lang w:val="en-GB"/>
              </w:rPr>
            </w:pPr>
            <w:r w:rsidRPr="009F4E23">
              <w:rPr>
                <w:b/>
                <w:szCs w:val="22"/>
                <w:lang w:val="en-GB"/>
              </w:rPr>
              <w:t>River flows and Connectivity</w:t>
            </w:r>
          </w:p>
        </w:tc>
      </w:tr>
      <w:tr w:rsidR="00AA0841" w:rsidRPr="009F4E23" w14:paraId="05F2165B" w14:textId="77777777" w:rsidTr="00AA0841">
        <w:tc>
          <w:tcPr>
            <w:tcW w:w="9781" w:type="dxa"/>
            <w:tcBorders>
              <w:top w:val="nil"/>
              <w:bottom w:val="single" w:sz="4" w:space="0" w:color="auto"/>
            </w:tcBorders>
          </w:tcPr>
          <w:p w14:paraId="222BD0B3" w14:textId="77777777" w:rsidR="00AA0841" w:rsidRPr="009F4E23" w:rsidRDefault="00AA0841" w:rsidP="00AA0841">
            <w:pPr>
              <w:rPr>
                <w:szCs w:val="22"/>
              </w:rPr>
            </w:pPr>
            <w:r w:rsidRPr="008C73D6">
              <w:rPr>
                <w:rStyle w:val="Heading5Char"/>
              </w:rPr>
              <w:t>Priority sites</w:t>
            </w:r>
            <w:r w:rsidRPr="009F4E23">
              <w:rPr>
                <w:rStyle w:val="Heading5Char"/>
              </w:rPr>
              <w:t>:</w:t>
            </w:r>
            <w:r w:rsidRPr="009F4E23">
              <w:rPr>
                <w:szCs w:val="22"/>
              </w:rPr>
              <w:t xml:space="preserve"> Macquarie River: needs to provide flow to the marshes at all times. Castlereagh River</w:t>
            </w:r>
            <w:r w:rsidRPr="009F4E23">
              <w:rPr>
                <w:rStyle w:val="FootnoteReference"/>
                <w:szCs w:val="22"/>
              </w:rPr>
              <w:footnoteReference w:customMarkFollows="1" w:id="27"/>
              <w:sym w:font="Symbol" w:char="F02A"/>
            </w:r>
            <w:r w:rsidRPr="009F4E23">
              <w:rPr>
                <w:szCs w:val="22"/>
              </w:rPr>
              <w:t>: the flow that comes from rain needs to be protected. Other flows and connectivity: Macquarie and Castlereagh Rivers need to flow at all times to sustain cultural and heritage sites. Local advice is needed to inform this objective.</w:t>
            </w:r>
          </w:p>
        </w:tc>
      </w:tr>
      <w:tr w:rsidR="00AA0841" w:rsidRPr="009F4E23" w14:paraId="2E37A161" w14:textId="77777777" w:rsidTr="00AA0841">
        <w:tc>
          <w:tcPr>
            <w:tcW w:w="9781" w:type="dxa"/>
            <w:tcBorders>
              <w:top w:val="single" w:sz="4" w:space="0" w:color="auto"/>
              <w:bottom w:val="nil"/>
            </w:tcBorders>
            <w:shd w:val="clear" w:color="auto" w:fill="B6DDE8" w:themeFill="accent5" w:themeFillTint="66"/>
          </w:tcPr>
          <w:p w14:paraId="335064CB" w14:textId="77777777" w:rsidR="00AA0841" w:rsidRPr="009F4E23" w:rsidRDefault="00AA0841" w:rsidP="00AA0841">
            <w:pPr>
              <w:rPr>
                <w:b/>
                <w:szCs w:val="22"/>
                <w:lang w:val="en-GB"/>
              </w:rPr>
            </w:pPr>
            <w:r w:rsidRPr="009F4E23">
              <w:rPr>
                <w:b/>
                <w:szCs w:val="22"/>
                <w:lang w:val="en-GB"/>
              </w:rPr>
              <w:t>Native Vegetation</w:t>
            </w:r>
          </w:p>
        </w:tc>
      </w:tr>
      <w:tr w:rsidR="00AA0841" w:rsidRPr="009F4E23" w14:paraId="7D64E646" w14:textId="77777777" w:rsidTr="00AA0841">
        <w:tc>
          <w:tcPr>
            <w:tcW w:w="9781" w:type="dxa"/>
            <w:tcBorders>
              <w:top w:val="nil"/>
              <w:bottom w:val="single" w:sz="4" w:space="0" w:color="auto"/>
            </w:tcBorders>
          </w:tcPr>
          <w:p w14:paraId="2736D3B7" w14:textId="77777777" w:rsidR="00AA0841" w:rsidRPr="009F4E23" w:rsidRDefault="00AA0841" w:rsidP="00AA0841">
            <w:pPr>
              <w:rPr>
                <w:szCs w:val="22"/>
              </w:rPr>
            </w:pPr>
            <w:r w:rsidRPr="008C73D6">
              <w:rPr>
                <w:rStyle w:val="Heading5Char"/>
                <w:bCs/>
              </w:rPr>
              <w:t>Indicator species:</w:t>
            </w:r>
            <w:r w:rsidRPr="009F4E23">
              <w:rPr>
                <w:szCs w:val="22"/>
              </w:rPr>
              <w:t xml:space="preserve"> Redgum, bulrush, stringy bark</w:t>
            </w:r>
            <w:r w:rsidRPr="009F4E23">
              <w:rPr>
                <w:szCs w:val="22"/>
                <w:vertAlign w:val="superscript"/>
              </w:rPr>
              <w:t>i</w:t>
            </w:r>
            <w:r w:rsidRPr="009F4E23">
              <w:rPr>
                <w:szCs w:val="22"/>
              </w:rPr>
              <w:t>, iron bark</w:t>
            </w:r>
            <w:r w:rsidRPr="009F4E23">
              <w:rPr>
                <w:szCs w:val="22"/>
                <w:vertAlign w:val="superscript"/>
              </w:rPr>
              <w:t>i</w:t>
            </w:r>
            <w:r w:rsidRPr="009F4E23">
              <w:rPr>
                <w:szCs w:val="22"/>
              </w:rPr>
              <w:t xml:space="preserve"> are all important for culture. Redgum and bulrush are important for habitat, and bulrush for weaving.</w:t>
            </w:r>
          </w:p>
        </w:tc>
      </w:tr>
      <w:tr w:rsidR="00AA0841" w:rsidRPr="009F4E23" w14:paraId="799B8A88" w14:textId="77777777" w:rsidTr="00AA0841">
        <w:tc>
          <w:tcPr>
            <w:tcW w:w="9781" w:type="dxa"/>
            <w:tcBorders>
              <w:top w:val="single" w:sz="4" w:space="0" w:color="auto"/>
              <w:bottom w:val="nil"/>
            </w:tcBorders>
            <w:shd w:val="clear" w:color="auto" w:fill="B6DDE8" w:themeFill="accent5" w:themeFillTint="66"/>
          </w:tcPr>
          <w:p w14:paraId="22E3009F" w14:textId="77777777" w:rsidR="00AA0841" w:rsidRPr="009F4E23" w:rsidRDefault="00AA0841" w:rsidP="00AA0841">
            <w:pPr>
              <w:rPr>
                <w:b/>
                <w:szCs w:val="22"/>
                <w:lang w:val="en-GB"/>
              </w:rPr>
            </w:pPr>
            <w:r w:rsidRPr="009F4E23">
              <w:rPr>
                <w:b/>
                <w:szCs w:val="22"/>
                <w:lang w:val="en-GB"/>
              </w:rPr>
              <w:t>Native Birds</w:t>
            </w:r>
          </w:p>
        </w:tc>
      </w:tr>
      <w:tr w:rsidR="00AA0841" w:rsidRPr="009F4E23" w14:paraId="2F66F81C" w14:textId="77777777" w:rsidTr="00AA0841">
        <w:tc>
          <w:tcPr>
            <w:tcW w:w="9781" w:type="dxa"/>
            <w:tcBorders>
              <w:top w:val="nil"/>
              <w:bottom w:val="single" w:sz="4" w:space="0" w:color="auto"/>
            </w:tcBorders>
          </w:tcPr>
          <w:p w14:paraId="5F1E7B24" w14:textId="77777777" w:rsidR="00AA0841" w:rsidRPr="009F4E23" w:rsidRDefault="00AA0841" w:rsidP="00AA0841">
            <w:pPr>
              <w:rPr>
                <w:szCs w:val="22"/>
              </w:rPr>
            </w:pPr>
            <w:r w:rsidRPr="008C73D6">
              <w:rPr>
                <w:rStyle w:val="Heading5Char"/>
              </w:rPr>
              <w:t>Indicator species</w:t>
            </w:r>
            <w:r w:rsidRPr="009F4E23">
              <w:rPr>
                <w:rStyle w:val="Heading5Char"/>
              </w:rPr>
              <w:t>:</w:t>
            </w:r>
            <w:r w:rsidRPr="009F4E23">
              <w:rPr>
                <w:szCs w:val="22"/>
              </w:rPr>
              <w:t xml:space="preserve"> Wood duck, kingfisher, black cockatoo</w:t>
            </w:r>
            <w:r w:rsidRPr="009F4E23">
              <w:rPr>
                <w:szCs w:val="22"/>
                <w:vertAlign w:val="superscript"/>
              </w:rPr>
              <w:t>i</w:t>
            </w:r>
            <w:r w:rsidRPr="009F4E23">
              <w:rPr>
                <w:szCs w:val="22"/>
              </w:rPr>
              <w:t>. Wood Duck are used for food. The kingfisher has cultural significance.</w:t>
            </w:r>
          </w:p>
        </w:tc>
      </w:tr>
      <w:tr w:rsidR="00AA0841" w:rsidRPr="009F4E23" w14:paraId="3A091A84" w14:textId="77777777" w:rsidTr="00AA0841">
        <w:tc>
          <w:tcPr>
            <w:tcW w:w="9781" w:type="dxa"/>
            <w:tcBorders>
              <w:top w:val="single" w:sz="4" w:space="0" w:color="auto"/>
              <w:bottom w:val="nil"/>
            </w:tcBorders>
            <w:shd w:val="clear" w:color="auto" w:fill="B6DDE8" w:themeFill="accent5" w:themeFillTint="66"/>
          </w:tcPr>
          <w:p w14:paraId="1C491075" w14:textId="77777777" w:rsidR="00AA0841" w:rsidRPr="009F4E23" w:rsidRDefault="00AA0841" w:rsidP="00AA0841">
            <w:pPr>
              <w:rPr>
                <w:b/>
                <w:szCs w:val="22"/>
                <w:lang w:val="en-GB"/>
              </w:rPr>
            </w:pPr>
            <w:r w:rsidRPr="009F4E23">
              <w:rPr>
                <w:b/>
                <w:szCs w:val="22"/>
                <w:lang w:val="en-GB"/>
              </w:rPr>
              <w:t>Native Animals</w:t>
            </w:r>
          </w:p>
        </w:tc>
      </w:tr>
      <w:tr w:rsidR="00AA0841" w:rsidRPr="009F4E23" w14:paraId="7D6882BC" w14:textId="77777777" w:rsidTr="00AA0841">
        <w:tc>
          <w:tcPr>
            <w:tcW w:w="9781" w:type="dxa"/>
            <w:tcBorders>
              <w:top w:val="nil"/>
              <w:bottom w:val="single" w:sz="4" w:space="0" w:color="auto"/>
            </w:tcBorders>
          </w:tcPr>
          <w:p w14:paraId="0A4B14C5" w14:textId="77777777" w:rsidR="00AA0841" w:rsidRPr="009F4E23" w:rsidRDefault="00AA0841" w:rsidP="00AA0841">
            <w:pPr>
              <w:rPr>
                <w:szCs w:val="22"/>
              </w:rPr>
            </w:pPr>
            <w:r w:rsidRPr="008C73D6">
              <w:rPr>
                <w:rStyle w:val="Heading5Char"/>
                <w:bCs/>
              </w:rPr>
              <w:t>Indicator species</w:t>
            </w:r>
            <w:r>
              <w:rPr>
                <w:szCs w:val="22"/>
              </w:rPr>
              <w:t xml:space="preserve">: </w:t>
            </w:r>
            <w:r w:rsidRPr="009F4E23">
              <w:rPr>
                <w:szCs w:val="22"/>
              </w:rPr>
              <w:t>Cod, yellowbelly, turtles, Macquarie perch (missing). These are important for providing food.</w:t>
            </w:r>
          </w:p>
        </w:tc>
      </w:tr>
      <w:tr w:rsidR="00AA0841" w:rsidRPr="009F4E23" w14:paraId="304C495A" w14:textId="77777777" w:rsidTr="00AA0841">
        <w:tc>
          <w:tcPr>
            <w:tcW w:w="9781" w:type="dxa"/>
            <w:tcBorders>
              <w:top w:val="single" w:sz="4" w:space="0" w:color="auto"/>
            </w:tcBorders>
            <w:shd w:val="clear" w:color="auto" w:fill="B6DDE8" w:themeFill="accent5" w:themeFillTint="66"/>
          </w:tcPr>
          <w:p w14:paraId="2D6C56D7" w14:textId="77777777" w:rsidR="00AA0841" w:rsidRPr="009F4E23" w:rsidRDefault="00AA0841" w:rsidP="00AA0841">
            <w:pPr>
              <w:rPr>
                <w:b/>
                <w:szCs w:val="22"/>
                <w:lang w:val="en-GB"/>
              </w:rPr>
            </w:pPr>
            <w:r w:rsidRPr="009F4E23">
              <w:rPr>
                <w:b/>
                <w:szCs w:val="22"/>
                <w:lang w:val="en-GB"/>
              </w:rPr>
              <w:t>Connecting with Country</w:t>
            </w:r>
          </w:p>
        </w:tc>
      </w:tr>
      <w:tr w:rsidR="00AA0841" w:rsidRPr="009F4E23" w14:paraId="101E9582" w14:textId="77777777" w:rsidTr="00AA0841">
        <w:tc>
          <w:tcPr>
            <w:tcW w:w="9781" w:type="dxa"/>
          </w:tcPr>
          <w:p w14:paraId="79A6D3F7" w14:textId="77777777" w:rsidR="00AA0841" w:rsidRPr="009F4E23" w:rsidRDefault="00AA0841" w:rsidP="00AA0841">
            <w:pPr>
              <w:rPr>
                <w:szCs w:val="22"/>
              </w:rPr>
            </w:pPr>
            <w:r w:rsidRPr="009F4E23">
              <w:rPr>
                <w:szCs w:val="22"/>
              </w:rPr>
              <w:t>Wayilwan people are and need to be connected with Country across the Wayilwan Nation.</w:t>
            </w:r>
          </w:p>
        </w:tc>
      </w:tr>
    </w:tbl>
    <w:p w14:paraId="005A4990" w14:textId="77777777" w:rsidR="00AA0841" w:rsidRDefault="00AA0841" w:rsidP="00AA0841">
      <w:pPr>
        <w:spacing w:after="0"/>
        <w:rPr>
          <w:sz w:val="20"/>
        </w:rPr>
      </w:pPr>
      <w:r w:rsidRPr="001E6073">
        <w:rPr>
          <w:sz w:val="20"/>
        </w:rPr>
        <w:t xml:space="preserve">  </w:t>
      </w:r>
      <w:r w:rsidRPr="00B95704">
        <w:rPr>
          <w:vertAlign w:val="superscript"/>
        </w:rPr>
        <w:t>i</w:t>
      </w:r>
      <w:r w:rsidRPr="001E6073">
        <w:rPr>
          <w:sz w:val="20"/>
          <w:lang w:val="en-GB"/>
        </w:rPr>
        <w:t xml:space="preserve"> </w:t>
      </w:r>
      <w:r w:rsidRPr="001E6073">
        <w:rPr>
          <w:sz w:val="20"/>
        </w:rPr>
        <w:t>Water for the environment targeting</w:t>
      </w:r>
      <w:r>
        <w:rPr>
          <w:sz w:val="20"/>
        </w:rPr>
        <w:t xml:space="preserve"> other</w:t>
      </w:r>
      <w:r w:rsidRPr="001E6073">
        <w:rPr>
          <w:sz w:val="20"/>
        </w:rPr>
        <w:t xml:space="preserve"> environmental outcomes may</w:t>
      </w:r>
      <w:r>
        <w:rPr>
          <w:sz w:val="20"/>
        </w:rPr>
        <w:t xml:space="preserve"> influence this species or objective</w:t>
      </w:r>
    </w:p>
    <w:p w14:paraId="22C4C8AB" w14:textId="77777777" w:rsidR="00AA0841" w:rsidRDefault="00AA0841" w:rsidP="00AA0841">
      <w:pPr>
        <w:spacing w:after="0"/>
        <w:rPr>
          <w:sz w:val="20"/>
        </w:rPr>
      </w:pPr>
    </w:p>
    <w:p w14:paraId="72531A2B" w14:textId="0FE66DC5" w:rsidR="00AA0841" w:rsidRPr="00B904F1" w:rsidRDefault="00AA0841" w:rsidP="00AA0841">
      <w:pPr>
        <w:rPr>
          <w:sz w:val="20"/>
        </w:rPr>
      </w:pPr>
      <w:bookmarkStart w:id="110" w:name="_Ref43388851"/>
      <w:r w:rsidRPr="009F4E23">
        <w:rPr>
          <w:b/>
        </w:rPr>
        <w:t xml:space="preserve">Table </w:t>
      </w:r>
      <w:r w:rsidRPr="009F4E23">
        <w:rPr>
          <w:b/>
        </w:rPr>
        <w:fldChar w:fldCharType="begin"/>
      </w:r>
      <w:r w:rsidRPr="009F4E23">
        <w:rPr>
          <w:b/>
        </w:rPr>
        <w:instrText xml:space="preserve"> SEQ Table \* ARABIC </w:instrText>
      </w:r>
      <w:r w:rsidRPr="009F4E23">
        <w:rPr>
          <w:b/>
        </w:rPr>
        <w:fldChar w:fldCharType="separate"/>
      </w:r>
      <w:r w:rsidR="001B2852">
        <w:rPr>
          <w:b/>
          <w:noProof/>
        </w:rPr>
        <w:t>23</w:t>
      </w:r>
      <w:r w:rsidRPr="009F4E23">
        <w:rPr>
          <w:b/>
        </w:rPr>
        <w:fldChar w:fldCharType="end"/>
      </w:r>
      <w:bookmarkEnd w:id="110"/>
      <w:r w:rsidRPr="001E6073">
        <w:rPr>
          <w:b/>
          <w:bCs/>
        </w:rPr>
        <w:t>:</w:t>
      </w:r>
      <w:r w:rsidRPr="00B904F1">
        <w:rPr>
          <w:b/>
          <w:bCs/>
        </w:rPr>
        <w:t xml:space="preserve">  </w:t>
      </w:r>
      <w:r w:rsidRPr="00B904F1">
        <w:t>First</w:t>
      </w:r>
      <w:r w:rsidRPr="001E6073">
        <w:t xml:space="preserve"> Nations environmental objectives for the Macquarie Valley for 2020</w:t>
      </w:r>
      <w:r>
        <w:t>–</w:t>
      </w:r>
      <w:r w:rsidRPr="001E6073">
        <w:t>21</w:t>
      </w:r>
      <w:r>
        <w:t xml:space="preserve"> from MLDRIN (MLDRIN 2020)</w:t>
      </w:r>
    </w:p>
    <w:tbl>
      <w:tblPr>
        <w:tblStyle w:val="TableGrid"/>
        <w:tblW w:w="9781" w:type="dxa"/>
        <w:tblInd w:w="-5" w:type="dxa"/>
        <w:tblLook w:val="04A0" w:firstRow="1" w:lastRow="0" w:firstColumn="1" w:lastColumn="0" w:noHBand="0" w:noVBand="1"/>
      </w:tblPr>
      <w:tblGrid>
        <w:gridCol w:w="9781"/>
      </w:tblGrid>
      <w:tr w:rsidR="00AA0841" w:rsidRPr="009F4E23" w14:paraId="5343B7B6" w14:textId="77777777" w:rsidTr="00AA0841">
        <w:trPr>
          <w:cnfStyle w:val="100000000000" w:firstRow="1" w:lastRow="0" w:firstColumn="0" w:lastColumn="0" w:oddVBand="0" w:evenVBand="0" w:oddHBand="0" w:evenHBand="0" w:firstRowFirstColumn="0" w:firstRowLastColumn="0" w:lastRowFirstColumn="0" w:lastRowLastColumn="0"/>
        </w:trPr>
        <w:tc>
          <w:tcPr>
            <w:tcW w:w="9781" w:type="dxa"/>
            <w:tcBorders>
              <w:bottom w:val="nil"/>
            </w:tcBorders>
            <w:shd w:val="clear" w:color="auto" w:fill="B6DDE8" w:themeFill="accent5" w:themeFillTint="66"/>
          </w:tcPr>
          <w:p w14:paraId="791FC7DF" w14:textId="77777777" w:rsidR="00AA0841" w:rsidRPr="009F4E23" w:rsidRDefault="00AA0841" w:rsidP="00AA0841">
            <w:pPr>
              <w:rPr>
                <w:b/>
                <w:szCs w:val="22"/>
              </w:rPr>
            </w:pPr>
            <w:r w:rsidRPr="009F4E23">
              <w:rPr>
                <w:b/>
                <w:szCs w:val="22"/>
              </w:rPr>
              <w:t>Waterways and Places in Need of watering</w:t>
            </w:r>
          </w:p>
        </w:tc>
      </w:tr>
      <w:tr w:rsidR="00AA0841" w:rsidRPr="009F4E23" w14:paraId="57115EBE" w14:textId="77777777" w:rsidTr="00AA0841">
        <w:trPr>
          <w:cnfStyle w:val="000000100000" w:firstRow="0" w:lastRow="0" w:firstColumn="0" w:lastColumn="0" w:oddVBand="0" w:evenVBand="0" w:oddHBand="1" w:evenHBand="0" w:firstRowFirstColumn="0" w:firstRowLastColumn="0" w:lastRowFirstColumn="0" w:lastRowLastColumn="0"/>
        </w:trPr>
        <w:tc>
          <w:tcPr>
            <w:tcW w:w="9781" w:type="dxa"/>
            <w:tcBorders>
              <w:top w:val="nil"/>
              <w:bottom w:val="single" w:sz="4" w:space="0" w:color="auto"/>
            </w:tcBorders>
          </w:tcPr>
          <w:p w14:paraId="67EBAB23" w14:textId="77777777" w:rsidR="00AA0841" w:rsidRPr="009F4E23" w:rsidRDefault="00AA0841" w:rsidP="00AA0841">
            <w:pPr>
              <w:rPr>
                <w:rFonts w:cs="Calibri"/>
                <w:szCs w:val="22"/>
              </w:rPr>
            </w:pPr>
            <w:r w:rsidRPr="009F4E23">
              <w:rPr>
                <w:szCs w:val="22"/>
              </w:rPr>
              <w:t>Major rivers; Wetlands, Billabongs and Floodplains; Other places, parks, forests, islands; All on Country; Macquarie River; Macquarie Marshes</w:t>
            </w:r>
          </w:p>
        </w:tc>
      </w:tr>
      <w:tr w:rsidR="00AA0841" w:rsidRPr="009F4E23" w14:paraId="6B29562E" w14:textId="77777777" w:rsidTr="00AA0841">
        <w:trPr>
          <w:cnfStyle w:val="000000010000" w:firstRow="0" w:lastRow="0" w:firstColumn="0" w:lastColumn="0" w:oddVBand="0" w:evenVBand="0" w:oddHBand="0" w:evenHBand="1" w:firstRowFirstColumn="0" w:firstRowLastColumn="0" w:lastRowFirstColumn="0" w:lastRowLastColumn="0"/>
        </w:trPr>
        <w:tc>
          <w:tcPr>
            <w:tcW w:w="9781" w:type="dxa"/>
            <w:tcBorders>
              <w:bottom w:val="nil"/>
            </w:tcBorders>
            <w:shd w:val="clear" w:color="auto" w:fill="B6DDE8" w:themeFill="accent5" w:themeFillTint="66"/>
          </w:tcPr>
          <w:p w14:paraId="506C709F" w14:textId="77777777" w:rsidR="00AA0841" w:rsidRPr="009F4E23" w:rsidRDefault="00AA0841" w:rsidP="00AA0841">
            <w:pPr>
              <w:rPr>
                <w:b/>
                <w:szCs w:val="22"/>
              </w:rPr>
            </w:pPr>
            <w:r w:rsidRPr="009F4E23">
              <w:rPr>
                <w:b/>
                <w:szCs w:val="22"/>
              </w:rPr>
              <w:t>River Flows and Connectivity</w:t>
            </w:r>
          </w:p>
        </w:tc>
      </w:tr>
      <w:tr w:rsidR="00AA0841" w:rsidRPr="009F4E23" w14:paraId="3614C9B0" w14:textId="77777777" w:rsidTr="00AA0841">
        <w:trPr>
          <w:cnfStyle w:val="000000100000" w:firstRow="0" w:lastRow="0" w:firstColumn="0" w:lastColumn="0" w:oddVBand="0" w:evenVBand="0" w:oddHBand="1" w:evenHBand="0" w:firstRowFirstColumn="0" w:firstRowLastColumn="0" w:lastRowFirstColumn="0" w:lastRowLastColumn="0"/>
        </w:trPr>
        <w:tc>
          <w:tcPr>
            <w:tcW w:w="9781" w:type="dxa"/>
            <w:tcBorders>
              <w:top w:val="nil"/>
              <w:bottom w:val="single" w:sz="4" w:space="0" w:color="auto"/>
            </w:tcBorders>
          </w:tcPr>
          <w:p w14:paraId="2BDC1B6C" w14:textId="77777777" w:rsidR="00AA0841" w:rsidRPr="009F4E23" w:rsidRDefault="00AA0841" w:rsidP="00AA0841">
            <w:pPr>
              <w:rPr>
                <w:szCs w:val="22"/>
              </w:rPr>
            </w:pPr>
            <w:r w:rsidRPr="009F4E23">
              <w:rPr>
                <w:szCs w:val="22"/>
              </w:rPr>
              <w:t>Improve flows and quantity (rivers and general); Improve timing and seasonality of flows; Improve tributary flows; Improve water quality; Remove barriers and constraints.</w:t>
            </w:r>
          </w:p>
        </w:tc>
      </w:tr>
      <w:tr w:rsidR="00AA0841" w:rsidRPr="009F4E23" w14:paraId="1015CFCA" w14:textId="77777777" w:rsidTr="00AA0841">
        <w:trPr>
          <w:cnfStyle w:val="000000010000" w:firstRow="0" w:lastRow="0" w:firstColumn="0" w:lastColumn="0" w:oddVBand="0" w:evenVBand="0" w:oddHBand="0" w:evenHBand="1" w:firstRowFirstColumn="0" w:firstRowLastColumn="0" w:lastRowFirstColumn="0" w:lastRowLastColumn="0"/>
        </w:trPr>
        <w:tc>
          <w:tcPr>
            <w:tcW w:w="9781" w:type="dxa"/>
            <w:tcBorders>
              <w:bottom w:val="nil"/>
            </w:tcBorders>
            <w:shd w:val="clear" w:color="auto" w:fill="B6DDE8" w:themeFill="accent5" w:themeFillTint="66"/>
          </w:tcPr>
          <w:p w14:paraId="568A3B67" w14:textId="77777777" w:rsidR="00AA0841" w:rsidRPr="009F4E23" w:rsidRDefault="00AA0841" w:rsidP="00AA0841">
            <w:pPr>
              <w:rPr>
                <w:b/>
                <w:szCs w:val="22"/>
              </w:rPr>
            </w:pPr>
            <w:r w:rsidRPr="009F4E23">
              <w:rPr>
                <w:b/>
                <w:szCs w:val="22"/>
              </w:rPr>
              <w:t>Vegetation</w:t>
            </w:r>
          </w:p>
        </w:tc>
      </w:tr>
      <w:tr w:rsidR="00AA0841" w:rsidRPr="009F4E23" w14:paraId="0586D45E" w14:textId="77777777" w:rsidTr="00AA0841">
        <w:trPr>
          <w:cnfStyle w:val="000000100000" w:firstRow="0" w:lastRow="0" w:firstColumn="0" w:lastColumn="0" w:oddVBand="0" w:evenVBand="0" w:oddHBand="1" w:evenHBand="0" w:firstRowFirstColumn="0" w:firstRowLastColumn="0" w:lastRowFirstColumn="0" w:lastRowLastColumn="0"/>
        </w:trPr>
        <w:tc>
          <w:tcPr>
            <w:tcW w:w="9781" w:type="dxa"/>
            <w:tcBorders>
              <w:top w:val="nil"/>
              <w:bottom w:val="single" w:sz="4" w:space="0" w:color="auto"/>
            </w:tcBorders>
          </w:tcPr>
          <w:p w14:paraId="2FD1250B" w14:textId="77777777" w:rsidR="00AA0841" w:rsidRPr="009F4E23" w:rsidRDefault="00AA0841" w:rsidP="00AA0841">
            <w:pPr>
              <w:rPr>
                <w:rFonts w:cs="Calibri"/>
                <w:szCs w:val="22"/>
              </w:rPr>
            </w:pPr>
            <w:r w:rsidRPr="009F4E23">
              <w:rPr>
                <w:szCs w:val="22"/>
              </w:rPr>
              <w:t>Nardoo, phragmites, sheoaks</w:t>
            </w:r>
            <w:r w:rsidRPr="009F4E23">
              <w:rPr>
                <w:szCs w:val="22"/>
                <w:vertAlign w:val="superscript"/>
              </w:rPr>
              <w:t>i</w:t>
            </w:r>
            <w:r w:rsidRPr="009F4E23">
              <w:rPr>
                <w:szCs w:val="22"/>
              </w:rPr>
              <w:t>.</w:t>
            </w:r>
          </w:p>
        </w:tc>
      </w:tr>
      <w:tr w:rsidR="00AA0841" w:rsidRPr="009F4E23" w14:paraId="79BA7471" w14:textId="77777777" w:rsidTr="00AA0841">
        <w:trPr>
          <w:cnfStyle w:val="000000010000" w:firstRow="0" w:lastRow="0" w:firstColumn="0" w:lastColumn="0" w:oddVBand="0" w:evenVBand="0" w:oddHBand="0" w:evenHBand="1" w:firstRowFirstColumn="0" w:firstRowLastColumn="0" w:lastRowFirstColumn="0" w:lastRowLastColumn="0"/>
        </w:trPr>
        <w:tc>
          <w:tcPr>
            <w:tcW w:w="9781" w:type="dxa"/>
            <w:tcBorders>
              <w:bottom w:val="nil"/>
            </w:tcBorders>
            <w:shd w:val="clear" w:color="auto" w:fill="B6DDE8" w:themeFill="accent5" w:themeFillTint="66"/>
          </w:tcPr>
          <w:p w14:paraId="208DC48F" w14:textId="77777777" w:rsidR="00AA0841" w:rsidRPr="009F4E23" w:rsidRDefault="00AA0841" w:rsidP="00AA0841">
            <w:pPr>
              <w:rPr>
                <w:b/>
                <w:szCs w:val="22"/>
              </w:rPr>
            </w:pPr>
            <w:r w:rsidRPr="009F4E23">
              <w:rPr>
                <w:b/>
                <w:szCs w:val="22"/>
              </w:rPr>
              <w:t>Fish</w:t>
            </w:r>
          </w:p>
        </w:tc>
      </w:tr>
      <w:tr w:rsidR="00AA0841" w:rsidRPr="009F4E23" w14:paraId="2D655731" w14:textId="77777777" w:rsidTr="00AA0841">
        <w:trPr>
          <w:cnfStyle w:val="000000100000" w:firstRow="0" w:lastRow="0" w:firstColumn="0" w:lastColumn="0" w:oddVBand="0" w:evenVBand="0" w:oddHBand="1" w:evenHBand="0" w:firstRowFirstColumn="0" w:firstRowLastColumn="0" w:lastRowFirstColumn="0" w:lastRowLastColumn="0"/>
        </w:trPr>
        <w:tc>
          <w:tcPr>
            <w:tcW w:w="9781" w:type="dxa"/>
            <w:tcBorders>
              <w:top w:val="nil"/>
              <w:bottom w:val="single" w:sz="4" w:space="0" w:color="auto"/>
            </w:tcBorders>
          </w:tcPr>
          <w:p w14:paraId="011212BC" w14:textId="77777777" w:rsidR="00AA0841" w:rsidRPr="009F4E23" w:rsidRDefault="00AA0841" w:rsidP="00AA0841">
            <w:pPr>
              <w:rPr>
                <w:szCs w:val="22"/>
              </w:rPr>
            </w:pPr>
            <w:r w:rsidRPr="009F4E23">
              <w:rPr>
                <w:szCs w:val="22"/>
              </w:rPr>
              <w:t xml:space="preserve">Catfish, Murray cod, silver perch, yellowbelly, </w:t>
            </w:r>
          </w:p>
        </w:tc>
      </w:tr>
      <w:tr w:rsidR="00AA0841" w:rsidRPr="009F4E23" w14:paraId="4E0F3DF4" w14:textId="77777777" w:rsidTr="00AA0841">
        <w:trPr>
          <w:cnfStyle w:val="000000010000" w:firstRow="0" w:lastRow="0" w:firstColumn="0" w:lastColumn="0" w:oddVBand="0" w:evenVBand="0" w:oddHBand="0" w:evenHBand="1" w:firstRowFirstColumn="0" w:firstRowLastColumn="0" w:lastRowFirstColumn="0" w:lastRowLastColumn="0"/>
        </w:trPr>
        <w:tc>
          <w:tcPr>
            <w:tcW w:w="9781" w:type="dxa"/>
            <w:tcBorders>
              <w:bottom w:val="nil"/>
            </w:tcBorders>
            <w:shd w:val="clear" w:color="auto" w:fill="B6DDE8" w:themeFill="accent5" w:themeFillTint="66"/>
          </w:tcPr>
          <w:p w14:paraId="23CEC2AD" w14:textId="77777777" w:rsidR="00AA0841" w:rsidRPr="009F4E23" w:rsidRDefault="00AA0841" w:rsidP="00AA0841">
            <w:pPr>
              <w:rPr>
                <w:b/>
                <w:szCs w:val="22"/>
              </w:rPr>
            </w:pPr>
            <w:r w:rsidRPr="009F4E23">
              <w:rPr>
                <w:b/>
                <w:szCs w:val="22"/>
              </w:rPr>
              <w:t>Waterbirds</w:t>
            </w:r>
          </w:p>
        </w:tc>
      </w:tr>
      <w:tr w:rsidR="00AA0841" w:rsidRPr="009F4E23" w14:paraId="5CD62E03" w14:textId="77777777" w:rsidTr="00AA0841">
        <w:trPr>
          <w:cnfStyle w:val="000000100000" w:firstRow="0" w:lastRow="0" w:firstColumn="0" w:lastColumn="0" w:oddVBand="0" w:evenVBand="0" w:oddHBand="1" w:evenHBand="0" w:firstRowFirstColumn="0" w:firstRowLastColumn="0" w:lastRowFirstColumn="0" w:lastRowLastColumn="0"/>
        </w:trPr>
        <w:tc>
          <w:tcPr>
            <w:tcW w:w="9781" w:type="dxa"/>
            <w:tcBorders>
              <w:top w:val="nil"/>
              <w:bottom w:val="single" w:sz="4" w:space="0" w:color="auto"/>
            </w:tcBorders>
          </w:tcPr>
          <w:p w14:paraId="39C88655" w14:textId="77777777" w:rsidR="00AA0841" w:rsidRPr="009F4E23" w:rsidRDefault="00AA0841" w:rsidP="00AA0841">
            <w:pPr>
              <w:rPr>
                <w:rFonts w:cs="Calibri"/>
                <w:szCs w:val="22"/>
              </w:rPr>
            </w:pPr>
            <w:r w:rsidRPr="009F4E23">
              <w:rPr>
                <w:szCs w:val="22"/>
              </w:rPr>
              <w:t>Darters, ducks, swan.</w:t>
            </w:r>
          </w:p>
        </w:tc>
      </w:tr>
      <w:tr w:rsidR="00AA0841" w:rsidRPr="009F4E23" w14:paraId="42BD0479" w14:textId="77777777" w:rsidTr="00AA0841">
        <w:trPr>
          <w:cnfStyle w:val="000000010000" w:firstRow="0" w:lastRow="0" w:firstColumn="0" w:lastColumn="0" w:oddVBand="0" w:evenVBand="0" w:oddHBand="0" w:evenHBand="1" w:firstRowFirstColumn="0" w:firstRowLastColumn="0" w:lastRowFirstColumn="0" w:lastRowLastColumn="0"/>
        </w:trPr>
        <w:tc>
          <w:tcPr>
            <w:tcW w:w="9781" w:type="dxa"/>
            <w:tcBorders>
              <w:bottom w:val="nil"/>
            </w:tcBorders>
            <w:shd w:val="clear" w:color="auto" w:fill="B6DDE8" w:themeFill="accent5" w:themeFillTint="66"/>
          </w:tcPr>
          <w:p w14:paraId="1FB01FB4" w14:textId="77777777" w:rsidR="00AA0841" w:rsidRPr="009F4E23" w:rsidRDefault="00AA0841" w:rsidP="00AA0841">
            <w:pPr>
              <w:rPr>
                <w:rFonts w:cs="Calibri"/>
                <w:b/>
                <w:szCs w:val="22"/>
              </w:rPr>
            </w:pPr>
            <w:r w:rsidRPr="009F4E23">
              <w:rPr>
                <w:b/>
                <w:szCs w:val="22"/>
              </w:rPr>
              <w:t>Other species</w:t>
            </w:r>
          </w:p>
        </w:tc>
      </w:tr>
      <w:tr w:rsidR="00AA0841" w:rsidRPr="009F4E23" w14:paraId="7B89881C" w14:textId="77777777" w:rsidTr="00AA0841">
        <w:trPr>
          <w:cnfStyle w:val="000000100000" w:firstRow="0" w:lastRow="0" w:firstColumn="0" w:lastColumn="0" w:oddVBand="0" w:evenVBand="0" w:oddHBand="1" w:evenHBand="0" w:firstRowFirstColumn="0" w:firstRowLastColumn="0" w:lastRowFirstColumn="0" w:lastRowLastColumn="0"/>
        </w:trPr>
        <w:tc>
          <w:tcPr>
            <w:tcW w:w="9781" w:type="dxa"/>
            <w:tcBorders>
              <w:top w:val="nil"/>
            </w:tcBorders>
          </w:tcPr>
          <w:p w14:paraId="686165C1" w14:textId="77777777" w:rsidR="00AA0841" w:rsidRPr="009F4E23" w:rsidRDefault="00AA0841" w:rsidP="00AA0841">
            <w:pPr>
              <w:rPr>
                <w:szCs w:val="22"/>
              </w:rPr>
            </w:pPr>
            <w:r w:rsidRPr="009F4E23">
              <w:rPr>
                <w:szCs w:val="22"/>
              </w:rPr>
              <w:t>Platypus</w:t>
            </w:r>
            <w:r w:rsidRPr="009F4E23">
              <w:rPr>
                <w:szCs w:val="22"/>
                <w:vertAlign w:val="superscript"/>
              </w:rPr>
              <w:t>i</w:t>
            </w:r>
            <w:r w:rsidRPr="009F4E23">
              <w:rPr>
                <w:szCs w:val="22"/>
              </w:rPr>
              <w:t>, cockatoos</w:t>
            </w:r>
            <w:r w:rsidRPr="009F4E23">
              <w:rPr>
                <w:szCs w:val="22"/>
                <w:vertAlign w:val="superscript"/>
              </w:rPr>
              <w:t>i</w:t>
            </w:r>
            <w:r w:rsidRPr="009F4E23">
              <w:rPr>
                <w:szCs w:val="22"/>
              </w:rPr>
              <w:t>.</w:t>
            </w:r>
          </w:p>
        </w:tc>
      </w:tr>
    </w:tbl>
    <w:p w14:paraId="663782B2" w14:textId="77777777" w:rsidR="00AA0841" w:rsidRDefault="00AA0841" w:rsidP="00AA0841">
      <w:pPr>
        <w:spacing w:after="0"/>
        <w:rPr>
          <w:sz w:val="20"/>
        </w:rPr>
      </w:pPr>
      <w:r w:rsidRPr="001E6073">
        <w:rPr>
          <w:sz w:val="20"/>
        </w:rPr>
        <w:t xml:space="preserve">  </w:t>
      </w:r>
      <w:r w:rsidRPr="00B95704">
        <w:rPr>
          <w:vertAlign w:val="superscript"/>
        </w:rPr>
        <w:t>i</w:t>
      </w:r>
      <w:r w:rsidRPr="001E6073">
        <w:rPr>
          <w:sz w:val="20"/>
          <w:lang w:val="en-GB"/>
        </w:rPr>
        <w:t xml:space="preserve"> </w:t>
      </w:r>
      <w:r w:rsidRPr="001E6073">
        <w:rPr>
          <w:sz w:val="20"/>
        </w:rPr>
        <w:t>Water for the environment targeting</w:t>
      </w:r>
      <w:r>
        <w:rPr>
          <w:sz w:val="20"/>
        </w:rPr>
        <w:t xml:space="preserve"> other</w:t>
      </w:r>
      <w:r w:rsidRPr="001E6073">
        <w:rPr>
          <w:sz w:val="20"/>
        </w:rPr>
        <w:t xml:space="preserve"> environmental outcomes may</w:t>
      </w:r>
      <w:r>
        <w:rPr>
          <w:sz w:val="20"/>
        </w:rPr>
        <w:t xml:space="preserve"> influence this species or objective</w:t>
      </w:r>
    </w:p>
    <w:p w14:paraId="7A9DCF7C" w14:textId="77777777" w:rsidR="00AA0841" w:rsidRPr="001E6073" w:rsidRDefault="00AA0841" w:rsidP="00AA0841">
      <w:pPr>
        <w:spacing w:after="0"/>
      </w:pPr>
      <w:r w:rsidRPr="001E6073">
        <w:br w:type="page"/>
      </w:r>
    </w:p>
    <w:p w14:paraId="132DCCAC" w14:textId="77777777" w:rsidR="00AA0841" w:rsidRPr="00365FE2" w:rsidRDefault="00AA0841" w:rsidP="0057535E">
      <w:pPr>
        <w:pStyle w:val="Heading3"/>
      </w:pPr>
      <w:r w:rsidRPr="00365FE2">
        <w:lastRenderedPageBreak/>
        <w:t>Recent conditions and seasonal outlook</w:t>
      </w:r>
    </w:p>
    <w:p w14:paraId="5F11A971" w14:textId="77777777" w:rsidR="00AA0841" w:rsidRPr="00E331C9" w:rsidRDefault="00AA0841" w:rsidP="0057535E">
      <w:pPr>
        <w:pStyle w:val="Heading4"/>
      </w:pPr>
      <w:r w:rsidRPr="00365FE2">
        <w:t xml:space="preserve">Recent </w:t>
      </w:r>
      <w:r w:rsidRPr="00E331C9">
        <w:t>conditions and environmental water use</w:t>
      </w:r>
    </w:p>
    <w:p w14:paraId="439E2E6A" w14:textId="4F195263" w:rsidR="00AA0841" w:rsidRPr="00365FE2" w:rsidRDefault="00AA0841" w:rsidP="00AA0841">
      <w:bookmarkStart w:id="111" w:name="_Hlk40944060"/>
      <w:r w:rsidRPr="00365FE2">
        <w:t xml:space="preserve">The Macquarie </w:t>
      </w:r>
      <w:r>
        <w:t>River Valley</w:t>
      </w:r>
      <w:r w:rsidRPr="00365FE2">
        <w:t xml:space="preserve"> has experienced very hot and dry conditions since 2017</w:t>
      </w:r>
      <w:r w:rsidR="00DF55C2">
        <w:t>-</w:t>
      </w:r>
      <w:r w:rsidRPr="00365FE2">
        <w:t xml:space="preserve">18, with rainfall being well below average, and highest on record temperatures. Inflows to Burrendong Dam have been extremely low during this time, with the lowest inflows on record. </w:t>
      </w:r>
    </w:p>
    <w:p w14:paraId="26677499" w14:textId="0D37A7A3" w:rsidR="00AA0841" w:rsidRPr="00365FE2" w:rsidRDefault="00AA0841" w:rsidP="00AA0841">
      <w:r w:rsidRPr="00365FE2">
        <w:t>With new drought of record conditions in the Macquarie River Valley, access to general security and planned environmental water accounts w</w:t>
      </w:r>
      <w:r>
        <w:t>as</w:t>
      </w:r>
      <w:r w:rsidRPr="00365FE2">
        <w:t xml:space="preserve"> restricted to 70 per cent of the 1 July 2018 carryover balance. This limited the volume of NSW and Commonwealth water for the environment that was delivered to support wetland vegetation and native fish in 2018</w:t>
      </w:r>
      <w:r w:rsidR="00DF55C2">
        <w:t>-</w:t>
      </w:r>
      <w:r w:rsidRPr="00365FE2">
        <w:t>19.</w:t>
      </w:r>
    </w:p>
    <w:p w14:paraId="69F0CE1F" w14:textId="0B60EB77" w:rsidR="00AA0841" w:rsidRPr="00365FE2" w:rsidRDefault="00AA0841" w:rsidP="00AA0841">
      <w:r w:rsidRPr="00365FE2">
        <w:t>Further restrictions were put in place in 2019</w:t>
      </w:r>
      <w:r w:rsidR="00DF55C2">
        <w:t>-</w:t>
      </w:r>
      <w:r w:rsidRPr="00365FE2">
        <w:t xml:space="preserve">20, with all allocations of water for the environment being held in a drought sub-account (along with other general security water). Consequently, no water for the environment was able to be delivered as the extreme drought continued. </w:t>
      </w:r>
    </w:p>
    <w:p w14:paraId="56207279" w14:textId="77777777" w:rsidR="00AA0841" w:rsidRDefault="00AA0841" w:rsidP="00AA0841">
      <w:r w:rsidRPr="00365FE2">
        <w:t>The mid-Macquarie River was shut off downstream of Warren in late August 2019, resulting in cease to flow conditions, necessitating the rescue of native fish from drying refuge pools over summer.</w:t>
      </w:r>
      <w:r>
        <w:t xml:space="preserve"> </w:t>
      </w:r>
      <w:r w:rsidRPr="00365FE2">
        <w:t>Ongoing very hot and dry conditions affected the condition of vegetation in the Macquarie Marshes</w:t>
      </w:r>
      <w:r>
        <w:t>. During the spring and summer la</w:t>
      </w:r>
      <w:r w:rsidRPr="00365FE2">
        <w:t xml:space="preserve">rge areas </w:t>
      </w:r>
      <w:r>
        <w:t>had</w:t>
      </w:r>
      <w:r w:rsidRPr="00365FE2">
        <w:t xml:space="preserve"> little or no ground cover</w:t>
      </w:r>
      <w:r>
        <w:t xml:space="preserve">. </w:t>
      </w:r>
      <w:r w:rsidRPr="00365FE2">
        <w:t xml:space="preserve">A fire in spring 2019 also burnt large areas of the north marsh reedbed (part of the Ramsar site). </w:t>
      </w:r>
    </w:p>
    <w:p w14:paraId="35D4656C" w14:textId="77777777" w:rsidR="00AA0841" w:rsidRDefault="00AA0841" w:rsidP="00AA0841">
      <w:r>
        <w:t>Late summer and a</w:t>
      </w:r>
      <w:r w:rsidRPr="00DB69A7">
        <w:t xml:space="preserve">utumn rainfall and flows provided much needed water to parts of the Macquarie Marshes. Commonwealth and NSW supplementary water entitlements were used to ensure some </w:t>
      </w:r>
      <w:r>
        <w:t xml:space="preserve">additional </w:t>
      </w:r>
      <w:r w:rsidRPr="00DB69A7">
        <w:t>water was left instream to help support recovery in the Macquarie River and Marshes. Some areas of the Marshes such as the north marsh reedbed have responded well. However, areas that haven’t received sufficient water are in poorer condition. A range of bird species such as spoonbills, magpie geese, ibis and whistling ducks have been observed in increasing numbers in the Marshes.</w:t>
      </w:r>
    </w:p>
    <w:p w14:paraId="3043B56E" w14:textId="77777777" w:rsidR="00AA0841" w:rsidRDefault="00AA0841" w:rsidP="00AA0841">
      <w:r w:rsidRPr="00365FE2">
        <w:t xml:space="preserve">As of </w:t>
      </w:r>
      <w:r>
        <w:t>29 June 2020</w:t>
      </w:r>
      <w:r w:rsidRPr="00365FE2">
        <w:t xml:space="preserve">, Burrendong Dam was at </w:t>
      </w:r>
      <w:r>
        <w:t>23</w:t>
      </w:r>
      <w:r w:rsidRPr="00365FE2">
        <w:t xml:space="preserve"> per cent capacity</w:t>
      </w:r>
      <w:r>
        <w:t>, up from ~1.5 per cent in February. However, further significant inflows are</w:t>
      </w:r>
      <w:r w:rsidRPr="00365FE2">
        <w:t xml:space="preserve"> required before</w:t>
      </w:r>
      <w:r>
        <w:t xml:space="preserve"> there is sufficient water available to meet all system requirements in 2020–21 or announce</w:t>
      </w:r>
      <w:r w:rsidRPr="00365FE2">
        <w:t xml:space="preserve"> any new allocations. </w:t>
      </w:r>
    </w:p>
    <w:bookmarkEnd w:id="111"/>
    <w:p w14:paraId="30940498" w14:textId="77777777" w:rsidR="00AA0841" w:rsidRPr="00365FE2" w:rsidRDefault="00AA0841" w:rsidP="00AA0841">
      <w:r w:rsidRPr="00365FE2">
        <w:t xml:space="preserve">Details of previous Commonwealth environmental use in the Macquarie </w:t>
      </w:r>
      <w:r>
        <w:t>River Valley</w:t>
      </w:r>
      <w:r w:rsidRPr="00365FE2">
        <w:t xml:space="preserve"> are available at: </w:t>
      </w:r>
      <w:hyperlink r:id="rId168" w:history="1">
        <w:r w:rsidRPr="00FA5CC6">
          <w:rPr>
            <w:rStyle w:val="Hyperlink"/>
          </w:rPr>
          <w:t>http://www.environment.gov.au/water/cewo/catchment/macquarie/history</w:t>
        </w:r>
      </w:hyperlink>
      <w:r>
        <w:t xml:space="preserve">. </w:t>
      </w:r>
    </w:p>
    <w:p w14:paraId="39810792" w14:textId="77777777" w:rsidR="00AA0841" w:rsidRPr="00365FE2" w:rsidRDefault="00AA0841" w:rsidP="0057535E">
      <w:pPr>
        <w:pStyle w:val="Heading4"/>
      </w:pPr>
      <w:r w:rsidRPr="00365FE2">
        <w:t>Seasonal outlook</w:t>
      </w:r>
    </w:p>
    <w:p w14:paraId="260C4967" w14:textId="77777777" w:rsidR="00AA0841" w:rsidRPr="00365FE2" w:rsidRDefault="00AA0841" w:rsidP="00AA0841">
      <w:r w:rsidRPr="00365FE2">
        <w:t>According to the Bureau of Meteorology outlook</w:t>
      </w:r>
      <w:r>
        <w:t xml:space="preserve"> in July</w:t>
      </w:r>
      <w:r w:rsidRPr="00365FE2">
        <w:t xml:space="preserve">, </w:t>
      </w:r>
      <w:r>
        <w:t xml:space="preserve">above median rainfall is forecast across the Macquarie River Valley from late winter through spring. While this forecast suggests that the recent severe dry conditions may ease somewhat, several months of above average rainfall are needed to see a recovery from the current severe drought. Stream flows may be less than expected during the recovery. However, wetter conditions can return suddenly in the northern Basin. Maximum temperatures are also forecast to remain above average over the coming months. </w:t>
      </w:r>
    </w:p>
    <w:p w14:paraId="4068B455" w14:textId="77777777" w:rsidR="00AA0841" w:rsidRPr="00365FE2" w:rsidRDefault="00AA0841" w:rsidP="0057535E">
      <w:pPr>
        <w:pStyle w:val="Heading4"/>
      </w:pPr>
      <w:r w:rsidRPr="00365FE2">
        <w:t>Water availability</w:t>
      </w:r>
    </w:p>
    <w:p w14:paraId="0BDAF866" w14:textId="77777777" w:rsidR="00AA0841" w:rsidRPr="00365FE2" w:rsidRDefault="00AA0841" w:rsidP="00AA0841">
      <w:r w:rsidRPr="00365FE2">
        <w:t>The volume of Commonwealth environmental water carried over in the Macquarie River Valley for use in 2020–21 is 2</w:t>
      </w:r>
      <w:r>
        <w:t>2.7</w:t>
      </w:r>
      <w:r w:rsidRPr="00365FE2">
        <w:t xml:space="preserve"> gigalitres. However, given current drought restrictions </w:t>
      </w:r>
      <w:r>
        <w:t>only 40 per cent of this volume (9.08 g</w:t>
      </w:r>
      <w:r w:rsidRPr="00365FE2">
        <w:t>igalitres</w:t>
      </w:r>
      <w:r>
        <w:t>) is available for use. The remaining volume continues to be quarantined in the drought sub-account until conditions improve further. N</w:t>
      </w:r>
      <w:r w:rsidRPr="00365FE2">
        <w:t>o new allocations are expected unless resource availability significantly improves,</w:t>
      </w:r>
      <w:r>
        <w:t xml:space="preserve"> and quarantined water has been made available</w:t>
      </w:r>
      <w:r w:rsidRPr="00365FE2">
        <w:t>.</w:t>
      </w:r>
    </w:p>
    <w:p w14:paraId="6A781A86" w14:textId="77777777" w:rsidR="00AA0841" w:rsidRPr="00365FE2" w:rsidRDefault="00AA0841" w:rsidP="00AA0841">
      <w:r w:rsidRPr="00365FE2">
        <w:t xml:space="preserve">Based on the expected available volume of water held by the Commonwealth and other water holders, as well as recent and forecast catchment conditions, it is expected that the overall resource availability will be very low to low in 2020–21. </w:t>
      </w:r>
    </w:p>
    <w:p w14:paraId="1C9E6CBC" w14:textId="77777777" w:rsidR="00AA0841" w:rsidRPr="00365FE2" w:rsidRDefault="00AA0841" w:rsidP="0057535E">
      <w:pPr>
        <w:pStyle w:val="Heading4"/>
      </w:pPr>
      <w:r w:rsidRPr="00365FE2">
        <w:lastRenderedPageBreak/>
        <w:t>Environmental demands</w:t>
      </w:r>
    </w:p>
    <w:p w14:paraId="04BE2AE9" w14:textId="77777777" w:rsidR="00AA0841" w:rsidRPr="00365FE2" w:rsidRDefault="00AA0841" w:rsidP="00AA0841">
      <w:r w:rsidRPr="00365FE2">
        <w:t xml:space="preserve">Considering the </w:t>
      </w:r>
      <w:r>
        <w:t>prolonged</w:t>
      </w:r>
      <w:r w:rsidRPr="00365FE2">
        <w:t xml:space="preserve"> drought and need to</w:t>
      </w:r>
      <w:r>
        <w:t xml:space="preserve"> support recovery and</w:t>
      </w:r>
      <w:r w:rsidRPr="00365FE2">
        <w:t xml:space="preserve"> avoid further damage to key assets, there are a number of environmental demands that require water urgently in 2020–21. </w:t>
      </w:r>
    </w:p>
    <w:p w14:paraId="0E80F27B" w14:textId="29544DA4" w:rsidR="00AA0841" w:rsidRPr="00365FE2" w:rsidRDefault="00AA0841" w:rsidP="00AA0841">
      <w:r w:rsidRPr="00365FE2">
        <w:t xml:space="preserve">The environmental water demands for assets in the Macquarie </w:t>
      </w:r>
      <w:r>
        <w:t>River Valley</w:t>
      </w:r>
      <w:r w:rsidRPr="00365FE2">
        <w:t xml:space="preserve"> in 2020–21 are represented in </w:t>
      </w:r>
      <w:r>
        <w:fldChar w:fldCharType="begin"/>
      </w:r>
      <w:r w:rsidRPr="00BD7491">
        <w:instrText xml:space="preserve"> REF _Ref43969018 \h </w:instrText>
      </w:r>
      <w:r>
        <w:instrText xml:space="preserve"> \* MERGEFORMAT </w:instrText>
      </w:r>
      <w:r>
        <w:fldChar w:fldCharType="separate"/>
      </w:r>
      <w:r w:rsidR="001B2852" w:rsidRPr="001B2852">
        <w:t>Table</w:t>
      </w:r>
      <w:r w:rsidR="001B2852" w:rsidRPr="00BD7491">
        <w:rPr>
          <w:b/>
        </w:rPr>
        <w:t xml:space="preserve"> </w:t>
      </w:r>
      <w:r w:rsidR="001B2852">
        <w:rPr>
          <w:b/>
          <w:noProof/>
        </w:rPr>
        <w:t>24</w:t>
      </w:r>
      <w:r>
        <w:fldChar w:fldCharType="end"/>
      </w:r>
      <w:r w:rsidRPr="00365FE2">
        <w:t xml:space="preserve">. Note that the capacity to contribute to </w:t>
      </w:r>
      <w:r>
        <w:t xml:space="preserve">many of </w:t>
      </w:r>
      <w:r w:rsidRPr="00365FE2">
        <w:t>these environmental demands is contingent on a substantial improvement in water availability in the catchment.</w:t>
      </w:r>
    </w:p>
    <w:p w14:paraId="03E31741" w14:textId="77777777" w:rsidR="00AA0841" w:rsidRPr="000F4C60" w:rsidRDefault="00AA0841" w:rsidP="00AA0841">
      <w:pPr>
        <w:pStyle w:val="NormalWeb"/>
        <w:spacing w:after="240"/>
        <w:rPr>
          <w:rFonts w:ascii="Century Gothic" w:hAnsi="Century Gothic"/>
        </w:rPr>
        <w:sectPr w:rsidR="00AA0841" w:rsidRPr="000F4C60" w:rsidSect="003737D8">
          <w:pgSz w:w="11906" w:h="16838"/>
          <w:pgMar w:top="1134" w:right="1133" w:bottom="851" w:left="964" w:header="426" w:footer="515" w:gutter="0"/>
          <w:cols w:space="708"/>
          <w:docGrid w:linePitch="360"/>
        </w:sectPr>
      </w:pPr>
    </w:p>
    <w:p w14:paraId="39FFBF6D" w14:textId="59399437" w:rsidR="00AA0841" w:rsidRPr="00B461DE" w:rsidRDefault="00AA0841" w:rsidP="00AA0841">
      <w:pPr>
        <w:rPr>
          <w:b/>
        </w:rPr>
      </w:pPr>
      <w:bookmarkStart w:id="112" w:name="_Ref43969018"/>
      <w:r w:rsidRPr="00BD7491">
        <w:rPr>
          <w:b/>
        </w:rPr>
        <w:lastRenderedPageBreak/>
        <w:t xml:space="preserve">Table </w:t>
      </w:r>
      <w:r w:rsidRPr="00BD7491">
        <w:rPr>
          <w:b/>
        </w:rPr>
        <w:fldChar w:fldCharType="begin"/>
      </w:r>
      <w:r w:rsidRPr="00BD7491">
        <w:rPr>
          <w:b/>
        </w:rPr>
        <w:instrText xml:space="preserve"> SEQ Table \* ARABIC </w:instrText>
      </w:r>
      <w:r w:rsidRPr="00BD7491">
        <w:rPr>
          <w:b/>
        </w:rPr>
        <w:fldChar w:fldCharType="separate"/>
      </w:r>
      <w:r w:rsidR="001B2852">
        <w:rPr>
          <w:b/>
          <w:noProof/>
        </w:rPr>
        <w:t>24</w:t>
      </w:r>
      <w:r w:rsidRPr="00BD7491">
        <w:rPr>
          <w:b/>
        </w:rPr>
        <w:fldChar w:fldCharType="end"/>
      </w:r>
      <w:bookmarkEnd w:id="112"/>
      <w:r>
        <w:t xml:space="preserve">: </w:t>
      </w:r>
      <w:r w:rsidRPr="00B461DE">
        <w:t>Environmental demands, priority for watering in 2020–21 and outlook for coming year in the Macquarie River Valley.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0"/>
        <w:gridCol w:w="1550"/>
        <w:gridCol w:w="3244"/>
        <w:gridCol w:w="2117"/>
        <w:gridCol w:w="5920"/>
        <w:gridCol w:w="1973"/>
        <w:gridCol w:w="2964"/>
        <w:gridCol w:w="2240"/>
      </w:tblGrid>
      <w:tr w:rsidR="00AA0841" w:rsidRPr="00DD2626" w14:paraId="159AB013" w14:textId="77777777" w:rsidTr="00AA0841">
        <w:trPr>
          <w:trHeight w:val="504"/>
          <w:tblHeader/>
        </w:trPr>
        <w:tc>
          <w:tcPr>
            <w:tcW w:w="417" w:type="pct"/>
            <w:vMerge w:val="restart"/>
            <w:tcBorders>
              <w:top w:val="single" w:sz="12" w:space="0" w:color="auto"/>
              <w:left w:val="single" w:sz="12" w:space="0" w:color="auto"/>
            </w:tcBorders>
            <w:shd w:val="clear" w:color="auto" w:fill="B6DDE8" w:themeFill="accent5" w:themeFillTint="66"/>
            <w:vAlign w:val="center"/>
            <w:hideMark/>
          </w:tcPr>
          <w:p w14:paraId="235F95E3" w14:textId="77777777" w:rsidR="00AA0841" w:rsidRPr="00BF5A5F" w:rsidRDefault="00AA0841" w:rsidP="00AA0841">
            <w:pPr>
              <w:jc w:val="center"/>
              <w:rPr>
                <w:b/>
                <w:bCs/>
                <w:color w:val="auto"/>
                <w:sz w:val="18"/>
                <w:szCs w:val="18"/>
              </w:rPr>
            </w:pPr>
            <w:r w:rsidRPr="00BF5A5F">
              <w:rPr>
                <w:b/>
                <w:bCs/>
                <w:color w:val="auto"/>
                <w:sz w:val="18"/>
                <w:szCs w:val="18"/>
              </w:rPr>
              <w:t>Environmental assets</w:t>
            </w:r>
          </w:p>
        </w:tc>
        <w:tc>
          <w:tcPr>
            <w:tcW w:w="355" w:type="pct"/>
            <w:vMerge w:val="restart"/>
            <w:tcBorders>
              <w:top w:val="single" w:sz="12" w:space="0" w:color="auto"/>
            </w:tcBorders>
            <w:shd w:val="clear" w:color="auto" w:fill="B6DDE8" w:themeFill="accent5" w:themeFillTint="66"/>
            <w:vAlign w:val="center"/>
          </w:tcPr>
          <w:p w14:paraId="2505DE6A" w14:textId="77777777" w:rsidR="00AA0841" w:rsidRPr="00BF5A5F" w:rsidRDefault="00AA0841" w:rsidP="00AA0841">
            <w:pPr>
              <w:jc w:val="center"/>
              <w:rPr>
                <w:b/>
                <w:bCs/>
                <w:color w:val="auto"/>
                <w:sz w:val="18"/>
                <w:szCs w:val="18"/>
              </w:rPr>
            </w:pPr>
            <w:r w:rsidRPr="00BF5A5F">
              <w:rPr>
                <w:b/>
                <w:bCs/>
                <w:color w:val="auto"/>
                <w:sz w:val="18"/>
                <w:szCs w:val="18"/>
              </w:rPr>
              <w:t>Target values</w:t>
            </w:r>
          </w:p>
        </w:tc>
        <w:tc>
          <w:tcPr>
            <w:tcW w:w="1228" w:type="pct"/>
            <w:gridSpan w:val="2"/>
            <w:tcBorders>
              <w:top w:val="single" w:sz="12" w:space="0" w:color="auto"/>
            </w:tcBorders>
            <w:shd w:val="clear" w:color="auto" w:fill="B6DDE8" w:themeFill="accent5" w:themeFillTint="66"/>
            <w:vAlign w:val="center"/>
            <w:hideMark/>
          </w:tcPr>
          <w:p w14:paraId="6D323DC8" w14:textId="77777777" w:rsidR="00AA0841" w:rsidRPr="00BF5A5F" w:rsidRDefault="00AA0841" w:rsidP="00AA0841">
            <w:pPr>
              <w:jc w:val="center"/>
              <w:rPr>
                <w:b/>
                <w:bCs/>
                <w:color w:val="auto"/>
                <w:sz w:val="18"/>
                <w:szCs w:val="18"/>
                <w:vertAlign w:val="superscript"/>
              </w:rPr>
            </w:pPr>
            <w:r w:rsidRPr="00BF5A5F">
              <w:rPr>
                <w:b/>
                <w:bCs/>
                <w:color w:val="auto"/>
                <w:sz w:val="18"/>
                <w:szCs w:val="18"/>
              </w:rPr>
              <w:t xml:space="preserve">Indicative demand (for </w:t>
            </w:r>
            <w:r w:rsidRPr="00BF5A5F">
              <w:rPr>
                <w:b/>
                <w:bCs/>
                <w:color w:val="auto"/>
                <w:sz w:val="18"/>
                <w:szCs w:val="18"/>
                <w:u w:val="single"/>
              </w:rPr>
              <w:t>all sources of water</w:t>
            </w:r>
            <w:r w:rsidRPr="00BF5A5F">
              <w:rPr>
                <w:b/>
                <w:bCs/>
                <w:color w:val="auto"/>
                <w:sz w:val="18"/>
                <w:szCs w:val="18"/>
              </w:rPr>
              <w:t xml:space="preserve"> in the system)</w:t>
            </w:r>
            <w:r w:rsidRPr="00BF5A5F">
              <w:rPr>
                <w:b/>
                <w:bCs/>
                <w:color w:val="auto"/>
                <w:sz w:val="18"/>
                <w:szCs w:val="18"/>
                <w:vertAlign w:val="superscript"/>
              </w:rPr>
              <w:t>6</w:t>
            </w:r>
          </w:p>
        </w:tc>
        <w:tc>
          <w:tcPr>
            <w:tcW w:w="1356" w:type="pct"/>
            <w:tcBorders>
              <w:top w:val="single" w:sz="12" w:space="0" w:color="auto"/>
            </w:tcBorders>
            <w:shd w:val="clear" w:color="auto" w:fill="B6DDE8" w:themeFill="accent5" w:themeFillTint="66"/>
            <w:vAlign w:val="center"/>
            <w:hideMark/>
          </w:tcPr>
          <w:p w14:paraId="3B79011E" w14:textId="77777777" w:rsidR="00AA0841" w:rsidRPr="00BF5A5F" w:rsidRDefault="00AA0841" w:rsidP="00AA0841">
            <w:pPr>
              <w:jc w:val="center"/>
              <w:rPr>
                <w:b/>
                <w:bCs/>
                <w:color w:val="auto"/>
                <w:sz w:val="18"/>
                <w:szCs w:val="18"/>
              </w:rPr>
            </w:pPr>
            <w:r w:rsidRPr="00BF5A5F">
              <w:rPr>
                <w:b/>
                <w:bCs/>
                <w:color w:val="auto"/>
                <w:sz w:val="18"/>
                <w:szCs w:val="18"/>
              </w:rPr>
              <w:t>Watering history</w:t>
            </w:r>
            <w:r w:rsidRPr="00BF5A5F">
              <w:rPr>
                <w:b/>
                <w:bCs/>
                <w:color w:val="auto"/>
                <w:sz w:val="18"/>
                <w:szCs w:val="18"/>
                <w:vertAlign w:val="superscript"/>
              </w:rPr>
              <w:t>7</w:t>
            </w:r>
          </w:p>
        </w:tc>
        <w:tc>
          <w:tcPr>
            <w:tcW w:w="1131" w:type="pct"/>
            <w:gridSpan w:val="2"/>
            <w:tcBorders>
              <w:top w:val="single" w:sz="12" w:space="0" w:color="auto"/>
            </w:tcBorders>
            <w:shd w:val="clear" w:color="auto" w:fill="B6DDE8" w:themeFill="accent5" w:themeFillTint="66"/>
            <w:vAlign w:val="center"/>
            <w:hideMark/>
          </w:tcPr>
          <w:p w14:paraId="2C2C9F43" w14:textId="77777777" w:rsidR="00AA0841" w:rsidRPr="00DD2626" w:rsidRDefault="00AA0841" w:rsidP="00AA0841">
            <w:pPr>
              <w:jc w:val="center"/>
              <w:rPr>
                <w:b/>
                <w:bCs/>
                <w:color w:val="auto"/>
                <w:sz w:val="18"/>
                <w:szCs w:val="18"/>
              </w:rPr>
            </w:pPr>
            <w:r w:rsidRPr="00DD2626">
              <w:rPr>
                <w:b/>
                <w:bCs/>
                <w:color w:val="auto"/>
                <w:sz w:val="18"/>
                <w:szCs w:val="18"/>
              </w:rPr>
              <w:t>2020–21</w:t>
            </w:r>
          </w:p>
        </w:tc>
        <w:tc>
          <w:tcPr>
            <w:tcW w:w="513" w:type="pct"/>
            <w:tcBorders>
              <w:top w:val="single" w:sz="12" w:space="0" w:color="auto"/>
              <w:right w:val="single" w:sz="12" w:space="0" w:color="auto"/>
            </w:tcBorders>
            <w:shd w:val="clear" w:color="auto" w:fill="B6DDE8" w:themeFill="accent5" w:themeFillTint="66"/>
            <w:vAlign w:val="center"/>
            <w:hideMark/>
          </w:tcPr>
          <w:p w14:paraId="46E68C21" w14:textId="77777777" w:rsidR="00AA0841" w:rsidRPr="00DD2626" w:rsidRDefault="00AA0841" w:rsidP="00AA0841">
            <w:pPr>
              <w:jc w:val="center"/>
              <w:rPr>
                <w:b/>
                <w:bCs/>
                <w:color w:val="auto"/>
                <w:sz w:val="18"/>
                <w:szCs w:val="18"/>
              </w:rPr>
            </w:pPr>
            <w:r w:rsidRPr="00DD2626">
              <w:rPr>
                <w:b/>
                <w:bCs/>
                <w:color w:val="auto"/>
                <w:sz w:val="18"/>
                <w:szCs w:val="18"/>
              </w:rPr>
              <w:t>Implications for future demands</w:t>
            </w:r>
          </w:p>
        </w:tc>
      </w:tr>
      <w:tr w:rsidR="00AA0841" w:rsidRPr="00DD2626" w14:paraId="2E1F4D53" w14:textId="77777777" w:rsidTr="00AA0841">
        <w:trPr>
          <w:trHeight w:val="870"/>
          <w:tblHeader/>
        </w:trPr>
        <w:tc>
          <w:tcPr>
            <w:tcW w:w="417" w:type="pct"/>
            <w:vMerge/>
            <w:tcBorders>
              <w:left w:val="single" w:sz="12" w:space="0" w:color="auto"/>
              <w:bottom w:val="single" w:sz="12" w:space="0" w:color="auto"/>
            </w:tcBorders>
            <w:shd w:val="clear" w:color="auto" w:fill="B6DDE8" w:themeFill="accent5" w:themeFillTint="66"/>
            <w:vAlign w:val="center"/>
            <w:hideMark/>
          </w:tcPr>
          <w:p w14:paraId="6A617376" w14:textId="77777777" w:rsidR="00AA0841" w:rsidRPr="00BF5A5F" w:rsidRDefault="00AA0841" w:rsidP="00AA0841">
            <w:pPr>
              <w:jc w:val="center"/>
              <w:rPr>
                <w:b/>
                <w:bCs/>
                <w:color w:val="auto"/>
                <w:sz w:val="18"/>
                <w:szCs w:val="18"/>
              </w:rPr>
            </w:pPr>
            <w:bookmarkStart w:id="113" w:name="_Hlk42775052"/>
          </w:p>
        </w:tc>
        <w:tc>
          <w:tcPr>
            <w:tcW w:w="355" w:type="pct"/>
            <w:vMerge/>
            <w:tcBorders>
              <w:bottom w:val="single" w:sz="12" w:space="0" w:color="auto"/>
            </w:tcBorders>
            <w:shd w:val="clear" w:color="auto" w:fill="B6DDE8" w:themeFill="accent5" w:themeFillTint="66"/>
          </w:tcPr>
          <w:p w14:paraId="3797564D" w14:textId="77777777" w:rsidR="00AA0841" w:rsidRPr="00BF5A5F" w:rsidRDefault="00AA0841" w:rsidP="00AA0841">
            <w:pPr>
              <w:jc w:val="center"/>
              <w:rPr>
                <w:b/>
                <w:bCs/>
                <w:color w:val="auto"/>
                <w:sz w:val="18"/>
                <w:szCs w:val="18"/>
              </w:rPr>
            </w:pPr>
          </w:p>
        </w:tc>
        <w:tc>
          <w:tcPr>
            <w:tcW w:w="743" w:type="pct"/>
            <w:tcBorders>
              <w:bottom w:val="single" w:sz="12" w:space="0" w:color="auto"/>
            </w:tcBorders>
            <w:shd w:val="clear" w:color="auto" w:fill="B6DDE8" w:themeFill="accent5" w:themeFillTint="66"/>
            <w:vAlign w:val="center"/>
            <w:hideMark/>
          </w:tcPr>
          <w:p w14:paraId="43D6990C" w14:textId="77777777" w:rsidR="00AA0841" w:rsidRPr="00BF5A5F" w:rsidRDefault="00AA0841" w:rsidP="00AA0841">
            <w:pPr>
              <w:jc w:val="center"/>
              <w:rPr>
                <w:b/>
                <w:bCs/>
                <w:color w:val="auto"/>
                <w:sz w:val="18"/>
                <w:szCs w:val="18"/>
              </w:rPr>
            </w:pPr>
            <w:r w:rsidRPr="00BF5A5F">
              <w:rPr>
                <w:b/>
                <w:bCs/>
                <w:color w:val="auto"/>
                <w:sz w:val="18"/>
                <w:szCs w:val="18"/>
              </w:rPr>
              <w:t>Flow/Volume</w:t>
            </w:r>
          </w:p>
        </w:tc>
        <w:tc>
          <w:tcPr>
            <w:tcW w:w="485" w:type="pct"/>
            <w:tcBorders>
              <w:bottom w:val="single" w:sz="12" w:space="0" w:color="auto"/>
            </w:tcBorders>
            <w:shd w:val="clear" w:color="auto" w:fill="B6DDE8" w:themeFill="accent5" w:themeFillTint="66"/>
            <w:vAlign w:val="center"/>
            <w:hideMark/>
          </w:tcPr>
          <w:p w14:paraId="1ABA295E" w14:textId="77777777" w:rsidR="00AA0841" w:rsidRPr="00BF5A5F" w:rsidRDefault="00AA0841" w:rsidP="00AA0841">
            <w:pPr>
              <w:jc w:val="center"/>
              <w:rPr>
                <w:b/>
                <w:bCs/>
                <w:color w:val="auto"/>
                <w:sz w:val="18"/>
                <w:szCs w:val="18"/>
              </w:rPr>
            </w:pPr>
            <w:r w:rsidRPr="00BF5A5F">
              <w:rPr>
                <w:b/>
                <w:bCs/>
                <w:color w:val="auto"/>
                <w:sz w:val="18"/>
                <w:szCs w:val="18"/>
              </w:rPr>
              <w:t>Required frequency (maximum dry interval)</w:t>
            </w:r>
          </w:p>
        </w:tc>
        <w:tc>
          <w:tcPr>
            <w:tcW w:w="1356" w:type="pct"/>
            <w:tcBorders>
              <w:bottom w:val="single" w:sz="12" w:space="0" w:color="auto"/>
            </w:tcBorders>
            <w:shd w:val="clear" w:color="auto" w:fill="B6DDE8" w:themeFill="accent5" w:themeFillTint="66"/>
            <w:vAlign w:val="center"/>
            <w:hideMark/>
          </w:tcPr>
          <w:p w14:paraId="72D1C3FA" w14:textId="77777777" w:rsidR="00AA0841" w:rsidRPr="00BF5A5F" w:rsidRDefault="00AA0841" w:rsidP="00AA0841">
            <w:pPr>
              <w:jc w:val="center"/>
              <w:rPr>
                <w:b/>
                <w:bCs/>
                <w:color w:val="auto"/>
                <w:sz w:val="18"/>
                <w:szCs w:val="18"/>
              </w:rPr>
            </w:pPr>
            <w:r w:rsidRPr="00BF5A5F">
              <w:rPr>
                <w:b/>
                <w:bCs/>
                <w:color w:val="auto"/>
                <w:sz w:val="18"/>
                <w:szCs w:val="18"/>
              </w:rPr>
              <w:t>(from all sources of water)</w:t>
            </w:r>
          </w:p>
        </w:tc>
        <w:tc>
          <w:tcPr>
            <w:tcW w:w="452" w:type="pct"/>
            <w:tcBorders>
              <w:bottom w:val="single" w:sz="12" w:space="0" w:color="auto"/>
            </w:tcBorders>
            <w:shd w:val="clear" w:color="auto" w:fill="B6DDE8" w:themeFill="accent5" w:themeFillTint="66"/>
            <w:vAlign w:val="center"/>
            <w:hideMark/>
          </w:tcPr>
          <w:p w14:paraId="74583CF0" w14:textId="77777777" w:rsidR="00AA0841" w:rsidRPr="00DD2626" w:rsidRDefault="00AA0841" w:rsidP="00AA0841">
            <w:pPr>
              <w:jc w:val="center"/>
              <w:rPr>
                <w:b/>
                <w:bCs/>
                <w:color w:val="auto"/>
                <w:sz w:val="18"/>
                <w:szCs w:val="18"/>
              </w:rPr>
            </w:pPr>
            <w:r w:rsidRPr="00DD2626">
              <w:rPr>
                <w:b/>
                <w:bCs/>
                <w:color w:val="auto"/>
                <w:sz w:val="18"/>
                <w:szCs w:val="18"/>
              </w:rPr>
              <w:t>Environmental demands for water (all sources)</w:t>
            </w:r>
          </w:p>
        </w:tc>
        <w:tc>
          <w:tcPr>
            <w:tcW w:w="679" w:type="pct"/>
            <w:tcBorders>
              <w:bottom w:val="single" w:sz="12" w:space="0" w:color="auto"/>
            </w:tcBorders>
            <w:shd w:val="clear" w:color="auto" w:fill="B6DDE8" w:themeFill="accent5" w:themeFillTint="66"/>
            <w:vAlign w:val="center"/>
            <w:hideMark/>
          </w:tcPr>
          <w:p w14:paraId="7826AB69" w14:textId="77777777" w:rsidR="00AA0841" w:rsidRPr="00DD2626" w:rsidRDefault="00AA0841" w:rsidP="00AA0841">
            <w:pPr>
              <w:jc w:val="center"/>
              <w:rPr>
                <w:b/>
                <w:bCs/>
                <w:color w:val="auto"/>
                <w:sz w:val="18"/>
                <w:szCs w:val="18"/>
              </w:rPr>
            </w:pPr>
            <w:r w:rsidRPr="00DD2626">
              <w:rPr>
                <w:b/>
                <w:bCs/>
                <w:color w:val="auto"/>
                <w:sz w:val="18"/>
                <w:szCs w:val="18"/>
              </w:rPr>
              <w:t>Potential Commonwealth environmental water contribution?</w:t>
            </w:r>
          </w:p>
        </w:tc>
        <w:tc>
          <w:tcPr>
            <w:tcW w:w="513" w:type="pct"/>
            <w:tcBorders>
              <w:bottom w:val="single" w:sz="12" w:space="0" w:color="auto"/>
              <w:right w:val="single" w:sz="12" w:space="0" w:color="auto"/>
            </w:tcBorders>
            <w:shd w:val="clear" w:color="auto" w:fill="B6DDE8" w:themeFill="accent5" w:themeFillTint="66"/>
            <w:vAlign w:val="center"/>
            <w:hideMark/>
          </w:tcPr>
          <w:p w14:paraId="7E8ACE75" w14:textId="77777777" w:rsidR="00AA0841" w:rsidRPr="00DD2626" w:rsidRDefault="00AA0841" w:rsidP="00AA0841">
            <w:pPr>
              <w:jc w:val="center"/>
              <w:rPr>
                <w:b/>
                <w:bCs/>
                <w:color w:val="auto"/>
                <w:sz w:val="18"/>
                <w:szCs w:val="18"/>
              </w:rPr>
            </w:pPr>
            <w:r w:rsidRPr="00DD2626">
              <w:rPr>
                <w:b/>
                <w:bCs/>
                <w:color w:val="auto"/>
                <w:sz w:val="18"/>
                <w:szCs w:val="18"/>
              </w:rPr>
              <w:t>Likely urgency of demand in 2021–22 if watering occurred as planned in 2020–21</w:t>
            </w:r>
          </w:p>
        </w:tc>
      </w:tr>
      <w:bookmarkEnd w:id="113"/>
      <w:tr w:rsidR="00AA0841" w:rsidRPr="00DD2626" w14:paraId="455B2097" w14:textId="77777777" w:rsidTr="00AA0841">
        <w:trPr>
          <w:trHeight w:val="617"/>
        </w:trPr>
        <w:tc>
          <w:tcPr>
            <w:tcW w:w="417" w:type="pct"/>
            <w:vMerge w:val="restart"/>
            <w:tcBorders>
              <w:top w:val="single" w:sz="12" w:space="0" w:color="auto"/>
              <w:left w:val="single" w:sz="12" w:space="0" w:color="auto"/>
            </w:tcBorders>
            <w:shd w:val="clear" w:color="auto" w:fill="auto"/>
          </w:tcPr>
          <w:p w14:paraId="01E63582" w14:textId="77777777" w:rsidR="00AA0841" w:rsidRPr="00BF5A5F" w:rsidRDefault="00AA0841" w:rsidP="00AA0841">
            <w:pPr>
              <w:rPr>
                <w:rFonts w:eastAsia="Century Gothic"/>
                <w:b/>
                <w:bCs/>
                <w:color w:val="auto"/>
                <w:position w:val="5"/>
                <w:sz w:val="12"/>
                <w:szCs w:val="12"/>
              </w:rPr>
            </w:pPr>
            <w:r w:rsidRPr="00BF5A5F">
              <w:rPr>
                <w:rFonts w:eastAsia="Century Gothic"/>
                <w:b/>
                <w:bCs/>
                <w:color w:val="auto"/>
                <w:spacing w:val="-1"/>
                <w:sz w:val="18"/>
                <w:szCs w:val="18"/>
              </w:rPr>
              <w:t>Mid-</w:t>
            </w:r>
            <w:r w:rsidRPr="00BF5A5F">
              <w:rPr>
                <w:rFonts w:eastAsia="Century Gothic"/>
                <w:b/>
                <w:bCs/>
                <w:color w:val="auto"/>
                <w:sz w:val="18"/>
                <w:szCs w:val="18"/>
              </w:rPr>
              <w:t>Macquarie</w:t>
            </w:r>
            <w:r w:rsidRPr="00BF5A5F">
              <w:rPr>
                <w:rFonts w:eastAsia="Century Gothic"/>
                <w:b/>
                <w:bCs/>
                <w:color w:val="auto"/>
                <w:w w:val="99"/>
                <w:sz w:val="18"/>
                <w:szCs w:val="18"/>
              </w:rPr>
              <w:t xml:space="preserve"> </w:t>
            </w:r>
            <w:r w:rsidRPr="00BF5A5F">
              <w:rPr>
                <w:rFonts w:eastAsia="Century Gothic"/>
                <w:b/>
                <w:bCs/>
                <w:color w:val="auto"/>
                <w:sz w:val="18"/>
                <w:szCs w:val="18"/>
              </w:rPr>
              <w:t>River</w:t>
            </w:r>
            <w:r w:rsidRPr="00BF5A5F">
              <w:rPr>
                <w:rFonts w:eastAsia="Century Gothic"/>
                <w:b/>
                <w:bCs/>
                <w:color w:val="auto"/>
                <w:spacing w:val="21"/>
                <w:w w:val="99"/>
                <w:sz w:val="18"/>
                <w:szCs w:val="18"/>
              </w:rPr>
              <w:t xml:space="preserve"> </w:t>
            </w:r>
            <w:r w:rsidRPr="00BF5A5F">
              <w:rPr>
                <w:rFonts w:eastAsia="Century Gothic"/>
                <w:b/>
                <w:bCs/>
                <w:color w:val="auto"/>
                <w:spacing w:val="-1"/>
                <w:sz w:val="18"/>
                <w:szCs w:val="18"/>
              </w:rPr>
              <w:t>(Burrendong</w:t>
            </w:r>
            <w:r w:rsidRPr="00BF5A5F">
              <w:rPr>
                <w:rFonts w:eastAsia="Century Gothic"/>
                <w:b/>
                <w:bCs/>
                <w:color w:val="auto"/>
                <w:sz w:val="18"/>
                <w:szCs w:val="18"/>
              </w:rPr>
              <w:t xml:space="preserve"> –</w:t>
            </w:r>
            <w:r w:rsidRPr="00BF5A5F">
              <w:rPr>
                <w:rFonts w:eastAsia="Century Gothic"/>
                <w:b/>
                <w:bCs/>
                <w:color w:val="auto"/>
                <w:spacing w:val="29"/>
                <w:sz w:val="18"/>
                <w:szCs w:val="18"/>
              </w:rPr>
              <w:t xml:space="preserve"> </w:t>
            </w:r>
            <w:r w:rsidRPr="00BF5A5F">
              <w:rPr>
                <w:rFonts w:eastAsia="Century Gothic"/>
                <w:b/>
                <w:bCs/>
                <w:color w:val="auto"/>
                <w:sz w:val="18"/>
                <w:szCs w:val="18"/>
              </w:rPr>
              <w:t>Marebone</w:t>
            </w:r>
            <w:r w:rsidRPr="00BF5A5F">
              <w:rPr>
                <w:rFonts w:eastAsia="Century Gothic"/>
                <w:b/>
                <w:bCs/>
                <w:color w:val="auto"/>
                <w:spacing w:val="-1"/>
                <w:sz w:val="18"/>
                <w:szCs w:val="18"/>
              </w:rPr>
              <w:t xml:space="preserve"> Weir)</w:t>
            </w:r>
            <w:r w:rsidRPr="00BF5A5F">
              <w:rPr>
                <w:rFonts w:eastAsia="Century Gothic"/>
                <w:b/>
                <w:bCs/>
                <w:color w:val="auto"/>
                <w:spacing w:val="-6"/>
                <w:sz w:val="18"/>
                <w:szCs w:val="18"/>
              </w:rPr>
              <w:t xml:space="preserve"> </w:t>
            </w:r>
            <w:r w:rsidRPr="00BF5A5F">
              <w:rPr>
                <w:rFonts w:eastAsia="Century Gothic"/>
                <w:b/>
                <w:bCs/>
                <w:color w:val="auto"/>
                <w:position w:val="5"/>
                <w:sz w:val="12"/>
                <w:szCs w:val="12"/>
              </w:rPr>
              <w:t>1</w:t>
            </w:r>
          </w:p>
          <w:p w14:paraId="779F7339" w14:textId="77777777" w:rsidR="00AA0841" w:rsidRPr="00BF5A5F" w:rsidRDefault="00AA0841" w:rsidP="00AA0841">
            <w:pPr>
              <w:rPr>
                <w:b/>
                <w:bCs/>
                <w:color w:val="auto"/>
                <w:sz w:val="18"/>
                <w:szCs w:val="18"/>
              </w:rPr>
            </w:pPr>
          </w:p>
          <w:p w14:paraId="3B1437FD" w14:textId="77777777" w:rsidR="00AA0841" w:rsidRPr="00BF5A5F" w:rsidRDefault="00AA0841" w:rsidP="00AA0841">
            <w:pPr>
              <w:rPr>
                <w:bCs/>
                <w:color w:val="auto"/>
                <w:sz w:val="18"/>
                <w:szCs w:val="18"/>
              </w:rPr>
            </w:pPr>
            <w:r w:rsidRPr="00BF5A5F">
              <w:rPr>
                <w:bCs/>
                <w:color w:val="auto"/>
                <w:sz w:val="18"/>
                <w:szCs w:val="18"/>
              </w:rPr>
              <w:t>Native fish habitat and spawning including threatened species such as Murray cod, freshwater catfish</w:t>
            </w:r>
          </w:p>
          <w:p w14:paraId="11B4AD12" w14:textId="77777777" w:rsidR="00AA0841" w:rsidRPr="00BF5A5F" w:rsidRDefault="00AA0841" w:rsidP="00AA0841">
            <w:pPr>
              <w:rPr>
                <w:bCs/>
                <w:color w:val="auto"/>
                <w:sz w:val="18"/>
                <w:szCs w:val="18"/>
              </w:rPr>
            </w:pPr>
            <w:r w:rsidRPr="00BF5A5F">
              <w:rPr>
                <w:bCs/>
                <w:color w:val="auto"/>
                <w:sz w:val="18"/>
                <w:szCs w:val="18"/>
              </w:rPr>
              <w:t>In-stream aquatic ecosystems</w:t>
            </w:r>
          </w:p>
          <w:p w14:paraId="5B603BF1" w14:textId="77777777" w:rsidR="00AA0841" w:rsidRPr="00BF5A5F" w:rsidRDefault="00AA0841" w:rsidP="00AA0841">
            <w:pPr>
              <w:rPr>
                <w:b/>
                <w:bCs/>
                <w:color w:val="auto"/>
                <w:sz w:val="18"/>
                <w:szCs w:val="18"/>
              </w:rPr>
            </w:pPr>
            <w:r w:rsidRPr="00BF5A5F">
              <w:rPr>
                <w:bCs/>
                <w:color w:val="auto"/>
                <w:sz w:val="18"/>
                <w:szCs w:val="18"/>
              </w:rPr>
              <w:t>Riparian vegetation</w:t>
            </w:r>
          </w:p>
        </w:tc>
        <w:tc>
          <w:tcPr>
            <w:tcW w:w="355" w:type="pct"/>
            <w:tcBorders>
              <w:top w:val="single" w:sz="12" w:space="0" w:color="auto"/>
            </w:tcBorders>
            <w:vAlign w:val="center"/>
          </w:tcPr>
          <w:p w14:paraId="15E8736E" w14:textId="77777777" w:rsidR="00AA0841" w:rsidRPr="00BF5A5F" w:rsidRDefault="00AA0841" w:rsidP="00AA0841">
            <w:pPr>
              <w:rPr>
                <w:color w:val="auto"/>
                <w:spacing w:val="24"/>
                <w:sz w:val="18"/>
              </w:rPr>
            </w:pPr>
            <w:r w:rsidRPr="00BF5A5F">
              <w:rPr>
                <w:color w:val="auto"/>
                <w:sz w:val="18"/>
              </w:rPr>
              <w:t>Fish</w:t>
            </w:r>
            <w:r w:rsidRPr="00BF5A5F">
              <w:rPr>
                <w:color w:val="auto"/>
                <w:spacing w:val="-4"/>
                <w:sz w:val="18"/>
              </w:rPr>
              <w:t xml:space="preserve"> </w:t>
            </w:r>
            <w:r w:rsidRPr="00BF5A5F">
              <w:rPr>
                <w:color w:val="auto"/>
                <w:spacing w:val="-1"/>
                <w:sz w:val="18"/>
              </w:rPr>
              <w:t>refuge:</w:t>
            </w:r>
            <w:r w:rsidRPr="00BF5A5F">
              <w:rPr>
                <w:color w:val="auto"/>
                <w:spacing w:val="-6"/>
                <w:sz w:val="18"/>
              </w:rPr>
              <w:t xml:space="preserve"> </w:t>
            </w:r>
            <w:r w:rsidRPr="00BF5A5F">
              <w:rPr>
                <w:color w:val="auto"/>
                <w:spacing w:val="-1"/>
                <w:sz w:val="18"/>
              </w:rPr>
              <w:t>all</w:t>
            </w:r>
            <w:r w:rsidRPr="00BF5A5F">
              <w:rPr>
                <w:color w:val="auto"/>
                <w:spacing w:val="21"/>
                <w:sz w:val="18"/>
              </w:rPr>
              <w:t xml:space="preserve"> </w:t>
            </w:r>
            <w:r w:rsidRPr="00BF5A5F">
              <w:rPr>
                <w:color w:val="auto"/>
                <w:spacing w:val="-1"/>
                <w:sz w:val="18"/>
              </w:rPr>
              <w:t>guilds</w:t>
            </w:r>
            <w:r w:rsidRPr="00BF5A5F">
              <w:rPr>
                <w:color w:val="auto"/>
                <w:spacing w:val="24"/>
                <w:sz w:val="18"/>
              </w:rPr>
              <w:t xml:space="preserve"> </w:t>
            </w:r>
          </w:p>
          <w:p w14:paraId="11A10580" w14:textId="77777777" w:rsidR="00AA0841" w:rsidRPr="00BF5A5F" w:rsidRDefault="00AA0841" w:rsidP="00AA0841">
            <w:pPr>
              <w:rPr>
                <w:i/>
                <w:color w:val="auto"/>
                <w:sz w:val="18"/>
              </w:rPr>
            </w:pPr>
            <w:r w:rsidRPr="00BF5A5F">
              <w:rPr>
                <w:color w:val="auto"/>
                <w:spacing w:val="-1"/>
                <w:sz w:val="18"/>
              </w:rPr>
              <w:t>Aquatic</w:t>
            </w:r>
            <w:r w:rsidRPr="00BF5A5F">
              <w:rPr>
                <w:color w:val="auto"/>
                <w:spacing w:val="23"/>
                <w:w w:val="99"/>
                <w:sz w:val="18"/>
              </w:rPr>
              <w:t xml:space="preserve"> </w:t>
            </w:r>
            <w:r w:rsidRPr="00BF5A5F">
              <w:rPr>
                <w:color w:val="auto"/>
                <w:spacing w:val="-1"/>
                <w:sz w:val="18"/>
              </w:rPr>
              <w:t>ecosystems</w:t>
            </w:r>
          </w:p>
        </w:tc>
        <w:tc>
          <w:tcPr>
            <w:tcW w:w="743" w:type="pct"/>
            <w:tcBorders>
              <w:top w:val="single" w:sz="12" w:space="0" w:color="auto"/>
            </w:tcBorders>
            <w:shd w:val="clear" w:color="auto" w:fill="auto"/>
            <w:vAlign w:val="center"/>
          </w:tcPr>
          <w:p w14:paraId="695CBE5D" w14:textId="77777777" w:rsidR="00AA0841" w:rsidRPr="00BF5A5F" w:rsidRDefault="00AA0841" w:rsidP="00AA0841">
            <w:pPr>
              <w:rPr>
                <w:color w:val="auto"/>
                <w:spacing w:val="-1"/>
                <w:sz w:val="18"/>
              </w:rPr>
            </w:pPr>
            <w:r w:rsidRPr="00BF5A5F">
              <w:rPr>
                <w:b/>
                <w:color w:val="auto"/>
                <w:sz w:val="18"/>
              </w:rPr>
              <w:t>Baseflows</w:t>
            </w:r>
            <w:r w:rsidRPr="00BF5A5F">
              <w:rPr>
                <w:rStyle w:val="FootnoteReference"/>
                <w:rFonts w:ascii="Century Gothic"/>
                <w:b/>
                <w:color w:val="auto"/>
                <w:sz w:val="18"/>
              </w:rPr>
              <w:footnoteReference w:id="28"/>
            </w:r>
            <w:r w:rsidRPr="00BF5A5F">
              <w:rPr>
                <w:b/>
                <w:color w:val="auto"/>
                <w:sz w:val="18"/>
              </w:rPr>
              <w:t>:</w:t>
            </w:r>
            <w:r w:rsidRPr="00BF5A5F">
              <w:rPr>
                <w:b/>
                <w:color w:val="auto"/>
                <w:spacing w:val="-5"/>
                <w:sz w:val="18"/>
              </w:rPr>
              <w:t xml:space="preserve"> </w:t>
            </w:r>
            <w:r w:rsidRPr="00BF5A5F">
              <w:rPr>
                <w:color w:val="auto"/>
                <w:spacing w:val="-2"/>
                <w:sz w:val="18"/>
              </w:rPr>
              <w:t>small</w:t>
            </w:r>
            <w:r w:rsidRPr="00BF5A5F">
              <w:rPr>
                <w:color w:val="auto"/>
                <w:spacing w:val="-4"/>
                <w:sz w:val="18"/>
              </w:rPr>
              <w:t xml:space="preserve"> (&gt;200 ML/d), </w:t>
            </w:r>
            <w:r w:rsidRPr="00BF5A5F">
              <w:rPr>
                <w:color w:val="auto"/>
                <w:spacing w:val="-1"/>
                <w:sz w:val="18"/>
              </w:rPr>
              <w:t>very</w:t>
            </w:r>
            <w:r w:rsidRPr="00BF5A5F">
              <w:rPr>
                <w:color w:val="auto"/>
                <w:spacing w:val="-6"/>
                <w:sz w:val="18"/>
              </w:rPr>
              <w:t xml:space="preserve"> </w:t>
            </w:r>
            <w:r w:rsidRPr="00BF5A5F">
              <w:rPr>
                <w:color w:val="auto"/>
                <w:spacing w:val="-1"/>
                <w:sz w:val="18"/>
              </w:rPr>
              <w:t>regular</w:t>
            </w:r>
            <w:r w:rsidRPr="00BF5A5F">
              <w:rPr>
                <w:color w:val="auto"/>
                <w:spacing w:val="23"/>
                <w:w w:val="99"/>
                <w:sz w:val="18"/>
              </w:rPr>
              <w:t xml:space="preserve"> </w:t>
            </w:r>
            <w:r w:rsidRPr="00BF5A5F">
              <w:rPr>
                <w:color w:val="auto"/>
                <w:spacing w:val="-1"/>
                <w:sz w:val="18"/>
              </w:rPr>
              <w:t>flows</w:t>
            </w:r>
            <w:r w:rsidRPr="00BF5A5F">
              <w:rPr>
                <w:color w:val="auto"/>
                <w:spacing w:val="-5"/>
                <w:sz w:val="18"/>
              </w:rPr>
              <w:t xml:space="preserve"> </w:t>
            </w:r>
            <w:r w:rsidRPr="00BF5A5F">
              <w:rPr>
                <w:color w:val="auto"/>
                <w:spacing w:val="-1"/>
                <w:sz w:val="18"/>
              </w:rPr>
              <w:t>through</w:t>
            </w:r>
            <w:r w:rsidRPr="00BF5A5F">
              <w:rPr>
                <w:color w:val="auto"/>
                <w:spacing w:val="-3"/>
                <w:sz w:val="18"/>
              </w:rPr>
              <w:t xml:space="preserve"> </w:t>
            </w:r>
            <w:r w:rsidRPr="00BF5A5F">
              <w:rPr>
                <w:color w:val="auto"/>
                <w:sz w:val="18"/>
              </w:rPr>
              <w:t>to</w:t>
            </w:r>
            <w:r w:rsidRPr="00BF5A5F">
              <w:rPr>
                <w:color w:val="auto"/>
                <w:spacing w:val="-4"/>
                <w:sz w:val="18"/>
              </w:rPr>
              <w:t xml:space="preserve"> </w:t>
            </w:r>
            <w:r w:rsidRPr="00BF5A5F">
              <w:rPr>
                <w:color w:val="auto"/>
                <w:sz w:val="18"/>
              </w:rPr>
              <w:t>end</w:t>
            </w:r>
            <w:r w:rsidRPr="00BF5A5F">
              <w:rPr>
                <w:color w:val="auto"/>
                <w:spacing w:val="-5"/>
                <w:sz w:val="18"/>
              </w:rPr>
              <w:t xml:space="preserve"> </w:t>
            </w:r>
            <w:r w:rsidRPr="00BF5A5F">
              <w:rPr>
                <w:color w:val="auto"/>
                <w:sz w:val="18"/>
              </w:rPr>
              <w:t>of</w:t>
            </w:r>
            <w:r w:rsidRPr="00BF5A5F">
              <w:rPr>
                <w:color w:val="auto"/>
                <w:spacing w:val="27"/>
                <w:w w:val="99"/>
                <w:sz w:val="18"/>
              </w:rPr>
              <w:t xml:space="preserve"> </w:t>
            </w:r>
            <w:r w:rsidRPr="00BF5A5F">
              <w:rPr>
                <w:color w:val="auto"/>
                <w:spacing w:val="-1"/>
                <w:sz w:val="18"/>
              </w:rPr>
              <w:t>system,</w:t>
            </w:r>
            <w:r w:rsidRPr="00BF5A5F">
              <w:rPr>
                <w:color w:val="auto"/>
                <w:spacing w:val="-6"/>
                <w:sz w:val="18"/>
              </w:rPr>
              <w:t xml:space="preserve"> </w:t>
            </w:r>
            <w:r w:rsidRPr="00BF5A5F">
              <w:rPr>
                <w:color w:val="auto"/>
                <w:spacing w:val="-1"/>
                <w:sz w:val="18"/>
              </w:rPr>
              <w:t>wetting</w:t>
            </w:r>
            <w:r w:rsidRPr="00BF5A5F">
              <w:rPr>
                <w:color w:val="auto"/>
                <w:spacing w:val="-5"/>
                <w:sz w:val="18"/>
              </w:rPr>
              <w:t xml:space="preserve"> water</w:t>
            </w:r>
            <w:r w:rsidRPr="00BF5A5F">
              <w:rPr>
                <w:color w:val="auto"/>
                <w:sz w:val="18"/>
              </w:rPr>
              <w:t>holes</w:t>
            </w:r>
            <w:r w:rsidRPr="00BF5A5F">
              <w:rPr>
                <w:color w:val="auto"/>
                <w:spacing w:val="-3"/>
                <w:sz w:val="18"/>
              </w:rPr>
              <w:t xml:space="preserve"> </w:t>
            </w:r>
            <w:r w:rsidRPr="00BF5A5F">
              <w:rPr>
                <w:color w:val="auto"/>
                <w:spacing w:val="-1"/>
                <w:sz w:val="18"/>
              </w:rPr>
              <w:t>and</w:t>
            </w:r>
            <w:r w:rsidRPr="00BF5A5F">
              <w:rPr>
                <w:color w:val="auto"/>
                <w:spacing w:val="-4"/>
                <w:sz w:val="18"/>
              </w:rPr>
              <w:t xml:space="preserve"> </w:t>
            </w:r>
            <w:r w:rsidRPr="00BF5A5F">
              <w:rPr>
                <w:color w:val="auto"/>
                <w:sz w:val="18"/>
              </w:rPr>
              <w:t>in-</w:t>
            </w:r>
            <w:r w:rsidRPr="00BF5A5F">
              <w:rPr>
                <w:color w:val="auto"/>
                <w:spacing w:val="-1"/>
                <w:sz w:val="18"/>
              </w:rPr>
              <w:t>stream</w:t>
            </w:r>
            <w:r w:rsidRPr="00BF5A5F">
              <w:rPr>
                <w:color w:val="auto"/>
                <w:spacing w:val="-13"/>
                <w:sz w:val="18"/>
              </w:rPr>
              <w:t xml:space="preserve"> </w:t>
            </w:r>
            <w:r w:rsidRPr="00BF5A5F">
              <w:rPr>
                <w:color w:val="auto"/>
                <w:spacing w:val="-1"/>
                <w:sz w:val="18"/>
              </w:rPr>
              <w:t>storages. Ideally depth &gt;0.3 m above commence to flow level, to allow some movement and prevent pool stratification.</w:t>
            </w:r>
          </w:p>
        </w:tc>
        <w:tc>
          <w:tcPr>
            <w:tcW w:w="485" w:type="pct"/>
            <w:tcBorders>
              <w:top w:val="single" w:sz="12" w:space="0" w:color="auto"/>
            </w:tcBorders>
            <w:shd w:val="clear" w:color="auto" w:fill="auto"/>
            <w:vAlign w:val="center"/>
          </w:tcPr>
          <w:p w14:paraId="25FFDED6" w14:textId="77777777" w:rsidR="00AA0841" w:rsidRPr="00BF5A5F" w:rsidRDefault="00AA0841" w:rsidP="00AA0841">
            <w:pPr>
              <w:rPr>
                <w:rFonts w:eastAsia="Century Gothic"/>
                <w:color w:val="auto"/>
                <w:sz w:val="18"/>
                <w:szCs w:val="18"/>
              </w:rPr>
            </w:pPr>
            <w:r w:rsidRPr="00BF5A5F">
              <w:rPr>
                <w:color w:val="auto"/>
                <w:spacing w:val="-1"/>
                <w:sz w:val="18"/>
              </w:rPr>
              <w:t>Ideally: continuous</w:t>
            </w:r>
            <w:r w:rsidRPr="00BF5A5F">
              <w:rPr>
                <w:color w:val="auto"/>
                <w:spacing w:val="29"/>
                <w:sz w:val="18"/>
              </w:rPr>
              <w:t xml:space="preserve"> </w:t>
            </w:r>
            <w:r w:rsidRPr="00BF5A5F">
              <w:rPr>
                <w:color w:val="auto"/>
                <w:spacing w:val="-1"/>
                <w:sz w:val="18"/>
              </w:rPr>
              <w:t>flow</w:t>
            </w:r>
          </w:p>
          <w:p w14:paraId="6414848B" w14:textId="77777777" w:rsidR="00AA0841" w:rsidRPr="00BF5A5F" w:rsidRDefault="00AA0841" w:rsidP="00AA0841">
            <w:pPr>
              <w:rPr>
                <w:color w:val="auto"/>
                <w:sz w:val="18"/>
                <w:szCs w:val="18"/>
              </w:rPr>
            </w:pPr>
            <w:r w:rsidRPr="00BF5A5F">
              <w:rPr>
                <w:color w:val="auto"/>
                <w:spacing w:val="-1"/>
                <w:sz w:val="18"/>
              </w:rPr>
              <w:t>(Max</w:t>
            </w:r>
            <w:r w:rsidRPr="00BF5A5F">
              <w:rPr>
                <w:color w:val="auto"/>
                <w:spacing w:val="-6"/>
                <w:sz w:val="18"/>
              </w:rPr>
              <w:t xml:space="preserve"> </w:t>
            </w:r>
            <w:r w:rsidRPr="00BF5A5F">
              <w:rPr>
                <w:color w:val="auto"/>
                <w:spacing w:val="-1"/>
                <w:sz w:val="18"/>
              </w:rPr>
              <w:t>interval:</w:t>
            </w:r>
            <w:r w:rsidRPr="00BF5A5F">
              <w:rPr>
                <w:color w:val="auto"/>
                <w:spacing w:val="25"/>
                <w:sz w:val="18"/>
              </w:rPr>
              <w:t xml:space="preserve"> </w:t>
            </w:r>
            <w:r w:rsidRPr="00BF5A5F">
              <w:rPr>
                <w:color w:val="auto"/>
                <w:spacing w:val="-1"/>
                <w:sz w:val="18"/>
              </w:rPr>
              <w:t>continuous</w:t>
            </w:r>
            <w:r w:rsidRPr="00BF5A5F">
              <w:rPr>
                <w:color w:val="auto"/>
                <w:spacing w:val="29"/>
                <w:sz w:val="18"/>
              </w:rPr>
              <w:t xml:space="preserve"> </w:t>
            </w:r>
            <w:r w:rsidRPr="00BF5A5F">
              <w:rPr>
                <w:color w:val="auto"/>
                <w:spacing w:val="-1"/>
                <w:sz w:val="18"/>
              </w:rPr>
              <w:t>flow)</w:t>
            </w:r>
          </w:p>
        </w:tc>
        <w:tc>
          <w:tcPr>
            <w:tcW w:w="1356" w:type="pct"/>
            <w:tcBorders>
              <w:top w:val="single" w:sz="12" w:space="0" w:color="auto"/>
            </w:tcBorders>
            <w:shd w:val="clear" w:color="auto" w:fill="auto"/>
            <w:vAlign w:val="center"/>
          </w:tcPr>
          <w:p w14:paraId="022DA94F" w14:textId="77777777" w:rsidR="00AA0841" w:rsidRPr="00BF5A5F" w:rsidRDefault="00AA0841" w:rsidP="00AA0841">
            <w:pPr>
              <w:spacing w:after="60"/>
              <w:jc w:val="center"/>
              <w:rPr>
                <w:rFonts w:cstheme="minorHAnsi"/>
                <w:color w:val="auto"/>
                <w:spacing w:val="-1"/>
                <w:sz w:val="18"/>
              </w:rPr>
            </w:pPr>
            <w:r w:rsidRPr="00BF5A5F">
              <w:rPr>
                <w:rFonts w:cstheme="minorHAnsi"/>
                <w:bCs/>
                <w:color w:val="auto"/>
                <w:sz w:val="18"/>
                <w:szCs w:val="18"/>
              </w:rPr>
              <w:t xml:space="preserve">Demand expected to be met by essential regulated supplies in all but the most extreme dry years. </w:t>
            </w:r>
          </w:p>
          <w:p w14:paraId="2CC4E2E3" w14:textId="77777777" w:rsidR="00AA0841" w:rsidRPr="00BF5A5F" w:rsidRDefault="00AA0841" w:rsidP="00AA0841">
            <w:pPr>
              <w:spacing w:after="60"/>
              <w:jc w:val="center"/>
              <w:rPr>
                <w:rFonts w:cstheme="minorHAnsi"/>
                <w:bCs/>
                <w:color w:val="auto"/>
                <w:sz w:val="18"/>
                <w:szCs w:val="18"/>
              </w:rPr>
            </w:pPr>
            <w:r w:rsidRPr="00BF5A5F">
              <w:rPr>
                <w:rFonts w:cstheme="minorHAnsi"/>
                <w:bCs/>
                <w:color w:val="auto"/>
                <w:sz w:val="18"/>
                <w:szCs w:val="18"/>
              </w:rPr>
              <w:t xml:space="preserve">Minimum baseflows have been achieved in all years, other than in 2019–20 when extreme dry flow conditions meant that the Macquarie River was shut off downstream of Warren Weir in late August 2019 until tributary flows improved conditions in February 2020. </w:t>
            </w:r>
          </w:p>
          <w:p w14:paraId="1840F83C" w14:textId="77777777" w:rsidR="00AA0841" w:rsidRPr="00BF5A5F" w:rsidRDefault="00AA0841" w:rsidP="00AA0841">
            <w:pPr>
              <w:jc w:val="center"/>
              <w:rPr>
                <w:bCs/>
                <w:color w:val="auto"/>
                <w:sz w:val="18"/>
                <w:szCs w:val="18"/>
                <w:highlight w:val="lightGray"/>
              </w:rPr>
            </w:pPr>
            <w:r w:rsidRPr="00BF5A5F">
              <w:rPr>
                <w:rFonts w:cstheme="minorHAnsi"/>
                <w:bCs/>
                <w:color w:val="auto"/>
                <w:sz w:val="18"/>
                <w:szCs w:val="18"/>
              </w:rPr>
              <w:t>Baseflows are ideally required continuously to maintain in-stream habitat, and will be required again in 2020–21, particularly in the river between Warren and Marebone where there were cease to flow conditions. Therefore, the environmental demand has been assessed as high to critical.</w:t>
            </w:r>
          </w:p>
        </w:tc>
        <w:tc>
          <w:tcPr>
            <w:tcW w:w="452" w:type="pct"/>
            <w:tcBorders>
              <w:top w:val="single" w:sz="12" w:space="0" w:color="auto"/>
            </w:tcBorders>
            <w:shd w:val="clear" w:color="auto" w:fill="FF0000"/>
            <w:vAlign w:val="center"/>
          </w:tcPr>
          <w:p w14:paraId="0F7FD125" w14:textId="77777777" w:rsidR="00AA0841" w:rsidRPr="00DD2626" w:rsidRDefault="00AA0841" w:rsidP="00AA0841">
            <w:pPr>
              <w:jc w:val="center"/>
              <w:rPr>
                <w:rFonts w:eastAsia="Century Gothic"/>
                <w:color w:val="auto"/>
                <w:sz w:val="18"/>
                <w:szCs w:val="18"/>
              </w:rPr>
            </w:pPr>
            <w:r w:rsidRPr="00DD2626">
              <w:rPr>
                <w:color w:val="auto"/>
                <w:sz w:val="18"/>
              </w:rPr>
              <w:t>High to Critical</w:t>
            </w:r>
          </w:p>
        </w:tc>
        <w:tc>
          <w:tcPr>
            <w:tcW w:w="679" w:type="pct"/>
            <w:tcBorders>
              <w:top w:val="single" w:sz="12" w:space="0" w:color="auto"/>
            </w:tcBorders>
            <w:shd w:val="clear" w:color="auto" w:fill="365F91" w:themeFill="accent1" w:themeFillShade="BF"/>
            <w:vAlign w:val="center"/>
          </w:tcPr>
          <w:p w14:paraId="35872686" w14:textId="77777777" w:rsidR="00AA0841" w:rsidRPr="00DD2626" w:rsidRDefault="00AA0841" w:rsidP="00AA0841">
            <w:pPr>
              <w:jc w:val="center"/>
              <w:rPr>
                <w:color w:val="auto"/>
                <w:spacing w:val="-1"/>
                <w:sz w:val="18"/>
              </w:rPr>
            </w:pPr>
            <w:r w:rsidRPr="00DD2626">
              <w:rPr>
                <w:color w:val="auto"/>
                <w:spacing w:val="-1"/>
                <w:sz w:val="18"/>
              </w:rPr>
              <w:t>High priority for use of CEW under very low water availability scenario, subject to environmental water being available for delivery. However, there is a risk in 2020–21 that baseflows won’t be met should extreme dry conditions continue.</w:t>
            </w:r>
          </w:p>
          <w:p w14:paraId="1CDDB15B" w14:textId="77777777" w:rsidR="00AA0841" w:rsidRPr="00DD2626" w:rsidRDefault="00AA0841" w:rsidP="00AA0841">
            <w:pPr>
              <w:jc w:val="center"/>
              <w:rPr>
                <w:color w:val="auto"/>
                <w:spacing w:val="-1"/>
                <w:sz w:val="18"/>
              </w:rPr>
            </w:pPr>
            <w:r w:rsidRPr="00DD2626">
              <w:rPr>
                <w:color w:val="auto"/>
                <w:spacing w:val="-1"/>
                <w:sz w:val="18"/>
              </w:rPr>
              <w:t>Expected to be met by essential regulated supplies under low to very high water resource availability scenarios.</w:t>
            </w:r>
          </w:p>
        </w:tc>
        <w:tc>
          <w:tcPr>
            <w:tcW w:w="513" w:type="pct"/>
            <w:tcBorders>
              <w:top w:val="single" w:sz="12" w:space="0" w:color="auto"/>
              <w:right w:val="single" w:sz="12" w:space="0" w:color="auto"/>
            </w:tcBorders>
            <w:shd w:val="clear" w:color="auto" w:fill="FF0000"/>
            <w:vAlign w:val="center"/>
          </w:tcPr>
          <w:p w14:paraId="7FE9BF41" w14:textId="77777777" w:rsidR="00AA0841" w:rsidRPr="00DD2626" w:rsidRDefault="00AA0841" w:rsidP="00AA0841">
            <w:pPr>
              <w:jc w:val="center"/>
              <w:rPr>
                <w:color w:val="auto"/>
                <w:sz w:val="18"/>
                <w:szCs w:val="18"/>
              </w:rPr>
            </w:pPr>
            <w:r w:rsidRPr="00DD2626">
              <w:rPr>
                <w:color w:val="auto"/>
                <w:sz w:val="18"/>
              </w:rPr>
              <w:t>High</w:t>
            </w:r>
          </w:p>
        </w:tc>
      </w:tr>
      <w:tr w:rsidR="00AA0841" w:rsidRPr="00DD2626" w14:paraId="60289383" w14:textId="77777777" w:rsidTr="00AA0841">
        <w:trPr>
          <w:trHeight w:val="617"/>
        </w:trPr>
        <w:tc>
          <w:tcPr>
            <w:tcW w:w="417" w:type="pct"/>
            <w:vMerge/>
            <w:tcBorders>
              <w:left w:val="single" w:sz="12" w:space="0" w:color="auto"/>
            </w:tcBorders>
            <w:shd w:val="clear" w:color="auto" w:fill="auto"/>
          </w:tcPr>
          <w:p w14:paraId="53FE23FC" w14:textId="77777777" w:rsidR="00AA0841" w:rsidRPr="00BF5A5F" w:rsidRDefault="00AA0841" w:rsidP="00AA0841">
            <w:pPr>
              <w:rPr>
                <w:b/>
                <w:bCs/>
                <w:color w:val="auto"/>
                <w:sz w:val="18"/>
                <w:szCs w:val="18"/>
              </w:rPr>
            </w:pPr>
          </w:p>
        </w:tc>
        <w:tc>
          <w:tcPr>
            <w:tcW w:w="355" w:type="pct"/>
            <w:vAlign w:val="center"/>
          </w:tcPr>
          <w:p w14:paraId="57B7604C" w14:textId="77777777" w:rsidR="00AA0841" w:rsidRPr="00BF5A5F" w:rsidRDefault="00AA0841" w:rsidP="00AA0841">
            <w:pPr>
              <w:rPr>
                <w:rFonts w:eastAsia="Century Gothic"/>
                <w:color w:val="auto"/>
                <w:sz w:val="18"/>
                <w:szCs w:val="18"/>
              </w:rPr>
            </w:pPr>
            <w:r w:rsidRPr="00BF5A5F">
              <w:rPr>
                <w:rFonts w:eastAsia="Century Gothic"/>
                <w:color w:val="auto"/>
                <w:sz w:val="18"/>
                <w:szCs w:val="18"/>
              </w:rPr>
              <w:t>Fish</w:t>
            </w:r>
            <w:r w:rsidRPr="00BF5A5F">
              <w:rPr>
                <w:rFonts w:eastAsia="Century Gothic"/>
                <w:color w:val="auto"/>
                <w:spacing w:val="-4"/>
                <w:sz w:val="18"/>
                <w:szCs w:val="18"/>
              </w:rPr>
              <w:t xml:space="preserve"> </w:t>
            </w:r>
            <w:r w:rsidRPr="00BF5A5F">
              <w:rPr>
                <w:rFonts w:eastAsia="Century Gothic"/>
                <w:color w:val="auto"/>
                <w:spacing w:val="-1"/>
                <w:sz w:val="18"/>
                <w:szCs w:val="18"/>
              </w:rPr>
              <w:t>spawning–</w:t>
            </w:r>
            <w:r w:rsidRPr="00BF5A5F">
              <w:rPr>
                <w:rFonts w:eastAsia="Century Gothic"/>
                <w:color w:val="auto"/>
                <w:spacing w:val="24"/>
                <w:sz w:val="18"/>
                <w:szCs w:val="18"/>
              </w:rPr>
              <w:t xml:space="preserve"> </w:t>
            </w:r>
            <w:r w:rsidRPr="00BF5A5F">
              <w:rPr>
                <w:rFonts w:eastAsia="Century Gothic"/>
                <w:color w:val="auto"/>
                <w:spacing w:val="-1"/>
                <w:sz w:val="18"/>
                <w:szCs w:val="18"/>
              </w:rPr>
              <w:t>flow</w:t>
            </w:r>
            <w:r w:rsidRPr="00BF5A5F">
              <w:rPr>
                <w:rFonts w:eastAsia="Century Gothic"/>
                <w:color w:val="auto"/>
                <w:spacing w:val="-7"/>
                <w:sz w:val="18"/>
                <w:szCs w:val="18"/>
              </w:rPr>
              <w:t xml:space="preserve"> </w:t>
            </w:r>
            <w:r w:rsidRPr="00BF5A5F">
              <w:rPr>
                <w:rFonts w:eastAsia="Century Gothic"/>
                <w:color w:val="auto"/>
                <w:spacing w:val="-1"/>
                <w:sz w:val="18"/>
                <w:szCs w:val="18"/>
              </w:rPr>
              <w:t>generalists (e.g. Australian smelt, carp gudgeon)</w:t>
            </w:r>
          </w:p>
          <w:p w14:paraId="30F63713" w14:textId="77777777" w:rsidR="00AA0841" w:rsidRPr="00BF5A5F" w:rsidRDefault="00AA0841" w:rsidP="00AA0841">
            <w:pPr>
              <w:rPr>
                <w:rFonts w:eastAsia="Century Gothic"/>
                <w:bCs/>
                <w:i/>
                <w:color w:val="auto"/>
                <w:sz w:val="18"/>
                <w:szCs w:val="18"/>
              </w:rPr>
            </w:pPr>
            <w:r w:rsidRPr="00BF5A5F">
              <w:rPr>
                <w:color w:val="auto"/>
                <w:sz w:val="18"/>
              </w:rPr>
              <w:t>+</w:t>
            </w:r>
            <w:r w:rsidRPr="00BF5A5F">
              <w:rPr>
                <w:color w:val="auto"/>
                <w:spacing w:val="-8"/>
                <w:sz w:val="18"/>
              </w:rPr>
              <w:t xml:space="preserve"> </w:t>
            </w:r>
            <w:r w:rsidRPr="00BF5A5F">
              <w:rPr>
                <w:color w:val="auto"/>
                <w:spacing w:val="-1"/>
                <w:sz w:val="18"/>
              </w:rPr>
              <w:t>in-channel</w:t>
            </w:r>
            <w:r w:rsidRPr="00BF5A5F">
              <w:rPr>
                <w:color w:val="auto"/>
                <w:spacing w:val="28"/>
                <w:sz w:val="18"/>
              </w:rPr>
              <w:t xml:space="preserve"> </w:t>
            </w:r>
            <w:r w:rsidRPr="00BF5A5F">
              <w:rPr>
                <w:color w:val="auto"/>
                <w:spacing w:val="-1"/>
                <w:sz w:val="18"/>
              </w:rPr>
              <w:t>specialists (e.g. Murray cod, freshwater catfish)</w:t>
            </w:r>
          </w:p>
        </w:tc>
        <w:tc>
          <w:tcPr>
            <w:tcW w:w="743" w:type="pct"/>
            <w:shd w:val="clear" w:color="auto" w:fill="auto"/>
            <w:vAlign w:val="center"/>
          </w:tcPr>
          <w:p w14:paraId="70ABAA38" w14:textId="77777777" w:rsidR="00AA0841" w:rsidRPr="00BF5A5F" w:rsidRDefault="00AA0841" w:rsidP="00AA0841">
            <w:pPr>
              <w:rPr>
                <w:color w:val="auto"/>
                <w:sz w:val="18"/>
                <w:szCs w:val="18"/>
              </w:rPr>
            </w:pPr>
            <w:r w:rsidRPr="00BF5A5F">
              <w:rPr>
                <w:rFonts w:eastAsia="Century Gothic"/>
                <w:b/>
                <w:bCs/>
                <w:color w:val="auto"/>
                <w:sz w:val="18"/>
                <w:szCs w:val="18"/>
              </w:rPr>
              <w:t>Small</w:t>
            </w:r>
            <w:r w:rsidRPr="00BF5A5F">
              <w:rPr>
                <w:rFonts w:eastAsia="Century Gothic"/>
                <w:b/>
                <w:bCs/>
                <w:color w:val="auto"/>
                <w:spacing w:val="-4"/>
                <w:sz w:val="18"/>
                <w:szCs w:val="18"/>
              </w:rPr>
              <w:t xml:space="preserve"> </w:t>
            </w:r>
            <w:r w:rsidRPr="00BF5A5F">
              <w:rPr>
                <w:rFonts w:eastAsia="Century Gothic"/>
                <w:b/>
                <w:bCs/>
                <w:color w:val="auto"/>
                <w:sz w:val="18"/>
                <w:szCs w:val="18"/>
              </w:rPr>
              <w:t>freshes:</w:t>
            </w:r>
            <w:r w:rsidRPr="00BF5A5F">
              <w:rPr>
                <w:rFonts w:eastAsia="Century Gothic"/>
                <w:b/>
                <w:bCs/>
                <w:color w:val="auto"/>
                <w:spacing w:val="-6"/>
                <w:sz w:val="18"/>
                <w:szCs w:val="18"/>
              </w:rPr>
              <w:t xml:space="preserve"> </w:t>
            </w:r>
            <w:r w:rsidRPr="00BF5A5F">
              <w:rPr>
                <w:rFonts w:eastAsia="Century Gothic"/>
                <w:bCs/>
                <w:color w:val="auto"/>
                <w:sz w:val="18"/>
                <w:szCs w:val="18"/>
              </w:rPr>
              <w:t xml:space="preserve">Small fresh 1(SF1) &gt;500 ML/d anytime (but ideally Oct–Apr) for 10 days. Small fresh 2 (SF2) </w:t>
            </w:r>
            <w:r w:rsidRPr="00BF5A5F">
              <w:rPr>
                <w:rFonts w:eastAsia="Century Gothic"/>
                <w:color w:val="auto"/>
                <w:sz w:val="18"/>
                <w:szCs w:val="18"/>
              </w:rPr>
              <w:t>&gt;500–6 </w:t>
            </w:r>
            <w:r w:rsidRPr="00BF5A5F">
              <w:rPr>
                <w:rFonts w:eastAsia="Century Gothic"/>
                <w:color w:val="auto"/>
                <w:spacing w:val="-1"/>
                <w:sz w:val="18"/>
                <w:szCs w:val="18"/>
              </w:rPr>
              <w:t>000 ML/day</w:t>
            </w:r>
            <w:r w:rsidRPr="00BF5A5F">
              <w:rPr>
                <w:rFonts w:eastAsia="Century Gothic"/>
                <w:color w:val="auto"/>
                <w:spacing w:val="-2"/>
                <w:sz w:val="18"/>
                <w:szCs w:val="18"/>
              </w:rPr>
              <w:t xml:space="preserve"> </w:t>
            </w:r>
            <w:r w:rsidRPr="00BF5A5F">
              <w:rPr>
                <w:rFonts w:eastAsia="Century Gothic"/>
                <w:color w:val="auto"/>
                <w:sz w:val="18"/>
                <w:szCs w:val="18"/>
              </w:rPr>
              <w:t>for</w:t>
            </w:r>
            <w:r w:rsidRPr="00BF5A5F">
              <w:rPr>
                <w:rFonts w:eastAsia="Century Gothic"/>
                <w:color w:val="auto"/>
                <w:spacing w:val="-2"/>
                <w:sz w:val="18"/>
                <w:szCs w:val="18"/>
              </w:rPr>
              <w:t xml:space="preserve"> </w:t>
            </w:r>
            <w:r w:rsidRPr="00BF5A5F">
              <w:rPr>
                <w:rFonts w:eastAsia="Century Gothic"/>
                <w:color w:val="auto"/>
                <w:sz w:val="18"/>
                <w:szCs w:val="18"/>
              </w:rPr>
              <w:t>at</w:t>
            </w:r>
            <w:r w:rsidRPr="00BF5A5F">
              <w:rPr>
                <w:rFonts w:eastAsia="Century Gothic"/>
                <w:color w:val="auto"/>
                <w:spacing w:val="-3"/>
                <w:sz w:val="18"/>
                <w:szCs w:val="18"/>
              </w:rPr>
              <w:t xml:space="preserve"> </w:t>
            </w:r>
            <w:r w:rsidRPr="00BF5A5F">
              <w:rPr>
                <w:rFonts w:eastAsia="Century Gothic"/>
                <w:color w:val="auto"/>
                <w:spacing w:val="-1"/>
                <w:sz w:val="18"/>
                <w:szCs w:val="18"/>
              </w:rPr>
              <w:t>least</w:t>
            </w:r>
            <w:r w:rsidRPr="00BF5A5F">
              <w:rPr>
                <w:rFonts w:eastAsia="Century Gothic"/>
                <w:color w:val="auto"/>
                <w:spacing w:val="-3"/>
                <w:sz w:val="18"/>
                <w:szCs w:val="18"/>
              </w:rPr>
              <w:t xml:space="preserve"> </w:t>
            </w:r>
            <w:r w:rsidRPr="00BF5A5F">
              <w:rPr>
                <w:rFonts w:eastAsia="Century Gothic"/>
                <w:color w:val="auto"/>
                <w:sz w:val="18"/>
                <w:szCs w:val="18"/>
              </w:rPr>
              <w:t>14</w:t>
            </w:r>
            <w:r w:rsidRPr="00BF5A5F">
              <w:rPr>
                <w:rFonts w:eastAsia="Century Gothic"/>
                <w:color w:val="auto"/>
                <w:spacing w:val="29"/>
                <w:sz w:val="18"/>
                <w:szCs w:val="18"/>
              </w:rPr>
              <w:t xml:space="preserve"> </w:t>
            </w:r>
            <w:r w:rsidRPr="00BF5A5F">
              <w:rPr>
                <w:rFonts w:eastAsia="Century Gothic"/>
                <w:color w:val="auto"/>
                <w:spacing w:val="-1"/>
                <w:sz w:val="18"/>
                <w:szCs w:val="18"/>
              </w:rPr>
              <w:t>days</w:t>
            </w:r>
            <w:r w:rsidRPr="00BF5A5F">
              <w:rPr>
                <w:rFonts w:eastAsia="Century Gothic"/>
                <w:color w:val="auto"/>
                <w:spacing w:val="-4"/>
                <w:sz w:val="18"/>
                <w:szCs w:val="18"/>
              </w:rPr>
              <w:t xml:space="preserve"> </w:t>
            </w:r>
            <w:r w:rsidRPr="00BF5A5F">
              <w:rPr>
                <w:rFonts w:eastAsia="Century Gothic"/>
                <w:color w:val="auto"/>
                <w:sz w:val="18"/>
                <w:szCs w:val="18"/>
              </w:rPr>
              <w:t>at</w:t>
            </w:r>
            <w:r w:rsidRPr="00BF5A5F">
              <w:rPr>
                <w:rFonts w:eastAsia="Century Gothic"/>
                <w:color w:val="auto"/>
                <w:spacing w:val="-4"/>
                <w:sz w:val="18"/>
                <w:szCs w:val="18"/>
              </w:rPr>
              <w:t xml:space="preserve"> </w:t>
            </w:r>
            <w:r w:rsidRPr="00BF5A5F">
              <w:rPr>
                <w:rFonts w:eastAsia="Century Gothic"/>
                <w:color w:val="auto"/>
                <w:spacing w:val="-1"/>
                <w:sz w:val="18"/>
                <w:szCs w:val="18"/>
              </w:rPr>
              <w:t>Baroona</w:t>
            </w:r>
            <w:r w:rsidRPr="00BF5A5F">
              <w:rPr>
                <w:rFonts w:eastAsia="Century Gothic"/>
                <w:color w:val="auto"/>
                <w:spacing w:val="-3"/>
                <w:sz w:val="18"/>
                <w:szCs w:val="18"/>
              </w:rPr>
              <w:t xml:space="preserve"> </w:t>
            </w:r>
            <w:r w:rsidRPr="00BF5A5F">
              <w:rPr>
                <w:rFonts w:eastAsia="Century Gothic"/>
                <w:color w:val="auto"/>
                <w:spacing w:val="1"/>
                <w:sz w:val="18"/>
                <w:szCs w:val="18"/>
              </w:rPr>
              <w:t>in</w:t>
            </w:r>
            <w:r w:rsidRPr="00BF5A5F">
              <w:rPr>
                <w:rFonts w:eastAsia="Century Gothic"/>
                <w:color w:val="auto"/>
                <w:spacing w:val="-2"/>
                <w:sz w:val="18"/>
                <w:szCs w:val="18"/>
              </w:rPr>
              <w:t xml:space="preserve"> Sep–Apr (Sep–Dec for Murray cod spawning);</w:t>
            </w:r>
            <w:r w:rsidRPr="00BF5A5F">
              <w:rPr>
                <w:rFonts w:eastAsia="Century Gothic"/>
                <w:color w:val="auto"/>
                <w:spacing w:val="-11"/>
                <w:sz w:val="18"/>
                <w:szCs w:val="18"/>
              </w:rPr>
              <w:t xml:space="preserve"> </w:t>
            </w:r>
            <w:r w:rsidRPr="00BF5A5F">
              <w:rPr>
                <w:rFonts w:eastAsia="Century Gothic"/>
                <w:color w:val="auto"/>
                <w:sz w:val="18"/>
                <w:szCs w:val="18"/>
              </w:rPr>
              <w:t>and</w:t>
            </w:r>
            <w:r w:rsidRPr="00BF5A5F">
              <w:rPr>
                <w:rFonts w:eastAsia="Century Gothic"/>
                <w:color w:val="auto"/>
                <w:spacing w:val="-10"/>
                <w:sz w:val="18"/>
                <w:szCs w:val="18"/>
              </w:rPr>
              <w:t xml:space="preserve"> </w:t>
            </w:r>
            <w:r w:rsidRPr="00BF5A5F">
              <w:rPr>
                <w:rFonts w:eastAsia="Century Gothic"/>
                <w:color w:val="auto"/>
                <w:spacing w:val="-1"/>
                <w:sz w:val="18"/>
                <w:szCs w:val="18"/>
              </w:rPr>
              <w:t>conditioning</w:t>
            </w:r>
            <w:r w:rsidRPr="00BF5A5F">
              <w:rPr>
                <w:rFonts w:eastAsia="Century Gothic"/>
                <w:color w:val="auto"/>
                <w:spacing w:val="25"/>
                <w:w w:val="99"/>
                <w:sz w:val="18"/>
                <w:szCs w:val="18"/>
              </w:rPr>
              <w:t xml:space="preserve"> </w:t>
            </w:r>
            <w:r w:rsidRPr="00BF5A5F">
              <w:rPr>
                <w:rFonts w:eastAsia="Century Gothic"/>
                <w:color w:val="auto"/>
                <w:spacing w:val="-1"/>
                <w:sz w:val="18"/>
                <w:szCs w:val="18"/>
              </w:rPr>
              <w:t>flow</w:t>
            </w:r>
            <w:r w:rsidRPr="00BF5A5F">
              <w:rPr>
                <w:rFonts w:eastAsia="Century Gothic"/>
                <w:color w:val="auto"/>
                <w:spacing w:val="-4"/>
                <w:sz w:val="18"/>
                <w:szCs w:val="18"/>
              </w:rPr>
              <w:t xml:space="preserve"> </w:t>
            </w:r>
            <w:r w:rsidRPr="00BF5A5F">
              <w:rPr>
                <w:rFonts w:eastAsia="Century Gothic"/>
                <w:color w:val="auto"/>
                <w:spacing w:val="1"/>
                <w:sz w:val="18"/>
                <w:szCs w:val="18"/>
              </w:rPr>
              <w:t>in</w:t>
            </w:r>
            <w:r w:rsidRPr="00BF5A5F">
              <w:rPr>
                <w:rFonts w:eastAsia="Century Gothic"/>
                <w:color w:val="auto"/>
                <w:spacing w:val="-4"/>
                <w:sz w:val="18"/>
                <w:szCs w:val="18"/>
              </w:rPr>
              <w:t xml:space="preserve"> </w:t>
            </w:r>
            <w:r w:rsidRPr="00BF5A5F">
              <w:rPr>
                <w:rFonts w:eastAsia="Century Gothic"/>
                <w:color w:val="auto"/>
                <w:spacing w:val="-1"/>
                <w:sz w:val="18"/>
                <w:szCs w:val="18"/>
              </w:rPr>
              <w:t>winter</w:t>
            </w:r>
            <w:r w:rsidRPr="00BF5A5F">
              <w:rPr>
                <w:rFonts w:eastAsia="Century Gothic"/>
                <w:color w:val="auto"/>
                <w:sz w:val="18"/>
                <w:szCs w:val="18"/>
              </w:rPr>
              <w:t xml:space="preserve"> </w:t>
            </w:r>
            <w:r w:rsidRPr="00BF5A5F">
              <w:rPr>
                <w:rFonts w:eastAsia="Century Gothic"/>
                <w:color w:val="auto"/>
                <w:spacing w:val="-2"/>
                <w:sz w:val="18"/>
                <w:szCs w:val="18"/>
              </w:rPr>
              <w:t xml:space="preserve">(July </w:t>
            </w:r>
            <w:r w:rsidRPr="00BF5A5F">
              <w:rPr>
                <w:rFonts w:eastAsia="Century Gothic"/>
                <w:color w:val="auto"/>
                <w:spacing w:val="-1"/>
                <w:sz w:val="18"/>
                <w:szCs w:val="18"/>
              </w:rPr>
              <w:t xml:space="preserve">to mid-August). </w:t>
            </w:r>
          </w:p>
        </w:tc>
        <w:tc>
          <w:tcPr>
            <w:tcW w:w="485" w:type="pct"/>
            <w:shd w:val="clear" w:color="auto" w:fill="auto"/>
            <w:vAlign w:val="center"/>
          </w:tcPr>
          <w:p w14:paraId="04AE09C7" w14:textId="77777777" w:rsidR="00AA0841" w:rsidRPr="00BF5A5F" w:rsidRDefault="00AA0841" w:rsidP="00AA0841">
            <w:pPr>
              <w:rPr>
                <w:color w:val="auto"/>
                <w:spacing w:val="-1"/>
                <w:sz w:val="18"/>
              </w:rPr>
            </w:pPr>
            <w:r w:rsidRPr="00BF5A5F">
              <w:rPr>
                <w:color w:val="auto"/>
                <w:spacing w:val="-1"/>
                <w:sz w:val="18"/>
              </w:rPr>
              <w:t>Ideally:</w:t>
            </w:r>
            <w:r w:rsidRPr="00BF5A5F">
              <w:rPr>
                <w:color w:val="auto"/>
                <w:spacing w:val="23"/>
                <w:sz w:val="18"/>
              </w:rPr>
              <w:t xml:space="preserve"> SF1:</w:t>
            </w:r>
            <w:r w:rsidRPr="00BF5A5F">
              <w:rPr>
                <w:color w:val="auto"/>
                <w:spacing w:val="-1"/>
                <w:sz w:val="18"/>
              </w:rPr>
              <w:t>annually</w:t>
            </w:r>
            <w:r w:rsidRPr="00BF5A5F">
              <w:rPr>
                <w:color w:val="auto"/>
                <w:spacing w:val="23"/>
                <w:sz w:val="18"/>
              </w:rPr>
              <w:t xml:space="preserve"> </w:t>
            </w:r>
            <w:r w:rsidRPr="00BF5A5F">
              <w:rPr>
                <w:color w:val="auto"/>
                <w:spacing w:val="-1"/>
                <w:sz w:val="18"/>
              </w:rPr>
              <w:t>(Max</w:t>
            </w:r>
            <w:r w:rsidRPr="00BF5A5F">
              <w:rPr>
                <w:color w:val="auto"/>
                <w:spacing w:val="-6"/>
                <w:sz w:val="18"/>
              </w:rPr>
              <w:t xml:space="preserve"> </w:t>
            </w:r>
            <w:r w:rsidRPr="00BF5A5F">
              <w:rPr>
                <w:color w:val="auto"/>
                <w:spacing w:val="-1"/>
                <w:sz w:val="18"/>
              </w:rPr>
              <w:t>interval:</w:t>
            </w:r>
            <w:r w:rsidRPr="00BF5A5F">
              <w:rPr>
                <w:color w:val="auto"/>
                <w:spacing w:val="25"/>
                <w:sz w:val="18"/>
              </w:rPr>
              <w:t xml:space="preserve"> </w:t>
            </w:r>
            <w:r w:rsidRPr="00BF5A5F">
              <w:rPr>
                <w:color w:val="auto"/>
                <w:sz w:val="18"/>
              </w:rPr>
              <w:t>3</w:t>
            </w:r>
            <w:r w:rsidRPr="00BF5A5F">
              <w:rPr>
                <w:color w:val="auto"/>
                <w:spacing w:val="-1"/>
                <w:sz w:val="18"/>
              </w:rPr>
              <w:t xml:space="preserve"> years for</w:t>
            </w:r>
            <w:r w:rsidRPr="00BF5A5F">
              <w:rPr>
                <w:color w:val="auto"/>
                <w:spacing w:val="23"/>
                <w:w w:val="99"/>
                <w:sz w:val="18"/>
              </w:rPr>
              <w:t xml:space="preserve"> </w:t>
            </w:r>
            <w:r w:rsidRPr="00BF5A5F">
              <w:rPr>
                <w:color w:val="auto"/>
                <w:spacing w:val="-1"/>
                <w:sz w:val="18"/>
              </w:rPr>
              <w:t>large-bodied</w:t>
            </w:r>
            <w:r w:rsidRPr="00BF5A5F">
              <w:rPr>
                <w:color w:val="auto"/>
                <w:spacing w:val="27"/>
                <w:sz w:val="18"/>
              </w:rPr>
              <w:t xml:space="preserve"> </w:t>
            </w:r>
            <w:r w:rsidRPr="00BF5A5F">
              <w:rPr>
                <w:color w:val="auto"/>
                <w:spacing w:val="-1"/>
                <w:sz w:val="18"/>
              </w:rPr>
              <w:t>generalists;</w:t>
            </w:r>
            <w:r w:rsidRPr="00BF5A5F">
              <w:rPr>
                <w:color w:val="auto"/>
                <w:spacing w:val="-8"/>
                <w:sz w:val="18"/>
              </w:rPr>
              <w:t xml:space="preserve"> </w:t>
            </w:r>
            <w:r w:rsidRPr="00BF5A5F">
              <w:rPr>
                <w:color w:val="auto"/>
                <w:sz w:val="18"/>
              </w:rPr>
              <w:t>5</w:t>
            </w:r>
            <w:r w:rsidRPr="00BF5A5F">
              <w:rPr>
                <w:color w:val="auto"/>
                <w:spacing w:val="27"/>
                <w:sz w:val="18"/>
              </w:rPr>
              <w:t xml:space="preserve"> </w:t>
            </w:r>
            <w:r w:rsidRPr="00BF5A5F">
              <w:rPr>
                <w:color w:val="auto"/>
                <w:spacing w:val="-1"/>
                <w:sz w:val="18"/>
              </w:rPr>
              <w:t>years</w:t>
            </w:r>
            <w:r w:rsidRPr="00BF5A5F">
              <w:rPr>
                <w:color w:val="auto"/>
                <w:spacing w:val="-2"/>
                <w:sz w:val="18"/>
              </w:rPr>
              <w:t xml:space="preserve"> </w:t>
            </w:r>
            <w:r w:rsidRPr="00BF5A5F">
              <w:rPr>
                <w:color w:val="auto"/>
                <w:sz w:val="18"/>
              </w:rPr>
              <w:t>in-</w:t>
            </w:r>
            <w:r w:rsidRPr="00BF5A5F">
              <w:rPr>
                <w:color w:val="auto"/>
                <w:spacing w:val="-1"/>
                <w:sz w:val="18"/>
              </w:rPr>
              <w:t>channel</w:t>
            </w:r>
            <w:r w:rsidRPr="00BF5A5F">
              <w:rPr>
                <w:color w:val="auto"/>
                <w:spacing w:val="26"/>
                <w:sz w:val="18"/>
              </w:rPr>
              <w:t xml:space="preserve"> </w:t>
            </w:r>
            <w:r w:rsidRPr="00BF5A5F">
              <w:rPr>
                <w:color w:val="auto"/>
                <w:spacing w:val="-1"/>
                <w:sz w:val="18"/>
              </w:rPr>
              <w:t>specialists;</w:t>
            </w:r>
            <w:r w:rsidRPr="00BF5A5F">
              <w:rPr>
                <w:color w:val="auto"/>
                <w:spacing w:val="-5"/>
                <w:sz w:val="18"/>
              </w:rPr>
              <w:t xml:space="preserve"> </w:t>
            </w:r>
            <w:r w:rsidRPr="00BF5A5F">
              <w:rPr>
                <w:color w:val="auto"/>
                <w:sz w:val="18"/>
              </w:rPr>
              <w:t>1</w:t>
            </w:r>
            <w:r w:rsidRPr="00BF5A5F">
              <w:rPr>
                <w:color w:val="auto"/>
                <w:spacing w:val="27"/>
                <w:sz w:val="18"/>
              </w:rPr>
              <w:t xml:space="preserve"> </w:t>
            </w:r>
            <w:r w:rsidRPr="00BF5A5F">
              <w:rPr>
                <w:color w:val="auto"/>
                <w:spacing w:val="-1"/>
                <w:sz w:val="18"/>
              </w:rPr>
              <w:t>year</w:t>
            </w:r>
            <w:r w:rsidRPr="00BF5A5F">
              <w:rPr>
                <w:color w:val="auto"/>
                <w:spacing w:val="-7"/>
                <w:sz w:val="18"/>
              </w:rPr>
              <w:t xml:space="preserve"> </w:t>
            </w:r>
            <w:r w:rsidRPr="00BF5A5F">
              <w:rPr>
                <w:color w:val="auto"/>
                <w:sz w:val="18"/>
              </w:rPr>
              <w:t xml:space="preserve">for </w:t>
            </w:r>
            <w:r w:rsidRPr="00BF5A5F">
              <w:rPr>
                <w:color w:val="auto"/>
                <w:spacing w:val="-1"/>
                <w:sz w:val="18"/>
              </w:rPr>
              <w:t>small-bodied)</w:t>
            </w:r>
          </w:p>
          <w:p w14:paraId="23B9CC45" w14:textId="77777777" w:rsidR="00AA0841" w:rsidRPr="00BF5A5F" w:rsidRDefault="00AA0841" w:rsidP="00AA0841">
            <w:pPr>
              <w:rPr>
                <w:color w:val="auto"/>
                <w:sz w:val="18"/>
                <w:szCs w:val="18"/>
              </w:rPr>
            </w:pPr>
            <w:r w:rsidRPr="00BF5A5F">
              <w:rPr>
                <w:color w:val="auto"/>
                <w:spacing w:val="-1"/>
                <w:sz w:val="18"/>
              </w:rPr>
              <w:t>SF2: 5–10 years in 10</w:t>
            </w:r>
          </w:p>
        </w:tc>
        <w:tc>
          <w:tcPr>
            <w:tcW w:w="1356" w:type="pct"/>
            <w:shd w:val="clear" w:color="auto" w:fill="auto"/>
            <w:vAlign w:val="center"/>
          </w:tcPr>
          <w:p w14:paraId="29DE36A7" w14:textId="77777777" w:rsidR="00AA0841" w:rsidRPr="00BF5A5F" w:rsidRDefault="00AA0841" w:rsidP="00AA0841">
            <w:pPr>
              <w:spacing w:after="0"/>
              <w:jc w:val="center"/>
              <w:rPr>
                <w:bCs/>
                <w:color w:val="auto"/>
                <w:sz w:val="18"/>
                <w:szCs w:val="18"/>
              </w:rPr>
            </w:pPr>
            <w:r w:rsidRPr="00BF5A5F">
              <w:rPr>
                <w:rFonts w:cstheme="minorHAnsi"/>
                <w:bCs/>
                <w:color w:val="auto"/>
                <w:sz w:val="18"/>
                <w:szCs w:val="18"/>
              </w:rPr>
              <w:t>Small freshes were achieved between 2015–16 and 2018–19 but had only been partially met in 2019–20 as of mid-April 2020. SF1 and SF2 were likely met in February and April downstream of tributaries (Bell, Little rivers), but not upstream to Burrendong Dam. No winter priming flow was achieved. These flows are ideally provided annually, particularly for small bodied fish, so are required again in 2020–21. Therefore, the environmental demand has been assessed as high.</w:t>
            </w:r>
          </w:p>
        </w:tc>
        <w:tc>
          <w:tcPr>
            <w:tcW w:w="452" w:type="pct"/>
            <w:shd w:val="clear" w:color="auto" w:fill="FF0000"/>
            <w:vAlign w:val="center"/>
          </w:tcPr>
          <w:p w14:paraId="4CE3785D" w14:textId="77777777" w:rsidR="00AA0841" w:rsidRPr="00DD2626" w:rsidRDefault="00AA0841" w:rsidP="00AA0841">
            <w:pPr>
              <w:jc w:val="center"/>
              <w:rPr>
                <w:rFonts w:eastAsia="Century Gothic"/>
                <w:color w:val="auto"/>
                <w:sz w:val="18"/>
                <w:szCs w:val="18"/>
              </w:rPr>
            </w:pPr>
            <w:r w:rsidRPr="00DD2626">
              <w:rPr>
                <w:color w:val="auto"/>
                <w:spacing w:val="-1"/>
                <w:sz w:val="18"/>
              </w:rPr>
              <w:t>High</w:t>
            </w:r>
          </w:p>
        </w:tc>
        <w:tc>
          <w:tcPr>
            <w:tcW w:w="679" w:type="pct"/>
            <w:shd w:val="clear" w:color="auto" w:fill="95B3D7" w:themeFill="accent1" w:themeFillTint="99"/>
            <w:vAlign w:val="center"/>
          </w:tcPr>
          <w:p w14:paraId="4D8D5D81" w14:textId="77777777" w:rsidR="00AA0841" w:rsidRPr="00DD2626" w:rsidRDefault="00AA0841" w:rsidP="00AA0841">
            <w:pPr>
              <w:jc w:val="center"/>
              <w:rPr>
                <w:color w:val="auto"/>
                <w:sz w:val="18"/>
                <w:szCs w:val="18"/>
              </w:rPr>
            </w:pPr>
            <w:r w:rsidRPr="00DD2626">
              <w:rPr>
                <w:color w:val="auto"/>
                <w:spacing w:val="-1"/>
                <w:sz w:val="18"/>
              </w:rPr>
              <w:t>Potential</w:t>
            </w:r>
            <w:r w:rsidRPr="00DD2626">
              <w:rPr>
                <w:color w:val="auto"/>
                <w:spacing w:val="-7"/>
                <w:sz w:val="18"/>
              </w:rPr>
              <w:t xml:space="preserve"> </w:t>
            </w:r>
            <w:r w:rsidRPr="00DD2626">
              <w:rPr>
                <w:color w:val="auto"/>
                <w:spacing w:val="-1"/>
                <w:sz w:val="18"/>
              </w:rPr>
              <w:t>use under low to high water resource availability scenarios,</w:t>
            </w:r>
            <w:r w:rsidRPr="00DD2626">
              <w:rPr>
                <w:color w:val="auto"/>
                <w:spacing w:val="26"/>
                <w:sz w:val="18"/>
              </w:rPr>
              <w:t xml:space="preserve"> </w:t>
            </w:r>
            <w:r w:rsidRPr="00DD2626">
              <w:rPr>
                <w:color w:val="auto"/>
                <w:spacing w:val="-1"/>
                <w:sz w:val="18"/>
              </w:rPr>
              <w:t>subject</w:t>
            </w:r>
            <w:r w:rsidRPr="00DD2626">
              <w:rPr>
                <w:color w:val="auto"/>
                <w:spacing w:val="-6"/>
                <w:sz w:val="18"/>
              </w:rPr>
              <w:t xml:space="preserve"> </w:t>
            </w:r>
            <w:r w:rsidRPr="00DD2626">
              <w:rPr>
                <w:color w:val="auto"/>
                <w:sz w:val="18"/>
              </w:rPr>
              <w:t>to</w:t>
            </w:r>
            <w:r w:rsidRPr="00DD2626">
              <w:rPr>
                <w:color w:val="auto"/>
                <w:spacing w:val="-5"/>
                <w:sz w:val="18"/>
              </w:rPr>
              <w:t xml:space="preserve"> natural </w:t>
            </w:r>
            <w:r w:rsidRPr="00DD2626">
              <w:rPr>
                <w:color w:val="auto"/>
                <w:spacing w:val="-1"/>
                <w:sz w:val="18"/>
              </w:rPr>
              <w:t>tributary</w:t>
            </w:r>
            <w:r w:rsidRPr="00DD2626">
              <w:rPr>
                <w:color w:val="auto"/>
                <w:spacing w:val="23"/>
                <w:sz w:val="18"/>
              </w:rPr>
              <w:t xml:space="preserve"> </w:t>
            </w:r>
            <w:r w:rsidRPr="00DD2626">
              <w:rPr>
                <w:color w:val="auto"/>
                <w:spacing w:val="-1"/>
                <w:sz w:val="18"/>
              </w:rPr>
              <w:t>flows and water temperature.</w:t>
            </w:r>
          </w:p>
        </w:tc>
        <w:tc>
          <w:tcPr>
            <w:tcW w:w="513" w:type="pct"/>
            <w:tcBorders>
              <w:right w:val="single" w:sz="12" w:space="0" w:color="auto"/>
            </w:tcBorders>
            <w:shd w:val="clear" w:color="auto" w:fill="FFC000"/>
            <w:vAlign w:val="center"/>
          </w:tcPr>
          <w:p w14:paraId="4348EFE9" w14:textId="77777777" w:rsidR="00AA0841" w:rsidRPr="00DD2626" w:rsidRDefault="00AA0841" w:rsidP="00AA0841">
            <w:pPr>
              <w:jc w:val="center"/>
              <w:rPr>
                <w:color w:val="auto"/>
                <w:sz w:val="18"/>
                <w:szCs w:val="18"/>
              </w:rPr>
            </w:pPr>
            <w:r w:rsidRPr="00DD2626">
              <w:rPr>
                <w:color w:val="auto"/>
                <w:sz w:val="18"/>
                <w:szCs w:val="18"/>
              </w:rPr>
              <w:t>Moderate to High</w:t>
            </w:r>
          </w:p>
        </w:tc>
      </w:tr>
      <w:tr w:rsidR="00AA0841" w:rsidRPr="00DD2626" w14:paraId="0B2B3E4B" w14:textId="77777777" w:rsidTr="00AA0841">
        <w:trPr>
          <w:trHeight w:val="3890"/>
        </w:trPr>
        <w:tc>
          <w:tcPr>
            <w:tcW w:w="417" w:type="pct"/>
            <w:vMerge/>
            <w:tcBorders>
              <w:left w:val="single" w:sz="12" w:space="0" w:color="auto"/>
            </w:tcBorders>
            <w:shd w:val="clear" w:color="auto" w:fill="auto"/>
          </w:tcPr>
          <w:p w14:paraId="0FAFE894" w14:textId="77777777" w:rsidR="00AA0841" w:rsidRPr="00BF5A5F" w:rsidRDefault="00AA0841" w:rsidP="00AA0841">
            <w:pPr>
              <w:rPr>
                <w:b/>
                <w:bCs/>
                <w:color w:val="auto"/>
                <w:sz w:val="18"/>
                <w:szCs w:val="18"/>
              </w:rPr>
            </w:pPr>
          </w:p>
        </w:tc>
        <w:tc>
          <w:tcPr>
            <w:tcW w:w="355" w:type="pct"/>
            <w:vAlign w:val="center"/>
          </w:tcPr>
          <w:p w14:paraId="6A7A1D07" w14:textId="77777777" w:rsidR="00AA0841" w:rsidRPr="00BF5A5F" w:rsidRDefault="00AA0841" w:rsidP="00AA0841">
            <w:pPr>
              <w:rPr>
                <w:color w:val="auto"/>
                <w:sz w:val="18"/>
                <w:szCs w:val="18"/>
              </w:rPr>
            </w:pPr>
            <w:r w:rsidRPr="00BF5A5F">
              <w:rPr>
                <w:color w:val="auto"/>
                <w:spacing w:val="-1"/>
                <w:sz w:val="18"/>
              </w:rPr>
              <w:t>Flow</w:t>
            </w:r>
            <w:r w:rsidRPr="00BF5A5F">
              <w:rPr>
                <w:color w:val="auto"/>
                <w:spacing w:val="-2"/>
                <w:sz w:val="18"/>
              </w:rPr>
              <w:t xml:space="preserve"> </w:t>
            </w:r>
            <w:r w:rsidRPr="00BF5A5F">
              <w:rPr>
                <w:color w:val="auto"/>
                <w:spacing w:val="-1"/>
                <w:sz w:val="18"/>
              </w:rPr>
              <w:t>specialists</w:t>
            </w:r>
            <w:r w:rsidRPr="00BF5A5F">
              <w:rPr>
                <w:color w:val="auto"/>
                <w:spacing w:val="28"/>
                <w:sz w:val="18"/>
              </w:rPr>
              <w:t xml:space="preserve"> </w:t>
            </w:r>
            <w:r w:rsidRPr="00BF5A5F">
              <w:rPr>
                <w:color w:val="auto"/>
                <w:spacing w:val="-1"/>
                <w:sz w:val="18"/>
              </w:rPr>
              <w:t>guild</w:t>
            </w:r>
            <w:r w:rsidRPr="00BF5A5F">
              <w:rPr>
                <w:color w:val="auto"/>
                <w:spacing w:val="-12"/>
                <w:sz w:val="18"/>
              </w:rPr>
              <w:t xml:space="preserve"> </w:t>
            </w:r>
            <w:r w:rsidRPr="00BF5A5F">
              <w:rPr>
                <w:color w:val="auto"/>
                <w:spacing w:val="-1"/>
                <w:sz w:val="18"/>
              </w:rPr>
              <w:t>movement</w:t>
            </w:r>
            <w:r w:rsidRPr="00BF5A5F">
              <w:rPr>
                <w:color w:val="auto"/>
                <w:spacing w:val="25"/>
                <w:w w:val="99"/>
                <w:sz w:val="18"/>
              </w:rPr>
              <w:t xml:space="preserve"> </w:t>
            </w:r>
            <w:r w:rsidRPr="00BF5A5F">
              <w:rPr>
                <w:color w:val="auto"/>
                <w:spacing w:val="-1"/>
                <w:sz w:val="18"/>
              </w:rPr>
              <w:t>and</w:t>
            </w:r>
            <w:r w:rsidRPr="00BF5A5F">
              <w:rPr>
                <w:color w:val="auto"/>
                <w:spacing w:val="-8"/>
                <w:sz w:val="18"/>
              </w:rPr>
              <w:t xml:space="preserve"> </w:t>
            </w:r>
            <w:r w:rsidRPr="00BF5A5F">
              <w:rPr>
                <w:color w:val="auto"/>
                <w:spacing w:val="-1"/>
                <w:sz w:val="18"/>
              </w:rPr>
              <w:t>breeding</w:t>
            </w:r>
            <w:r w:rsidRPr="00BF5A5F">
              <w:rPr>
                <w:rStyle w:val="FootnoteReference"/>
                <w:rFonts w:ascii="Century Gothic"/>
                <w:color w:val="auto"/>
                <w:spacing w:val="-1"/>
                <w:sz w:val="18"/>
              </w:rPr>
              <w:footnoteReference w:id="29"/>
            </w:r>
          </w:p>
        </w:tc>
        <w:tc>
          <w:tcPr>
            <w:tcW w:w="743" w:type="pct"/>
            <w:shd w:val="clear" w:color="auto" w:fill="auto"/>
            <w:vAlign w:val="center"/>
          </w:tcPr>
          <w:p w14:paraId="69B87646" w14:textId="77777777" w:rsidR="00AA0841" w:rsidRPr="00BF5A5F" w:rsidRDefault="00AA0841" w:rsidP="00AA0841">
            <w:pPr>
              <w:rPr>
                <w:rFonts w:eastAsia="Century Gothic"/>
                <w:color w:val="auto"/>
                <w:sz w:val="18"/>
                <w:szCs w:val="18"/>
              </w:rPr>
            </w:pPr>
            <w:r w:rsidRPr="00BF5A5F">
              <w:rPr>
                <w:b/>
                <w:color w:val="auto"/>
                <w:sz w:val="18"/>
              </w:rPr>
              <w:t>Priming</w:t>
            </w:r>
            <w:r w:rsidRPr="00BF5A5F">
              <w:rPr>
                <w:b/>
                <w:color w:val="auto"/>
                <w:spacing w:val="-2"/>
                <w:sz w:val="18"/>
              </w:rPr>
              <w:t xml:space="preserve"> </w:t>
            </w:r>
            <w:r w:rsidRPr="00BF5A5F">
              <w:rPr>
                <w:b/>
                <w:color w:val="auto"/>
                <w:sz w:val="18"/>
              </w:rPr>
              <w:t>flow:</w:t>
            </w:r>
            <w:r w:rsidRPr="00BF5A5F">
              <w:rPr>
                <w:b/>
                <w:color w:val="auto"/>
                <w:spacing w:val="-3"/>
                <w:sz w:val="18"/>
              </w:rPr>
              <w:t xml:space="preserve"> </w:t>
            </w:r>
            <w:r w:rsidRPr="00BF5A5F">
              <w:rPr>
                <w:color w:val="auto"/>
                <w:spacing w:val="-1"/>
                <w:sz w:val="18"/>
              </w:rPr>
              <w:t>&gt;5 000</w:t>
            </w:r>
            <w:r w:rsidRPr="00BF5A5F">
              <w:rPr>
                <w:color w:val="auto"/>
                <w:spacing w:val="-3"/>
                <w:sz w:val="18"/>
              </w:rPr>
              <w:t xml:space="preserve"> </w:t>
            </w:r>
            <w:r w:rsidRPr="00BF5A5F">
              <w:rPr>
                <w:color w:val="auto"/>
                <w:sz w:val="18"/>
              </w:rPr>
              <w:t>ML</w:t>
            </w:r>
            <w:r w:rsidRPr="00BF5A5F">
              <w:rPr>
                <w:color w:val="auto"/>
                <w:spacing w:val="-1"/>
                <w:sz w:val="18"/>
              </w:rPr>
              <w:t xml:space="preserve"> total</w:t>
            </w:r>
            <w:r w:rsidRPr="00BF5A5F">
              <w:rPr>
                <w:color w:val="auto"/>
                <w:spacing w:val="23"/>
                <w:sz w:val="18"/>
              </w:rPr>
              <w:t xml:space="preserve"> </w:t>
            </w:r>
            <w:r w:rsidRPr="00BF5A5F">
              <w:rPr>
                <w:color w:val="auto"/>
                <w:spacing w:val="-1"/>
                <w:sz w:val="18"/>
              </w:rPr>
              <w:t>flows</w:t>
            </w:r>
            <w:r w:rsidRPr="00BF5A5F">
              <w:rPr>
                <w:color w:val="auto"/>
                <w:spacing w:val="-2"/>
                <w:sz w:val="18"/>
              </w:rPr>
              <w:t xml:space="preserve"> </w:t>
            </w:r>
            <w:r w:rsidRPr="00BF5A5F">
              <w:rPr>
                <w:color w:val="auto"/>
                <w:spacing w:val="-1"/>
                <w:sz w:val="18"/>
              </w:rPr>
              <w:t>at</w:t>
            </w:r>
            <w:r w:rsidRPr="00BF5A5F">
              <w:rPr>
                <w:color w:val="auto"/>
                <w:spacing w:val="-4"/>
                <w:sz w:val="18"/>
              </w:rPr>
              <w:t xml:space="preserve"> </w:t>
            </w:r>
            <w:r w:rsidRPr="00BF5A5F">
              <w:rPr>
                <w:color w:val="auto"/>
                <w:spacing w:val="-1"/>
                <w:sz w:val="18"/>
              </w:rPr>
              <w:t>Baroona</w:t>
            </w:r>
            <w:r w:rsidRPr="00BF5A5F">
              <w:rPr>
                <w:color w:val="auto"/>
                <w:spacing w:val="-2"/>
                <w:sz w:val="18"/>
              </w:rPr>
              <w:t xml:space="preserve"> </w:t>
            </w:r>
            <w:r w:rsidRPr="00BF5A5F">
              <w:rPr>
                <w:color w:val="auto"/>
                <w:spacing w:val="-1"/>
                <w:sz w:val="18"/>
              </w:rPr>
              <w:t xml:space="preserve">over </w:t>
            </w:r>
            <w:r w:rsidRPr="00BF5A5F">
              <w:rPr>
                <w:color w:val="auto"/>
                <w:sz w:val="18"/>
              </w:rPr>
              <w:t>3</w:t>
            </w:r>
            <w:r w:rsidRPr="00BF5A5F">
              <w:rPr>
                <w:color w:val="auto"/>
                <w:spacing w:val="-1"/>
                <w:sz w:val="18"/>
              </w:rPr>
              <w:t xml:space="preserve"> days</w:t>
            </w:r>
            <w:r w:rsidRPr="00BF5A5F">
              <w:rPr>
                <w:color w:val="auto"/>
                <w:spacing w:val="20"/>
                <w:sz w:val="18"/>
              </w:rPr>
              <w:t xml:space="preserve"> </w:t>
            </w:r>
            <w:r w:rsidRPr="00BF5A5F">
              <w:rPr>
                <w:color w:val="auto"/>
                <w:spacing w:val="-1"/>
                <w:sz w:val="18"/>
              </w:rPr>
              <w:t>with</w:t>
            </w:r>
            <w:r w:rsidRPr="00BF5A5F">
              <w:rPr>
                <w:color w:val="auto"/>
                <w:spacing w:val="-3"/>
                <w:sz w:val="18"/>
              </w:rPr>
              <w:t xml:space="preserve"> </w:t>
            </w:r>
            <w:r w:rsidRPr="00BF5A5F">
              <w:rPr>
                <w:color w:val="auto"/>
                <w:spacing w:val="-1"/>
                <w:sz w:val="18"/>
              </w:rPr>
              <w:t>approx.</w:t>
            </w:r>
            <w:r w:rsidRPr="00BF5A5F">
              <w:rPr>
                <w:color w:val="auto"/>
                <w:spacing w:val="-6"/>
                <w:sz w:val="18"/>
              </w:rPr>
              <w:t xml:space="preserve"> </w:t>
            </w:r>
            <w:r w:rsidRPr="00BF5A5F">
              <w:rPr>
                <w:color w:val="auto"/>
                <w:sz w:val="18"/>
              </w:rPr>
              <w:t xml:space="preserve">7 </w:t>
            </w:r>
            <w:r w:rsidRPr="00BF5A5F">
              <w:rPr>
                <w:color w:val="auto"/>
                <w:spacing w:val="-1"/>
                <w:sz w:val="18"/>
              </w:rPr>
              <w:t>day</w:t>
            </w:r>
            <w:r w:rsidRPr="00BF5A5F">
              <w:rPr>
                <w:color w:val="auto"/>
                <w:spacing w:val="-4"/>
                <w:sz w:val="18"/>
              </w:rPr>
              <w:t xml:space="preserve"> </w:t>
            </w:r>
            <w:r w:rsidRPr="00BF5A5F">
              <w:rPr>
                <w:color w:val="auto"/>
                <w:spacing w:val="-1"/>
                <w:sz w:val="18"/>
              </w:rPr>
              <w:t>recession</w:t>
            </w:r>
            <w:r w:rsidRPr="00BF5A5F">
              <w:rPr>
                <w:color w:val="auto"/>
                <w:spacing w:val="31"/>
                <w:w w:val="99"/>
                <w:sz w:val="18"/>
              </w:rPr>
              <w:t xml:space="preserve"> </w:t>
            </w:r>
            <w:r w:rsidRPr="00BF5A5F">
              <w:rPr>
                <w:color w:val="auto"/>
                <w:spacing w:val="-1"/>
                <w:sz w:val="18"/>
              </w:rPr>
              <w:t>(tributary</w:t>
            </w:r>
            <w:r w:rsidRPr="00BF5A5F">
              <w:rPr>
                <w:color w:val="auto"/>
                <w:spacing w:val="-4"/>
                <w:sz w:val="18"/>
              </w:rPr>
              <w:t xml:space="preserve"> </w:t>
            </w:r>
            <w:r w:rsidRPr="00BF5A5F">
              <w:rPr>
                <w:color w:val="auto"/>
                <w:spacing w:val="-1"/>
                <w:sz w:val="18"/>
              </w:rPr>
              <w:t>pulse).</w:t>
            </w:r>
          </w:p>
          <w:p w14:paraId="649E4860" w14:textId="77777777" w:rsidR="00AA0841" w:rsidRPr="00BF5A5F" w:rsidRDefault="00AA0841" w:rsidP="00AA0841">
            <w:pPr>
              <w:rPr>
                <w:rFonts w:eastAsia="Century Gothic"/>
                <w:color w:val="auto"/>
                <w:sz w:val="18"/>
                <w:szCs w:val="18"/>
              </w:rPr>
            </w:pPr>
            <w:r w:rsidRPr="00BF5A5F">
              <w:rPr>
                <w:b/>
                <w:color w:val="auto"/>
                <w:sz w:val="18"/>
              </w:rPr>
              <w:t>Spawning</w:t>
            </w:r>
            <w:r w:rsidRPr="00BF5A5F">
              <w:rPr>
                <w:b/>
                <w:color w:val="auto"/>
                <w:spacing w:val="-6"/>
                <w:sz w:val="18"/>
              </w:rPr>
              <w:t xml:space="preserve"> </w:t>
            </w:r>
            <w:r w:rsidRPr="00BF5A5F">
              <w:rPr>
                <w:b/>
                <w:color w:val="auto"/>
                <w:sz w:val="18"/>
              </w:rPr>
              <w:t>pulse:</w:t>
            </w:r>
            <w:r w:rsidRPr="00BF5A5F">
              <w:rPr>
                <w:b/>
                <w:color w:val="auto"/>
                <w:spacing w:val="-7"/>
                <w:sz w:val="18"/>
              </w:rPr>
              <w:t xml:space="preserve"> </w:t>
            </w:r>
            <w:r w:rsidRPr="00BF5A5F">
              <w:rPr>
                <w:color w:val="auto"/>
                <w:spacing w:val="-1"/>
                <w:sz w:val="18"/>
              </w:rPr>
              <w:t>initial</w:t>
            </w:r>
            <w:r w:rsidRPr="00BF5A5F">
              <w:rPr>
                <w:color w:val="auto"/>
                <w:spacing w:val="-3"/>
                <w:sz w:val="18"/>
              </w:rPr>
              <w:t xml:space="preserve"> </w:t>
            </w:r>
            <w:r w:rsidRPr="00BF5A5F">
              <w:rPr>
                <w:color w:val="auto"/>
                <w:spacing w:val="-1"/>
                <w:sz w:val="18"/>
              </w:rPr>
              <w:t>peak</w:t>
            </w:r>
          </w:p>
          <w:p w14:paraId="274B68C3" w14:textId="77777777" w:rsidR="00AA0841" w:rsidRPr="00BF5A5F" w:rsidRDefault="00AA0841" w:rsidP="00AA0841">
            <w:pPr>
              <w:rPr>
                <w:rFonts w:eastAsia="Century Gothic"/>
                <w:color w:val="auto"/>
                <w:sz w:val="18"/>
                <w:szCs w:val="18"/>
              </w:rPr>
            </w:pPr>
            <w:r w:rsidRPr="00BF5A5F">
              <w:rPr>
                <w:rFonts w:eastAsia="Century Gothic"/>
                <w:color w:val="auto"/>
                <w:sz w:val="18"/>
                <w:szCs w:val="18"/>
              </w:rPr>
              <w:t>≥</w:t>
            </w:r>
            <w:r w:rsidRPr="00BF5A5F">
              <w:rPr>
                <w:rFonts w:eastAsia="Century Gothic"/>
                <w:color w:val="auto"/>
                <w:spacing w:val="-2"/>
                <w:sz w:val="18"/>
                <w:szCs w:val="18"/>
              </w:rPr>
              <w:t xml:space="preserve"> </w:t>
            </w:r>
            <w:r w:rsidRPr="00BF5A5F">
              <w:rPr>
                <w:rFonts w:eastAsia="Century Gothic"/>
                <w:color w:val="auto"/>
                <w:sz w:val="18"/>
                <w:szCs w:val="18"/>
              </w:rPr>
              <w:t>5</w:t>
            </w:r>
            <w:r w:rsidRPr="00BF5A5F">
              <w:rPr>
                <w:rFonts w:eastAsia="Century Gothic"/>
                <w:color w:val="auto"/>
                <w:spacing w:val="-1"/>
                <w:sz w:val="18"/>
                <w:szCs w:val="18"/>
              </w:rPr>
              <w:t xml:space="preserve"> 000 ML/day</w:t>
            </w:r>
            <w:r w:rsidRPr="00BF5A5F">
              <w:rPr>
                <w:rFonts w:eastAsia="Century Gothic"/>
                <w:color w:val="auto"/>
                <w:spacing w:val="-3"/>
                <w:sz w:val="18"/>
                <w:szCs w:val="18"/>
              </w:rPr>
              <w:t xml:space="preserve"> </w:t>
            </w:r>
            <w:r w:rsidRPr="00BF5A5F">
              <w:rPr>
                <w:rFonts w:eastAsia="Century Gothic"/>
                <w:color w:val="auto"/>
                <w:sz w:val="18"/>
                <w:szCs w:val="18"/>
              </w:rPr>
              <w:t>at</w:t>
            </w:r>
            <w:r w:rsidRPr="00BF5A5F">
              <w:rPr>
                <w:rFonts w:eastAsia="Century Gothic"/>
                <w:color w:val="auto"/>
                <w:spacing w:val="-3"/>
                <w:sz w:val="18"/>
                <w:szCs w:val="18"/>
              </w:rPr>
              <w:t xml:space="preserve"> </w:t>
            </w:r>
            <w:r w:rsidRPr="00BF5A5F">
              <w:rPr>
                <w:rFonts w:eastAsia="Century Gothic"/>
                <w:color w:val="auto"/>
                <w:spacing w:val="-1"/>
                <w:sz w:val="18"/>
                <w:szCs w:val="18"/>
              </w:rPr>
              <w:t>Baroona</w:t>
            </w:r>
            <w:r w:rsidRPr="00BF5A5F">
              <w:rPr>
                <w:rFonts w:eastAsia="Century Gothic"/>
                <w:color w:val="auto"/>
                <w:spacing w:val="29"/>
                <w:sz w:val="18"/>
                <w:szCs w:val="18"/>
              </w:rPr>
              <w:t xml:space="preserve"> </w:t>
            </w:r>
            <w:r w:rsidRPr="00BF5A5F">
              <w:rPr>
                <w:rFonts w:eastAsia="Century Gothic"/>
                <w:color w:val="auto"/>
                <w:sz w:val="18"/>
                <w:szCs w:val="18"/>
              </w:rPr>
              <w:t>for</w:t>
            </w:r>
            <w:r w:rsidRPr="00BF5A5F">
              <w:rPr>
                <w:rFonts w:eastAsia="Century Gothic"/>
                <w:color w:val="auto"/>
                <w:spacing w:val="-3"/>
                <w:sz w:val="18"/>
                <w:szCs w:val="18"/>
              </w:rPr>
              <w:t xml:space="preserve"> </w:t>
            </w:r>
            <w:r w:rsidRPr="00BF5A5F">
              <w:rPr>
                <w:rFonts w:eastAsia="Century Gothic"/>
                <w:color w:val="auto"/>
                <w:spacing w:val="-1"/>
                <w:sz w:val="18"/>
                <w:szCs w:val="18"/>
              </w:rPr>
              <w:t>&gt;2</w:t>
            </w:r>
            <w:r w:rsidRPr="00BF5A5F">
              <w:rPr>
                <w:rFonts w:eastAsia="Century Gothic"/>
                <w:color w:val="auto"/>
                <w:spacing w:val="-2"/>
                <w:sz w:val="18"/>
                <w:szCs w:val="18"/>
              </w:rPr>
              <w:t xml:space="preserve"> </w:t>
            </w:r>
            <w:r w:rsidRPr="00BF5A5F">
              <w:rPr>
                <w:rFonts w:eastAsia="Century Gothic"/>
                <w:color w:val="auto"/>
                <w:spacing w:val="-1"/>
                <w:sz w:val="18"/>
                <w:szCs w:val="18"/>
              </w:rPr>
              <w:t>days</w:t>
            </w:r>
            <w:r w:rsidRPr="00BF5A5F">
              <w:rPr>
                <w:rFonts w:eastAsia="Century Gothic"/>
                <w:color w:val="auto"/>
                <w:spacing w:val="-3"/>
                <w:sz w:val="18"/>
                <w:szCs w:val="18"/>
              </w:rPr>
              <w:t xml:space="preserve"> </w:t>
            </w:r>
            <w:r w:rsidRPr="00BF5A5F">
              <w:rPr>
                <w:rFonts w:eastAsia="Century Gothic"/>
                <w:color w:val="auto"/>
                <w:spacing w:val="-1"/>
                <w:sz w:val="18"/>
                <w:szCs w:val="18"/>
              </w:rPr>
              <w:t>with event</w:t>
            </w:r>
            <w:r w:rsidRPr="00BF5A5F">
              <w:rPr>
                <w:rFonts w:eastAsia="Century Gothic"/>
                <w:color w:val="auto"/>
                <w:spacing w:val="-4"/>
                <w:sz w:val="18"/>
                <w:szCs w:val="18"/>
              </w:rPr>
              <w:t xml:space="preserve"> </w:t>
            </w:r>
            <w:r w:rsidRPr="00BF5A5F">
              <w:rPr>
                <w:rFonts w:eastAsia="Century Gothic"/>
                <w:color w:val="auto"/>
                <w:spacing w:val="-1"/>
                <w:sz w:val="18"/>
                <w:szCs w:val="18"/>
              </w:rPr>
              <w:t>lasting</w:t>
            </w:r>
            <w:r w:rsidRPr="00BF5A5F">
              <w:rPr>
                <w:rFonts w:eastAsia="Century Gothic"/>
                <w:color w:val="auto"/>
                <w:spacing w:val="30"/>
                <w:w w:val="99"/>
                <w:sz w:val="18"/>
                <w:szCs w:val="18"/>
              </w:rPr>
              <w:t xml:space="preserve"> </w:t>
            </w:r>
            <w:r w:rsidRPr="00BF5A5F">
              <w:rPr>
                <w:rFonts w:eastAsia="Century Gothic"/>
                <w:color w:val="auto"/>
                <w:sz w:val="18"/>
                <w:szCs w:val="18"/>
              </w:rPr>
              <w:t>for</w:t>
            </w:r>
            <w:r w:rsidRPr="00BF5A5F">
              <w:rPr>
                <w:rFonts w:eastAsia="Century Gothic"/>
                <w:color w:val="auto"/>
                <w:spacing w:val="-2"/>
                <w:sz w:val="18"/>
                <w:szCs w:val="18"/>
              </w:rPr>
              <w:t xml:space="preserve"> </w:t>
            </w:r>
            <w:r w:rsidRPr="00BF5A5F">
              <w:rPr>
                <w:rFonts w:eastAsia="Century Gothic"/>
                <w:color w:val="auto"/>
                <w:spacing w:val="-1"/>
                <w:sz w:val="18"/>
                <w:szCs w:val="18"/>
              </w:rPr>
              <w:t>&gt;7 days. (35–40</w:t>
            </w:r>
            <w:r w:rsidRPr="00BF5A5F">
              <w:rPr>
                <w:rFonts w:eastAsia="Century Gothic"/>
                <w:color w:val="auto"/>
                <w:spacing w:val="-4"/>
                <w:sz w:val="18"/>
                <w:szCs w:val="18"/>
              </w:rPr>
              <w:t xml:space="preserve"> </w:t>
            </w:r>
            <w:r w:rsidRPr="00BF5A5F">
              <w:rPr>
                <w:rFonts w:eastAsia="Century Gothic"/>
                <w:color w:val="auto"/>
                <w:spacing w:val="-1"/>
                <w:sz w:val="18"/>
                <w:szCs w:val="18"/>
              </w:rPr>
              <w:t>day</w:t>
            </w:r>
            <w:r w:rsidRPr="00BF5A5F">
              <w:rPr>
                <w:rFonts w:eastAsia="Century Gothic"/>
                <w:color w:val="auto"/>
                <w:spacing w:val="-2"/>
                <w:sz w:val="18"/>
                <w:szCs w:val="18"/>
              </w:rPr>
              <w:t xml:space="preserve"> </w:t>
            </w:r>
            <w:r w:rsidRPr="00BF5A5F">
              <w:rPr>
                <w:rFonts w:eastAsia="Century Gothic"/>
                <w:color w:val="auto"/>
                <w:spacing w:val="-1"/>
                <w:sz w:val="18"/>
                <w:szCs w:val="18"/>
              </w:rPr>
              <w:t>total</w:t>
            </w:r>
            <w:r w:rsidRPr="00BF5A5F">
              <w:rPr>
                <w:rFonts w:eastAsia="Century Gothic"/>
                <w:color w:val="auto"/>
                <w:spacing w:val="21"/>
                <w:sz w:val="18"/>
                <w:szCs w:val="18"/>
              </w:rPr>
              <w:t xml:space="preserve"> </w:t>
            </w:r>
            <w:r w:rsidRPr="00BF5A5F">
              <w:rPr>
                <w:rFonts w:eastAsia="Century Gothic"/>
                <w:color w:val="auto"/>
                <w:spacing w:val="-1"/>
                <w:sz w:val="18"/>
                <w:szCs w:val="18"/>
              </w:rPr>
              <w:t>event)</w:t>
            </w:r>
          </w:p>
          <w:p w14:paraId="12FECB2C" w14:textId="77777777" w:rsidR="00AA0841" w:rsidRPr="00BF5A5F" w:rsidRDefault="00AA0841" w:rsidP="00AA0841">
            <w:pPr>
              <w:rPr>
                <w:rFonts w:eastAsia="Century Gothic"/>
                <w:color w:val="auto"/>
                <w:sz w:val="18"/>
                <w:szCs w:val="18"/>
              </w:rPr>
            </w:pPr>
            <w:r w:rsidRPr="00BF5A5F">
              <w:rPr>
                <w:b/>
                <w:color w:val="auto"/>
                <w:sz w:val="18"/>
              </w:rPr>
              <w:t>Dispersal</w:t>
            </w:r>
            <w:r w:rsidRPr="00BF5A5F">
              <w:rPr>
                <w:b/>
                <w:color w:val="auto"/>
                <w:spacing w:val="-7"/>
                <w:sz w:val="18"/>
              </w:rPr>
              <w:t xml:space="preserve"> </w:t>
            </w:r>
            <w:r w:rsidRPr="00BF5A5F">
              <w:rPr>
                <w:b/>
                <w:color w:val="auto"/>
                <w:sz w:val="18"/>
              </w:rPr>
              <w:t>flow:</w:t>
            </w:r>
            <w:r w:rsidRPr="00BF5A5F">
              <w:rPr>
                <w:b/>
                <w:color w:val="auto"/>
                <w:spacing w:val="-6"/>
                <w:sz w:val="18"/>
              </w:rPr>
              <w:t xml:space="preserve"> </w:t>
            </w:r>
            <w:r w:rsidRPr="00BF5A5F">
              <w:rPr>
                <w:color w:val="auto"/>
                <w:sz w:val="18"/>
              </w:rPr>
              <w:t>Initial</w:t>
            </w:r>
            <w:r w:rsidRPr="00BF5A5F">
              <w:rPr>
                <w:color w:val="auto"/>
                <w:spacing w:val="-3"/>
                <w:sz w:val="18"/>
              </w:rPr>
              <w:t xml:space="preserve"> </w:t>
            </w:r>
            <w:r w:rsidRPr="00BF5A5F">
              <w:rPr>
                <w:color w:val="auto"/>
                <w:spacing w:val="-2"/>
                <w:sz w:val="18"/>
              </w:rPr>
              <w:t>pulse</w:t>
            </w:r>
          </w:p>
          <w:p w14:paraId="53C511A7" w14:textId="77777777" w:rsidR="00AA0841" w:rsidRPr="00BF5A5F" w:rsidRDefault="00AA0841" w:rsidP="00AA0841">
            <w:pPr>
              <w:rPr>
                <w:rFonts w:eastAsia="Century Gothic"/>
                <w:color w:val="auto"/>
                <w:sz w:val="18"/>
                <w:szCs w:val="18"/>
              </w:rPr>
            </w:pPr>
            <w:r w:rsidRPr="00BF5A5F">
              <w:rPr>
                <w:color w:val="auto"/>
                <w:spacing w:val="-1"/>
                <w:sz w:val="18"/>
              </w:rPr>
              <w:t xml:space="preserve">&gt;3 000 </w:t>
            </w:r>
            <w:r w:rsidRPr="00BF5A5F">
              <w:rPr>
                <w:color w:val="auto"/>
                <w:sz w:val="18"/>
              </w:rPr>
              <w:t xml:space="preserve">ML </w:t>
            </w:r>
            <w:r w:rsidRPr="00BF5A5F">
              <w:rPr>
                <w:color w:val="auto"/>
                <w:spacing w:val="-1"/>
                <w:sz w:val="18"/>
              </w:rPr>
              <w:t>total</w:t>
            </w:r>
            <w:r w:rsidRPr="00BF5A5F">
              <w:rPr>
                <w:color w:val="auto"/>
                <w:spacing w:val="-2"/>
                <w:sz w:val="18"/>
              </w:rPr>
              <w:t xml:space="preserve"> </w:t>
            </w:r>
            <w:r w:rsidRPr="00BF5A5F">
              <w:rPr>
                <w:color w:val="auto"/>
                <w:spacing w:val="-1"/>
                <w:sz w:val="18"/>
              </w:rPr>
              <w:t>flows</w:t>
            </w:r>
            <w:r w:rsidRPr="00BF5A5F">
              <w:rPr>
                <w:color w:val="auto"/>
                <w:spacing w:val="-2"/>
                <w:sz w:val="18"/>
              </w:rPr>
              <w:t xml:space="preserve"> </w:t>
            </w:r>
            <w:r w:rsidRPr="00BF5A5F">
              <w:rPr>
                <w:color w:val="auto"/>
                <w:spacing w:val="-1"/>
                <w:sz w:val="18"/>
              </w:rPr>
              <w:t>over</w:t>
            </w:r>
            <w:r w:rsidRPr="00BF5A5F">
              <w:rPr>
                <w:color w:val="auto"/>
                <w:spacing w:val="-2"/>
                <w:sz w:val="18"/>
              </w:rPr>
              <w:t xml:space="preserve"> </w:t>
            </w:r>
            <w:r w:rsidRPr="00BF5A5F">
              <w:rPr>
                <w:color w:val="auto"/>
                <w:sz w:val="18"/>
              </w:rPr>
              <w:t>3</w:t>
            </w:r>
            <w:r w:rsidRPr="00BF5A5F">
              <w:rPr>
                <w:color w:val="auto"/>
                <w:spacing w:val="26"/>
                <w:sz w:val="18"/>
              </w:rPr>
              <w:t xml:space="preserve"> </w:t>
            </w:r>
            <w:r w:rsidRPr="00BF5A5F">
              <w:rPr>
                <w:color w:val="auto"/>
                <w:spacing w:val="-1"/>
                <w:sz w:val="18"/>
              </w:rPr>
              <w:t>days</w:t>
            </w:r>
            <w:r w:rsidRPr="00BF5A5F">
              <w:rPr>
                <w:color w:val="auto"/>
                <w:spacing w:val="-4"/>
                <w:sz w:val="18"/>
              </w:rPr>
              <w:t xml:space="preserve"> </w:t>
            </w:r>
            <w:r w:rsidRPr="00BF5A5F">
              <w:rPr>
                <w:color w:val="auto"/>
                <w:sz w:val="18"/>
              </w:rPr>
              <w:t>at</w:t>
            </w:r>
            <w:r w:rsidRPr="00BF5A5F">
              <w:rPr>
                <w:color w:val="auto"/>
                <w:spacing w:val="-5"/>
                <w:sz w:val="18"/>
              </w:rPr>
              <w:t xml:space="preserve"> </w:t>
            </w:r>
            <w:r w:rsidRPr="00BF5A5F">
              <w:rPr>
                <w:color w:val="auto"/>
                <w:spacing w:val="-1"/>
                <w:sz w:val="18"/>
              </w:rPr>
              <w:t>Baroona.</w:t>
            </w:r>
          </w:p>
          <w:p w14:paraId="4A431620" w14:textId="77777777" w:rsidR="00AA0841" w:rsidRPr="00BF5A5F" w:rsidRDefault="00AA0841" w:rsidP="00AA0841">
            <w:pPr>
              <w:rPr>
                <w:rFonts w:eastAsia="Century Gothic"/>
                <w:color w:val="auto"/>
                <w:sz w:val="18"/>
                <w:szCs w:val="18"/>
              </w:rPr>
            </w:pPr>
            <w:r w:rsidRPr="00BF5A5F">
              <w:rPr>
                <w:color w:val="auto"/>
                <w:spacing w:val="-1"/>
                <w:sz w:val="18"/>
              </w:rPr>
              <w:t>Second</w:t>
            </w:r>
            <w:r w:rsidRPr="00BF5A5F">
              <w:rPr>
                <w:color w:val="auto"/>
                <w:spacing w:val="-6"/>
                <w:sz w:val="18"/>
              </w:rPr>
              <w:t xml:space="preserve"> </w:t>
            </w:r>
            <w:r w:rsidRPr="00BF5A5F">
              <w:rPr>
                <w:color w:val="auto"/>
                <w:spacing w:val="-1"/>
                <w:sz w:val="18"/>
              </w:rPr>
              <w:t>pulse</w:t>
            </w:r>
            <w:r w:rsidRPr="00BF5A5F">
              <w:rPr>
                <w:color w:val="auto"/>
                <w:spacing w:val="-5"/>
                <w:sz w:val="18"/>
              </w:rPr>
              <w:t xml:space="preserve"> </w:t>
            </w:r>
            <w:r w:rsidRPr="00BF5A5F">
              <w:rPr>
                <w:color w:val="auto"/>
                <w:spacing w:val="-1"/>
                <w:sz w:val="18"/>
              </w:rPr>
              <w:t>min. 2 000 ML/day</w:t>
            </w:r>
            <w:r w:rsidRPr="00BF5A5F">
              <w:rPr>
                <w:rFonts w:eastAsia="Century Gothic"/>
                <w:color w:val="auto"/>
                <w:spacing w:val="-2"/>
                <w:sz w:val="18"/>
                <w:szCs w:val="18"/>
              </w:rPr>
              <w:t xml:space="preserve"> p</w:t>
            </w:r>
            <w:r w:rsidRPr="00BF5A5F">
              <w:rPr>
                <w:rFonts w:eastAsia="Century Gothic"/>
                <w:color w:val="auto"/>
                <w:spacing w:val="-1"/>
                <w:sz w:val="18"/>
                <w:szCs w:val="18"/>
              </w:rPr>
              <w:t>eak</w:t>
            </w:r>
            <w:r w:rsidRPr="00BF5A5F">
              <w:rPr>
                <w:rFonts w:eastAsia="Century Gothic"/>
                <w:color w:val="auto"/>
                <w:spacing w:val="-2"/>
                <w:sz w:val="18"/>
                <w:szCs w:val="18"/>
              </w:rPr>
              <w:t xml:space="preserve"> </w:t>
            </w:r>
            <w:r w:rsidRPr="00BF5A5F">
              <w:rPr>
                <w:rFonts w:eastAsia="Century Gothic"/>
                <w:color w:val="auto"/>
                <w:spacing w:val="-1"/>
                <w:sz w:val="18"/>
                <w:szCs w:val="18"/>
              </w:rPr>
              <w:t>with</w:t>
            </w:r>
            <w:r w:rsidRPr="00BF5A5F">
              <w:rPr>
                <w:rFonts w:eastAsia="Century Gothic"/>
                <w:color w:val="auto"/>
                <w:spacing w:val="29"/>
                <w:w w:val="99"/>
                <w:sz w:val="18"/>
                <w:szCs w:val="18"/>
              </w:rPr>
              <w:t xml:space="preserve"> </w:t>
            </w:r>
            <w:r w:rsidRPr="00BF5A5F">
              <w:rPr>
                <w:rFonts w:eastAsia="Century Gothic"/>
                <w:color w:val="auto"/>
                <w:spacing w:val="-1"/>
                <w:sz w:val="18"/>
                <w:szCs w:val="18"/>
              </w:rPr>
              <w:t>recession.</w:t>
            </w:r>
            <w:r w:rsidRPr="00BF5A5F">
              <w:rPr>
                <w:rFonts w:eastAsia="Century Gothic"/>
                <w:color w:val="auto"/>
                <w:spacing w:val="-3"/>
                <w:sz w:val="18"/>
                <w:szCs w:val="18"/>
              </w:rPr>
              <w:t xml:space="preserve"> </w:t>
            </w:r>
            <w:r w:rsidRPr="00BF5A5F">
              <w:rPr>
                <w:rFonts w:eastAsia="Century Gothic"/>
                <w:color w:val="auto"/>
                <w:spacing w:val="-2"/>
                <w:sz w:val="18"/>
                <w:szCs w:val="18"/>
              </w:rPr>
              <w:t>Approx</w:t>
            </w:r>
            <w:r w:rsidRPr="00BF5A5F">
              <w:rPr>
                <w:rFonts w:eastAsia="Century Gothic"/>
                <w:color w:val="auto"/>
                <w:spacing w:val="-6"/>
                <w:sz w:val="18"/>
                <w:szCs w:val="18"/>
              </w:rPr>
              <w:t xml:space="preserve"> </w:t>
            </w:r>
            <w:r w:rsidRPr="00BF5A5F">
              <w:rPr>
                <w:rFonts w:eastAsia="Century Gothic"/>
                <w:color w:val="auto"/>
                <w:sz w:val="18"/>
                <w:szCs w:val="18"/>
              </w:rPr>
              <w:t>10d</w:t>
            </w:r>
            <w:r w:rsidRPr="00BF5A5F">
              <w:rPr>
                <w:rFonts w:eastAsia="Century Gothic"/>
                <w:color w:val="auto"/>
                <w:spacing w:val="21"/>
                <w:sz w:val="18"/>
                <w:szCs w:val="18"/>
              </w:rPr>
              <w:t xml:space="preserve"> </w:t>
            </w:r>
            <w:r w:rsidRPr="00BF5A5F">
              <w:rPr>
                <w:rFonts w:eastAsia="Century Gothic"/>
                <w:color w:val="auto"/>
                <w:spacing w:val="-1"/>
                <w:sz w:val="18"/>
                <w:szCs w:val="18"/>
              </w:rPr>
              <w:t>duration</w:t>
            </w:r>
            <w:r w:rsidRPr="00BF5A5F">
              <w:rPr>
                <w:rFonts w:eastAsia="Century Gothic"/>
                <w:color w:val="auto"/>
                <w:spacing w:val="-6"/>
                <w:sz w:val="18"/>
                <w:szCs w:val="18"/>
              </w:rPr>
              <w:t xml:space="preserve"> </w:t>
            </w:r>
            <w:r w:rsidRPr="00BF5A5F">
              <w:rPr>
                <w:rFonts w:eastAsia="Century Gothic"/>
                <w:color w:val="auto"/>
                <w:spacing w:val="-1"/>
                <w:sz w:val="18"/>
                <w:szCs w:val="18"/>
              </w:rPr>
              <w:t>total</w:t>
            </w:r>
            <w:r w:rsidRPr="00BF5A5F">
              <w:rPr>
                <w:rFonts w:eastAsia="Century Gothic"/>
                <w:color w:val="auto"/>
                <w:spacing w:val="-5"/>
                <w:sz w:val="18"/>
                <w:szCs w:val="18"/>
              </w:rPr>
              <w:t xml:space="preserve"> </w:t>
            </w:r>
            <w:r w:rsidRPr="00BF5A5F">
              <w:rPr>
                <w:rFonts w:eastAsia="Century Gothic"/>
                <w:color w:val="auto"/>
                <w:spacing w:val="-1"/>
                <w:sz w:val="18"/>
                <w:szCs w:val="18"/>
              </w:rPr>
              <w:t>events.</w:t>
            </w:r>
            <w:r w:rsidRPr="00BF5A5F">
              <w:rPr>
                <w:rFonts w:eastAsia="Century Gothic"/>
                <w:color w:val="auto"/>
                <w:spacing w:val="27"/>
                <w:sz w:val="18"/>
                <w:szCs w:val="18"/>
              </w:rPr>
              <w:t xml:space="preserve"> </w:t>
            </w:r>
            <w:r w:rsidRPr="00BF5A5F">
              <w:rPr>
                <w:rFonts w:eastAsia="Century Gothic"/>
                <w:color w:val="auto"/>
                <w:spacing w:val="-1"/>
                <w:sz w:val="18"/>
                <w:szCs w:val="18"/>
              </w:rPr>
              <w:t>(Oct–March)</w:t>
            </w:r>
          </w:p>
          <w:p w14:paraId="0AB49708" w14:textId="77777777" w:rsidR="00AA0841" w:rsidRPr="00BF5A5F" w:rsidRDefault="00AA0841" w:rsidP="00AA0841">
            <w:pPr>
              <w:rPr>
                <w:color w:val="auto"/>
                <w:sz w:val="18"/>
                <w:szCs w:val="18"/>
              </w:rPr>
            </w:pPr>
            <w:r w:rsidRPr="00BF5A5F">
              <w:rPr>
                <w:rFonts w:eastAsia="Century Gothic"/>
                <w:color w:val="auto"/>
                <w:spacing w:val="-2"/>
                <w:sz w:val="18"/>
                <w:szCs w:val="18"/>
              </w:rPr>
              <w:t>Water</w:t>
            </w:r>
            <w:r w:rsidRPr="00BF5A5F">
              <w:rPr>
                <w:rFonts w:eastAsia="Century Gothic"/>
                <w:color w:val="auto"/>
                <w:spacing w:val="-6"/>
                <w:sz w:val="18"/>
                <w:szCs w:val="18"/>
              </w:rPr>
              <w:t xml:space="preserve"> </w:t>
            </w:r>
            <w:r w:rsidRPr="00BF5A5F">
              <w:rPr>
                <w:rFonts w:eastAsia="Century Gothic"/>
                <w:color w:val="auto"/>
                <w:spacing w:val="-1"/>
                <w:sz w:val="18"/>
                <w:szCs w:val="18"/>
              </w:rPr>
              <w:t>temperature</w:t>
            </w:r>
            <w:r w:rsidRPr="00BF5A5F">
              <w:rPr>
                <w:rFonts w:eastAsia="Century Gothic"/>
                <w:color w:val="auto"/>
                <w:spacing w:val="-5"/>
                <w:sz w:val="18"/>
                <w:szCs w:val="18"/>
              </w:rPr>
              <w:t xml:space="preserve"> </w:t>
            </w:r>
            <w:r w:rsidRPr="00BF5A5F">
              <w:rPr>
                <w:rFonts w:eastAsia="Century Gothic"/>
                <w:color w:val="auto"/>
                <w:sz w:val="18"/>
                <w:szCs w:val="18"/>
              </w:rPr>
              <w:t>for</w:t>
            </w:r>
            <w:r w:rsidRPr="00BF5A5F">
              <w:rPr>
                <w:rFonts w:eastAsia="Century Gothic"/>
                <w:color w:val="auto"/>
                <w:spacing w:val="-6"/>
                <w:sz w:val="18"/>
                <w:szCs w:val="18"/>
              </w:rPr>
              <w:t xml:space="preserve"> </w:t>
            </w:r>
            <w:r w:rsidRPr="00BF5A5F">
              <w:rPr>
                <w:rFonts w:eastAsia="Century Gothic"/>
                <w:color w:val="auto"/>
                <w:spacing w:val="-1"/>
                <w:sz w:val="18"/>
                <w:szCs w:val="18"/>
              </w:rPr>
              <w:t>all</w:t>
            </w:r>
            <w:r w:rsidRPr="00BF5A5F">
              <w:rPr>
                <w:rFonts w:eastAsia="Century Gothic"/>
                <w:color w:val="auto"/>
                <w:spacing w:val="20"/>
                <w:sz w:val="18"/>
                <w:szCs w:val="18"/>
              </w:rPr>
              <w:t xml:space="preserve"> </w:t>
            </w:r>
            <w:r w:rsidRPr="00BF5A5F">
              <w:rPr>
                <w:rFonts w:eastAsia="Century Gothic"/>
                <w:color w:val="auto"/>
                <w:spacing w:val="-1"/>
                <w:sz w:val="18"/>
                <w:szCs w:val="18"/>
              </w:rPr>
              <w:t>pulses</w:t>
            </w:r>
            <w:r w:rsidRPr="00BF5A5F">
              <w:rPr>
                <w:rFonts w:eastAsia="Century Gothic"/>
                <w:color w:val="auto"/>
                <w:spacing w:val="-3"/>
                <w:sz w:val="18"/>
                <w:szCs w:val="18"/>
              </w:rPr>
              <w:t xml:space="preserve"> </w:t>
            </w:r>
            <w:r w:rsidRPr="00BF5A5F">
              <w:rPr>
                <w:rFonts w:eastAsia="Century Gothic"/>
                <w:color w:val="auto"/>
                <w:sz w:val="18"/>
                <w:szCs w:val="18"/>
              </w:rPr>
              <w:t>≥19</w:t>
            </w:r>
            <w:r w:rsidRPr="00BF5A5F">
              <w:rPr>
                <w:rFonts w:eastAsia="Century Gothic"/>
                <w:color w:val="auto"/>
                <w:position w:val="5"/>
                <w:sz w:val="12"/>
                <w:szCs w:val="12"/>
              </w:rPr>
              <w:t>o</w:t>
            </w:r>
            <w:r w:rsidRPr="00BF5A5F">
              <w:rPr>
                <w:rFonts w:eastAsia="Century Gothic"/>
                <w:color w:val="auto"/>
                <w:sz w:val="18"/>
                <w:szCs w:val="18"/>
              </w:rPr>
              <w:t>C.</w:t>
            </w:r>
          </w:p>
        </w:tc>
        <w:tc>
          <w:tcPr>
            <w:tcW w:w="485" w:type="pct"/>
            <w:shd w:val="clear" w:color="auto" w:fill="auto"/>
            <w:vAlign w:val="center"/>
          </w:tcPr>
          <w:p w14:paraId="4D12B35F" w14:textId="77777777" w:rsidR="00AA0841" w:rsidRPr="00BF5A5F" w:rsidRDefault="00AA0841" w:rsidP="00AA0841">
            <w:pPr>
              <w:rPr>
                <w:rFonts w:eastAsia="Century Gothic"/>
                <w:color w:val="auto"/>
                <w:sz w:val="18"/>
                <w:szCs w:val="18"/>
              </w:rPr>
            </w:pPr>
            <w:r w:rsidRPr="00BF5A5F">
              <w:rPr>
                <w:color w:val="auto"/>
                <w:spacing w:val="-1"/>
                <w:sz w:val="18"/>
              </w:rPr>
              <w:t>Ideally:</w:t>
            </w:r>
            <w:r w:rsidRPr="00BF5A5F">
              <w:rPr>
                <w:color w:val="auto"/>
                <w:spacing w:val="-4"/>
                <w:sz w:val="18"/>
              </w:rPr>
              <w:t xml:space="preserve"> 3–5 years in 10</w:t>
            </w:r>
            <w:r w:rsidRPr="00BF5A5F">
              <w:rPr>
                <w:color w:val="auto"/>
                <w:sz w:val="18"/>
              </w:rPr>
              <w:t xml:space="preserve"> </w:t>
            </w:r>
            <w:r w:rsidRPr="00BF5A5F">
              <w:rPr>
                <w:color w:val="auto"/>
                <w:spacing w:val="-3"/>
                <w:sz w:val="18"/>
              </w:rPr>
              <w:t xml:space="preserve">(up </w:t>
            </w:r>
            <w:r w:rsidRPr="00BF5A5F">
              <w:rPr>
                <w:color w:val="auto"/>
                <w:spacing w:val="-1"/>
                <w:sz w:val="18"/>
              </w:rPr>
              <w:t>to</w:t>
            </w:r>
            <w:r w:rsidRPr="00BF5A5F">
              <w:rPr>
                <w:color w:val="auto"/>
                <w:spacing w:val="26"/>
                <w:w w:val="99"/>
                <w:sz w:val="18"/>
              </w:rPr>
              <w:t xml:space="preserve"> </w:t>
            </w:r>
            <w:r w:rsidRPr="00BF5A5F">
              <w:rPr>
                <w:color w:val="auto"/>
                <w:spacing w:val="-1"/>
                <w:sz w:val="18"/>
              </w:rPr>
              <w:t>twice</w:t>
            </w:r>
            <w:r w:rsidRPr="00BF5A5F">
              <w:rPr>
                <w:color w:val="auto"/>
                <w:spacing w:val="-4"/>
                <w:sz w:val="18"/>
              </w:rPr>
              <w:t xml:space="preserve"> </w:t>
            </w:r>
            <w:r w:rsidRPr="00BF5A5F">
              <w:rPr>
                <w:color w:val="auto"/>
                <w:spacing w:val="-1"/>
                <w:sz w:val="18"/>
              </w:rPr>
              <w:t>per</w:t>
            </w:r>
            <w:r w:rsidRPr="00BF5A5F">
              <w:rPr>
                <w:color w:val="auto"/>
                <w:spacing w:val="24"/>
                <w:w w:val="99"/>
                <w:sz w:val="18"/>
              </w:rPr>
              <w:t xml:space="preserve"> </w:t>
            </w:r>
            <w:r w:rsidRPr="00BF5A5F">
              <w:rPr>
                <w:color w:val="auto"/>
                <w:spacing w:val="-1"/>
                <w:sz w:val="18"/>
              </w:rPr>
              <w:t>year)</w:t>
            </w:r>
          </w:p>
          <w:p w14:paraId="61781675" w14:textId="77777777" w:rsidR="00AA0841" w:rsidRPr="00BF5A5F" w:rsidRDefault="00AA0841" w:rsidP="00AA0841">
            <w:pPr>
              <w:rPr>
                <w:color w:val="auto"/>
                <w:sz w:val="18"/>
                <w:szCs w:val="18"/>
              </w:rPr>
            </w:pPr>
            <w:r w:rsidRPr="00BF5A5F">
              <w:rPr>
                <w:color w:val="auto"/>
                <w:spacing w:val="-1"/>
                <w:sz w:val="18"/>
              </w:rPr>
              <w:t>(Max</w:t>
            </w:r>
            <w:r w:rsidRPr="00BF5A5F">
              <w:rPr>
                <w:color w:val="auto"/>
                <w:spacing w:val="-6"/>
                <w:sz w:val="18"/>
              </w:rPr>
              <w:t xml:space="preserve"> </w:t>
            </w:r>
            <w:r w:rsidRPr="00BF5A5F">
              <w:rPr>
                <w:color w:val="auto"/>
                <w:spacing w:val="-1"/>
                <w:sz w:val="18"/>
              </w:rPr>
              <w:t>interval:</w:t>
            </w:r>
            <w:r w:rsidRPr="00BF5A5F">
              <w:rPr>
                <w:color w:val="auto"/>
                <w:spacing w:val="25"/>
                <w:sz w:val="18"/>
              </w:rPr>
              <w:t xml:space="preserve"> </w:t>
            </w:r>
            <w:r w:rsidRPr="00BF5A5F">
              <w:rPr>
                <w:color w:val="auto"/>
                <w:sz w:val="18"/>
              </w:rPr>
              <w:t>4</w:t>
            </w:r>
            <w:r w:rsidRPr="00BF5A5F">
              <w:rPr>
                <w:color w:val="auto"/>
                <w:spacing w:val="-3"/>
                <w:sz w:val="18"/>
              </w:rPr>
              <w:t xml:space="preserve"> </w:t>
            </w:r>
            <w:r w:rsidRPr="00BF5A5F">
              <w:rPr>
                <w:color w:val="auto"/>
                <w:spacing w:val="-1"/>
                <w:sz w:val="18"/>
              </w:rPr>
              <w:t>years)</w:t>
            </w:r>
          </w:p>
        </w:tc>
        <w:tc>
          <w:tcPr>
            <w:tcW w:w="1356" w:type="pct"/>
            <w:shd w:val="clear" w:color="auto" w:fill="auto"/>
            <w:vAlign w:val="center"/>
          </w:tcPr>
          <w:p w14:paraId="57026344" w14:textId="77777777" w:rsidR="00AA0841" w:rsidRPr="00BF5A5F" w:rsidRDefault="00AA0841" w:rsidP="00AA0841">
            <w:pPr>
              <w:spacing w:after="60"/>
              <w:jc w:val="center"/>
              <w:rPr>
                <w:rFonts w:cstheme="minorHAnsi"/>
                <w:bCs/>
                <w:color w:val="auto"/>
                <w:sz w:val="18"/>
                <w:szCs w:val="18"/>
              </w:rPr>
            </w:pPr>
            <w:r w:rsidRPr="00BF5A5F">
              <w:rPr>
                <w:rFonts w:cstheme="minorHAnsi"/>
                <w:bCs/>
                <w:color w:val="auto"/>
                <w:sz w:val="18"/>
                <w:szCs w:val="18"/>
              </w:rPr>
              <w:t>Flows for native fish flow specialists were likely last fully met in 2012–13 (Nov–Jan). Tributary flows to Baroona in February 2020 likely provided priming and spawning flows, followed by a dispersal flow in March. Another potential spawning pulse occurred in April 2020. However, this demand was not met to Marebone, and supplementary access, and channel breakouts/floodrunners and operation of creeks impacted on achievement of required flows.</w:t>
            </w:r>
          </w:p>
          <w:p w14:paraId="11A6FC9A" w14:textId="77777777" w:rsidR="00AA0841" w:rsidRPr="00BF5A5F" w:rsidRDefault="00AA0841" w:rsidP="00AA0841">
            <w:pPr>
              <w:jc w:val="center"/>
              <w:rPr>
                <w:color w:val="auto"/>
                <w:spacing w:val="-1"/>
                <w:sz w:val="18"/>
              </w:rPr>
            </w:pPr>
            <w:r w:rsidRPr="00BF5A5F">
              <w:rPr>
                <w:rFonts w:cstheme="minorHAnsi"/>
                <w:bCs/>
                <w:color w:val="auto"/>
                <w:sz w:val="18"/>
                <w:szCs w:val="18"/>
              </w:rPr>
              <w:t>The maximum interval between events for these flows has been exceeded by three years. Also, in consideration of the extreme drought conditions, and recent fish kills, it is unlikely that the flows in 2019–20 were sufficient to support the longer-term recovery of native fish flow specialists in the mid-Macquarie River. Therefore, the environmental demand for water in 2020–21 has been assessed as critical.</w:t>
            </w:r>
          </w:p>
        </w:tc>
        <w:tc>
          <w:tcPr>
            <w:tcW w:w="452" w:type="pct"/>
            <w:shd w:val="clear" w:color="auto" w:fill="C00000"/>
            <w:vAlign w:val="center"/>
          </w:tcPr>
          <w:p w14:paraId="4E354BB4" w14:textId="77777777" w:rsidR="00AA0841" w:rsidRPr="00DD2626" w:rsidRDefault="00AA0841" w:rsidP="00AA0841">
            <w:pPr>
              <w:jc w:val="center"/>
              <w:rPr>
                <w:color w:val="auto"/>
                <w:sz w:val="18"/>
                <w:szCs w:val="18"/>
              </w:rPr>
            </w:pPr>
            <w:r w:rsidRPr="00DD2626">
              <w:rPr>
                <w:color w:val="auto"/>
                <w:sz w:val="18"/>
                <w:szCs w:val="18"/>
              </w:rPr>
              <w:t>Critical</w:t>
            </w:r>
          </w:p>
          <w:p w14:paraId="6DA61539" w14:textId="77777777" w:rsidR="00AA0841" w:rsidRPr="00DD2626" w:rsidRDefault="00AA0841" w:rsidP="00AA0841">
            <w:pPr>
              <w:jc w:val="center"/>
              <w:rPr>
                <w:color w:val="auto"/>
                <w:sz w:val="18"/>
                <w:szCs w:val="18"/>
              </w:rPr>
            </w:pPr>
          </w:p>
        </w:tc>
        <w:tc>
          <w:tcPr>
            <w:tcW w:w="679" w:type="pct"/>
            <w:shd w:val="clear" w:color="auto" w:fill="95B3D7" w:themeFill="accent1" w:themeFillTint="99"/>
            <w:vAlign w:val="center"/>
          </w:tcPr>
          <w:p w14:paraId="17892DEF" w14:textId="77777777" w:rsidR="00AA0841" w:rsidRPr="00DD2626" w:rsidRDefault="00AA0841" w:rsidP="00AA0841">
            <w:pPr>
              <w:jc w:val="center"/>
              <w:rPr>
                <w:color w:val="auto"/>
                <w:spacing w:val="-1"/>
                <w:sz w:val="18"/>
              </w:rPr>
            </w:pPr>
            <w:r w:rsidRPr="00DD2626">
              <w:rPr>
                <w:color w:val="auto"/>
                <w:spacing w:val="-1"/>
                <w:sz w:val="18"/>
              </w:rPr>
              <w:t>Although the demand for water is very high, water available to meet this demand is insufficient under a very dry scenario. The capacity to target spawning pulses using regulated environmental water is also limited in most years.</w:t>
            </w:r>
          </w:p>
          <w:p w14:paraId="04B3F7FA" w14:textId="77777777" w:rsidR="00AA0841" w:rsidRPr="00DD2626" w:rsidRDefault="00AA0841" w:rsidP="00AA0841">
            <w:pPr>
              <w:jc w:val="center"/>
              <w:rPr>
                <w:color w:val="auto"/>
                <w:spacing w:val="-1"/>
                <w:sz w:val="18"/>
              </w:rPr>
            </w:pPr>
            <w:r w:rsidRPr="00DD2626">
              <w:rPr>
                <w:color w:val="auto"/>
                <w:spacing w:val="-1"/>
                <w:sz w:val="18"/>
              </w:rPr>
              <w:t>Possible use of CEW (e.g. supplementary) under moderate to high water resource availability scenarios to augment freshes and support movement.</w:t>
            </w:r>
          </w:p>
          <w:p w14:paraId="073CF69C" w14:textId="77777777" w:rsidR="00AA0841" w:rsidRPr="00DD2626" w:rsidRDefault="00AA0841" w:rsidP="00AA0841">
            <w:pPr>
              <w:jc w:val="center"/>
              <w:rPr>
                <w:color w:val="auto"/>
                <w:sz w:val="18"/>
                <w:szCs w:val="18"/>
                <w:highlight w:val="lightGray"/>
              </w:rPr>
            </w:pPr>
            <w:r w:rsidRPr="00DD2626">
              <w:rPr>
                <w:color w:val="auto"/>
                <w:spacing w:val="-1"/>
                <w:sz w:val="18"/>
              </w:rPr>
              <w:t>Subject to natural</w:t>
            </w:r>
            <w:r w:rsidRPr="00DD2626">
              <w:rPr>
                <w:color w:val="auto"/>
                <w:spacing w:val="29"/>
                <w:sz w:val="18"/>
              </w:rPr>
              <w:t xml:space="preserve"> </w:t>
            </w:r>
            <w:r w:rsidRPr="00DD2626">
              <w:rPr>
                <w:color w:val="auto"/>
                <w:spacing w:val="-1"/>
                <w:sz w:val="18"/>
              </w:rPr>
              <w:t>tributary</w:t>
            </w:r>
            <w:r w:rsidRPr="00DD2626">
              <w:rPr>
                <w:color w:val="auto"/>
                <w:spacing w:val="-6"/>
                <w:sz w:val="18"/>
              </w:rPr>
              <w:t xml:space="preserve"> </w:t>
            </w:r>
            <w:r w:rsidRPr="00DD2626">
              <w:rPr>
                <w:color w:val="auto"/>
                <w:spacing w:val="-1"/>
                <w:sz w:val="18"/>
              </w:rPr>
              <w:t>flows,</w:t>
            </w:r>
            <w:r w:rsidRPr="00DD2626">
              <w:rPr>
                <w:color w:val="auto"/>
                <w:spacing w:val="-6"/>
                <w:sz w:val="18"/>
              </w:rPr>
              <w:t xml:space="preserve"> </w:t>
            </w:r>
            <w:r w:rsidRPr="00DD2626">
              <w:rPr>
                <w:color w:val="auto"/>
                <w:spacing w:val="-1"/>
                <w:sz w:val="18"/>
              </w:rPr>
              <w:t>water</w:t>
            </w:r>
            <w:r w:rsidRPr="00DD2626">
              <w:rPr>
                <w:color w:val="auto"/>
                <w:spacing w:val="23"/>
                <w:w w:val="99"/>
                <w:sz w:val="18"/>
              </w:rPr>
              <w:t xml:space="preserve"> </w:t>
            </w:r>
            <w:r w:rsidRPr="00DD2626">
              <w:rPr>
                <w:color w:val="auto"/>
                <w:spacing w:val="-1"/>
                <w:sz w:val="18"/>
              </w:rPr>
              <w:t>temperature,</w:t>
            </w:r>
            <w:r w:rsidRPr="00DD2626">
              <w:rPr>
                <w:color w:val="auto"/>
                <w:spacing w:val="-15"/>
                <w:sz w:val="18"/>
              </w:rPr>
              <w:t xml:space="preserve"> </w:t>
            </w:r>
            <w:r w:rsidRPr="00DD2626">
              <w:rPr>
                <w:color w:val="auto"/>
                <w:sz w:val="18"/>
              </w:rPr>
              <w:t>and</w:t>
            </w:r>
            <w:r w:rsidRPr="00DD2626">
              <w:rPr>
                <w:color w:val="auto"/>
                <w:spacing w:val="25"/>
                <w:sz w:val="18"/>
              </w:rPr>
              <w:t xml:space="preserve"> </w:t>
            </w:r>
            <w:r w:rsidRPr="00DD2626">
              <w:rPr>
                <w:color w:val="auto"/>
                <w:spacing w:val="-1"/>
                <w:sz w:val="18"/>
              </w:rPr>
              <w:t>significant</w:t>
            </w:r>
            <w:r w:rsidRPr="00DD2626">
              <w:rPr>
                <w:color w:val="auto"/>
                <w:spacing w:val="-6"/>
                <w:sz w:val="18"/>
              </w:rPr>
              <w:t xml:space="preserve"> </w:t>
            </w:r>
            <w:r w:rsidRPr="00DD2626">
              <w:rPr>
                <w:color w:val="auto"/>
                <w:spacing w:val="-1"/>
                <w:sz w:val="18"/>
              </w:rPr>
              <w:t>river</w:t>
            </w:r>
            <w:r w:rsidRPr="00DD2626">
              <w:rPr>
                <w:color w:val="auto"/>
                <w:spacing w:val="-5"/>
                <w:sz w:val="18"/>
              </w:rPr>
              <w:t xml:space="preserve"> </w:t>
            </w:r>
            <w:r w:rsidRPr="00DD2626">
              <w:rPr>
                <w:color w:val="auto"/>
                <w:spacing w:val="-1"/>
                <w:sz w:val="18"/>
              </w:rPr>
              <w:t>rises</w:t>
            </w:r>
            <w:r w:rsidRPr="00DD2626">
              <w:rPr>
                <w:color w:val="auto"/>
                <w:spacing w:val="22"/>
                <w:sz w:val="18"/>
              </w:rPr>
              <w:t xml:space="preserve"> </w:t>
            </w:r>
            <w:r w:rsidRPr="00DD2626">
              <w:rPr>
                <w:color w:val="auto"/>
                <w:spacing w:val="-1"/>
                <w:sz w:val="18"/>
              </w:rPr>
              <w:t>that</w:t>
            </w:r>
            <w:r w:rsidRPr="00DD2626">
              <w:rPr>
                <w:color w:val="auto"/>
                <w:spacing w:val="-5"/>
                <w:sz w:val="18"/>
              </w:rPr>
              <w:t xml:space="preserve"> </w:t>
            </w:r>
            <w:r w:rsidRPr="00DD2626">
              <w:rPr>
                <w:color w:val="auto"/>
                <w:sz w:val="18"/>
              </w:rPr>
              <w:t>will</w:t>
            </w:r>
            <w:r w:rsidRPr="00DD2626">
              <w:rPr>
                <w:color w:val="auto"/>
                <w:spacing w:val="-3"/>
                <w:sz w:val="18"/>
              </w:rPr>
              <w:t xml:space="preserve"> </w:t>
            </w:r>
            <w:r w:rsidRPr="00DD2626">
              <w:rPr>
                <w:color w:val="auto"/>
                <w:sz w:val="18"/>
              </w:rPr>
              <w:t>cue</w:t>
            </w:r>
            <w:r w:rsidRPr="00DD2626">
              <w:rPr>
                <w:color w:val="auto"/>
                <w:spacing w:val="22"/>
                <w:w w:val="99"/>
                <w:sz w:val="18"/>
              </w:rPr>
              <w:t xml:space="preserve"> </w:t>
            </w:r>
            <w:r w:rsidRPr="00DD2626">
              <w:rPr>
                <w:color w:val="auto"/>
                <w:spacing w:val="-2"/>
                <w:sz w:val="18"/>
              </w:rPr>
              <w:t>movement and possibly</w:t>
            </w:r>
            <w:r w:rsidRPr="00DD2626">
              <w:rPr>
                <w:color w:val="auto"/>
                <w:spacing w:val="23"/>
                <w:sz w:val="18"/>
              </w:rPr>
              <w:t xml:space="preserve"> </w:t>
            </w:r>
            <w:r w:rsidRPr="00DD2626">
              <w:rPr>
                <w:color w:val="auto"/>
                <w:spacing w:val="-1"/>
                <w:sz w:val="18"/>
              </w:rPr>
              <w:t>spawning</w:t>
            </w:r>
            <w:r w:rsidRPr="00DD2626">
              <w:rPr>
                <w:color w:val="auto"/>
                <w:spacing w:val="-5"/>
                <w:sz w:val="18"/>
              </w:rPr>
              <w:t xml:space="preserve"> </w:t>
            </w:r>
            <w:r w:rsidRPr="00DD2626">
              <w:rPr>
                <w:color w:val="auto"/>
                <w:sz w:val="18"/>
              </w:rPr>
              <w:t>of</w:t>
            </w:r>
            <w:r w:rsidRPr="00DD2626">
              <w:rPr>
                <w:color w:val="auto"/>
                <w:spacing w:val="-2"/>
                <w:sz w:val="18"/>
              </w:rPr>
              <w:t xml:space="preserve"> </w:t>
            </w:r>
            <w:r w:rsidRPr="00DD2626">
              <w:rPr>
                <w:color w:val="auto"/>
                <w:sz w:val="18"/>
              </w:rPr>
              <w:t>flow</w:t>
            </w:r>
            <w:r w:rsidRPr="00DD2626">
              <w:rPr>
                <w:color w:val="auto"/>
                <w:spacing w:val="25"/>
                <w:sz w:val="18"/>
              </w:rPr>
              <w:t xml:space="preserve"> </w:t>
            </w:r>
            <w:r w:rsidRPr="00DD2626">
              <w:rPr>
                <w:color w:val="auto"/>
                <w:spacing w:val="-1"/>
                <w:sz w:val="18"/>
              </w:rPr>
              <w:t>specialists.</w:t>
            </w:r>
          </w:p>
        </w:tc>
        <w:tc>
          <w:tcPr>
            <w:tcW w:w="513" w:type="pct"/>
            <w:tcBorders>
              <w:right w:val="single" w:sz="12" w:space="0" w:color="auto"/>
            </w:tcBorders>
            <w:shd w:val="clear" w:color="auto" w:fill="C00000"/>
            <w:vAlign w:val="center"/>
          </w:tcPr>
          <w:p w14:paraId="48CD6868" w14:textId="77777777" w:rsidR="00AA0841" w:rsidRPr="00DD2626" w:rsidRDefault="00AA0841" w:rsidP="00AA0841">
            <w:pPr>
              <w:jc w:val="center"/>
              <w:rPr>
                <w:color w:val="auto"/>
                <w:sz w:val="18"/>
                <w:szCs w:val="18"/>
                <w:highlight w:val="lightGray"/>
              </w:rPr>
            </w:pPr>
            <w:r w:rsidRPr="00DD2626">
              <w:rPr>
                <w:color w:val="auto"/>
                <w:sz w:val="18"/>
                <w:szCs w:val="18"/>
              </w:rPr>
              <w:t>Critical</w:t>
            </w:r>
          </w:p>
        </w:tc>
      </w:tr>
      <w:tr w:rsidR="00AA0841" w:rsidRPr="00DD2626" w14:paraId="089DAB14" w14:textId="77777777" w:rsidTr="00AA0841">
        <w:trPr>
          <w:trHeight w:val="617"/>
        </w:trPr>
        <w:tc>
          <w:tcPr>
            <w:tcW w:w="417" w:type="pct"/>
            <w:vMerge/>
            <w:tcBorders>
              <w:left w:val="single" w:sz="12" w:space="0" w:color="auto"/>
            </w:tcBorders>
            <w:shd w:val="clear" w:color="auto" w:fill="auto"/>
          </w:tcPr>
          <w:p w14:paraId="150174ED" w14:textId="77777777" w:rsidR="00AA0841" w:rsidRPr="00BF5A5F" w:rsidRDefault="00AA0841" w:rsidP="00AA0841">
            <w:pPr>
              <w:rPr>
                <w:b/>
                <w:bCs/>
                <w:color w:val="auto"/>
                <w:sz w:val="18"/>
                <w:szCs w:val="18"/>
              </w:rPr>
            </w:pPr>
          </w:p>
        </w:tc>
        <w:tc>
          <w:tcPr>
            <w:tcW w:w="355" w:type="pct"/>
            <w:vAlign w:val="center"/>
          </w:tcPr>
          <w:p w14:paraId="73EF6BFB" w14:textId="77777777" w:rsidR="00AA0841" w:rsidRPr="00BF5A5F" w:rsidRDefault="00AA0841" w:rsidP="00AA0841">
            <w:pPr>
              <w:rPr>
                <w:color w:val="auto"/>
                <w:spacing w:val="21"/>
                <w:w w:val="99"/>
                <w:sz w:val="18"/>
              </w:rPr>
            </w:pPr>
            <w:r w:rsidRPr="00BF5A5F">
              <w:rPr>
                <w:color w:val="auto"/>
                <w:sz w:val="18"/>
              </w:rPr>
              <w:t>Fish</w:t>
            </w:r>
            <w:r w:rsidRPr="00BF5A5F">
              <w:rPr>
                <w:color w:val="auto"/>
                <w:spacing w:val="-11"/>
                <w:sz w:val="18"/>
              </w:rPr>
              <w:t xml:space="preserve"> </w:t>
            </w:r>
            <w:r w:rsidRPr="00BF5A5F">
              <w:rPr>
                <w:color w:val="auto"/>
                <w:spacing w:val="-1"/>
                <w:sz w:val="18"/>
              </w:rPr>
              <w:t>movement</w:t>
            </w:r>
            <w:r w:rsidRPr="00BF5A5F">
              <w:rPr>
                <w:color w:val="auto"/>
                <w:spacing w:val="21"/>
                <w:w w:val="99"/>
                <w:sz w:val="18"/>
              </w:rPr>
              <w:t xml:space="preserve"> </w:t>
            </w:r>
          </w:p>
          <w:p w14:paraId="430E6BC1" w14:textId="77777777" w:rsidR="00AA0841" w:rsidRPr="00BF5A5F" w:rsidRDefault="00AA0841" w:rsidP="00AA0841">
            <w:pPr>
              <w:rPr>
                <w:color w:val="auto"/>
                <w:sz w:val="18"/>
                <w:szCs w:val="18"/>
              </w:rPr>
            </w:pPr>
            <w:r w:rsidRPr="00BF5A5F">
              <w:rPr>
                <w:color w:val="auto"/>
                <w:spacing w:val="1"/>
                <w:sz w:val="18"/>
              </w:rPr>
              <w:t>In</w:t>
            </w:r>
            <w:r w:rsidRPr="00BF5A5F">
              <w:rPr>
                <w:color w:val="auto"/>
                <w:spacing w:val="-5"/>
                <w:sz w:val="18"/>
              </w:rPr>
              <w:t xml:space="preserve"> </w:t>
            </w:r>
            <w:r w:rsidRPr="00BF5A5F">
              <w:rPr>
                <w:color w:val="auto"/>
                <w:spacing w:val="-1"/>
                <w:sz w:val="18"/>
              </w:rPr>
              <w:t>stream</w:t>
            </w:r>
            <w:r w:rsidRPr="00BF5A5F">
              <w:rPr>
                <w:color w:val="auto"/>
                <w:spacing w:val="-7"/>
                <w:sz w:val="18"/>
              </w:rPr>
              <w:t xml:space="preserve"> </w:t>
            </w:r>
            <w:r w:rsidRPr="00BF5A5F">
              <w:rPr>
                <w:color w:val="auto"/>
                <w:sz w:val="18"/>
              </w:rPr>
              <w:t>+</w:t>
            </w:r>
            <w:r w:rsidRPr="00BF5A5F">
              <w:rPr>
                <w:color w:val="auto"/>
                <w:spacing w:val="23"/>
                <w:w w:val="99"/>
                <w:sz w:val="18"/>
              </w:rPr>
              <w:t xml:space="preserve"> </w:t>
            </w:r>
            <w:r w:rsidRPr="00BF5A5F">
              <w:rPr>
                <w:color w:val="auto"/>
                <w:spacing w:val="-1"/>
                <w:sz w:val="18"/>
              </w:rPr>
              <w:t>riparian</w:t>
            </w:r>
            <w:r w:rsidRPr="00BF5A5F">
              <w:rPr>
                <w:color w:val="auto"/>
                <w:spacing w:val="27"/>
                <w:w w:val="99"/>
                <w:sz w:val="18"/>
              </w:rPr>
              <w:t xml:space="preserve"> </w:t>
            </w:r>
            <w:r w:rsidRPr="00BF5A5F">
              <w:rPr>
                <w:color w:val="auto"/>
                <w:spacing w:val="-1"/>
                <w:sz w:val="18"/>
              </w:rPr>
              <w:t>vegetation</w:t>
            </w:r>
          </w:p>
        </w:tc>
        <w:tc>
          <w:tcPr>
            <w:tcW w:w="743" w:type="pct"/>
            <w:shd w:val="clear" w:color="auto" w:fill="auto"/>
            <w:vAlign w:val="center"/>
          </w:tcPr>
          <w:p w14:paraId="1B48906D" w14:textId="77777777" w:rsidR="00AA0841" w:rsidRPr="00BF5A5F" w:rsidRDefault="00AA0841" w:rsidP="00AA0841">
            <w:pPr>
              <w:rPr>
                <w:rFonts w:eastAsia="Century Gothic"/>
                <w:color w:val="auto"/>
                <w:spacing w:val="-1"/>
                <w:sz w:val="18"/>
                <w:szCs w:val="18"/>
              </w:rPr>
            </w:pPr>
            <w:r w:rsidRPr="00BF5A5F">
              <w:rPr>
                <w:rFonts w:eastAsia="Century Gothic"/>
                <w:b/>
                <w:bCs/>
                <w:color w:val="auto"/>
                <w:sz w:val="18"/>
                <w:szCs w:val="18"/>
              </w:rPr>
              <w:t>Large</w:t>
            </w:r>
            <w:r w:rsidRPr="00BF5A5F">
              <w:rPr>
                <w:rFonts w:eastAsia="Century Gothic"/>
                <w:b/>
                <w:bCs/>
                <w:color w:val="auto"/>
                <w:spacing w:val="-5"/>
                <w:sz w:val="18"/>
                <w:szCs w:val="18"/>
              </w:rPr>
              <w:t xml:space="preserve"> </w:t>
            </w:r>
            <w:r w:rsidRPr="00BF5A5F">
              <w:rPr>
                <w:rFonts w:eastAsia="Century Gothic"/>
                <w:b/>
                <w:bCs/>
                <w:color w:val="auto"/>
                <w:sz w:val="18"/>
                <w:szCs w:val="18"/>
              </w:rPr>
              <w:t>freshes</w:t>
            </w:r>
            <w:r w:rsidRPr="00BF5A5F">
              <w:rPr>
                <w:rFonts w:eastAsia="Century Gothic"/>
                <w:b/>
                <w:bCs/>
                <w:color w:val="auto"/>
                <w:spacing w:val="-5"/>
                <w:sz w:val="18"/>
                <w:szCs w:val="18"/>
              </w:rPr>
              <w:t xml:space="preserve"> </w:t>
            </w:r>
            <w:r w:rsidRPr="00BF5A5F">
              <w:rPr>
                <w:rFonts w:eastAsia="Century Gothic"/>
                <w:b/>
                <w:bCs/>
                <w:color w:val="auto"/>
                <w:spacing w:val="-1"/>
                <w:sz w:val="18"/>
                <w:szCs w:val="18"/>
              </w:rPr>
              <w:t>and</w:t>
            </w:r>
            <w:r w:rsidRPr="00BF5A5F">
              <w:rPr>
                <w:rFonts w:eastAsia="Century Gothic"/>
                <w:b/>
                <w:bCs/>
                <w:color w:val="auto"/>
                <w:spacing w:val="-2"/>
                <w:sz w:val="18"/>
                <w:szCs w:val="18"/>
              </w:rPr>
              <w:t xml:space="preserve"> </w:t>
            </w:r>
            <w:r w:rsidRPr="00BF5A5F">
              <w:rPr>
                <w:rFonts w:eastAsia="Century Gothic"/>
                <w:b/>
                <w:bCs/>
                <w:color w:val="auto"/>
                <w:sz w:val="18"/>
                <w:szCs w:val="18"/>
              </w:rPr>
              <w:t>bankfull:</w:t>
            </w:r>
            <w:r w:rsidRPr="00BF5A5F">
              <w:rPr>
                <w:rFonts w:eastAsia="Century Gothic"/>
                <w:b/>
                <w:bCs/>
                <w:color w:val="auto"/>
                <w:spacing w:val="23"/>
                <w:w w:val="99"/>
                <w:sz w:val="18"/>
                <w:szCs w:val="18"/>
              </w:rPr>
              <w:t xml:space="preserve"> </w:t>
            </w:r>
            <w:r w:rsidRPr="00BF5A5F">
              <w:rPr>
                <w:rFonts w:eastAsia="Century Gothic"/>
                <w:color w:val="auto"/>
                <w:sz w:val="18"/>
                <w:szCs w:val="18"/>
              </w:rPr>
              <w:t>10 </w:t>
            </w:r>
            <w:r w:rsidRPr="00BF5A5F">
              <w:rPr>
                <w:rFonts w:eastAsia="Century Gothic"/>
                <w:color w:val="auto"/>
                <w:spacing w:val="-1"/>
                <w:sz w:val="18"/>
                <w:szCs w:val="18"/>
              </w:rPr>
              <w:t>000–20 000</w:t>
            </w:r>
            <w:r w:rsidRPr="00BF5A5F">
              <w:rPr>
                <w:rFonts w:eastAsia="Century Gothic"/>
                <w:color w:val="auto"/>
                <w:spacing w:val="-3"/>
                <w:sz w:val="18"/>
                <w:szCs w:val="18"/>
              </w:rPr>
              <w:t xml:space="preserve"> </w:t>
            </w:r>
            <w:r w:rsidRPr="00BF5A5F">
              <w:rPr>
                <w:rFonts w:eastAsia="Century Gothic"/>
                <w:color w:val="auto"/>
                <w:spacing w:val="-1"/>
                <w:sz w:val="18"/>
                <w:szCs w:val="18"/>
              </w:rPr>
              <w:t>ML/day at</w:t>
            </w:r>
            <w:r w:rsidRPr="00BF5A5F">
              <w:rPr>
                <w:rFonts w:eastAsia="Century Gothic"/>
                <w:color w:val="auto"/>
                <w:spacing w:val="25"/>
                <w:w w:val="99"/>
                <w:sz w:val="18"/>
                <w:szCs w:val="18"/>
              </w:rPr>
              <w:t xml:space="preserve"> </w:t>
            </w:r>
            <w:r w:rsidRPr="00BF5A5F">
              <w:rPr>
                <w:rFonts w:eastAsia="Century Gothic"/>
                <w:color w:val="auto"/>
                <w:spacing w:val="-1"/>
                <w:sz w:val="18"/>
                <w:szCs w:val="18"/>
              </w:rPr>
              <w:t>Baroona</w:t>
            </w:r>
            <w:r w:rsidRPr="00BF5A5F">
              <w:rPr>
                <w:rFonts w:eastAsia="Century Gothic"/>
                <w:color w:val="auto"/>
                <w:spacing w:val="-4"/>
                <w:sz w:val="18"/>
                <w:szCs w:val="18"/>
              </w:rPr>
              <w:t xml:space="preserve"> </w:t>
            </w:r>
            <w:r w:rsidRPr="00BF5A5F">
              <w:rPr>
                <w:rFonts w:eastAsia="Century Gothic"/>
                <w:color w:val="auto"/>
                <w:sz w:val="18"/>
                <w:szCs w:val="18"/>
              </w:rPr>
              <w:t>for</w:t>
            </w:r>
            <w:r w:rsidRPr="00BF5A5F">
              <w:rPr>
                <w:rFonts w:eastAsia="Century Gothic"/>
                <w:color w:val="auto"/>
                <w:spacing w:val="-3"/>
                <w:sz w:val="18"/>
                <w:szCs w:val="18"/>
              </w:rPr>
              <w:t xml:space="preserve"> </w:t>
            </w:r>
            <w:r w:rsidRPr="00BF5A5F">
              <w:rPr>
                <w:rFonts w:eastAsia="Century Gothic"/>
                <w:color w:val="auto"/>
                <w:sz w:val="18"/>
                <w:szCs w:val="18"/>
              </w:rPr>
              <w:t>a</w:t>
            </w:r>
            <w:r w:rsidRPr="00BF5A5F">
              <w:rPr>
                <w:rFonts w:eastAsia="Century Gothic"/>
                <w:color w:val="auto"/>
                <w:spacing w:val="-3"/>
                <w:sz w:val="18"/>
                <w:szCs w:val="18"/>
              </w:rPr>
              <w:t xml:space="preserve"> </w:t>
            </w:r>
            <w:r w:rsidRPr="00BF5A5F">
              <w:rPr>
                <w:rFonts w:eastAsia="Century Gothic"/>
                <w:color w:val="auto"/>
                <w:spacing w:val="-1"/>
                <w:sz w:val="18"/>
                <w:szCs w:val="18"/>
              </w:rPr>
              <w:t>minimum</w:t>
            </w:r>
            <w:r w:rsidRPr="00BF5A5F">
              <w:rPr>
                <w:rFonts w:eastAsia="Century Gothic"/>
                <w:color w:val="auto"/>
                <w:spacing w:val="-7"/>
                <w:sz w:val="18"/>
                <w:szCs w:val="18"/>
              </w:rPr>
              <w:t xml:space="preserve"> </w:t>
            </w:r>
            <w:r w:rsidRPr="00BF5A5F">
              <w:rPr>
                <w:rFonts w:eastAsia="Century Gothic"/>
                <w:color w:val="auto"/>
                <w:sz w:val="18"/>
                <w:szCs w:val="18"/>
              </w:rPr>
              <w:t>of</w:t>
            </w:r>
            <w:r w:rsidRPr="00BF5A5F">
              <w:rPr>
                <w:rFonts w:eastAsia="Century Gothic"/>
                <w:color w:val="auto"/>
                <w:spacing w:val="-2"/>
                <w:sz w:val="18"/>
                <w:szCs w:val="18"/>
              </w:rPr>
              <w:t xml:space="preserve"> </w:t>
            </w:r>
            <w:r w:rsidRPr="00BF5A5F">
              <w:rPr>
                <w:rFonts w:eastAsia="Century Gothic"/>
                <w:color w:val="auto"/>
                <w:sz w:val="18"/>
                <w:szCs w:val="18"/>
              </w:rPr>
              <w:t>3</w:t>
            </w:r>
            <w:r w:rsidRPr="00BF5A5F">
              <w:rPr>
                <w:rFonts w:eastAsia="Century Gothic"/>
                <w:color w:val="auto"/>
                <w:spacing w:val="26"/>
                <w:sz w:val="18"/>
                <w:szCs w:val="18"/>
              </w:rPr>
              <w:t xml:space="preserve"> </w:t>
            </w:r>
            <w:r w:rsidRPr="00BF5A5F">
              <w:rPr>
                <w:rFonts w:eastAsia="Century Gothic"/>
                <w:color w:val="auto"/>
                <w:spacing w:val="-1"/>
                <w:sz w:val="18"/>
                <w:szCs w:val="18"/>
              </w:rPr>
              <w:t>days</w:t>
            </w:r>
            <w:r w:rsidRPr="00BF5A5F">
              <w:rPr>
                <w:rFonts w:eastAsia="Century Gothic"/>
                <w:color w:val="auto"/>
                <w:spacing w:val="-2"/>
                <w:sz w:val="18"/>
                <w:szCs w:val="18"/>
              </w:rPr>
              <w:t xml:space="preserve"> </w:t>
            </w:r>
            <w:r w:rsidRPr="00BF5A5F">
              <w:rPr>
                <w:rFonts w:eastAsia="Century Gothic"/>
                <w:color w:val="auto"/>
                <w:spacing w:val="-1"/>
                <w:sz w:val="18"/>
                <w:szCs w:val="18"/>
              </w:rPr>
              <w:t>(to</w:t>
            </w:r>
            <w:r w:rsidRPr="00BF5A5F">
              <w:rPr>
                <w:rFonts w:eastAsia="Century Gothic"/>
                <w:color w:val="auto"/>
                <w:spacing w:val="-3"/>
                <w:sz w:val="18"/>
                <w:szCs w:val="18"/>
              </w:rPr>
              <w:t xml:space="preserve"> </w:t>
            </w:r>
            <w:r w:rsidRPr="00BF5A5F">
              <w:rPr>
                <w:rFonts w:eastAsia="Century Gothic"/>
                <w:color w:val="auto"/>
                <w:spacing w:val="-1"/>
                <w:sz w:val="18"/>
                <w:szCs w:val="18"/>
              </w:rPr>
              <w:t>drown</w:t>
            </w:r>
            <w:r w:rsidRPr="00BF5A5F">
              <w:rPr>
                <w:rFonts w:eastAsia="Century Gothic"/>
                <w:color w:val="auto"/>
                <w:spacing w:val="-2"/>
                <w:sz w:val="18"/>
                <w:szCs w:val="18"/>
              </w:rPr>
              <w:t xml:space="preserve"> </w:t>
            </w:r>
            <w:r w:rsidRPr="00BF5A5F">
              <w:rPr>
                <w:rFonts w:eastAsia="Century Gothic"/>
                <w:color w:val="auto"/>
                <w:sz w:val="18"/>
                <w:szCs w:val="18"/>
              </w:rPr>
              <w:t>out</w:t>
            </w:r>
            <w:r w:rsidRPr="00BF5A5F">
              <w:rPr>
                <w:rFonts w:eastAsia="Century Gothic"/>
                <w:color w:val="auto"/>
                <w:spacing w:val="-5"/>
                <w:sz w:val="18"/>
                <w:szCs w:val="18"/>
              </w:rPr>
              <w:t xml:space="preserve"> </w:t>
            </w:r>
            <w:r w:rsidRPr="00BF5A5F">
              <w:rPr>
                <w:rFonts w:eastAsia="Century Gothic"/>
                <w:color w:val="auto"/>
                <w:sz w:val="18"/>
                <w:szCs w:val="18"/>
              </w:rPr>
              <w:t>key</w:t>
            </w:r>
            <w:r w:rsidRPr="00BF5A5F">
              <w:rPr>
                <w:rFonts w:eastAsia="Century Gothic"/>
                <w:color w:val="auto"/>
                <w:spacing w:val="25"/>
                <w:sz w:val="18"/>
                <w:szCs w:val="18"/>
              </w:rPr>
              <w:t xml:space="preserve"> </w:t>
            </w:r>
            <w:r w:rsidRPr="00BF5A5F">
              <w:rPr>
                <w:rFonts w:eastAsia="Century Gothic"/>
                <w:color w:val="auto"/>
                <w:spacing w:val="-1"/>
                <w:sz w:val="18"/>
                <w:szCs w:val="18"/>
              </w:rPr>
              <w:t>weirs).</w:t>
            </w:r>
          </w:p>
          <w:p w14:paraId="49D959BF" w14:textId="77777777" w:rsidR="00AA0841" w:rsidRPr="00BF5A5F" w:rsidRDefault="00AA0841" w:rsidP="00AA0841">
            <w:pPr>
              <w:rPr>
                <w:color w:val="auto"/>
                <w:sz w:val="18"/>
                <w:szCs w:val="18"/>
              </w:rPr>
            </w:pPr>
            <w:r w:rsidRPr="00BF5A5F">
              <w:rPr>
                <w:rFonts w:eastAsia="Century Gothic"/>
                <w:color w:val="auto"/>
                <w:spacing w:val="-1"/>
                <w:sz w:val="18"/>
                <w:szCs w:val="18"/>
              </w:rPr>
              <w:t>(Gin Gin drowns out at 18 000 ML)</w:t>
            </w:r>
          </w:p>
        </w:tc>
        <w:tc>
          <w:tcPr>
            <w:tcW w:w="485" w:type="pct"/>
            <w:shd w:val="clear" w:color="auto" w:fill="auto"/>
            <w:vAlign w:val="center"/>
          </w:tcPr>
          <w:p w14:paraId="3254DE69" w14:textId="77777777" w:rsidR="00AA0841" w:rsidRPr="00BF5A5F" w:rsidRDefault="00AA0841" w:rsidP="00AA0841">
            <w:pPr>
              <w:rPr>
                <w:color w:val="auto"/>
                <w:spacing w:val="23"/>
                <w:sz w:val="18"/>
              </w:rPr>
            </w:pPr>
            <w:r w:rsidRPr="00BF5A5F">
              <w:rPr>
                <w:color w:val="auto"/>
                <w:spacing w:val="-1"/>
                <w:sz w:val="18"/>
              </w:rPr>
              <w:t>Ideally:</w:t>
            </w:r>
            <w:r w:rsidRPr="00BF5A5F">
              <w:rPr>
                <w:color w:val="auto"/>
                <w:spacing w:val="-4"/>
                <w:sz w:val="18"/>
              </w:rPr>
              <w:t xml:space="preserve"> </w:t>
            </w:r>
            <w:r w:rsidRPr="00BF5A5F">
              <w:rPr>
                <w:color w:val="auto"/>
                <w:sz w:val="18"/>
              </w:rPr>
              <w:t>2</w:t>
            </w:r>
            <w:r w:rsidRPr="00BF5A5F">
              <w:rPr>
                <w:color w:val="auto"/>
                <w:spacing w:val="-2"/>
                <w:sz w:val="18"/>
              </w:rPr>
              <w:t xml:space="preserve"> </w:t>
            </w:r>
            <w:r w:rsidRPr="00BF5A5F">
              <w:rPr>
                <w:color w:val="auto"/>
                <w:spacing w:val="1"/>
                <w:sz w:val="18"/>
              </w:rPr>
              <w:t xml:space="preserve">in </w:t>
            </w:r>
            <w:r w:rsidRPr="00BF5A5F">
              <w:rPr>
                <w:color w:val="auto"/>
                <w:sz w:val="18"/>
              </w:rPr>
              <w:t>10</w:t>
            </w:r>
            <w:r w:rsidRPr="00BF5A5F">
              <w:rPr>
                <w:color w:val="auto"/>
                <w:spacing w:val="-3"/>
                <w:sz w:val="18"/>
              </w:rPr>
              <w:t xml:space="preserve"> </w:t>
            </w:r>
            <w:r w:rsidRPr="00BF5A5F">
              <w:rPr>
                <w:color w:val="auto"/>
                <w:spacing w:val="-1"/>
                <w:sz w:val="18"/>
              </w:rPr>
              <w:t>years</w:t>
            </w:r>
          </w:p>
          <w:p w14:paraId="7CE53CCE" w14:textId="77777777" w:rsidR="00AA0841" w:rsidRPr="00BF5A5F" w:rsidRDefault="00AA0841" w:rsidP="00AA0841">
            <w:pPr>
              <w:rPr>
                <w:color w:val="auto"/>
                <w:sz w:val="18"/>
                <w:szCs w:val="18"/>
              </w:rPr>
            </w:pPr>
            <w:r w:rsidRPr="00BF5A5F">
              <w:rPr>
                <w:color w:val="auto"/>
                <w:spacing w:val="-1"/>
                <w:sz w:val="18"/>
              </w:rPr>
              <w:t>(Max</w:t>
            </w:r>
            <w:r w:rsidRPr="00BF5A5F">
              <w:rPr>
                <w:color w:val="auto"/>
                <w:spacing w:val="-6"/>
                <w:sz w:val="18"/>
              </w:rPr>
              <w:t xml:space="preserve"> </w:t>
            </w:r>
            <w:r w:rsidRPr="00BF5A5F">
              <w:rPr>
                <w:color w:val="auto"/>
                <w:spacing w:val="-1"/>
                <w:sz w:val="18"/>
              </w:rPr>
              <w:t>interval:</w:t>
            </w:r>
            <w:r w:rsidRPr="00BF5A5F">
              <w:rPr>
                <w:color w:val="auto"/>
                <w:spacing w:val="25"/>
                <w:sz w:val="18"/>
              </w:rPr>
              <w:t xml:space="preserve"> </w:t>
            </w:r>
            <w:r w:rsidRPr="00BF5A5F">
              <w:rPr>
                <w:color w:val="auto"/>
                <w:spacing w:val="-1"/>
                <w:sz w:val="18"/>
              </w:rPr>
              <w:t>2–4 years)</w:t>
            </w:r>
          </w:p>
        </w:tc>
        <w:tc>
          <w:tcPr>
            <w:tcW w:w="1356" w:type="pct"/>
            <w:shd w:val="clear" w:color="auto" w:fill="auto"/>
            <w:vAlign w:val="center"/>
          </w:tcPr>
          <w:p w14:paraId="015AA2CD" w14:textId="77777777" w:rsidR="00AA0841" w:rsidRPr="00BF5A5F" w:rsidRDefault="00AA0841" w:rsidP="00AA0841">
            <w:pPr>
              <w:spacing w:after="60"/>
              <w:jc w:val="center"/>
              <w:rPr>
                <w:rFonts w:cstheme="minorHAnsi"/>
                <w:bCs/>
                <w:color w:val="auto"/>
                <w:sz w:val="18"/>
                <w:szCs w:val="18"/>
              </w:rPr>
            </w:pPr>
            <w:r w:rsidRPr="00BF5A5F">
              <w:rPr>
                <w:rFonts w:cstheme="minorHAnsi"/>
                <w:bCs/>
                <w:color w:val="auto"/>
                <w:sz w:val="18"/>
                <w:szCs w:val="18"/>
              </w:rPr>
              <w:t>Large freshes were last achieved in 2016–17, when flows &gt;10 000 ML/day were achieved at Baroona on three occasions, for 6, 3 and 28 days respectively in Sept–Oct 2016, and in 2011–12 before that. These flows were partially met in 2019–20, having exceeded 10 000 ML/d at Baroona for 2 days in February and 3 days in April. However, these flow rates were not reached in other sections of the river, and supplementary access impacted on the achievement of this demand.</w:t>
            </w:r>
          </w:p>
          <w:p w14:paraId="0D243E9C" w14:textId="77777777" w:rsidR="00AA0841" w:rsidRPr="00BF5A5F" w:rsidRDefault="00AA0841" w:rsidP="00AA0841">
            <w:pPr>
              <w:jc w:val="center"/>
              <w:rPr>
                <w:bCs/>
                <w:color w:val="auto"/>
                <w:sz w:val="18"/>
                <w:szCs w:val="18"/>
                <w:highlight w:val="lightGray"/>
              </w:rPr>
            </w:pPr>
            <w:r w:rsidRPr="00BF5A5F">
              <w:rPr>
                <w:rFonts w:cstheme="minorHAnsi"/>
                <w:bCs/>
                <w:color w:val="auto"/>
                <w:sz w:val="18"/>
                <w:szCs w:val="18"/>
              </w:rPr>
              <w:t>To meet the desired frequency of these flows, water is required in 2020–21 or 2021–22. Therefore, the environmental demand has been assessed as moderate.</w:t>
            </w:r>
          </w:p>
        </w:tc>
        <w:tc>
          <w:tcPr>
            <w:tcW w:w="452" w:type="pct"/>
            <w:shd w:val="clear" w:color="auto" w:fill="FFC000"/>
            <w:vAlign w:val="center"/>
          </w:tcPr>
          <w:p w14:paraId="428299A0" w14:textId="77777777" w:rsidR="00AA0841" w:rsidRPr="00DD2626" w:rsidRDefault="00AA0841" w:rsidP="00AA0841">
            <w:pPr>
              <w:jc w:val="center"/>
              <w:rPr>
                <w:color w:val="auto"/>
                <w:sz w:val="18"/>
                <w:szCs w:val="18"/>
                <w:highlight w:val="lightGray"/>
              </w:rPr>
            </w:pPr>
            <w:r w:rsidRPr="00DD2626">
              <w:rPr>
                <w:color w:val="auto"/>
                <w:sz w:val="18"/>
                <w:szCs w:val="18"/>
              </w:rPr>
              <w:t>Moderate</w:t>
            </w:r>
          </w:p>
        </w:tc>
        <w:tc>
          <w:tcPr>
            <w:tcW w:w="679" w:type="pct"/>
            <w:shd w:val="clear" w:color="auto" w:fill="auto"/>
            <w:vAlign w:val="center"/>
          </w:tcPr>
          <w:p w14:paraId="274C61E3" w14:textId="77777777" w:rsidR="00AA0841" w:rsidRPr="00DD2626" w:rsidRDefault="00AA0841" w:rsidP="00AA0841">
            <w:pPr>
              <w:jc w:val="center"/>
              <w:rPr>
                <w:color w:val="auto"/>
                <w:sz w:val="18"/>
                <w:szCs w:val="18"/>
              </w:rPr>
            </w:pPr>
            <w:r w:rsidRPr="00DD2626">
              <w:rPr>
                <w:color w:val="auto"/>
                <w:sz w:val="18"/>
                <w:szCs w:val="18"/>
              </w:rPr>
              <w:t>A low priority for CEW in 2020–21 and o</w:t>
            </w:r>
            <w:r w:rsidRPr="00DD2626">
              <w:rPr>
                <w:color w:val="auto"/>
                <w:spacing w:val="-1"/>
                <w:sz w:val="18"/>
              </w:rPr>
              <w:t xml:space="preserve">nly able </w:t>
            </w:r>
            <w:r w:rsidRPr="00DD2626">
              <w:rPr>
                <w:color w:val="auto"/>
                <w:sz w:val="18"/>
              </w:rPr>
              <w:t>to</w:t>
            </w:r>
            <w:r w:rsidRPr="00DD2626">
              <w:rPr>
                <w:color w:val="auto"/>
                <w:spacing w:val="23"/>
                <w:w w:val="99"/>
                <w:sz w:val="18"/>
              </w:rPr>
              <w:t xml:space="preserve"> </w:t>
            </w:r>
            <w:r w:rsidRPr="00DD2626">
              <w:rPr>
                <w:color w:val="auto"/>
                <w:spacing w:val="-1"/>
                <w:sz w:val="18"/>
              </w:rPr>
              <w:t>contribute</w:t>
            </w:r>
            <w:r w:rsidRPr="00DD2626">
              <w:rPr>
                <w:color w:val="auto"/>
                <w:spacing w:val="-6"/>
                <w:sz w:val="18"/>
              </w:rPr>
              <w:t xml:space="preserve"> </w:t>
            </w:r>
            <w:r w:rsidRPr="00DD2626">
              <w:rPr>
                <w:color w:val="auto"/>
                <w:sz w:val="18"/>
              </w:rPr>
              <w:t>to</w:t>
            </w:r>
            <w:r w:rsidRPr="00DD2626">
              <w:rPr>
                <w:color w:val="auto"/>
                <w:spacing w:val="-6"/>
                <w:sz w:val="18"/>
              </w:rPr>
              <w:t xml:space="preserve"> </w:t>
            </w:r>
            <w:r w:rsidRPr="00DD2626">
              <w:rPr>
                <w:color w:val="auto"/>
                <w:sz w:val="18"/>
              </w:rPr>
              <w:t>this</w:t>
            </w:r>
            <w:r w:rsidRPr="00DD2626">
              <w:rPr>
                <w:color w:val="auto"/>
                <w:spacing w:val="28"/>
                <w:sz w:val="18"/>
              </w:rPr>
              <w:t xml:space="preserve"> </w:t>
            </w:r>
            <w:r w:rsidRPr="00DD2626">
              <w:rPr>
                <w:color w:val="auto"/>
                <w:spacing w:val="-1"/>
                <w:sz w:val="18"/>
              </w:rPr>
              <w:t>demand</w:t>
            </w:r>
            <w:r w:rsidRPr="00DD2626">
              <w:rPr>
                <w:color w:val="auto"/>
                <w:spacing w:val="-10"/>
                <w:sz w:val="18"/>
              </w:rPr>
              <w:t xml:space="preserve"> </w:t>
            </w:r>
            <w:r w:rsidRPr="00DD2626">
              <w:rPr>
                <w:color w:val="auto"/>
                <w:sz w:val="18"/>
              </w:rPr>
              <w:t>when</w:t>
            </w:r>
            <w:r w:rsidRPr="00DD2626">
              <w:rPr>
                <w:color w:val="auto"/>
                <w:spacing w:val="23"/>
                <w:w w:val="99"/>
                <w:sz w:val="18"/>
              </w:rPr>
              <w:t xml:space="preserve"> </w:t>
            </w:r>
            <w:r w:rsidRPr="00DD2626">
              <w:rPr>
                <w:color w:val="auto"/>
                <w:spacing w:val="-1"/>
                <w:sz w:val="18"/>
              </w:rPr>
              <w:t>coordinated</w:t>
            </w:r>
            <w:r w:rsidRPr="00DD2626">
              <w:rPr>
                <w:color w:val="auto"/>
                <w:spacing w:val="-9"/>
                <w:sz w:val="18"/>
              </w:rPr>
              <w:t xml:space="preserve"> </w:t>
            </w:r>
            <w:r w:rsidRPr="00DD2626">
              <w:rPr>
                <w:color w:val="auto"/>
                <w:spacing w:val="-1"/>
                <w:sz w:val="18"/>
              </w:rPr>
              <w:t>with</w:t>
            </w:r>
            <w:r w:rsidRPr="00DD2626">
              <w:rPr>
                <w:color w:val="auto"/>
                <w:spacing w:val="29"/>
                <w:w w:val="99"/>
                <w:sz w:val="18"/>
              </w:rPr>
              <w:t xml:space="preserve"> </w:t>
            </w:r>
            <w:r w:rsidRPr="00DD2626">
              <w:rPr>
                <w:color w:val="auto"/>
                <w:spacing w:val="-1"/>
                <w:sz w:val="18"/>
              </w:rPr>
              <w:t>major</w:t>
            </w:r>
            <w:r w:rsidRPr="00DD2626">
              <w:rPr>
                <w:color w:val="auto"/>
                <w:spacing w:val="-6"/>
                <w:sz w:val="18"/>
              </w:rPr>
              <w:t xml:space="preserve"> </w:t>
            </w:r>
            <w:r w:rsidRPr="00DD2626">
              <w:rPr>
                <w:color w:val="auto"/>
                <w:spacing w:val="-1"/>
                <w:sz w:val="18"/>
              </w:rPr>
              <w:t>tributary</w:t>
            </w:r>
            <w:r w:rsidRPr="00DD2626">
              <w:rPr>
                <w:color w:val="auto"/>
                <w:spacing w:val="29"/>
                <w:sz w:val="18"/>
              </w:rPr>
              <w:t xml:space="preserve"> </w:t>
            </w:r>
            <w:r w:rsidRPr="00DD2626">
              <w:rPr>
                <w:color w:val="auto"/>
                <w:spacing w:val="-1"/>
                <w:sz w:val="18"/>
              </w:rPr>
              <w:t>flow</w:t>
            </w:r>
            <w:r w:rsidRPr="00DD2626">
              <w:rPr>
                <w:color w:val="auto"/>
                <w:spacing w:val="-7"/>
                <w:sz w:val="18"/>
              </w:rPr>
              <w:t xml:space="preserve"> </w:t>
            </w:r>
            <w:r w:rsidRPr="00DD2626">
              <w:rPr>
                <w:color w:val="auto"/>
                <w:spacing w:val="-1"/>
                <w:sz w:val="18"/>
              </w:rPr>
              <w:t>event.</w:t>
            </w:r>
          </w:p>
        </w:tc>
        <w:tc>
          <w:tcPr>
            <w:tcW w:w="513" w:type="pct"/>
            <w:tcBorders>
              <w:right w:val="single" w:sz="12" w:space="0" w:color="auto"/>
            </w:tcBorders>
            <w:shd w:val="clear" w:color="auto" w:fill="FFC000"/>
            <w:vAlign w:val="center"/>
          </w:tcPr>
          <w:p w14:paraId="3853F9A9" w14:textId="77777777" w:rsidR="00AA0841" w:rsidRPr="00DD2626" w:rsidRDefault="00AA0841" w:rsidP="00AA0841">
            <w:pPr>
              <w:jc w:val="center"/>
              <w:rPr>
                <w:color w:val="auto"/>
                <w:sz w:val="18"/>
                <w:szCs w:val="18"/>
              </w:rPr>
            </w:pPr>
            <w:r w:rsidRPr="00DD2626">
              <w:rPr>
                <w:color w:val="auto"/>
                <w:sz w:val="18"/>
                <w:szCs w:val="18"/>
              </w:rPr>
              <w:t>Moderate</w:t>
            </w:r>
          </w:p>
        </w:tc>
      </w:tr>
      <w:tr w:rsidR="00AA0841" w:rsidRPr="00DD2626" w14:paraId="48FCB200" w14:textId="77777777" w:rsidTr="00AA0841">
        <w:trPr>
          <w:cantSplit/>
          <w:trHeight w:val="4049"/>
        </w:trPr>
        <w:tc>
          <w:tcPr>
            <w:tcW w:w="417" w:type="pct"/>
            <w:vMerge w:val="restart"/>
            <w:tcBorders>
              <w:top w:val="single" w:sz="12" w:space="0" w:color="auto"/>
              <w:left w:val="single" w:sz="12" w:space="0" w:color="auto"/>
            </w:tcBorders>
            <w:shd w:val="clear" w:color="auto" w:fill="auto"/>
          </w:tcPr>
          <w:p w14:paraId="23B8DA36" w14:textId="77777777" w:rsidR="00AA0841" w:rsidRPr="00BF5A5F" w:rsidRDefault="00AA0841" w:rsidP="00AA0841">
            <w:pPr>
              <w:rPr>
                <w:color w:val="auto"/>
                <w:position w:val="5"/>
                <w:sz w:val="18"/>
                <w:szCs w:val="18"/>
              </w:rPr>
            </w:pPr>
            <w:r w:rsidRPr="00BF5A5F">
              <w:rPr>
                <w:b/>
                <w:bCs/>
                <w:color w:val="auto"/>
                <w:sz w:val="18"/>
                <w:szCs w:val="18"/>
              </w:rPr>
              <w:lastRenderedPageBreak/>
              <w:t>Macquarie</w:t>
            </w:r>
            <w:r w:rsidRPr="00BF5A5F">
              <w:rPr>
                <w:b/>
                <w:bCs/>
                <w:color w:val="auto"/>
                <w:w w:val="99"/>
                <w:sz w:val="18"/>
                <w:szCs w:val="18"/>
              </w:rPr>
              <w:t xml:space="preserve"> </w:t>
            </w:r>
            <w:r w:rsidRPr="00BF5A5F">
              <w:rPr>
                <w:b/>
                <w:bCs/>
                <w:color w:val="auto"/>
                <w:sz w:val="18"/>
                <w:szCs w:val="18"/>
              </w:rPr>
              <w:t>Marshes</w:t>
            </w:r>
            <w:r w:rsidRPr="00BF5A5F">
              <w:rPr>
                <w:color w:val="auto"/>
                <w:spacing w:val="-8"/>
                <w:sz w:val="18"/>
                <w:szCs w:val="18"/>
              </w:rPr>
              <w:t xml:space="preserve"> </w:t>
            </w:r>
            <w:r w:rsidRPr="00BF5A5F">
              <w:rPr>
                <w:color w:val="auto"/>
                <w:position w:val="5"/>
                <w:sz w:val="18"/>
                <w:szCs w:val="18"/>
                <w:vertAlign w:val="superscript"/>
              </w:rPr>
              <w:t>3,4</w:t>
            </w:r>
            <w:r w:rsidRPr="00BF5A5F">
              <w:rPr>
                <w:rStyle w:val="FootnoteReference"/>
                <w:rFonts w:ascii="Century Gothic"/>
                <w:b/>
                <w:color w:val="auto"/>
                <w:position w:val="5"/>
                <w:sz w:val="18"/>
                <w:szCs w:val="18"/>
              </w:rPr>
              <w:footnoteReference w:id="30"/>
            </w:r>
          </w:p>
          <w:p w14:paraId="05980916" w14:textId="77777777" w:rsidR="00AA0841" w:rsidRPr="00BF5A5F" w:rsidRDefault="00AA0841" w:rsidP="00AA0841">
            <w:pPr>
              <w:rPr>
                <w:rFonts w:hAnsi="Century Gothic"/>
                <w:bCs/>
                <w:color w:val="auto"/>
                <w:sz w:val="18"/>
                <w:szCs w:val="18"/>
              </w:rPr>
            </w:pPr>
            <w:r w:rsidRPr="00BF5A5F">
              <w:rPr>
                <w:rFonts w:hAnsi="Century Gothic"/>
                <w:bCs/>
                <w:color w:val="auto"/>
                <w:sz w:val="18"/>
                <w:szCs w:val="18"/>
              </w:rPr>
              <w:t>Includes areas of Ramsar listed wetlands</w:t>
            </w:r>
            <w:r w:rsidRPr="00BF5A5F">
              <w:rPr>
                <w:rStyle w:val="FootnoteReference"/>
                <w:rFonts w:ascii="Century Gothic" w:hAnsi="Century Gothic"/>
                <w:bCs/>
                <w:color w:val="auto"/>
                <w:sz w:val="18"/>
                <w:szCs w:val="18"/>
              </w:rPr>
              <w:footnoteReference w:id="31"/>
            </w:r>
          </w:p>
          <w:p w14:paraId="34A13EB3" w14:textId="77777777" w:rsidR="00AA0841" w:rsidRPr="00BF5A5F" w:rsidRDefault="00AA0841" w:rsidP="00AA0841">
            <w:pPr>
              <w:rPr>
                <w:rFonts w:hAnsi="Century Gothic"/>
                <w:bCs/>
                <w:color w:val="auto"/>
                <w:sz w:val="18"/>
                <w:szCs w:val="18"/>
              </w:rPr>
            </w:pPr>
            <w:r w:rsidRPr="00BF5A5F">
              <w:rPr>
                <w:rFonts w:hAnsi="Century Gothic"/>
                <w:bCs/>
                <w:color w:val="auto"/>
                <w:sz w:val="18"/>
                <w:szCs w:val="18"/>
              </w:rPr>
              <w:t>Nationally significant wetlands</w:t>
            </w:r>
          </w:p>
          <w:p w14:paraId="28EF2B3A" w14:textId="77777777" w:rsidR="00AA0841" w:rsidRPr="00BF5A5F" w:rsidRDefault="00AA0841" w:rsidP="00AA0841">
            <w:pPr>
              <w:rPr>
                <w:rFonts w:hAnsi="Century Gothic"/>
                <w:bCs/>
                <w:color w:val="auto"/>
                <w:sz w:val="18"/>
                <w:szCs w:val="18"/>
              </w:rPr>
            </w:pPr>
            <w:r w:rsidRPr="00BF5A5F">
              <w:rPr>
                <w:rFonts w:hAnsi="Century Gothic"/>
                <w:bCs/>
                <w:color w:val="auto"/>
                <w:sz w:val="18"/>
                <w:szCs w:val="18"/>
              </w:rPr>
              <w:t>Waterbird breeding and habitat</w:t>
            </w:r>
          </w:p>
          <w:p w14:paraId="7A5A0D82" w14:textId="77777777" w:rsidR="00AA0841" w:rsidRPr="00BF5A5F" w:rsidRDefault="00AA0841" w:rsidP="00AA0841">
            <w:pPr>
              <w:rPr>
                <w:rFonts w:hAnsi="Century Gothic"/>
                <w:bCs/>
                <w:color w:val="auto"/>
                <w:sz w:val="18"/>
                <w:szCs w:val="18"/>
              </w:rPr>
            </w:pPr>
            <w:r w:rsidRPr="00BF5A5F">
              <w:rPr>
                <w:rFonts w:hAnsi="Century Gothic"/>
                <w:bCs/>
                <w:color w:val="auto"/>
                <w:sz w:val="18"/>
                <w:szCs w:val="18"/>
              </w:rPr>
              <w:t>Habitat and breeding ground for frogs</w:t>
            </w:r>
          </w:p>
          <w:p w14:paraId="6BC53254" w14:textId="77777777" w:rsidR="00AA0841" w:rsidRPr="00BF5A5F" w:rsidRDefault="00AA0841" w:rsidP="00AA0841">
            <w:pPr>
              <w:rPr>
                <w:rFonts w:hAnsi="Century Gothic"/>
                <w:bCs/>
                <w:color w:val="auto"/>
                <w:sz w:val="18"/>
                <w:szCs w:val="18"/>
              </w:rPr>
            </w:pPr>
            <w:r w:rsidRPr="00BF5A5F">
              <w:rPr>
                <w:rFonts w:hAnsi="Century Gothic"/>
                <w:bCs/>
                <w:color w:val="auto"/>
                <w:sz w:val="18"/>
                <w:szCs w:val="18"/>
              </w:rPr>
              <w:t>Native fish habitat</w:t>
            </w:r>
          </w:p>
        </w:tc>
        <w:tc>
          <w:tcPr>
            <w:tcW w:w="355" w:type="pct"/>
            <w:tcBorders>
              <w:top w:val="single" w:sz="12" w:space="0" w:color="auto"/>
            </w:tcBorders>
            <w:vAlign w:val="center"/>
          </w:tcPr>
          <w:p w14:paraId="0728B555" w14:textId="77777777" w:rsidR="00AA0841" w:rsidRPr="00BF5A5F" w:rsidRDefault="00AA0841" w:rsidP="00AA0841">
            <w:pPr>
              <w:rPr>
                <w:rFonts w:eastAsia="Century Gothic" w:hAnsi="Century Gothic"/>
                <w:color w:val="auto"/>
                <w:sz w:val="18"/>
                <w:szCs w:val="18"/>
              </w:rPr>
            </w:pPr>
            <w:r w:rsidRPr="00BF5A5F">
              <w:rPr>
                <w:color w:val="auto"/>
                <w:spacing w:val="-1"/>
                <w:sz w:val="18"/>
                <w:szCs w:val="18"/>
              </w:rPr>
              <w:t>Blue</w:t>
            </w:r>
            <w:r w:rsidRPr="00BF5A5F">
              <w:rPr>
                <w:color w:val="auto"/>
                <w:spacing w:val="-4"/>
                <w:sz w:val="18"/>
                <w:szCs w:val="18"/>
              </w:rPr>
              <w:t xml:space="preserve"> </w:t>
            </w:r>
            <w:r w:rsidRPr="00BF5A5F">
              <w:rPr>
                <w:color w:val="auto"/>
                <w:sz w:val="18"/>
                <w:szCs w:val="18"/>
              </w:rPr>
              <w:t>and</w:t>
            </w:r>
            <w:r w:rsidRPr="00BF5A5F">
              <w:rPr>
                <w:color w:val="auto"/>
                <w:spacing w:val="-4"/>
                <w:sz w:val="18"/>
                <w:szCs w:val="18"/>
              </w:rPr>
              <w:t xml:space="preserve"> </w:t>
            </w:r>
            <w:r w:rsidRPr="00BF5A5F">
              <w:rPr>
                <w:color w:val="auto"/>
                <w:spacing w:val="-1"/>
                <w:sz w:val="18"/>
                <w:szCs w:val="18"/>
              </w:rPr>
              <w:t>Purple</w:t>
            </w:r>
            <w:r w:rsidRPr="00BF5A5F">
              <w:rPr>
                <w:color w:val="auto"/>
                <w:spacing w:val="25"/>
                <w:sz w:val="18"/>
                <w:szCs w:val="18"/>
              </w:rPr>
              <w:t xml:space="preserve"> </w:t>
            </w:r>
            <w:r w:rsidRPr="00BF5A5F">
              <w:rPr>
                <w:color w:val="auto"/>
                <w:spacing w:val="-1"/>
                <w:sz w:val="18"/>
                <w:szCs w:val="18"/>
              </w:rPr>
              <w:t>inundation</w:t>
            </w:r>
            <w:r w:rsidRPr="00BF5A5F">
              <w:rPr>
                <w:color w:val="auto"/>
                <w:spacing w:val="28"/>
                <w:w w:val="99"/>
                <w:sz w:val="18"/>
                <w:szCs w:val="18"/>
              </w:rPr>
              <w:t xml:space="preserve"> </w:t>
            </w:r>
            <w:r w:rsidRPr="00BF5A5F">
              <w:rPr>
                <w:color w:val="auto"/>
                <w:sz w:val="18"/>
                <w:szCs w:val="18"/>
              </w:rPr>
              <w:t>zones</w:t>
            </w:r>
            <w:r w:rsidRPr="00BF5A5F">
              <w:rPr>
                <w:color w:val="auto"/>
                <w:spacing w:val="-1"/>
                <w:sz w:val="18"/>
                <w:szCs w:val="18"/>
              </w:rPr>
              <w:t xml:space="preserve"> </w:t>
            </w:r>
            <w:r w:rsidRPr="00BF5A5F">
              <w:rPr>
                <w:color w:val="auto"/>
                <w:spacing w:val="-4"/>
                <w:sz w:val="18"/>
                <w:szCs w:val="18"/>
              </w:rPr>
              <w:t>(4 </w:t>
            </w:r>
            <w:r w:rsidRPr="00BF5A5F">
              <w:rPr>
                <w:color w:val="auto"/>
                <w:sz w:val="18"/>
                <w:szCs w:val="18"/>
              </w:rPr>
              <w:t>000</w:t>
            </w:r>
            <w:r w:rsidRPr="00BF5A5F">
              <w:rPr>
                <w:color w:val="auto"/>
                <w:spacing w:val="-1"/>
                <w:sz w:val="18"/>
                <w:szCs w:val="18"/>
              </w:rPr>
              <w:t xml:space="preserve"> </w:t>
            </w:r>
            <w:r w:rsidRPr="00BF5A5F">
              <w:rPr>
                <w:color w:val="auto"/>
                <w:sz w:val="18"/>
                <w:szCs w:val="18"/>
              </w:rPr>
              <w:t>to</w:t>
            </w:r>
          </w:p>
          <w:p w14:paraId="3FC13840" w14:textId="77777777" w:rsidR="00AA0841" w:rsidRPr="00BF5A5F" w:rsidRDefault="00AA0841" w:rsidP="00AA0841">
            <w:pPr>
              <w:rPr>
                <w:rFonts w:hAnsi="Century Gothic"/>
                <w:color w:val="auto"/>
                <w:sz w:val="18"/>
                <w:szCs w:val="18"/>
              </w:rPr>
            </w:pPr>
            <w:r w:rsidRPr="00BF5A5F">
              <w:rPr>
                <w:color w:val="auto"/>
                <w:sz w:val="18"/>
                <w:szCs w:val="18"/>
              </w:rPr>
              <w:t>9 </w:t>
            </w:r>
            <w:r w:rsidRPr="00BF5A5F">
              <w:rPr>
                <w:color w:val="auto"/>
                <w:spacing w:val="-1"/>
                <w:sz w:val="18"/>
                <w:szCs w:val="18"/>
              </w:rPr>
              <w:t>000 ha)</w:t>
            </w:r>
          </w:p>
        </w:tc>
        <w:tc>
          <w:tcPr>
            <w:tcW w:w="743" w:type="pct"/>
            <w:tcBorders>
              <w:top w:val="single" w:sz="12" w:space="0" w:color="auto"/>
            </w:tcBorders>
            <w:shd w:val="clear" w:color="auto" w:fill="auto"/>
            <w:vAlign w:val="center"/>
          </w:tcPr>
          <w:p w14:paraId="7297B5D4" w14:textId="77777777" w:rsidR="00AA0841" w:rsidRPr="00BF5A5F" w:rsidRDefault="00AA0841" w:rsidP="00AA0841">
            <w:pPr>
              <w:rPr>
                <w:rFonts w:hAnsi="Century Gothic"/>
                <w:color w:val="auto"/>
                <w:sz w:val="18"/>
                <w:szCs w:val="18"/>
              </w:rPr>
            </w:pPr>
            <w:r w:rsidRPr="00BF5A5F">
              <w:rPr>
                <w:rFonts w:eastAsia="Century Gothic" w:hAnsi="Century Gothic"/>
                <w:color w:val="auto"/>
                <w:sz w:val="18"/>
                <w:szCs w:val="18"/>
              </w:rPr>
              <w:t>30</w:t>
            </w:r>
            <w:r w:rsidRPr="00BF5A5F">
              <w:rPr>
                <w:rFonts w:eastAsia="Century Gothic" w:hAnsi="Century Gothic"/>
                <w:color w:val="auto"/>
                <w:sz w:val="18"/>
                <w:szCs w:val="18"/>
              </w:rPr>
              <w:t>–</w:t>
            </w:r>
            <w:r w:rsidRPr="00BF5A5F">
              <w:rPr>
                <w:rFonts w:eastAsia="Century Gothic" w:hAnsi="Century Gothic"/>
                <w:color w:val="auto"/>
                <w:sz w:val="18"/>
                <w:szCs w:val="18"/>
              </w:rPr>
              <w:t>60</w:t>
            </w:r>
            <w:r w:rsidRPr="00BF5A5F">
              <w:rPr>
                <w:rFonts w:eastAsia="Century Gothic" w:hAnsi="Century Gothic"/>
                <w:color w:val="auto"/>
                <w:spacing w:val="-5"/>
                <w:sz w:val="18"/>
                <w:szCs w:val="18"/>
              </w:rPr>
              <w:t xml:space="preserve"> </w:t>
            </w:r>
            <w:r w:rsidRPr="00BF5A5F">
              <w:rPr>
                <w:rFonts w:eastAsia="Century Gothic" w:hAnsi="Century Gothic"/>
                <w:color w:val="auto"/>
                <w:sz w:val="18"/>
                <w:szCs w:val="18"/>
              </w:rPr>
              <w:t>GL</w:t>
            </w:r>
            <w:r w:rsidRPr="00BF5A5F">
              <w:rPr>
                <w:rFonts w:eastAsia="Century Gothic" w:hAnsi="Century Gothic"/>
                <w:color w:val="auto"/>
                <w:spacing w:val="-6"/>
                <w:sz w:val="18"/>
                <w:szCs w:val="18"/>
              </w:rPr>
              <w:t xml:space="preserve"> </w:t>
            </w:r>
            <w:r w:rsidRPr="00BF5A5F">
              <w:rPr>
                <w:rFonts w:eastAsia="Century Gothic" w:hAnsi="Century Gothic"/>
                <w:color w:val="auto"/>
                <w:sz w:val="18"/>
                <w:szCs w:val="18"/>
              </w:rPr>
              <w:t>at</w:t>
            </w:r>
            <w:r w:rsidRPr="00BF5A5F">
              <w:rPr>
                <w:rFonts w:eastAsia="Century Gothic" w:hAnsi="Century Gothic"/>
                <w:color w:val="auto"/>
                <w:spacing w:val="-6"/>
                <w:sz w:val="18"/>
                <w:szCs w:val="18"/>
              </w:rPr>
              <w:t xml:space="preserve"> </w:t>
            </w:r>
            <w:r w:rsidRPr="00BF5A5F">
              <w:rPr>
                <w:rFonts w:eastAsia="Century Gothic" w:hAnsi="Century Gothic"/>
                <w:color w:val="auto"/>
                <w:spacing w:val="-1"/>
                <w:sz w:val="18"/>
                <w:szCs w:val="18"/>
              </w:rPr>
              <w:t>Marebone</w:t>
            </w:r>
            <w:r w:rsidRPr="00BF5A5F">
              <w:rPr>
                <w:rFonts w:eastAsia="Century Gothic" w:hAnsi="Century Gothic"/>
                <w:color w:val="auto"/>
                <w:spacing w:val="-4"/>
                <w:sz w:val="18"/>
                <w:szCs w:val="18"/>
              </w:rPr>
              <w:t xml:space="preserve"> </w:t>
            </w:r>
            <w:r w:rsidRPr="00BF5A5F">
              <w:rPr>
                <w:rFonts w:eastAsia="Century Gothic" w:hAnsi="Century Gothic"/>
                <w:color w:val="auto"/>
                <w:spacing w:val="-1"/>
                <w:sz w:val="18"/>
                <w:szCs w:val="18"/>
              </w:rPr>
              <w:t>over</w:t>
            </w:r>
            <w:r w:rsidRPr="00BF5A5F">
              <w:rPr>
                <w:rFonts w:eastAsia="Century Gothic" w:hAnsi="Century Gothic"/>
                <w:color w:val="auto"/>
                <w:spacing w:val="27"/>
                <w:w w:val="99"/>
                <w:sz w:val="18"/>
                <w:szCs w:val="18"/>
              </w:rPr>
              <w:t xml:space="preserve"> 3</w:t>
            </w:r>
            <w:r w:rsidRPr="00BF5A5F">
              <w:rPr>
                <w:rFonts w:eastAsia="Century Gothic" w:hAnsi="Century Gothic"/>
                <w:color w:val="auto"/>
                <w:spacing w:val="-6"/>
                <w:sz w:val="18"/>
                <w:szCs w:val="18"/>
              </w:rPr>
              <w:t xml:space="preserve"> </w:t>
            </w:r>
            <w:r w:rsidRPr="00BF5A5F">
              <w:rPr>
                <w:rFonts w:eastAsia="Century Gothic" w:hAnsi="Century Gothic"/>
                <w:color w:val="auto"/>
                <w:spacing w:val="-1"/>
                <w:sz w:val="18"/>
                <w:szCs w:val="18"/>
              </w:rPr>
              <w:t>months</w:t>
            </w:r>
            <w:r w:rsidRPr="00BF5A5F">
              <w:rPr>
                <w:rFonts w:eastAsia="Century Gothic" w:hAnsi="Century Gothic"/>
                <w:color w:val="auto"/>
                <w:spacing w:val="-6"/>
                <w:sz w:val="18"/>
                <w:szCs w:val="18"/>
              </w:rPr>
              <w:t xml:space="preserve"> </w:t>
            </w:r>
            <w:r w:rsidRPr="00BF5A5F">
              <w:rPr>
                <w:rFonts w:eastAsia="Century Gothic" w:hAnsi="Century Gothic"/>
                <w:color w:val="auto"/>
                <w:spacing w:val="-1"/>
                <w:sz w:val="18"/>
                <w:szCs w:val="18"/>
              </w:rPr>
              <w:t>between</w:t>
            </w:r>
            <w:r w:rsidRPr="00BF5A5F">
              <w:rPr>
                <w:rFonts w:eastAsia="Century Gothic" w:hAnsi="Century Gothic"/>
                <w:color w:val="auto"/>
                <w:spacing w:val="-5"/>
                <w:sz w:val="18"/>
                <w:szCs w:val="18"/>
              </w:rPr>
              <w:t xml:space="preserve"> </w:t>
            </w:r>
            <w:r w:rsidRPr="00BF5A5F">
              <w:rPr>
                <w:rFonts w:eastAsia="Century Gothic" w:hAnsi="Century Gothic"/>
                <w:color w:val="auto"/>
                <w:sz w:val="18"/>
                <w:szCs w:val="18"/>
              </w:rPr>
              <w:t>June</w:t>
            </w:r>
            <w:r w:rsidRPr="00BF5A5F">
              <w:rPr>
                <w:rFonts w:eastAsia="Century Gothic" w:hAnsi="Century Gothic"/>
                <w:color w:val="auto"/>
                <w:spacing w:val="-5"/>
                <w:sz w:val="18"/>
                <w:szCs w:val="18"/>
              </w:rPr>
              <w:t xml:space="preserve"> </w:t>
            </w:r>
            <w:r w:rsidRPr="00BF5A5F">
              <w:rPr>
                <w:rFonts w:eastAsia="Century Gothic" w:hAnsi="Century Gothic"/>
                <w:color w:val="auto"/>
                <w:spacing w:val="-1"/>
                <w:sz w:val="18"/>
                <w:szCs w:val="18"/>
              </w:rPr>
              <w:t>and</w:t>
            </w:r>
            <w:r w:rsidRPr="00BF5A5F">
              <w:rPr>
                <w:rFonts w:eastAsia="Century Gothic" w:hAnsi="Century Gothic"/>
                <w:color w:val="auto"/>
                <w:spacing w:val="26"/>
                <w:sz w:val="18"/>
                <w:szCs w:val="18"/>
              </w:rPr>
              <w:t xml:space="preserve"> </w:t>
            </w:r>
            <w:r w:rsidRPr="00BF5A5F">
              <w:rPr>
                <w:rFonts w:eastAsia="Century Gothic" w:hAnsi="Century Gothic"/>
                <w:color w:val="auto"/>
                <w:spacing w:val="-1"/>
                <w:sz w:val="18"/>
                <w:szCs w:val="18"/>
              </w:rPr>
              <w:t>April</w:t>
            </w:r>
            <w:r w:rsidRPr="00BF5A5F">
              <w:rPr>
                <w:rFonts w:eastAsia="Century Gothic" w:hAnsi="Century Gothic"/>
                <w:color w:val="auto"/>
                <w:spacing w:val="-3"/>
                <w:sz w:val="18"/>
                <w:szCs w:val="18"/>
              </w:rPr>
              <w:t xml:space="preserve"> </w:t>
            </w:r>
            <w:r w:rsidRPr="00BF5A5F">
              <w:rPr>
                <w:rFonts w:eastAsia="Century Gothic" w:hAnsi="Century Gothic"/>
                <w:color w:val="auto"/>
                <w:spacing w:val="-1"/>
                <w:sz w:val="18"/>
                <w:szCs w:val="18"/>
              </w:rPr>
              <w:t>to</w:t>
            </w:r>
            <w:r w:rsidRPr="00BF5A5F">
              <w:rPr>
                <w:rFonts w:eastAsia="Century Gothic" w:hAnsi="Century Gothic"/>
                <w:color w:val="auto"/>
                <w:spacing w:val="-3"/>
                <w:sz w:val="18"/>
                <w:szCs w:val="18"/>
              </w:rPr>
              <w:t xml:space="preserve"> </w:t>
            </w:r>
            <w:r w:rsidRPr="00BF5A5F">
              <w:rPr>
                <w:rFonts w:eastAsia="Century Gothic" w:hAnsi="Century Gothic"/>
                <w:color w:val="auto"/>
                <w:spacing w:val="-1"/>
                <w:sz w:val="18"/>
                <w:szCs w:val="18"/>
              </w:rPr>
              <w:t>inundate</w:t>
            </w:r>
            <w:r w:rsidRPr="00BF5A5F">
              <w:rPr>
                <w:rFonts w:eastAsia="Century Gothic" w:hAnsi="Century Gothic"/>
                <w:color w:val="auto"/>
                <w:spacing w:val="-3"/>
                <w:sz w:val="18"/>
                <w:szCs w:val="18"/>
              </w:rPr>
              <w:t xml:space="preserve"> </w:t>
            </w:r>
            <w:r w:rsidRPr="00BF5A5F">
              <w:rPr>
                <w:rFonts w:eastAsia="Century Gothic" w:hAnsi="Century Gothic"/>
                <w:color w:val="auto"/>
                <w:sz w:val="18"/>
                <w:szCs w:val="18"/>
              </w:rPr>
              <w:t>reed</w:t>
            </w:r>
            <w:r w:rsidRPr="00BF5A5F">
              <w:rPr>
                <w:rFonts w:eastAsia="Century Gothic" w:hAnsi="Century Gothic"/>
                <w:color w:val="auto"/>
                <w:spacing w:val="-4"/>
                <w:sz w:val="18"/>
                <w:szCs w:val="18"/>
              </w:rPr>
              <w:t xml:space="preserve"> </w:t>
            </w:r>
            <w:r w:rsidRPr="00BF5A5F">
              <w:rPr>
                <w:rFonts w:eastAsia="Century Gothic" w:hAnsi="Century Gothic"/>
                <w:color w:val="auto"/>
                <w:spacing w:val="-1"/>
                <w:sz w:val="18"/>
                <w:szCs w:val="18"/>
              </w:rPr>
              <w:t>beds,</w:t>
            </w:r>
            <w:r w:rsidRPr="00BF5A5F">
              <w:rPr>
                <w:rFonts w:eastAsia="Century Gothic" w:hAnsi="Century Gothic"/>
                <w:color w:val="auto"/>
                <w:spacing w:val="28"/>
                <w:sz w:val="18"/>
                <w:szCs w:val="18"/>
              </w:rPr>
              <w:t xml:space="preserve"> </w:t>
            </w:r>
            <w:r w:rsidRPr="00BF5A5F">
              <w:rPr>
                <w:rFonts w:eastAsia="Century Gothic" w:hAnsi="Century Gothic"/>
                <w:color w:val="auto"/>
                <w:spacing w:val="-1"/>
                <w:sz w:val="18"/>
                <w:szCs w:val="18"/>
              </w:rPr>
              <w:t>lagoons,</w:t>
            </w:r>
            <w:r w:rsidRPr="00BF5A5F">
              <w:rPr>
                <w:rFonts w:eastAsia="Century Gothic" w:hAnsi="Century Gothic"/>
                <w:color w:val="auto"/>
                <w:spacing w:val="-5"/>
                <w:sz w:val="18"/>
                <w:szCs w:val="18"/>
              </w:rPr>
              <w:t xml:space="preserve"> </w:t>
            </w:r>
            <w:r w:rsidRPr="00BF5A5F">
              <w:rPr>
                <w:rFonts w:eastAsia="Century Gothic" w:hAnsi="Century Gothic"/>
                <w:color w:val="auto"/>
                <w:spacing w:val="-1"/>
                <w:sz w:val="18"/>
                <w:szCs w:val="18"/>
              </w:rPr>
              <w:t>mixed</w:t>
            </w:r>
            <w:r w:rsidRPr="00BF5A5F">
              <w:rPr>
                <w:rFonts w:eastAsia="Century Gothic" w:hAnsi="Century Gothic"/>
                <w:color w:val="auto"/>
                <w:spacing w:val="-6"/>
                <w:sz w:val="18"/>
                <w:szCs w:val="18"/>
              </w:rPr>
              <w:t xml:space="preserve"> </w:t>
            </w:r>
            <w:r w:rsidRPr="00BF5A5F">
              <w:rPr>
                <w:rFonts w:eastAsia="Century Gothic" w:hAnsi="Century Gothic"/>
                <w:color w:val="auto"/>
                <w:spacing w:val="-1"/>
                <w:sz w:val="18"/>
                <w:szCs w:val="18"/>
              </w:rPr>
              <w:t>marsh,</w:t>
            </w:r>
            <w:r w:rsidRPr="00BF5A5F">
              <w:rPr>
                <w:rFonts w:eastAsia="Century Gothic" w:hAnsi="Century Gothic"/>
                <w:color w:val="auto"/>
                <w:spacing w:val="-6"/>
                <w:sz w:val="18"/>
                <w:szCs w:val="18"/>
              </w:rPr>
              <w:t xml:space="preserve"> </w:t>
            </w:r>
            <w:r w:rsidRPr="00BF5A5F">
              <w:rPr>
                <w:rFonts w:eastAsia="Century Gothic" w:hAnsi="Century Gothic"/>
                <w:color w:val="auto"/>
                <w:sz w:val="18"/>
                <w:szCs w:val="18"/>
              </w:rPr>
              <w:t>and</w:t>
            </w:r>
            <w:r w:rsidRPr="00BF5A5F">
              <w:rPr>
                <w:rFonts w:eastAsia="Century Gothic" w:hAnsi="Century Gothic"/>
                <w:color w:val="auto"/>
                <w:spacing w:val="30"/>
                <w:sz w:val="18"/>
                <w:szCs w:val="18"/>
              </w:rPr>
              <w:t xml:space="preserve"> </w:t>
            </w:r>
            <w:r w:rsidRPr="00BF5A5F">
              <w:rPr>
                <w:rFonts w:eastAsia="Century Gothic" w:hAnsi="Century Gothic"/>
                <w:color w:val="auto"/>
                <w:spacing w:val="-1"/>
                <w:sz w:val="18"/>
                <w:szCs w:val="18"/>
              </w:rPr>
              <w:t>water</w:t>
            </w:r>
            <w:r w:rsidRPr="00BF5A5F">
              <w:rPr>
                <w:rFonts w:eastAsia="Century Gothic" w:hAnsi="Century Gothic"/>
                <w:color w:val="auto"/>
                <w:spacing w:val="-9"/>
                <w:sz w:val="18"/>
                <w:szCs w:val="18"/>
              </w:rPr>
              <w:t xml:space="preserve"> </w:t>
            </w:r>
            <w:r w:rsidRPr="00BF5A5F">
              <w:rPr>
                <w:rFonts w:eastAsia="Century Gothic" w:hAnsi="Century Gothic"/>
                <w:color w:val="auto"/>
                <w:sz w:val="18"/>
                <w:szCs w:val="18"/>
              </w:rPr>
              <w:t>couch.</w:t>
            </w:r>
          </w:p>
        </w:tc>
        <w:tc>
          <w:tcPr>
            <w:tcW w:w="485" w:type="pct"/>
            <w:tcBorders>
              <w:top w:val="single" w:sz="12" w:space="0" w:color="auto"/>
            </w:tcBorders>
            <w:shd w:val="clear" w:color="auto" w:fill="auto"/>
            <w:vAlign w:val="center"/>
          </w:tcPr>
          <w:p w14:paraId="41278A44" w14:textId="77777777" w:rsidR="00AA0841" w:rsidRPr="00BF5A5F" w:rsidRDefault="00AA0841" w:rsidP="00AA0841">
            <w:pPr>
              <w:rPr>
                <w:color w:val="auto"/>
                <w:spacing w:val="23"/>
                <w:sz w:val="18"/>
                <w:szCs w:val="18"/>
              </w:rPr>
            </w:pPr>
            <w:r w:rsidRPr="00BF5A5F">
              <w:rPr>
                <w:color w:val="auto"/>
                <w:spacing w:val="-1"/>
                <w:sz w:val="18"/>
                <w:szCs w:val="18"/>
              </w:rPr>
              <w:t>Ideally:</w:t>
            </w:r>
            <w:r w:rsidRPr="00BF5A5F">
              <w:rPr>
                <w:color w:val="auto"/>
                <w:spacing w:val="23"/>
                <w:sz w:val="18"/>
                <w:szCs w:val="18"/>
              </w:rPr>
              <w:t xml:space="preserve"> </w:t>
            </w:r>
            <w:r w:rsidRPr="00BF5A5F">
              <w:rPr>
                <w:color w:val="auto"/>
                <w:spacing w:val="-1"/>
                <w:sz w:val="18"/>
                <w:szCs w:val="18"/>
              </w:rPr>
              <w:t>annually</w:t>
            </w:r>
          </w:p>
          <w:p w14:paraId="24F01D1C" w14:textId="77777777" w:rsidR="00AA0841" w:rsidRPr="00BF5A5F" w:rsidRDefault="00AA0841" w:rsidP="00AA0841">
            <w:pPr>
              <w:rPr>
                <w:rFonts w:hAnsi="Century Gothic"/>
                <w:color w:val="auto"/>
                <w:sz w:val="18"/>
                <w:szCs w:val="18"/>
              </w:rPr>
            </w:pPr>
            <w:r w:rsidRPr="00BF5A5F">
              <w:rPr>
                <w:color w:val="auto"/>
                <w:spacing w:val="-1"/>
                <w:sz w:val="18"/>
                <w:szCs w:val="18"/>
              </w:rPr>
              <w:t>(Max</w:t>
            </w:r>
            <w:r w:rsidRPr="00BF5A5F">
              <w:rPr>
                <w:color w:val="auto"/>
                <w:spacing w:val="-6"/>
                <w:sz w:val="18"/>
                <w:szCs w:val="18"/>
              </w:rPr>
              <w:t xml:space="preserve"> </w:t>
            </w:r>
            <w:r w:rsidRPr="00BF5A5F">
              <w:rPr>
                <w:color w:val="auto"/>
                <w:spacing w:val="-1"/>
                <w:sz w:val="18"/>
                <w:szCs w:val="18"/>
              </w:rPr>
              <w:t>interval:</w:t>
            </w:r>
            <w:r w:rsidRPr="00BF5A5F">
              <w:rPr>
                <w:color w:val="auto"/>
                <w:spacing w:val="25"/>
                <w:sz w:val="18"/>
                <w:szCs w:val="18"/>
              </w:rPr>
              <w:t xml:space="preserve"> </w:t>
            </w:r>
            <w:r w:rsidRPr="00BF5A5F">
              <w:rPr>
                <w:color w:val="auto"/>
                <w:sz w:val="18"/>
                <w:szCs w:val="18"/>
              </w:rPr>
              <w:t>2</w:t>
            </w:r>
            <w:r w:rsidRPr="00BF5A5F">
              <w:rPr>
                <w:color w:val="auto"/>
                <w:spacing w:val="-3"/>
                <w:sz w:val="18"/>
                <w:szCs w:val="18"/>
              </w:rPr>
              <w:t xml:space="preserve"> </w:t>
            </w:r>
            <w:r w:rsidRPr="00BF5A5F">
              <w:rPr>
                <w:color w:val="auto"/>
                <w:spacing w:val="-1"/>
                <w:sz w:val="18"/>
                <w:szCs w:val="18"/>
              </w:rPr>
              <w:t>years)</w:t>
            </w:r>
          </w:p>
        </w:tc>
        <w:tc>
          <w:tcPr>
            <w:tcW w:w="1356" w:type="pct"/>
            <w:tcBorders>
              <w:top w:val="single" w:sz="12" w:space="0" w:color="auto"/>
            </w:tcBorders>
            <w:shd w:val="clear" w:color="auto" w:fill="auto"/>
            <w:vAlign w:val="center"/>
          </w:tcPr>
          <w:p w14:paraId="2A997CD0" w14:textId="77777777" w:rsidR="00AA0841" w:rsidRPr="00BF5A5F" w:rsidRDefault="00AA0841" w:rsidP="00AA0841">
            <w:pPr>
              <w:spacing w:after="60"/>
              <w:jc w:val="center"/>
              <w:rPr>
                <w:rFonts w:cstheme="minorHAnsi"/>
                <w:bCs/>
                <w:color w:val="auto"/>
                <w:sz w:val="18"/>
                <w:szCs w:val="18"/>
              </w:rPr>
            </w:pPr>
            <w:r w:rsidRPr="00BF5A5F">
              <w:rPr>
                <w:rFonts w:cstheme="minorHAnsi"/>
                <w:bCs/>
                <w:color w:val="auto"/>
                <w:sz w:val="18"/>
                <w:szCs w:val="18"/>
              </w:rPr>
              <w:t>Demand has been met in most parts of the Marshes in most years since 2012–13. This demand was likely met in the Northern and Southern Marshes in 2019–20, based on the flow volume, inundation extent and duration. Rainfall and supplementary events contributed flows (~132 GL of water was recorded at Marebone over three months to late April, with 106 GL being available to the Marshes). Approximately 49 GL reached Pillicawarrina and the Northern Marshes. However, in the Eastern Marshes, despite good rainfall, lower inflows were received.</w:t>
            </w:r>
          </w:p>
          <w:p w14:paraId="5D55EF88" w14:textId="77777777" w:rsidR="00AA0841" w:rsidRPr="00BF5A5F" w:rsidRDefault="00AA0841" w:rsidP="00AA0841">
            <w:pPr>
              <w:spacing w:after="60"/>
              <w:jc w:val="center"/>
              <w:rPr>
                <w:rFonts w:hAnsi="Century Gothic"/>
                <w:bCs/>
                <w:color w:val="auto"/>
                <w:sz w:val="18"/>
                <w:szCs w:val="18"/>
              </w:rPr>
            </w:pPr>
            <w:r w:rsidRPr="00BF5A5F">
              <w:rPr>
                <w:rFonts w:cstheme="minorHAnsi"/>
                <w:bCs/>
                <w:color w:val="auto"/>
                <w:sz w:val="18"/>
                <w:szCs w:val="18"/>
              </w:rPr>
              <w:t>Overall, the demand for water in 2020–21 has been assessed as high, to support the recovery and growth of core wetland vegetation, and to provide habitat for a range of aquatic species. This is based on the annual need for water, the prolonged extreme dry conditions preceding inflows in autumn 2020, and inflows occurring later in the growing season when temperatures were cooler. Encroachment of dryland species and high grazing pressure also intensifies the need for water in 2020–21, to aid recovery of wetland vegetation.</w:t>
            </w:r>
          </w:p>
        </w:tc>
        <w:tc>
          <w:tcPr>
            <w:tcW w:w="452" w:type="pct"/>
            <w:tcBorders>
              <w:top w:val="single" w:sz="12" w:space="0" w:color="auto"/>
            </w:tcBorders>
            <w:shd w:val="clear" w:color="auto" w:fill="FF0000"/>
            <w:vAlign w:val="center"/>
          </w:tcPr>
          <w:p w14:paraId="44D3288C"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High</w:t>
            </w:r>
          </w:p>
        </w:tc>
        <w:tc>
          <w:tcPr>
            <w:tcW w:w="679" w:type="pct"/>
            <w:tcBorders>
              <w:top w:val="single" w:sz="12" w:space="0" w:color="auto"/>
            </w:tcBorders>
            <w:shd w:val="clear" w:color="auto" w:fill="365F91" w:themeFill="accent1" w:themeFillShade="BF"/>
            <w:vAlign w:val="center"/>
          </w:tcPr>
          <w:p w14:paraId="73C74B2A"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A high priority for CEW under very low to high water resource availability scenarios.</w:t>
            </w:r>
          </w:p>
        </w:tc>
        <w:tc>
          <w:tcPr>
            <w:tcW w:w="513" w:type="pct"/>
            <w:tcBorders>
              <w:top w:val="single" w:sz="12" w:space="0" w:color="auto"/>
              <w:right w:val="single" w:sz="12" w:space="0" w:color="auto"/>
            </w:tcBorders>
            <w:shd w:val="clear" w:color="auto" w:fill="FF0000"/>
            <w:vAlign w:val="center"/>
          </w:tcPr>
          <w:p w14:paraId="3F9B6EF6"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High</w:t>
            </w:r>
          </w:p>
        </w:tc>
      </w:tr>
      <w:tr w:rsidR="00AA0841" w:rsidRPr="00DD2626" w14:paraId="3E0C62FE" w14:textId="77777777" w:rsidTr="00AA0841">
        <w:trPr>
          <w:trHeight w:val="4110"/>
        </w:trPr>
        <w:tc>
          <w:tcPr>
            <w:tcW w:w="417" w:type="pct"/>
            <w:vMerge/>
            <w:tcBorders>
              <w:left w:val="single" w:sz="12" w:space="0" w:color="auto"/>
            </w:tcBorders>
            <w:shd w:val="clear" w:color="auto" w:fill="auto"/>
          </w:tcPr>
          <w:p w14:paraId="214593A7" w14:textId="77777777" w:rsidR="00AA0841" w:rsidRPr="00BF5A5F" w:rsidRDefault="00AA0841" w:rsidP="00AA0841">
            <w:pPr>
              <w:rPr>
                <w:rFonts w:hAnsi="Century Gothic"/>
                <w:bCs/>
                <w:color w:val="auto"/>
                <w:sz w:val="18"/>
                <w:szCs w:val="18"/>
              </w:rPr>
            </w:pPr>
          </w:p>
        </w:tc>
        <w:tc>
          <w:tcPr>
            <w:tcW w:w="355" w:type="pct"/>
            <w:vAlign w:val="center"/>
          </w:tcPr>
          <w:p w14:paraId="053E257E" w14:textId="77777777" w:rsidR="00AA0841" w:rsidRPr="00BF5A5F" w:rsidRDefault="00AA0841" w:rsidP="00AA0841">
            <w:pPr>
              <w:rPr>
                <w:rFonts w:hAnsi="Century Gothic"/>
                <w:color w:val="auto"/>
                <w:sz w:val="18"/>
                <w:szCs w:val="18"/>
              </w:rPr>
            </w:pPr>
            <w:r w:rsidRPr="00BF5A5F">
              <w:rPr>
                <w:color w:val="auto"/>
                <w:sz w:val="18"/>
                <w:szCs w:val="18"/>
              </w:rPr>
              <w:t>Pink</w:t>
            </w:r>
            <w:r w:rsidRPr="00BF5A5F">
              <w:rPr>
                <w:color w:val="auto"/>
                <w:spacing w:val="-11"/>
                <w:sz w:val="18"/>
                <w:szCs w:val="18"/>
              </w:rPr>
              <w:t xml:space="preserve"> </w:t>
            </w:r>
            <w:r w:rsidRPr="00BF5A5F">
              <w:rPr>
                <w:color w:val="auto"/>
                <w:spacing w:val="-1"/>
                <w:sz w:val="18"/>
                <w:szCs w:val="18"/>
              </w:rPr>
              <w:t>inundation</w:t>
            </w:r>
            <w:r w:rsidRPr="00BF5A5F">
              <w:rPr>
                <w:color w:val="auto"/>
                <w:spacing w:val="28"/>
                <w:w w:val="99"/>
                <w:sz w:val="18"/>
                <w:szCs w:val="18"/>
              </w:rPr>
              <w:t xml:space="preserve"> </w:t>
            </w:r>
            <w:r w:rsidRPr="00BF5A5F">
              <w:rPr>
                <w:color w:val="auto"/>
                <w:sz w:val="18"/>
                <w:szCs w:val="18"/>
              </w:rPr>
              <w:t>zone</w:t>
            </w:r>
            <w:r w:rsidRPr="00BF5A5F">
              <w:rPr>
                <w:color w:val="auto"/>
                <w:spacing w:val="1"/>
                <w:sz w:val="18"/>
                <w:szCs w:val="18"/>
              </w:rPr>
              <w:t xml:space="preserve"> </w:t>
            </w:r>
            <w:r w:rsidRPr="00BF5A5F">
              <w:rPr>
                <w:color w:val="auto"/>
                <w:spacing w:val="-3"/>
                <w:sz w:val="18"/>
                <w:szCs w:val="18"/>
              </w:rPr>
              <w:t>(19</w:t>
            </w:r>
            <w:r w:rsidRPr="00BF5A5F">
              <w:rPr>
                <w:color w:val="auto"/>
                <w:sz w:val="18"/>
                <w:szCs w:val="18"/>
              </w:rPr>
              <w:t> 000</w:t>
            </w:r>
            <w:r w:rsidRPr="00BF5A5F">
              <w:rPr>
                <w:color w:val="auto"/>
                <w:spacing w:val="-4"/>
                <w:sz w:val="18"/>
                <w:szCs w:val="18"/>
              </w:rPr>
              <w:t> </w:t>
            </w:r>
            <w:r w:rsidRPr="00BF5A5F">
              <w:rPr>
                <w:color w:val="auto"/>
                <w:spacing w:val="-1"/>
                <w:sz w:val="18"/>
                <w:szCs w:val="18"/>
              </w:rPr>
              <w:t>ha)</w:t>
            </w:r>
          </w:p>
        </w:tc>
        <w:tc>
          <w:tcPr>
            <w:tcW w:w="743" w:type="pct"/>
            <w:shd w:val="clear" w:color="auto" w:fill="auto"/>
            <w:vAlign w:val="center"/>
          </w:tcPr>
          <w:p w14:paraId="3C31129D" w14:textId="77777777" w:rsidR="00AA0841" w:rsidRPr="00BF5A5F" w:rsidRDefault="00AA0841" w:rsidP="00AA0841">
            <w:pPr>
              <w:rPr>
                <w:rFonts w:hAnsi="Century Gothic"/>
                <w:color w:val="auto"/>
                <w:sz w:val="18"/>
                <w:szCs w:val="18"/>
              </w:rPr>
            </w:pPr>
            <w:r w:rsidRPr="00BF5A5F">
              <w:rPr>
                <w:color w:val="auto"/>
                <w:sz w:val="18"/>
                <w:szCs w:val="18"/>
              </w:rPr>
              <w:t>100</w:t>
            </w:r>
            <w:r w:rsidRPr="00BF5A5F">
              <w:rPr>
                <w:color w:val="auto"/>
                <w:spacing w:val="-5"/>
                <w:sz w:val="18"/>
                <w:szCs w:val="18"/>
              </w:rPr>
              <w:t xml:space="preserve"> </w:t>
            </w:r>
            <w:r w:rsidRPr="00BF5A5F">
              <w:rPr>
                <w:color w:val="auto"/>
                <w:spacing w:val="-1"/>
                <w:sz w:val="18"/>
                <w:szCs w:val="18"/>
              </w:rPr>
              <w:t>GL</w:t>
            </w:r>
            <w:r w:rsidRPr="00BF5A5F">
              <w:rPr>
                <w:color w:val="auto"/>
                <w:spacing w:val="-3"/>
                <w:sz w:val="18"/>
                <w:szCs w:val="18"/>
              </w:rPr>
              <w:t xml:space="preserve"> </w:t>
            </w:r>
            <w:r w:rsidRPr="00BF5A5F">
              <w:rPr>
                <w:color w:val="auto"/>
                <w:spacing w:val="-1"/>
                <w:sz w:val="18"/>
                <w:szCs w:val="18"/>
              </w:rPr>
              <w:t>at</w:t>
            </w:r>
            <w:r w:rsidRPr="00BF5A5F">
              <w:rPr>
                <w:color w:val="auto"/>
                <w:spacing w:val="-5"/>
                <w:sz w:val="18"/>
                <w:szCs w:val="18"/>
              </w:rPr>
              <w:t xml:space="preserve"> </w:t>
            </w:r>
            <w:r w:rsidRPr="00BF5A5F">
              <w:rPr>
                <w:color w:val="auto"/>
                <w:spacing w:val="-1"/>
                <w:sz w:val="18"/>
                <w:szCs w:val="18"/>
              </w:rPr>
              <w:t>Marebone</w:t>
            </w:r>
            <w:r w:rsidRPr="00BF5A5F">
              <w:rPr>
                <w:color w:val="auto"/>
                <w:spacing w:val="-3"/>
                <w:sz w:val="18"/>
                <w:szCs w:val="18"/>
              </w:rPr>
              <w:t xml:space="preserve"> </w:t>
            </w:r>
            <w:r w:rsidRPr="00BF5A5F">
              <w:rPr>
                <w:color w:val="auto"/>
                <w:spacing w:val="-1"/>
                <w:sz w:val="18"/>
                <w:szCs w:val="18"/>
              </w:rPr>
              <w:t>over</w:t>
            </w:r>
            <w:r w:rsidRPr="00BF5A5F">
              <w:rPr>
                <w:color w:val="auto"/>
                <w:spacing w:val="-5"/>
                <w:sz w:val="18"/>
                <w:szCs w:val="18"/>
              </w:rPr>
              <w:t xml:space="preserve"> 3</w:t>
            </w:r>
            <w:r w:rsidRPr="00BF5A5F">
              <w:rPr>
                <w:color w:val="auto"/>
                <w:spacing w:val="30"/>
                <w:sz w:val="18"/>
                <w:szCs w:val="18"/>
              </w:rPr>
              <w:t xml:space="preserve"> </w:t>
            </w:r>
            <w:r w:rsidRPr="00BF5A5F">
              <w:rPr>
                <w:color w:val="auto"/>
                <w:spacing w:val="-1"/>
                <w:sz w:val="18"/>
                <w:szCs w:val="18"/>
              </w:rPr>
              <w:t>months</w:t>
            </w:r>
            <w:r w:rsidRPr="00BF5A5F">
              <w:rPr>
                <w:color w:val="auto"/>
                <w:spacing w:val="-8"/>
                <w:sz w:val="18"/>
                <w:szCs w:val="18"/>
              </w:rPr>
              <w:t xml:space="preserve"> </w:t>
            </w:r>
            <w:r w:rsidRPr="00BF5A5F">
              <w:rPr>
                <w:color w:val="auto"/>
                <w:spacing w:val="-1"/>
                <w:sz w:val="18"/>
                <w:szCs w:val="18"/>
              </w:rPr>
              <w:t>between</w:t>
            </w:r>
            <w:r w:rsidRPr="00BF5A5F">
              <w:rPr>
                <w:color w:val="auto"/>
                <w:spacing w:val="-7"/>
                <w:sz w:val="18"/>
                <w:szCs w:val="18"/>
              </w:rPr>
              <w:t xml:space="preserve"> </w:t>
            </w:r>
            <w:r w:rsidRPr="00BF5A5F">
              <w:rPr>
                <w:color w:val="auto"/>
                <w:sz w:val="18"/>
                <w:szCs w:val="18"/>
              </w:rPr>
              <w:t>June</w:t>
            </w:r>
            <w:r w:rsidRPr="00BF5A5F">
              <w:rPr>
                <w:color w:val="auto"/>
                <w:spacing w:val="-7"/>
                <w:sz w:val="18"/>
                <w:szCs w:val="18"/>
              </w:rPr>
              <w:t xml:space="preserve"> </w:t>
            </w:r>
            <w:r w:rsidRPr="00BF5A5F">
              <w:rPr>
                <w:color w:val="auto"/>
                <w:sz w:val="18"/>
                <w:szCs w:val="18"/>
              </w:rPr>
              <w:t>and</w:t>
            </w:r>
            <w:r w:rsidRPr="00BF5A5F">
              <w:rPr>
                <w:color w:val="auto"/>
                <w:spacing w:val="25"/>
                <w:sz w:val="18"/>
                <w:szCs w:val="18"/>
              </w:rPr>
              <w:t xml:space="preserve"> </w:t>
            </w:r>
            <w:r w:rsidRPr="00BF5A5F">
              <w:rPr>
                <w:color w:val="auto"/>
                <w:spacing w:val="-1"/>
                <w:sz w:val="18"/>
                <w:szCs w:val="18"/>
              </w:rPr>
              <w:t>April</w:t>
            </w:r>
            <w:r w:rsidRPr="00BF5A5F">
              <w:rPr>
                <w:color w:val="auto"/>
                <w:spacing w:val="-4"/>
                <w:sz w:val="18"/>
                <w:szCs w:val="18"/>
              </w:rPr>
              <w:t xml:space="preserve"> </w:t>
            </w:r>
            <w:r w:rsidRPr="00BF5A5F">
              <w:rPr>
                <w:color w:val="auto"/>
                <w:spacing w:val="-1"/>
                <w:sz w:val="18"/>
                <w:szCs w:val="18"/>
              </w:rPr>
              <w:t>to</w:t>
            </w:r>
            <w:r w:rsidRPr="00BF5A5F">
              <w:rPr>
                <w:color w:val="auto"/>
                <w:spacing w:val="-4"/>
                <w:sz w:val="18"/>
                <w:szCs w:val="18"/>
              </w:rPr>
              <w:t xml:space="preserve"> </w:t>
            </w:r>
            <w:r w:rsidRPr="00BF5A5F">
              <w:rPr>
                <w:color w:val="auto"/>
                <w:spacing w:val="-1"/>
                <w:sz w:val="18"/>
                <w:szCs w:val="18"/>
              </w:rPr>
              <w:t>inundate</w:t>
            </w:r>
            <w:r w:rsidRPr="00BF5A5F">
              <w:rPr>
                <w:color w:val="auto"/>
                <w:spacing w:val="-4"/>
                <w:sz w:val="18"/>
                <w:szCs w:val="18"/>
              </w:rPr>
              <w:t xml:space="preserve"> </w:t>
            </w:r>
            <w:r w:rsidRPr="00BF5A5F">
              <w:rPr>
                <w:color w:val="auto"/>
                <w:spacing w:val="-1"/>
                <w:sz w:val="18"/>
                <w:szCs w:val="18"/>
              </w:rPr>
              <w:t>reeds,</w:t>
            </w:r>
            <w:r w:rsidRPr="00BF5A5F">
              <w:rPr>
                <w:color w:val="auto"/>
                <w:spacing w:val="20"/>
                <w:sz w:val="18"/>
                <w:szCs w:val="18"/>
              </w:rPr>
              <w:t xml:space="preserve"> </w:t>
            </w:r>
            <w:r w:rsidRPr="00BF5A5F">
              <w:rPr>
                <w:color w:val="auto"/>
                <w:spacing w:val="-1"/>
                <w:sz w:val="18"/>
                <w:szCs w:val="18"/>
              </w:rPr>
              <w:t>water</w:t>
            </w:r>
            <w:r w:rsidRPr="00BF5A5F">
              <w:rPr>
                <w:color w:val="auto"/>
                <w:spacing w:val="-6"/>
                <w:sz w:val="18"/>
                <w:szCs w:val="18"/>
              </w:rPr>
              <w:t xml:space="preserve"> </w:t>
            </w:r>
            <w:r w:rsidRPr="00BF5A5F">
              <w:rPr>
                <w:color w:val="auto"/>
                <w:sz w:val="18"/>
                <w:szCs w:val="18"/>
              </w:rPr>
              <w:t>couch,</w:t>
            </w:r>
            <w:r w:rsidRPr="00BF5A5F">
              <w:rPr>
                <w:color w:val="auto"/>
                <w:spacing w:val="-7"/>
                <w:sz w:val="18"/>
                <w:szCs w:val="18"/>
              </w:rPr>
              <w:t xml:space="preserve"> </w:t>
            </w:r>
            <w:r w:rsidRPr="00BF5A5F">
              <w:rPr>
                <w:color w:val="auto"/>
                <w:spacing w:val="-1"/>
                <w:sz w:val="18"/>
                <w:szCs w:val="18"/>
              </w:rPr>
              <w:t>mixed</w:t>
            </w:r>
            <w:r w:rsidRPr="00BF5A5F">
              <w:rPr>
                <w:color w:val="auto"/>
                <w:spacing w:val="-6"/>
                <w:sz w:val="18"/>
                <w:szCs w:val="18"/>
              </w:rPr>
              <w:t xml:space="preserve"> </w:t>
            </w:r>
            <w:r w:rsidRPr="00BF5A5F">
              <w:rPr>
                <w:color w:val="auto"/>
                <w:spacing w:val="-2"/>
                <w:sz w:val="18"/>
                <w:szCs w:val="18"/>
              </w:rPr>
              <w:t>marsh,</w:t>
            </w:r>
            <w:r w:rsidRPr="00BF5A5F">
              <w:rPr>
                <w:color w:val="auto"/>
                <w:spacing w:val="20"/>
                <w:w w:val="99"/>
                <w:sz w:val="18"/>
                <w:szCs w:val="18"/>
              </w:rPr>
              <w:t xml:space="preserve"> </w:t>
            </w:r>
            <w:r w:rsidRPr="00BF5A5F">
              <w:rPr>
                <w:color w:val="auto"/>
                <w:spacing w:val="-1"/>
                <w:sz w:val="18"/>
                <w:szCs w:val="18"/>
              </w:rPr>
              <w:t>river</w:t>
            </w:r>
            <w:r w:rsidRPr="00BF5A5F">
              <w:rPr>
                <w:color w:val="auto"/>
                <w:spacing w:val="-4"/>
                <w:sz w:val="18"/>
                <w:szCs w:val="18"/>
              </w:rPr>
              <w:t xml:space="preserve"> </w:t>
            </w:r>
            <w:r w:rsidRPr="00BF5A5F">
              <w:rPr>
                <w:color w:val="auto"/>
                <w:sz w:val="18"/>
                <w:szCs w:val="18"/>
              </w:rPr>
              <w:t>red</w:t>
            </w:r>
            <w:r w:rsidRPr="00BF5A5F">
              <w:rPr>
                <w:color w:val="auto"/>
                <w:spacing w:val="-5"/>
                <w:sz w:val="18"/>
                <w:szCs w:val="18"/>
              </w:rPr>
              <w:t xml:space="preserve"> </w:t>
            </w:r>
            <w:r w:rsidRPr="00BF5A5F">
              <w:rPr>
                <w:color w:val="auto"/>
                <w:spacing w:val="-1"/>
                <w:sz w:val="18"/>
                <w:szCs w:val="18"/>
              </w:rPr>
              <w:t>gum</w:t>
            </w:r>
            <w:r w:rsidRPr="00BF5A5F">
              <w:rPr>
                <w:color w:val="auto"/>
                <w:spacing w:val="-7"/>
                <w:sz w:val="18"/>
                <w:szCs w:val="18"/>
              </w:rPr>
              <w:t xml:space="preserve"> </w:t>
            </w:r>
            <w:r w:rsidRPr="00BF5A5F">
              <w:rPr>
                <w:color w:val="auto"/>
                <w:spacing w:val="-1"/>
                <w:sz w:val="18"/>
                <w:szCs w:val="18"/>
              </w:rPr>
              <w:t>forest,</w:t>
            </w:r>
            <w:r w:rsidRPr="00BF5A5F">
              <w:rPr>
                <w:color w:val="auto"/>
                <w:spacing w:val="-6"/>
                <w:sz w:val="18"/>
                <w:szCs w:val="18"/>
              </w:rPr>
              <w:t xml:space="preserve"> </w:t>
            </w:r>
            <w:r w:rsidRPr="00BF5A5F">
              <w:rPr>
                <w:color w:val="auto"/>
                <w:spacing w:val="-1"/>
                <w:sz w:val="18"/>
                <w:szCs w:val="18"/>
              </w:rPr>
              <w:t>river</w:t>
            </w:r>
            <w:r w:rsidRPr="00BF5A5F">
              <w:rPr>
                <w:color w:val="auto"/>
                <w:spacing w:val="31"/>
                <w:w w:val="99"/>
                <w:sz w:val="18"/>
                <w:szCs w:val="18"/>
              </w:rPr>
              <w:t xml:space="preserve"> </w:t>
            </w:r>
            <w:r w:rsidRPr="00BF5A5F">
              <w:rPr>
                <w:color w:val="auto"/>
                <w:spacing w:val="-1"/>
                <w:sz w:val="18"/>
                <w:szCs w:val="18"/>
              </w:rPr>
              <w:t>cooba.</w:t>
            </w:r>
          </w:p>
        </w:tc>
        <w:tc>
          <w:tcPr>
            <w:tcW w:w="485" w:type="pct"/>
            <w:shd w:val="clear" w:color="auto" w:fill="auto"/>
            <w:vAlign w:val="center"/>
          </w:tcPr>
          <w:p w14:paraId="41A3E195" w14:textId="77777777" w:rsidR="00AA0841" w:rsidRPr="00BF5A5F" w:rsidRDefault="00AA0841" w:rsidP="00AA0841">
            <w:pPr>
              <w:rPr>
                <w:color w:val="auto"/>
                <w:spacing w:val="23"/>
                <w:sz w:val="18"/>
                <w:szCs w:val="18"/>
              </w:rPr>
            </w:pPr>
            <w:r w:rsidRPr="00BF5A5F">
              <w:rPr>
                <w:color w:val="auto"/>
                <w:spacing w:val="-1"/>
                <w:sz w:val="18"/>
                <w:szCs w:val="18"/>
              </w:rPr>
              <w:t>Ideally:</w:t>
            </w:r>
            <w:r w:rsidRPr="00BF5A5F">
              <w:rPr>
                <w:color w:val="auto"/>
                <w:spacing w:val="-5"/>
                <w:sz w:val="18"/>
                <w:szCs w:val="18"/>
              </w:rPr>
              <w:t xml:space="preserve"> </w:t>
            </w:r>
            <w:r w:rsidRPr="00BF5A5F">
              <w:rPr>
                <w:color w:val="auto"/>
                <w:sz w:val="18"/>
                <w:szCs w:val="18"/>
              </w:rPr>
              <w:t>8</w:t>
            </w:r>
            <w:r w:rsidRPr="00BF5A5F">
              <w:rPr>
                <w:color w:val="auto"/>
                <w:spacing w:val="-2"/>
                <w:sz w:val="18"/>
                <w:szCs w:val="18"/>
              </w:rPr>
              <w:t xml:space="preserve"> </w:t>
            </w:r>
            <w:r w:rsidRPr="00BF5A5F">
              <w:rPr>
                <w:color w:val="auto"/>
                <w:spacing w:val="1"/>
                <w:sz w:val="18"/>
                <w:szCs w:val="18"/>
              </w:rPr>
              <w:t xml:space="preserve">in </w:t>
            </w:r>
            <w:r w:rsidRPr="00BF5A5F">
              <w:rPr>
                <w:color w:val="auto"/>
                <w:sz w:val="18"/>
                <w:szCs w:val="18"/>
              </w:rPr>
              <w:t>10</w:t>
            </w:r>
            <w:r w:rsidRPr="00BF5A5F">
              <w:rPr>
                <w:color w:val="auto"/>
                <w:spacing w:val="-3"/>
                <w:sz w:val="18"/>
                <w:szCs w:val="18"/>
              </w:rPr>
              <w:t xml:space="preserve"> </w:t>
            </w:r>
            <w:r w:rsidRPr="00BF5A5F">
              <w:rPr>
                <w:color w:val="auto"/>
                <w:spacing w:val="-1"/>
                <w:sz w:val="18"/>
                <w:szCs w:val="18"/>
              </w:rPr>
              <w:t>years</w:t>
            </w:r>
          </w:p>
          <w:p w14:paraId="4711F515" w14:textId="77777777" w:rsidR="00AA0841" w:rsidRPr="00BF5A5F" w:rsidRDefault="00AA0841" w:rsidP="00AA0841">
            <w:pPr>
              <w:rPr>
                <w:rFonts w:eastAsia="Century Gothic" w:hAnsi="Century Gothic"/>
                <w:color w:val="auto"/>
                <w:sz w:val="18"/>
                <w:szCs w:val="18"/>
              </w:rPr>
            </w:pPr>
            <w:r w:rsidRPr="00BF5A5F">
              <w:rPr>
                <w:color w:val="auto"/>
                <w:spacing w:val="-1"/>
                <w:sz w:val="18"/>
                <w:szCs w:val="18"/>
              </w:rPr>
              <w:t>(Max</w:t>
            </w:r>
            <w:r w:rsidRPr="00BF5A5F">
              <w:rPr>
                <w:color w:val="auto"/>
                <w:spacing w:val="-6"/>
                <w:sz w:val="18"/>
                <w:szCs w:val="18"/>
              </w:rPr>
              <w:t xml:space="preserve"> </w:t>
            </w:r>
            <w:r w:rsidRPr="00BF5A5F">
              <w:rPr>
                <w:color w:val="auto"/>
                <w:spacing w:val="-1"/>
                <w:sz w:val="18"/>
                <w:szCs w:val="18"/>
              </w:rPr>
              <w:t>interval:</w:t>
            </w:r>
            <w:r w:rsidRPr="00BF5A5F">
              <w:rPr>
                <w:color w:val="auto"/>
                <w:spacing w:val="25"/>
                <w:sz w:val="18"/>
                <w:szCs w:val="18"/>
              </w:rPr>
              <w:t xml:space="preserve"> </w:t>
            </w:r>
            <w:r w:rsidRPr="00BF5A5F">
              <w:rPr>
                <w:color w:val="auto"/>
                <w:spacing w:val="-1"/>
                <w:sz w:val="18"/>
                <w:szCs w:val="18"/>
              </w:rPr>
              <w:t xml:space="preserve">Groundcover </w:t>
            </w:r>
            <w:r w:rsidRPr="00BF5A5F">
              <w:rPr>
                <w:rFonts w:eastAsia="Century Gothic" w:hAnsi="Century Gothic"/>
                <w:color w:val="auto"/>
                <w:sz w:val="18"/>
                <w:szCs w:val="18"/>
              </w:rPr>
              <w:t>–</w:t>
            </w:r>
            <w:r w:rsidRPr="00BF5A5F">
              <w:rPr>
                <w:rFonts w:eastAsia="Century Gothic" w:hAnsi="Century Gothic"/>
                <w:color w:val="auto"/>
                <w:sz w:val="18"/>
                <w:szCs w:val="18"/>
              </w:rPr>
              <w:t xml:space="preserve"> 2 </w:t>
            </w:r>
            <w:r w:rsidRPr="00BF5A5F">
              <w:rPr>
                <w:rFonts w:eastAsia="Century Gothic" w:hAnsi="Century Gothic"/>
                <w:color w:val="auto"/>
                <w:spacing w:val="-1"/>
                <w:sz w:val="18"/>
                <w:szCs w:val="18"/>
              </w:rPr>
              <w:t>years; trees</w:t>
            </w:r>
            <w:r w:rsidRPr="00BF5A5F">
              <w:rPr>
                <w:rFonts w:eastAsia="Century Gothic" w:hAnsi="Century Gothic"/>
                <w:color w:val="auto"/>
                <w:spacing w:val="-5"/>
                <w:sz w:val="18"/>
                <w:szCs w:val="18"/>
              </w:rPr>
              <w:t xml:space="preserve"> </w:t>
            </w:r>
            <w:r w:rsidRPr="00BF5A5F">
              <w:rPr>
                <w:rFonts w:eastAsia="Century Gothic" w:hAnsi="Century Gothic"/>
                <w:color w:val="auto"/>
                <w:sz w:val="18"/>
                <w:szCs w:val="18"/>
              </w:rPr>
              <w:t>4</w:t>
            </w:r>
            <w:r w:rsidRPr="00BF5A5F">
              <w:rPr>
                <w:rFonts w:eastAsia="Century Gothic" w:hAnsi="Century Gothic"/>
                <w:color w:val="auto"/>
                <w:sz w:val="18"/>
                <w:szCs w:val="18"/>
              </w:rPr>
              <w:t>–</w:t>
            </w:r>
            <w:r w:rsidRPr="00BF5A5F">
              <w:rPr>
                <w:rFonts w:eastAsia="Century Gothic" w:hAnsi="Century Gothic"/>
                <w:color w:val="auto"/>
                <w:sz w:val="18"/>
                <w:szCs w:val="18"/>
              </w:rPr>
              <w:t>7</w:t>
            </w:r>
            <w:r w:rsidRPr="00BF5A5F">
              <w:rPr>
                <w:rFonts w:eastAsia="Century Gothic" w:hAnsi="Century Gothic"/>
                <w:color w:val="auto"/>
                <w:spacing w:val="23"/>
                <w:sz w:val="18"/>
                <w:szCs w:val="18"/>
              </w:rPr>
              <w:t xml:space="preserve"> </w:t>
            </w:r>
            <w:r w:rsidRPr="00BF5A5F">
              <w:rPr>
                <w:rFonts w:eastAsia="Century Gothic" w:hAnsi="Century Gothic"/>
                <w:color w:val="auto"/>
                <w:spacing w:val="-1"/>
                <w:sz w:val="18"/>
                <w:szCs w:val="18"/>
              </w:rPr>
              <w:t>years)</w:t>
            </w:r>
          </w:p>
        </w:tc>
        <w:tc>
          <w:tcPr>
            <w:tcW w:w="1356" w:type="pct"/>
            <w:shd w:val="clear" w:color="auto" w:fill="auto"/>
            <w:vAlign w:val="center"/>
          </w:tcPr>
          <w:p w14:paraId="16F40C4F" w14:textId="77777777" w:rsidR="00AA0841" w:rsidRPr="00BF5A5F" w:rsidRDefault="00AA0841" w:rsidP="00AA0841">
            <w:pPr>
              <w:spacing w:after="60"/>
              <w:jc w:val="center"/>
              <w:rPr>
                <w:rFonts w:cstheme="minorHAnsi"/>
                <w:bCs/>
                <w:color w:val="auto"/>
                <w:sz w:val="18"/>
                <w:szCs w:val="18"/>
              </w:rPr>
            </w:pPr>
            <w:r w:rsidRPr="00BF5A5F">
              <w:rPr>
                <w:rFonts w:cstheme="minorHAnsi"/>
                <w:bCs/>
                <w:color w:val="auto"/>
                <w:sz w:val="18"/>
                <w:szCs w:val="18"/>
              </w:rPr>
              <w:t xml:space="preserve">Demand met in 2012–13, 2016–17 and again in 2017–18 in all areas of the Marshes, excluding the Eastern Marshes in 2017–18, which was not inundated for the target duration. Demand was either partially met or not met in years in between, including in 2019–20. </w:t>
            </w:r>
          </w:p>
          <w:p w14:paraId="2B88F8D5" w14:textId="77777777" w:rsidR="00AA0841" w:rsidRPr="00BF5A5F" w:rsidRDefault="00AA0841" w:rsidP="00AA0841">
            <w:pPr>
              <w:spacing w:after="60"/>
              <w:jc w:val="center"/>
              <w:rPr>
                <w:rFonts w:cstheme="minorHAnsi"/>
                <w:bCs/>
                <w:color w:val="auto"/>
                <w:sz w:val="18"/>
                <w:szCs w:val="18"/>
              </w:rPr>
            </w:pPr>
            <w:r w:rsidRPr="00BF5A5F">
              <w:rPr>
                <w:rFonts w:cstheme="minorHAnsi"/>
                <w:bCs/>
                <w:color w:val="auto"/>
                <w:sz w:val="18"/>
                <w:szCs w:val="18"/>
              </w:rPr>
              <w:t>Although ~132 GL of flow passed Marebone Weir over three months to the end of April, 106 GL of which was available to the Marshes, this demand has not yet been met. Extreme dry conditions preceding these flows has meant this volume has been insufficient to adequately support all vegetation types in the pink zone. Lateral connectivity has not been achieved between channels, beyond the reedbeds into areas of river red gum forest and river cooba. Inundation outside the prime growing season may also impact on the ability to fully meet these requirements. Low groundcover and high grazing pressure have also intensified the need for water to aid recovery.</w:t>
            </w:r>
          </w:p>
          <w:p w14:paraId="40BEDDD1" w14:textId="77777777" w:rsidR="00AA0841" w:rsidRPr="00BF5A5F" w:rsidRDefault="00AA0841" w:rsidP="00AA0841">
            <w:pPr>
              <w:spacing w:after="60"/>
              <w:jc w:val="center"/>
              <w:rPr>
                <w:rFonts w:hAnsi="Century Gothic"/>
                <w:bCs/>
                <w:color w:val="auto"/>
                <w:sz w:val="18"/>
                <w:szCs w:val="18"/>
                <w:highlight w:val="lightGray"/>
              </w:rPr>
            </w:pPr>
            <w:r w:rsidRPr="00BF5A5F">
              <w:rPr>
                <w:rFonts w:cstheme="minorHAnsi"/>
                <w:bCs/>
                <w:color w:val="auto"/>
                <w:sz w:val="18"/>
                <w:szCs w:val="18"/>
              </w:rPr>
              <w:t>Requires water in 2020–21 to contribute to 8 in 10 year frequency, avoid damage, and to build resilience, including in Ramsar sites. Therefore, this environmental demand has been assessed as high.</w:t>
            </w:r>
          </w:p>
        </w:tc>
        <w:tc>
          <w:tcPr>
            <w:tcW w:w="452" w:type="pct"/>
            <w:shd w:val="clear" w:color="auto" w:fill="FF0000"/>
            <w:vAlign w:val="center"/>
          </w:tcPr>
          <w:p w14:paraId="75507DFA"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High</w:t>
            </w:r>
          </w:p>
        </w:tc>
        <w:tc>
          <w:tcPr>
            <w:tcW w:w="679" w:type="pct"/>
            <w:shd w:val="clear" w:color="auto" w:fill="365F91" w:themeFill="accent1" w:themeFillShade="BF"/>
            <w:vAlign w:val="center"/>
          </w:tcPr>
          <w:p w14:paraId="2BFDE4F8"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A high priority for CEW under low to high water resource availability scenarios.</w:t>
            </w:r>
          </w:p>
          <w:p w14:paraId="4645CF64"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Unlikely to have sufficient water to target this demand, unless there is a substantial improvement in water availability.</w:t>
            </w:r>
          </w:p>
        </w:tc>
        <w:tc>
          <w:tcPr>
            <w:tcW w:w="513" w:type="pct"/>
            <w:tcBorders>
              <w:right w:val="single" w:sz="12" w:space="0" w:color="auto"/>
            </w:tcBorders>
            <w:shd w:val="clear" w:color="auto" w:fill="FF0000"/>
            <w:vAlign w:val="center"/>
          </w:tcPr>
          <w:p w14:paraId="7F320C3C" w14:textId="77777777" w:rsidR="00AA0841" w:rsidRPr="00DD2626" w:rsidRDefault="00AA0841" w:rsidP="00AA0841">
            <w:pPr>
              <w:jc w:val="center"/>
              <w:rPr>
                <w:rFonts w:hAnsi="Century Gothic"/>
                <w:color w:val="auto"/>
                <w:sz w:val="18"/>
                <w:szCs w:val="18"/>
                <w:highlight w:val="lightGray"/>
              </w:rPr>
            </w:pPr>
            <w:r w:rsidRPr="00DD2626">
              <w:rPr>
                <w:rFonts w:hAnsi="Century Gothic"/>
                <w:color w:val="auto"/>
                <w:sz w:val="18"/>
                <w:szCs w:val="18"/>
              </w:rPr>
              <w:t>High</w:t>
            </w:r>
          </w:p>
        </w:tc>
      </w:tr>
      <w:tr w:rsidR="00AA0841" w:rsidRPr="00DD2626" w14:paraId="65D1502C" w14:textId="77777777" w:rsidTr="00AA0841">
        <w:trPr>
          <w:trHeight w:val="1389"/>
        </w:trPr>
        <w:tc>
          <w:tcPr>
            <w:tcW w:w="417" w:type="pct"/>
            <w:vMerge/>
            <w:tcBorders>
              <w:left w:val="single" w:sz="12" w:space="0" w:color="auto"/>
            </w:tcBorders>
            <w:shd w:val="clear" w:color="auto" w:fill="auto"/>
          </w:tcPr>
          <w:p w14:paraId="7C3E7439" w14:textId="77777777" w:rsidR="00AA0841" w:rsidRPr="00BF5A5F" w:rsidRDefault="00AA0841" w:rsidP="00AA0841">
            <w:pPr>
              <w:rPr>
                <w:rFonts w:hAnsi="Century Gothic"/>
                <w:bCs/>
                <w:color w:val="auto"/>
                <w:sz w:val="18"/>
                <w:szCs w:val="18"/>
              </w:rPr>
            </w:pPr>
          </w:p>
        </w:tc>
        <w:tc>
          <w:tcPr>
            <w:tcW w:w="355" w:type="pct"/>
            <w:vAlign w:val="center"/>
          </w:tcPr>
          <w:p w14:paraId="02FDB9A1" w14:textId="77777777" w:rsidR="00AA0841" w:rsidRPr="00BF5A5F" w:rsidRDefault="00AA0841" w:rsidP="00AA0841">
            <w:pPr>
              <w:rPr>
                <w:rFonts w:hAnsi="Century Gothic"/>
                <w:color w:val="auto"/>
                <w:sz w:val="18"/>
                <w:szCs w:val="18"/>
              </w:rPr>
            </w:pPr>
            <w:r w:rsidRPr="00BF5A5F">
              <w:rPr>
                <w:color w:val="auto"/>
                <w:sz w:val="18"/>
                <w:szCs w:val="18"/>
              </w:rPr>
              <w:t>Red</w:t>
            </w:r>
            <w:r w:rsidRPr="00BF5A5F">
              <w:rPr>
                <w:color w:val="auto"/>
                <w:spacing w:val="-12"/>
                <w:sz w:val="18"/>
                <w:szCs w:val="18"/>
              </w:rPr>
              <w:t xml:space="preserve"> </w:t>
            </w:r>
            <w:r w:rsidRPr="00BF5A5F">
              <w:rPr>
                <w:color w:val="auto"/>
                <w:spacing w:val="-1"/>
                <w:sz w:val="18"/>
                <w:szCs w:val="18"/>
              </w:rPr>
              <w:t>inundation</w:t>
            </w:r>
            <w:r w:rsidRPr="00BF5A5F">
              <w:rPr>
                <w:color w:val="auto"/>
                <w:spacing w:val="27"/>
                <w:w w:val="99"/>
                <w:sz w:val="18"/>
                <w:szCs w:val="18"/>
              </w:rPr>
              <w:t xml:space="preserve"> </w:t>
            </w:r>
            <w:r w:rsidRPr="00BF5A5F">
              <w:rPr>
                <w:color w:val="auto"/>
                <w:sz w:val="18"/>
                <w:szCs w:val="18"/>
              </w:rPr>
              <w:t>zone</w:t>
            </w:r>
            <w:r w:rsidRPr="00BF5A5F">
              <w:rPr>
                <w:color w:val="auto"/>
                <w:spacing w:val="1"/>
                <w:sz w:val="18"/>
                <w:szCs w:val="18"/>
              </w:rPr>
              <w:t xml:space="preserve"> </w:t>
            </w:r>
            <w:r w:rsidRPr="00BF5A5F">
              <w:rPr>
                <w:color w:val="auto"/>
                <w:spacing w:val="-3"/>
                <w:sz w:val="18"/>
                <w:szCs w:val="18"/>
              </w:rPr>
              <w:t>(50</w:t>
            </w:r>
            <w:r w:rsidRPr="00BF5A5F">
              <w:rPr>
                <w:color w:val="auto"/>
                <w:sz w:val="18"/>
                <w:szCs w:val="18"/>
              </w:rPr>
              <w:t> 000</w:t>
            </w:r>
            <w:r w:rsidRPr="00BF5A5F">
              <w:rPr>
                <w:color w:val="auto"/>
                <w:spacing w:val="-4"/>
                <w:sz w:val="18"/>
                <w:szCs w:val="18"/>
              </w:rPr>
              <w:t> </w:t>
            </w:r>
            <w:r w:rsidRPr="00BF5A5F">
              <w:rPr>
                <w:color w:val="auto"/>
                <w:spacing w:val="-1"/>
                <w:sz w:val="18"/>
                <w:szCs w:val="18"/>
              </w:rPr>
              <w:t>ha)</w:t>
            </w:r>
          </w:p>
        </w:tc>
        <w:tc>
          <w:tcPr>
            <w:tcW w:w="743" w:type="pct"/>
            <w:shd w:val="clear" w:color="auto" w:fill="auto"/>
            <w:vAlign w:val="center"/>
          </w:tcPr>
          <w:p w14:paraId="5AC6FFF9" w14:textId="77777777" w:rsidR="00AA0841" w:rsidRPr="00BF5A5F" w:rsidRDefault="00AA0841" w:rsidP="00AA0841">
            <w:pPr>
              <w:rPr>
                <w:rFonts w:hAnsi="Century Gothic"/>
                <w:color w:val="auto"/>
                <w:sz w:val="18"/>
                <w:szCs w:val="18"/>
              </w:rPr>
            </w:pPr>
            <w:r w:rsidRPr="00BF5A5F">
              <w:rPr>
                <w:color w:val="auto"/>
                <w:sz w:val="18"/>
                <w:szCs w:val="18"/>
              </w:rPr>
              <w:t>250</w:t>
            </w:r>
            <w:r w:rsidRPr="00BF5A5F">
              <w:rPr>
                <w:color w:val="auto"/>
                <w:spacing w:val="-5"/>
                <w:sz w:val="18"/>
                <w:szCs w:val="18"/>
              </w:rPr>
              <w:t xml:space="preserve"> </w:t>
            </w:r>
            <w:r w:rsidRPr="00BF5A5F">
              <w:rPr>
                <w:color w:val="auto"/>
                <w:spacing w:val="-1"/>
                <w:sz w:val="18"/>
                <w:szCs w:val="18"/>
              </w:rPr>
              <w:t>GL</w:t>
            </w:r>
            <w:r w:rsidRPr="00BF5A5F">
              <w:rPr>
                <w:color w:val="auto"/>
                <w:spacing w:val="-3"/>
                <w:sz w:val="18"/>
                <w:szCs w:val="18"/>
              </w:rPr>
              <w:t xml:space="preserve"> </w:t>
            </w:r>
            <w:r w:rsidRPr="00BF5A5F">
              <w:rPr>
                <w:color w:val="auto"/>
                <w:spacing w:val="-1"/>
                <w:sz w:val="18"/>
                <w:szCs w:val="18"/>
              </w:rPr>
              <w:t>at</w:t>
            </w:r>
            <w:r w:rsidRPr="00BF5A5F">
              <w:rPr>
                <w:color w:val="auto"/>
                <w:spacing w:val="-5"/>
                <w:sz w:val="18"/>
                <w:szCs w:val="18"/>
              </w:rPr>
              <w:t xml:space="preserve"> </w:t>
            </w:r>
            <w:r w:rsidRPr="00BF5A5F">
              <w:rPr>
                <w:color w:val="auto"/>
                <w:spacing w:val="-1"/>
                <w:sz w:val="18"/>
                <w:szCs w:val="18"/>
              </w:rPr>
              <w:t>Marebone</w:t>
            </w:r>
            <w:r w:rsidRPr="00BF5A5F">
              <w:rPr>
                <w:color w:val="auto"/>
                <w:spacing w:val="-3"/>
                <w:sz w:val="18"/>
                <w:szCs w:val="18"/>
              </w:rPr>
              <w:t xml:space="preserve"> </w:t>
            </w:r>
            <w:r w:rsidRPr="00BF5A5F">
              <w:rPr>
                <w:color w:val="auto"/>
                <w:spacing w:val="-1"/>
                <w:sz w:val="18"/>
                <w:szCs w:val="18"/>
              </w:rPr>
              <w:t>over</w:t>
            </w:r>
            <w:r w:rsidRPr="00BF5A5F">
              <w:rPr>
                <w:color w:val="auto"/>
                <w:spacing w:val="-5"/>
                <w:sz w:val="18"/>
                <w:szCs w:val="18"/>
              </w:rPr>
              <w:t xml:space="preserve"> 3</w:t>
            </w:r>
            <w:r w:rsidRPr="00BF5A5F">
              <w:rPr>
                <w:color w:val="auto"/>
                <w:spacing w:val="30"/>
                <w:sz w:val="18"/>
                <w:szCs w:val="18"/>
              </w:rPr>
              <w:t xml:space="preserve">–5 </w:t>
            </w:r>
            <w:r w:rsidRPr="00BF5A5F">
              <w:rPr>
                <w:color w:val="auto"/>
                <w:spacing w:val="-1"/>
                <w:sz w:val="18"/>
                <w:szCs w:val="18"/>
              </w:rPr>
              <w:t>months</w:t>
            </w:r>
            <w:r w:rsidRPr="00BF5A5F">
              <w:rPr>
                <w:color w:val="auto"/>
                <w:spacing w:val="-8"/>
                <w:sz w:val="18"/>
                <w:szCs w:val="18"/>
              </w:rPr>
              <w:t xml:space="preserve"> </w:t>
            </w:r>
            <w:r w:rsidRPr="00BF5A5F">
              <w:rPr>
                <w:color w:val="auto"/>
                <w:spacing w:val="-1"/>
                <w:sz w:val="18"/>
                <w:szCs w:val="18"/>
              </w:rPr>
              <w:t>between</w:t>
            </w:r>
            <w:r w:rsidRPr="00BF5A5F">
              <w:rPr>
                <w:color w:val="auto"/>
                <w:spacing w:val="-7"/>
                <w:sz w:val="18"/>
                <w:szCs w:val="18"/>
              </w:rPr>
              <w:t xml:space="preserve"> </w:t>
            </w:r>
            <w:r w:rsidRPr="00BF5A5F">
              <w:rPr>
                <w:color w:val="auto"/>
                <w:sz w:val="18"/>
                <w:szCs w:val="18"/>
              </w:rPr>
              <w:t>June</w:t>
            </w:r>
            <w:r w:rsidRPr="00BF5A5F">
              <w:rPr>
                <w:color w:val="auto"/>
                <w:spacing w:val="-7"/>
                <w:sz w:val="18"/>
                <w:szCs w:val="18"/>
              </w:rPr>
              <w:t xml:space="preserve"> </w:t>
            </w:r>
            <w:r w:rsidRPr="00BF5A5F">
              <w:rPr>
                <w:color w:val="auto"/>
                <w:sz w:val="18"/>
                <w:szCs w:val="18"/>
              </w:rPr>
              <w:t>and</w:t>
            </w:r>
            <w:r w:rsidRPr="00BF5A5F">
              <w:rPr>
                <w:color w:val="auto"/>
                <w:spacing w:val="25"/>
                <w:sz w:val="18"/>
                <w:szCs w:val="18"/>
              </w:rPr>
              <w:t xml:space="preserve"> </w:t>
            </w:r>
            <w:r w:rsidRPr="00BF5A5F">
              <w:rPr>
                <w:color w:val="auto"/>
                <w:spacing w:val="-1"/>
                <w:sz w:val="18"/>
                <w:szCs w:val="18"/>
              </w:rPr>
              <w:t>April</w:t>
            </w:r>
            <w:r w:rsidRPr="00BF5A5F">
              <w:rPr>
                <w:color w:val="auto"/>
                <w:spacing w:val="-4"/>
                <w:sz w:val="18"/>
                <w:szCs w:val="18"/>
              </w:rPr>
              <w:t xml:space="preserve"> </w:t>
            </w:r>
            <w:r w:rsidRPr="00BF5A5F">
              <w:rPr>
                <w:color w:val="auto"/>
                <w:spacing w:val="-1"/>
                <w:sz w:val="18"/>
                <w:szCs w:val="18"/>
              </w:rPr>
              <w:t>to</w:t>
            </w:r>
            <w:r w:rsidRPr="00BF5A5F">
              <w:rPr>
                <w:color w:val="auto"/>
                <w:spacing w:val="-3"/>
                <w:sz w:val="18"/>
                <w:szCs w:val="18"/>
              </w:rPr>
              <w:t xml:space="preserve"> </w:t>
            </w:r>
            <w:r w:rsidRPr="00BF5A5F">
              <w:rPr>
                <w:color w:val="auto"/>
                <w:spacing w:val="-1"/>
                <w:sz w:val="18"/>
                <w:szCs w:val="18"/>
              </w:rPr>
              <w:t>inundate</w:t>
            </w:r>
            <w:r w:rsidRPr="00BF5A5F">
              <w:rPr>
                <w:color w:val="auto"/>
                <w:spacing w:val="-3"/>
                <w:sz w:val="18"/>
                <w:szCs w:val="18"/>
              </w:rPr>
              <w:t xml:space="preserve"> </w:t>
            </w:r>
            <w:r w:rsidRPr="00BF5A5F">
              <w:rPr>
                <w:color w:val="auto"/>
                <w:spacing w:val="-1"/>
                <w:sz w:val="18"/>
                <w:szCs w:val="18"/>
              </w:rPr>
              <w:t>river</w:t>
            </w:r>
            <w:r w:rsidRPr="00BF5A5F">
              <w:rPr>
                <w:color w:val="auto"/>
                <w:spacing w:val="-3"/>
                <w:sz w:val="18"/>
                <w:szCs w:val="18"/>
              </w:rPr>
              <w:t xml:space="preserve"> </w:t>
            </w:r>
            <w:r w:rsidRPr="00BF5A5F">
              <w:rPr>
                <w:color w:val="auto"/>
                <w:spacing w:val="-1"/>
                <w:sz w:val="18"/>
                <w:szCs w:val="18"/>
              </w:rPr>
              <w:t>red</w:t>
            </w:r>
            <w:r w:rsidRPr="00BF5A5F">
              <w:rPr>
                <w:color w:val="auto"/>
                <w:spacing w:val="25"/>
                <w:sz w:val="18"/>
                <w:szCs w:val="18"/>
              </w:rPr>
              <w:t xml:space="preserve"> </w:t>
            </w:r>
            <w:r w:rsidRPr="00BF5A5F">
              <w:rPr>
                <w:color w:val="auto"/>
                <w:spacing w:val="-1"/>
                <w:sz w:val="18"/>
                <w:szCs w:val="18"/>
              </w:rPr>
              <w:t>gum</w:t>
            </w:r>
            <w:r w:rsidRPr="00BF5A5F">
              <w:rPr>
                <w:color w:val="auto"/>
                <w:spacing w:val="-5"/>
                <w:sz w:val="18"/>
                <w:szCs w:val="18"/>
              </w:rPr>
              <w:t xml:space="preserve"> </w:t>
            </w:r>
            <w:r w:rsidRPr="00BF5A5F">
              <w:rPr>
                <w:color w:val="auto"/>
                <w:spacing w:val="-1"/>
                <w:sz w:val="18"/>
                <w:szCs w:val="18"/>
              </w:rPr>
              <w:t>woodland,</w:t>
            </w:r>
            <w:r w:rsidRPr="00BF5A5F">
              <w:rPr>
                <w:color w:val="auto"/>
                <w:spacing w:val="42"/>
                <w:sz w:val="18"/>
                <w:szCs w:val="18"/>
              </w:rPr>
              <w:t xml:space="preserve"> </w:t>
            </w:r>
            <w:r w:rsidRPr="00BF5A5F">
              <w:rPr>
                <w:color w:val="auto"/>
                <w:sz w:val="18"/>
                <w:szCs w:val="18"/>
              </w:rPr>
              <w:t>river</w:t>
            </w:r>
            <w:r w:rsidRPr="00BF5A5F">
              <w:rPr>
                <w:color w:val="auto"/>
                <w:spacing w:val="27"/>
                <w:w w:val="99"/>
                <w:sz w:val="18"/>
                <w:szCs w:val="18"/>
              </w:rPr>
              <w:t xml:space="preserve"> </w:t>
            </w:r>
            <w:r w:rsidRPr="00BF5A5F">
              <w:rPr>
                <w:color w:val="auto"/>
                <w:spacing w:val="-1"/>
                <w:sz w:val="18"/>
                <w:szCs w:val="18"/>
              </w:rPr>
              <w:t>cooba,</w:t>
            </w:r>
            <w:r w:rsidRPr="00BF5A5F">
              <w:rPr>
                <w:color w:val="auto"/>
                <w:spacing w:val="-9"/>
                <w:sz w:val="18"/>
                <w:szCs w:val="18"/>
              </w:rPr>
              <w:t xml:space="preserve"> </w:t>
            </w:r>
            <w:r w:rsidRPr="00BF5A5F">
              <w:rPr>
                <w:color w:val="auto"/>
                <w:sz w:val="18"/>
                <w:szCs w:val="18"/>
              </w:rPr>
              <w:t>inner</w:t>
            </w:r>
            <w:r w:rsidRPr="00BF5A5F">
              <w:rPr>
                <w:color w:val="auto"/>
                <w:spacing w:val="-6"/>
                <w:sz w:val="18"/>
                <w:szCs w:val="18"/>
              </w:rPr>
              <w:t xml:space="preserve"> </w:t>
            </w:r>
            <w:r w:rsidRPr="00BF5A5F">
              <w:rPr>
                <w:color w:val="auto"/>
                <w:spacing w:val="-1"/>
                <w:sz w:val="18"/>
                <w:szCs w:val="18"/>
              </w:rPr>
              <w:t>coolibah</w:t>
            </w:r>
            <w:r w:rsidRPr="00BF5A5F">
              <w:rPr>
                <w:color w:val="auto"/>
                <w:spacing w:val="29"/>
                <w:w w:val="99"/>
                <w:sz w:val="18"/>
                <w:szCs w:val="18"/>
              </w:rPr>
              <w:t xml:space="preserve"> </w:t>
            </w:r>
            <w:r w:rsidRPr="00BF5A5F">
              <w:rPr>
                <w:color w:val="auto"/>
                <w:spacing w:val="-1"/>
                <w:sz w:val="18"/>
                <w:szCs w:val="18"/>
              </w:rPr>
              <w:t>woodland</w:t>
            </w:r>
          </w:p>
        </w:tc>
        <w:tc>
          <w:tcPr>
            <w:tcW w:w="485" w:type="pct"/>
            <w:shd w:val="clear" w:color="auto" w:fill="auto"/>
            <w:vAlign w:val="center"/>
          </w:tcPr>
          <w:p w14:paraId="1F56CCED" w14:textId="77777777" w:rsidR="00AA0841" w:rsidRPr="00BF5A5F" w:rsidRDefault="00AA0841" w:rsidP="00AA0841">
            <w:pPr>
              <w:rPr>
                <w:rFonts w:eastAsia="Century Gothic" w:hAnsi="Century Gothic"/>
                <w:color w:val="auto"/>
                <w:sz w:val="18"/>
                <w:szCs w:val="18"/>
              </w:rPr>
            </w:pPr>
            <w:r w:rsidRPr="00BF5A5F">
              <w:rPr>
                <w:color w:val="auto"/>
                <w:spacing w:val="-1"/>
                <w:sz w:val="18"/>
                <w:szCs w:val="18"/>
              </w:rPr>
              <w:t>Ideally:</w:t>
            </w:r>
            <w:r w:rsidRPr="00BF5A5F">
              <w:rPr>
                <w:color w:val="auto"/>
                <w:spacing w:val="-4"/>
                <w:sz w:val="18"/>
                <w:szCs w:val="18"/>
              </w:rPr>
              <w:t xml:space="preserve"> </w:t>
            </w:r>
            <w:r w:rsidRPr="00BF5A5F">
              <w:rPr>
                <w:color w:val="auto"/>
                <w:sz w:val="18"/>
                <w:szCs w:val="18"/>
              </w:rPr>
              <w:t>1</w:t>
            </w:r>
            <w:r w:rsidRPr="00BF5A5F">
              <w:rPr>
                <w:color w:val="auto"/>
                <w:spacing w:val="-2"/>
                <w:sz w:val="18"/>
                <w:szCs w:val="18"/>
              </w:rPr>
              <w:t xml:space="preserve"> </w:t>
            </w:r>
            <w:r w:rsidRPr="00BF5A5F">
              <w:rPr>
                <w:color w:val="auto"/>
                <w:spacing w:val="1"/>
                <w:sz w:val="18"/>
                <w:szCs w:val="18"/>
              </w:rPr>
              <w:t>in</w:t>
            </w:r>
            <w:r w:rsidRPr="00BF5A5F">
              <w:rPr>
                <w:color w:val="auto"/>
                <w:spacing w:val="-1"/>
                <w:sz w:val="18"/>
                <w:szCs w:val="18"/>
              </w:rPr>
              <w:t xml:space="preserve"> </w:t>
            </w:r>
            <w:r w:rsidRPr="00BF5A5F">
              <w:rPr>
                <w:color w:val="auto"/>
                <w:sz w:val="18"/>
                <w:szCs w:val="18"/>
              </w:rPr>
              <w:t>3</w:t>
            </w:r>
            <w:r w:rsidRPr="00BF5A5F">
              <w:rPr>
                <w:color w:val="auto"/>
                <w:spacing w:val="25"/>
                <w:sz w:val="18"/>
                <w:szCs w:val="18"/>
              </w:rPr>
              <w:t xml:space="preserve"> </w:t>
            </w:r>
            <w:r w:rsidRPr="00BF5A5F">
              <w:rPr>
                <w:color w:val="auto"/>
                <w:spacing w:val="-1"/>
                <w:sz w:val="18"/>
                <w:szCs w:val="18"/>
              </w:rPr>
              <w:t>years</w:t>
            </w:r>
          </w:p>
          <w:p w14:paraId="600065EE" w14:textId="77777777" w:rsidR="00AA0841" w:rsidRPr="00BF5A5F" w:rsidRDefault="00AA0841" w:rsidP="00AA0841">
            <w:pPr>
              <w:rPr>
                <w:rFonts w:hAnsi="Century Gothic"/>
                <w:color w:val="auto"/>
                <w:sz w:val="18"/>
                <w:szCs w:val="18"/>
              </w:rPr>
            </w:pPr>
            <w:r w:rsidRPr="00BF5A5F">
              <w:rPr>
                <w:rFonts w:eastAsia="Century Gothic" w:hAnsi="Century Gothic"/>
                <w:color w:val="auto"/>
                <w:spacing w:val="-1"/>
                <w:sz w:val="18"/>
                <w:szCs w:val="18"/>
              </w:rPr>
              <w:t>(Max</w:t>
            </w:r>
            <w:r w:rsidRPr="00BF5A5F">
              <w:rPr>
                <w:rFonts w:eastAsia="Century Gothic" w:hAnsi="Century Gothic"/>
                <w:color w:val="auto"/>
                <w:spacing w:val="-6"/>
                <w:sz w:val="18"/>
                <w:szCs w:val="18"/>
              </w:rPr>
              <w:t xml:space="preserve"> </w:t>
            </w:r>
            <w:r w:rsidRPr="00BF5A5F">
              <w:rPr>
                <w:rFonts w:eastAsia="Century Gothic" w:hAnsi="Century Gothic"/>
                <w:color w:val="auto"/>
                <w:spacing w:val="-1"/>
                <w:sz w:val="18"/>
                <w:szCs w:val="18"/>
              </w:rPr>
              <w:t>interval:</w:t>
            </w:r>
            <w:r w:rsidRPr="00BF5A5F">
              <w:rPr>
                <w:rFonts w:eastAsia="Century Gothic" w:hAnsi="Century Gothic"/>
                <w:color w:val="auto"/>
                <w:spacing w:val="25"/>
                <w:sz w:val="18"/>
                <w:szCs w:val="18"/>
              </w:rPr>
              <w:t xml:space="preserve"> </w:t>
            </w:r>
            <w:r w:rsidRPr="00BF5A5F">
              <w:rPr>
                <w:rFonts w:eastAsia="Century Gothic" w:hAnsi="Century Gothic"/>
                <w:color w:val="auto"/>
                <w:sz w:val="18"/>
                <w:szCs w:val="18"/>
              </w:rPr>
              <w:t>4</w:t>
            </w:r>
            <w:r w:rsidRPr="00BF5A5F">
              <w:rPr>
                <w:rFonts w:eastAsia="Century Gothic" w:hAnsi="Century Gothic"/>
                <w:color w:val="auto"/>
                <w:sz w:val="18"/>
                <w:szCs w:val="18"/>
              </w:rPr>
              <w:t>–</w:t>
            </w:r>
            <w:r w:rsidRPr="00BF5A5F">
              <w:rPr>
                <w:rFonts w:eastAsia="Century Gothic" w:hAnsi="Century Gothic"/>
                <w:color w:val="auto"/>
                <w:sz w:val="18"/>
                <w:szCs w:val="18"/>
              </w:rPr>
              <w:t>7</w:t>
            </w:r>
            <w:r w:rsidRPr="00BF5A5F">
              <w:rPr>
                <w:rFonts w:eastAsia="Century Gothic" w:hAnsi="Century Gothic"/>
                <w:color w:val="auto"/>
                <w:spacing w:val="-3"/>
                <w:sz w:val="18"/>
                <w:szCs w:val="18"/>
              </w:rPr>
              <w:t xml:space="preserve"> </w:t>
            </w:r>
            <w:r w:rsidRPr="00BF5A5F">
              <w:rPr>
                <w:rFonts w:eastAsia="Century Gothic" w:hAnsi="Century Gothic"/>
                <w:color w:val="auto"/>
                <w:spacing w:val="-1"/>
                <w:sz w:val="18"/>
                <w:szCs w:val="18"/>
              </w:rPr>
              <w:t>years)</w:t>
            </w:r>
          </w:p>
        </w:tc>
        <w:tc>
          <w:tcPr>
            <w:tcW w:w="1356" w:type="pct"/>
            <w:shd w:val="clear" w:color="auto" w:fill="auto"/>
            <w:vAlign w:val="center"/>
          </w:tcPr>
          <w:p w14:paraId="0A534065" w14:textId="77777777" w:rsidR="00AA0841" w:rsidRPr="00BF5A5F" w:rsidRDefault="00AA0841" w:rsidP="00AA0841">
            <w:pPr>
              <w:jc w:val="center"/>
              <w:rPr>
                <w:rFonts w:hAnsi="Century Gothic"/>
                <w:bCs/>
                <w:color w:val="auto"/>
                <w:sz w:val="18"/>
                <w:szCs w:val="18"/>
              </w:rPr>
            </w:pPr>
            <w:r w:rsidRPr="00BF5A5F">
              <w:rPr>
                <w:rFonts w:hAnsi="Century Gothic"/>
                <w:bCs/>
                <w:color w:val="auto"/>
                <w:sz w:val="18"/>
                <w:szCs w:val="18"/>
              </w:rPr>
              <w:t>Demand met in 2016</w:t>
            </w:r>
            <w:r w:rsidRPr="00BF5A5F">
              <w:rPr>
                <w:rFonts w:hAnsi="Century Gothic"/>
                <w:bCs/>
                <w:color w:val="auto"/>
                <w:sz w:val="18"/>
                <w:szCs w:val="18"/>
              </w:rPr>
              <w:t>–</w:t>
            </w:r>
            <w:r w:rsidRPr="00BF5A5F">
              <w:rPr>
                <w:rFonts w:hAnsi="Century Gothic"/>
                <w:bCs/>
                <w:color w:val="auto"/>
                <w:sz w:val="18"/>
                <w:szCs w:val="18"/>
              </w:rPr>
              <w:t>17 and 2012</w:t>
            </w:r>
            <w:r w:rsidRPr="00BF5A5F">
              <w:rPr>
                <w:rFonts w:hAnsi="Century Gothic"/>
                <w:bCs/>
                <w:color w:val="auto"/>
                <w:sz w:val="18"/>
                <w:szCs w:val="18"/>
              </w:rPr>
              <w:t>–</w:t>
            </w:r>
            <w:r w:rsidRPr="00BF5A5F">
              <w:rPr>
                <w:rFonts w:hAnsi="Century Gothic"/>
                <w:bCs/>
                <w:color w:val="auto"/>
                <w:sz w:val="18"/>
                <w:szCs w:val="18"/>
              </w:rPr>
              <w:t>13 in all areas of the Marshes. However, as this flow has now not been met in the last three years (ideal frequency), water is needed in 2020</w:t>
            </w:r>
            <w:r w:rsidRPr="00BF5A5F">
              <w:rPr>
                <w:rFonts w:hAnsi="Century Gothic"/>
                <w:bCs/>
                <w:color w:val="auto"/>
                <w:sz w:val="18"/>
                <w:szCs w:val="18"/>
              </w:rPr>
              <w:t>–</w:t>
            </w:r>
            <w:r w:rsidRPr="00BF5A5F">
              <w:rPr>
                <w:rFonts w:hAnsi="Century Gothic"/>
                <w:bCs/>
                <w:color w:val="auto"/>
                <w:sz w:val="18"/>
                <w:szCs w:val="18"/>
              </w:rPr>
              <w:t>21. Therefore, the demand is considered high.</w:t>
            </w:r>
          </w:p>
        </w:tc>
        <w:tc>
          <w:tcPr>
            <w:tcW w:w="452" w:type="pct"/>
            <w:shd w:val="clear" w:color="auto" w:fill="FF0000"/>
            <w:vAlign w:val="center"/>
          </w:tcPr>
          <w:p w14:paraId="36DA0981"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High</w:t>
            </w:r>
          </w:p>
        </w:tc>
        <w:tc>
          <w:tcPr>
            <w:tcW w:w="679" w:type="pct"/>
            <w:shd w:val="clear" w:color="auto" w:fill="95B3D7" w:themeFill="accent1" w:themeFillTint="99"/>
            <w:vAlign w:val="center"/>
          </w:tcPr>
          <w:p w14:paraId="65AB7726" w14:textId="77777777" w:rsidR="00AA0841" w:rsidRPr="00DD2626" w:rsidRDefault="00AA0841" w:rsidP="00AA0841">
            <w:pPr>
              <w:jc w:val="center"/>
              <w:rPr>
                <w:rFonts w:hAnsi="Century Gothic"/>
                <w:color w:val="auto"/>
                <w:sz w:val="18"/>
                <w:szCs w:val="18"/>
              </w:rPr>
            </w:pPr>
            <w:r w:rsidRPr="00DD2626">
              <w:rPr>
                <w:color w:val="auto"/>
                <w:spacing w:val="-1"/>
                <w:sz w:val="18"/>
                <w:szCs w:val="18"/>
              </w:rPr>
              <w:t>Possible use under high or very high water resource availability scenarios. Would require other water sources to meet.</w:t>
            </w:r>
          </w:p>
        </w:tc>
        <w:tc>
          <w:tcPr>
            <w:tcW w:w="513" w:type="pct"/>
            <w:tcBorders>
              <w:right w:val="single" w:sz="12" w:space="0" w:color="auto"/>
            </w:tcBorders>
            <w:shd w:val="clear" w:color="auto" w:fill="FF0000"/>
            <w:vAlign w:val="center"/>
          </w:tcPr>
          <w:p w14:paraId="7E06CC1C"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High</w:t>
            </w:r>
          </w:p>
        </w:tc>
      </w:tr>
      <w:tr w:rsidR="00AA0841" w:rsidRPr="00DD2626" w14:paraId="41A274FD" w14:textId="77777777" w:rsidTr="00AA0841">
        <w:trPr>
          <w:trHeight w:val="1834"/>
        </w:trPr>
        <w:tc>
          <w:tcPr>
            <w:tcW w:w="417" w:type="pct"/>
            <w:vMerge/>
            <w:tcBorders>
              <w:left w:val="single" w:sz="12" w:space="0" w:color="auto"/>
              <w:bottom w:val="single" w:sz="12" w:space="0" w:color="auto"/>
            </w:tcBorders>
            <w:shd w:val="clear" w:color="auto" w:fill="auto"/>
          </w:tcPr>
          <w:p w14:paraId="29FD8785" w14:textId="77777777" w:rsidR="00AA0841" w:rsidRPr="00BF5A5F" w:rsidRDefault="00AA0841" w:rsidP="00AA0841">
            <w:pPr>
              <w:rPr>
                <w:rFonts w:hAnsi="Century Gothic"/>
                <w:bCs/>
                <w:color w:val="auto"/>
                <w:sz w:val="18"/>
                <w:szCs w:val="18"/>
              </w:rPr>
            </w:pPr>
          </w:p>
        </w:tc>
        <w:tc>
          <w:tcPr>
            <w:tcW w:w="355" w:type="pct"/>
            <w:tcBorders>
              <w:bottom w:val="single" w:sz="12" w:space="0" w:color="auto"/>
            </w:tcBorders>
            <w:vAlign w:val="center"/>
          </w:tcPr>
          <w:p w14:paraId="7E44C37E" w14:textId="77777777" w:rsidR="00AA0841" w:rsidRPr="00BF5A5F" w:rsidRDefault="00AA0841" w:rsidP="00AA0841">
            <w:pPr>
              <w:rPr>
                <w:rFonts w:eastAsia="Century Gothic" w:hAnsi="Century Gothic"/>
                <w:color w:val="auto"/>
                <w:sz w:val="18"/>
                <w:szCs w:val="18"/>
              </w:rPr>
            </w:pPr>
            <w:r w:rsidRPr="00BF5A5F">
              <w:rPr>
                <w:color w:val="auto"/>
                <w:spacing w:val="-1"/>
                <w:sz w:val="18"/>
                <w:szCs w:val="18"/>
              </w:rPr>
              <w:t>Orange</w:t>
            </w:r>
            <w:r w:rsidRPr="00BF5A5F">
              <w:rPr>
                <w:color w:val="auto"/>
                <w:spacing w:val="-8"/>
                <w:sz w:val="18"/>
                <w:szCs w:val="18"/>
              </w:rPr>
              <w:t xml:space="preserve"> </w:t>
            </w:r>
            <w:r w:rsidRPr="00BF5A5F">
              <w:rPr>
                <w:color w:val="auto"/>
                <w:sz w:val="18"/>
                <w:szCs w:val="18"/>
              </w:rPr>
              <w:t>and</w:t>
            </w:r>
            <w:r w:rsidRPr="00BF5A5F">
              <w:rPr>
                <w:color w:val="auto"/>
                <w:spacing w:val="22"/>
                <w:sz w:val="18"/>
                <w:szCs w:val="18"/>
              </w:rPr>
              <w:t xml:space="preserve"> </w:t>
            </w:r>
            <w:r w:rsidRPr="00BF5A5F">
              <w:rPr>
                <w:color w:val="auto"/>
                <w:spacing w:val="-1"/>
                <w:sz w:val="18"/>
                <w:szCs w:val="18"/>
              </w:rPr>
              <w:t>green</w:t>
            </w:r>
            <w:r w:rsidRPr="00BF5A5F">
              <w:rPr>
                <w:color w:val="auto"/>
                <w:spacing w:val="23"/>
                <w:w w:val="99"/>
                <w:sz w:val="18"/>
                <w:szCs w:val="18"/>
              </w:rPr>
              <w:t xml:space="preserve"> </w:t>
            </w:r>
            <w:r w:rsidRPr="00BF5A5F">
              <w:rPr>
                <w:color w:val="auto"/>
                <w:spacing w:val="-1"/>
                <w:sz w:val="18"/>
                <w:szCs w:val="18"/>
              </w:rPr>
              <w:t>inundation</w:t>
            </w:r>
            <w:r w:rsidRPr="00BF5A5F">
              <w:rPr>
                <w:color w:val="auto"/>
                <w:spacing w:val="28"/>
                <w:w w:val="99"/>
                <w:sz w:val="18"/>
                <w:szCs w:val="18"/>
              </w:rPr>
              <w:t xml:space="preserve"> </w:t>
            </w:r>
            <w:r w:rsidRPr="00BF5A5F">
              <w:rPr>
                <w:color w:val="auto"/>
                <w:sz w:val="18"/>
                <w:szCs w:val="18"/>
              </w:rPr>
              <w:t>zones</w:t>
            </w:r>
            <w:r w:rsidRPr="00BF5A5F">
              <w:rPr>
                <w:color w:val="auto"/>
                <w:spacing w:val="-1"/>
                <w:sz w:val="18"/>
                <w:szCs w:val="18"/>
              </w:rPr>
              <w:t xml:space="preserve"> </w:t>
            </w:r>
            <w:r w:rsidRPr="00BF5A5F">
              <w:rPr>
                <w:color w:val="auto"/>
                <w:spacing w:val="-3"/>
                <w:sz w:val="18"/>
                <w:szCs w:val="18"/>
              </w:rPr>
              <w:t>(81 </w:t>
            </w:r>
            <w:r w:rsidRPr="00BF5A5F">
              <w:rPr>
                <w:color w:val="auto"/>
                <w:sz w:val="18"/>
                <w:szCs w:val="18"/>
              </w:rPr>
              <w:t>000</w:t>
            </w:r>
            <w:r w:rsidRPr="00BF5A5F">
              <w:rPr>
                <w:color w:val="auto"/>
                <w:spacing w:val="-3"/>
                <w:sz w:val="18"/>
                <w:szCs w:val="18"/>
              </w:rPr>
              <w:t xml:space="preserve"> </w:t>
            </w:r>
            <w:r w:rsidRPr="00BF5A5F">
              <w:rPr>
                <w:color w:val="auto"/>
                <w:sz w:val="18"/>
                <w:szCs w:val="18"/>
              </w:rPr>
              <w:t>to 145 </w:t>
            </w:r>
            <w:r w:rsidRPr="00BF5A5F">
              <w:rPr>
                <w:color w:val="auto"/>
                <w:spacing w:val="-1"/>
                <w:sz w:val="18"/>
                <w:szCs w:val="18"/>
              </w:rPr>
              <w:t>000 ha)</w:t>
            </w:r>
          </w:p>
        </w:tc>
        <w:tc>
          <w:tcPr>
            <w:tcW w:w="743" w:type="pct"/>
            <w:tcBorders>
              <w:bottom w:val="single" w:sz="12" w:space="0" w:color="auto"/>
            </w:tcBorders>
            <w:shd w:val="clear" w:color="auto" w:fill="auto"/>
            <w:vAlign w:val="center"/>
          </w:tcPr>
          <w:p w14:paraId="2F0CB23C" w14:textId="77777777" w:rsidR="00AA0841" w:rsidRPr="00BF5A5F" w:rsidRDefault="00AA0841" w:rsidP="00AA0841">
            <w:pPr>
              <w:rPr>
                <w:rFonts w:hAnsi="Century Gothic"/>
                <w:color w:val="auto"/>
                <w:sz w:val="18"/>
                <w:szCs w:val="18"/>
              </w:rPr>
            </w:pPr>
            <w:r w:rsidRPr="00BF5A5F">
              <w:rPr>
                <w:color w:val="auto"/>
                <w:sz w:val="18"/>
                <w:szCs w:val="18"/>
              </w:rPr>
              <w:t>400</w:t>
            </w:r>
            <w:r w:rsidRPr="00BF5A5F">
              <w:rPr>
                <w:color w:val="auto"/>
                <w:spacing w:val="-5"/>
                <w:sz w:val="18"/>
                <w:szCs w:val="18"/>
              </w:rPr>
              <w:t xml:space="preserve"> </w:t>
            </w:r>
            <w:r w:rsidRPr="00BF5A5F">
              <w:rPr>
                <w:color w:val="auto"/>
                <w:sz w:val="18"/>
                <w:szCs w:val="18"/>
              </w:rPr>
              <w:t>to</w:t>
            </w:r>
            <w:r w:rsidRPr="00BF5A5F">
              <w:rPr>
                <w:color w:val="auto"/>
                <w:spacing w:val="-4"/>
                <w:sz w:val="18"/>
                <w:szCs w:val="18"/>
              </w:rPr>
              <w:t xml:space="preserve"> </w:t>
            </w:r>
            <w:r w:rsidRPr="00BF5A5F">
              <w:rPr>
                <w:color w:val="auto"/>
                <w:spacing w:val="-1"/>
                <w:sz w:val="18"/>
                <w:szCs w:val="18"/>
              </w:rPr>
              <w:t>700</w:t>
            </w:r>
            <w:r w:rsidRPr="00BF5A5F">
              <w:rPr>
                <w:color w:val="auto"/>
                <w:spacing w:val="-2"/>
                <w:sz w:val="18"/>
                <w:szCs w:val="18"/>
              </w:rPr>
              <w:t xml:space="preserve"> </w:t>
            </w:r>
            <w:r w:rsidRPr="00BF5A5F">
              <w:rPr>
                <w:color w:val="auto"/>
                <w:spacing w:val="-1"/>
                <w:sz w:val="18"/>
                <w:szCs w:val="18"/>
              </w:rPr>
              <w:t>GL</w:t>
            </w:r>
            <w:r w:rsidRPr="00BF5A5F">
              <w:rPr>
                <w:color w:val="auto"/>
                <w:spacing w:val="-3"/>
                <w:sz w:val="18"/>
                <w:szCs w:val="18"/>
              </w:rPr>
              <w:t xml:space="preserve"> </w:t>
            </w:r>
            <w:r w:rsidRPr="00BF5A5F">
              <w:rPr>
                <w:color w:val="auto"/>
                <w:spacing w:val="-1"/>
                <w:sz w:val="18"/>
                <w:szCs w:val="18"/>
              </w:rPr>
              <w:t>at</w:t>
            </w:r>
            <w:r w:rsidRPr="00BF5A5F">
              <w:rPr>
                <w:color w:val="auto"/>
                <w:spacing w:val="-4"/>
                <w:sz w:val="18"/>
                <w:szCs w:val="18"/>
              </w:rPr>
              <w:t xml:space="preserve"> </w:t>
            </w:r>
            <w:r w:rsidRPr="00BF5A5F">
              <w:rPr>
                <w:color w:val="auto"/>
                <w:spacing w:val="-1"/>
                <w:sz w:val="18"/>
                <w:szCs w:val="18"/>
              </w:rPr>
              <w:t>Marebone</w:t>
            </w:r>
            <w:r w:rsidRPr="00BF5A5F">
              <w:rPr>
                <w:color w:val="auto"/>
                <w:spacing w:val="30"/>
                <w:w w:val="99"/>
                <w:sz w:val="18"/>
                <w:szCs w:val="18"/>
              </w:rPr>
              <w:t xml:space="preserve"> </w:t>
            </w:r>
            <w:r w:rsidRPr="00BF5A5F">
              <w:rPr>
                <w:color w:val="auto"/>
                <w:spacing w:val="-1"/>
                <w:sz w:val="18"/>
                <w:szCs w:val="18"/>
              </w:rPr>
              <w:t>over</w:t>
            </w:r>
            <w:r w:rsidRPr="00BF5A5F">
              <w:rPr>
                <w:color w:val="auto"/>
                <w:spacing w:val="-6"/>
                <w:sz w:val="18"/>
                <w:szCs w:val="18"/>
              </w:rPr>
              <w:t xml:space="preserve"> </w:t>
            </w:r>
            <w:r w:rsidRPr="00BF5A5F">
              <w:rPr>
                <w:color w:val="auto"/>
                <w:sz w:val="18"/>
                <w:szCs w:val="18"/>
              </w:rPr>
              <w:t>5</w:t>
            </w:r>
            <w:r w:rsidRPr="00BF5A5F">
              <w:rPr>
                <w:color w:val="auto"/>
                <w:spacing w:val="-5"/>
                <w:sz w:val="18"/>
                <w:szCs w:val="18"/>
              </w:rPr>
              <w:t xml:space="preserve"> </w:t>
            </w:r>
            <w:r w:rsidRPr="00BF5A5F">
              <w:rPr>
                <w:color w:val="auto"/>
                <w:spacing w:val="-1"/>
                <w:sz w:val="18"/>
                <w:szCs w:val="18"/>
              </w:rPr>
              <w:t>months</w:t>
            </w:r>
            <w:r w:rsidRPr="00BF5A5F">
              <w:rPr>
                <w:color w:val="auto"/>
                <w:spacing w:val="-7"/>
                <w:sz w:val="18"/>
                <w:szCs w:val="18"/>
              </w:rPr>
              <w:t xml:space="preserve"> </w:t>
            </w:r>
            <w:r w:rsidRPr="00BF5A5F">
              <w:rPr>
                <w:color w:val="auto"/>
                <w:spacing w:val="-1"/>
                <w:sz w:val="18"/>
                <w:szCs w:val="18"/>
              </w:rPr>
              <w:t>between</w:t>
            </w:r>
            <w:r w:rsidRPr="00BF5A5F">
              <w:rPr>
                <w:color w:val="auto"/>
                <w:spacing w:val="27"/>
                <w:w w:val="99"/>
                <w:sz w:val="18"/>
                <w:szCs w:val="18"/>
              </w:rPr>
              <w:t xml:space="preserve"> </w:t>
            </w:r>
            <w:r w:rsidRPr="00BF5A5F">
              <w:rPr>
                <w:color w:val="auto"/>
                <w:sz w:val="18"/>
                <w:szCs w:val="18"/>
              </w:rPr>
              <w:t>June</w:t>
            </w:r>
            <w:r w:rsidRPr="00BF5A5F">
              <w:rPr>
                <w:color w:val="auto"/>
                <w:spacing w:val="-5"/>
                <w:sz w:val="18"/>
                <w:szCs w:val="18"/>
              </w:rPr>
              <w:t xml:space="preserve"> </w:t>
            </w:r>
            <w:r w:rsidRPr="00BF5A5F">
              <w:rPr>
                <w:color w:val="auto"/>
                <w:sz w:val="18"/>
                <w:szCs w:val="18"/>
              </w:rPr>
              <w:t xml:space="preserve">and </w:t>
            </w:r>
            <w:r w:rsidRPr="00BF5A5F">
              <w:rPr>
                <w:color w:val="auto"/>
                <w:spacing w:val="-2"/>
                <w:sz w:val="18"/>
                <w:szCs w:val="18"/>
              </w:rPr>
              <w:t>April</w:t>
            </w:r>
            <w:r w:rsidRPr="00BF5A5F">
              <w:rPr>
                <w:color w:val="auto"/>
                <w:spacing w:val="-4"/>
                <w:sz w:val="18"/>
                <w:szCs w:val="18"/>
              </w:rPr>
              <w:t xml:space="preserve"> </w:t>
            </w:r>
            <w:r w:rsidRPr="00BF5A5F">
              <w:rPr>
                <w:color w:val="auto"/>
                <w:spacing w:val="-1"/>
                <w:sz w:val="18"/>
                <w:szCs w:val="18"/>
              </w:rPr>
              <w:t>to</w:t>
            </w:r>
            <w:r w:rsidRPr="00BF5A5F">
              <w:rPr>
                <w:color w:val="auto"/>
                <w:spacing w:val="-7"/>
                <w:sz w:val="18"/>
                <w:szCs w:val="18"/>
              </w:rPr>
              <w:t xml:space="preserve"> </w:t>
            </w:r>
            <w:r w:rsidRPr="00BF5A5F">
              <w:rPr>
                <w:color w:val="auto"/>
                <w:spacing w:val="-1"/>
                <w:sz w:val="18"/>
                <w:szCs w:val="18"/>
              </w:rPr>
              <w:t>inundate</w:t>
            </w:r>
            <w:r w:rsidRPr="00BF5A5F">
              <w:rPr>
                <w:color w:val="auto"/>
                <w:spacing w:val="29"/>
                <w:w w:val="99"/>
                <w:sz w:val="18"/>
                <w:szCs w:val="18"/>
              </w:rPr>
              <w:t xml:space="preserve"> </w:t>
            </w:r>
            <w:r w:rsidRPr="00BF5A5F">
              <w:rPr>
                <w:color w:val="auto"/>
                <w:spacing w:val="-1"/>
                <w:sz w:val="18"/>
                <w:szCs w:val="18"/>
              </w:rPr>
              <w:t>outer</w:t>
            </w:r>
            <w:r w:rsidRPr="00BF5A5F">
              <w:rPr>
                <w:color w:val="auto"/>
                <w:spacing w:val="-4"/>
                <w:sz w:val="18"/>
                <w:szCs w:val="18"/>
              </w:rPr>
              <w:t xml:space="preserve"> </w:t>
            </w:r>
            <w:r w:rsidRPr="00BF5A5F">
              <w:rPr>
                <w:color w:val="auto"/>
                <w:spacing w:val="-1"/>
                <w:sz w:val="18"/>
                <w:szCs w:val="18"/>
              </w:rPr>
              <w:t>river</w:t>
            </w:r>
            <w:r w:rsidRPr="00BF5A5F">
              <w:rPr>
                <w:color w:val="auto"/>
                <w:spacing w:val="-6"/>
                <w:sz w:val="18"/>
                <w:szCs w:val="18"/>
              </w:rPr>
              <w:t xml:space="preserve"> </w:t>
            </w:r>
            <w:r w:rsidRPr="00BF5A5F">
              <w:rPr>
                <w:color w:val="auto"/>
                <w:sz w:val="18"/>
                <w:szCs w:val="18"/>
              </w:rPr>
              <w:t>red</w:t>
            </w:r>
            <w:r w:rsidRPr="00BF5A5F">
              <w:rPr>
                <w:color w:val="auto"/>
                <w:spacing w:val="-5"/>
                <w:sz w:val="18"/>
                <w:szCs w:val="18"/>
              </w:rPr>
              <w:t xml:space="preserve"> </w:t>
            </w:r>
            <w:r w:rsidRPr="00BF5A5F">
              <w:rPr>
                <w:color w:val="auto"/>
                <w:spacing w:val="-1"/>
                <w:sz w:val="18"/>
                <w:szCs w:val="18"/>
              </w:rPr>
              <w:t>gum</w:t>
            </w:r>
            <w:r w:rsidRPr="00BF5A5F">
              <w:rPr>
                <w:color w:val="auto"/>
                <w:spacing w:val="-4"/>
                <w:sz w:val="18"/>
                <w:szCs w:val="18"/>
              </w:rPr>
              <w:t xml:space="preserve"> </w:t>
            </w:r>
            <w:r w:rsidRPr="00BF5A5F">
              <w:rPr>
                <w:color w:val="auto"/>
                <w:spacing w:val="-2"/>
                <w:sz w:val="18"/>
                <w:szCs w:val="18"/>
              </w:rPr>
              <w:t>(RRG)</w:t>
            </w:r>
            <w:r w:rsidRPr="00BF5A5F">
              <w:rPr>
                <w:color w:val="auto"/>
                <w:spacing w:val="29"/>
                <w:sz w:val="18"/>
                <w:szCs w:val="18"/>
              </w:rPr>
              <w:t xml:space="preserve"> </w:t>
            </w:r>
            <w:r w:rsidRPr="00BF5A5F">
              <w:rPr>
                <w:color w:val="auto"/>
                <w:spacing w:val="-1"/>
                <w:sz w:val="18"/>
                <w:szCs w:val="18"/>
              </w:rPr>
              <w:t>woodland,</w:t>
            </w:r>
            <w:r w:rsidRPr="00BF5A5F">
              <w:rPr>
                <w:color w:val="auto"/>
                <w:spacing w:val="-8"/>
                <w:sz w:val="18"/>
                <w:szCs w:val="18"/>
              </w:rPr>
              <w:t xml:space="preserve"> </w:t>
            </w:r>
            <w:r w:rsidRPr="00BF5A5F">
              <w:rPr>
                <w:color w:val="auto"/>
                <w:spacing w:val="-1"/>
                <w:sz w:val="18"/>
                <w:szCs w:val="18"/>
              </w:rPr>
              <w:t>coolibah,</w:t>
            </w:r>
            <w:r w:rsidRPr="00BF5A5F">
              <w:rPr>
                <w:color w:val="auto"/>
                <w:spacing w:val="-8"/>
                <w:sz w:val="18"/>
                <w:szCs w:val="18"/>
              </w:rPr>
              <w:t xml:space="preserve"> </w:t>
            </w:r>
            <w:r w:rsidRPr="00BF5A5F">
              <w:rPr>
                <w:color w:val="auto"/>
                <w:sz w:val="18"/>
                <w:szCs w:val="18"/>
              </w:rPr>
              <w:t>and</w:t>
            </w:r>
            <w:r w:rsidRPr="00BF5A5F">
              <w:rPr>
                <w:color w:val="auto"/>
                <w:spacing w:val="27"/>
                <w:sz w:val="18"/>
                <w:szCs w:val="18"/>
              </w:rPr>
              <w:t xml:space="preserve"> </w:t>
            </w:r>
            <w:r w:rsidRPr="00BF5A5F">
              <w:rPr>
                <w:color w:val="auto"/>
                <w:spacing w:val="-1"/>
                <w:sz w:val="18"/>
                <w:szCs w:val="18"/>
              </w:rPr>
              <w:t>black</w:t>
            </w:r>
            <w:r w:rsidRPr="00BF5A5F">
              <w:rPr>
                <w:color w:val="auto"/>
                <w:spacing w:val="-6"/>
                <w:sz w:val="18"/>
                <w:szCs w:val="18"/>
              </w:rPr>
              <w:t xml:space="preserve"> </w:t>
            </w:r>
            <w:r w:rsidRPr="00BF5A5F">
              <w:rPr>
                <w:color w:val="auto"/>
                <w:spacing w:val="-1"/>
                <w:sz w:val="18"/>
                <w:szCs w:val="18"/>
              </w:rPr>
              <w:t>box</w:t>
            </w:r>
          </w:p>
        </w:tc>
        <w:tc>
          <w:tcPr>
            <w:tcW w:w="485" w:type="pct"/>
            <w:tcBorders>
              <w:bottom w:val="single" w:sz="12" w:space="0" w:color="auto"/>
            </w:tcBorders>
            <w:shd w:val="clear" w:color="auto" w:fill="auto"/>
            <w:vAlign w:val="center"/>
          </w:tcPr>
          <w:p w14:paraId="151E6C36" w14:textId="77777777" w:rsidR="00AA0841" w:rsidRPr="00BF5A5F" w:rsidRDefault="00AA0841" w:rsidP="00AA0841">
            <w:pPr>
              <w:rPr>
                <w:color w:val="auto"/>
                <w:spacing w:val="22"/>
                <w:sz w:val="18"/>
                <w:szCs w:val="18"/>
              </w:rPr>
            </w:pPr>
            <w:r w:rsidRPr="00BF5A5F">
              <w:rPr>
                <w:color w:val="auto"/>
                <w:spacing w:val="-1"/>
                <w:sz w:val="18"/>
                <w:szCs w:val="18"/>
              </w:rPr>
              <w:t>Ideally:</w:t>
            </w:r>
            <w:r w:rsidRPr="00BF5A5F">
              <w:rPr>
                <w:color w:val="auto"/>
                <w:spacing w:val="-4"/>
                <w:sz w:val="18"/>
                <w:szCs w:val="18"/>
              </w:rPr>
              <w:t xml:space="preserve"> </w:t>
            </w:r>
            <w:r w:rsidRPr="00BF5A5F">
              <w:rPr>
                <w:color w:val="auto"/>
                <w:sz w:val="18"/>
                <w:szCs w:val="18"/>
              </w:rPr>
              <w:t>1 in</w:t>
            </w:r>
            <w:r w:rsidRPr="00BF5A5F">
              <w:rPr>
                <w:color w:val="auto"/>
                <w:spacing w:val="-1"/>
                <w:sz w:val="18"/>
                <w:szCs w:val="18"/>
              </w:rPr>
              <w:t xml:space="preserve"> </w:t>
            </w:r>
            <w:r w:rsidRPr="00BF5A5F">
              <w:rPr>
                <w:color w:val="auto"/>
                <w:sz w:val="18"/>
                <w:szCs w:val="18"/>
              </w:rPr>
              <w:t>4</w:t>
            </w:r>
            <w:r w:rsidRPr="00BF5A5F">
              <w:rPr>
                <w:color w:val="auto"/>
                <w:spacing w:val="25"/>
                <w:sz w:val="18"/>
                <w:szCs w:val="18"/>
              </w:rPr>
              <w:t xml:space="preserve"> </w:t>
            </w:r>
            <w:r w:rsidRPr="00BF5A5F">
              <w:rPr>
                <w:color w:val="auto"/>
                <w:spacing w:val="-1"/>
                <w:sz w:val="18"/>
                <w:szCs w:val="18"/>
              </w:rPr>
              <w:t>years</w:t>
            </w:r>
            <w:r w:rsidRPr="00BF5A5F">
              <w:rPr>
                <w:color w:val="auto"/>
                <w:spacing w:val="-5"/>
                <w:sz w:val="18"/>
                <w:szCs w:val="18"/>
              </w:rPr>
              <w:t xml:space="preserve"> </w:t>
            </w:r>
            <w:r w:rsidRPr="00BF5A5F">
              <w:rPr>
                <w:color w:val="auto"/>
                <w:spacing w:val="-2"/>
                <w:sz w:val="18"/>
                <w:szCs w:val="18"/>
              </w:rPr>
              <w:t>(RRG),</w:t>
            </w:r>
            <w:r w:rsidRPr="00BF5A5F">
              <w:rPr>
                <w:color w:val="auto"/>
                <w:spacing w:val="27"/>
                <w:w w:val="99"/>
                <w:sz w:val="18"/>
                <w:szCs w:val="18"/>
              </w:rPr>
              <w:t xml:space="preserve"> </w:t>
            </w:r>
            <w:r w:rsidRPr="00BF5A5F">
              <w:rPr>
                <w:color w:val="auto"/>
                <w:sz w:val="18"/>
                <w:szCs w:val="18"/>
              </w:rPr>
              <w:t>or</w:t>
            </w:r>
            <w:r w:rsidRPr="00BF5A5F">
              <w:rPr>
                <w:color w:val="auto"/>
                <w:spacing w:val="-1"/>
                <w:sz w:val="18"/>
                <w:szCs w:val="18"/>
              </w:rPr>
              <w:t xml:space="preserve"> </w:t>
            </w:r>
            <w:r w:rsidRPr="00BF5A5F">
              <w:rPr>
                <w:color w:val="auto"/>
                <w:sz w:val="18"/>
                <w:szCs w:val="18"/>
              </w:rPr>
              <w:t>1</w:t>
            </w:r>
            <w:r w:rsidRPr="00BF5A5F">
              <w:rPr>
                <w:color w:val="auto"/>
                <w:spacing w:val="-2"/>
                <w:sz w:val="18"/>
                <w:szCs w:val="18"/>
              </w:rPr>
              <w:t xml:space="preserve"> </w:t>
            </w:r>
            <w:r w:rsidRPr="00BF5A5F">
              <w:rPr>
                <w:color w:val="auto"/>
                <w:spacing w:val="1"/>
                <w:sz w:val="18"/>
                <w:szCs w:val="18"/>
              </w:rPr>
              <w:t>in</w:t>
            </w:r>
            <w:r w:rsidRPr="00BF5A5F">
              <w:rPr>
                <w:color w:val="auto"/>
                <w:spacing w:val="-3"/>
                <w:sz w:val="18"/>
                <w:szCs w:val="18"/>
              </w:rPr>
              <w:t xml:space="preserve"> </w:t>
            </w:r>
            <w:r w:rsidRPr="00BF5A5F">
              <w:rPr>
                <w:color w:val="auto"/>
                <w:sz w:val="18"/>
                <w:szCs w:val="18"/>
              </w:rPr>
              <w:t xml:space="preserve">8 </w:t>
            </w:r>
            <w:r w:rsidRPr="00BF5A5F">
              <w:rPr>
                <w:color w:val="auto"/>
                <w:spacing w:val="-1"/>
                <w:sz w:val="18"/>
                <w:szCs w:val="18"/>
              </w:rPr>
              <w:t>years</w:t>
            </w:r>
            <w:r w:rsidRPr="00BF5A5F">
              <w:rPr>
                <w:color w:val="auto"/>
                <w:spacing w:val="22"/>
                <w:sz w:val="18"/>
                <w:szCs w:val="18"/>
              </w:rPr>
              <w:t xml:space="preserve"> </w:t>
            </w:r>
            <w:r w:rsidRPr="00BF5A5F">
              <w:rPr>
                <w:color w:val="auto"/>
                <w:spacing w:val="-1"/>
                <w:sz w:val="18"/>
                <w:szCs w:val="18"/>
              </w:rPr>
              <w:t>(other</w:t>
            </w:r>
            <w:r w:rsidRPr="00BF5A5F">
              <w:rPr>
                <w:color w:val="auto"/>
                <w:spacing w:val="-7"/>
                <w:sz w:val="18"/>
                <w:szCs w:val="18"/>
              </w:rPr>
              <w:t xml:space="preserve"> </w:t>
            </w:r>
            <w:r w:rsidRPr="00BF5A5F">
              <w:rPr>
                <w:color w:val="auto"/>
                <w:sz w:val="18"/>
                <w:szCs w:val="18"/>
              </w:rPr>
              <w:t>veg)</w:t>
            </w:r>
          </w:p>
          <w:p w14:paraId="4B2A00E0" w14:textId="77777777" w:rsidR="00AA0841" w:rsidRPr="00BF5A5F" w:rsidRDefault="00AA0841" w:rsidP="00AA0841">
            <w:pPr>
              <w:rPr>
                <w:rFonts w:eastAsia="Century Gothic" w:hAnsi="Century Gothic"/>
                <w:color w:val="auto"/>
                <w:sz w:val="18"/>
                <w:szCs w:val="18"/>
              </w:rPr>
            </w:pPr>
            <w:r w:rsidRPr="00BF5A5F">
              <w:rPr>
                <w:color w:val="auto"/>
                <w:spacing w:val="-1"/>
                <w:sz w:val="18"/>
                <w:szCs w:val="18"/>
              </w:rPr>
              <w:t>(Max</w:t>
            </w:r>
            <w:r w:rsidRPr="00BF5A5F">
              <w:rPr>
                <w:color w:val="auto"/>
                <w:spacing w:val="-6"/>
                <w:sz w:val="18"/>
                <w:szCs w:val="18"/>
              </w:rPr>
              <w:t xml:space="preserve"> </w:t>
            </w:r>
            <w:r w:rsidRPr="00BF5A5F">
              <w:rPr>
                <w:color w:val="auto"/>
                <w:spacing w:val="-1"/>
                <w:sz w:val="18"/>
                <w:szCs w:val="18"/>
              </w:rPr>
              <w:t>interval:</w:t>
            </w:r>
            <w:r w:rsidRPr="00BF5A5F">
              <w:rPr>
                <w:color w:val="auto"/>
                <w:spacing w:val="25"/>
                <w:sz w:val="18"/>
                <w:szCs w:val="18"/>
              </w:rPr>
              <w:t xml:space="preserve"> </w:t>
            </w:r>
            <w:r w:rsidRPr="00BF5A5F">
              <w:rPr>
                <w:color w:val="auto"/>
                <w:sz w:val="18"/>
                <w:szCs w:val="18"/>
              </w:rPr>
              <w:t>7</w:t>
            </w:r>
            <w:r w:rsidRPr="00BF5A5F">
              <w:rPr>
                <w:color w:val="auto"/>
                <w:spacing w:val="-2"/>
                <w:sz w:val="18"/>
                <w:szCs w:val="18"/>
              </w:rPr>
              <w:t xml:space="preserve"> </w:t>
            </w:r>
            <w:r w:rsidRPr="00BF5A5F">
              <w:rPr>
                <w:color w:val="auto"/>
                <w:spacing w:val="-1"/>
                <w:sz w:val="18"/>
                <w:szCs w:val="18"/>
              </w:rPr>
              <w:t>years</w:t>
            </w:r>
            <w:r w:rsidRPr="00BF5A5F">
              <w:rPr>
                <w:color w:val="auto"/>
                <w:spacing w:val="1"/>
                <w:sz w:val="18"/>
                <w:szCs w:val="18"/>
              </w:rPr>
              <w:t xml:space="preserve"> </w:t>
            </w:r>
            <w:r w:rsidRPr="00BF5A5F">
              <w:rPr>
                <w:color w:val="auto"/>
                <w:spacing w:val="-2"/>
                <w:sz w:val="18"/>
                <w:szCs w:val="18"/>
              </w:rPr>
              <w:t xml:space="preserve">(RRG) </w:t>
            </w:r>
            <w:r w:rsidRPr="00BF5A5F">
              <w:rPr>
                <w:color w:val="auto"/>
                <w:sz w:val="18"/>
                <w:szCs w:val="18"/>
              </w:rPr>
              <w:t>20</w:t>
            </w:r>
            <w:r w:rsidRPr="00BF5A5F">
              <w:rPr>
                <w:color w:val="auto"/>
                <w:spacing w:val="-1"/>
                <w:sz w:val="18"/>
                <w:szCs w:val="18"/>
              </w:rPr>
              <w:t xml:space="preserve"> years</w:t>
            </w:r>
            <w:r w:rsidRPr="00BF5A5F">
              <w:rPr>
                <w:color w:val="auto"/>
                <w:spacing w:val="23"/>
                <w:sz w:val="18"/>
                <w:szCs w:val="18"/>
              </w:rPr>
              <w:t xml:space="preserve"> </w:t>
            </w:r>
            <w:r w:rsidRPr="00BF5A5F">
              <w:rPr>
                <w:color w:val="auto"/>
                <w:spacing w:val="-1"/>
                <w:sz w:val="18"/>
                <w:szCs w:val="18"/>
              </w:rPr>
              <w:t>(other</w:t>
            </w:r>
            <w:r w:rsidRPr="00BF5A5F">
              <w:rPr>
                <w:color w:val="auto"/>
                <w:spacing w:val="-7"/>
                <w:sz w:val="18"/>
                <w:szCs w:val="18"/>
              </w:rPr>
              <w:t xml:space="preserve"> </w:t>
            </w:r>
            <w:r w:rsidRPr="00BF5A5F">
              <w:rPr>
                <w:color w:val="auto"/>
                <w:spacing w:val="-1"/>
                <w:sz w:val="18"/>
                <w:szCs w:val="18"/>
              </w:rPr>
              <w:t>veg))</w:t>
            </w:r>
          </w:p>
        </w:tc>
        <w:tc>
          <w:tcPr>
            <w:tcW w:w="1356" w:type="pct"/>
            <w:tcBorders>
              <w:bottom w:val="single" w:sz="12" w:space="0" w:color="auto"/>
            </w:tcBorders>
            <w:shd w:val="clear" w:color="auto" w:fill="auto"/>
            <w:vAlign w:val="center"/>
          </w:tcPr>
          <w:p w14:paraId="25706020" w14:textId="77777777" w:rsidR="00AA0841" w:rsidRPr="00BF5A5F" w:rsidRDefault="00AA0841" w:rsidP="00AA0841">
            <w:pPr>
              <w:spacing w:after="60"/>
              <w:jc w:val="center"/>
              <w:rPr>
                <w:rFonts w:hAnsi="Century Gothic"/>
                <w:bCs/>
                <w:color w:val="auto"/>
                <w:sz w:val="18"/>
                <w:szCs w:val="18"/>
                <w:highlight w:val="lightGray"/>
              </w:rPr>
            </w:pPr>
            <w:r w:rsidRPr="00BF5A5F">
              <w:rPr>
                <w:rFonts w:cstheme="minorHAnsi"/>
                <w:bCs/>
                <w:color w:val="auto"/>
                <w:sz w:val="18"/>
                <w:szCs w:val="18"/>
              </w:rPr>
              <w:t>Demand last met in 2016–17 in all areas of the Marshes and previously in 2010–11. Some minor inundation occurred in 2011–12 and 2012–13. The condition of this area may be affected by low inflows and below average rainfall during extreme drought conditions. Demand is considered moderate to high, requiring water in 2020–21 or 2021–22, particularly to maintain river red gum woodland.</w:t>
            </w:r>
          </w:p>
        </w:tc>
        <w:tc>
          <w:tcPr>
            <w:tcW w:w="452" w:type="pct"/>
            <w:tcBorders>
              <w:bottom w:val="single" w:sz="12" w:space="0" w:color="auto"/>
            </w:tcBorders>
            <w:shd w:val="clear" w:color="auto" w:fill="FFC000"/>
            <w:vAlign w:val="center"/>
          </w:tcPr>
          <w:p w14:paraId="632481CA"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Moderate to High</w:t>
            </w:r>
          </w:p>
        </w:tc>
        <w:tc>
          <w:tcPr>
            <w:tcW w:w="679" w:type="pct"/>
            <w:tcBorders>
              <w:bottom w:val="single" w:sz="12" w:space="0" w:color="auto"/>
            </w:tcBorders>
            <w:shd w:val="clear" w:color="auto" w:fill="auto"/>
            <w:vAlign w:val="center"/>
          </w:tcPr>
          <w:p w14:paraId="0A941E3E" w14:textId="77777777" w:rsidR="00AA0841" w:rsidRPr="00DD2626" w:rsidRDefault="00AA0841" w:rsidP="00AA0841">
            <w:pPr>
              <w:jc w:val="center"/>
              <w:rPr>
                <w:rFonts w:hAnsi="Century Gothic"/>
                <w:color w:val="auto"/>
                <w:sz w:val="18"/>
                <w:szCs w:val="18"/>
                <w:highlight w:val="lightGray"/>
              </w:rPr>
            </w:pPr>
            <w:r w:rsidRPr="00DD2626">
              <w:rPr>
                <w:color w:val="auto"/>
                <w:spacing w:val="-1"/>
                <w:sz w:val="18"/>
                <w:szCs w:val="18"/>
              </w:rPr>
              <w:t xml:space="preserve">Low priority for use of CEW in 2020–21 </w:t>
            </w:r>
            <w:r w:rsidRPr="00DD2626">
              <w:rPr>
                <w:rFonts w:hAnsi="Century Gothic"/>
                <w:color w:val="auto"/>
                <w:sz w:val="18"/>
                <w:szCs w:val="18"/>
              </w:rPr>
              <w:t>and o</w:t>
            </w:r>
            <w:r w:rsidRPr="00DD2626">
              <w:rPr>
                <w:color w:val="auto"/>
                <w:spacing w:val="-1"/>
                <w:sz w:val="18"/>
                <w:szCs w:val="18"/>
              </w:rPr>
              <w:t xml:space="preserve">nly able </w:t>
            </w:r>
            <w:r w:rsidRPr="00DD2626">
              <w:rPr>
                <w:color w:val="auto"/>
                <w:sz w:val="18"/>
                <w:szCs w:val="18"/>
              </w:rPr>
              <w:t>to</w:t>
            </w:r>
            <w:r w:rsidRPr="00DD2626">
              <w:rPr>
                <w:color w:val="auto"/>
                <w:spacing w:val="23"/>
                <w:w w:val="99"/>
                <w:sz w:val="18"/>
                <w:szCs w:val="18"/>
              </w:rPr>
              <w:t xml:space="preserve"> </w:t>
            </w:r>
            <w:r w:rsidRPr="00DD2626">
              <w:rPr>
                <w:color w:val="auto"/>
                <w:spacing w:val="-1"/>
                <w:sz w:val="18"/>
                <w:szCs w:val="18"/>
              </w:rPr>
              <w:t>contribute</w:t>
            </w:r>
            <w:r w:rsidRPr="00DD2626">
              <w:rPr>
                <w:color w:val="auto"/>
                <w:spacing w:val="-6"/>
                <w:sz w:val="18"/>
                <w:szCs w:val="18"/>
              </w:rPr>
              <w:t xml:space="preserve"> </w:t>
            </w:r>
            <w:r w:rsidRPr="00DD2626">
              <w:rPr>
                <w:color w:val="auto"/>
                <w:sz w:val="18"/>
                <w:szCs w:val="18"/>
              </w:rPr>
              <w:t>to</w:t>
            </w:r>
            <w:r w:rsidRPr="00DD2626">
              <w:rPr>
                <w:color w:val="auto"/>
                <w:spacing w:val="-6"/>
                <w:sz w:val="18"/>
                <w:szCs w:val="18"/>
              </w:rPr>
              <w:t xml:space="preserve"> </w:t>
            </w:r>
            <w:r w:rsidRPr="00DD2626">
              <w:rPr>
                <w:color w:val="auto"/>
                <w:sz w:val="18"/>
                <w:szCs w:val="18"/>
              </w:rPr>
              <w:t>this</w:t>
            </w:r>
            <w:r w:rsidRPr="00DD2626">
              <w:rPr>
                <w:color w:val="auto"/>
                <w:spacing w:val="28"/>
                <w:sz w:val="18"/>
                <w:szCs w:val="18"/>
              </w:rPr>
              <w:t xml:space="preserve"> </w:t>
            </w:r>
            <w:r w:rsidRPr="00DD2626">
              <w:rPr>
                <w:color w:val="auto"/>
                <w:spacing w:val="-1"/>
                <w:sz w:val="18"/>
                <w:szCs w:val="18"/>
              </w:rPr>
              <w:t>demand</w:t>
            </w:r>
            <w:r w:rsidRPr="00DD2626">
              <w:rPr>
                <w:color w:val="auto"/>
                <w:spacing w:val="-10"/>
                <w:sz w:val="18"/>
                <w:szCs w:val="18"/>
              </w:rPr>
              <w:t xml:space="preserve"> </w:t>
            </w:r>
            <w:r w:rsidRPr="00DD2626">
              <w:rPr>
                <w:color w:val="auto"/>
                <w:sz w:val="18"/>
                <w:szCs w:val="18"/>
              </w:rPr>
              <w:t>when</w:t>
            </w:r>
            <w:r w:rsidRPr="00DD2626">
              <w:rPr>
                <w:color w:val="auto"/>
                <w:spacing w:val="23"/>
                <w:w w:val="99"/>
                <w:sz w:val="18"/>
                <w:szCs w:val="18"/>
              </w:rPr>
              <w:t xml:space="preserve"> </w:t>
            </w:r>
            <w:r w:rsidRPr="00DD2626">
              <w:rPr>
                <w:color w:val="auto"/>
                <w:spacing w:val="-1"/>
                <w:sz w:val="18"/>
                <w:szCs w:val="18"/>
              </w:rPr>
              <w:t>coordinated</w:t>
            </w:r>
            <w:r w:rsidRPr="00DD2626">
              <w:rPr>
                <w:color w:val="auto"/>
                <w:spacing w:val="-9"/>
                <w:sz w:val="18"/>
                <w:szCs w:val="18"/>
              </w:rPr>
              <w:t xml:space="preserve"> </w:t>
            </w:r>
            <w:r w:rsidRPr="00DD2626">
              <w:rPr>
                <w:color w:val="auto"/>
                <w:spacing w:val="-1"/>
                <w:sz w:val="18"/>
                <w:szCs w:val="18"/>
              </w:rPr>
              <w:t>with</w:t>
            </w:r>
            <w:r w:rsidRPr="00DD2626">
              <w:rPr>
                <w:color w:val="auto"/>
                <w:spacing w:val="29"/>
                <w:w w:val="99"/>
                <w:sz w:val="18"/>
                <w:szCs w:val="18"/>
              </w:rPr>
              <w:t xml:space="preserve"> </w:t>
            </w:r>
            <w:r w:rsidRPr="00DD2626">
              <w:rPr>
                <w:color w:val="auto"/>
                <w:spacing w:val="-1"/>
                <w:sz w:val="18"/>
                <w:szCs w:val="18"/>
              </w:rPr>
              <w:t>major</w:t>
            </w:r>
            <w:r w:rsidRPr="00DD2626">
              <w:rPr>
                <w:color w:val="auto"/>
                <w:spacing w:val="-6"/>
                <w:sz w:val="18"/>
                <w:szCs w:val="18"/>
              </w:rPr>
              <w:t xml:space="preserve"> </w:t>
            </w:r>
            <w:r w:rsidRPr="00DD2626">
              <w:rPr>
                <w:color w:val="auto"/>
                <w:spacing w:val="-1"/>
                <w:sz w:val="18"/>
                <w:szCs w:val="18"/>
              </w:rPr>
              <w:t>flow</w:t>
            </w:r>
            <w:r w:rsidRPr="00DD2626">
              <w:rPr>
                <w:color w:val="auto"/>
                <w:spacing w:val="-7"/>
                <w:sz w:val="18"/>
                <w:szCs w:val="18"/>
              </w:rPr>
              <w:t xml:space="preserve"> </w:t>
            </w:r>
            <w:r w:rsidRPr="00DD2626">
              <w:rPr>
                <w:color w:val="auto"/>
                <w:spacing w:val="-1"/>
                <w:sz w:val="18"/>
                <w:szCs w:val="18"/>
              </w:rPr>
              <w:t xml:space="preserve">event. </w:t>
            </w:r>
          </w:p>
        </w:tc>
        <w:tc>
          <w:tcPr>
            <w:tcW w:w="513" w:type="pct"/>
            <w:tcBorders>
              <w:bottom w:val="single" w:sz="12" w:space="0" w:color="auto"/>
              <w:right w:val="single" w:sz="12" w:space="0" w:color="auto"/>
            </w:tcBorders>
            <w:shd w:val="clear" w:color="auto" w:fill="FFC000"/>
            <w:vAlign w:val="center"/>
          </w:tcPr>
          <w:p w14:paraId="6F58EDAA" w14:textId="77777777" w:rsidR="00AA0841" w:rsidRPr="00DD2626" w:rsidRDefault="00AA0841" w:rsidP="00AA0841">
            <w:pPr>
              <w:jc w:val="center"/>
              <w:rPr>
                <w:rFonts w:hAnsi="Century Gothic"/>
                <w:color w:val="auto"/>
                <w:sz w:val="18"/>
                <w:szCs w:val="18"/>
                <w:highlight w:val="lightGray"/>
              </w:rPr>
            </w:pPr>
            <w:r w:rsidRPr="00DD2626">
              <w:rPr>
                <w:rFonts w:hAnsi="Century Gothic"/>
                <w:color w:val="auto"/>
                <w:sz w:val="18"/>
                <w:szCs w:val="18"/>
              </w:rPr>
              <w:t>Moderate to High</w:t>
            </w:r>
          </w:p>
        </w:tc>
      </w:tr>
      <w:tr w:rsidR="00AA0841" w:rsidRPr="00DD2626" w14:paraId="165B4337" w14:textId="77777777" w:rsidTr="00AA0841">
        <w:trPr>
          <w:cantSplit/>
          <w:trHeight w:val="2347"/>
        </w:trPr>
        <w:tc>
          <w:tcPr>
            <w:tcW w:w="417" w:type="pct"/>
            <w:vMerge w:val="restart"/>
            <w:tcBorders>
              <w:top w:val="single" w:sz="12" w:space="0" w:color="auto"/>
              <w:left w:val="single" w:sz="12" w:space="0" w:color="auto"/>
            </w:tcBorders>
            <w:shd w:val="clear" w:color="auto" w:fill="auto"/>
          </w:tcPr>
          <w:p w14:paraId="106EECD9" w14:textId="77777777" w:rsidR="00AA0841" w:rsidRPr="00BF5A5F" w:rsidRDefault="00AA0841" w:rsidP="00AA0841">
            <w:pPr>
              <w:rPr>
                <w:rFonts w:hAnsi="Century Gothic"/>
                <w:bCs/>
                <w:color w:val="auto"/>
                <w:sz w:val="18"/>
                <w:szCs w:val="18"/>
              </w:rPr>
            </w:pPr>
            <w:r w:rsidRPr="00BF5A5F">
              <w:rPr>
                <w:rFonts w:eastAsia="Century Gothic" w:hAnsi="Century Gothic"/>
                <w:b/>
                <w:color w:val="auto"/>
                <w:sz w:val="18"/>
                <w:szCs w:val="18"/>
              </w:rPr>
              <w:lastRenderedPageBreak/>
              <w:t>Lower</w:t>
            </w:r>
            <w:r w:rsidRPr="00BF5A5F">
              <w:rPr>
                <w:rFonts w:eastAsia="Century Gothic" w:hAnsi="Century Gothic"/>
                <w:b/>
                <w:color w:val="auto"/>
                <w:w w:val="99"/>
                <w:sz w:val="18"/>
                <w:szCs w:val="18"/>
              </w:rPr>
              <w:t xml:space="preserve"> </w:t>
            </w:r>
            <w:r w:rsidRPr="00BF5A5F">
              <w:rPr>
                <w:rFonts w:eastAsia="Century Gothic" w:hAnsi="Century Gothic"/>
                <w:b/>
                <w:color w:val="auto"/>
                <w:sz w:val="18"/>
                <w:szCs w:val="18"/>
              </w:rPr>
              <w:t>Macquarie</w:t>
            </w:r>
            <w:r w:rsidRPr="00BF5A5F">
              <w:rPr>
                <w:rFonts w:eastAsia="Century Gothic" w:hAnsi="Century Gothic"/>
                <w:b/>
                <w:color w:val="auto"/>
                <w:w w:val="99"/>
                <w:sz w:val="18"/>
                <w:szCs w:val="18"/>
              </w:rPr>
              <w:t xml:space="preserve"> </w:t>
            </w:r>
            <w:r w:rsidRPr="00BF5A5F">
              <w:rPr>
                <w:rFonts w:eastAsia="Century Gothic" w:hAnsi="Century Gothic"/>
                <w:b/>
                <w:color w:val="auto"/>
                <w:sz w:val="18"/>
                <w:szCs w:val="18"/>
              </w:rPr>
              <w:t>River</w:t>
            </w:r>
            <w:r w:rsidRPr="00BF5A5F">
              <w:rPr>
                <w:rFonts w:eastAsia="Century Gothic" w:hAnsi="Century Gothic"/>
                <w:b/>
                <w:color w:val="auto"/>
                <w:spacing w:val="21"/>
                <w:w w:val="99"/>
                <w:sz w:val="18"/>
                <w:szCs w:val="18"/>
              </w:rPr>
              <w:t xml:space="preserve"> </w:t>
            </w:r>
            <w:r w:rsidRPr="00BF5A5F">
              <w:rPr>
                <w:rFonts w:eastAsia="Century Gothic" w:hAnsi="Century Gothic"/>
                <w:b/>
                <w:color w:val="auto"/>
                <w:sz w:val="18"/>
                <w:szCs w:val="18"/>
              </w:rPr>
              <w:t>(Marshes</w:t>
            </w:r>
            <w:r w:rsidRPr="00BF5A5F">
              <w:rPr>
                <w:rFonts w:eastAsia="Century Gothic" w:hAnsi="Century Gothic"/>
                <w:b/>
                <w:color w:val="auto"/>
                <w:spacing w:val="-7"/>
                <w:sz w:val="18"/>
                <w:szCs w:val="18"/>
              </w:rPr>
              <w:t xml:space="preserve"> </w:t>
            </w:r>
            <w:r w:rsidRPr="00BF5A5F">
              <w:rPr>
                <w:rFonts w:eastAsia="Century Gothic" w:hAnsi="Century Gothic"/>
                <w:b/>
                <w:color w:val="auto"/>
                <w:sz w:val="18"/>
                <w:szCs w:val="18"/>
              </w:rPr>
              <w:t>–</w:t>
            </w:r>
            <w:r w:rsidRPr="00BF5A5F">
              <w:rPr>
                <w:rFonts w:eastAsia="Century Gothic" w:hAnsi="Century Gothic"/>
                <w:b/>
                <w:color w:val="auto"/>
                <w:sz w:val="18"/>
                <w:szCs w:val="18"/>
              </w:rPr>
              <w:t xml:space="preserve"> Barwon</w:t>
            </w:r>
            <w:r w:rsidRPr="00BF5A5F">
              <w:rPr>
                <w:rFonts w:eastAsia="Century Gothic" w:hAnsi="Century Gothic"/>
                <w:b/>
                <w:color w:val="auto"/>
                <w:spacing w:val="-10"/>
                <w:sz w:val="18"/>
                <w:szCs w:val="18"/>
              </w:rPr>
              <w:t xml:space="preserve"> </w:t>
            </w:r>
            <w:r w:rsidRPr="00BF5A5F">
              <w:rPr>
                <w:rFonts w:eastAsia="Century Gothic" w:hAnsi="Century Gothic"/>
                <w:b/>
                <w:color w:val="auto"/>
                <w:sz w:val="18"/>
                <w:szCs w:val="18"/>
              </w:rPr>
              <w:t>River)</w:t>
            </w:r>
            <w:r w:rsidRPr="00BF5A5F">
              <w:rPr>
                <w:color w:val="auto"/>
                <w:sz w:val="18"/>
                <w:szCs w:val="18"/>
                <w:vertAlign w:val="superscript"/>
              </w:rPr>
              <w:t>1,2</w:t>
            </w:r>
          </w:p>
          <w:p w14:paraId="0A80F9A2" w14:textId="77777777" w:rsidR="00AA0841" w:rsidRPr="00BF5A5F" w:rsidRDefault="00AA0841" w:rsidP="00AA0841">
            <w:pPr>
              <w:rPr>
                <w:rFonts w:hAnsi="Century Gothic"/>
                <w:bCs/>
                <w:color w:val="auto"/>
                <w:sz w:val="18"/>
                <w:szCs w:val="18"/>
              </w:rPr>
            </w:pPr>
            <w:r w:rsidRPr="00BF5A5F">
              <w:rPr>
                <w:rFonts w:hAnsi="Century Gothic"/>
                <w:bCs/>
                <w:color w:val="auto"/>
                <w:sz w:val="18"/>
                <w:szCs w:val="18"/>
              </w:rPr>
              <w:t>Native fish habitat and dispersal</w:t>
            </w:r>
          </w:p>
          <w:p w14:paraId="10F56331" w14:textId="77777777" w:rsidR="00AA0841" w:rsidRPr="00BF5A5F" w:rsidRDefault="00AA0841" w:rsidP="00AA0841">
            <w:pPr>
              <w:rPr>
                <w:rFonts w:hAnsi="Century Gothic"/>
                <w:bCs/>
                <w:color w:val="auto"/>
                <w:sz w:val="18"/>
                <w:szCs w:val="18"/>
              </w:rPr>
            </w:pPr>
            <w:r w:rsidRPr="00BF5A5F">
              <w:rPr>
                <w:rFonts w:hAnsi="Century Gothic"/>
                <w:bCs/>
                <w:color w:val="auto"/>
                <w:sz w:val="18"/>
                <w:szCs w:val="18"/>
              </w:rPr>
              <w:t>Provides connectivity between Macquarie and Barwon catchments</w:t>
            </w:r>
          </w:p>
          <w:p w14:paraId="30EB1024" w14:textId="77777777" w:rsidR="00AA0841" w:rsidRPr="00BF5A5F" w:rsidRDefault="00AA0841" w:rsidP="00AA0841">
            <w:pPr>
              <w:rPr>
                <w:rFonts w:hAnsi="Century Gothic"/>
                <w:bCs/>
                <w:color w:val="auto"/>
                <w:sz w:val="18"/>
                <w:szCs w:val="18"/>
              </w:rPr>
            </w:pPr>
            <w:r w:rsidRPr="00BF5A5F">
              <w:rPr>
                <w:rFonts w:hAnsi="Century Gothic"/>
                <w:bCs/>
                <w:color w:val="auto"/>
                <w:sz w:val="18"/>
                <w:szCs w:val="18"/>
              </w:rPr>
              <w:t>In-stream aquatic ecosystems and floodplain vegetation</w:t>
            </w:r>
          </w:p>
        </w:tc>
        <w:tc>
          <w:tcPr>
            <w:tcW w:w="355" w:type="pct"/>
            <w:tcBorders>
              <w:top w:val="single" w:sz="12" w:space="0" w:color="auto"/>
            </w:tcBorders>
            <w:vAlign w:val="center"/>
          </w:tcPr>
          <w:p w14:paraId="44D6F78A" w14:textId="77777777" w:rsidR="00AA0841" w:rsidRPr="00BF5A5F" w:rsidRDefault="00AA0841" w:rsidP="00AA0841">
            <w:pPr>
              <w:rPr>
                <w:color w:val="auto"/>
                <w:spacing w:val="22"/>
                <w:sz w:val="18"/>
                <w:szCs w:val="18"/>
              </w:rPr>
            </w:pPr>
            <w:r w:rsidRPr="00BF5A5F">
              <w:rPr>
                <w:color w:val="auto"/>
                <w:spacing w:val="-1"/>
                <w:sz w:val="18"/>
                <w:szCs w:val="18"/>
              </w:rPr>
              <w:t>In-stream</w:t>
            </w:r>
            <w:r w:rsidRPr="00BF5A5F">
              <w:rPr>
                <w:color w:val="auto"/>
                <w:spacing w:val="26"/>
                <w:w w:val="99"/>
                <w:sz w:val="18"/>
                <w:szCs w:val="18"/>
              </w:rPr>
              <w:t xml:space="preserve"> </w:t>
            </w:r>
            <w:r w:rsidRPr="00BF5A5F">
              <w:rPr>
                <w:color w:val="auto"/>
                <w:spacing w:val="-1"/>
                <w:sz w:val="18"/>
                <w:szCs w:val="18"/>
              </w:rPr>
              <w:t>aquatic</w:t>
            </w:r>
            <w:r w:rsidRPr="00BF5A5F">
              <w:rPr>
                <w:color w:val="auto"/>
                <w:spacing w:val="24"/>
                <w:w w:val="99"/>
                <w:sz w:val="18"/>
                <w:szCs w:val="18"/>
              </w:rPr>
              <w:t xml:space="preserve"> </w:t>
            </w:r>
            <w:r w:rsidRPr="00BF5A5F">
              <w:rPr>
                <w:color w:val="auto"/>
                <w:spacing w:val="-1"/>
                <w:sz w:val="18"/>
                <w:szCs w:val="18"/>
              </w:rPr>
              <w:t>ecosystems</w:t>
            </w:r>
            <w:r w:rsidRPr="00BF5A5F">
              <w:rPr>
                <w:color w:val="auto"/>
                <w:spacing w:val="22"/>
                <w:sz w:val="18"/>
                <w:szCs w:val="18"/>
              </w:rPr>
              <w:t xml:space="preserve"> </w:t>
            </w:r>
          </w:p>
          <w:p w14:paraId="05E34765" w14:textId="77777777" w:rsidR="00AA0841" w:rsidRPr="00BF5A5F" w:rsidRDefault="00AA0841" w:rsidP="00AA0841">
            <w:pPr>
              <w:rPr>
                <w:rFonts w:hAnsi="Century Gothic"/>
                <w:color w:val="auto"/>
                <w:sz w:val="18"/>
                <w:szCs w:val="18"/>
              </w:rPr>
            </w:pPr>
            <w:r w:rsidRPr="00BF5A5F">
              <w:rPr>
                <w:color w:val="auto"/>
                <w:spacing w:val="-1"/>
                <w:sz w:val="18"/>
                <w:szCs w:val="18"/>
              </w:rPr>
              <w:t>Fish</w:t>
            </w:r>
            <w:r w:rsidRPr="00BF5A5F">
              <w:rPr>
                <w:color w:val="auto"/>
                <w:spacing w:val="22"/>
                <w:sz w:val="18"/>
                <w:szCs w:val="18"/>
              </w:rPr>
              <w:t xml:space="preserve"> </w:t>
            </w:r>
            <w:r w:rsidRPr="00BF5A5F">
              <w:rPr>
                <w:color w:val="auto"/>
                <w:spacing w:val="-1"/>
                <w:sz w:val="18"/>
                <w:szCs w:val="18"/>
              </w:rPr>
              <w:t>Connectivity</w:t>
            </w:r>
          </w:p>
        </w:tc>
        <w:tc>
          <w:tcPr>
            <w:tcW w:w="743" w:type="pct"/>
            <w:tcBorders>
              <w:top w:val="single" w:sz="12" w:space="0" w:color="auto"/>
            </w:tcBorders>
            <w:shd w:val="clear" w:color="auto" w:fill="auto"/>
            <w:vAlign w:val="center"/>
          </w:tcPr>
          <w:p w14:paraId="7B36B47F" w14:textId="77777777" w:rsidR="00AA0841" w:rsidRPr="00BF5A5F" w:rsidRDefault="00AA0841" w:rsidP="00AA0841">
            <w:pPr>
              <w:rPr>
                <w:rFonts w:eastAsia="Century Gothic" w:hAnsi="Century Gothic"/>
                <w:color w:val="auto"/>
                <w:sz w:val="18"/>
                <w:szCs w:val="18"/>
              </w:rPr>
            </w:pPr>
            <w:r w:rsidRPr="00BF5A5F">
              <w:rPr>
                <w:color w:val="auto"/>
                <w:sz w:val="18"/>
                <w:szCs w:val="18"/>
              </w:rPr>
              <w:t>I</w:t>
            </w:r>
            <w:r w:rsidRPr="00BF5A5F">
              <w:rPr>
                <w:color w:val="auto"/>
                <w:spacing w:val="-1"/>
                <w:sz w:val="18"/>
                <w:szCs w:val="18"/>
              </w:rPr>
              <w:t>n-channel</w:t>
            </w:r>
            <w:r w:rsidRPr="00BF5A5F">
              <w:rPr>
                <w:color w:val="auto"/>
                <w:spacing w:val="26"/>
                <w:sz w:val="18"/>
                <w:szCs w:val="18"/>
              </w:rPr>
              <w:t xml:space="preserve"> </w:t>
            </w:r>
            <w:r w:rsidRPr="00BF5A5F">
              <w:rPr>
                <w:color w:val="auto"/>
                <w:spacing w:val="-1"/>
                <w:sz w:val="18"/>
                <w:szCs w:val="18"/>
              </w:rPr>
              <w:t>flows:</w:t>
            </w:r>
          </w:p>
          <w:p w14:paraId="7CB75EEC" w14:textId="77777777" w:rsidR="00AA0841" w:rsidRPr="00BF5A5F" w:rsidRDefault="00AA0841" w:rsidP="00AA0841">
            <w:pPr>
              <w:rPr>
                <w:rFonts w:hAnsi="Century Gothic"/>
                <w:color w:val="auto"/>
                <w:sz w:val="18"/>
                <w:szCs w:val="18"/>
              </w:rPr>
            </w:pPr>
            <w:r w:rsidRPr="00BF5A5F">
              <w:rPr>
                <w:color w:val="auto"/>
                <w:spacing w:val="-1"/>
                <w:sz w:val="18"/>
                <w:szCs w:val="18"/>
              </w:rPr>
              <w:t>Minimum</w:t>
            </w:r>
            <w:r w:rsidRPr="00BF5A5F">
              <w:rPr>
                <w:color w:val="auto"/>
                <w:spacing w:val="-7"/>
                <w:sz w:val="18"/>
                <w:szCs w:val="18"/>
              </w:rPr>
              <w:t xml:space="preserve"> </w:t>
            </w:r>
            <w:r w:rsidRPr="00BF5A5F">
              <w:rPr>
                <w:color w:val="auto"/>
                <w:sz w:val="18"/>
                <w:szCs w:val="18"/>
              </w:rPr>
              <w:t>20</w:t>
            </w:r>
            <w:r w:rsidRPr="00BF5A5F">
              <w:rPr>
                <w:color w:val="auto"/>
                <w:spacing w:val="-2"/>
                <w:sz w:val="18"/>
                <w:szCs w:val="18"/>
              </w:rPr>
              <w:t xml:space="preserve"> </w:t>
            </w:r>
            <w:r w:rsidRPr="00BF5A5F">
              <w:rPr>
                <w:color w:val="auto"/>
                <w:spacing w:val="-1"/>
                <w:sz w:val="18"/>
                <w:szCs w:val="18"/>
              </w:rPr>
              <w:t>ML/day</w:t>
            </w:r>
            <w:r w:rsidRPr="00BF5A5F">
              <w:rPr>
                <w:color w:val="auto"/>
                <w:spacing w:val="-4"/>
                <w:sz w:val="18"/>
                <w:szCs w:val="18"/>
              </w:rPr>
              <w:t xml:space="preserve"> </w:t>
            </w:r>
            <w:r w:rsidRPr="00BF5A5F">
              <w:rPr>
                <w:color w:val="auto"/>
                <w:sz w:val="18"/>
                <w:szCs w:val="18"/>
              </w:rPr>
              <w:t>at</w:t>
            </w:r>
            <w:r w:rsidRPr="00BF5A5F">
              <w:rPr>
                <w:color w:val="auto"/>
                <w:spacing w:val="-4"/>
                <w:sz w:val="18"/>
                <w:szCs w:val="18"/>
              </w:rPr>
              <w:t xml:space="preserve"> </w:t>
            </w:r>
            <w:r w:rsidRPr="00BF5A5F">
              <w:rPr>
                <w:color w:val="auto"/>
                <w:spacing w:val="-1"/>
                <w:sz w:val="18"/>
                <w:szCs w:val="18"/>
              </w:rPr>
              <w:t>Bells</w:t>
            </w:r>
            <w:r w:rsidRPr="00BF5A5F">
              <w:rPr>
                <w:color w:val="auto"/>
                <w:spacing w:val="24"/>
                <w:sz w:val="18"/>
                <w:szCs w:val="18"/>
              </w:rPr>
              <w:t xml:space="preserve"> </w:t>
            </w:r>
            <w:r w:rsidRPr="00BF5A5F">
              <w:rPr>
                <w:color w:val="auto"/>
                <w:spacing w:val="-1"/>
                <w:sz w:val="18"/>
                <w:szCs w:val="18"/>
              </w:rPr>
              <w:t>Bridge</w:t>
            </w:r>
            <w:r w:rsidRPr="00BF5A5F">
              <w:rPr>
                <w:color w:val="auto"/>
                <w:spacing w:val="-2"/>
                <w:sz w:val="18"/>
                <w:szCs w:val="18"/>
              </w:rPr>
              <w:t xml:space="preserve"> </w:t>
            </w:r>
            <w:r w:rsidRPr="00BF5A5F">
              <w:rPr>
                <w:color w:val="auto"/>
                <w:spacing w:val="-1"/>
                <w:sz w:val="18"/>
                <w:szCs w:val="18"/>
              </w:rPr>
              <w:t>for</w:t>
            </w:r>
            <w:r w:rsidRPr="00BF5A5F">
              <w:rPr>
                <w:color w:val="auto"/>
                <w:spacing w:val="-2"/>
                <w:sz w:val="18"/>
                <w:szCs w:val="18"/>
              </w:rPr>
              <w:t xml:space="preserve"> </w:t>
            </w:r>
            <w:r w:rsidRPr="00BF5A5F">
              <w:rPr>
                <w:color w:val="auto"/>
                <w:spacing w:val="-1"/>
                <w:sz w:val="18"/>
                <w:szCs w:val="18"/>
              </w:rPr>
              <w:t>45</w:t>
            </w:r>
            <w:r w:rsidRPr="00BF5A5F">
              <w:rPr>
                <w:color w:val="auto"/>
                <w:spacing w:val="-2"/>
                <w:sz w:val="18"/>
                <w:szCs w:val="18"/>
              </w:rPr>
              <w:t xml:space="preserve"> </w:t>
            </w:r>
            <w:r w:rsidRPr="00BF5A5F">
              <w:rPr>
                <w:color w:val="auto"/>
                <w:spacing w:val="-1"/>
                <w:sz w:val="18"/>
                <w:szCs w:val="18"/>
              </w:rPr>
              <w:t>days.</w:t>
            </w:r>
          </w:p>
        </w:tc>
        <w:tc>
          <w:tcPr>
            <w:tcW w:w="485" w:type="pct"/>
            <w:tcBorders>
              <w:top w:val="single" w:sz="12" w:space="0" w:color="auto"/>
            </w:tcBorders>
            <w:shd w:val="clear" w:color="auto" w:fill="auto"/>
            <w:vAlign w:val="center"/>
          </w:tcPr>
          <w:p w14:paraId="21C18E6E" w14:textId="77777777" w:rsidR="00AA0841" w:rsidRPr="00BF5A5F" w:rsidRDefault="00AA0841" w:rsidP="00AA0841">
            <w:pPr>
              <w:rPr>
                <w:color w:val="auto"/>
                <w:spacing w:val="23"/>
                <w:sz w:val="18"/>
                <w:szCs w:val="18"/>
              </w:rPr>
            </w:pPr>
            <w:r w:rsidRPr="00BF5A5F">
              <w:rPr>
                <w:color w:val="auto"/>
                <w:spacing w:val="-1"/>
                <w:sz w:val="18"/>
                <w:szCs w:val="18"/>
              </w:rPr>
              <w:t>Ideally:</w:t>
            </w:r>
            <w:r w:rsidRPr="00BF5A5F">
              <w:rPr>
                <w:color w:val="auto"/>
                <w:spacing w:val="23"/>
                <w:sz w:val="18"/>
                <w:szCs w:val="18"/>
              </w:rPr>
              <w:t xml:space="preserve"> </w:t>
            </w:r>
            <w:r w:rsidRPr="00BF5A5F">
              <w:rPr>
                <w:color w:val="auto"/>
                <w:spacing w:val="-1"/>
                <w:sz w:val="18"/>
                <w:szCs w:val="18"/>
              </w:rPr>
              <w:t>annually</w:t>
            </w:r>
            <w:r w:rsidRPr="00BF5A5F">
              <w:rPr>
                <w:color w:val="auto"/>
                <w:spacing w:val="23"/>
                <w:sz w:val="18"/>
                <w:szCs w:val="18"/>
              </w:rPr>
              <w:t xml:space="preserve"> </w:t>
            </w:r>
          </w:p>
          <w:p w14:paraId="1981CDD5" w14:textId="77777777" w:rsidR="00AA0841" w:rsidRPr="00BF5A5F" w:rsidRDefault="00AA0841" w:rsidP="00AA0841">
            <w:pPr>
              <w:rPr>
                <w:rFonts w:hAnsi="Century Gothic"/>
                <w:color w:val="auto"/>
                <w:sz w:val="18"/>
                <w:szCs w:val="18"/>
              </w:rPr>
            </w:pPr>
            <w:r w:rsidRPr="00BF5A5F">
              <w:rPr>
                <w:color w:val="auto"/>
                <w:spacing w:val="-1"/>
                <w:sz w:val="18"/>
                <w:szCs w:val="18"/>
              </w:rPr>
              <w:t>(Max</w:t>
            </w:r>
            <w:r w:rsidRPr="00BF5A5F">
              <w:rPr>
                <w:color w:val="auto"/>
                <w:spacing w:val="-6"/>
                <w:sz w:val="18"/>
                <w:szCs w:val="18"/>
              </w:rPr>
              <w:t xml:space="preserve"> </w:t>
            </w:r>
            <w:r w:rsidRPr="00BF5A5F">
              <w:rPr>
                <w:color w:val="auto"/>
                <w:spacing w:val="-1"/>
                <w:sz w:val="18"/>
                <w:szCs w:val="18"/>
              </w:rPr>
              <w:t>interval:</w:t>
            </w:r>
            <w:r w:rsidRPr="00BF5A5F">
              <w:rPr>
                <w:color w:val="auto"/>
                <w:spacing w:val="25"/>
                <w:sz w:val="18"/>
                <w:szCs w:val="18"/>
              </w:rPr>
              <w:t xml:space="preserve"> </w:t>
            </w:r>
            <w:r w:rsidRPr="00BF5A5F">
              <w:rPr>
                <w:color w:val="auto"/>
                <w:spacing w:val="-1"/>
                <w:sz w:val="18"/>
                <w:szCs w:val="18"/>
              </w:rPr>
              <w:t>1–</w:t>
            </w:r>
            <w:r w:rsidRPr="00BF5A5F">
              <w:rPr>
                <w:color w:val="auto"/>
                <w:sz w:val="18"/>
                <w:szCs w:val="18"/>
              </w:rPr>
              <w:t>2</w:t>
            </w:r>
            <w:r w:rsidRPr="00BF5A5F">
              <w:rPr>
                <w:color w:val="auto"/>
                <w:spacing w:val="23"/>
                <w:sz w:val="18"/>
                <w:szCs w:val="18"/>
              </w:rPr>
              <w:t xml:space="preserve"> y</w:t>
            </w:r>
            <w:r w:rsidRPr="00BF5A5F">
              <w:rPr>
                <w:color w:val="auto"/>
                <w:spacing w:val="-1"/>
                <w:sz w:val="18"/>
                <w:szCs w:val="18"/>
              </w:rPr>
              <w:t>ears)</w:t>
            </w:r>
          </w:p>
        </w:tc>
        <w:tc>
          <w:tcPr>
            <w:tcW w:w="1356" w:type="pct"/>
            <w:tcBorders>
              <w:top w:val="single" w:sz="12" w:space="0" w:color="auto"/>
            </w:tcBorders>
            <w:shd w:val="clear" w:color="auto" w:fill="auto"/>
            <w:vAlign w:val="center"/>
          </w:tcPr>
          <w:p w14:paraId="23C21CE0" w14:textId="77777777" w:rsidR="00AA0841" w:rsidRPr="00BF5A5F" w:rsidRDefault="00AA0841" w:rsidP="00AA0841">
            <w:pPr>
              <w:spacing w:after="60"/>
              <w:jc w:val="center"/>
              <w:rPr>
                <w:rFonts w:cstheme="minorHAnsi"/>
                <w:bCs/>
                <w:color w:val="auto"/>
                <w:sz w:val="18"/>
                <w:szCs w:val="18"/>
              </w:rPr>
            </w:pPr>
            <w:r w:rsidRPr="00BF5A5F">
              <w:rPr>
                <w:rFonts w:cstheme="minorHAnsi"/>
                <w:bCs/>
                <w:color w:val="auto"/>
                <w:sz w:val="18"/>
                <w:szCs w:val="18"/>
              </w:rPr>
              <w:t>Small in-channel flows were met in the lower Macquarie in each year between 2016–17 and 2018–19 (usually between Aug and Dec/Jan). However, cease to flow conditions have persisted in the lower Macquarie River in 2019–20, with the exception of small flows above 20 ML/d (S&amp;D) in March, April and again in May 2020. These flows ideally occur annually and are required again in 2020–21. Therefore, the environmental demand has been assessed as high.</w:t>
            </w:r>
          </w:p>
        </w:tc>
        <w:tc>
          <w:tcPr>
            <w:tcW w:w="452" w:type="pct"/>
            <w:tcBorders>
              <w:top w:val="single" w:sz="12" w:space="0" w:color="auto"/>
            </w:tcBorders>
            <w:shd w:val="clear" w:color="auto" w:fill="FF0000"/>
            <w:vAlign w:val="center"/>
          </w:tcPr>
          <w:p w14:paraId="68DA9590"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High</w:t>
            </w:r>
          </w:p>
        </w:tc>
        <w:tc>
          <w:tcPr>
            <w:tcW w:w="679" w:type="pct"/>
            <w:tcBorders>
              <w:top w:val="single" w:sz="12" w:space="0" w:color="auto"/>
            </w:tcBorders>
            <w:shd w:val="clear" w:color="auto" w:fill="95B3D7" w:themeFill="accent1" w:themeFillTint="99"/>
            <w:vAlign w:val="center"/>
          </w:tcPr>
          <w:p w14:paraId="24A8AD80" w14:textId="77777777" w:rsidR="00AA0841" w:rsidRPr="00DD2626" w:rsidRDefault="00AA0841" w:rsidP="00AA0841">
            <w:pPr>
              <w:jc w:val="center"/>
              <w:rPr>
                <w:rFonts w:hAnsi="Century Gothic"/>
                <w:color w:val="auto"/>
                <w:sz w:val="18"/>
                <w:szCs w:val="18"/>
              </w:rPr>
            </w:pPr>
            <w:r w:rsidRPr="00DD2626">
              <w:rPr>
                <w:color w:val="auto"/>
                <w:spacing w:val="-1"/>
                <w:sz w:val="18"/>
                <w:szCs w:val="18"/>
              </w:rPr>
              <w:t>Possible</w:t>
            </w:r>
            <w:r w:rsidRPr="00DD2626">
              <w:rPr>
                <w:color w:val="auto"/>
                <w:spacing w:val="-5"/>
                <w:sz w:val="18"/>
                <w:szCs w:val="18"/>
              </w:rPr>
              <w:t xml:space="preserve"> </w:t>
            </w:r>
            <w:r w:rsidRPr="00DD2626">
              <w:rPr>
                <w:color w:val="auto"/>
                <w:spacing w:val="-1"/>
                <w:sz w:val="18"/>
                <w:szCs w:val="18"/>
              </w:rPr>
              <w:t>use under low to moderate water resource availability scenarios, subject to tributary flows. Needs may</w:t>
            </w:r>
            <w:r w:rsidRPr="00DD2626">
              <w:rPr>
                <w:color w:val="auto"/>
                <w:spacing w:val="26"/>
                <w:sz w:val="18"/>
                <w:szCs w:val="18"/>
              </w:rPr>
              <w:t xml:space="preserve"> </w:t>
            </w:r>
            <w:r w:rsidRPr="00DD2626">
              <w:rPr>
                <w:color w:val="auto"/>
                <w:spacing w:val="-1"/>
                <w:sz w:val="18"/>
                <w:szCs w:val="18"/>
              </w:rPr>
              <w:t>be</w:t>
            </w:r>
            <w:r w:rsidRPr="00DD2626">
              <w:rPr>
                <w:color w:val="auto"/>
                <w:spacing w:val="-2"/>
                <w:sz w:val="18"/>
                <w:szCs w:val="18"/>
              </w:rPr>
              <w:t xml:space="preserve"> </w:t>
            </w:r>
            <w:r w:rsidRPr="00DD2626">
              <w:rPr>
                <w:color w:val="auto"/>
                <w:spacing w:val="-1"/>
                <w:sz w:val="18"/>
                <w:szCs w:val="18"/>
              </w:rPr>
              <w:t>partially</w:t>
            </w:r>
            <w:r w:rsidRPr="00DD2626">
              <w:rPr>
                <w:color w:val="auto"/>
                <w:spacing w:val="-2"/>
                <w:sz w:val="18"/>
                <w:szCs w:val="18"/>
              </w:rPr>
              <w:t xml:space="preserve"> met</w:t>
            </w:r>
            <w:r w:rsidRPr="00DD2626">
              <w:rPr>
                <w:color w:val="auto"/>
                <w:spacing w:val="-3"/>
                <w:sz w:val="18"/>
                <w:szCs w:val="18"/>
              </w:rPr>
              <w:t xml:space="preserve"> </w:t>
            </w:r>
            <w:r w:rsidRPr="00DD2626">
              <w:rPr>
                <w:color w:val="auto"/>
                <w:spacing w:val="-1"/>
                <w:sz w:val="18"/>
                <w:szCs w:val="18"/>
              </w:rPr>
              <w:t>by</w:t>
            </w:r>
            <w:r w:rsidRPr="00DD2626">
              <w:rPr>
                <w:color w:val="auto"/>
                <w:spacing w:val="27"/>
                <w:sz w:val="18"/>
                <w:szCs w:val="18"/>
              </w:rPr>
              <w:t xml:space="preserve"> </w:t>
            </w:r>
            <w:r w:rsidRPr="00DD2626">
              <w:rPr>
                <w:color w:val="auto"/>
                <w:spacing w:val="-1"/>
                <w:sz w:val="18"/>
                <w:szCs w:val="18"/>
              </w:rPr>
              <w:t>other</w:t>
            </w:r>
            <w:r w:rsidRPr="00DD2626">
              <w:rPr>
                <w:color w:val="auto"/>
                <w:spacing w:val="-4"/>
                <w:sz w:val="18"/>
                <w:szCs w:val="18"/>
              </w:rPr>
              <w:t xml:space="preserve"> </w:t>
            </w:r>
            <w:r w:rsidRPr="00DD2626">
              <w:rPr>
                <w:color w:val="auto"/>
                <w:spacing w:val="-1"/>
                <w:sz w:val="18"/>
                <w:szCs w:val="18"/>
              </w:rPr>
              <w:t>flows (e.g. environmental water delivered to the Marshes).</w:t>
            </w:r>
          </w:p>
        </w:tc>
        <w:tc>
          <w:tcPr>
            <w:tcW w:w="513" w:type="pct"/>
            <w:tcBorders>
              <w:top w:val="single" w:sz="12" w:space="0" w:color="auto"/>
              <w:right w:val="single" w:sz="12" w:space="0" w:color="auto"/>
            </w:tcBorders>
            <w:shd w:val="clear" w:color="auto" w:fill="FF0000"/>
            <w:vAlign w:val="center"/>
          </w:tcPr>
          <w:p w14:paraId="7614C876"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High</w:t>
            </w:r>
          </w:p>
        </w:tc>
      </w:tr>
      <w:tr w:rsidR="00AA0841" w:rsidRPr="00DD2626" w14:paraId="01F3682F" w14:textId="77777777" w:rsidTr="00AA0841">
        <w:trPr>
          <w:cantSplit/>
          <w:trHeight w:val="3815"/>
        </w:trPr>
        <w:tc>
          <w:tcPr>
            <w:tcW w:w="417" w:type="pct"/>
            <w:vMerge/>
            <w:tcBorders>
              <w:left w:val="single" w:sz="12" w:space="0" w:color="auto"/>
            </w:tcBorders>
            <w:shd w:val="clear" w:color="auto" w:fill="auto"/>
          </w:tcPr>
          <w:p w14:paraId="462E61A2" w14:textId="77777777" w:rsidR="00AA0841" w:rsidRPr="00BF5A5F" w:rsidRDefault="00AA0841" w:rsidP="00AA0841">
            <w:pPr>
              <w:rPr>
                <w:rFonts w:hAnsi="Century Gothic"/>
                <w:bCs/>
                <w:color w:val="auto"/>
                <w:sz w:val="18"/>
                <w:szCs w:val="18"/>
              </w:rPr>
            </w:pPr>
          </w:p>
        </w:tc>
        <w:tc>
          <w:tcPr>
            <w:tcW w:w="355" w:type="pct"/>
            <w:vAlign w:val="center"/>
          </w:tcPr>
          <w:p w14:paraId="7C6456B8" w14:textId="77777777" w:rsidR="00AA0841" w:rsidRPr="00BF5A5F" w:rsidRDefault="00AA0841" w:rsidP="00AA0841">
            <w:pPr>
              <w:rPr>
                <w:rFonts w:hAnsi="Century Gothic"/>
                <w:color w:val="auto"/>
                <w:sz w:val="18"/>
                <w:szCs w:val="18"/>
              </w:rPr>
            </w:pPr>
            <w:r w:rsidRPr="00BF5A5F">
              <w:rPr>
                <w:color w:val="auto"/>
                <w:spacing w:val="-1"/>
                <w:sz w:val="18"/>
                <w:szCs w:val="18"/>
              </w:rPr>
              <w:t>Fish</w:t>
            </w:r>
            <w:r w:rsidRPr="00BF5A5F">
              <w:rPr>
                <w:color w:val="auto"/>
                <w:spacing w:val="22"/>
                <w:sz w:val="18"/>
                <w:szCs w:val="18"/>
              </w:rPr>
              <w:t xml:space="preserve"> </w:t>
            </w:r>
            <w:r w:rsidRPr="00BF5A5F">
              <w:rPr>
                <w:color w:val="auto"/>
                <w:spacing w:val="-1"/>
                <w:sz w:val="18"/>
                <w:szCs w:val="18"/>
              </w:rPr>
              <w:t>Connectivity</w:t>
            </w:r>
          </w:p>
        </w:tc>
        <w:tc>
          <w:tcPr>
            <w:tcW w:w="743" w:type="pct"/>
            <w:shd w:val="clear" w:color="auto" w:fill="auto"/>
            <w:vAlign w:val="center"/>
          </w:tcPr>
          <w:p w14:paraId="305FCD00" w14:textId="77777777" w:rsidR="00AA0841" w:rsidRPr="00BF5A5F" w:rsidRDefault="00AA0841" w:rsidP="00AA0841">
            <w:pPr>
              <w:rPr>
                <w:rFonts w:hAnsi="Century Gothic"/>
                <w:color w:val="auto"/>
                <w:sz w:val="18"/>
                <w:szCs w:val="18"/>
              </w:rPr>
            </w:pPr>
            <w:r w:rsidRPr="00BF5A5F">
              <w:rPr>
                <w:rFonts w:eastAsia="Century Gothic" w:hAnsi="Century Gothic"/>
                <w:bCs/>
                <w:color w:val="auto"/>
                <w:spacing w:val="-1"/>
                <w:sz w:val="18"/>
                <w:szCs w:val="18"/>
              </w:rPr>
              <w:t>System</w:t>
            </w:r>
            <w:r w:rsidRPr="00BF5A5F">
              <w:rPr>
                <w:rFonts w:eastAsia="Century Gothic" w:hAnsi="Century Gothic"/>
                <w:bCs/>
                <w:color w:val="auto"/>
                <w:spacing w:val="-3"/>
                <w:sz w:val="18"/>
                <w:szCs w:val="18"/>
              </w:rPr>
              <w:t xml:space="preserve"> </w:t>
            </w:r>
            <w:r w:rsidRPr="00BF5A5F">
              <w:rPr>
                <w:rFonts w:eastAsia="Century Gothic" w:hAnsi="Century Gothic"/>
                <w:bCs/>
                <w:color w:val="auto"/>
                <w:spacing w:val="-1"/>
                <w:sz w:val="18"/>
                <w:szCs w:val="18"/>
              </w:rPr>
              <w:t>connectivity</w:t>
            </w:r>
            <w:r w:rsidRPr="00BF5A5F">
              <w:rPr>
                <w:rFonts w:eastAsia="Century Gothic" w:hAnsi="Century Gothic"/>
                <w:bCs/>
                <w:color w:val="auto"/>
                <w:spacing w:val="28"/>
                <w:sz w:val="18"/>
                <w:szCs w:val="18"/>
              </w:rPr>
              <w:t xml:space="preserve"> </w:t>
            </w:r>
            <w:r w:rsidRPr="00BF5A5F">
              <w:rPr>
                <w:rFonts w:eastAsia="Century Gothic" w:hAnsi="Century Gothic"/>
                <w:bCs/>
                <w:color w:val="auto"/>
                <w:spacing w:val="-1"/>
                <w:sz w:val="18"/>
                <w:szCs w:val="18"/>
              </w:rPr>
              <w:t>between</w:t>
            </w:r>
            <w:r w:rsidRPr="00BF5A5F">
              <w:rPr>
                <w:rFonts w:eastAsia="Century Gothic" w:hAnsi="Century Gothic"/>
                <w:bCs/>
                <w:color w:val="auto"/>
                <w:spacing w:val="-3"/>
                <w:sz w:val="18"/>
                <w:szCs w:val="18"/>
              </w:rPr>
              <w:t xml:space="preserve"> </w:t>
            </w:r>
            <w:r w:rsidRPr="00BF5A5F">
              <w:rPr>
                <w:rFonts w:eastAsia="Century Gothic" w:hAnsi="Century Gothic"/>
                <w:bCs/>
                <w:color w:val="auto"/>
                <w:spacing w:val="-1"/>
                <w:sz w:val="18"/>
                <w:szCs w:val="18"/>
              </w:rPr>
              <w:t>the</w:t>
            </w:r>
            <w:r w:rsidRPr="00BF5A5F">
              <w:rPr>
                <w:rFonts w:eastAsia="Century Gothic" w:hAnsi="Century Gothic"/>
                <w:bCs/>
                <w:color w:val="auto"/>
                <w:spacing w:val="-3"/>
                <w:sz w:val="18"/>
                <w:szCs w:val="18"/>
              </w:rPr>
              <w:t xml:space="preserve"> </w:t>
            </w:r>
            <w:r w:rsidRPr="00BF5A5F">
              <w:rPr>
                <w:rFonts w:eastAsia="Century Gothic" w:hAnsi="Century Gothic"/>
                <w:bCs/>
                <w:color w:val="auto"/>
                <w:sz w:val="18"/>
                <w:szCs w:val="18"/>
              </w:rPr>
              <w:t>Macquarie</w:t>
            </w:r>
            <w:r w:rsidRPr="00BF5A5F">
              <w:rPr>
                <w:rFonts w:eastAsia="Century Gothic" w:hAnsi="Century Gothic"/>
                <w:bCs/>
                <w:color w:val="auto"/>
                <w:spacing w:val="-4"/>
                <w:sz w:val="18"/>
                <w:szCs w:val="18"/>
              </w:rPr>
              <w:t xml:space="preserve"> </w:t>
            </w:r>
            <w:r w:rsidRPr="00BF5A5F">
              <w:rPr>
                <w:rFonts w:eastAsia="Century Gothic" w:hAnsi="Century Gothic"/>
                <w:bCs/>
                <w:color w:val="auto"/>
                <w:spacing w:val="-1"/>
                <w:sz w:val="18"/>
                <w:szCs w:val="18"/>
              </w:rPr>
              <w:t>and</w:t>
            </w:r>
            <w:r w:rsidRPr="00BF5A5F">
              <w:rPr>
                <w:rFonts w:eastAsia="Century Gothic" w:hAnsi="Century Gothic"/>
                <w:bCs/>
                <w:color w:val="auto"/>
                <w:spacing w:val="29"/>
                <w:sz w:val="18"/>
                <w:szCs w:val="18"/>
              </w:rPr>
              <w:t xml:space="preserve"> </w:t>
            </w:r>
            <w:r w:rsidRPr="00BF5A5F">
              <w:rPr>
                <w:rFonts w:eastAsia="Century Gothic" w:hAnsi="Century Gothic"/>
                <w:bCs/>
                <w:color w:val="auto"/>
                <w:sz w:val="18"/>
                <w:szCs w:val="18"/>
              </w:rPr>
              <w:t>Barwon</w:t>
            </w:r>
            <w:r w:rsidRPr="00BF5A5F">
              <w:rPr>
                <w:rFonts w:eastAsia="Century Gothic" w:hAnsi="Century Gothic"/>
                <w:bCs/>
                <w:color w:val="auto"/>
                <w:spacing w:val="-5"/>
                <w:sz w:val="18"/>
                <w:szCs w:val="18"/>
              </w:rPr>
              <w:t xml:space="preserve"> </w:t>
            </w:r>
            <w:r w:rsidRPr="00BF5A5F">
              <w:rPr>
                <w:rFonts w:eastAsia="Century Gothic" w:hAnsi="Century Gothic"/>
                <w:bCs/>
                <w:color w:val="auto"/>
                <w:spacing w:val="-1"/>
                <w:sz w:val="18"/>
                <w:szCs w:val="18"/>
              </w:rPr>
              <w:t>catchments:</w:t>
            </w:r>
            <w:r w:rsidRPr="00BF5A5F">
              <w:rPr>
                <w:rFonts w:eastAsia="Century Gothic" w:hAnsi="Century Gothic"/>
                <w:bCs/>
                <w:color w:val="auto"/>
                <w:spacing w:val="-21"/>
                <w:sz w:val="18"/>
                <w:szCs w:val="18"/>
              </w:rPr>
              <w:t xml:space="preserve"> </w:t>
            </w:r>
            <w:r w:rsidRPr="00BF5A5F">
              <w:rPr>
                <w:rFonts w:eastAsia="Century Gothic" w:hAnsi="Century Gothic"/>
                <w:color w:val="auto"/>
                <w:position w:val="5"/>
                <w:sz w:val="18"/>
                <w:szCs w:val="18"/>
              </w:rPr>
              <w:t>†</w:t>
            </w:r>
            <w:r w:rsidRPr="00BF5A5F">
              <w:rPr>
                <w:rFonts w:eastAsia="Century Gothic" w:hAnsi="Century Gothic"/>
                <w:color w:val="auto"/>
                <w:spacing w:val="14"/>
                <w:position w:val="5"/>
                <w:sz w:val="18"/>
                <w:szCs w:val="18"/>
              </w:rPr>
              <w:t xml:space="preserve"> </w:t>
            </w:r>
            <w:r w:rsidRPr="00BF5A5F">
              <w:rPr>
                <w:rFonts w:eastAsia="Century Gothic" w:hAnsi="Century Gothic"/>
                <w:color w:val="auto"/>
                <w:sz w:val="18"/>
                <w:szCs w:val="18"/>
              </w:rPr>
              <w:t>for</w:t>
            </w:r>
            <w:r w:rsidRPr="00BF5A5F">
              <w:rPr>
                <w:rFonts w:eastAsia="Century Gothic" w:hAnsi="Century Gothic"/>
                <w:color w:val="auto"/>
                <w:spacing w:val="26"/>
                <w:w w:val="99"/>
                <w:sz w:val="18"/>
                <w:szCs w:val="18"/>
              </w:rPr>
              <w:t xml:space="preserve"> </w:t>
            </w:r>
            <w:r w:rsidRPr="00BF5A5F">
              <w:rPr>
                <w:rFonts w:eastAsia="Century Gothic" w:hAnsi="Century Gothic"/>
                <w:color w:val="auto"/>
                <w:spacing w:val="-1"/>
                <w:sz w:val="18"/>
                <w:szCs w:val="18"/>
              </w:rPr>
              <w:t>example</w:t>
            </w:r>
            <w:r w:rsidRPr="00BF5A5F">
              <w:rPr>
                <w:rFonts w:eastAsia="Century Gothic" w:hAnsi="Century Gothic"/>
                <w:color w:val="auto"/>
                <w:spacing w:val="-6"/>
                <w:sz w:val="18"/>
                <w:szCs w:val="18"/>
              </w:rPr>
              <w:t xml:space="preserve"> </w:t>
            </w:r>
            <w:r w:rsidRPr="00BF5A5F">
              <w:rPr>
                <w:rFonts w:eastAsia="Century Gothic" w:hAnsi="Century Gothic"/>
                <w:color w:val="auto"/>
                <w:spacing w:val="-1"/>
                <w:sz w:val="18"/>
                <w:szCs w:val="18"/>
              </w:rPr>
              <w:t>in-channel</w:t>
            </w:r>
            <w:r w:rsidRPr="00BF5A5F">
              <w:rPr>
                <w:rFonts w:eastAsia="Century Gothic" w:hAnsi="Century Gothic"/>
                <w:color w:val="auto"/>
                <w:spacing w:val="-5"/>
                <w:sz w:val="18"/>
                <w:szCs w:val="18"/>
              </w:rPr>
              <w:t xml:space="preserve"> </w:t>
            </w:r>
            <w:r w:rsidRPr="00BF5A5F">
              <w:rPr>
                <w:rFonts w:eastAsia="Century Gothic" w:hAnsi="Century Gothic"/>
                <w:color w:val="auto"/>
                <w:spacing w:val="-1"/>
                <w:sz w:val="18"/>
                <w:szCs w:val="18"/>
              </w:rPr>
              <w:t>flow</w:t>
            </w:r>
            <w:r w:rsidRPr="00BF5A5F">
              <w:rPr>
                <w:rFonts w:eastAsia="Century Gothic" w:hAnsi="Century Gothic"/>
                <w:color w:val="auto"/>
                <w:spacing w:val="22"/>
                <w:sz w:val="18"/>
                <w:szCs w:val="18"/>
              </w:rPr>
              <w:t xml:space="preserve"> </w:t>
            </w:r>
            <w:r w:rsidRPr="00BF5A5F">
              <w:rPr>
                <w:rFonts w:eastAsia="Century Gothic" w:hAnsi="Century Gothic"/>
                <w:color w:val="auto"/>
                <w:spacing w:val="-1"/>
                <w:sz w:val="18"/>
                <w:szCs w:val="18"/>
              </w:rPr>
              <w:t>targeting minimum</w:t>
            </w:r>
            <w:r w:rsidRPr="00BF5A5F">
              <w:rPr>
                <w:rFonts w:eastAsia="Century Gothic" w:hAnsi="Century Gothic"/>
                <w:color w:val="auto"/>
                <w:spacing w:val="-6"/>
                <w:sz w:val="18"/>
                <w:szCs w:val="18"/>
              </w:rPr>
              <w:t xml:space="preserve"> </w:t>
            </w:r>
            <w:r w:rsidRPr="00BF5A5F">
              <w:rPr>
                <w:rFonts w:eastAsia="Century Gothic" w:hAnsi="Century Gothic"/>
                <w:color w:val="auto"/>
                <w:spacing w:val="-1"/>
                <w:sz w:val="18"/>
                <w:szCs w:val="18"/>
              </w:rPr>
              <w:t>rates</w:t>
            </w:r>
            <w:r w:rsidRPr="00BF5A5F">
              <w:rPr>
                <w:rFonts w:eastAsia="Century Gothic" w:hAnsi="Century Gothic"/>
                <w:color w:val="auto"/>
                <w:spacing w:val="-4"/>
                <w:sz w:val="18"/>
                <w:szCs w:val="18"/>
              </w:rPr>
              <w:t xml:space="preserve"> </w:t>
            </w:r>
            <w:r w:rsidRPr="00BF5A5F">
              <w:rPr>
                <w:rFonts w:eastAsia="Century Gothic" w:hAnsi="Century Gothic"/>
                <w:color w:val="auto"/>
                <w:sz w:val="18"/>
                <w:szCs w:val="18"/>
              </w:rPr>
              <w:t>of</w:t>
            </w:r>
            <w:r w:rsidRPr="00BF5A5F">
              <w:rPr>
                <w:rFonts w:eastAsia="Century Gothic" w:hAnsi="Century Gothic"/>
                <w:color w:val="auto"/>
                <w:spacing w:val="-4"/>
                <w:sz w:val="18"/>
                <w:szCs w:val="18"/>
              </w:rPr>
              <w:t xml:space="preserve"> 1</w:t>
            </w:r>
            <w:r w:rsidRPr="00BF5A5F">
              <w:rPr>
                <w:rFonts w:eastAsia="Century Gothic" w:hAnsi="Century Gothic"/>
                <w:color w:val="auto"/>
                <w:spacing w:val="-1"/>
                <w:sz w:val="18"/>
                <w:szCs w:val="18"/>
              </w:rPr>
              <w:t>40</w:t>
            </w:r>
            <w:r w:rsidRPr="00BF5A5F">
              <w:rPr>
                <w:rFonts w:eastAsia="Century Gothic" w:hAnsi="Century Gothic"/>
                <w:color w:val="auto"/>
                <w:spacing w:val="21"/>
                <w:sz w:val="18"/>
                <w:szCs w:val="18"/>
              </w:rPr>
              <w:t xml:space="preserve"> </w:t>
            </w:r>
            <w:r w:rsidRPr="00BF5A5F">
              <w:rPr>
                <w:rFonts w:eastAsia="Century Gothic" w:hAnsi="Century Gothic"/>
                <w:color w:val="auto"/>
                <w:spacing w:val="-1"/>
                <w:sz w:val="18"/>
                <w:szCs w:val="18"/>
              </w:rPr>
              <w:t>ML/day</w:t>
            </w:r>
            <w:r w:rsidRPr="00BF5A5F">
              <w:rPr>
                <w:rFonts w:eastAsia="Century Gothic" w:hAnsi="Century Gothic"/>
                <w:color w:val="auto"/>
                <w:spacing w:val="-4"/>
                <w:sz w:val="18"/>
                <w:szCs w:val="18"/>
              </w:rPr>
              <w:t xml:space="preserve"> </w:t>
            </w:r>
            <w:r w:rsidRPr="00BF5A5F">
              <w:rPr>
                <w:rFonts w:eastAsia="Century Gothic" w:hAnsi="Century Gothic"/>
                <w:color w:val="auto"/>
                <w:sz w:val="18"/>
                <w:szCs w:val="18"/>
              </w:rPr>
              <w:t>at</w:t>
            </w:r>
            <w:r w:rsidRPr="00BF5A5F">
              <w:rPr>
                <w:rFonts w:eastAsia="Century Gothic" w:hAnsi="Century Gothic"/>
                <w:color w:val="auto"/>
                <w:spacing w:val="-4"/>
                <w:sz w:val="18"/>
                <w:szCs w:val="18"/>
              </w:rPr>
              <w:t xml:space="preserve"> </w:t>
            </w:r>
            <w:r w:rsidRPr="00BF5A5F">
              <w:rPr>
                <w:rFonts w:eastAsia="Century Gothic" w:hAnsi="Century Gothic"/>
                <w:color w:val="auto"/>
                <w:spacing w:val="-1"/>
                <w:sz w:val="18"/>
                <w:szCs w:val="18"/>
              </w:rPr>
              <w:t>Bells</w:t>
            </w:r>
            <w:r w:rsidRPr="00BF5A5F">
              <w:rPr>
                <w:rFonts w:eastAsia="Century Gothic" w:hAnsi="Century Gothic"/>
                <w:color w:val="auto"/>
                <w:spacing w:val="-2"/>
                <w:sz w:val="18"/>
                <w:szCs w:val="18"/>
              </w:rPr>
              <w:t xml:space="preserve"> </w:t>
            </w:r>
            <w:r w:rsidRPr="00BF5A5F">
              <w:rPr>
                <w:rFonts w:eastAsia="Century Gothic" w:hAnsi="Century Gothic"/>
                <w:color w:val="auto"/>
                <w:spacing w:val="-1"/>
                <w:sz w:val="18"/>
                <w:szCs w:val="18"/>
              </w:rPr>
              <w:t>Bridge</w:t>
            </w:r>
            <w:r w:rsidRPr="00BF5A5F">
              <w:rPr>
                <w:rFonts w:eastAsia="Century Gothic" w:hAnsi="Century Gothic"/>
                <w:color w:val="auto"/>
                <w:spacing w:val="25"/>
                <w:w w:val="99"/>
                <w:sz w:val="18"/>
                <w:szCs w:val="18"/>
              </w:rPr>
              <w:t xml:space="preserve"> </w:t>
            </w:r>
            <w:r w:rsidRPr="00BF5A5F">
              <w:rPr>
                <w:rFonts w:eastAsia="Century Gothic" w:hAnsi="Century Gothic"/>
                <w:color w:val="auto"/>
                <w:spacing w:val="-1"/>
                <w:sz w:val="18"/>
                <w:szCs w:val="18"/>
              </w:rPr>
              <w:t>(minimum</w:t>
            </w:r>
            <w:r w:rsidRPr="00BF5A5F">
              <w:rPr>
                <w:rFonts w:eastAsia="Century Gothic" w:hAnsi="Century Gothic"/>
                <w:color w:val="auto"/>
                <w:spacing w:val="-8"/>
                <w:sz w:val="18"/>
                <w:szCs w:val="18"/>
              </w:rPr>
              <w:t xml:space="preserve"> </w:t>
            </w:r>
            <w:r w:rsidRPr="00BF5A5F">
              <w:rPr>
                <w:rFonts w:eastAsia="Century Gothic" w:hAnsi="Century Gothic"/>
                <w:color w:val="auto"/>
                <w:sz w:val="18"/>
                <w:szCs w:val="18"/>
              </w:rPr>
              <w:t>depth</w:t>
            </w:r>
            <w:r w:rsidRPr="00BF5A5F">
              <w:rPr>
                <w:rFonts w:eastAsia="Century Gothic" w:hAnsi="Century Gothic"/>
                <w:color w:val="auto"/>
                <w:spacing w:val="-3"/>
                <w:sz w:val="18"/>
                <w:szCs w:val="18"/>
              </w:rPr>
              <w:t xml:space="preserve"> </w:t>
            </w:r>
            <w:r w:rsidRPr="00BF5A5F">
              <w:rPr>
                <w:rFonts w:eastAsia="Century Gothic" w:hAnsi="Century Gothic"/>
                <w:color w:val="auto"/>
                <w:sz w:val="18"/>
                <w:szCs w:val="18"/>
              </w:rPr>
              <w:t>of</w:t>
            </w:r>
            <w:r w:rsidRPr="00BF5A5F">
              <w:rPr>
                <w:rFonts w:eastAsia="Century Gothic" w:hAnsi="Century Gothic"/>
                <w:color w:val="auto"/>
                <w:spacing w:val="-3"/>
                <w:sz w:val="18"/>
                <w:szCs w:val="18"/>
              </w:rPr>
              <w:t xml:space="preserve"> </w:t>
            </w:r>
            <w:r w:rsidRPr="00BF5A5F">
              <w:rPr>
                <w:rFonts w:eastAsia="Century Gothic" w:hAnsi="Century Gothic"/>
                <w:color w:val="auto"/>
                <w:sz w:val="18"/>
                <w:szCs w:val="18"/>
              </w:rPr>
              <w:t>50</w:t>
            </w:r>
            <w:r w:rsidRPr="00BF5A5F">
              <w:rPr>
                <w:rFonts w:eastAsia="Century Gothic" w:hAnsi="Century Gothic"/>
                <w:color w:val="auto"/>
                <w:spacing w:val="-5"/>
                <w:sz w:val="18"/>
                <w:szCs w:val="18"/>
              </w:rPr>
              <w:t xml:space="preserve"> </w:t>
            </w:r>
            <w:r w:rsidRPr="00BF5A5F">
              <w:rPr>
                <w:rFonts w:eastAsia="Century Gothic" w:hAnsi="Century Gothic"/>
                <w:color w:val="auto"/>
                <w:spacing w:val="-1"/>
                <w:sz w:val="18"/>
                <w:szCs w:val="18"/>
              </w:rPr>
              <w:t>cm)</w:t>
            </w:r>
            <w:r w:rsidRPr="00BF5A5F">
              <w:rPr>
                <w:rFonts w:eastAsia="Century Gothic" w:hAnsi="Century Gothic"/>
                <w:color w:val="auto"/>
                <w:spacing w:val="26"/>
                <w:sz w:val="18"/>
                <w:szCs w:val="18"/>
              </w:rPr>
              <w:t xml:space="preserve"> </w:t>
            </w:r>
            <w:r w:rsidRPr="00BF5A5F">
              <w:rPr>
                <w:rFonts w:eastAsia="Century Gothic" w:hAnsi="Century Gothic"/>
                <w:color w:val="auto"/>
                <w:spacing w:val="-1"/>
                <w:sz w:val="18"/>
                <w:szCs w:val="18"/>
              </w:rPr>
              <w:t>to</w:t>
            </w:r>
            <w:r w:rsidRPr="00BF5A5F">
              <w:rPr>
                <w:rFonts w:eastAsia="Century Gothic" w:hAnsi="Century Gothic"/>
                <w:color w:val="auto"/>
                <w:spacing w:val="-6"/>
                <w:sz w:val="18"/>
                <w:szCs w:val="18"/>
              </w:rPr>
              <w:t xml:space="preserve"> </w:t>
            </w:r>
            <w:r w:rsidRPr="00BF5A5F">
              <w:rPr>
                <w:rFonts w:eastAsia="Century Gothic" w:hAnsi="Century Gothic"/>
                <w:color w:val="auto"/>
                <w:sz w:val="18"/>
                <w:szCs w:val="18"/>
              </w:rPr>
              <w:t>connect</w:t>
            </w:r>
            <w:r w:rsidRPr="00BF5A5F">
              <w:rPr>
                <w:rFonts w:eastAsia="Century Gothic" w:hAnsi="Century Gothic"/>
                <w:color w:val="auto"/>
                <w:spacing w:val="-7"/>
                <w:sz w:val="18"/>
                <w:szCs w:val="18"/>
              </w:rPr>
              <w:t xml:space="preserve"> </w:t>
            </w:r>
            <w:r w:rsidRPr="00BF5A5F">
              <w:rPr>
                <w:rFonts w:eastAsia="Century Gothic" w:hAnsi="Century Gothic"/>
                <w:color w:val="auto"/>
                <w:sz w:val="18"/>
                <w:szCs w:val="18"/>
              </w:rPr>
              <w:t>the</w:t>
            </w:r>
            <w:r w:rsidRPr="00BF5A5F">
              <w:rPr>
                <w:rFonts w:eastAsia="Century Gothic" w:hAnsi="Century Gothic"/>
                <w:color w:val="auto"/>
                <w:spacing w:val="-6"/>
                <w:sz w:val="18"/>
                <w:szCs w:val="18"/>
              </w:rPr>
              <w:t xml:space="preserve"> </w:t>
            </w:r>
            <w:r w:rsidRPr="00BF5A5F">
              <w:rPr>
                <w:rFonts w:eastAsia="Century Gothic" w:hAnsi="Century Gothic"/>
                <w:color w:val="auto"/>
                <w:spacing w:val="-1"/>
                <w:sz w:val="18"/>
                <w:szCs w:val="18"/>
              </w:rPr>
              <w:t>lower</w:t>
            </w:r>
            <w:r w:rsidRPr="00BF5A5F">
              <w:rPr>
                <w:rFonts w:eastAsia="Century Gothic" w:hAnsi="Century Gothic"/>
                <w:color w:val="auto"/>
                <w:spacing w:val="22"/>
                <w:w w:val="99"/>
                <w:sz w:val="18"/>
                <w:szCs w:val="18"/>
              </w:rPr>
              <w:t xml:space="preserve"> </w:t>
            </w:r>
            <w:r w:rsidRPr="00BF5A5F">
              <w:rPr>
                <w:rFonts w:eastAsia="Century Gothic" w:hAnsi="Century Gothic"/>
                <w:color w:val="auto"/>
                <w:spacing w:val="-1"/>
                <w:sz w:val="18"/>
                <w:szCs w:val="18"/>
              </w:rPr>
              <w:t>Macquarie</w:t>
            </w:r>
            <w:r w:rsidRPr="00BF5A5F">
              <w:rPr>
                <w:rFonts w:eastAsia="Century Gothic" w:hAnsi="Century Gothic"/>
                <w:color w:val="auto"/>
                <w:spacing w:val="-6"/>
                <w:sz w:val="18"/>
                <w:szCs w:val="18"/>
              </w:rPr>
              <w:t xml:space="preserve"> </w:t>
            </w:r>
            <w:r w:rsidRPr="00BF5A5F">
              <w:rPr>
                <w:rFonts w:eastAsia="Century Gothic" w:hAnsi="Century Gothic"/>
                <w:color w:val="auto"/>
                <w:spacing w:val="-1"/>
                <w:sz w:val="18"/>
                <w:szCs w:val="18"/>
              </w:rPr>
              <w:t>River</w:t>
            </w:r>
            <w:r w:rsidRPr="00BF5A5F">
              <w:rPr>
                <w:rFonts w:eastAsia="Century Gothic" w:hAnsi="Century Gothic"/>
                <w:color w:val="auto"/>
                <w:spacing w:val="-3"/>
                <w:sz w:val="18"/>
                <w:szCs w:val="18"/>
              </w:rPr>
              <w:t xml:space="preserve"> </w:t>
            </w:r>
            <w:r w:rsidRPr="00BF5A5F">
              <w:rPr>
                <w:rFonts w:eastAsia="Century Gothic" w:hAnsi="Century Gothic"/>
                <w:color w:val="auto"/>
                <w:sz w:val="18"/>
                <w:szCs w:val="18"/>
              </w:rPr>
              <w:t>and</w:t>
            </w:r>
            <w:r w:rsidRPr="00BF5A5F">
              <w:rPr>
                <w:rFonts w:eastAsia="Century Gothic" w:hAnsi="Century Gothic"/>
                <w:color w:val="auto"/>
                <w:spacing w:val="-4"/>
                <w:sz w:val="18"/>
                <w:szCs w:val="18"/>
              </w:rPr>
              <w:t xml:space="preserve"> </w:t>
            </w:r>
            <w:r w:rsidRPr="00BF5A5F">
              <w:rPr>
                <w:rFonts w:eastAsia="Century Gothic" w:hAnsi="Century Gothic"/>
                <w:color w:val="auto"/>
                <w:sz w:val="18"/>
                <w:szCs w:val="18"/>
              </w:rPr>
              <w:t>the</w:t>
            </w:r>
            <w:r w:rsidRPr="00BF5A5F">
              <w:rPr>
                <w:rFonts w:eastAsia="Century Gothic" w:hAnsi="Century Gothic"/>
                <w:color w:val="auto"/>
                <w:spacing w:val="21"/>
                <w:w w:val="99"/>
                <w:sz w:val="18"/>
                <w:szCs w:val="18"/>
              </w:rPr>
              <w:t xml:space="preserve"> </w:t>
            </w:r>
            <w:r w:rsidRPr="00BF5A5F">
              <w:rPr>
                <w:rFonts w:eastAsia="Century Gothic" w:hAnsi="Century Gothic"/>
                <w:color w:val="auto"/>
                <w:spacing w:val="-1"/>
                <w:sz w:val="18"/>
                <w:szCs w:val="18"/>
              </w:rPr>
              <w:t>Barwon</w:t>
            </w:r>
            <w:r w:rsidRPr="00BF5A5F">
              <w:rPr>
                <w:rFonts w:eastAsia="Century Gothic" w:hAnsi="Century Gothic"/>
                <w:color w:val="auto"/>
                <w:spacing w:val="-4"/>
                <w:sz w:val="18"/>
                <w:szCs w:val="18"/>
              </w:rPr>
              <w:t xml:space="preserve"> </w:t>
            </w:r>
            <w:r w:rsidRPr="00BF5A5F">
              <w:rPr>
                <w:rFonts w:eastAsia="Century Gothic" w:hAnsi="Century Gothic"/>
                <w:color w:val="auto"/>
                <w:spacing w:val="-1"/>
                <w:sz w:val="18"/>
                <w:szCs w:val="18"/>
              </w:rPr>
              <w:t>River</w:t>
            </w:r>
            <w:r w:rsidRPr="00BF5A5F">
              <w:rPr>
                <w:rFonts w:eastAsia="Century Gothic" w:hAnsi="Century Gothic"/>
                <w:color w:val="auto"/>
                <w:spacing w:val="-4"/>
                <w:sz w:val="18"/>
                <w:szCs w:val="18"/>
              </w:rPr>
              <w:t xml:space="preserve"> </w:t>
            </w:r>
            <w:r w:rsidRPr="00BF5A5F">
              <w:rPr>
                <w:rFonts w:eastAsia="Century Gothic" w:hAnsi="Century Gothic"/>
                <w:color w:val="auto"/>
                <w:spacing w:val="-1"/>
                <w:sz w:val="18"/>
                <w:szCs w:val="18"/>
              </w:rPr>
              <w:t>for</w:t>
            </w:r>
            <w:r w:rsidRPr="00BF5A5F">
              <w:rPr>
                <w:rFonts w:eastAsia="Century Gothic" w:hAnsi="Century Gothic"/>
                <w:color w:val="auto"/>
                <w:spacing w:val="28"/>
                <w:w w:val="99"/>
                <w:sz w:val="18"/>
                <w:szCs w:val="18"/>
              </w:rPr>
              <w:t xml:space="preserve"> </w:t>
            </w:r>
            <w:r w:rsidRPr="00BF5A5F">
              <w:rPr>
                <w:rFonts w:eastAsia="Century Gothic" w:hAnsi="Century Gothic"/>
                <w:color w:val="auto"/>
                <w:spacing w:val="-1"/>
                <w:sz w:val="18"/>
                <w:szCs w:val="18"/>
              </w:rPr>
              <w:t>a minimum of</w:t>
            </w:r>
            <w:r w:rsidRPr="00BF5A5F">
              <w:rPr>
                <w:rFonts w:eastAsia="Century Gothic" w:hAnsi="Century Gothic"/>
                <w:color w:val="auto"/>
                <w:spacing w:val="-4"/>
                <w:sz w:val="18"/>
                <w:szCs w:val="18"/>
              </w:rPr>
              <w:t xml:space="preserve"> </w:t>
            </w:r>
            <w:r w:rsidRPr="00BF5A5F">
              <w:rPr>
                <w:rFonts w:eastAsia="Century Gothic" w:hAnsi="Century Gothic"/>
                <w:color w:val="auto"/>
                <w:sz w:val="18"/>
                <w:szCs w:val="18"/>
              </w:rPr>
              <w:t>28</w:t>
            </w:r>
            <w:r w:rsidRPr="00BF5A5F">
              <w:rPr>
                <w:rFonts w:eastAsia="Century Gothic" w:hAnsi="Century Gothic"/>
                <w:color w:val="auto"/>
                <w:spacing w:val="-3"/>
                <w:sz w:val="18"/>
                <w:szCs w:val="18"/>
              </w:rPr>
              <w:t xml:space="preserve"> </w:t>
            </w:r>
            <w:r w:rsidRPr="00BF5A5F">
              <w:rPr>
                <w:rFonts w:eastAsia="Century Gothic" w:hAnsi="Century Gothic"/>
                <w:color w:val="auto"/>
                <w:spacing w:val="-1"/>
                <w:sz w:val="18"/>
                <w:szCs w:val="18"/>
              </w:rPr>
              <w:t>days.</w:t>
            </w:r>
          </w:p>
        </w:tc>
        <w:tc>
          <w:tcPr>
            <w:tcW w:w="485" w:type="pct"/>
            <w:shd w:val="clear" w:color="auto" w:fill="auto"/>
            <w:vAlign w:val="center"/>
          </w:tcPr>
          <w:p w14:paraId="66485216" w14:textId="77777777" w:rsidR="00AA0841" w:rsidRPr="00BF5A5F" w:rsidRDefault="00AA0841" w:rsidP="00AA0841">
            <w:pPr>
              <w:rPr>
                <w:color w:val="auto"/>
                <w:spacing w:val="24"/>
                <w:sz w:val="18"/>
                <w:szCs w:val="18"/>
              </w:rPr>
            </w:pPr>
            <w:r w:rsidRPr="00BF5A5F">
              <w:rPr>
                <w:color w:val="auto"/>
                <w:spacing w:val="-1"/>
                <w:sz w:val="18"/>
                <w:szCs w:val="18"/>
              </w:rPr>
              <w:t>Opportunistic</w:t>
            </w:r>
          </w:p>
          <w:p w14:paraId="7F821511" w14:textId="77777777" w:rsidR="00AA0841" w:rsidRPr="00BF5A5F" w:rsidRDefault="00AA0841" w:rsidP="00AA0841">
            <w:pPr>
              <w:rPr>
                <w:rFonts w:hAnsi="Century Gothic"/>
                <w:color w:val="auto"/>
                <w:sz w:val="18"/>
                <w:szCs w:val="18"/>
              </w:rPr>
            </w:pPr>
            <w:r w:rsidRPr="00BF5A5F">
              <w:rPr>
                <w:color w:val="auto"/>
                <w:spacing w:val="-1"/>
                <w:sz w:val="18"/>
                <w:szCs w:val="18"/>
              </w:rPr>
              <w:t>(Max</w:t>
            </w:r>
            <w:r w:rsidRPr="00BF5A5F">
              <w:rPr>
                <w:color w:val="auto"/>
                <w:spacing w:val="-6"/>
                <w:sz w:val="18"/>
                <w:szCs w:val="18"/>
              </w:rPr>
              <w:t xml:space="preserve"> </w:t>
            </w:r>
            <w:r w:rsidRPr="00BF5A5F">
              <w:rPr>
                <w:color w:val="auto"/>
                <w:spacing w:val="-1"/>
                <w:sz w:val="18"/>
                <w:szCs w:val="18"/>
              </w:rPr>
              <w:t>interval</w:t>
            </w:r>
            <w:r w:rsidRPr="00BF5A5F">
              <w:rPr>
                <w:color w:val="auto"/>
                <w:spacing w:val="27"/>
                <w:sz w:val="18"/>
                <w:szCs w:val="18"/>
              </w:rPr>
              <w:t>: 4</w:t>
            </w:r>
            <w:r w:rsidRPr="00BF5A5F">
              <w:rPr>
                <w:color w:val="auto"/>
                <w:spacing w:val="-1"/>
                <w:sz w:val="18"/>
                <w:szCs w:val="18"/>
              </w:rPr>
              <w:t>years)</w:t>
            </w:r>
          </w:p>
        </w:tc>
        <w:tc>
          <w:tcPr>
            <w:tcW w:w="1356" w:type="pct"/>
            <w:shd w:val="clear" w:color="auto" w:fill="auto"/>
            <w:vAlign w:val="center"/>
          </w:tcPr>
          <w:p w14:paraId="3C6F2FC7" w14:textId="77777777" w:rsidR="00AA0841" w:rsidRPr="00BF5A5F" w:rsidRDefault="00AA0841" w:rsidP="00AA0841">
            <w:pPr>
              <w:spacing w:after="60"/>
              <w:jc w:val="center"/>
              <w:rPr>
                <w:rFonts w:cstheme="minorHAnsi"/>
                <w:bCs/>
                <w:color w:val="auto"/>
                <w:sz w:val="18"/>
                <w:szCs w:val="18"/>
              </w:rPr>
            </w:pPr>
            <w:r w:rsidRPr="00BF5A5F">
              <w:rPr>
                <w:rFonts w:cstheme="minorHAnsi"/>
                <w:bCs/>
                <w:color w:val="auto"/>
                <w:sz w:val="18"/>
                <w:szCs w:val="18"/>
              </w:rPr>
              <w:t xml:space="preserve">Based on flows at Bells Bridge, suitable connection was achieved in spring 2016, autumn 2017, and again in spring/summer 2017. Note that these flows in 2016–17 occurred during wetter conditions and the autumn flow was specifically targeting connectivity to the Barwon River. However, flows in 2017–18 occurred in drier conditions and were likely subject to extraction downstream of Bells Bridge, meaning suitable connection may not have been achieved. </w:t>
            </w:r>
          </w:p>
          <w:p w14:paraId="1088AFDA" w14:textId="77777777" w:rsidR="00AA0841" w:rsidRPr="00BF5A5F" w:rsidRDefault="00AA0841" w:rsidP="00AA0841">
            <w:pPr>
              <w:spacing w:after="60"/>
              <w:jc w:val="center"/>
              <w:rPr>
                <w:rFonts w:cstheme="minorHAnsi"/>
                <w:bCs/>
                <w:color w:val="auto"/>
                <w:sz w:val="18"/>
                <w:szCs w:val="18"/>
              </w:rPr>
            </w:pPr>
            <w:r w:rsidRPr="00BF5A5F">
              <w:rPr>
                <w:rFonts w:cstheme="minorHAnsi"/>
                <w:bCs/>
                <w:color w:val="auto"/>
                <w:sz w:val="18"/>
                <w:szCs w:val="18"/>
              </w:rPr>
              <w:t>This demand was also partially met in 2018–19, with environmental water providing a low flow connection to the Barwon River during spring 2018. Flows from the Castlereagh and Marthaguy provided good connectivity in the lower reaches in early 2020. However, cease to flow conditions persisted through much of 2019–20, and flows remained well below 140 ML/d at Bells Bridge. Therefore, this demand was not met and water required in 2020–21.</w:t>
            </w:r>
          </w:p>
        </w:tc>
        <w:tc>
          <w:tcPr>
            <w:tcW w:w="452" w:type="pct"/>
            <w:shd w:val="clear" w:color="auto" w:fill="FF0000"/>
            <w:vAlign w:val="center"/>
          </w:tcPr>
          <w:p w14:paraId="66CEE767"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High</w:t>
            </w:r>
          </w:p>
        </w:tc>
        <w:tc>
          <w:tcPr>
            <w:tcW w:w="679" w:type="pct"/>
            <w:shd w:val="clear" w:color="auto" w:fill="365F91" w:themeFill="accent1" w:themeFillShade="BF"/>
            <w:vAlign w:val="center"/>
          </w:tcPr>
          <w:p w14:paraId="2A9056E0" w14:textId="77777777" w:rsidR="00AA0841" w:rsidRPr="00DD2626" w:rsidRDefault="00AA0841" w:rsidP="00AA0841">
            <w:pPr>
              <w:jc w:val="center"/>
              <w:rPr>
                <w:rFonts w:hAnsi="Century Gothic"/>
                <w:color w:val="auto"/>
                <w:sz w:val="18"/>
                <w:szCs w:val="18"/>
              </w:rPr>
            </w:pPr>
            <w:r w:rsidRPr="00DD2626">
              <w:rPr>
                <w:color w:val="auto"/>
                <w:spacing w:val="-1"/>
                <w:sz w:val="18"/>
                <w:szCs w:val="18"/>
              </w:rPr>
              <w:t>High priority for CEW under moderate to very high water resource availability scenarios only,</w:t>
            </w:r>
            <w:r w:rsidRPr="00DD2626">
              <w:rPr>
                <w:color w:val="auto"/>
                <w:spacing w:val="25"/>
                <w:sz w:val="18"/>
                <w:szCs w:val="18"/>
              </w:rPr>
              <w:t xml:space="preserve"> </w:t>
            </w:r>
            <w:r w:rsidRPr="00DD2626">
              <w:rPr>
                <w:color w:val="auto"/>
                <w:spacing w:val="-1"/>
                <w:sz w:val="18"/>
                <w:szCs w:val="18"/>
              </w:rPr>
              <w:t>subject</w:t>
            </w:r>
            <w:r w:rsidRPr="00DD2626">
              <w:rPr>
                <w:color w:val="auto"/>
                <w:spacing w:val="-5"/>
                <w:sz w:val="18"/>
                <w:szCs w:val="18"/>
              </w:rPr>
              <w:t xml:space="preserve"> </w:t>
            </w:r>
            <w:r w:rsidRPr="00DD2626">
              <w:rPr>
                <w:color w:val="auto"/>
                <w:sz w:val="18"/>
                <w:szCs w:val="18"/>
              </w:rPr>
              <w:t>to</w:t>
            </w:r>
            <w:r w:rsidRPr="00DD2626">
              <w:rPr>
                <w:color w:val="auto"/>
                <w:spacing w:val="-4"/>
                <w:sz w:val="18"/>
                <w:szCs w:val="18"/>
              </w:rPr>
              <w:t xml:space="preserve"> </w:t>
            </w:r>
            <w:r w:rsidRPr="00DD2626">
              <w:rPr>
                <w:color w:val="auto"/>
                <w:spacing w:val="-1"/>
                <w:sz w:val="18"/>
                <w:szCs w:val="18"/>
              </w:rPr>
              <w:t>suitable</w:t>
            </w:r>
            <w:r w:rsidRPr="00DD2626">
              <w:rPr>
                <w:color w:val="auto"/>
                <w:spacing w:val="28"/>
                <w:sz w:val="18"/>
                <w:szCs w:val="18"/>
              </w:rPr>
              <w:t xml:space="preserve"> </w:t>
            </w:r>
            <w:r w:rsidRPr="00DD2626">
              <w:rPr>
                <w:color w:val="auto"/>
                <w:spacing w:val="-1"/>
                <w:sz w:val="18"/>
                <w:szCs w:val="18"/>
              </w:rPr>
              <w:t>conditions</w:t>
            </w:r>
            <w:r w:rsidRPr="00DD2626">
              <w:rPr>
                <w:color w:val="auto"/>
                <w:spacing w:val="-10"/>
                <w:sz w:val="18"/>
                <w:szCs w:val="18"/>
              </w:rPr>
              <w:t xml:space="preserve"> </w:t>
            </w:r>
            <w:r w:rsidRPr="00DD2626">
              <w:rPr>
                <w:color w:val="auto"/>
                <w:spacing w:val="-1"/>
                <w:sz w:val="18"/>
                <w:szCs w:val="18"/>
              </w:rPr>
              <w:t>and</w:t>
            </w:r>
            <w:r w:rsidRPr="00DD2626">
              <w:rPr>
                <w:color w:val="auto"/>
                <w:spacing w:val="22"/>
                <w:sz w:val="18"/>
                <w:szCs w:val="18"/>
              </w:rPr>
              <w:t xml:space="preserve"> </w:t>
            </w:r>
            <w:r w:rsidRPr="00DD2626">
              <w:rPr>
                <w:color w:val="auto"/>
                <w:spacing w:val="-1"/>
                <w:sz w:val="18"/>
                <w:szCs w:val="18"/>
              </w:rPr>
              <w:t>operational</w:t>
            </w:r>
            <w:r w:rsidRPr="00DD2626">
              <w:rPr>
                <w:color w:val="auto"/>
                <w:spacing w:val="29"/>
                <w:w w:val="99"/>
                <w:sz w:val="18"/>
                <w:szCs w:val="18"/>
              </w:rPr>
              <w:t xml:space="preserve"> </w:t>
            </w:r>
            <w:r w:rsidRPr="00DD2626">
              <w:rPr>
                <w:color w:val="auto"/>
                <w:spacing w:val="-1"/>
                <w:sz w:val="18"/>
                <w:szCs w:val="18"/>
              </w:rPr>
              <w:t>feasibility.</w:t>
            </w:r>
          </w:p>
        </w:tc>
        <w:tc>
          <w:tcPr>
            <w:tcW w:w="513" w:type="pct"/>
            <w:tcBorders>
              <w:right w:val="single" w:sz="12" w:space="0" w:color="auto"/>
            </w:tcBorders>
            <w:shd w:val="clear" w:color="auto" w:fill="FFC000"/>
            <w:vAlign w:val="center"/>
          </w:tcPr>
          <w:p w14:paraId="7E619DE5"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Moderate to High</w:t>
            </w:r>
          </w:p>
        </w:tc>
      </w:tr>
      <w:tr w:rsidR="00AA0841" w:rsidRPr="00DD2626" w14:paraId="7028580F" w14:textId="77777777" w:rsidTr="00AA0841">
        <w:trPr>
          <w:trHeight w:val="2392"/>
        </w:trPr>
        <w:tc>
          <w:tcPr>
            <w:tcW w:w="417" w:type="pct"/>
            <w:vMerge/>
            <w:tcBorders>
              <w:left w:val="single" w:sz="12" w:space="0" w:color="auto"/>
            </w:tcBorders>
            <w:shd w:val="clear" w:color="auto" w:fill="auto"/>
          </w:tcPr>
          <w:p w14:paraId="71F08EA4" w14:textId="77777777" w:rsidR="00AA0841" w:rsidRPr="00BF5A5F" w:rsidRDefault="00AA0841" w:rsidP="00AA0841">
            <w:pPr>
              <w:rPr>
                <w:rFonts w:hAnsi="Century Gothic"/>
                <w:bCs/>
                <w:color w:val="auto"/>
                <w:sz w:val="18"/>
                <w:szCs w:val="18"/>
              </w:rPr>
            </w:pPr>
          </w:p>
        </w:tc>
        <w:tc>
          <w:tcPr>
            <w:tcW w:w="355" w:type="pct"/>
            <w:vAlign w:val="center"/>
          </w:tcPr>
          <w:p w14:paraId="349D12EE" w14:textId="77777777" w:rsidR="00AA0841" w:rsidRPr="00BF5A5F" w:rsidRDefault="00AA0841" w:rsidP="00AA0841">
            <w:pPr>
              <w:rPr>
                <w:rFonts w:hAnsi="Century Gothic"/>
                <w:color w:val="auto"/>
                <w:sz w:val="18"/>
                <w:szCs w:val="18"/>
              </w:rPr>
            </w:pPr>
            <w:r w:rsidRPr="00BF5A5F">
              <w:rPr>
                <w:color w:val="auto"/>
                <w:spacing w:val="-1"/>
                <w:sz w:val="18"/>
                <w:szCs w:val="18"/>
              </w:rPr>
              <w:t>Floodplain</w:t>
            </w:r>
            <w:r w:rsidRPr="00BF5A5F">
              <w:rPr>
                <w:color w:val="auto"/>
                <w:spacing w:val="25"/>
                <w:w w:val="99"/>
                <w:sz w:val="18"/>
                <w:szCs w:val="18"/>
              </w:rPr>
              <w:t xml:space="preserve"> </w:t>
            </w:r>
            <w:r w:rsidRPr="00BF5A5F">
              <w:rPr>
                <w:color w:val="auto"/>
                <w:spacing w:val="-1"/>
                <w:sz w:val="18"/>
                <w:szCs w:val="18"/>
              </w:rPr>
              <w:t>vegetation</w:t>
            </w:r>
            <w:r w:rsidRPr="00BF5A5F">
              <w:rPr>
                <w:color w:val="auto"/>
                <w:spacing w:val="25"/>
                <w:w w:val="99"/>
                <w:sz w:val="18"/>
                <w:szCs w:val="18"/>
              </w:rPr>
              <w:t xml:space="preserve"> </w:t>
            </w:r>
            <w:r w:rsidRPr="00BF5A5F">
              <w:rPr>
                <w:color w:val="auto"/>
                <w:spacing w:val="-1"/>
                <w:sz w:val="18"/>
                <w:szCs w:val="18"/>
              </w:rPr>
              <w:t>Connectivity</w:t>
            </w:r>
          </w:p>
        </w:tc>
        <w:tc>
          <w:tcPr>
            <w:tcW w:w="743" w:type="pct"/>
            <w:shd w:val="clear" w:color="auto" w:fill="auto"/>
            <w:vAlign w:val="center"/>
          </w:tcPr>
          <w:p w14:paraId="08EC0DDB" w14:textId="77777777" w:rsidR="00AA0841" w:rsidRPr="00BF5A5F" w:rsidRDefault="00AA0841" w:rsidP="00AA0841">
            <w:pPr>
              <w:rPr>
                <w:rFonts w:hAnsi="Century Gothic"/>
                <w:color w:val="auto"/>
                <w:sz w:val="18"/>
                <w:szCs w:val="18"/>
              </w:rPr>
            </w:pPr>
            <w:r w:rsidRPr="00BF5A5F">
              <w:rPr>
                <w:rFonts w:eastAsia="Century Gothic" w:hAnsi="Century Gothic"/>
                <w:color w:val="auto"/>
                <w:sz w:val="18"/>
                <w:szCs w:val="18"/>
              </w:rPr>
              <w:t>15</w:t>
            </w:r>
            <w:r w:rsidRPr="00BF5A5F">
              <w:rPr>
                <w:rFonts w:eastAsia="Century Gothic" w:hAnsi="Century Gothic"/>
                <w:color w:val="auto"/>
                <w:sz w:val="18"/>
                <w:szCs w:val="18"/>
              </w:rPr>
              <w:t>–</w:t>
            </w:r>
            <w:r w:rsidRPr="00BF5A5F">
              <w:rPr>
                <w:rFonts w:eastAsia="Century Gothic" w:hAnsi="Century Gothic"/>
                <w:color w:val="auto"/>
                <w:sz w:val="18"/>
                <w:szCs w:val="18"/>
              </w:rPr>
              <w:t>30</w:t>
            </w:r>
            <w:r w:rsidRPr="00BF5A5F">
              <w:rPr>
                <w:rFonts w:eastAsia="Century Gothic" w:hAnsi="Century Gothic"/>
                <w:color w:val="auto"/>
                <w:spacing w:val="-2"/>
                <w:sz w:val="18"/>
                <w:szCs w:val="18"/>
              </w:rPr>
              <w:t xml:space="preserve"> </w:t>
            </w:r>
            <w:r w:rsidRPr="00BF5A5F">
              <w:rPr>
                <w:rFonts w:eastAsia="Century Gothic" w:hAnsi="Century Gothic"/>
                <w:color w:val="auto"/>
                <w:sz w:val="18"/>
                <w:szCs w:val="18"/>
              </w:rPr>
              <w:t>GL</w:t>
            </w:r>
            <w:r w:rsidRPr="00BF5A5F">
              <w:rPr>
                <w:rFonts w:eastAsia="Century Gothic" w:hAnsi="Century Gothic"/>
                <w:color w:val="auto"/>
                <w:spacing w:val="-4"/>
                <w:sz w:val="18"/>
                <w:szCs w:val="18"/>
              </w:rPr>
              <w:t xml:space="preserve"> </w:t>
            </w:r>
            <w:r w:rsidRPr="00BF5A5F">
              <w:rPr>
                <w:rFonts w:eastAsia="Century Gothic" w:hAnsi="Century Gothic"/>
                <w:color w:val="auto"/>
                <w:sz w:val="18"/>
                <w:szCs w:val="18"/>
              </w:rPr>
              <w:t>at</w:t>
            </w:r>
            <w:r w:rsidRPr="00BF5A5F">
              <w:rPr>
                <w:rFonts w:eastAsia="Century Gothic" w:hAnsi="Century Gothic"/>
                <w:color w:val="auto"/>
                <w:spacing w:val="-3"/>
                <w:sz w:val="18"/>
                <w:szCs w:val="18"/>
              </w:rPr>
              <w:t xml:space="preserve"> </w:t>
            </w:r>
            <w:r w:rsidRPr="00BF5A5F">
              <w:rPr>
                <w:rFonts w:eastAsia="Century Gothic" w:hAnsi="Century Gothic"/>
                <w:color w:val="auto"/>
                <w:spacing w:val="-1"/>
                <w:sz w:val="18"/>
                <w:szCs w:val="18"/>
              </w:rPr>
              <w:t>Bells</w:t>
            </w:r>
            <w:r w:rsidRPr="00BF5A5F">
              <w:rPr>
                <w:rFonts w:eastAsia="Century Gothic" w:hAnsi="Century Gothic"/>
                <w:color w:val="auto"/>
                <w:spacing w:val="-2"/>
                <w:sz w:val="18"/>
                <w:szCs w:val="18"/>
              </w:rPr>
              <w:t xml:space="preserve"> </w:t>
            </w:r>
            <w:r w:rsidRPr="00BF5A5F">
              <w:rPr>
                <w:rFonts w:eastAsia="Century Gothic" w:hAnsi="Century Gothic"/>
                <w:color w:val="auto"/>
                <w:spacing w:val="-1"/>
                <w:sz w:val="18"/>
                <w:szCs w:val="18"/>
              </w:rPr>
              <w:t>Bridge</w:t>
            </w:r>
            <w:r w:rsidRPr="00BF5A5F">
              <w:rPr>
                <w:rFonts w:eastAsia="Century Gothic" w:hAnsi="Century Gothic"/>
                <w:color w:val="auto"/>
                <w:spacing w:val="-2"/>
                <w:sz w:val="18"/>
                <w:szCs w:val="18"/>
              </w:rPr>
              <w:t xml:space="preserve"> </w:t>
            </w:r>
            <w:r w:rsidRPr="00BF5A5F">
              <w:rPr>
                <w:rFonts w:eastAsia="Century Gothic" w:hAnsi="Century Gothic"/>
                <w:color w:val="auto"/>
                <w:sz w:val="18"/>
                <w:szCs w:val="18"/>
              </w:rPr>
              <w:t>to</w:t>
            </w:r>
            <w:r w:rsidRPr="00BF5A5F">
              <w:rPr>
                <w:rFonts w:eastAsia="Century Gothic" w:hAnsi="Century Gothic"/>
                <w:color w:val="auto"/>
                <w:spacing w:val="25"/>
                <w:w w:val="99"/>
                <w:sz w:val="18"/>
                <w:szCs w:val="18"/>
              </w:rPr>
              <w:t xml:space="preserve"> </w:t>
            </w:r>
            <w:r w:rsidRPr="00BF5A5F">
              <w:rPr>
                <w:rFonts w:eastAsia="Century Gothic" w:hAnsi="Century Gothic"/>
                <w:color w:val="auto"/>
                <w:spacing w:val="-1"/>
                <w:sz w:val="18"/>
                <w:szCs w:val="18"/>
              </w:rPr>
              <w:t>inundate</w:t>
            </w:r>
            <w:r w:rsidRPr="00BF5A5F">
              <w:rPr>
                <w:rFonts w:eastAsia="Century Gothic" w:hAnsi="Century Gothic"/>
                <w:color w:val="auto"/>
                <w:spacing w:val="-6"/>
                <w:sz w:val="18"/>
                <w:szCs w:val="18"/>
              </w:rPr>
              <w:t xml:space="preserve"> </w:t>
            </w:r>
            <w:r w:rsidRPr="00BF5A5F">
              <w:rPr>
                <w:rFonts w:eastAsia="Century Gothic" w:hAnsi="Century Gothic"/>
                <w:color w:val="auto"/>
                <w:spacing w:val="-1"/>
                <w:sz w:val="18"/>
                <w:szCs w:val="18"/>
              </w:rPr>
              <w:t>floodplain</w:t>
            </w:r>
            <w:r w:rsidRPr="00BF5A5F">
              <w:rPr>
                <w:rFonts w:eastAsia="Century Gothic" w:hAnsi="Century Gothic"/>
                <w:color w:val="auto"/>
                <w:spacing w:val="-6"/>
                <w:sz w:val="18"/>
                <w:szCs w:val="18"/>
              </w:rPr>
              <w:t xml:space="preserve"> </w:t>
            </w:r>
            <w:r w:rsidRPr="00BF5A5F">
              <w:rPr>
                <w:rFonts w:eastAsia="Century Gothic" w:hAnsi="Century Gothic"/>
                <w:color w:val="auto"/>
                <w:sz w:val="18"/>
                <w:szCs w:val="18"/>
              </w:rPr>
              <w:t>and</w:t>
            </w:r>
            <w:r w:rsidRPr="00BF5A5F">
              <w:rPr>
                <w:rFonts w:eastAsia="Century Gothic" w:hAnsi="Century Gothic"/>
                <w:color w:val="auto"/>
                <w:spacing w:val="21"/>
                <w:sz w:val="18"/>
                <w:szCs w:val="18"/>
              </w:rPr>
              <w:t xml:space="preserve"> </w:t>
            </w:r>
            <w:r w:rsidRPr="00BF5A5F">
              <w:rPr>
                <w:rFonts w:eastAsia="Century Gothic" w:hAnsi="Century Gothic"/>
                <w:color w:val="auto"/>
                <w:spacing w:val="-1"/>
                <w:sz w:val="18"/>
                <w:szCs w:val="18"/>
              </w:rPr>
              <w:t>lower</w:t>
            </w:r>
            <w:r w:rsidRPr="00BF5A5F">
              <w:rPr>
                <w:rFonts w:eastAsia="Century Gothic" w:hAnsi="Century Gothic"/>
                <w:color w:val="auto"/>
                <w:spacing w:val="-4"/>
                <w:sz w:val="18"/>
                <w:szCs w:val="18"/>
              </w:rPr>
              <w:t xml:space="preserve"> </w:t>
            </w:r>
            <w:r w:rsidRPr="00BF5A5F">
              <w:rPr>
                <w:rFonts w:eastAsia="Century Gothic" w:hAnsi="Century Gothic"/>
                <w:color w:val="auto"/>
                <w:spacing w:val="-1"/>
                <w:sz w:val="18"/>
                <w:szCs w:val="18"/>
              </w:rPr>
              <w:t>reach</w:t>
            </w:r>
            <w:r w:rsidRPr="00BF5A5F">
              <w:rPr>
                <w:rFonts w:eastAsia="Century Gothic" w:hAnsi="Century Gothic"/>
                <w:color w:val="auto"/>
                <w:spacing w:val="-3"/>
                <w:sz w:val="18"/>
                <w:szCs w:val="18"/>
              </w:rPr>
              <w:t xml:space="preserve"> </w:t>
            </w:r>
            <w:r w:rsidRPr="00BF5A5F">
              <w:rPr>
                <w:rFonts w:eastAsia="Century Gothic" w:hAnsi="Century Gothic"/>
                <w:color w:val="auto"/>
                <w:sz w:val="18"/>
                <w:szCs w:val="18"/>
              </w:rPr>
              <w:t>of</w:t>
            </w:r>
            <w:r w:rsidRPr="00BF5A5F">
              <w:rPr>
                <w:rFonts w:eastAsia="Century Gothic" w:hAnsi="Century Gothic"/>
                <w:color w:val="auto"/>
                <w:spacing w:val="-4"/>
                <w:sz w:val="18"/>
                <w:szCs w:val="18"/>
              </w:rPr>
              <w:t xml:space="preserve"> </w:t>
            </w:r>
            <w:r w:rsidRPr="00BF5A5F">
              <w:rPr>
                <w:rFonts w:eastAsia="Century Gothic" w:hAnsi="Century Gothic"/>
                <w:color w:val="auto"/>
                <w:spacing w:val="-1"/>
                <w:sz w:val="18"/>
                <w:szCs w:val="18"/>
              </w:rPr>
              <w:t>Macquarie</w:t>
            </w:r>
            <w:r w:rsidRPr="00BF5A5F">
              <w:rPr>
                <w:rFonts w:eastAsia="Century Gothic" w:hAnsi="Century Gothic"/>
                <w:color w:val="auto"/>
                <w:spacing w:val="25"/>
                <w:w w:val="99"/>
                <w:sz w:val="18"/>
                <w:szCs w:val="18"/>
              </w:rPr>
              <w:t xml:space="preserve"> </w:t>
            </w:r>
            <w:r w:rsidRPr="00BF5A5F">
              <w:rPr>
                <w:rFonts w:eastAsia="Century Gothic" w:hAnsi="Century Gothic"/>
                <w:color w:val="auto"/>
                <w:spacing w:val="-1"/>
                <w:sz w:val="18"/>
                <w:szCs w:val="18"/>
              </w:rPr>
              <w:t>River.</w:t>
            </w:r>
          </w:p>
        </w:tc>
        <w:tc>
          <w:tcPr>
            <w:tcW w:w="485" w:type="pct"/>
            <w:shd w:val="clear" w:color="auto" w:fill="auto"/>
            <w:vAlign w:val="center"/>
          </w:tcPr>
          <w:p w14:paraId="62DC326B" w14:textId="77777777" w:rsidR="00AA0841" w:rsidRPr="00BF5A5F" w:rsidRDefault="00AA0841" w:rsidP="00AA0841">
            <w:pPr>
              <w:rPr>
                <w:rFonts w:eastAsia="Century Gothic" w:hAnsi="Century Gothic"/>
                <w:color w:val="auto"/>
                <w:sz w:val="18"/>
                <w:szCs w:val="18"/>
              </w:rPr>
            </w:pPr>
            <w:r w:rsidRPr="00BF5A5F">
              <w:rPr>
                <w:color w:val="auto"/>
                <w:spacing w:val="-1"/>
                <w:sz w:val="18"/>
                <w:szCs w:val="18"/>
              </w:rPr>
              <w:t>Ideally:</w:t>
            </w:r>
            <w:r w:rsidRPr="00BF5A5F">
              <w:rPr>
                <w:color w:val="auto"/>
                <w:spacing w:val="-5"/>
                <w:sz w:val="18"/>
                <w:szCs w:val="18"/>
              </w:rPr>
              <w:t xml:space="preserve"> </w:t>
            </w:r>
            <w:r w:rsidRPr="00BF5A5F">
              <w:rPr>
                <w:color w:val="auto"/>
                <w:sz w:val="18"/>
                <w:szCs w:val="18"/>
              </w:rPr>
              <w:t>1</w:t>
            </w:r>
            <w:r w:rsidRPr="00BF5A5F">
              <w:rPr>
                <w:color w:val="auto"/>
                <w:spacing w:val="-2"/>
                <w:sz w:val="18"/>
                <w:szCs w:val="18"/>
              </w:rPr>
              <w:t xml:space="preserve"> </w:t>
            </w:r>
            <w:r w:rsidRPr="00BF5A5F">
              <w:rPr>
                <w:color w:val="auto"/>
                <w:spacing w:val="1"/>
                <w:sz w:val="18"/>
                <w:szCs w:val="18"/>
              </w:rPr>
              <w:t xml:space="preserve">in </w:t>
            </w:r>
            <w:r w:rsidRPr="00BF5A5F">
              <w:rPr>
                <w:color w:val="auto"/>
                <w:sz w:val="18"/>
                <w:szCs w:val="18"/>
              </w:rPr>
              <w:t>3</w:t>
            </w:r>
            <w:r w:rsidRPr="00BF5A5F">
              <w:rPr>
                <w:color w:val="auto"/>
                <w:spacing w:val="-3"/>
                <w:sz w:val="18"/>
                <w:szCs w:val="18"/>
              </w:rPr>
              <w:t xml:space="preserve"> </w:t>
            </w:r>
            <w:r w:rsidRPr="00BF5A5F">
              <w:rPr>
                <w:color w:val="auto"/>
                <w:spacing w:val="-1"/>
                <w:sz w:val="18"/>
                <w:szCs w:val="18"/>
              </w:rPr>
              <w:t>years</w:t>
            </w:r>
          </w:p>
          <w:p w14:paraId="348724FD" w14:textId="77777777" w:rsidR="00AA0841" w:rsidRPr="00BF5A5F" w:rsidRDefault="00AA0841" w:rsidP="00AA0841">
            <w:pPr>
              <w:rPr>
                <w:rFonts w:hAnsi="Century Gothic"/>
                <w:color w:val="auto"/>
                <w:sz w:val="18"/>
                <w:szCs w:val="18"/>
              </w:rPr>
            </w:pPr>
            <w:r w:rsidRPr="00BF5A5F">
              <w:rPr>
                <w:color w:val="auto"/>
                <w:spacing w:val="-1"/>
                <w:sz w:val="18"/>
                <w:szCs w:val="18"/>
              </w:rPr>
              <w:t>(Max</w:t>
            </w:r>
            <w:r w:rsidRPr="00BF5A5F">
              <w:rPr>
                <w:color w:val="auto"/>
                <w:spacing w:val="-6"/>
                <w:sz w:val="18"/>
                <w:szCs w:val="18"/>
              </w:rPr>
              <w:t xml:space="preserve"> </w:t>
            </w:r>
            <w:r w:rsidRPr="00BF5A5F">
              <w:rPr>
                <w:color w:val="auto"/>
                <w:spacing w:val="-1"/>
                <w:sz w:val="18"/>
                <w:szCs w:val="18"/>
              </w:rPr>
              <w:t>interval:</w:t>
            </w:r>
            <w:r w:rsidRPr="00BF5A5F">
              <w:rPr>
                <w:color w:val="auto"/>
                <w:spacing w:val="25"/>
                <w:sz w:val="18"/>
                <w:szCs w:val="18"/>
              </w:rPr>
              <w:t xml:space="preserve"> </w:t>
            </w:r>
            <w:r w:rsidRPr="00BF5A5F">
              <w:rPr>
                <w:color w:val="auto"/>
                <w:sz w:val="18"/>
                <w:szCs w:val="18"/>
              </w:rPr>
              <w:t>7</w:t>
            </w:r>
            <w:r w:rsidRPr="00BF5A5F">
              <w:rPr>
                <w:color w:val="auto"/>
                <w:spacing w:val="-1"/>
                <w:sz w:val="18"/>
                <w:szCs w:val="18"/>
              </w:rPr>
              <w:t xml:space="preserve"> years)</w:t>
            </w:r>
          </w:p>
        </w:tc>
        <w:tc>
          <w:tcPr>
            <w:tcW w:w="1356" w:type="pct"/>
            <w:shd w:val="clear" w:color="auto" w:fill="auto"/>
            <w:vAlign w:val="center"/>
          </w:tcPr>
          <w:p w14:paraId="3FA2C9E3" w14:textId="77777777" w:rsidR="00AA0841" w:rsidRPr="00BF5A5F" w:rsidRDefault="00AA0841" w:rsidP="00AA0841">
            <w:pPr>
              <w:spacing w:after="60"/>
              <w:jc w:val="center"/>
              <w:rPr>
                <w:rFonts w:cstheme="minorHAnsi"/>
                <w:bCs/>
                <w:color w:val="auto"/>
                <w:sz w:val="18"/>
                <w:szCs w:val="18"/>
              </w:rPr>
            </w:pPr>
            <w:r w:rsidRPr="00BF5A5F">
              <w:rPr>
                <w:rFonts w:cstheme="minorHAnsi"/>
                <w:bCs/>
                <w:color w:val="auto"/>
                <w:sz w:val="18"/>
                <w:szCs w:val="18"/>
              </w:rPr>
              <w:t>Good connectivity was achieved with the lower reach and floodplain of the Macquarie River in 2016–17 and previously in 2012–13.</w:t>
            </w:r>
          </w:p>
          <w:p w14:paraId="6327EA58" w14:textId="77777777" w:rsidR="00AA0841" w:rsidRPr="00BF5A5F" w:rsidRDefault="00AA0841" w:rsidP="00AA0841">
            <w:pPr>
              <w:spacing w:after="60"/>
              <w:jc w:val="center"/>
              <w:rPr>
                <w:rFonts w:cstheme="minorHAnsi"/>
                <w:bCs/>
                <w:color w:val="auto"/>
                <w:sz w:val="18"/>
                <w:szCs w:val="18"/>
              </w:rPr>
            </w:pPr>
            <w:r w:rsidRPr="00BF5A5F">
              <w:rPr>
                <w:rFonts w:cstheme="minorHAnsi"/>
                <w:bCs/>
                <w:color w:val="auto"/>
                <w:sz w:val="18"/>
                <w:szCs w:val="18"/>
              </w:rPr>
              <w:t>~15.3 GL of flow also passed Bells Bridge between July and mid-Dec 2017. However, this water was likely subject to unregulated flow extraction in the lower Macquarie, so this demand may not have been fully met since 2016–17. Therefore, the environmental demand has been assessed as high.</w:t>
            </w:r>
          </w:p>
        </w:tc>
        <w:tc>
          <w:tcPr>
            <w:tcW w:w="452" w:type="pct"/>
            <w:shd w:val="clear" w:color="auto" w:fill="FF0000"/>
            <w:vAlign w:val="center"/>
          </w:tcPr>
          <w:p w14:paraId="0D562CDB"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High</w:t>
            </w:r>
          </w:p>
        </w:tc>
        <w:tc>
          <w:tcPr>
            <w:tcW w:w="679" w:type="pct"/>
            <w:shd w:val="clear" w:color="auto" w:fill="95B3D7" w:themeFill="accent1" w:themeFillTint="99"/>
            <w:vAlign w:val="center"/>
          </w:tcPr>
          <w:p w14:paraId="3E037CD7" w14:textId="77777777" w:rsidR="00AA0841" w:rsidRPr="00DD2626" w:rsidRDefault="00AA0841" w:rsidP="00AA0841">
            <w:pPr>
              <w:jc w:val="center"/>
              <w:rPr>
                <w:rFonts w:hAnsi="Century Gothic"/>
                <w:color w:val="auto"/>
                <w:sz w:val="18"/>
                <w:szCs w:val="18"/>
              </w:rPr>
            </w:pPr>
            <w:r w:rsidRPr="00DD2626">
              <w:rPr>
                <w:color w:val="auto"/>
                <w:spacing w:val="-1"/>
                <w:sz w:val="18"/>
                <w:szCs w:val="18"/>
              </w:rPr>
              <w:t>Unlikely to be a priority under continuing very dry conditions. Possible</w:t>
            </w:r>
            <w:r w:rsidRPr="00DD2626">
              <w:rPr>
                <w:color w:val="auto"/>
                <w:spacing w:val="-5"/>
                <w:sz w:val="18"/>
                <w:szCs w:val="18"/>
              </w:rPr>
              <w:t xml:space="preserve"> </w:t>
            </w:r>
            <w:r w:rsidRPr="00DD2626">
              <w:rPr>
                <w:color w:val="auto"/>
                <w:spacing w:val="-1"/>
                <w:sz w:val="18"/>
                <w:szCs w:val="18"/>
              </w:rPr>
              <w:t>use under high to very high water resource availability scenarios only,</w:t>
            </w:r>
            <w:r w:rsidRPr="00DD2626">
              <w:rPr>
                <w:color w:val="auto"/>
                <w:spacing w:val="25"/>
                <w:sz w:val="18"/>
                <w:szCs w:val="18"/>
              </w:rPr>
              <w:t xml:space="preserve"> </w:t>
            </w:r>
            <w:r w:rsidRPr="00DD2626">
              <w:rPr>
                <w:color w:val="auto"/>
                <w:spacing w:val="-1"/>
                <w:sz w:val="18"/>
                <w:szCs w:val="18"/>
              </w:rPr>
              <w:t>subject</w:t>
            </w:r>
            <w:r w:rsidRPr="00DD2626">
              <w:rPr>
                <w:color w:val="auto"/>
                <w:spacing w:val="-5"/>
                <w:sz w:val="18"/>
                <w:szCs w:val="18"/>
              </w:rPr>
              <w:t xml:space="preserve"> </w:t>
            </w:r>
            <w:r w:rsidRPr="00DD2626">
              <w:rPr>
                <w:color w:val="auto"/>
                <w:sz w:val="18"/>
                <w:szCs w:val="18"/>
              </w:rPr>
              <w:t>to</w:t>
            </w:r>
            <w:r w:rsidRPr="00DD2626">
              <w:rPr>
                <w:color w:val="auto"/>
                <w:spacing w:val="-4"/>
                <w:sz w:val="18"/>
                <w:szCs w:val="18"/>
              </w:rPr>
              <w:t xml:space="preserve"> </w:t>
            </w:r>
            <w:r w:rsidRPr="00DD2626">
              <w:rPr>
                <w:color w:val="auto"/>
                <w:spacing w:val="-1"/>
                <w:sz w:val="18"/>
                <w:szCs w:val="18"/>
              </w:rPr>
              <w:t>suitable</w:t>
            </w:r>
            <w:r w:rsidRPr="00DD2626">
              <w:rPr>
                <w:color w:val="auto"/>
                <w:spacing w:val="28"/>
                <w:sz w:val="18"/>
                <w:szCs w:val="18"/>
              </w:rPr>
              <w:t xml:space="preserve"> </w:t>
            </w:r>
            <w:r w:rsidRPr="00DD2626">
              <w:rPr>
                <w:color w:val="auto"/>
                <w:spacing w:val="-1"/>
                <w:sz w:val="18"/>
                <w:szCs w:val="18"/>
              </w:rPr>
              <w:t>conditions</w:t>
            </w:r>
            <w:r w:rsidRPr="00DD2626">
              <w:rPr>
                <w:color w:val="auto"/>
                <w:spacing w:val="-10"/>
                <w:sz w:val="18"/>
                <w:szCs w:val="18"/>
              </w:rPr>
              <w:t xml:space="preserve"> </w:t>
            </w:r>
            <w:r w:rsidRPr="00DD2626">
              <w:rPr>
                <w:color w:val="auto"/>
                <w:spacing w:val="-1"/>
                <w:sz w:val="18"/>
                <w:szCs w:val="18"/>
              </w:rPr>
              <w:t>and</w:t>
            </w:r>
            <w:r w:rsidRPr="00DD2626">
              <w:rPr>
                <w:color w:val="auto"/>
                <w:spacing w:val="22"/>
                <w:sz w:val="18"/>
                <w:szCs w:val="18"/>
              </w:rPr>
              <w:t xml:space="preserve"> </w:t>
            </w:r>
            <w:r w:rsidRPr="00DD2626">
              <w:rPr>
                <w:color w:val="auto"/>
                <w:spacing w:val="-1"/>
                <w:sz w:val="18"/>
                <w:szCs w:val="18"/>
              </w:rPr>
              <w:t>operational</w:t>
            </w:r>
            <w:r w:rsidRPr="00DD2626">
              <w:rPr>
                <w:color w:val="auto"/>
                <w:spacing w:val="29"/>
                <w:w w:val="99"/>
                <w:sz w:val="18"/>
                <w:szCs w:val="18"/>
              </w:rPr>
              <w:t xml:space="preserve"> </w:t>
            </w:r>
            <w:r w:rsidRPr="00DD2626">
              <w:rPr>
                <w:color w:val="auto"/>
                <w:spacing w:val="-1"/>
                <w:sz w:val="18"/>
                <w:szCs w:val="18"/>
              </w:rPr>
              <w:t>feasibility.</w:t>
            </w:r>
          </w:p>
        </w:tc>
        <w:tc>
          <w:tcPr>
            <w:tcW w:w="513" w:type="pct"/>
            <w:tcBorders>
              <w:right w:val="single" w:sz="12" w:space="0" w:color="auto"/>
            </w:tcBorders>
            <w:shd w:val="clear" w:color="auto" w:fill="FF0000"/>
            <w:vAlign w:val="center"/>
          </w:tcPr>
          <w:p w14:paraId="26D90F2F" w14:textId="77777777" w:rsidR="00AA0841" w:rsidRPr="00DD2626" w:rsidRDefault="00AA0841" w:rsidP="00AA0841">
            <w:pPr>
              <w:jc w:val="center"/>
              <w:rPr>
                <w:rFonts w:hAnsi="Century Gothic"/>
                <w:color w:val="auto"/>
                <w:sz w:val="18"/>
                <w:szCs w:val="18"/>
                <w:highlight w:val="lightGray"/>
              </w:rPr>
            </w:pPr>
            <w:r w:rsidRPr="00DD2626">
              <w:rPr>
                <w:rFonts w:hAnsi="Century Gothic"/>
                <w:color w:val="auto"/>
                <w:sz w:val="18"/>
                <w:szCs w:val="18"/>
              </w:rPr>
              <w:t>High</w:t>
            </w:r>
          </w:p>
        </w:tc>
      </w:tr>
      <w:tr w:rsidR="00AA0841" w:rsidRPr="00DD2626" w14:paraId="0DD1419C" w14:textId="77777777" w:rsidTr="00AA0841">
        <w:trPr>
          <w:trHeight w:val="3521"/>
        </w:trPr>
        <w:tc>
          <w:tcPr>
            <w:tcW w:w="417" w:type="pct"/>
            <w:tcBorders>
              <w:top w:val="single" w:sz="12" w:space="0" w:color="auto"/>
              <w:left w:val="single" w:sz="12" w:space="0" w:color="auto"/>
              <w:bottom w:val="single" w:sz="12" w:space="0" w:color="auto"/>
            </w:tcBorders>
            <w:shd w:val="clear" w:color="auto" w:fill="auto"/>
          </w:tcPr>
          <w:p w14:paraId="56C73D6C" w14:textId="77777777" w:rsidR="00AA0841" w:rsidRPr="00BF5A5F" w:rsidRDefault="00AA0841" w:rsidP="00AA0841">
            <w:pPr>
              <w:rPr>
                <w:rFonts w:eastAsia="Century Gothic" w:hAnsi="Century Gothic"/>
                <w:b/>
                <w:color w:val="auto"/>
                <w:spacing w:val="-1"/>
                <w:sz w:val="18"/>
                <w:szCs w:val="18"/>
              </w:rPr>
            </w:pPr>
            <w:r w:rsidRPr="00BF5A5F">
              <w:rPr>
                <w:rFonts w:eastAsia="Century Gothic" w:hAnsi="Century Gothic"/>
                <w:b/>
                <w:color w:val="auto"/>
                <w:spacing w:val="-1"/>
                <w:sz w:val="18"/>
                <w:szCs w:val="18"/>
              </w:rPr>
              <w:t>Unregulated</w:t>
            </w:r>
            <w:r w:rsidRPr="00BF5A5F">
              <w:rPr>
                <w:rFonts w:eastAsia="Century Gothic" w:hAnsi="Century Gothic"/>
                <w:b/>
                <w:color w:val="auto"/>
                <w:spacing w:val="25"/>
                <w:sz w:val="18"/>
                <w:szCs w:val="18"/>
              </w:rPr>
              <w:t xml:space="preserve"> </w:t>
            </w:r>
            <w:r w:rsidRPr="00BF5A5F">
              <w:rPr>
                <w:rFonts w:eastAsia="Century Gothic" w:hAnsi="Century Gothic"/>
                <w:b/>
                <w:color w:val="auto"/>
                <w:spacing w:val="-1"/>
                <w:sz w:val="18"/>
                <w:szCs w:val="18"/>
              </w:rPr>
              <w:t>Distributary</w:t>
            </w:r>
            <w:r w:rsidRPr="00BF5A5F">
              <w:rPr>
                <w:rFonts w:eastAsia="Century Gothic" w:hAnsi="Century Gothic"/>
                <w:b/>
                <w:color w:val="auto"/>
                <w:spacing w:val="22"/>
                <w:w w:val="99"/>
                <w:sz w:val="18"/>
                <w:szCs w:val="18"/>
              </w:rPr>
              <w:t xml:space="preserve"> </w:t>
            </w:r>
            <w:r w:rsidRPr="00BF5A5F">
              <w:rPr>
                <w:rFonts w:eastAsia="Century Gothic" w:hAnsi="Century Gothic"/>
                <w:b/>
                <w:color w:val="auto"/>
                <w:spacing w:val="-1"/>
                <w:sz w:val="18"/>
                <w:szCs w:val="18"/>
              </w:rPr>
              <w:t>creeks</w:t>
            </w:r>
            <w:r w:rsidRPr="00BF5A5F">
              <w:rPr>
                <w:rFonts w:eastAsia="Century Gothic" w:hAnsi="Century Gothic"/>
                <w:bCs/>
                <w:color w:val="auto"/>
                <w:spacing w:val="-1"/>
                <w:sz w:val="18"/>
                <w:szCs w:val="18"/>
                <w:vertAlign w:val="superscript"/>
              </w:rPr>
              <w:t>5</w:t>
            </w:r>
            <w:r w:rsidRPr="00BF5A5F">
              <w:rPr>
                <w:rFonts w:eastAsia="Century Gothic" w:hAnsi="Century Gothic"/>
                <w:b/>
                <w:color w:val="auto"/>
                <w:spacing w:val="-1"/>
                <w:sz w:val="18"/>
                <w:szCs w:val="18"/>
              </w:rPr>
              <w:t xml:space="preserve"> </w:t>
            </w:r>
          </w:p>
          <w:p w14:paraId="348C2962" w14:textId="77777777" w:rsidR="00AA0841" w:rsidRPr="00BF5A5F" w:rsidRDefault="00AA0841" w:rsidP="00AA0841">
            <w:pPr>
              <w:rPr>
                <w:rFonts w:eastAsia="Century Gothic" w:hAnsi="Century Gothic"/>
                <w:bCs/>
                <w:color w:val="auto"/>
                <w:spacing w:val="-1"/>
                <w:position w:val="5"/>
                <w:sz w:val="18"/>
                <w:szCs w:val="18"/>
              </w:rPr>
            </w:pPr>
            <w:r w:rsidRPr="00BF5A5F">
              <w:rPr>
                <w:rFonts w:eastAsia="Century Gothic" w:hAnsi="Century Gothic"/>
                <w:b/>
                <w:color w:val="auto"/>
                <w:spacing w:val="-1"/>
                <w:sz w:val="18"/>
                <w:szCs w:val="18"/>
              </w:rPr>
              <w:t>(</w:t>
            </w:r>
            <w:r w:rsidRPr="00BF5A5F">
              <w:rPr>
                <w:rFonts w:eastAsia="Century Gothic" w:hAnsi="Century Gothic"/>
                <w:b/>
                <w:color w:val="auto"/>
                <w:sz w:val="18"/>
                <w:szCs w:val="18"/>
              </w:rPr>
              <w:t>Marra</w:t>
            </w:r>
            <w:r w:rsidRPr="00BF5A5F">
              <w:rPr>
                <w:rFonts w:eastAsia="Century Gothic" w:hAnsi="Century Gothic"/>
                <w:b/>
                <w:color w:val="auto"/>
                <w:spacing w:val="-8"/>
                <w:sz w:val="18"/>
                <w:szCs w:val="18"/>
              </w:rPr>
              <w:t xml:space="preserve"> </w:t>
            </w:r>
            <w:r w:rsidRPr="00BF5A5F">
              <w:rPr>
                <w:rFonts w:eastAsia="Century Gothic" w:hAnsi="Century Gothic"/>
                <w:b/>
                <w:color w:val="auto"/>
                <w:spacing w:val="-1"/>
                <w:sz w:val="18"/>
                <w:szCs w:val="18"/>
              </w:rPr>
              <w:t>Creek</w:t>
            </w:r>
            <w:r w:rsidRPr="00BF5A5F">
              <w:rPr>
                <w:rFonts w:eastAsia="Century Gothic" w:hAnsi="Century Gothic"/>
                <w:b/>
                <w:color w:val="auto"/>
                <w:spacing w:val="25"/>
                <w:sz w:val="18"/>
                <w:szCs w:val="18"/>
              </w:rPr>
              <w:t xml:space="preserve"> </w:t>
            </w:r>
            <w:r w:rsidRPr="00BF5A5F">
              <w:rPr>
                <w:rFonts w:eastAsia="Century Gothic" w:hAnsi="Century Gothic"/>
                <w:b/>
                <w:color w:val="auto"/>
                <w:sz w:val="18"/>
                <w:szCs w:val="18"/>
              </w:rPr>
              <w:t>Lower</w:t>
            </w:r>
            <w:r w:rsidRPr="00BF5A5F">
              <w:rPr>
                <w:rFonts w:eastAsia="Century Gothic" w:hAnsi="Century Gothic"/>
                <w:b/>
                <w:color w:val="auto"/>
                <w:w w:val="99"/>
                <w:sz w:val="18"/>
                <w:szCs w:val="18"/>
              </w:rPr>
              <w:t xml:space="preserve"> </w:t>
            </w:r>
            <w:r w:rsidRPr="00BF5A5F">
              <w:rPr>
                <w:rFonts w:eastAsia="Century Gothic" w:hAnsi="Century Gothic"/>
                <w:b/>
                <w:color w:val="auto"/>
                <w:spacing w:val="-1"/>
                <w:sz w:val="18"/>
                <w:szCs w:val="18"/>
              </w:rPr>
              <w:t>Crooked</w:t>
            </w:r>
            <w:r w:rsidRPr="00BF5A5F">
              <w:rPr>
                <w:rFonts w:eastAsia="Century Gothic" w:hAnsi="Century Gothic"/>
                <w:b/>
                <w:color w:val="auto"/>
                <w:spacing w:val="22"/>
                <w:sz w:val="18"/>
                <w:szCs w:val="18"/>
              </w:rPr>
              <w:t xml:space="preserve"> </w:t>
            </w:r>
            <w:r w:rsidRPr="00BF5A5F">
              <w:rPr>
                <w:rFonts w:eastAsia="Century Gothic" w:hAnsi="Century Gothic"/>
                <w:b/>
                <w:color w:val="auto"/>
                <w:spacing w:val="-1"/>
                <w:sz w:val="18"/>
                <w:szCs w:val="18"/>
              </w:rPr>
              <w:t>Creek</w:t>
            </w:r>
            <w:r w:rsidRPr="00BF5A5F">
              <w:rPr>
                <w:rStyle w:val="FootnoteReference"/>
                <w:rFonts w:ascii="Century Gothic" w:eastAsia="Century Gothic" w:hAnsi="Century Gothic"/>
                <w:b/>
                <w:color w:val="auto"/>
                <w:spacing w:val="-1"/>
                <w:sz w:val="18"/>
                <w:szCs w:val="18"/>
              </w:rPr>
              <w:footnoteReference w:id="32"/>
            </w:r>
            <w:r w:rsidRPr="00BF5A5F">
              <w:rPr>
                <w:rFonts w:eastAsia="Century Gothic" w:hAnsi="Century Gothic"/>
                <w:b/>
                <w:color w:val="auto"/>
                <w:spacing w:val="-1"/>
                <w:sz w:val="18"/>
                <w:szCs w:val="18"/>
              </w:rPr>
              <w:t>)</w:t>
            </w:r>
          </w:p>
          <w:p w14:paraId="001C6395" w14:textId="77777777" w:rsidR="00AA0841" w:rsidRPr="00BF5A5F" w:rsidRDefault="00AA0841" w:rsidP="00AA0841">
            <w:pPr>
              <w:rPr>
                <w:rFonts w:hAnsi="Century Gothic"/>
                <w:bCs/>
                <w:color w:val="auto"/>
                <w:sz w:val="18"/>
                <w:szCs w:val="18"/>
              </w:rPr>
            </w:pPr>
            <w:r w:rsidRPr="00BF5A5F">
              <w:rPr>
                <w:rFonts w:hAnsi="Century Gothic"/>
                <w:bCs/>
                <w:color w:val="auto"/>
                <w:sz w:val="18"/>
                <w:szCs w:val="18"/>
              </w:rPr>
              <w:t>Native fish habitat</w:t>
            </w:r>
          </w:p>
          <w:p w14:paraId="5C24E979" w14:textId="77777777" w:rsidR="00AA0841" w:rsidRPr="00BF5A5F" w:rsidRDefault="00AA0841" w:rsidP="00AA0841">
            <w:pPr>
              <w:rPr>
                <w:rFonts w:hAnsi="Century Gothic"/>
                <w:bCs/>
                <w:color w:val="auto"/>
                <w:sz w:val="18"/>
                <w:szCs w:val="18"/>
              </w:rPr>
            </w:pPr>
            <w:r w:rsidRPr="00BF5A5F">
              <w:rPr>
                <w:rFonts w:hAnsi="Century Gothic"/>
                <w:bCs/>
                <w:color w:val="auto"/>
                <w:sz w:val="18"/>
                <w:szCs w:val="18"/>
              </w:rPr>
              <w:t>In-channel and riparian habitat</w:t>
            </w:r>
          </w:p>
          <w:p w14:paraId="0F1DB675" w14:textId="77777777" w:rsidR="00AA0841" w:rsidRPr="00BF5A5F" w:rsidRDefault="00AA0841" w:rsidP="00AA0841">
            <w:pPr>
              <w:rPr>
                <w:rFonts w:hAnsi="Century Gothic"/>
                <w:bCs/>
                <w:color w:val="auto"/>
                <w:sz w:val="18"/>
                <w:szCs w:val="18"/>
              </w:rPr>
            </w:pPr>
            <w:r w:rsidRPr="00BF5A5F">
              <w:rPr>
                <w:rFonts w:hAnsi="Century Gothic"/>
                <w:bCs/>
                <w:color w:val="auto"/>
                <w:sz w:val="18"/>
                <w:szCs w:val="18"/>
              </w:rPr>
              <w:t>Connectivity with Barwon</w:t>
            </w:r>
            <w:r w:rsidRPr="00BF5A5F">
              <w:rPr>
                <w:rFonts w:hAnsi="Century Gothic"/>
                <w:bCs/>
                <w:color w:val="auto"/>
                <w:sz w:val="18"/>
                <w:szCs w:val="18"/>
              </w:rPr>
              <w:t>–</w:t>
            </w:r>
            <w:r w:rsidRPr="00BF5A5F">
              <w:rPr>
                <w:rFonts w:hAnsi="Century Gothic"/>
                <w:bCs/>
                <w:color w:val="auto"/>
                <w:sz w:val="18"/>
                <w:szCs w:val="18"/>
              </w:rPr>
              <w:t>Darling catchment</w:t>
            </w:r>
          </w:p>
        </w:tc>
        <w:tc>
          <w:tcPr>
            <w:tcW w:w="355" w:type="pct"/>
            <w:tcBorders>
              <w:top w:val="single" w:sz="12" w:space="0" w:color="auto"/>
              <w:bottom w:val="single" w:sz="12" w:space="0" w:color="auto"/>
            </w:tcBorders>
            <w:vAlign w:val="center"/>
          </w:tcPr>
          <w:p w14:paraId="01ED4CCC" w14:textId="77777777" w:rsidR="00AA0841" w:rsidRPr="00BF5A5F" w:rsidRDefault="00AA0841" w:rsidP="00AA0841">
            <w:pPr>
              <w:rPr>
                <w:color w:val="auto"/>
                <w:spacing w:val="-1"/>
                <w:sz w:val="18"/>
                <w:szCs w:val="18"/>
              </w:rPr>
            </w:pPr>
            <w:r w:rsidRPr="00BF5A5F">
              <w:rPr>
                <w:color w:val="auto"/>
                <w:spacing w:val="-1"/>
                <w:sz w:val="18"/>
                <w:szCs w:val="18"/>
              </w:rPr>
              <w:t xml:space="preserve">Fish </w:t>
            </w:r>
          </w:p>
          <w:p w14:paraId="07A7DA9F" w14:textId="77777777" w:rsidR="00AA0841" w:rsidRPr="00BF5A5F" w:rsidRDefault="00AA0841" w:rsidP="00AA0841">
            <w:pPr>
              <w:rPr>
                <w:rFonts w:hAnsi="Century Gothic"/>
                <w:color w:val="auto"/>
                <w:sz w:val="18"/>
                <w:szCs w:val="18"/>
              </w:rPr>
            </w:pPr>
            <w:r w:rsidRPr="00BF5A5F">
              <w:rPr>
                <w:color w:val="auto"/>
                <w:spacing w:val="1"/>
                <w:sz w:val="18"/>
                <w:szCs w:val="18"/>
              </w:rPr>
              <w:t>In</w:t>
            </w:r>
            <w:r w:rsidRPr="00BF5A5F">
              <w:rPr>
                <w:color w:val="auto"/>
                <w:spacing w:val="-6"/>
                <w:sz w:val="18"/>
                <w:szCs w:val="18"/>
              </w:rPr>
              <w:t xml:space="preserve"> </w:t>
            </w:r>
            <w:r w:rsidRPr="00BF5A5F">
              <w:rPr>
                <w:color w:val="auto"/>
                <w:spacing w:val="-1"/>
                <w:sz w:val="18"/>
                <w:szCs w:val="18"/>
              </w:rPr>
              <w:t>channel</w:t>
            </w:r>
            <w:r w:rsidRPr="00BF5A5F">
              <w:rPr>
                <w:color w:val="auto"/>
                <w:spacing w:val="-4"/>
                <w:sz w:val="18"/>
                <w:szCs w:val="18"/>
              </w:rPr>
              <w:t xml:space="preserve"> </w:t>
            </w:r>
            <w:r w:rsidRPr="00BF5A5F">
              <w:rPr>
                <w:color w:val="auto"/>
                <w:spacing w:val="-1"/>
                <w:sz w:val="18"/>
                <w:szCs w:val="18"/>
              </w:rPr>
              <w:t>and</w:t>
            </w:r>
            <w:r w:rsidRPr="00BF5A5F">
              <w:rPr>
                <w:color w:val="auto"/>
                <w:spacing w:val="27"/>
                <w:sz w:val="18"/>
                <w:szCs w:val="18"/>
              </w:rPr>
              <w:t xml:space="preserve"> </w:t>
            </w:r>
            <w:r w:rsidRPr="00BF5A5F">
              <w:rPr>
                <w:color w:val="auto"/>
                <w:spacing w:val="-1"/>
                <w:sz w:val="18"/>
                <w:szCs w:val="18"/>
              </w:rPr>
              <w:t>riparian</w:t>
            </w:r>
            <w:r w:rsidRPr="00BF5A5F">
              <w:rPr>
                <w:color w:val="auto"/>
                <w:spacing w:val="27"/>
                <w:w w:val="99"/>
                <w:sz w:val="18"/>
                <w:szCs w:val="18"/>
              </w:rPr>
              <w:t xml:space="preserve"> </w:t>
            </w:r>
            <w:r w:rsidRPr="00BF5A5F">
              <w:rPr>
                <w:color w:val="auto"/>
                <w:spacing w:val="-1"/>
                <w:sz w:val="18"/>
                <w:szCs w:val="18"/>
              </w:rPr>
              <w:t>vegetation</w:t>
            </w:r>
            <w:r w:rsidRPr="00BF5A5F">
              <w:rPr>
                <w:color w:val="auto"/>
                <w:spacing w:val="25"/>
                <w:w w:val="99"/>
                <w:sz w:val="18"/>
                <w:szCs w:val="18"/>
              </w:rPr>
              <w:t xml:space="preserve"> </w:t>
            </w:r>
            <w:r w:rsidRPr="00BF5A5F">
              <w:rPr>
                <w:color w:val="auto"/>
                <w:spacing w:val="-1"/>
                <w:sz w:val="18"/>
                <w:szCs w:val="18"/>
              </w:rPr>
              <w:t>Increased</w:t>
            </w:r>
            <w:r w:rsidRPr="00BF5A5F">
              <w:rPr>
                <w:color w:val="auto"/>
                <w:spacing w:val="24"/>
                <w:sz w:val="18"/>
                <w:szCs w:val="18"/>
              </w:rPr>
              <w:t xml:space="preserve"> </w:t>
            </w:r>
            <w:r w:rsidRPr="00BF5A5F">
              <w:rPr>
                <w:color w:val="auto"/>
                <w:spacing w:val="-1"/>
                <w:sz w:val="18"/>
                <w:szCs w:val="18"/>
              </w:rPr>
              <w:t>frequency</w:t>
            </w:r>
            <w:r w:rsidRPr="00BF5A5F">
              <w:rPr>
                <w:color w:val="auto"/>
                <w:spacing w:val="-7"/>
                <w:sz w:val="18"/>
                <w:szCs w:val="18"/>
              </w:rPr>
              <w:t xml:space="preserve"> </w:t>
            </w:r>
            <w:r w:rsidRPr="00BF5A5F">
              <w:rPr>
                <w:color w:val="auto"/>
                <w:sz w:val="18"/>
                <w:szCs w:val="18"/>
              </w:rPr>
              <w:t>and</w:t>
            </w:r>
            <w:r w:rsidRPr="00BF5A5F">
              <w:rPr>
                <w:color w:val="auto"/>
                <w:spacing w:val="26"/>
                <w:sz w:val="18"/>
                <w:szCs w:val="18"/>
              </w:rPr>
              <w:t xml:space="preserve"> d</w:t>
            </w:r>
            <w:r w:rsidRPr="00BF5A5F">
              <w:rPr>
                <w:color w:val="auto"/>
                <w:spacing w:val="-1"/>
                <w:sz w:val="18"/>
                <w:szCs w:val="18"/>
              </w:rPr>
              <w:t>uration</w:t>
            </w:r>
            <w:r w:rsidRPr="00BF5A5F">
              <w:rPr>
                <w:color w:val="auto"/>
                <w:spacing w:val="-7"/>
                <w:sz w:val="18"/>
                <w:szCs w:val="18"/>
              </w:rPr>
              <w:t xml:space="preserve"> </w:t>
            </w:r>
            <w:r w:rsidRPr="00BF5A5F">
              <w:rPr>
                <w:color w:val="auto"/>
                <w:spacing w:val="-2"/>
                <w:sz w:val="18"/>
                <w:szCs w:val="18"/>
              </w:rPr>
              <w:t>of</w:t>
            </w:r>
            <w:r w:rsidRPr="00BF5A5F">
              <w:rPr>
                <w:color w:val="auto"/>
                <w:spacing w:val="27"/>
                <w:w w:val="99"/>
                <w:sz w:val="18"/>
                <w:szCs w:val="18"/>
              </w:rPr>
              <w:t xml:space="preserve"> </w:t>
            </w:r>
            <w:r w:rsidRPr="00BF5A5F">
              <w:rPr>
                <w:color w:val="auto"/>
                <w:spacing w:val="-1"/>
                <w:sz w:val="18"/>
                <w:szCs w:val="18"/>
              </w:rPr>
              <w:t>connectivity</w:t>
            </w:r>
            <w:r w:rsidRPr="00BF5A5F">
              <w:rPr>
                <w:color w:val="auto"/>
                <w:spacing w:val="-11"/>
                <w:sz w:val="18"/>
                <w:szCs w:val="18"/>
              </w:rPr>
              <w:t xml:space="preserve"> </w:t>
            </w:r>
            <w:r w:rsidRPr="00BF5A5F">
              <w:rPr>
                <w:color w:val="auto"/>
                <w:spacing w:val="-1"/>
                <w:sz w:val="18"/>
                <w:szCs w:val="18"/>
              </w:rPr>
              <w:t>to</w:t>
            </w:r>
            <w:r w:rsidRPr="00BF5A5F">
              <w:rPr>
                <w:color w:val="auto"/>
                <w:spacing w:val="28"/>
                <w:w w:val="99"/>
                <w:sz w:val="18"/>
                <w:szCs w:val="18"/>
              </w:rPr>
              <w:t xml:space="preserve"> </w:t>
            </w:r>
            <w:r w:rsidRPr="00BF5A5F">
              <w:rPr>
                <w:color w:val="auto"/>
                <w:spacing w:val="-1"/>
                <w:sz w:val="18"/>
                <w:szCs w:val="18"/>
              </w:rPr>
              <w:t>Barwon–Darling</w:t>
            </w:r>
          </w:p>
        </w:tc>
        <w:tc>
          <w:tcPr>
            <w:tcW w:w="743" w:type="pct"/>
            <w:tcBorders>
              <w:top w:val="single" w:sz="12" w:space="0" w:color="auto"/>
              <w:bottom w:val="single" w:sz="12" w:space="0" w:color="auto"/>
            </w:tcBorders>
            <w:shd w:val="clear" w:color="auto" w:fill="auto"/>
            <w:vAlign w:val="center"/>
          </w:tcPr>
          <w:p w14:paraId="4D7AB531" w14:textId="77777777" w:rsidR="00AA0841" w:rsidRPr="00BF5A5F" w:rsidRDefault="00AA0841" w:rsidP="00AA0841">
            <w:pPr>
              <w:rPr>
                <w:rFonts w:eastAsia="Century Gothic" w:hAnsi="Century Gothic"/>
                <w:color w:val="auto"/>
                <w:sz w:val="18"/>
                <w:szCs w:val="18"/>
              </w:rPr>
            </w:pPr>
            <w:r w:rsidRPr="00BF5A5F">
              <w:rPr>
                <w:color w:val="auto"/>
                <w:spacing w:val="-1"/>
                <w:sz w:val="18"/>
                <w:szCs w:val="18"/>
              </w:rPr>
              <w:t>Baseflows</w:t>
            </w:r>
            <w:r w:rsidRPr="00BF5A5F">
              <w:rPr>
                <w:color w:val="auto"/>
                <w:spacing w:val="-3"/>
                <w:sz w:val="18"/>
                <w:szCs w:val="18"/>
              </w:rPr>
              <w:t xml:space="preserve"> </w:t>
            </w:r>
            <w:r w:rsidRPr="00BF5A5F">
              <w:rPr>
                <w:color w:val="auto"/>
                <w:sz w:val="18"/>
                <w:szCs w:val="18"/>
              </w:rPr>
              <w:t>and</w:t>
            </w:r>
            <w:r w:rsidRPr="00BF5A5F">
              <w:rPr>
                <w:color w:val="auto"/>
                <w:spacing w:val="-3"/>
                <w:sz w:val="18"/>
                <w:szCs w:val="18"/>
              </w:rPr>
              <w:t xml:space="preserve"> </w:t>
            </w:r>
            <w:r w:rsidRPr="00BF5A5F">
              <w:rPr>
                <w:color w:val="auto"/>
                <w:spacing w:val="-1"/>
                <w:sz w:val="18"/>
                <w:szCs w:val="18"/>
              </w:rPr>
              <w:t>freshes</w:t>
            </w:r>
            <w:r w:rsidRPr="00BF5A5F">
              <w:rPr>
                <w:color w:val="auto"/>
                <w:spacing w:val="-3"/>
                <w:sz w:val="18"/>
                <w:szCs w:val="18"/>
              </w:rPr>
              <w:t xml:space="preserve"> </w:t>
            </w:r>
            <w:r w:rsidRPr="00BF5A5F">
              <w:rPr>
                <w:color w:val="auto"/>
                <w:spacing w:val="-1"/>
                <w:sz w:val="18"/>
                <w:szCs w:val="18"/>
              </w:rPr>
              <w:t>to</w:t>
            </w:r>
            <w:r w:rsidRPr="00BF5A5F">
              <w:rPr>
                <w:color w:val="auto"/>
                <w:spacing w:val="21"/>
                <w:w w:val="99"/>
                <w:sz w:val="18"/>
                <w:szCs w:val="18"/>
              </w:rPr>
              <w:t xml:space="preserve"> </w:t>
            </w:r>
            <w:r w:rsidRPr="00BF5A5F">
              <w:rPr>
                <w:color w:val="auto"/>
                <w:sz w:val="18"/>
                <w:szCs w:val="18"/>
              </w:rPr>
              <w:t>Marra</w:t>
            </w:r>
            <w:r w:rsidRPr="00BF5A5F">
              <w:rPr>
                <w:color w:val="auto"/>
                <w:spacing w:val="-5"/>
                <w:sz w:val="18"/>
                <w:szCs w:val="18"/>
              </w:rPr>
              <w:t xml:space="preserve"> </w:t>
            </w:r>
            <w:r w:rsidRPr="00BF5A5F">
              <w:rPr>
                <w:color w:val="auto"/>
                <w:spacing w:val="-1"/>
                <w:sz w:val="18"/>
                <w:szCs w:val="18"/>
              </w:rPr>
              <w:t>Creek</w:t>
            </w:r>
            <w:r w:rsidRPr="00BF5A5F">
              <w:rPr>
                <w:color w:val="auto"/>
                <w:spacing w:val="-4"/>
                <w:sz w:val="18"/>
                <w:szCs w:val="18"/>
              </w:rPr>
              <w:t xml:space="preserve"> </w:t>
            </w:r>
            <w:r w:rsidRPr="00BF5A5F">
              <w:rPr>
                <w:color w:val="auto"/>
                <w:spacing w:val="-1"/>
                <w:sz w:val="18"/>
                <w:szCs w:val="18"/>
              </w:rPr>
              <w:t>and/or</w:t>
            </w:r>
            <w:r w:rsidRPr="00BF5A5F">
              <w:rPr>
                <w:color w:val="auto"/>
                <w:spacing w:val="-5"/>
                <w:sz w:val="18"/>
                <w:szCs w:val="18"/>
              </w:rPr>
              <w:t xml:space="preserve"> </w:t>
            </w:r>
            <w:r w:rsidRPr="00BF5A5F">
              <w:rPr>
                <w:color w:val="auto"/>
                <w:sz w:val="18"/>
                <w:szCs w:val="18"/>
              </w:rPr>
              <w:t>the</w:t>
            </w:r>
            <w:r w:rsidRPr="00BF5A5F">
              <w:rPr>
                <w:color w:val="auto"/>
                <w:spacing w:val="28"/>
                <w:w w:val="99"/>
                <w:sz w:val="18"/>
                <w:szCs w:val="18"/>
              </w:rPr>
              <w:t xml:space="preserve"> </w:t>
            </w:r>
            <w:r w:rsidRPr="00BF5A5F">
              <w:rPr>
                <w:color w:val="auto"/>
                <w:spacing w:val="-1"/>
                <w:sz w:val="18"/>
                <w:szCs w:val="18"/>
              </w:rPr>
              <w:t>lower</w:t>
            </w:r>
            <w:r w:rsidRPr="00BF5A5F">
              <w:rPr>
                <w:color w:val="auto"/>
                <w:spacing w:val="-7"/>
                <w:sz w:val="18"/>
                <w:szCs w:val="18"/>
              </w:rPr>
              <w:t xml:space="preserve"> </w:t>
            </w:r>
            <w:r w:rsidRPr="00BF5A5F">
              <w:rPr>
                <w:color w:val="auto"/>
                <w:spacing w:val="-1"/>
                <w:sz w:val="18"/>
                <w:szCs w:val="18"/>
              </w:rPr>
              <w:t>Crooked</w:t>
            </w:r>
            <w:r w:rsidRPr="00BF5A5F">
              <w:rPr>
                <w:color w:val="auto"/>
                <w:spacing w:val="-8"/>
                <w:sz w:val="18"/>
                <w:szCs w:val="18"/>
              </w:rPr>
              <w:t xml:space="preserve"> </w:t>
            </w:r>
            <w:r w:rsidRPr="00BF5A5F">
              <w:rPr>
                <w:color w:val="auto"/>
                <w:spacing w:val="-1"/>
                <w:sz w:val="18"/>
                <w:szCs w:val="18"/>
              </w:rPr>
              <w:t>Creek.</w:t>
            </w:r>
          </w:p>
          <w:p w14:paraId="778608CE" w14:textId="77777777" w:rsidR="00AA0841" w:rsidRPr="00BF5A5F" w:rsidRDefault="00AA0841" w:rsidP="00AA0841">
            <w:pPr>
              <w:rPr>
                <w:rFonts w:eastAsia="Century Gothic" w:hAnsi="Century Gothic"/>
                <w:color w:val="auto"/>
                <w:sz w:val="18"/>
                <w:szCs w:val="18"/>
              </w:rPr>
            </w:pPr>
            <w:r w:rsidRPr="00BF5A5F">
              <w:rPr>
                <w:color w:val="auto"/>
                <w:spacing w:val="-1"/>
                <w:sz w:val="18"/>
                <w:szCs w:val="18"/>
              </w:rPr>
              <w:t>Volumes</w:t>
            </w:r>
            <w:r w:rsidRPr="00BF5A5F">
              <w:rPr>
                <w:color w:val="auto"/>
                <w:spacing w:val="-10"/>
                <w:sz w:val="18"/>
                <w:szCs w:val="18"/>
              </w:rPr>
              <w:t xml:space="preserve"> </w:t>
            </w:r>
            <w:r w:rsidRPr="00BF5A5F">
              <w:rPr>
                <w:color w:val="auto"/>
                <w:sz w:val="18"/>
                <w:szCs w:val="18"/>
              </w:rPr>
              <w:t>required</w:t>
            </w:r>
            <w:r w:rsidRPr="00BF5A5F">
              <w:rPr>
                <w:color w:val="auto"/>
                <w:spacing w:val="23"/>
                <w:sz w:val="18"/>
                <w:szCs w:val="18"/>
              </w:rPr>
              <w:t xml:space="preserve"> </w:t>
            </w:r>
            <w:r w:rsidRPr="00BF5A5F">
              <w:rPr>
                <w:color w:val="auto"/>
                <w:spacing w:val="-1"/>
                <w:sz w:val="18"/>
                <w:szCs w:val="18"/>
              </w:rPr>
              <w:t>dependent</w:t>
            </w:r>
            <w:r w:rsidRPr="00BF5A5F">
              <w:rPr>
                <w:color w:val="auto"/>
                <w:spacing w:val="-8"/>
                <w:sz w:val="18"/>
                <w:szCs w:val="18"/>
              </w:rPr>
              <w:t xml:space="preserve"> </w:t>
            </w:r>
            <w:r w:rsidRPr="00BF5A5F">
              <w:rPr>
                <w:color w:val="auto"/>
                <w:sz w:val="18"/>
                <w:szCs w:val="18"/>
              </w:rPr>
              <w:t>on</w:t>
            </w:r>
            <w:r w:rsidRPr="00BF5A5F">
              <w:rPr>
                <w:color w:val="auto"/>
                <w:spacing w:val="-5"/>
                <w:sz w:val="18"/>
                <w:szCs w:val="18"/>
              </w:rPr>
              <w:t xml:space="preserve"> </w:t>
            </w:r>
            <w:r w:rsidRPr="00BF5A5F">
              <w:rPr>
                <w:color w:val="auto"/>
                <w:sz w:val="18"/>
                <w:szCs w:val="18"/>
              </w:rPr>
              <w:t>which</w:t>
            </w:r>
            <w:r w:rsidRPr="00BF5A5F">
              <w:rPr>
                <w:color w:val="auto"/>
                <w:spacing w:val="-7"/>
                <w:sz w:val="18"/>
                <w:szCs w:val="18"/>
              </w:rPr>
              <w:t xml:space="preserve"> </w:t>
            </w:r>
            <w:r w:rsidRPr="00BF5A5F">
              <w:rPr>
                <w:color w:val="auto"/>
                <w:spacing w:val="-1"/>
                <w:sz w:val="18"/>
                <w:szCs w:val="18"/>
              </w:rPr>
              <w:t>creeks</w:t>
            </w:r>
            <w:r w:rsidRPr="00BF5A5F">
              <w:rPr>
                <w:color w:val="auto"/>
                <w:spacing w:val="29"/>
                <w:sz w:val="18"/>
                <w:szCs w:val="18"/>
              </w:rPr>
              <w:t xml:space="preserve"> </w:t>
            </w:r>
            <w:r w:rsidRPr="00BF5A5F">
              <w:rPr>
                <w:color w:val="auto"/>
                <w:spacing w:val="-1"/>
                <w:sz w:val="18"/>
                <w:szCs w:val="18"/>
              </w:rPr>
              <w:t>are</w:t>
            </w:r>
            <w:r w:rsidRPr="00BF5A5F">
              <w:rPr>
                <w:color w:val="auto"/>
                <w:spacing w:val="-9"/>
                <w:sz w:val="18"/>
                <w:szCs w:val="18"/>
              </w:rPr>
              <w:t xml:space="preserve"> </w:t>
            </w:r>
            <w:r w:rsidRPr="00BF5A5F">
              <w:rPr>
                <w:color w:val="auto"/>
                <w:spacing w:val="-1"/>
                <w:sz w:val="18"/>
                <w:szCs w:val="18"/>
              </w:rPr>
              <w:t>targeted.</w:t>
            </w:r>
          </w:p>
          <w:p w14:paraId="6C0CCCF5" w14:textId="77777777" w:rsidR="00AA0841" w:rsidRPr="00BF5A5F" w:rsidRDefault="00AA0841" w:rsidP="00AA0841">
            <w:pPr>
              <w:rPr>
                <w:rFonts w:hAnsi="Century Gothic"/>
                <w:color w:val="auto"/>
                <w:sz w:val="18"/>
                <w:szCs w:val="18"/>
              </w:rPr>
            </w:pPr>
            <w:r w:rsidRPr="00BF5A5F">
              <w:rPr>
                <w:color w:val="auto"/>
                <w:spacing w:val="-1"/>
                <w:sz w:val="18"/>
                <w:szCs w:val="18"/>
              </w:rPr>
              <w:t>Some</w:t>
            </w:r>
            <w:r w:rsidRPr="00BF5A5F">
              <w:rPr>
                <w:color w:val="auto"/>
                <w:spacing w:val="-4"/>
                <w:sz w:val="18"/>
                <w:szCs w:val="18"/>
              </w:rPr>
              <w:t xml:space="preserve"> </w:t>
            </w:r>
            <w:r w:rsidRPr="00BF5A5F">
              <w:rPr>
                <w:color w:val="auto"/>
                <w:spacing w:val="-1"/>
                <w:sz w:val="18"/>
                <w:szCs w:val="18"/>
              </w:rPr>
              <w:t>connectivity</w:t>
            </w:r>
            <w:r w:rsidRPr="00BF5A5F">
              <w:rPr>
                <w:color w:val="auto"/>
                <w:spacing w:val="-5"/>
                <w:sz w:val="18"/>
                <w:szCs w:val="18"/>
              </w:rPr>
              <w:t xml:space="preserve"> </w:t>
            </w:r>
            <w:r w:rsidRPr="00BF5A5F">
              <w:rPr>
                <w:color w:val="auto"/>
                <w:spacing w:val="-2"/>
                <w:sz w:val="18"/>
                <w:szCs w:val="18"/>
              </w:rPr>
              <w:t>may</w:t>
            </w:r>
            <w:r w:rsidRPr="00BF5A5F">
              <w:rPr>
                <w:color w:val="auto"/>
                <w:spacing w:val="-5"/>
                <w:sz w:val="18"/>
                <w:szCs w:val="18"/>
              </w:rPr>
              <w:t xml:space="preserve"> </w:t>
            </w:r>
            <w:r w:rsidRPr="00BF5A5F">
              <w:rPr>
                <w:color w:val="auto"/>
                <w:spacing w:val="-1"/>
                <w:sz w:val="18"/>
                <w:szCs w:val="18"/>
              </w:rPr>
              <w:t>be</w:t>
            </w:r>
            <w:r w:rsidRPr="00BF5A5F">
              <w:rPr>
                <w:color w:val="auto"/>
                <w:spacing w:val="22"/>
                <w:sz w:val="18"/>
                <w:szCs w:val="18"/>
              </w:rPr>
              <w:t xml:space="preserve"> </w:t>
            </w:r>
            <w:r w:rsidRPr="00BF5A5F">
              <w:rPr>
                <w:color w:val="auto"/>
                <w:spacing w:val="-1"/>
                <w:sz w:val="18"/>
                <w:szCs w:val="18"/>
              </w:rPr>
              <w:t>provided</w:t>
            </w:r>
            <w:r w:rsidRPr="00BF5A5F">
              <w:rPr>
                <w:color w:val="auto"/>
                <w:spacing w:val="-5"/>
                <w:sz w:val="18"/>
                <w:szCs w:val="18"/>
              </w:rPr>
              <w:t xml:space="preserve"> </w:t>
            </w:r>
            <w:r w:rsidRPr="00BF5A5F">
              <w:rPr>
                <w:color w:val="auto"/>
                <w:spacing w:val="-1"/>
                <w:sz w:val="18"/>
                <w:szCs w:val="18"/>
              </w:rPr>
              <w:t>by</w:t>
            </w:r>
            <w:r w:rsidRPr="00BF5A5F">
              <w:rPr>
                <w:color w:val="auto"/>
                <w:spacing w:val="-4"/>
                <w:sz w:val="18"/>
                <w:szCs w:val="18"/>
              </w:rPr>
              <w:t xml:space="preserve"> </w:t>
            </w:r>
            <w:r w:rsidRPr="00BF5A5F">
              <w:rPr>
                <w:color w:val="auto"/>
                <w:spacing w:val="-1"/>
                <w:sz w:val="18"/>
                <w:szCs w:val="18"/>
              </w:rPr>
              <w:t>replenishment</w:t>
            </w:r>
            <w:r w:rsidRPr="00BF5A5F">
              <w:rPr>
                <w:color w:val="auto"/>
                <w:spacing w:val="27"/>
                <w:w w:val="99"/>
                <w:sz w:val="18"/>
                <w:szCs w:val="18"/>
              </w:rPr>
              <w:t xml:space="preserve"> </w:t>
            </w:r>
            <w:r w:rsidRPr="00BF5A5F">
              <w:rPr>
                <w:color w:val="auto"/>
                <w:spacing w:val="-1"/>
                <w:sz w:val="18"/>
                <w:szCs w:val="18"/>
              </w:rPr>
              <w:t>flows.</w:t>
            </w:r>
          </w:p>
        </w:tc>
        <w:tc>
          <w:tcPr>
            <w:tcW w:w="485" w:type="pct"/>
            <w:tcBorders>
              <w:top w:val="single" w:sz="12" w:space="0" w:color="auto"/>
              <w:bottom w:val="single" w:sz="12" w:space="0" w:color="auto"/>
            </w:tcBorders>
            <w:shd w:val="clear" w:color="auto" w:fill="auto"/>
            <w:vAlign w:val="center"/>
          </w:tcPr>
          <w:p w14:paraId="421FB23D" w14:textId="77777777" w:rsidR="00AA0841" w:rsidRPr="00BF5A5F" w:rsidRDefault="00AA0841" w:rsidP="00AA0841">
            <w:pPr>
              <w:rPr>
                <w:rFonts w:hAnsi="Century Gothic"/>
                <w:color w:val="auto"/>
                <w:sz w:val="18"/>
                <w:szCs w:val="18"/>
              </w:rPr>
            </w:pPr>
            <w:r w:rsidRPr="00BF5A5F">
              <w:rPr>
                <w:rFonts w:eastAsia="Century Gothic" w:hAnsi="Century Gothic"/>
                <w:color w:val="auto"/>
                <w:spacing w:val="-1"/>
                <w:sz w:val="18"/>
                <w:szCs w:val="18"/>
              </w:rPr>
              <w:t>Required</w:t>
            </w:r>
            <w:r w:rsidRPr="00BF5A5F">
              <w:rPr>
                <w:rFonts w:eastAsia="Century Gothic" w:hAnsi="Century Gothic"/>
                <w:color w:val="auto"/>
                <w:spacing w:val="25"/>
                <w:sz w:val="18"/>
                <w:szCs w:val="18"/>
              </w:rPr>
              <w:t xml:space="preserve"> </w:t>
            </w:r>
            <w:r w:rsidRPr="00BF5A5F">
              <w:rPr>
                <w:rFonts w:eastAsia="Century Gothic" w:hAnsi="Century Gothic"/>
                <w:color w:val="auto"/>
                <w:spacing w:val="-1"/>
                <w:sz w:val="18"/>
                <w:szCs w:val="18"/>
              </w:rPr>
              <w:t>frequency</w:t>
            </w:r>
            <w:r w:rsidRPr="00BF5A5F">
              <w:rPr>
                <w:rFonts w:eastAsia="Century Gothic" w:hAnsi="Century Gothic"/>
                <w:color w:val="auto"/>
                <w:spacing w:val="26"/>
                <w:sz w:val="18"/>
                <w:szCs w:val="18"/>
              </w:rPr>
              <w:t xml:space="preserve"> </w:t>
            </w:r>
            <w:r w:rsidRPr="00BF5A5F">
              <w:rPr>
                <w:rFonts w:eastAsia="Century Gothic" w:hAnsi="Century Gothic"/>
                <w:color w:val="auto"/>
                <w:spacing w:val="-1"/>
                <w:sz w:val="18"/>
                <w:szCs w:val="18"/>
              </w:rPr>
              <w:t>unknown</w:t>
            </w:r>
            <w:r w:rsidRPr="00BF5A5F">
              <w:rPr>
                <w:rFonts w:eastAsia="Century Gothic" w:hAnsi="Century Gothic"/>
                <w:color w:val="auto"/>
                <w:spacing w:val="25"/>
                <w:w w:val="99"/>
                <w:sz w:val="18"/>
                <w:szCs w:val="18"/>
              </w:rPr>
              <w:t xml:space="preserve"> </w:t>
            </w:r>
            <w:r w:rsidRPr="00BF5A5F">
              <w:rPr>
                <w:rFonts w:eastAsia="Century Gothic" w:hAnsi="Century Gothic"/>
                <w:color w:val="auto"/>
                <w:spacing w:val="-2"/>
                <w:sz w:val="18"/>
                <w:szCs w:val="18"/>
              </w:rPr>
              <w:t>(1</w:t>
            </w:r>
            <w:r w:rsidRPr="00BF5A5F">
              <w:rPr>
                <w:rFonts w:eastAsia="Century Gothic" w:hAnsi="Century Gothic"/>
                <w:color w:val="auto"/>
                <w:spacing w:val="-1"/>
                <w:sz w:val="18"/>
                <w:szCs w:val="18"/>
              </w:rPr>
              <w:t xml:space="preserve"> </w:t>
            </w:r>
            <w:r w:rsidRPr="00BF5A5F">
              <w:rPr>
                <w:rFonts w:eastAsia="Century Gothic" w:hAnsi="Century Gothic"/>
                <w:color w:val="auto"/>
                <w:spacing w:val="1"/>
                <w:sz w:val="18"/>
                <w:szCs w:val="18"/>
              </w:rPr>
              <w:t>in</w:t>
            </w:r>
            <w:r w:rsidRPr="00BF5A5F">
              <w:rPr>
                <w:rFonts w:eastAsia="Century Gothic" w:hAnsi="Century Gothic"/>
                <w:color w:val="auto"/>
                <w:spacing w:val="-1"/>
                <w:sz w:val="18"/>
                <w:szCs w:val="18"/>
              </w:rPr>
              <w:t xml:space="preserve"> </w:t>
            </w:r>
            <w:r w:rsidRPr="00BF5A5F">
              <w:rPr>
                <w:rFonts w:eastAsia="Century Gothic" w:hAnsi="Century Gothic"/>
                <w:color w:val="auto"/>
                <w:sz w:val="18"/>
                <w:szCs w:val="18"/>
              </w:rPr>
              <w:t>1</w:t>
            </w:r>
            <w:r w:rsidRPr="00BF5A5F">
              <w:rPr>
                <w:rFonts w:eastAsia="Century Gothic" w:hAnsi="Century Gothic"/>
                <w:color w:val="auto"/>
                <w:sz w:val="18"/>
                <w:szCs w:val="18"/>
              </w:rPr>
              <w:t>–</w:t>
            </w:r>
            <w:r w:rsidRPr="00BF5A5F">
              <w:rPr>
                <w:rFonts w:eastAsia="Century Gothic" w:hAnsi="Century Gothic"/>
                <w:color w:val="auto"/>
                <w:sz w:val="18"/>
                <w:szCs w:val="18"/>
              </w:rPr>
              <w:t xml:space="preserve">3 </w:t>
            </w:r>
            <w:r w:rsidRPr="00BF5A5F">
              <w:rPr>
                <w:color w:val="auto"/>
                <w:spacing w:val="-1"/>
                <w:sz w:val="18"/>
                <w:szCs w:val="18"/>
              </w:rPr>
              <w:t>years</w:t>
            </w:r>
            <w:r w:rsidRPr="00BF5A5F">
              <w:rPr>
                <w:color w:val="auto"/>
                <w:spacing w:val="-5"/>
                <w:sz w:val="18"/>
                <w:szCs w:val="18"/>
              </w:rPr>
              <w:t xml:space="preserve"> </w:t>
            </w:r>
            <w:r w:rsidRPr="00BF5A5F">
              <w:rPr>
                <w:color w:val="auto"/>
                <w:spacing w:val="-1"/>
                <w:sz w:val="18"/>
                <w:szCs w:val="18"/>
              </w:rPr>
              <w:t>based</w:t>
            </w:r>
            <w:r w:rsidRPr="00BF5A5F">
              <w:rPr>
                <w:color w:val="auto"/>
                <w:spacing w:val="22"/>
                <w:sz w:val="18"/>
                <w:szCs w:val="18"/>
              </w:rPr>
              <w:t xml:space="preserve"> </w:t>
            </w:r>
            <w:r w:rsidRPr="00BF5A5F">
              <w:rPr>
                <w:color w:val="auto"/>
                <w:sz w:val="18"/>
                <w:szCs w:val="18"/>
              </w:rPr>
              <w:t>on</w:t>
            </w:r>
            <w:r w:rsidRPr="00BF5A5F">
              <w:rPr>
                <w:color w:val="auto"/>
                <w:spacing w:val="-5"/>
                <w:sz w:val="18"/>
                <w:szCs w:val="18"/>
              </w:rPr>
              <w:t xml:space="preserve"> </w:t>
            </w:r>
            <w:r w:rsidRPr="00BF5A5F">
              <w:rPr>
                <w:color w:val="auto"/>
                <w:sz w:val="18"/>
                <w:szCs w:val="18"/>
              </w:rPr>
              <w:t xml:space="preserve">key </w:t>
            </w:r>
            <w:r w:rsidRPr="00BF5A5F">
              <w:rPr>
                <w:color w:val="auto"/>
                <w:spacing w:val="-1"/>
                <w:sz w:val="18"/>
                <w:szCs w:val="18"/>
              </w:rPr>
              <w:t>vegetation)</w:t>
            </w:r>
          </w:p>
        </w:tc>
        <w:tc>
          <w:tcPr>
            <w:tcW w:w="1356" w:type="pct"/>
            <w:tcBorders>
              <w:top w:val="single" w:sz="12" w:space="0" w:color="auto"/>
              <w:bottom w:val="single" w:sz="12" w:space="0" w:color="auto"/>
            </w:tcBorders>
            <w:shd w:val="clear" w:color="auto" w:fill="auto"/>
            <w:vAlign w:val="center"/>
          </w:tcPr>
          <w:p w14:paraId="5505A2E7" w14:textId="77777777" w:rsidR="00AA0841" w:rsidRPr="00BF5A5F" w:rsidRDefault="00AA0841" w:rsidP="00AA0841">
            <w:pPr>
              <w:spacing w:after="60"/>
              <w:jc w:val="center"/>
              <w:rPr>
                <w:rFonts w:cstheme="minorHAnsi"/>
                <w:bCs/>
                <w:color w:val="auto"/>
                <w:sz w:val="18"/>
                <w:szCs w:val="18"/>
              </w:rPr>
            </w:pPr>
            <w:r w:rsidRPr="00BF5A5F">
              <w:rPr>
                <w:rFonts w:cstheme="minorHAnsi"/>
                <w:bCs/>
                <w:color w:val="auto"/>
                <w:sz w:val="18"/>
                <w:szCs w:val="18"/>
              </w:rPr>
              <w:t>Demand was met in 2016–17 and 2012–13, with stock and domestic replenishment flows partially contributing to demand in some creeks in years in between. Some flows were recorded in Crooked and Marra creeks following rainfall, tributary flows and delivery of stock and domestic water between February and April 2019–20. Marra Creek also connected with the Barwon. Following these flows, this demand is considered to have been met in Marra Creek (total 16 138 ML at the Carinda gauge Feb–Apr). However, flows only partially met this demand in Crooked Creek (total 5 350 ML at the Profile gauge Feb–Apr). Overall, water is required in the next 1–2 years, so the environmental demand has been assessed as moderate to high.</w:t>
            </w:r>
          </w:p>
        </w:tc>
        <w:tc>
          <w:tcPr>
            <w:tcW w:w="452" w:type="pct"/>
            <w:tcBorders>
              <w:top w:val="single" w:sz="12" w:space="0" w:color="auto"/>
              <w:bottom w:val="single" w:sz="12" w:space="0" w:color="auto"/>
            </w:tcBorders>
            <w:shd w:val="clear" w:color="auto" w:fill="FFC000"/>
            <w:vAlign w:val="center"/>
          </w:tcPr>
          <w:p w14:paraId="54476277"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Moderate to High</w:t>
            </w:r>
          </w:p>
        </w:tc>
        <w:tc>
          <w:tcPr>
            <w:tcW w:w="679" w:type="pct"/>
            <w:tcBorders>
              <w:top w:val="single" w:sz="12" w:space="0" w:color="auto"/>
              <w:bottom w:val="single" w:sz="12" w:space="0" w:color="auto"/>
            </w:tcBorders>
            <w:shd w:val="clear" w:color="auto" w:fill="95B3D7" w:themeFill="accent1" w:themeFillTint="99"/>
            <w:vAlign w:val="center"/>
          </w:tcPr>
          <w:p w14:paraId="5199544F" w14:textId="77777777" w:rsidR="00AA0841" w:rsidRPr="00DD2626" w:rsidRDefault="00AA0841" w:rsidP="00AA0841">
            <w:pPr>
              <w:jc w:val="center"/>
              <w:rPr>
                <w:rFonts w:hAnsi="Century Gothic"/>
                <w:color w:val="auto"/>
                <w:sz w:val="18"/>
                <w:szCs w:val="18"/>
                <w:highlight w:val="lightGray"/>
              </w:rPr>
            </w:pPr>
            <w:r w:rsidRPr="00DD2626">
              <w:rPr>
                <w:color w:val="auto"/>
                <w:spacing w:val="-1"/>
                <w:sz w:val="18"/>
                <w:szCs w:val="18"/>
              </w:rPr>
              <w:t>Possible</w:t>
            </w:r>
            <w:r w:rsidRPr="00DD2626">
              <w:rPr>
                <w:color w:val="auto"/>
                <w:spacing w:val="-5"/>
                <w:sz w:val="18"/>
                <w:szCs w:val="18"/>
              </w:rPr>
              <w:t xml:space="preserve"> </w:t>
            </w:r>
            <w:r w:rsidRPr="00DD2626">
              <w:rPr>
                <w:color w:val="auto"/>
                <w:spacing w:val="-1"/>
                <w:sz w:val="18"/>
                <w:szCs w:val="18"/>
              </w:rPr>
              <w:t xml:space="preserve">use under moderate to </w:t>
            </w:r>
            <w:r w:rsidRPr="00DD2626">
              <w:rPr>
                <w:rFonts w:hAnsi="Century Gothic"/>
                <w:color w:val="auto"/>
                <w:sz w:val="18"/>
                <w:szCs w:val="18"/>
              </w:rPr>
              <w:t>very high water resource availability scenarios, subject to suitable water availability and operational</w:t>
            </w:r>
            <w:r w:rsidRPr="00DD2626">
              <w:rPr>
                <w:rFonts w:hAnsi="Century Gothic"/>
                <w:color w:val="auto"/>
                <w:w w:val="99"/>
                <w:sz w:val="18"/>
                <w:szCs w:val="18"/>
              </w:rPr>
              <w:t xml:space="preserve"> </w:t>
            </w:r>
            <w:r w:rsidRPr="00DD2626">
              <w:rPr>
                <w:rFonts w:hAnsi="Century Gothic"/>
                <w:color w:val="auto"/>
                <w:sz w:val="18"/>
                <w:szCs w:val="18"/>
              </w:rPr>
              <w:t>feasibility</w:t>
            </w:r>
            <w:r w:rsidRPr="00DD2626">
              <w:rPr>
                <w:color w:val="auto"/>
                <w:spacing w:val="-1"/>
                <w:sz w:val="18"/>
                <w:szCs w:val="18"/>
              </w:rPr>
              <w:t>.</w:t>
            </w:r>
          </w:p>
        </w:tc>
        <w:tc>
          <w:tcPr>
            <w:tcW w:w="513" w:type="pct"/>
            <w:tcBorders>
              <w:top w:val="single" w:sz="12" w:space="0" w:color="auto"/>
              <w:bottom w:val="single" w:sz="12" w:space="0" w:color="auto"/>
              <w:right w:val="single" w:sz="12" w:space="0" w:color="auto"/>
            </w:tcBorders>
            <w:shd w:val="clear" w:color="auto" w:fill="FF0000"/>
            <w:vAlign w:val="center"/>
          </w:tcPr>
          <w:p w14:paraId="024435D1"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High</w:t>
            </w:r>
          </w:p>
        </w:tc>
      </w:tr>
      <w:tr w:rsidR="00AA0841" w:rsidRPr="00DD2626" w14:paraId="73428CC3" w14:textId="77777777" w:rsidTr="00AA0841">
        <w:trPr>
          <w:trHeight w:val="4049"/>
        </w:trPr>
        <w:tc>
          <w:tcPr>
            <w:tcW w:w="417" w:type="pct"/>
            <w:tcBorders>
              <w:top w:val="single" w:sz="12" w:space="0" w:color="auto"/>
              <w:left w:val="single" w:sz="12" w:space="0" w:color="auto"/>
              <w:bottom w:val="single" w:sz="12" w:space="0" w:color="auto"/>
            </w:tcBorders>
            <w:shd w:val="clear" w:color="auto" w:fill="auto"/>
          </w:tcPr>
          <w:p w14:paraId="2FCEB75F" w14:textId="77777777" w:rsidR="00AA0841" w:rsidRPr="00BF5A5F" w:rsidRDefault="00AA0841" w:rsidP="00AA0841">
            <w:pPr>
              <w:rPr>
                <w:rFonts w:eastAsia="Century Gothic" w:hAnsi="Century Gothic"/>
                <w:b/>
                <w:color w:val="auto"/>
                <w:spacing w:val="-1"/>
                <w:sz w:val="18"/>
                <w:szCs w:val="18"/>
              </w:rPr>
            </w:pPr>
            <w:r w:rsidRPr="00BF5A5F">
              <w:rPr>
                <w:rFonts w:eastAsia="Century Gothic" w:hAnsi="Century Gothic"/>
                <w:b/>
                <w:color w:val="auto"/>
                <w:spacing w:val="-1"/>
                <w:sz w:val="18"/>
                <w:szCs w:val="18"/>
              </w:rPr>
              <w:lastRenderedPageBreak/>
              <w:t xml:space="preserve">Prioritised critical refuge habitat </w:t>
            </w:r>
            <w:r w:rsidRPr="00BF5A5F">
              <w:rPr>
                <w:rFonts w:eastAsia="Century Gothic" w:hAnsi="Century Gothic"/>
                <w:b/>
                <w:color w:val="auto"/>
                <w:spacing w:val="-1"/>
                <w:sz w:val="18"/>
                <w:szCs w:val="18"/>
              </w:rPr>
              <w:t>–</w:t>
            </w:r>
            <w:r w:rsidRPr="00BF5A5F">
              <w:rPr>
                <w:rFonts w:eastAsia="Century Gothic" w:hAnsi="Century Gothic"/>
                <w:b/>
                <w:color w:val="auto"/>
                <w:spacing w:val="-1"/>
                <w:sz w:val="18"/>
                <w:szCs w:val="18"/>
              </w:rPr>
              <w:t xml:space="preserve"> various locations as required in exceptional circumstances</w:t>
            </w:r>
          </w:p>
          <w:p w14:paraId="285D7CBF" w14:textId="77777777" w:rsidR="00AA0841" w:rsidRPr="00BF5A5F" w:rsidRDefault="00AA0841" w:rsidP="00AA0841">
            <w:pPr>
              <w:rPr>
                <w:rFonts w:eastAsia="Century Gothic" w:hAnsi="Century Gothic"/>
                <w:bCs/>
                <w:color w:val="auto"/>
                <w:spacing w:val="-1"/>
                <w:sz w:val="18"/>
                <w:szCs w:val="18"/>
              </w:rPr>
            </w:pPr>
          </w:p>
          <w:p w14:paraId="25877EEF" w14:textId="77777777" w:rsidR="00AA0841" w:rsidRPr="00BF5A5F" w:rsidRDefault="00AA0841" w:rsidP="00AA0841">
            <w:pPr>
              <w:rPr>
                <w:rFonts w:hAnsi="Century Gothic"/>
                <w:bCs/>
                <w:color w:val="auto"/>
                <w:sz w:val="18"/>
                <w:szCs w:val="18"/>
              </w:rPr>
            </w:pPr>
            <w:r w:rsidRPr="00BF5A5F">
              <w:rPr>
                <w:rFonts w:hAnsi="Century Gothic"/>
                <w:bCs/>
                <w:color w:val="auto"/>
                <w:sz w:val="18"/>
                <w:szCs w:val="18"/>
              </w:rPr>
              <w:t>Refuge habitat</w:t>
            </w:r>
          </w:p>
          <w:p w14:paraId="5A1D5E9B" w14:textId="77777777" w:rsidR="00AA0841" w:rsidRPr="00BF5A5F" w:rsidRDefault="00AA0841" w:rsidP="00AA0841">
            <w:pPr>
              <w:rPr>
                <w:rFonts w:hAnsi="Century Gothic"/>
                <w:bCs/>
                <w:color w:val="auto"/>
                <w:sz w:val="18"/>
                <w:szCs w:val="18"/>
              </w:rPr>
            </w:pPr>
            <w:r w:rsidRPr="00BF5A5F">
              <w:rPr>
                <w:rFonts w:hAnsi="Century Gothic"/>
                <w:bCs/>
                <w:color w:val="auto"/>
                <w:sz w:val="18"/>
                <w:szCs w:val="18"/>
              </w:rPr>
              <w:t>Native fish (e.g. olive perchlet), water rat and tortoise survival</w:t>
            </w:r>
          </w:p>
          <w:p w14:paraId="33C33A99" w14:textId="77777777" w:rsidR="00AA0841" w:rsidRPr="00BF5A5F" w:rsidRDefault="00AA0841" w:rsidP="00AA0841">
            <w:pPr>
              <w:rPr>
                <w:rFonts w:hAnsi="Century Gothic"/>
                <w:bCs/>
                <w:color w:val="auto"/>
                <w:sz w:val="18"/>
                <w:szCs w:val="18"/>
              </w:rPr>
            </w:pPr>
            <w:r w:rsidRPr="00BF5A5F">
              <w:rPr>
                <w:rFonts w:hAnsi="Century Gothic"/>
                <w:bCs/>
                <w:color w:val="auto"/>
                <w:sz w:val="18"/>
                <w:szCs w:val="18"/>
              </w:rPr>
              <w:t>Water quality</w:t>
            </w:r>
          </w:p>
        </w:tc>
        <w:tc>
          <w:tcPr>
            <w:tcW w:w="355" w:type="pct"/>
            <w:tcBorders>
              <w:top w:val="single" w:sz="12" w:space="0" w:color="auto"/>
              <w:bottom w:val="single" w:sz="12" w:space="0" w:color="auto"/>
            </w:tcBorders>
            <w:vAlign w:val="center"/>
          </w:tcPr>
          <w:p w14:paraId="63ABD4B3" w14:textId="77777777" w:rsidR="00AA0841" w:rsidRPr="00BF5A5F" w:rsidRDefault="00AA0841" w:rsidP="00AA0841">
            <w:pPr>
              <w:rPr>
                <w:color w:val="auto"/>
                <w:spacing w:val="-1"/>
                <w:sz w:val="18"/>
                <w:szCs w:val="18"/>
              </w:rPr>
            </w:pPr>
            <w:r w:rsidRPr="00BF5A5F">
              <w:rPr>
                <w:color w:val="auto"/>
                <w:sz w:val="18"/>
                <w:szCs w:val="18"/>
              </w:rPr>
              <w:t>Fish (all guilds) and other aquatic dependent biota</w:t>
            </w:r>
            <w:r w:rsidRPr="00BF5A5F">
              <w:rPr>
                <w:color w:val="auto"/>
                <w:spacing w:val="-4"/>
                <w:sz w:val="18"/>
                <w:szCs w:val="18"/>
              </w:rPr>
              <w:t xml:space="preserve"> </w:t>
            </w:r>
            <w:r w:rsidRPr="00BF5A5F">
              <w:rPr>
                <w:color w:val="auto"/>
                <w:spacing w:val="-1"/>
                <w:sz w:val="18"/>
                <w:szCs w:val="18"/>
              </w:rPr>
              <w:t>refuge</w:t>
            </w:r>
          </w:p>
          <w:p w14:paraId="520BBE0E" w14:textId="77777777" w:rsidR="00AA0841" w:rsidRPr="00BF5A5F" w:rsidRDefault="00AA0841" w:rsidP="00AA0841">
            <w:pPr>
              <w:rPr>
                <w:color w:val="auto"/>
                <w:spacing w:val="-1"/>
                <w:sz w:val="18"/>
                <w:szCs w:val="18"/>
              </w:rPr>
            </w:pPr>
            <w:r w:rsidRPr="00BF5A5F">
              <w:rPr>
                <w:color w:val="auto"/>
                <w:spacing w:val="-1"/>
                <w:sz w:val="18"/>
                <w:szCs w:val="18"/>
              </w:rPr>
              <w:t>Aquatic</w:t>
            </w:r>
            <w:r w:rsidRPr="00BF5A5F">
              <w:rPr>
                <w:color w:val="auto"/>
                <w:spacing w:val="23"/>
                <w:w w:val="99"/>
                <w:sz w:val="18"/>
                <w:szCs w:val="18"/>
              </w:rPr>
              <w:t xml:space="preserve"> </w:t>
            </w:r>
            <w:r w:rsidRPr="00BF5A5F">
              <w:rPr>
                <w:color w:val="auto"/>
                <w:spacing w:val="-1"/>
                <w:sz w:val="18"/>
                <w:szCs w:val="18"/>
              </w:rPr>
              <w:t>ecosystems</w:t>
            </w:r>
          </w:p>
        </w:tc>
        <w:tc>
          <w:tcPr>
            <w:tcW w:w="743" w:type="pct"/>
            <w:tcBorders>
              <w:top w:val="single" w:sz="12" w:space="0" w:color="auto"/>
              <w:bottom w:val="single" w:sz="12" w:space="0" w:color="auto"/>
            </w:tcBorders>
            <w:shd w:val="clear" w:color="auto" w:fill="auto"/>
            <w:vAlign w:val="center"/>
          </w:tcPr>
          <w:p w14:paraId="2786EF90" w14:textId="77777777" w:rsidR="00AA0841" w:rsidRPr="00BF5A5F" w:rsidRDefault="00AA0841" w:rsidP="00AA0841">
            <w:pPr>
              <w:rPr>
                <w:color w:val="auto"/>
                <w:spacing w:val="-1"/>
                <w:sz w:val="18"/>
                <w:szCs w:val="18"/>
              </w:rPr>
            </w:pPr>
            <w:r w:rsidRPr="00BF5A5F">
              <w:rPr>
                <w:color w:val="auto"/>
                <w:spacing w:val="-1"/>
                <w:sz w:val="18"/>
                <w:szCs w:val="18"/>
              </w:rPr>
              <w:t>Baseflows to replenish significant refuge pools at high risk of drying down in exceptionally dry circumstances.</w:t>
            </w:r>
          </w:p>
          <w:p w14:paraId="7EA11DEF" w14:textId="77777777" w:rsidR="00AA0841" w:rsidRPr="00BF5A5F" w:rsidRDefault="00AA0841" w:rsidP="00AA0841">
            <w:pPr>
              <w:rPr>
                <w:color w:val="auto"/>
                <w:spacing w:val="-1"/>
                <w:sz w:val="18"/>
                <w:szCs w:val="18"/>
              </w:rPr>
            </w:pPr>
          </w:p>
          <w:p w14:paraId="060643A0" w14:textId="77777777" w:rsidR="00AA0841" w:rsidRPr="00BF5A5F" w:rsidRDefault="00AA0841" w:rsidP="00AA0841">
            <w:pPr>
              <w:rPr>
                <w:color w:val="auto"/>
                <w:spacing w:val="-1"/>
                <w:sz w:val="18"/>
                <w:szCs w:val="18"/>
              </w:rPr>
            </w:pPr>
            <w:r w:rsidRPr="00BF5A5F">
              <w:rPr>
                <w:color w:val="auto"/>
                <w:spacing w:val="-1"/>
                <w:sz w:val="18"/>
                <w:szCs w:val="18"/>
              </w:rPr>
              <w:t xml:space="preserve">Volumes required are likely to be relatively small, but dependent on which refuge pools are targeted. </w:t>
            </w:r>
          </w:p>
        </w:tc>
        <w:tc>
          <w:tcPr>
            <w:tcW w:w="485" w:type="pct"/>
            <w:tcBorders>
              <w:top w:val="single" w:sz="12" w:space="0" w:color="auto"/>
              <w:bottom w:val="single" w:sz="12" w:space="0" w:color="auto"/>
            </w:tcBorders>
            <w:shd w:val="clear" w:color="auto" w:fill="auto"/>
            <w:vAlign w:val="center"/>
          </w:tcPr>
          <w:p w14:paraId="395D16E2" w14:textId="77777777" w:rsidR="00AA0841" w:rsidRPr="00BF5A5F" w:rsidRDefault="00AA0841" w:rsidP="00AA0841">
            <w:pPr>
              <w:rPr>
                <w:rFonts w:eastAsia="Century Gothic" w:hAnsi="Century Gothic"/>
                <w:color w:val="auto"/>
                <w:spacing w:val="-1"/>
                <w:sz w:val="18"/>
                <w:szCs w:val="18"/>
              </w:rPr>
            </w:pPr>
            <w:r w:rsidRPr="00BF5A5F">
              <w:rPr>
                <w:rFonts w:eastAsia="Century Gothic" w:hAnsi="Century Gothic"/>
                <w:color w:val="auto"/>
                <w:spacing w:val="-1"/>
                <w:sz w:val="18"/>
                <w:szCs w:val="18"/>
              </w:rPr>
              <w:t>As required only during extremely dry conditions</w:t>
            </w:r>
          </w:p>
        </w:tc>
        <w:tc>
          <w:tcPr>
            <w:tcW w:w="1356" w:type="pct"/>
            <w:tcBorders>
              <w:top w:val="single" w:sz="12" w:space="0" w:color="auto"/>
              <w:bottom w:val="single" w:sz="12" w:space="0" w:color="auto"/>
            </w:tcBorders>
            <w:shd w:val="clear" w:color="auto" w:fill="auto"/>
            <w:vAlign w:val="center"/>
          </w:tcPr>
          <w:p w14:paraId="4343BA10" w14:textId="77777777" w:rsidR="00AA0841" w:rsidRPr="00BF5A5F" w:rsidRDefault="00AA0841" w:rsidP="00AA0841">
            <w:pPr>
              <w:spacing w:after="60"/>
              <w:jc w:val="center"/>
              <w:rPr>
                <w:rFonts w:cstheme="minorHAnsi"/>
                <w:bCs/>
                <w:color w:val="auto"/>
                <w:sz w:val="18"/>
                <w:szCs w:val="18"/>
              </w:rPr>
            </w:pPr>
            <w:r w:rsidRPr="00BF5A5F">
              <w:rPr>
                <w:rFonts w:cstheme="minorHAnsi"/>
                <w:bCs/>
                <w:color w:val="auto"/>
                <w:sz w:val="18"/>
                <w:szCs w:val="18"/>
              </w:rPr>
              <w:t xml:space="preserve">Demand expected to be met by essential regulated supplies in all but the most extreme dry years. </w:t>
            </w:r>
          </w:p>
          <w:p w14:paraId="1845C91D" w14:textId="77777777" w:rsidR="00AA0841" w:rsidRPr="00BF5A5F" w:rsidRDefault="00AA0841" w:rsidP="00AA0841">
            <w:pPr>
              <w:spacing w:after="60"/>
              <w:jc w:val="center"/>
              <w:rPr>
                <w:rFonts w:cstheme="minorHAnsi"/>
                <w:bCs/>
                <w:color w:val="auto"/>
                <w:sz w:val="18"/>
                <w:szCs w:val="18"/>
              </w:rPr>
            </w:pPr>
            <w:r w:rsidRPr="00BF5A5F">
              <w:rPr>
                <w:rFonts w:cstheme="minorHAnsi"/>
                <w:bCs/>
                <w:color w:val="auto"/>
                <w:sz w:val="18"/>
                <w:szCs w:val="18"/>
              </w:rPr>
              <w:t xml:space="preserve"> Environmental water was provided to two important refuge pools in 2018–19 (Lower Nyngan Weir Pool and at Methalibar Reserve on Ewenmar Creek) to help prevent them from drying out. </w:t>
            </w:r>
          </w:p>
          <w:p w14:paraId="48411415" w14:textId="77777777" w:rsidR="00AA0841" w:rsidRPr="00BF5A5F" w:rsidRDefault="00AA0841" w:rsidP="00AA0841">
            <w:pPr>
              <w:spacing w:after="60"/>
              <w:jc w:val="center"/>
              <w:rPr>
                <w:rFonts w:cstheme="minorHAnsi"/>
                <w:bCs/>
                <w:color w:val="auto"/>
                <w:sz w:val="18"/>
                <w:szCs w:val="18"/>
              </w:rPr>
            </w:pPr>
            <w:r w:rsidRPr="00BF5A5F">
              <w:rPr>
                <w:rFonts w:cstheme="minorHAnsi"/>
                <w:bCs/>
                <w:color w:val="auto"/>
                <w:sz w:val="18"/>
                <w:szCs w:val="18"/>
              </w:rPr>
              <w:t>Extreme dry conditions persisted for much of 2019–20, and generally no environmental water was available to deliver. Some native fish and turtles were rescued and relocated or moved to hatcheries to form insurance populations. However, tributary flows between February and April 2020 provided relief to refuge pools downstream of Warren Weir. Other refuge pools have been replenished by rainfall, stock and domestic and/or tributary flows. Considering the prolonged dry conditions, and overall decline in the condition of many refuge pools, the demand for water to maintain critical refuge habitat has been assessed as moderate to high. The urgency for water to maintain refuges in 2020–21 will depend on catchment conditions and water availability in the coming months.</w:t>
            </w:r>
          </w:p>
        </w:tc>
        <w:tc>
          <w:tcPr>
            <w:tcW w:w="452" w:type="pct"/>
            <w:tcBorders>
              <w:top w:val="single" w:sz="12" w:space="0" w:color="auto"/>
              <w:bottom w:val="single" w:sz="12" w:space="0" w:color="auto"/>
            </w:tcBorders>
            <w:shd w:val="clear" w:color="auto" w:fill="FFC000"/>
            <w:vAlign w:val="center"/>
          </w:tcPr>
          <w:p w14:paraId="03AC4C77"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Moderate to High</w:t>
            </w:r>
          </w:p>
        </w:tc>
        <w:tc>
          <w:tcPr>
            <w:tcW w:w="679" w:type="pct"/>
            <w:tcBorders>
              <w:top w:val="single" w:sz="12" w:space="0" w:color="auto"/>
              <w:bottom w:val="single" w:sz="12" w:space="0" w:color="auto"/>
            </w:tcBorders>
            <w:shd w:val="clear" w:color="auto" w:fill="95B3D7" w:themeFill="accent1" w:themeFillTint="99"/>
            <w:vAlign w:val="center"/>
          </w:tcPr>
          <w:p w14:paraId="03FE14C0" w14:textId="77777777" w:rsidR="00AA0841" w:rsidRPr="00DD2626" w:rsidRDefault="00AA0841" w:rsidP="00AA0841">
            <w:pPr>
              <w:jc w:val="center"/>
              <w:rPr>
                <w:color w:val="auto"/>
                <w:spacing w:val="-1"/>
                <w:sz w:val="18"/>
                <w:szCs w:val="18"/>
              </w:rPr>
            </w:pPr>
            <w:r w:rsidRPr="00DD2626">
              <w:rPr>
                <w:color w:val="auto"/>
                <w:spacing w:val="-1"/>
                <w:sz w:val="18"/>
                <w:szCs w:val="18"/>
              </w:rPr>
              <w:t>Expected to be met by essential regulated supplies. However, there is a risk in 2020–21 that some critical refuge habitat will dry out and decline in quality if conditions remain dry.</w:t>
            </w:r>
          </w:p>
          <w:p w14:paraId="456EC0F9" w14:textId="77777777" w:rsidR="00AA0841" w:rsidRPr="00DD2626" w:rsidRDefault="00AA0841" w:rsidP="00AA0841">
            <w:pPr>
              <w:jc w:val="center"/>
              <w:rPr>
                <w:color w:val="auto"/>
                <w:spacing w:val="-1"/>
                <w:sz w:val="18"/>
                <w:szCs w:val="18"/>
              </w:rPr>
            </w:pPr>
            <w:r w:rsidRPr="00DD2626">
              <w:rPr>
                <w:color w:val="auto"/>
                <w:spacing w:val="-1"/>
                <w:sz w:val="18"/>
                <w:szCs w:val="18"/>
              </w:rPr>
              <w:t>Potential use under very low water availability scenario, subject to environmental water being available for delivery.</w:t>
            </w:r>
          </w:p>
          <w:p w14:paraId="44EDE547" w14:textId="77777777" w:rsidR="00AA0841" w:rsidRPr="00DD2626" w:rsidRDefault="00AA0841" w:rsidP="00AA0841">
            <w:pPr>
              <w:jc w:val="center"/>
              <w:rPr>
                <w:color w:val="auto"/>
                <w:spacing w:val="-1"/>
                <w:sz w:val="18"/>
                <w:szCs w:val="18"/>
              </w:rPr>
            </w:pPr>
          </w:p>
        </w:tc>
        <w:tc>
          <w:tcPr>
            <w:tcW w:w="513" w:type="pct"/>
            <w:tcBorders>
              <w:top w:val="single" w:sz="12" w:space="0" w:color="auto"/>
              <w:bottom w:val="single" w:sz="12" w:space="0" w:color="auto"/>
              <w:right w:val="single" w:sz="12" w:space="0" w:color="auto"/>
            </w:tcBorders>
            <w:shd w:val="clear" w:color="auto" w:fill="auto"/>
            <w:vAlign w:val="center"/>
          </w:tcPr>
          <w:p w14:paraId="75819FF1"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Variable depending on climatic conditions:</w:t>
            </w:r>
          </w:p>
          <w:p w14:paraId="08E1E7E0"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If extreme dry conditions persist, demand may be Critical;</w:t>
            </w:r>
          </w:p>
          <w:p w14:paraId="5D8931A6" w14:textId="77777777" w:rsidR="00AA0841" w:rsidRPr="00DD2626" w:rsidRDefault="00AA0841" w:rsidP="00AA0841">
            <w:pPr>
              <w:jc w:val="center"/>
              <w:rPr>
                <w:rFonts w:hAnsi="Century Gothic"/>
                <w:color w:val="auto"/>
                <w:sz w:val="18"/>
                <w:szCs w:val="18"/>
              </w:rPr>
            </w:pPr>
            <w:r w:rsidRPr="00DD2626">
              <w:rPr>
                <w:rFonts w:hAnsi="Century Gothic"/>
                <w:color w:val="auto"/>
                <w:sz w:val="18"/>
                <w:szCs w:val="18"/>
              </w:rPr>
              <w:t>Should conditions become significantly wetter, demand may reduce to Low or Very Low</w:t>
            </w:r>
          </w:p>
        </w:tc>
      </w:tr>
    </w:tbl>
    <w:p w14:paraId="5B1EFE6A" w14:textId="77777777" w:rsidR="00AA0841" w:rsidRPr="00365FE2" w:rsidRDefault="00AA0841" w:rsidP="00AA0841">
      <w:pPr>
        <w:rPr>
          <w:rFonts w:hAnsi="Century Gothic"/>
          <w:sz w:val="18"/>
          <w:szCs w:val="18"/>
        </w:rPr>
      </w:pPr>
      <w:r w:rsidRPr="00365FE2">
        <w:rPr>
          <w:rFonts w:hAnsi="Century Gothic"/>
          <w:sz w:val="18"/>
          <w:szCs w:val="18"/>
        </w:rPr>
        <w:t>Note: contributions to meet Barwon</w:t>
      </w:r>
      <w:r>
        <w:rPr>
          <w:rFonts w:hAnsi="Century Gothic"/>
          <w:sz w:val="18"/>
          <w:szCs w:val="18"/>
        </w:rPr>
        <w:t>–</w:t>
      </w:r>
      <w:r w:rsidRPr="00365FE2">
        <w:rPr>
          <w:rFonts w:hAnsi="Century Gothic"/>
          <w:sz w:val="18"/>
          <w:szCs w:val="18"/>
        </w:rPr>
        <w:t xml:space="preserve">Darling environmental requirements may be considered subject to water availability, antecedent conditions, and environmental demands. Refer to </w:t>
      </w:r>
      <w:bookmarkStart w:id="114" w:name="_Hlk42773987"/>
      <w:r>
        <w:rPr>
          <w:rFonts w:hAnsi="Century Gothic"/>
          <w:sz w:val="18"/>
          <w:szCs w:val="18"/>
        </w:rPr>
        <w:t>CEWO</w:t>
      </w:r>
      <w:r>
        <w:rPr>
          <w:rFonts w:hAnsi="Century Gothic"/>
          <w:sz w:val="18"/>
          <w:szCs w:val="18"/>
        </w:rPr>
        <w:t>’</w:t>
      </w:r>
      <w:r>
        <w:rPr>
          <w:rFonts w:hAnsi="Century Gothic"/>
          <w:sz w:val="18"/>
          <w:szCs w:val="18"/>
        </w:rPr>
        <w:t>s Water</w:t>
      </w:r>
      <w:r w:rsidRPr="00365FE2">
        <w:rPr>
          <w:rFonts w:hAnsi="Century Gothic"/>
          <w:sz w:val="18"/>
          <w:szCs w:val="18"/>
        </w:rPr>
        <w:t xml:space="preserve"> Management Plan</w:t>
      </w:r>
      <w:r>
        <w:rPr>
          <w:rFonts w:hAnsi="Century Gothic"/>
          <w:sz w:val="18"/>
          <w:szCs w:val="18"/>
        </w:rPr>
        <w:t xml:space="preserve"> 2020-21 Chapter 3.7</w:t>
      </w:r>
      <w:r w:rsidRPr="00365FE2">
        <w:rPr>
          <w:rFonts w:hAnsi="Century Gothic"/>
          <w:sz w:val="18"/>
          <w:szCs w:val="18"/>
        </w:rPr>
        <w:t>: Barwon</w:t>
      </w:r>
      <w:r>
        <w:rPr>
          <w:rFonts w:hAnsi="Century Gothic"/>
          <w:sz w:val="18"/>
          <w:szCs w:val="18"/>
        </w:rPr>
        <w:t>–</w:t>
      </w:r>
      <w:r w:rsidRPr="00365FE2">
        <w:rPr>
          <w:rFonts w:hAnsi="Century Gothic"/>
          <w:sz w:val="18"/>
          <w:szCs w:val="18"/>
        </w:rPr>
        <w:t>Darling.</w:t>
      </w:r>
      <w:bookmarkEnd w:id="114"/>
    </w:p>
    <w:p w14:paraId="4F12FFCC" w14:textId="77777777" w:rsidR="00AA0841" w:rsidRPr="00365FE2" w:rsidRDefault="00AA0841" w:rsidP="00AA0841">
      <w:pPr>
        <w:rPr>
          <w:rFonts w:eastAsia="Century Gothic" w:hAnsi="Century Gothic"/>
          <w:bCs/>
          <w:spacing w:val="-1"/>
          <w:sz w:val="18"/>
          <w:szCs w:val="18"/>
        </w:rPr>
      </w:pPr>
      <w:r w:rsidRPr="00BF5A5F">
        <w:rPr>
          <w:rFonts w:eastAsia="Century Gothic" w:hAnsi="Century Gothic"/>
          <w:b/>
          <w:bCs/>
          <w:spacing w:val="-1"/>
          <w:sz w:val="18"/>
          <w:szCs w:val="18"/>
        </w:rPr>
        <w:t>References</w:t>
      </w:r>
      <w:r w:rsidRPr="00365FE2">
        <w:rPr>
          <w:rFonts w:eastAsia="Century Gothic" w:hAnsi="Century Gothic"/>
          <w:bCs/>
          <w:spacing w:val="-1"/>
          <w:sz w:val="18"/>
          <w:szCs w:val="18"/>
        </w:rPr>
        <w:t>:</w:t>
      </w:r>
    </w:p>
    <w:p w14:paraId="26EC2667" w14:textId="77777777" w:rsidR="00AA0841" w:rsidRPr="00365FE2" w:rsidRDefault="00AA0841" w:rsidP="00AA0841">
      <w:pPr>
        <w:rPr>
          <w:rFonts w:hAnsi="Century Gothic"/>
          <w:sz w:val="18"/>
          <w:szCs w:val="18"/>
        </w:rPr>
      </w:pPr>
      <w:r w:rsidRPr="00365FE2">
        <w:rPr>
          <w:rFonts w:hAnsi="Century Gothic"/>
          <w:sz w:val="18"/>
          <w:szCs w:val="18"/>
        </w:rPr>
        <w:t>1. Sourced from information and advice provided by NSW DPI Fisheries (Sam Davis</w:t>
      </w:r>
      <w:r>
        <w:rPr>
          <w:rFonts w:hAnsi="Century Gothic"/>
          <w:sz w:val="18"/>
          <w:szCs w:val="18"/>
        </w:rPr>
        <w:t xml:space="preserve"> and Rod Price,</w:t>
      </w:r>
      <w:r w:rsidRPr="00365FE2">
        <w:rPr>
          <w:rFonts w:hAnsi="Century Gothic"/>
          <w:sz w:val="18"/>
          <w:szCs w:val="18"/>
        </w:rPr>
        <w:t xml:space="preserve"> pers. comm. 2015</w:t>
      </w:r>
      <w:r w:rsidRPr="00365FE2">
        <w:rPr>
          <w:rFonts w:hAnsi="Century Gothic"/>
          <w:sz w:val="18"/>
          <w:szCs w:val="18"/>
        </w:rPr>
        <w:t>–</w:t>
      </w:r>
      <w:r w:rsidRPr="00365FE2">
        <w:rPr>
          <w:rFonts w:hAnsi="Century Gothic"/>
          <w:sz w:val="18"/>
          <w:szCs w:val="18"/>
        </w:rPr>
        <w:t xml:space="preserve"> 20</w:t>
      </w:r>
      <w:r>
        <w:rPr>
          <w:rFonts w:hAnsi="Century Gothic"/>
          <w:sz w:val="18"/>
          <w:szCs w:val="18"/>
        </w:rPr>
        <w:t>20</w:t>
      </w:r>
      <w:r w:rsidRPr="00365FE2">
        <w:rPr>
          <w:rFonts w:hAnsi="Century Gothic"/>
          <w:sz w:val="18"/>
          <w:szCs w:val="18"/>
        </w:rPr>
        <w:t>)</w:t>
      </w:r>
      <w:r>
        <w:rPr>
          <w:rFonts w:hAnsi="Century Gothic"/>
          <w:sz w:val="18"/>
          <w:szCs w:val="18"/>
        </w:rPr>
        <w:t>.</w:t>
      </w:r>
    </w:p>
    <w:p w14:paraId="4C8A0978" w14:textId="77777777" w:rsidR="00AA0841" w:rsidRPr="00365FE2" w:rsidRDefault="00AA0841" w:rsidP="00AA0841">
      <w:pPr>
        <w:rPr>
          <w:rFonts w:hAnsi="Century Gothic"/>
          <w:sz w:val="18"/>
          <w:szCs w:val="18"/>
        </w:rPr>
      </w:pPr>
      <w:r w:rsidRPr="00365FE2">
        <w:rPr>
          <w:rFonts w:hAnsi="Century Gothic"/>
          <w:sz w:val="18"/>
          <w:szCs w:val="18"/>
        </w:rPr>
        <w:t>2. Sourced from Barma Water Resources et al. (2011)</w:t>
      </w:r>
      <w:r>
        <w:rPr>
          <w:rFonts w:hAnsi="Century Gothic"/>
          <w:sz w:val="18"/>
          <w:szCs w:val="18"/>
        </w:rPr>
        <w:t>.</w:t>
      </w:r>
    </w:p>
    <w:p w14:paraId="669A2871" w14:textId="77777777" w:rsidR="00AA0841" w:rsidRPr="00365FE2" w:rsidRDefault="00AA0841" w:rsidP="00AA0841">
      <w:pPr>
        <w:rPr>
          <w:rFonts w:hAnsi="Century Gothic"/>
          <w:sz w:val="18"/>
          <w:szCs w:val="18"/>
        </w:rPr>
      </w:pPr>
      <w:r w:rsidRPr="00365FE2">
        <w:rPr>
          <w:rFonts w:hAnsi="Century Gothic"/>
          <w:sz w:val="18"/>
          <w:szCs w:val="18"/>
        </w:rPr>
        <w:t xml:space="preserve">3. Sourced from advice from NSW </w:t>
      </w:r>
      <w:r>
        <w:rPr>
          <w:rFonts w:hAnsi="Century Gothic"/>
          <w:sz w:val="18"/>
          <w:szCs w:val="18"/>
        </w:rPr>
        <w:t>Department of Planning, Industry and Environment</w:t>
      </w:r>
      <w:r w:rsidRPr="00365FE2">
        <w:rPr>
          <w:rFonts w:hAnsi="Century Gothic"/>
          <w:sz w:val="18"/>
          <w:szCs w:val="18"/>
        </w:rPr>
        <w:t xml:space="preserve"> (Tim Hosking, Paul Keyte and Debbie Love, pers. comm. 2015</w:t>
      </w:r>
      <w:r w:rsidRPr="00365FE2">
        <w:rPr>
          <w:rFonts w:hAnsi="Century Gothic"/>
          <w:sz w:val="18"/>
          <w:szCs w:val="18"/>
        </w:rPr>
        <w:t>–</w:t>
      </w:r>
      <w:r w:rsidRPr="00365FE2">
        <w:rPr>
          <w:rFonts w:hAnsi="Century Gothic"/>
          <w:sz w:val="18"/>
          <w:szCs w:val="18"/>
        </w:rPr>
        <w:t>20</w:t>
      </w:r>
      <w:r>
        <w:rPr>
          <w:rFonts w:hAnsi="Century Gothic"/>
          <w:sz w:val="18"/>
          <w:szCs w:val="18"/>
        </w:rPr>
        <w:t>20</w:t>
      </w:r>
      <w:r w:rsidRPr="00365FE2">
        <w:rPr>
          <w:rFonts w:hAnsi="Century Gothic"/>
          <w:sz w:val="18"/>
          <w:szCs w:val="18"/>
        </w:rPr>
        <w:t>), NSW Department of Environment, Climate Change and Water (2010), and MDBA (2012)</w:t>
      </w:r>
      <w:r>
        <w:rPr>
          <w:rFonts w:hAnsi="Century Gothic"/>
          <w:sz w:val="18"/>
          <w:szCs w:val="18"/>
        </w:rPr>
        <w:t>.</w:t>
      </w:r>
    </w:p>
    <w:p w14:paraId="430E6DD0" w14:textId="77777777" w:rsidR="00AA0841" w:rsidRPr="00365FE2" w:rsidRDefault="00AA0841" w:rsidP="00AA0841">
      <w:pPr>
        <w:rPr>
          <w:rFonts w:hAnsi="Century Gothic"/>
          <w:sz w:val="18"/>
          <w:szCs w:val="18"/>
        </w:rPr>
      </w:pPr>
      <w:r w:rsidRPr="00365FE2">
        <w:rPr>
          <w:rFonts w:hAnsi="Century Gothic"/>
          <w:sz w:val="18"/>
          <w:szCs w:val="18"/>
        </w:rPr>
        <w:t>4. Based on inundation zones as mapped by Thomas et al. (2015).</w:t>
      </w:r>
    </w:p>
    <w:p w14:paraId="1B979A95" w14:textId="77777777" w:rsidR="00AA0841" w:rsidRPr="00365FE2" w:rsidRDefault="00AA0841" w:rsidP="00AA0841">
      <w:pPr>
        <w:rPr>
          <w:rFonts w:hAnsi="Century Gothic"/>
          <w:sz w:val="18"/>
          <w:szCs w:val="18"/>
        </w:rPr>
      </w:pPr>
      <w:r w:rsidRPr="00365FE2">
        <w:rPr>
          <w:rFonts w:hAnsi="Century Gothic"/>
          <w:sz w:val="18"/>
          <w:szCs w:val="18"/>
        </w:rPr>
        <w:t>5. Sourced from Torrible et al. (2011)</w:t>
      </w:r>
      <w:r>
        <w:rPr>
          <w:rFonts w:hAnsi="Century Gothic"/>
          <w:sz w:val="18"/>
          <w:szCs w:val="18"/>
        </w:rPr>
        <w:t>.</w:t>
      </w:r>
    </w:p>
    <w:p w14:paraId="22120DB0" w14:textId="77777777" w:rsidR="00AA0841" w:rsidRPr="00365FE2" w:rsidRDefault="00AA0841" w:rsidP="00AA0841">
      <w:pPr>
        <w:rPr>
          <w:rFonts w:hAnsi="Century Gothic"/>
          <w:sz w:val="18"/>
          <w:szCs w:val="18"/>
        </w:rPr>
      </w:pPr>
      <w:r w:rsidRPr="00365FE2">
        <w:rPr>
          <w:rFonts w:hAnsi="Century Gothic"/>
          <w:sz w:val="18"/>
          <w:szCs w:val="18"/>
        </w:rPr>
        <w:t>6. Information on flow/volume and required frequency of indicative demands drawn from the draft Macquarie-Castlereagh Long Term Water Plan</w:t>
      </w:r>
      <w:r>
        <w:rPr>
          <w:rFonts w:hAnsi="Century Gothic"/>
          <w:sz w:val="18"/>
          <w:szCs w:val="18"/>
        </w:rPr>
        <w:t xml:space="preserve"> (NSW OEH 2018a and b)</w:t>
      </w:r>
      <w:r w:rsidRPr="00365FE2">
        <w:rPr>
          <w:rFonts w:hAnsi="Century Gothic"/>
          <w:sz w:val="18"/>
          <w:szCs w:val="18"/>
        </w:rPr>
        <w:t>, as appropriate.</w:t>
      </w:r>
    </w:p>
    <w:p w14:paraId="29A3DE53" w14:textId="77777777" w:rsidR="00AA0841" w:rsidRPr="00365FE2" w:rsidRDefault="00AA0841" w:rsidP="00AA0841">
      <w:pPr>
        <w:rPr>
          <w:rFonts w:hAnsi="Century Gothic"/>
          <w:sz w:val="18"/>
          <w:szCs w:val="18"/>
        </w:rPr>
      </w:pPr>
      <w:r w:rsidRPr="00365FE2">
        <w:rPr>
          <w:rFonts w:hAnsi="Century Gothic"/>
          <w:sz w:val="18"/>
          <w:szCs w:val="18"/>
        </w:rPr>
        <w:t xml:space="preserve">7. All watering history sourced from advice from NSW </w:t>
      </w:r>
      <w:r>
        <w:rPr>
          <w:rFonts w:hAnsi="Century Gothic"/>
          <w:sz w:val="18"/>
          <w:szCs w:val="18"/>
        </w:rPr>
        <w:t>Department of Planning, Industry and Environment</w:t>
      </w:r>
      <w:r w:rsidRPr="00365FE2">
        <w:rPr>
          <w:rFonts w:hAnsi="Century Gothic"/>
          <w:sz w:val="18"/>
          <w:szCs w:val="18"/>
        </w:rPr>
        <w:t xml:space="preserve"> (Tim Hosking, Paul Keyte and Debbie Love, pers. comm. 2015</w:t>
      </w:r>
      <w:r w:rsidRPr="00365FE2">
        <w:rPr>
          <w:rFonts w:hAnsi="Century Gothic"/>
          <w:sz w:val="18"/>
          <w:szCs w:val="18"/>
        </w:rPr>
        <w:t>–</w:t>
      </w:r>
      <w:r w:rsidRPr="00365FE2">
        <w:rPr>
          <w:rFonts w:hAnsi="Century Gothic"/>
          <w:sz w:val="18"/>
          <w:szCs w:val="18"/>
        </w:rPr>
        <w:t>20</w:t>
      </w:r>
      <w:r>
        <w:rPr>
          <w:rFonts w:hAnsi="Century Gothic"/>
          <w:sz w:val="18"/>
          <w:szCs w:val="18"/>
        </w:rPr>
        <w:t>20</w:t>
      </w:r>
      <w:r w:rsidRPr="00365FE2">
        <w:rPr>
          <w:rFonts w:hAnsi="Century Gothic"/>
          <w:sz w:val="18"/>
          <w:szCs w:val="18"/>
        </w:rPr>
        <w:t xml:space="preserve">), NSW </w:t>
      </w:r>
      <w:r>
        <w:rPr>
          <w:rFonts w:hAnsi="Century Gothic"/>
          <w:sz w:val="18"/>
          <w:szCs w:val="18"/>
        </w:rPr>
        <w:t>DPIE</w:t>
      </w:r>
      <w:r w:rsidRPr="00365FE2">
        <w:rPr>
          <w:rFonts w:hAnsi="Century Gothic"/>
          <w:sz w:val="18"/>
          <w:szCs w:val="18"/>
        </w:rPr>
        <w:t xml:space="preserve"> Statement of annual environmental watering priorities, WaterNSW Water Balance Reports, and data from the following gauges (WaterNSW 20</w:t>
      </w:r>
      <w:r>
        <w:rPr>
          <w:rFonts w:hAnsi="Century Gothic"/>
          <w:sz w:val="18"/>
          <w:szCs w:val="18"/>
        </w:rPr>
        <w:t>20</w:t>
      </w:r>
      <w:r w:rsidRPr="00365FE2">
        <w:rPr>
          <w:rFonts w:hAnsi="Century Gothic"/>
          <w:sz w:val="18"/>
          <w:szCs w:val="18"/>
        </w:rPr>
        <w:t>):</w:t>
      </w:r>
    </w:p>
    <w:tbl>
      <w:tblPr>
        <w:tblStyle w:val="TableGrid"/>
        <w:tblpPr w:leftFromText="180" w:rightFromText="180" w:vertAnchor="text" w:horzAnchor="margin" w:tblpY="26"/>
        <w:tblW w:w="498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98"/>
        <w:gridCol w:w="7015"/>
        <w:gridCol w:w="7266"/>
      </w:tblGrid>
      <w:tr w:rsidR="00AA0841" w:rsidRPr="00365FE2" w14:paraId="341E67B7" w14:textId="77777777" w:rsidTr="00AA0841">
        <w:trPr>
          <w:cnfStyle w:val="100000000000" w:firstRow="1" w:lastRow="0" w:firstColumn="0" w:lastColumn="0" w:oddVBand="0" w:evenVBand="0" w:oddHBand="0" w:evenHBand="0" w:firstRowFirstColumn="0" w:firstRowLastColumn="0" w:lastRowFirstColumn="0" w:lastRowLastColumn="0"/>
          <w:cantSplit/>
          <w:trHeight w:val="90"/>
        </w:trPr>
        <w:tc>
          <w:tcPr>
            <w:tcW w:w="1721" w:type="pct"/>
          </w:tcPr>
          <w:p w14:paraId="0E94D146" w14:textId="77777777" w:rsidR="00AA0841" w:rsidRPr="00365FE2" w:rsidRDefault="00AA0841" w:rsidP="00AA0841">
            <w:pPr>
              <w:rPr>
                <w:rFonts w:hAnsi="Century Gothic"/>
                <w:sz w:val="18"/>
                <w:szCs w:val="18"/>
              </w:rPr>
            </w:pPr>
            <w:r w:rsidRPr="00365FE2">
              <w:rPr>
                <w:rFonts w:hAnsi="Century Gothic"/>
                <w:sz w:val="18"/>
                <w:szCs w:val="18"/>
              </w:rPr>
              <w:t>421090: Macquarie River at d/s Marebone Weir</w:t>
            </w:r>
          </w:p>
          <w:p w14:paraId="7E2D29F7" w14:textId="77777777" w:rsidR="00AA0841" w:rsidRPr="00365FE2" w:rsidRDefault="00AA0841" w:rsidP="00AA0841">
            <w:pPr>
              <w:rPr>
                <w:rFonts w:hAnsi="Century Gothic"/>
                <w:sz w:val="18"/>
                <w:szCs w:val="18"/>
              </w:rPr>
            </w:pPr>
            <w:r w:rsidRPr="00365FE2">
              <w:rPr>
                <w:rFonts w:hAnsi="Century Gothic"/>
                <w:sz w:val="18"/>
                <w:szCs w:val="18"/>
              </w:rPr>
              <w:t>421001: Macquarie River at Dubbo (in the absence of available data at Wellington)</w:t>
            </w:r>
          </w:p>
          <w:p w14:paraId="25AFEA22" w14:textId="77777777" w:rsidR="00AA0841" w:rsidRPr="00365FE2" w:rsidRDefault="00AA0841" w:rsidP="00AA0841">
            <w:pPr>
              <w:rPr>
                <w:rFonts w:hAnsi="Century Gothic"/>
                <w:sz w:val="18"/>
                <w:szCs w:val="18"/>
              </w:rPr>
            </w:pPr>
            <w:r w:rsidRPr="00365FE2">
              <w:rPr>
                <w:rFonts w:hAnsi="Century Gothic"/>
                <w:sz w:val="18"/>
                <w:szCs w:val="18"/>
              </w:rPr>
              <w:t>421147: Macquarie River at Pillicawarrina</w:t>
            </w:r>
          </w:p>
        </w:tc>
        <w:tc>
          <w:tcPr>
            <w:tcW w:w="1610" w:type="pct"/>
          </w:tcPr>
          <w:p w14:paraId="68B5E880" w14:textId="77777777" w:rsidR="00AA0841" w:rsidRPr="00365FE2" w:rsidRDefault="00AA0841" w:rsidP="00AA0841">
            <w:pPr>
              <w:rPr>
                <w:rFonts w:hAnsi="Century Gothic"/>
                <w:sz w:val="18"/>
                <w:szCs w:val="18"/>
              </w:rPr>
            </w:pPr>
            <w:r w:rsidRPr="00365FE2">
              <w:rPr>
                <w:rFonts w:hAnsi="Century Gothic"/>
                <w:sz w:val="18"/>
                <w:szCs w:val="18"/>
              </w:rPr>
              <w:t>421088: Marebone Break at d/s regulator</w:t>
            </w:r>
          </w:p>
          <w:p w14:paraId="25A561A6" w14:textId="77777777" w:rsidR="00AA0841" w:rsidRPr="00365FE2" w:rsidRDefault="00AA0841" w:rsidP="00AA0841">
            <w:pPr>
              <w:rPr>
                <w:rFonts w:hAnsi="Century Gothic"/>
                <w:sz w:val="18"/>
                <w:szCs w:val="18"/>
              </w:rPr>
            </w:pPr>
            <w:r w:rsidRPr="00365FE2">
              <w:rPr>
                <w:rFonts w:hAnsi="Century Gothic"/>
                <w:sz w:val="18"/>
                <w:szCs w:val="18"/>
              </w:rPr>
              <w:t>421107: Marra Creek at Billybongbone Bridge</w:t>
            </w:r>
          </w:p>
          <w:p w14:paraId="549FED67" w14:textId="77777777" w:rsidR="00AA0841" w:rsidRPr="00365FE2" w:rsidRDefault="00AA0841" w:rsidP="00AA0841">
            <w:pPr>
              <w:rPr>
                <w:rFonts w:hAnsi="Century Gothic"/>
                <w:sz w:val="18"/>
                <w:szCs w:val="18"/>
              </w:rPr>
            </w:pPr>
            <w:r w:rsidRPr="00365FE2">
              <w:rPr>
                <w:rFonts w:hAnsi="Century Gothic"/>
                <w:sz w:val="18"/>
                <w:szCs w:val="18"/>
              </w:rPr>
              <w:t>421097: Marra Creek at Carinda Road</w:t>
            </w:r>
          </w:p>
          <w:p w14:paraId="166368EE" w14:textId="77777777" w:rsidR="00AA0841" w:rsidRPr="00365FE2" w:rsidRDefault="00AA0841" w:rsidP="00AA0841">
            <w:pPr>
              <w:rPr>
                <w:rFonts w:hAnsi="Century Gothic"/>
                <w:sz w:val="18"/>
                <w:szCs w:val="18"/>
              </w:rPr>
            </w:pPr>
            <w:r w:rsidRPr="00365FE2">
              <w:rPr>
                <w:rFonts w:hAnsi="Century Gothic"/>
                <w:sz w:val="18"/>
                <w:szCs w:val="18"/>
              </w:rPr>
              <w:t>421146: Gum Cowal at Bifurcation</w:t>
            </w:r>
          </w:p>
          <w:p w14:paraId="7EBD2423" w14:textId="77777777" w:rsidR="00AA0841" w:rsidRPr="00365FE2" w:rsidRDefault="00AA0841" w:rsidP="00AA0841">
            <w:pPr>
              <w:rPr>
                <w:rFonts w:hAnsi="Century Gothic"/>
                <w:sz w:val="18"/>
                <w:szCs w:val="18"/>
              </w:rPr>
            </w:pPr>
            <w:r w:rsidRPr="00365FE2">
              <w:rPr>
                <w:rFonts w:hAnsi="Century Gothic"/>
                <w:sz w:val="18"/>
                <w:szCs w:val="18"/>
              </w:rPr>
              <w:t>421907: Macquarie at Brewon</w:t>
            </w:r>
          </w:p>
        </w:tc>
        <w:tc>
          <w:tcPr>
            <w:tcW w:w="1668" w:type="pct"/>
            <w:shd w:val="clear" w:color="auto" w:fill="auto"/>
          </w:tcPr>
          <w:p w14:paraId="39203CF7" w14:textId="77777777" w:rsidR="00AA0841" w:rsidRPr="00365FE2" w:rsidRDefault="00AA0841" w:rsidP="00AA0841">
            <w:pPr>
              <w:rPr>
                <w:rFonts w:hAnsi="Century Gothic"/>
                <w:sz w:val="18"/>
                <w:szCs w:val="18"/>
              </w:rPr>
            </w:pPr>
            <w:r w:rsidRPr="00365FE2">
              <w:rPr>
                <w:rFonts w:hAnsi="Century Gothic"/>
                <w:sz w:val="18"/>
                <w:szCs w:val="18"/>
              </w:rPr>
              <w:t>421127: Macquarie River at Baroona</w:t>
            </w:r>
          </w:p>
          <w:p w14:paraId="24CF9916" w14:textId="77777777" w:rsidR="00AA0841" w:rsidRPr="00365FE2" w:rsidRDefault="00AA0841" w:rsidP="00AA0841">
            <w:pPr>
              <w:rPr>
                <w:rFonts w:hAnsi="Century Gothic"/>
                <w:sz w:val="18"/>
                <w:szCs w:val="18"/>
              </w:rPr>
            </w:pPr>
            <w:r w:rsidRPr="00365FE2">
              <w:rPr>
                <w:rFonts w:hAnsi="Century Gothic"/>
                <w:sz w:val="18"/>
                <w:szCs w:val="18"/>
              </w:rPr>
              <w:t>421016: Crooked Creek at Profile</w:t>
            </w:r>
          </w:p>
          <w:p w14:paraId="4B30B42A" w14:textId="77777777" w:rsidR="00AA0841" w:rsidRPr="00365FE2" w:rsidRDefault="00AA0841" w:rsidP="00AA0841">
            <w:pPr>
              <w:rPr>
                <w:rFonts w:hAnsi="Century Gothic"/>
                <w:sz w:val="18"/>
                <w:szCs w:val="18"/>
              </w:rPr>
            </w:pPr>
            <w:r w:rsidRPr="00365FE2">
              <w:rPr>
                <w:rFonts w:hAnsi="Century Gothic"/>
                <w:sz w:val="18"/>
                <w:szCs w:val="18"/>
              </w:rPr>
              <w:t>421012: Macquarie River at Carinda (Bells Bridge)</w:t>
            </w:r>
          </w:p>
          <w:p w14:paraId="267C7A90" w14:textId="77777777" w:rsidR="00AA0841" w:rsidRPr="00365FE2" w:rsidRDefault="00AA0841" w:rsidP="00AA0841">
            <w:pPr>
              <w:rPr>
                <w:rFonts w:hAnsi="Century Gothic"/>
                <w:sz w:val="18"/>
                <w:szCs w:val="18"/>
              </w:rPr>
            </w:pPr>
            <w:r w:rsidRPr="00365FE2">
              <w:rPr>
                <w:rFonts w:hAnsi="Century Gothic"/>
                <w:sz w:val="18"/>
                <w:szCs w:val="18"/>
              </w:rPr>
              <w:t>421022: Macquarie River at Oxley Station</w:t>
            </w:r>
          </w:p>
          <w:p w14:paraId="1076AED9" w14:textId="77777777" w:rsidR="00AA0841" w:rsidRPr="00365FE2" w:rsidRDefault="00AA0841" w:rsidP="00AA0841">
            <w:pPr>
              <w:rPr>
                <w:rFonts w:hAnsi="Century Gothic"/>
                <w:sz w:val="18"/>
                <w:szCs w:val="18"/>
              </w:rPr>
            </w:pPr>
            <w:r w:rsidRPr="00365FE2">
              <w:rPr>
                <w:rFonts w:hAnsi="Century Gothic"/>
                <w:sz w:val="18"/>
                <w:szCs w:val="18"/>
              </w:rPr>
              <w:t>421152: Gum Cowal at Oxley</w:t>
            </w:r>
          </w:p>
        </w:tc>
      </w:tr>
    </w:tbl>
    <w:p w14:paraId="0D7DA9C1" w14:textId="77777777" w:rsidR="00AA0841" w:rsidRDefault="00AA0841" w:rsidP="00AA0841">
      <w:pPr>
        <w:pStyle w:val="PlainText"/>
        <w:rPr>
          <w:noProof/>
        </w:rPr>
      </w:pPr>
    </w:p>
    <w:p w14:paraId="28E61586" w14:textId="77777777" w:rsidR="00AA0841" w:rsidRPr="00716A3C" w:rsidRDefault="00AA0841" w:rsidP="00AA0841">
      <w:pPr>
        <w:pStyle w:val="PlainText"/>
        <w:rPr>
          <w:rFonts w:asciiTheme="minorHAnsi" w:hAnsiTheme="minorHAnsi"/>
          <w:sz w:val="22"/>
          <w:szCs w:val="22"/>
        </w:rPr>
      </w:pPr>
      <w:r>
        <w:rPr>
          <w:noProof/>
        </w:rPr>
        <w:drawing>
          <wp:inline distT="0" distB="0" distL="0" distR="0" wp14:anchorId="07907661" wp14:editId="4C1A1ADD">
            <wp:extent cx="10772442" cy="2038902"/>
            <wp:effectExtent l="0" t="0" r="0" b="0"/>
            <wp:docPr id="29" name="Picture 2">
              <a:extLst xmlns:a="http://schemas.openxmlformats.org/drawingml/2006/main">
                <a:ext uri="{FF2B5EF4-FFF2-40B4-BE49-F238E27FC236}">
                  <a16:creationId xmlns:a16="http://schemas.microsoft.com/office/drawing/2014/main" id="{44C6E65D-16A7-4929-AC15-EE3EC6EA9F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4C6E65D-16A7-4929-AC15-EE3EC6EA9F11}"/>
                        </a:ext>
                      </a:extLst>
                    </pic:cNvPr>
                    <pic:cNvPicPr>
                      <a:picLocks noChangeAspect="1"/>
                    </pic:cNvPicPr>
                  </pic:nvPicPr>
                  <pic:blipFill>
                    <a:blip r:embed="rId88"/>
                    <a:stretch>
                      <a:fillRect/>
                    </a:stretch>
                  </pic:blipFill>
                  <pic:spPr>
                    <a:xfrm>
                      <a:off x="0" y="0"/>
                      <a:ext cx="10869398" cy="2057253"/>
                    </a:xfrm>
                    <a:prstGeom prst="rect">
                      <a:avLst/>
                    </a:prstGeom>
                  </pic:spPr>
                </pic:pic>
              </a:graphicData>
            </a:graphic>
          </wp:inline>
        </w:drawing>
      </w:r>
    </w:p>
    <w:p w14:paraId="1DD4894D" w14:textId="77777777" w:rsidR="00AA0841" w:rsidRDefault="00AA0841" w:rsidP="00AA0841">
      <w:pPr>
        <w:spacing w:after="240"/>
        <w:rPr>
          <w:rStyle w:val="Hyperlink"/>
          <w:rFonts w:ascii="Century Gothic" w:hAnsi="Century Gothic" w:cs="Arial"/>
          <w:noProof/>
        </w:rPr>
        <w:sectPr w:rsidR="00AA0841" w:rsidSect="003737D8">
          <w:footnotePr>
            <w:numFmt w:val="chicago"/>
            <w:numRestart w:val="eachSect"/>
          </w:footnotePr>
          <w:pgSz w:w="23814" w:h="16839" w:orient="landscape" w:code="8"/>
          <w:pgMar w:top="1134" w:right="992" w:bottom="851" w:left="964" w:header="425" w:footer="370" w:gutter="0"/>
          <w:cols w:space="708"/>
          <w:docGrid w:linePitch="360"/>
        </w:sectPr>
      </w:pPr>
    </w:p>
    <w:p w14:paraId="7DA41DB8" w14:textId="77777777" w:rsidR="00AA0841" w:rsidRDefault="00AA0841" w:rsidP="0057535E">
      <w:pPr>
        <w:pStyle w:val="Heading3"/>
      </w:pPr>
      <w:r>
        <w:lastRenderedPageBreak/>
        <w:t xml:space="preserve">Water </w:t>
      </w:r>
      <w:r w:rsidRPr="00FE17CA">
        <w:t>delivery</w:t>
      </w:r>
      <w:r>
        <w:t xml:space="preserve"> in 2020–21</w:t>
      </w:r>
    </w:p>
    <w:p w14:paraId="1C151861" w14:textId="77777777" w:rsidR="00AA0841" w:rsidRPr="00365FE2" w:rsidRDefault="00AA0841" w:rsidP="00AA0841">
      <w:r w:rsidRPr="00365FE2">
        <w:t xml:space="preserve">Based on the demand for water for the environment, water availability (supply), and catchment conditions, the overall purpose for managing Commonwealth water for the environment in the Macquarie River Valley in </w:t>
      </w:r>
      <w:r>
        <w:br/>
      </w:r>
      <w:r w:rsidRPr="00365FE2">
        <w:t>2020–21 is to avoid damage and protect the health and resilience of aquatic ecosystems in the Macquarie River and Marshes, and other important sites in the valley as required.</w:t>
      </w:r>
    </w:p>
    <w:p w14:paraId="7054F084" w14:textId="77777777" w:rsidR="00AA0841" w:rsidRPr="00365FE2" w:rsidRDefault="00AA0841" w:rsidP="00AA0841">
      <w:r w:rsidRPr="00365FE2">
        <w:t xml:space="preserve">Consistent with the demands and purpose identified, the </w:t>
      </w:r>
      <w:r>
        <w:t>CEWO</w:t>
      </w:r>
      <w:r w:rsidRPr="00365FE2">
        <w:t xml:space="preserve"> is considering supplying water for the environment to the following actions in 2020–21.</w:t>
      </w:r>
    </w:p>
    <w:p w14:paraId="059BE966" w14:textId="17A8F61A" w:rsidR="00AA0841" w:rsidRDefault="00AA0841" w:rsidP="00AA0841">
      <w:bookmarkStart w:id="115" w:name="_Hlk40944105"/>
      <w:r>
        <w:t>Using</w:t>
      </w:r>
      <w:r w:rsidRPr="00365FE2">
        <w:t xml:space="preserve"> </w:t>
      </w:r>
      <w:r>
        <w:t xml:space="preserve">water for the </w:t>
      </w:r>
      <w:r w:rsidRPr="00365FE2">
        <w:t xml:space="preserve">environment </w:t>
      </w:r>
      <w:r>
        <w:t>carried over into 2020–21,</w:t>
      </w:r>
      <w:r w:rsidRPr="00365FE2">
        <w:t xml:space="preserve"> deliver water to the Macquarie Marshes to target the inundation of 4 000–9 000 ha (blue and purple inundation </w:t>
      </w:r>
      <w:r w:rsidRPr="00BF5A5F">
        <w:t xml:space="preserve">zones – </w:t>
      </w:r>
      <w:r w:rsidRPr="00BF5A5F">
        <w:fldChar w:fldCharType="begin"/>
      </w:r>
      <w:r w:rsidRPr="00BF5A5F">
        <w:instrText xml:space="preserve"> REF _Ref43969107 \h  \* MERGEFORMAT </w:instrText>
      </w:r>
      <w:r w:rsidRPr="00BF5A5F">
        <w:fldChar w:fldCharType="separate"/>
      </w:r>
      <w:r w:rsidR="001B2852" w:rsidRPr="001B2852">
        <w:rPr>
          <w:bCs/>
        </w:rPr>
        <w:t xml:space="preserve">Figure </w:t>
      </w:r>
      <w:r w:rsidR="001B2852" w:rsidRPr="001B2852">
        <w:rPr>
          <w:bCs/>
          <w:noProof/>
        </w:rPr>
        <w:t>11</w:t>
      </w:r>
      <w:r w:rsidRPr="00BF5A5F">
        <w:fldChar w:fldCharType="end"/>
      </w:r>
      <w:r w:rsidRPr="00BF5A5F">
        <w:t>) of core</w:t>
      </w:r>
      <w:r>
        <w:t xml:space="preserve"> </w:t>
      </w:r>
      <w:r w:rsidRPr="00365FE2">
        <w:t>wetland vegetation (reeds, water couch, lagoons and mixed marsh)</w:t>
      </w:r>
      <w:r>
        <w:t>.</w:t>
      </w:r>
      <w:r w:rsidRPr="00365FE2" w:rsidDel="0029570F">
        <w:t xml:space="preserve"> </w:t>
      </w:r>
      <w:r>
        <w:t>Inundation of the core wetlands is required for 3–6 months over the warmer spring growing period, particularly for reedbeds and mixed marsh.</w:t>
      </w:r>
      <w:r w:rsidRPr="0029570F">
        <w:t xml:space="preserve"> </w:t>
      </w:r>
      <w:r>
        <w:t>Delivery of water for the environment at this time would help support wetland recovery and</w:t>
      </w:r>
      <w:r w:rsidRPr="00365FE2">
        <w:t xml:space="preserve"> avoid irretrievable loss or damage</w:t>
      </w:r>
      <w:r>
        <w:t xml:space="preserve"> in the Marshes</w:t>
      </w:r>
      <w:r w:rsidRPr="00365FE2">
        <w:t>.</w:t>
      </w:r>
    </w:p>
    <w:p w14:paraId="4955A1D4" w14:textId="77777777" w:rsidR="00AA0841" w:rsidRPr="00365FE2" w:rsidRDefault="00AA0841" w:rsidP="00AA0841">
      <w:r>
        <w:t>To help prime the system ready for this delivery, tributary flows and NSW translucent water may be used, if available, to maintain moisture in the marshes over winter. This would</w:t>
      </w:r>
      <w:r w:rsidDel="0029570F">
        <w:t xml:space="preserve"> </w:t>
      </w:r>
      <w:r>
        <w:t xml:space="preserve">build on the benefits of recent rainfall and flows and help boost the response to water delivered in spring. </w:t>
      </w:r>
    </w:p>
    <w:p w14:paraId="752E2F8F" w14:textId="77777777" w:rsidR="00AA0841" w:rsidRPr="00365FE2" w:rsidRDefault="00AA0841" w:rsidP="00AA0841">
      <w:r w:rsidRPr="00365FE2">
        <w:t xml:space="preserve">Delivery of water for the environment to the Macquarie Marshes is scalable, depending on the volume of water available and catchment conditions. Should conditions and water availability improve, there may be opportunities to target the inundation of </w:t>
      </w:r>
      <w:r>
        <w:t xml:space="preserve">a larger area of the Marshes, although not at the expense of meeting the required duration target in core areas. </w:t>
      </w:r>
    </w:p>
    <w:p w14:paraId="07E37039" w14:textId="77777777" w:rsidR="00AA0841" w:rsidRPr="00365FE2" w:rsidRDefault="00AA0841" w:rsidP="00AA0841">
      <w:r w:rsidRPr="00365FE2">
        <w:t>Depending on the volume of water available, delivering environmental water to the Macquarie Marshes may also:</w:t>
      </w:r>
    </w:p>
    <w:p w14:paraId="3B54E425" w14:textId="77777777" w:rsidR="00AA0841" w:rsidRPr="00365FE2" w:rsidRDefault="00AA0841" w:rsidP="00AA0841">
      <w:pPr>
        <w:pStyle w:val="DotStyle1"/>
      </w:pPr>
      <w:r w:rsidRPr="00365FE2">
        <w:t>meet baseflow and small fresh requirements in the mid-Macquarie River</w:t>
      </w:r>
    </w:p>
    <w:p w14:paraId="42C12413" w14:textId="77777777" w:rsidR="00AA0841" w:rsidRPr="00365FE2" w:rsidRDefault="00AA0841" w:rsidP="00AA0841">
      <w:pPr>
        <w:pStyle w:val="DotStyle1"/>
      </w:pPr>
      <w:r w:rsidRPr="00365FE2">
        <w:t>support native fish condition, movement and spawning opportunities in the mid-Macquarie River by managing the hydrograph to provide suitable flows</w:t>
      </w:r>
    </w:p>
    <w:p w14:paraId="0691D56E" w14:textId="77777777" w:rsidR="00AA0841" w:rsidRPr="00365FE2" w:rsidRDefault="00AA0841" w:rsidP="00AA0841">
      <w:pPr>
        <w:pStyle w:val="DotStyle1"/>
      </w:pPr>
      <w:r w:rsidRPr="00365FE2">
        <w:t>support values of the Ramsar site within the Marshes</w:t>
      </w:r>
      <w:r>
        <w:t xml:space="preserve"> as defined by its ecological character</w:t>
      </w:r>
      <w:r w:rsidRPr="00365FE2">
        <w:t>, such as maintaining core areas of semi-permanent wetlands (including reeds, water couch and red gum forest), providing habitat for migratory waterbirds and native fish, and promoting biological diversity.</w:t>
      </w:r>
    </w:p>
    <w:p w14:paraId="23B59F59" w14:textId="77777777" w:rsidR="00AA0841" w:rsidRDefault="00AA0841" w:rsidP="00AA0841">
      <w:r>
        <w:t xml:space="preserve">Another priority is to provide a connection flow to the Barwon River via the Marshes and lower Macquarie River. A suitable connection flow has not occurred since 2016–17 and would provide an opportunity for native fish to move and disperse </w:t>
      </w:r>
      <w:r w:rsidRPr="007B19D0">
        <w:t>between the two systems. This may include juvenile golden perch observed moving in the Barwon</w:t>
      </w:r>
      <w:r>
        <w:t>–</w:t>
      </w:r>
      <w:r w:rsidRPr="007B19D0">
        <w:t>Darling system in autumn 2020.</w:t>
      </w:r>
      <w:r>
        <w:t xml:space="preserve"> Delivering a native fish connection flow is dependent on sufficient water being available at a time best suited for fish to move and disperse. </w:t>
      </w:r>
    </w:p>
    <w:p w14:paraId="09AEF0A1" w14:textId="77777777" w:rsidR="00AA0841" w:rsidRDefault="00AA0841" w:rsidP="00AA0841">
      <w:r>
        <w:t xml:space="preserve">There is a critical demand to provide flows to support native fish flow specialist movement and breeding in the mid-Macquarie River. Similarly, there is a high demand for water to inundate up to 50 000 ha of the Macquarie Marshes, and to support floodplain vegetation in the lower Macquarie. However, a significant increase in the availability of water for the environment (and other water sources) is required to support these demands. Meeting the demand for native fish flow specialists is also dependent on the occurrence of suitable tributary flows to cue movement and breeding. </w:t>
      </w:r>
    </w:p>
    <w:p w14:paraId="1751F50E" w14:textId="77777777" w:rsidR="00AA0841" w:rsidRDefault="00AA0841" w:rsidP="00AA0841">
      <w:r w:rsidRPr="00365FE2">
        <w:t>As in previous years, the use of Commonwealth and NSW environmental water in the Macquarie River Valley will be adaptively managed together throughout 2020–21, in response to changing water resource availability and environmental conditions and demands.</w:t>
      </w:r>
    </w:p>
    <w:p w14:paraId="3E32E623" w14:textId="77777777" w:rsidR="00AA0841" w:rsidRDefault="00AA0841" w:rsidP="00AA0841">
      <w:pPr>
        <w:sectPr w:rsidR="00AA0841" w:rsidSect="003737D8">
          <w:headerReference w:type="even" r:id="rId169"/>
          <w:footerReference w:type="even" r:id="rId170"/>
          <w:pgSz w:w="11906" w:h="16838"/>
          <w:pgMar w:top="1134" w:right="1133" w:bottom="851" w:left="964" w:header="567" w:footer="425" w:gutter="0"/>
          <w:cols w:space="708"/>
          <w:docGrid w:linePitch="360"/>
        </w:sectPr>
      </w:pPr>
    </w:p>
    <w:tbl>
      <w:tblPr>
        <w:tblStyle w:val="TableGrid"/>
        <w:tblW w:w="15259"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
        <w:gridCol w:w="7069"/>
        <w:gridCol w:w="427"/>
        <w:gridCol w:w="7058"/>
      </w:tblGrid>
      <w:tr w:rsidR="00AA0841" w14:paraId="4C3FBCA1" w14:textId="77777777" w:rsidTr="00AA0841">
        <w:trPr>
          <w:cnfStyle w:val="100000000000" w:firstRow="1" w:lastRow="0" w:firstColumn="0" w:lastColumn="0" w:oddVBand="0" w:evenVBand="0" w:oddHBand="0" w:evenHBand="0" w:firstRowFirstColumn="0" w:firstRowLastColumn="0" w:lastRowFirstColumn="0" w:lastRowLastColumn="0"/>
        </w:trPr>
        <w:tc>
          <w:tcPr>
            <w:tcW w:w="705" w:type="dxa"/>
          </w:tcPr>
          <w:p w14:paraId="41B3B491" w14:textId="77777777" w:rsidR="00AA0841" w:rsidRPr="00FA6736" w:rsidRDefault="00AA0841" w:rsidP="00AA0841">
            <w:pPr>
              <w:spacing w:after="0"/>
              <w:jc w:val="right"/>
              <w:rPr>
                <w:rFonts w:cstheme="minorHAnsi"/>
              </w:rPr>
            </w:pPr>
            <w:r w:rsidRPr="00FA6736">
              <w:rPr>
                <w:rFonts w:cstheme="minorHAnsi"/>
              </w:rPr>
              <w:lastRenderedPageBreak/>
              <w:t>a)</w:t>
            </w:r>
          </w:p>
        </w:tc>
        <w:tc>
          <w:tcPr>
            <w:tcW w:w="7069" w:type="dxa"/>
          </w:tcPr>
          <w:p w14:paraId="2622EF13" w14:textId="77777777" w:rsidR="00AA0841" w:rsidRDefault="00AA0841" w:rsidP="00AA0841">
            <w:pPr>
              <w:spacing w:after="0"/>
              <w:jc w:val="right"/>
              <w:rPr>
                <w:rFonts w:ascii="Century Gothic" w:hAnsi="Century Gothic"/>
                <w:b/>
              </w:rPr>
            </w:pPr>
            <w:r>
              <w:rPr>
                <w:rFonts w:ascii="Century Gothic" w:hAnsi="Century Gothic"/>
                <w:b/>
                <w:noProof/>
              </w:rPr>
              <w:drawing>
                <wp:inline distT="0" distB="0" distL="0" distR="0" wp14:anchorId="20856FE5" wp14:editId="3A227557">
                  <wp:extent cx="4205762" cy="5924550"/>
                  <wp:effectExtent l="19050" t="19050" r="23495" b="19050"/>
                  <wp:docPr id="30" name="Picture 8" descr="Figure 4: a) Vegetation mapping of the Macquarie Marshes (Bowen and Fontaine 2014) and b) Inundation frequencies of the Macquarie Marshes 1988–2008 (Thomas et al. 2015).&#10;&#10;A map of key vegetation areas of the Macquarie Marshes and a map of areas of the Macquarie Marshes inundated at a range of volumes and du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d 2013 veg map.jpg"/>
                          <pic:cNvPicPr/>
                        </pic:nvPicPr>
                        <pic:blipFill>
                          <a:blip r:embed="rId171" cstate="print"/>
                          <a:srcRect l="3315" t="3368" r="2259" b="3777"/>
                          <a:stretch>
                            <a:fillRect/>
                          </a:stretch>
                        </pic:blipFill>
                        <pic:spPr>
                          <a:xfrm>
                            <a:off x="0" y="0"/>
                            <a:ext cx="4225288" cy="5952055"/>
                          </a:xfrm>
                          <a:prstGeom prst="rect">
                            <a:avLst/>
                          </a:prstGeom>
                          <a:ln w="19050">
                            <a:solidFill>
                              <a:schemeClr val="bg1">
                                <a:lumMod val="65000"/>
                              </a:schemeClr>
                            </a:solidFill>
                          </a:ln>
                        </pic:spPr>
                      </pic:pic>
                    </a:graphicData>
                  </a:graphic>
                </wp:inline>
              </w:drawing>
            </w:r>
          </w:p>
        </w:tc>
        <w:tc>
          <w:tcPr>
            <w:tcW w:w="427" w:type="dxa"/>
          </w:tcPr>
          <w:p w14:paraId="253A81EC" w14:textId="77777777" w:rsidR="00AA0841" w:rsidRPr="00FA6736" w:rsidRDefault="00AA0841" w:rsidP="00AA0841">
            <w:pPr>
              <w:spacing w:after="0"/>
              <w:jc w:val="right"/>
              <w:rPr>
                <w:rFonts w:cstheme="minorHAnsi"/>
              </w:rPr>
            </w:pPr>
            <w:r w:rsidRPr="00FA6736">
              <w:rPr>
                <w:rFonts w:cstheme="minorHAnsi"/>
              </w:rPr>
              <w:t>b)</w:t>
            </w:r>
          </w:p>
        </w:tc>
        <w:tc>
          <w:tcPr>
            <w:tcW w:w="7058" w:type="dxa"/>
          </w:tcPr>
          <w:p w14:paraId="5097024A" w14:textId="77777777" w:rsidR="00AA0841" w:rsidRDefault="00AA0841" w:rsidP="00AA0841">
            <w:pPr>
              <w:spacing w:after="0"/>
              <w:jc w:val="right"/>
              <w:rPr>
                <w:rFonts w:ascii="Century Gothic" w:hAnsi="Century Gothic"/>
                <w:b/>
              </w:rPr>
            </w:pPr>
            <w:r w:rsidRPr="00241A1B">
              <w:rPr>
                <w:rFonts w:ascii="Century Gothic" w:hAnsi="Century Gothic"/>
                <w:b/>
                <w:noProof/>
              </w:rPr>
              <w:drawing>
                <wp:inline distT="0" distB="0" distL="0" distR="0" wp14:anchorId="56FC5994" wp14:editId="2A056DD7">
                  <wp:extent cx="4147760" cy="5943600"/>
                  <wp:effectExtent l="0" t="0" r="5715" b="0"/>
                  <wp:docPr id="36" name="Picture 0" descr="Figure 2: a) Vegetation mapping of the Macquarie Marshes (Bowen and Fontaine 2014) and b) Inundation frequencies of the Macquarie Marshes 1988–2008 (Thomas et al. 2015).&#10;&#10;A map of key vegetation areas of the Macquarie Marshes and a map of areas of the Macquarie Marshes inundated at a range of volumes and du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 Inundation map Marshes.jpg"/>
                          <pic:cNvPicPr/>
                        </pic:nvPicPr>
                        <pic:blipFill>
                          <a:blip r:embed="rId172" cstate="print"/>
                          <a:srcRect l="2062" t="924" r="1484" b="1488"/>
                          <a:stretch>
                            <a:fillRect/>
                          </a:stretch>
                        </pic:blipFill>
                        <pic:spPr>
                          <a:xfrm>
                            <a:off x="0" y="0"/>
                            <a:ext cx="4184013" cy="5995549"/>
                          </a:xfrm>
                          <a:prstGeom prst="rect">
                            <a:avLst/>
                          </a:prstGeom>
                        </pic:spPr>
                      </pic:pic>
                    </a:graphicData>
                  </a:graphic>
                </wp:inline>
              </w:drawing>
            </w:r>
          </w:p>
        </w:tc>
      </w:tr>
    </w:tbl>
    <w:p w14:paraId="44344DF8" w14:textId="0CE588D2" w:rsidR="00AA0841" w:rsidRPr="004932F2" w:rsidRDefault="00AA0841" w:rsidP="00AA0841">
      <w:pPr>
        <w:sectPr w:rsidR="00AA0841" w:rsidRPr="004932F2" w:rsidSect="003737D8">
          <w:pgSz w:w="16838" w:h="11906" w:orient="landscape"/>
          <w:pgMar w:top="1134" w:right="992" w:bottom="851" w:left="964" w:header="709" w:footer="175" w:gutter="0"/>
          <w:cols w:space="708"/>
          <w:docGrid w:linePitch="360"/>
        </w:sectPr>
      </w:pPr>
      <w:bookmarkStart w:id="116" w:name="_Ref43969107"/>
      <w:r w:rsidRPr="006B561A">
        <w:rPr>
          <w:b/>
          <w:bCs/>
        </w:rPr>
        <w:t xml:space="preserve">Figure </w:t>
      </w:r>
      <w:r w:rsidRPr="006B561A">
        <w:rPr>
          <w:b/>
          <w:bCs/>
        </w:rPr>
        <w:fldChar w:fldCharType="begin"/>
      </w:r>
      <w:r w:rsidRPr="006B561A">
        <w:rPr>
          <w:b/>
          <w:bCs/>
        </w:rPr>
        <w:instrText xml:space="preserve"> SEQ Figure \* ARABIC </w:instrText>
      </w:r>
      <w:r w:rsidRPr="006B561A">
        <w:rPr>
          <w:b/>
          <w:bCs/>
        </w:rPr>
        <w:fldChar w:fldCharType="separate"/>
      </w:r>
      <w:r w:rsidR="001B2852">
        <w:rPr>
          <w:b/>
          <w:bCs/>
          <w:noProof/>
        </w:rPr>
        <w:t>11</w:t>
      </w:r>
      <w:r w:rsidRPr="006B561A">
        <w:rPr>
          <w:b/>
          <w:bCs/>
        </w:rPr>
        <w:fldChar w:fldCharType="end"/>
      </w:r>
      <w:bookmarkEnd w:id="116"/>
      <w:r w:rsidRPr="006B561A">
        <w:rPr>
          <w:b/>
          <w:bCs/>
        </w:rPr>
        <w:t>:</w:t>
      </w:r>
      <w:r w:rsidRPr="006B561A">
        <w:t xml:space="preserve"> a) Macquarie Marshes vegetation mapping (Bowen &amp; Fontaine 2014); b) Inundation frequencies: Macquarie Marshes 1988–2008 (Thomas et al. 2015)</w:t>
      </w:r>
    </w:p>
    <w:bookmarkEnd w:id="115"/>
    <w:p w14:paraId="25A00900" w14:textId="77777777" w:rsidR="00AA0841" w:rsidRPr="000B4649" w:rsidRDefault="00AA0841" w:rsidP="003E545A">
      <w:pPr>
        <w:pStyle w:val="Heading3"/>
        <w:spacing w:before="120"/>
      </w:pPr>
      <w:r w:rsidRPr="000B4649">
        <w:lastRenderedPageBreak/>
        <w:t>Monitoring and Lessons learn</w:t>
      </w:r>
      <w:r>
        <w:t>ed</w:t>
      </w:r>
    </w:p>
    <w:p w14:paraId="0785F9AE" w14:textId="77777777" w:rsidR="00AA0841" w:rsidRPr="00A75F68" w:rsidRDefault="00AA0841" w:rsidP="003E545A">
      <w:pPr>
        <w:pStyle w:val="Heading4"/>
        <w:spacing w:before="120" w:after="120"/>
      </w:pPr>
      <w:r w:rsidRPr="00A75F68">
        <w:t>Monitoring</w:t>
      </w:r>
    </w:p>
    <w:p w14:paraId="39C82FEC" w14:textId="77777777" w:rsidR="00AA0841" w:rsidRPr="00D1079D" w:rsidRDefault="00AA0841" w:rsidP="00AA0841">
      <w:r w:rsidRPr="00D1079D">
        <w:t xml:space="preserve">In the Macquarie River Valley, monitoring is primarily undertaken by NSW agencies including NSW DPIE (vegetation, waterbirds and frogs), NSW DPI – Fisheries (native fish), and WaterNSW (hydrology and flow delivery data). The </w:t>
      </w:r>
      <w:r>
        <w:t>CEWO</w:t>
      </w:r>
      <w:r w:rsidRPr="00D1079D">
        <w:t xml:space="preserve"> has also funded a number of short-term intervention monitoring projects to evaluate the environmental responses of native fish, waterbirds, and freshwater mussels.</w:t>
      </w:r>
    </w:p>
    <w:p w14:paraId="4FE354EA" w14:textId="77777777" w:rsidR="00AA0841" w:rsidRDefault="00AA0841" w:rsidP="00AA0841">
      <w:r w:rsidRPr="00D1079D">
        <w:t xml:space="preserve">Details of monitoring activities funded by the </w:t>
      </w:r>
      <w:r>
        <w:t>CEWO</w:t>
      </w:r>
      <w:r w:rsidRPr="00D1079D">
        <w:t xml:space="preserve"> in the Macquarie River Valley can be found at: </w:t>
      </w:r>
      <w:hyperlink r:id="rId173" w:history="1">
        <w:r w:rsidRPr="00D1079D">
          <w:rPr>
            <w:rStyle w:val="Hyperlink"/>
          </w:rPr>
          <w:t>http://www.environment.gov.au/water/cewo/catchment/macquarie/monitoring</w:t>
        </w:r>
      </w:hyperlink>
      <w:r>
        <w:t xml:space="preserve"> </w:t>
      </w:r>
    </w:p>
    <w:p w14:paraId="5F3D693A" w14:textId="77777777" w:rsidR="00AA0841" w:rsidRPr="00F24369" w:rsidRDefault="00AA0841" w:rsidP="003E545A">
      <w:pPr>
        <w:pStyle w:val="Heading4"/>
        <w:spacing w:after="120"/>
      </w:pPr>
      <w:r w:rsidRPr="00F24369">
        <w:t>Lessons learn</w:t>
      </w:r>
      <w:r>
        <w:t>ed</w:t>
      </w:r>
    </w:p>
    <w:p w14:paraId="51FAB634" w14:textId="77777777" w:rsidR="00AA0841" w:rsidRPr="00D1079D" w:rsidRDefault="00AA0841" w:rsidP="00AA0841">
      <w:r w:rsidRPr="00D1079D">
        <w:t>Outcomes from monitoring and lessons learned in previous years are a critical component for the effective and efficient use of Commonwealth water for the environment. These learnings are incorporated into the way environmental water is managed.</w:t>
      </w:r>
    </w:p>
    <w:p w14:paraId="1A2CC475" w14:textId="72B6BA0A" w:rsidR="00AA0841" w:rsidRPr="00BF5A5F" w:rsidRDefault="00AA0841" w:rsidP="00AA0841">
      <w:r w:rsidRPr="00D1079D">
        <w:t>Key findings from fish</w:t>
      </w:r>
      <w:r w:rsidRPr="00255265">
        <w:rPr>
          <w:vertAlign w:val="superscript"/>
        </w:rPr>
        <w:footnoteReference w:id="33"/>
      </w:r>
      <w:r w:rsidRPr="00D1079D">
        <w:t>, flow</w:t>
      </w:r>
      <w:r w:rsidRPr="00255265">
        <w:rPr>
          <w:vertAlign w:val="superscript"/>
        </w:rPr>
        <w:footnoteReference w:id="34"/>
      </w:r>
      <w:r w:rsidRPr="00D1079D">
        <w:t>, frog</w:t>
      </w:r>
      <w:r w:rsidRPr="00255265">
        <w:rPr>
          <w:vertAlign w:val="superscript"/>
        </w:rPr>
        <w:footnoteReference w:id="35"/>
      </w:r>
      <w:r w:rsidRPr="00255265">
        <w:rPr>
          <w:vertAlign w:val="superscript"/>
        </w:rPr>
        <w:t xml:space="preserve"> </w:t>
      </w:r>
      <w:r w:rsidRPr="00D1079D">
        <w:t>and waterbird</w:t>
      </w:r>
      <w:r w:rsidRPr="00255265">
        <w:rPr>
          <w:vertAlign w:val="superscript"/>
        </w:rPr>
        <w:footnoteReference w:id="36"/>
      </w:r>
      <w:r w:rsidRPr="00D1079D">
        <w:t xml:space="preserve"> monitoring in the Macquarie River Valley </w:t>
      </w:r>
      <w:r>
        <w:t>are</w:t>
      </w:r>
      <w:r w:rsidRPr="00D1079D">
        <w:t xml:space="preserve"> summarised </w:t>
      </w:r>
      <w:r w:rsidRPr="00BF5A5F">
        <w:t xml:space="preserve">in </w:t>
      </w:r>
      <w:r w:rsidRPr="00BF5A5F">
        <w:fldChar w:fldCharType="begin"/>
      </w:r>
      <w:r w:rsidRPr="00BF5A5F">
        <w:instrText xml:space="preserve"> REF _Ref43969181 \h  \* MERGEFORMAT </w:instrText>
      </w:r>
      <w:r w:rsidRPr="00BF5A5F">
        <w:fldChar w:fldCharType="separate"/>
      </w:r>
      <w:r w:rsidR="001B2852" w:rsidRPr="001B2852">
        <w:t xml:space="preserve">Table </w:t>
      </w:r>
      <w:r w:rsidR="001B2852" w:rsidRPr="001B2852">
        <w:rPr>
          <w:noProof/>
        </w:rPr>
        <w:t>25</w:t>
      </w:r>
      <w:r w:rsidRPr="00BF5A5F">
        <w:fldChar w:fldCharType="end"/>
      </w:r>
      <w:r w:rsidRPr="00BF5A5F">
        <w:t>.</w:t>
      </w:r>
    </w:p>
    <w:p w14:paraId="42796EA2" w14:textId="14644C88" w:rsidR="00AA0841" w:rsidRPr="00D1079D" w:rsidRDefault="00AA0841" w:rsidP="00AA0841">
      <w:pPr>
        <w:spacing w:before="120"/>
      </w:pPr>
      <w:bookmarkStart w:id="117" w:name="_Ref43969181"/>
      <w:r w:rsidRPr="00BF5A5F">
        <w:rPr>
          <w:b/>
        </w:rPr>
        <w:t xml:space="preserve">Table </w:t>
      </w:r>
      <w:r w:rsidRPr="00BF5A5F">
        <w:rPr>
          <w:b/>
        </w:rPr>
        <w:fldChar w:fldCharType="begin"/>
      </w:r>
      <w:r w:rsidRPr="00BF5A5F">
        <w:rPr>
          <w:b/>
        </w:rPr>
        <w:instrText xml:space="preserve"> SEQ Table \* ARABIC </w:instrText>
      </w:r>
      <w:r w:rsidRPr="00BF5A5F">
        <w:rPr>
          <w:b/>
        </w:rPr>
        <w:fldChar w:fldCharType="separate"/>
      </w:r>
      <w:r w:rsidR="001B2852">
        <w:rPr>
          <w:b/>
          <w:noProof/>
        </w:rPr>
        <w:t>25</w:t>
      </w:r>
      <w:r w:rsidRPr="00BF5A5F">
        <w:rPr>
          <w:b/>
        </w:rPr>
        <w:fldChar w:fldCharType="end"/>
      </w:r>
      <w:bookmarkEnd w:id="117"/>
      <w:r>
        <w:t>: Key lessons learned in the Macquarie River Valley</w:t>
      </w:r>
    </w:p>
    <w:tbl>
      <w:tblPr>
        <w:tblStyle w:val="TableGrid"/>
        <w:tblW w:w="0" w:type="auto"/>
        <w:tblLook w:val="04A0" w:firstRow="1" w:lastRow="0" w:firstColumn="1" w:lastColumn="0" w:noHBand="0" w:noVBand="1"/>
      </w:tblPr>
      <w:tblGrid>
        <w:gridCol w:w="1682"/>
        <w:gridCol w:w="8117"/>
      </w:tblGrid>
      <w:tr w:rsidR="00AA0841" w:rsidRPr="00D1079D" w14:paraId="568BDFDA" w14:textId="77777777" w:rsidTr="00AA0841">
        <w:trPr>
          <w:cnfStyle w:val="100000000000" w:firstRow="1" w:lastRow="0" w:firstColumn="0" w:lastColumn="0" w:oddVBand="0" w:evenVBand="0" w:oddHBand="0" w:evenHBand="0" w:firstRowFirstColumn="0" w:firstRowLastColumn="0" w:lastRowFirstColumn="0" w:lastRowLastColumn="0"/>
          <w:tblHeader/>
        </w:trPr>
        <w:tc>
          <w:tcPr>
            <w:tcW w:w="1696" w:type="dxa"/>
            <w:shd w:val="clear" w:color="auto" w:fill="B6DDE8" w:themeFill="accent5" w:themeFillTint="66"/>
          </w:tcPr>
          <w:p w14:paraId="4796042F" w14:textId="77777777" w:rsidR="00AA0841" w:rsidRPr="00255265" w:rsidRDefault="00AA0841" w:rsidP="00AA0841">
            <w:pPr>
              <w:spacing w:after="60"/>
              <w:rPr>
                <w:b/>
              </w:rPr>
            </w:pPr>
            <w:r w:rsidRPr="00255265">
              <w:rPr>
                <w:b/>
              </w:rPr>
              <w:t>Theme</w:t>
            </w:r>
          </w:p>
        </w:tc>
        <w:tc>
          <w:tcPr>
            <w:tcW w:w="8358" w:type="dxa"/>
            <w:shd w:val="clear" w:color="auto" w:fill="B6DDE8" w:themeFill="accent5" w:themeFillTint="66"/>
          </w:tcPr>
          <w:p w14:paraId="612B55EA" w14:textId="77777777" w:rsidR="00AA0841" w:rsidRPr="00255265" w:rsidRDefault="00AA0841" w:rsidP="00AA0841">
            <w:pPr>
              <w:spacing w:after="60"/>
              <w:rPr>
                <w:b/>
              </w:rPr>
            </w:pPr>
            <w:r w:rsidRPr="00255265">
              <w:rPr>
                <w:b/>
              </w:rPr>
              <w:t>Lesson learned</w:t>
            </w:r>
          </w:p>
        </w:tc>
      </w:tr>
      <w:tr w:rsidR="00AA0841" w:rsidRPr="00D1079D" w14:paraId="30DAA962" w14:textId="77777777" w:rsidTr="00AA0841">
        <w:trPr>
          <w:cnfStyle w:val="000000100000" w:firstRow="0" w:lastRow="0" w:firstColumn="0" w:lastColumn="0" w:oddVBand="0" w:evenVBand="0" w:oddHBand="1" w:evenHBand="0" w:firstRowFirstColumn="0" w:firstRowLastColumn="0" w:lastRowFirstColumn="0" w:lastRowLastColumn="0"/>
        </w:trPr>
        <w:tc>
          <w:tcPr>
            <w:tcW w:w="1696" w:type="dxa"/>
            <w:shd w:val="clear" w:color="auto" w:fill="B6DDE8" w:themeFill="accent5" w:themeFillTint="66"/>
          </w:tcPr>
          <w:p w14:paraId="4F1792F9" w14:textId="77777777" w:rsidR="00AA0841" w:rsidRPr="00D1079D" w:rsidRDefault="00AA0841" w:rsidP="00AA0841">
            <w:r w:rsidRPr="00D1079D">
              <w:t>Native fish</w:t>
            </w:r>
          </w:p>
        </w:tc>
        <w:tc>
          <w:tcPr>
            <w:tcW w:w="8358" w:type="dxa"/>
          </w:tcPr>
          <w:p w14:paraId="566E400F" w14:textId="77777777" w:rsidR="00AA0841" w:rsidRPr="00E40EA7" w:rsidRDefault="00AA0841" w:rsidP="00AA0841">
            <w:pPr>
              <w:pStyle w:val="DotStyle1"/>
              <w:spacing w:after="60"/>
              <w:ind w:left="357" w:hanging="357"/>
              <w:rPr>
                <w:szCs w:val="22"/>
              </w:rPr>
            </w:pPr>
            <w:r w:rsidRPr="00E40EA7">
              <w:rPr>
                <w:szCs w:val="22"/>
              </w:rPr>
              <w:t>Spring/early summer delivery has been associated with peaks in breeding of some small-bodied opportunistic fish species (e.g. Australian smelt, un-specked hardyhead, Murray-Darling rainbowfish), particularly on the receding tail of flows, or during sustained periods of increased flow.</w:t>
            </w:r>
          </w:p>
          <w:p w14:paraId="5E9C64FA" w14:textId="77777777" w:rsidR="00AA0841" w:rsidRPr="00E40EA7" w:rsidRDefault="00AA0841" w:rsidP="00AA0841">
            <w:pPr>
              <w:pStyle w:val="DotStyle1"/>
              <w:spacing w:after="60"/>
              <w:ind w:left="357" w:hanging="357"/>
              <w:rPr>
                <w:szCs w:val="22"/>
              </w:rPr>
            </w:pPr>
            <w:r w:rsidRPr="00E40EA7">
              <w:rPr>
                <w:szCs w:val="22"/>
              </w:rPr>
              <w:t>Spring/early summer delivery is also likely to support recruitment of native species such as Murray cod and freshwater catfish, by increasing flows and boosting in-stream productivity in the river.</w:t>
            </w:r>
          </w:p>
        </w:tc>
      </w:tr>
      <w:tr w:rsidR="00AA0841" w:rsidRPr="00D1079D" w14:paraId="4DBAF891" w14:textId="77777777" w:rsidTr="00AA0841">
        <w:trPr>
          <w:cnfStyle w:val="000000010000" w:firstRow="0" w:lastRow="0" w:firstColumn="0" w:lastColumn="0" w:oddVBand="0" w:evenVBand="0" w:oddHBand="0" w:evenHBand="1" w:firstRowFirstColumn="0" w:firstRowLastColumn="0" w:lastRowFirstColumn="0" w:lastRowLastColumn="0"/>
        </w:trPr>
        <w:tc>
          <w:tcPr>
            <w:tcW w:w="1696" w:type="dxa"/>
            <w:shd w:val="clear" w:color="auto" w:fill="B6DDE8" w:themeFill="accent5" w:themeFillTint="66"/>
          </w:tcPr>
          <w:p w14:paraId="4FA0D0EB" w14:textId="77777777" w:rsidR="00AA0841" w:rsidRPr="00D1079D" w:rsidRDefault="00AA0841" w:rsidP="00AA0841">
            <w:r w:rsidRPr="00D1079D">
              <w:t>Frogs</w:t>
            </w:r>
          </w:p>
        </w:tc>
        <w:tc>
          <w:tcPr>
            <w:tcW w:w="8358" w:type="dxa"/>
          </w:tcPr>
          <w:p w14:paraId="677BA9AD" w14:textId="77777777" w:rsidR="00AA0841" w:rsidRPr="00E40EA7" w:rsidRDefault="00AA0841" w:rsidP="00AA0841">
            <w:pPr>
              <w:pStyle w:val="DotStyle1"/>
              <w:spacing w:after="60"/>
              <w:ind w:left="357" w:hanging="357"/>
              <w:rPr>
                <w:szCs w:val="22"/>
              </w:rPr>
            </w:pPr>
            <w:r w:rsidRPr="00E40EA7">
              <w:rPr>
                <w:szCs w:val="22"/>
              </w:rPr>
              <w:t xml:space="preserve">Local weather and inundation extent influence the activity of some species. Increased inundation increases the number of sites with conditions suitable for breeding, and the calling of flow-responsive species. </w:t>
            </w:r>
          </w:p>
          <w:p w14:paraId="0E2937AE" w14:textId="77777777" w:rsidR="00AA0841" w:rsidRPr="00E40EA7" w:rsidRDefault="00AA0841" w:rsidP="00AA0841">
            <w:pPr>
              <w:pStyle w:val="DotStyle1"/>
              <w:spacing w:after="60"/>
              <w:ind w:left="357" w:hanging="357"/>
              <w:rPr>
                <w:szCs w:val="22"/>
              </w:rPr>
            </w:pPr>
            <w:r w:rsidRPr="00E40EA7">
              <w:rPr>
                <w:szCs w:val="22"/>
              </w:rPr>
              <w:t>Flooding events are very important for increasing overall abundance of flow-responsive species, by supporting breeding and enabling frogs to move between wetlands.</w:t>
            </w:r>
          </w:p>
          <w:p w14:paraId="5E49BBEA" w14:textId="77777777" w:rsidR="00AA0841" w:rsidRPr="00E40EA7" w:rsidRDefault="00AA0841" w:rsidP="00AA0841">
            <w:pPr>
              <w:pStyle w:val="DotStyle1"/>
              <w:spacing w:after="60"/>
              <w:ind w:left="357" w:hanging="357"/>
              <w:rPr>
                <w:szCs w:val="22"/>
              </w:rPr>
            </w:pPr>
            <w:r w:rsidRPr="00E40EA7">
              <w:rPr>
                <w:szCs w:val="22"/>
              </w:rPr>
              <w:t>Longer duration of inundation is important for frogs to complete metamorphosis. Maintaining water levels in the Marshes into late November increases frog recruitment.</w:t>
            </w:r>
          </w:p>
        </w:tc>
      </w:tr>
      <w:tr w:rsidR="00AA0841" w:rsidRPr="00D1079D" w14:paraId="2998268B" w14:textId="77777777" w:rsidTr="00AA0841">
        <w:trPr>
          <w:cnfStyle w:val="000000100000" w:firstRow="0" w:lastRow="0" w:firstColumn="0" w:lastColumn="0" w:oddVBand="0" w:evenVBand="0" w:oddHBand="1" w:evenHBand="0" w:firstRowFirstColumn="0" w:firstRowLastColumn="0" w:lastRowFirstColumn="0" w:lastRowLastColumn="0"/>
        </w:trPr>
        <w:tc>
          <w:tcPr>
            <w:tcW w:w="1696" w:type="dxa"/>
            <w:shd w:val="clear" w:color="auto" w:fill="B6DDE8" w:themeFill="accent5" w:themeFillTint="66"/>
          </w:tcPr>
          <w:p w14:paraId="18DEB67C" w14:textId="77777777" w:rsidR="00AA0841" w:rsidRPr="00D1079D" w:rsidRDefault="00AA0841" w:rsidP="00AA0841">
            <w:r w:rsidRPr="00D1079D">
              <w:t>Waterbirds</w:t>
            </w:r>
          </w:p>
        </w:tc>
        <w:tc>
          <w:tcPr>
            <w:tcW w:w="8358" w:type="dxa"/>
          </w:tcPr>
          <w:p w14:paraId="330B646D" w14:textId="77777777" w:rsidR="00AA0841" w:rsidRPr="00E40EA7" w:rsidRDefault="00AA0841" w:rsidP="00AA0841">
            <w:pPr>
              <w:pStyle w:val="DotStyle1"/>
              <w:spacing w:after="60"/>
              <w:ind w:left="357" w:hanging="357"/>
              <w:rPr>
                <w:szCs w:val="22"/>
              </w:rPr>
            </w:pPr>
            <w:r w:rsidRPr="00E40EA7">
              <w:rPr>
                <w:szCs w:val="22"/>
              </w:rPr>
              <w:t>Delivery in winter/spring (into summer if possible) provides suitable wetland habitat for nationally threatened and internationally recognised migratory species and coincides with warmer temperatures and peak activity for waterbirds and their food supplies.</w:t>
            </w:r>
          </w:p>
          <w:p w14:paraId="571877F9" w14:textId="77777777" w:rsidR="00AA0841" w:rsidRPr="00E40EA7" w:rsidRDefault="00AA0841" w:rsidP="00AA0841">
            <w:pPr>
              <w:pStyle w:val="DotStyle1"/>
              <w:spacing w:after="60"/>
              <w:ind w:left="357" w:hanging="357"/>
              <w:rPr>
                <w:szCs w:val="22"/>
              </w:rPr>
            </w:pPr>
            <w:r w:rsidRPr="00E40EA7">
              <w:rPr>
                <w:szCs w:val="22"/>
              </w:rPr>
              <w:t>A slow steady contraction of inundated area is preferable, particularly for wading species.</w:t>
            </w:r>
          </w:p>
          <w:p w14:paraId="60BF6525" w14:textId="77777777" w:rsidR="00AA0841" w:rsidRPr="00E40EA7" w:rsidRDefault="00AA0841" w:rsidP="00AA0841">
            <w:pPr>
              <w:pStyle w:val="DotStyle1"/>
              <w:spacing w:after="60"/>
              <w:ind w:left="357" w:hanging="357"/>
              <w:rPr>
                <w:szCs w:val="22"/>
              </w:rPr>
            </w:pPr>
            <w:r w:rsidRPr="00E40EA7">
              <w:rPr>
                <w:szCs w:val="22"/>
              </w:rPr>
              <w:t>Delivery to parts of the Marshes during dry conditions helps support a diverse range of waterbirds and provides important feeding and refuge habitat.</w:t>
            </w:r>
          </w:p>
        </w:tc>
      </w:tr>
      <w:tr w:rsidR="00AA0841" w:rsidRPr="00D1079D" w14:paraId="0095E703" w14:textId="77777777" w:rsidTr="00AA0841">
        <w:trPr>
          <w:cnfStyle w:val="000000010000" w:firstRow="0" w:lastRow="0" w:firstColumn="0" w:lastColumn="0" w:oddVBand="0" w:evenVBand="0" w:oddHBand="0" w:evenHBand="1" w:firstRowFirstColumn="0" w:firstRowLastColumn="0" w:lastRowFirstColumn="0" w:lastRowLastColumn="0"/>
        </w:trPr>
        <w:tc>
          <w:tcPr>
            <w:tcW w:w="1696" w:type="dxa"/>
            <w:shd w:val="clear" w:color="auto" w:fill="B6DDE8" w:themeFill="accent5" w:themeFillTint="66"/>
          </w:tcPr>
          <w:p w14:paraId="4D0B5DC4" w14:textId="77777777" w:rsidR="00AA0841" w:rsidRPr="00D1079D" w:rsidRDefault="00AA0841" w:rsidP="00AA0841">
            <w:r w:rsidRPr="00D1079D">
              <w:t>Connectivity</w:t>
            </w:r>
          </w:p>
        </w:tc>
        <w:tc>
          <w:tcPr>
            <w:tcW w:w="8358" w:type="dxa"/>
          </w:tcPr>
          <w:p w14:paraId="4818F5AE" w14:textId="77777777" w:rsidR="00AA0841" w:rsidRPr="00E40EA7" w:rsidRDefault="00AA0841" w:rsidP="00AA0841">
            <w:pPr>
              <w:pStyle w:val="DotStyle1"/>
              <w:spacing w:after="60"/>
              <w:ind w:left="357" w:hanging="357"/>
              <w:rPr>
                <w:szCs w:val="22"/>
              </w:rPr>
            </w:pPr>
            <w:r w:rsidRPr="00E40EA7">
              <w:rPr>
                <w:szCs w:val="22"/>
              </w:rPr>
              <w:t>Connectivity between Macquarie and Barwon rivers can be achieved using water for the environment and is important for allowing the movement of native fish between rivers for spawning, dispersal and recruitment.</w:t>
            </w:r>
          </w:p>
        </w:tc>
      </w:tr>
    </w:tbl>
    <w:p w14:paraId="11CC068E" w14:textId="77777777" w:rsidR="00AA0841" w:rsidRPr="00764C2A" w:rsidRDefault="00AA0841" w:rsidP="0057535E">
      <w:pPr>
        <w:pStyle w:val="Heading3"/>
      </w:pPr>
      <w:r w:rsidRPr="00D1079D">
        <w:lastRenderedPageBreak/>
        <w:t>Bibliography</w:t>
      </w:r>
    </w:p>
    <w:p w14:paraId="5B242C5C" w14:textId="77777777" w:rsidR="00AA0841" w:rsidRPr="00292C5A" w:rsidRDefault="00AA0841" w:rsidP="00AA0841">
      <w:pPr>
        <w:spacing w:after="240"/>
        <w:rPr>
          <w:rFonts w:cstheme="minorHAnsi"/>
          <w:szCs w:val="22"/>
        </w:rPr>
      </w:pPr>
      <w:r w:rsidRPr="00292C5A">
        <w:rPr>
          <w:rFonts w:cstheme="minorHAnsi"/>
          <w:szCs w:val="22"/>
        </w:rPr>
        <w:t xml:space="preserve">Barma Water Resources in association with IRPEC Pty Ltd and Paul Wettin (2011). </w:t>
      </w:r>
      <w:r w:rsidRPr="00292C5A">
        <w:rPr>
          <w:rFonts w:cstheme="minorHAnsi"/>
          <w:i/>
          <w:szCs w:val="22"/>
        </w:rPr>
        <w:t>Environmental Water Delivery: Macquarie River</w:t>
      </w:r>
      <w:r w:rsidRPr="00292C5A">
        <w:rPr>
          <w:rFonts w:cstheme="minorHAnsi"/>
          <w:szCs w:val="22"/>
        </w:rPr>
        <w:t>. Prepared for the Commonwealth Environmental Water Office, Canberra. Unpublished.</w:t>
      </w:r>
    </w:p>
    <w:p w14:paraId="15C6A24C" w14:textId="77777777" w:rsidR="00AA0841" w:rsidRPr="007A5EFE" w:rsidRDefault="00AA0841" w:rsidP="00AA0841">
      <w:pPr>
        <w:spacing w:after="240"/>
        <w:rPr>
          <w:rFonts w:cstheme="minorHAnsi"/>
          <w:szCs w:val="22"/>
        </w:rPr>
      </w:pPr>
      <w:r w:rsidRPr="007A5EFE">
        <w:rPr>
          <w:rFonts w:cstheme="minorHAnsi"/>
          <w:szCs w:val="22"/>
        </w:rPr>
        <w:t xml:space="preserve">Bowen, S. and Fontaine, K. (2014). </w:t>
      </w:r>
      <w:r w:rsidRPr="007A5EFE">
        <w:rPr>
          <w:rFonts w:cstheme="minorHAnsi"/>
          <w:i/>
          <w:szCs w:val="22"/>
        </w:rPr>
        <w:t>Vegetation Communities of the Macquarie Marshes</w:t>
      </w:r>
      <w:r w:rsidRPr="007A5EFE">
        <w:rPr>
          <w:rFonts w:cstheme="minorHAnsi"/>
          <w:szCs w:val="22"/>
        </w:rPr>
        <w:t>. NSW Office of Environment and Heritage, Sydney.</w:t>
      </w:r>
    </w:p>
    <w:p w14:paraId="004D09BE" w14:textId="77777777" w:rsidR="00AA0841" w:rsidRPr="00BD5760" w:rsidRDefault="00AA0841" w:rsidP="00AA0841">
      <w:pPr>
        <w:spacing w:after="200"/>
        <w:rPr>
          <w:rFonts w:cstheme="minorHAnsi"/>
          <w:szCs w:val="22"/>
          <w:lang w:val="en"/>
        </w:rPr>
      </w:pPr>
      <w:r w:rsidRPr="00BD5760">
        <w:rPr>
          <w:rFonts w:cstheme="minorHAnsi"/>
          <w:szCs w:val="22"/>
          <w:lang w:val="en"/>
        </w:rPr>
        <w:t xml:space="preserve">Brandis, K. (2017). </w:t>
      </w:r>
      <w:r w:rsidRPr="00BD5760">
        <w:rPr>
          <w:rFonts w:cstheme="minorHAnsi"/>
          <w:i/>
          <w:szCs w:val="22"/>
          <w:lang w:val="en"/>
        </w:rPr>
        <w:t>High resolution monitoring of waterbird colonies in the Macquarie Marshes</w:t>
      </w:r>
      <w:r w:rsidRPr="00BD5760">
        <w:rPr>
          <w:rFonts w:cstheme="minorHAnsi"/>
          <w:szCs w:val="22"/>
          <w:lang w:val="en"/>
        </w:rPr>
        <w:t>. Draft final report, May 2017. Centre for Ecosystem Science, University of NSW.</w:t>
      </w:r>
    </w:p>
    <w:p w14:paraId="267B601E" w14:textId="77777777" w:rsidR="00AA0841" w:rsidRDefault="00AA0841" w:rsidP="00AA0841">
      <w:pPr>
        <w:spacing w:after="240"/>
        <w:rPr>
          <w:rFonts w:cstheme="minorHAnsi"/>
          <w:szCs w:val="22"/>
        </w:rPr>
      </w:pPr>
      <w:r>
        <w:rPr>
          <w:rFonts w:cstheme="minorHAnsi"/>
          <w:szCs w:val="22"/>
        </w:rPr>
        <w:t xml:space="preserve">Bureau of Meteorology (2020). </w:t>
      </w:r>
      <w:r w:rsidRPr="00292C5A">
        <w:rPr>
          <w:i/>
          <w:iCs/>
          <w:szCs w:val="22"/>
          <w:lang w:val="en"/>
        </w:rPr>
        <w:t>Rainfall—</w:t>
      </w:r>
      <w:r w:rsidRPr="00292C5A">
        <w:rPr>
          <w:rStyle w:val="app-title-description"/>
          <w:i/>
          <w:iCs/>
          <w:szCs w:val="22"/>
          <w:lang w:val="en"/>
        </w:rPr>
        <w:t>The chance of above median</w:t>
      </w:r>
      <w:r w:rsidRPr="00292C5A">
        <w:rPr>
          <w:i/>
          <w:iCs/>
          <w:szCs w:val="22"/>
          <w:lang w:val="en"/>
        </w:rPr>
        <w:t xml:space="preserve"> for </w:t>
      </w:r>
      <w:r>
        <w:rPr>
          <w:i/>
          <w:iCs/>
          <w:szCs w:val="22"/>
          <w:lang w:val="en"/>
        </w:rPr>
        <w:t xml:space="preserve">July </w:t>
      </w:r>
      <w:r w:rsidRPr="00292C5A">
        <w:rPr>
          <w:i/>
          <w:iCs/>
          <w:szCs w:val="22"/>
          <w:lang w:val="en"/>
        </w:rPr>
        <w:t xml:space="preserve">to </w:t>
      </w:r>
      <w:r>
        <w:rPr>
          <w:i/>
          <w:iCs/>
          <w:szCs w:val="22"/>
          <w:lang w:val="en"/>
        </w:rPr>
        <w:t xml:space="preserve">September 2020. </w:t>
      </w:r>
      <w:hyperlink r:id="rId174" w:anchor="/rainfall/median/seasonal/0" w:history="1">
        <w:r w:rsidRPr="0083580E">
          <w:rPr>
            <w:rStyle w:val="Hyperlink"/>
            <w:rFonts w:cstheme="minorHAnsi"/>
          </w:rPr>
          <w:t>http://www.bom.gov.au/climate/outlooks/#/rainfall/median/seasonal/0</w:t>
        </w:r>
      </w:hyperlink>
      <w:r>
        <w:rPr>
          <w:rFonts w:cstheme="minorHAnsi"/>
          <w:szCs w:val="22"/>
        </w:rPr>
        <w:t xml:space="preserve"> </w:t>
      </w:r>
    </w:p>
    <w:p w14:paraId="66232B2D" w14:textId="77777777" w:rsidR="00AA0841" w:rsidRDefault="00AA0841" w:rsidP="00AA0841">
      <w:pPr>
        <w:spacing w:after="240"/>
        <w:rPr>
          <w:rFonts w:cstheme="minorHAnsi"/>
          <w:szCs w:val="22"/>
        </w:rPr>
      </w:pPr>
      <w:r>
        <w:rPr>
          <w:rFonts w:cstheme="minorHAnsi"/>
          <w:szCs w:val="22"/>
        </w:rPr>
        <w:t xml:space="preserve">Bureau of Meteorology (2020). </w:t>
      </w:r>
      <w:r w:rsidRPr="00292C5A">
        <w:rPr>
          <w:i/>
          <w:iCs/>
          <w:szCs w:val="22"/>
          <w:lang w:val="en"/>
        </w:rPr>
        <w:t>Rainfall—</w:t>
      </w:r>
      <w:r w:rsidRPr="00292C5A">
        <w:rPr>
          <w:rStyle w:val="app-title-description"/>
          <w:i/>
          <w:iCs/>
          <w:szCs w:val="22"/>
          <w:lang w:val="en"/>
        </w:rPr>
        <w:t>The chance of above median</w:t>
      </w:r>
      <w:r w:rsidRPr="00292C5A">
        <w:rPr>
          <w:i/>
          <w:iCs/>
          <w:szCs w:val="22"/>
          <w:lang w:val="en"/>
        </w:rPr>
        <w:t xml:space="preserve"> for </w:t>
      </w:r>
      <w:r>
        <w:rPr>
          <w:i/>
          <w:iCs/>
          <w:szCs w:val="22"/>
          <w:lang w:val="en"/>
        </w:rPr>
        <w:t>August</w:t>
      </w:r>
      <w:r w:rsidRPr="00292C5A">
        <w:rPr>
          <w:i/>
          <w:iCs/>
          <w:szCs w:val="22"/>
          <w:lang w:val="en"/>
        </w:rPr>
        <w:t xml:space="preserve"> to </w:t>
      </w:r>
      <w:r>
        <w:rPr>
          <w:i/>
          <w:iCs/>
          <w:szCs w:val="22"/>
          <w:lang w:val="en"/>
        </w:rPr>
        <w:t xml:space="preserve">October 2020. </w:t>
      </w:r>
      <w:hyperlink r:id="rId175" w:anchor="/rainfall/median/seasonal/1" w:history="1">
        <w:r w:rsidRPr="0083580E">
          <w:rPr>
            <w:rStyle w:val="Hyperlink"/>
            <w:rFonts w:cstheme="minorHAnsi"/>
          </w:rPr>
          <w:t>http://www.bom.gov.au/climate/outlooks/#/rainfall/median/seasonal/1</w:t>
        </w:r>
      </w:hyperlink>
      <w:r>
        <w:rPr>
          <w:rFonts w:cstheme="minorHAnsi"/>
          <w:szCs w:val="22"/>
        </w:rPr>
        <w:t xml:space="preserve"> </w:t>
      </w:r>
    </w:p>
    <w:p w14:paraId="6E3C4220" w14:textId="77777777" w:rsidR="00AA0841" w:rsidRDefault="00AA0841" w:rsidP="00AA0841">
      <w:pPr>
        <w:spacing w:after="240"/>
        <w:rPr>
          <w:rFonts w:cstheme="minorHAnsi"/>
          <w:szCs w:val="22"/>
        </w:rPr>
      </w:pPr>
      <w:r>
        <w:rPr>
          <w:rFonts w:cstheme="minorHAnsi"/>
          <w:szCs w:val="22"/>
        </w:rPr>
        <w:t xml:space="preserve">Bureau of Meteorology (2020). </w:t>
      </w:r>
      <w:r w:rsidRPr="00292C5A">
        <w:rPr>
          <w:i/>
          <w:iCs/>
          <w:szCs w:val="22"/>
          <w:lang w:val="en"/>
        </w:rPr>
        <w:t>Temperature—</w:t>
      </w:r>
      <w:r w:rsidRPr="00292C5A">
        <w:rPr>
          <w:rStyle w:val="app-title-description"/>
          <w:i/>
          <w:iCs/>
          <w:szCs w:val="22"/>
          <w:lang w:val="en"/>
        </w:rPr>
        <w:t>The chance of above median maximum temperature</w:t>
      </w:r>
      <w:r w:rsidRPr="00292C5A">
        <w:rPr>
          <w:i/>
          <w:iCs/>
          <w:szCs w:val="22"/>
          <w:lang w:val="en"/>
        </w:rPr>
        <w:t xml:space="preserve"> for </w:t>
      </w:r>
      <w:r>
        <w:rPr>
          <w:i/>
          <w:iCs/>
          <w:szCs w:val="22"/>
          <w:lang w:val="en"/>
        </w:rPr>
        <w:t>June</w:t>
      </w:r>
      <w:r w:rsidRPr="00292C5A">
        <w:rPr>
          <w:i/>
          <w:iCs/>
          <w:szCs w:val="22"/>
          <w:lang w:val="en"/>
        </w:rPr>
        <w:t xml:space="preserve"> to </w:t>
      </w:r>
      <w:r>
        <w:rPr>
          <w:i/>
          <w:iCs/>
          <w:szCs w:val="22"/>
          <w:lang w:val="en"/>
        </w:rPr>
        <w:t>August</w:t>
      </w:r>
      <w:r w:rsidRPr="00292C5A">
        <w:rPr>
          <w:i/>
          <w:iCs/>
          <w:szCs w:val="22"/>
          <w:lang w:val="en"/>
        </w:rPr>
        <w:t xml:space="preserve"> 2020</w:t>
      </w:r>
      <w:r>
        <w:rPr>
          <w:szCs w:val="22"/>
          <w:lang w:val="en"/>
        </w:rPr>
        <w:t xml:space="preserve">. </w:t>
      </w:r>
      <w:hyperlink r:id="rId176" w:anchor="/temperature/maximum/median/seasonal/0" w:history="1">
        <w:r w:rsidRPr="0083580E">
          <w:rPr>
            <w:rStyle w:val="Hyperlink"/>
            <w:rFonts w:cstheme="minorHAnsi"/>
          </w:rPr>
          <w:t>http://www.bom.gov.au/climate/outlooks/#/temperature/maximum/median/seasonal/0</w:t>
        </w:r>
      </w:hyperlink>
      <w:r>
        <w:rPr>
          <w:rFonts w:cstheme="minorHAnsi"/>
          <w:szCs w:val="22"/>
        </w:rPr>
        <w:t xml:space="preserve"> </w:t>
      </w:r>
    </w:p>
    <w:p w14:paraId="18C1AB3B" w14:textId="77777777" w:rsidR="00AA0841" w:rsidRDefault="00AA0841" w:rsidP="00AA0841">
      <w:pPr>
        <w:spacing w:after="240"/>
        <w:rPr>
          <w:rFonts w:cstheme="minorHAnsi"/>
          <w:szCs w:val="22"/>
        </w:rPr>
      </w:pPr>
      <w:r>
        <w:rPr>
          <w:rFonts w:cstheme="minorHAnsi"/>
          <w:szCs w:val="22"/>
        </w:rPr>
        <w:t xml:space="preserve">Bureau of Meteorology (2020). </w:t>
      </w:r>
      <w:r w:rsidRPr="00292C5A">
        <w:rPr>
          <w:i/>
          <w:iCs/>
          <w:szCs w:val="22"/>
          <w:lang w:val="en"/>
        </w:rPr>
        <w:t>Temperature—</w:t>
      </w:r>
      <w:r w:rsidRPr="00292C5A">
        <w:rPr>
          <w:rStyle w:val="app-title-description"/>
          <w:i/>
          <w:iCs/>
          <w:szCs w:val="22"/>
          <w:lang w:val="en"/>
        </w:rPr>
        <w:t>The chance of above median maximum temperature</w:t>
      </w:r>
      <w:r w:rsidRPr="00292C5A">
        <w:rPr>
          <w:i/>
          <w:iCs/>
          <w:szCs w:val="22"/>
          <w:lang w:val="en"/>
        </w:rPr>
        <w:t xml:space="preserve"> for </w:t>
      </w:r>
      <w:r>
        <w:rPr>
          <w:i/>
          <w:iCs/>
          <w:szCs w:val="22"/>
          <w:lang w:val="en"/>
        </w:rPr>
        <w:t>July</w:t>
      </w:r>
      <w:r w:rsidRPr="00292C5A">
        <w:rPr>
          <w:i/>
          <w:iCs/>
          <w:szCs w:val="22"/>
          <w:lang w:val="en"/>
        </w:rPr>
        <w:t xml:space="preserve"> to </w:t>
      </w:r>
      <w:r>
        <w:rPr>
          <w:i/>
          <w:iCs/>
          <w:szCs w:val="22"/>
          <w:lang w:val="en"/>
        </w:rPr>
        <w:t>September</w:t>
      </w:r>
      <w:r w:rsidRPr="00292C5A">
        <w:rPr>
          <w:i/>
          <w:iCs/>
          <w:szCs w:val="22"/>
          <w:lang w:val="en"/>
        </w:rPr>
        <w:t xml:space="preserve"> 2020</w:t>
      </w:r>
      <w:r>
        <w:rPr>
          <w:szCs w:val="22"/>
          <w:lang w:val="en"/>
        </w:rPr>
        <w:t xml:space="preserve">. </w:t>
      </w:r>
      <w:hyperlink r:id="rId177" w:anchor="/temperature/maximum/median/seasonal/1" w:history="1">
        <w:r w:rsidRPr="0083580E">
          <w:rPr>
            <w:rStyle w:val="Hyperlink"/>
            <w:lang w:val="en"/>
          </w:rPr>
          <w:t>http://www.bom.gov.au/climate/outlooks/#/temperature/maximum/median/seasonal/1</w:t>
        </w:r>
      </w:hyperlink>
      <w:r>
        <w:rPr>
          <w:szCs w:val="22"/>
          <w:lang w:val="en"/>
        </w:rPr>
        <w:t xml:space="preserve"> </w:t>
      </w:r>
    </w:p>
    <w:p w14:paraId="58D2B599" w14:textId="77777777" w:rsidR="00AA0841" w:rsidRDefault="00AA0841" w:rsidP="00AA0841">
      <w:pPr>
        <w:spacing w:after="240"/>
        <w:rPr>
          <w:rFonts w:cstheme="minorHAnsi"/>
          <w:szCs w:val="22"/>
        </w:rPr>
      </w:pPr>
      <w:r>
        <w:rPr>
          <w:rFonts w:cstheme="minorHAnsi"/>
          <w:szCs w:val="22"/>
        </w:rPr>
        <w:t xml:space="preserve">Bureau of Meteorology (2020). </w:t>
      </w:r>
      <w:r w:rsidRPr="00FF1014">
        <w:rPr>
          <w:rFonts w:cstheme="minorHAnsi"/>
          <w:i/>
          <w:iCs/>
          <w:szCs w:val="22"/>
        </w:rPr>
        <w:t>Thirty-six monthly rainfall deciles for New South Wales / ACT.</w:t>
      </w:r>
      <w:r>
        <w:rPr>
          <w:rFonts w:cstheme="minorHAnsi"/>
          <w:szCs w:val="22"/>
        </w:rPr>
        <w:t xml:space="preserve"> </w:t>
      </w:r>
      <w:hyperlink r:id="rId178" w:history="1">
        <w:r w:rsidRPr="0083580E">
          <w:rPr>
            <w:rStyle w:val="Hyperlink"/>
            <w:rFonts w:cstheme="minorHAnsi"/>
          </w:rPr>
          <w:t>http://www.bom.gov.au/jsp/awap/rain/index.jsp?colour=colour&amp;time=latest&amp;step=0&amp;map=decile&amp;period=36month&amp;area=ns</w:t>
        </w:r>
      </w:hyperlink>
      <w:r>
        <w:rPr>
          <w:rFonts w:cstheme="minorHAnsi"/>
          <w:szCs w:val="22"/>
        </w:rPr>
        <w:t xml:space="preserve"> </w:t>
      </w:r>
    </w:p>
    <w:p w14:paraId="268D8D25" w14:textId="77777777" w:rsidR="00AA0841" w:rsidRPr="00292C5A" w:rsidRDefault="00AA0841" w:rsidP="00AA0841">
      <w:pPr>
        <w:spacing w:after="240"/>
        <w:rPr>
          <w:rFonts w:cstheme="minorHAnsi"/>
          <w:szCs w:val="22"/>
        </w:rPr>
      </w:pPr>
      <w:r w:rsidRPr="00292C5A">
        <w:rPr>
          <w:rFonts w:cstheme="minorHAnsi"/>
          <w:szCs w:val="22"/>
        </w:rPr>
        <w:t xml:space="preserve">Commonwealth Environmental Water Office (2014). </w:t>
      </w:r>
      <w:r w:rsidRPr="00292C5A">
        <w:rPr>
          <w:rFonts w:cstheme="minorHAnsi"/>
          <w:i/>
          <w:szCs w:val="22"/>
        </w:rPr>
        <w:t>Commonwealth environmental water use options 2014–15: Macquarie River Valley</w:t>
      </w:r>
      <w:r w:rsidRPr="00292C5A">
        <w:rPr>
          <w:rFonts w:cstheme="minorHAnsi"/>
          <w:szCs w:val="22"/>
        </w:rPr>
        <w:t>. Commonwealth of Australia 2014.</w:t>
      </w:r>
    </w:p>
    <w:p w14:paraId="1F6C80C3" w14:textId="77777777" w:rsidR="00AA0841" w:rsidRPr="00F1750A" w:rsidRDefault="00AA0841" w:rsidP="00AA0841">
      <w:pPr>
        <w:spacing w:after="240"/>
        <w:rPr>
          <w:rFonts w:cstheme="minorHAnsi"/>
          <w:szCs w:val="22"/>
        </w:rPr>
      </w:pPr>
      <w:r w:rsidRPr="00F1750A">
        <w:rPr>
          <w:rFonts w:cstheme="minorHAnsi"/>
          <w:szCs w:val="22"/>
        </w:rPr>
        <w:t xml:space="preserve">Davis, S., Asmus, M.W. and Stocks, J.R. (2017). </w:t>
      </w:r>
      <w:r w:rsidRPr="00F1750A">
        <w:rPr>
          <w:rFonts w:cstheme="minorHAnsi"/>
          <w:i/>
          <w:szCs w:val="22"/>
        </w:rPr>
        <w:t>Making the connection: Designing, delivering and monitoring flows between catchments. A case study in the Macquarie and Barwon rivers April–June 2017</w:t>
      </w:r>
      <w:r w:rsidRPr="00F1750A">
        <w:rPr>
          <w:rFonts w:cstheme="minorHAnsi"/>
          <w:szCs w:val="22"/>
        </w:rPr>
        <w:t xml:space="preserve">. Report to the Commonwealth Environmental Water Office, December 2017. </w:t>
      </w:r>
      <w:hyperlink r:id="rId179" w:history="1">
        <w:r w:rsidRPr="00F1750A">
          <w:rPr>
            <w:rStyle w:val="Hyperlink"/>
            <w:rFonts w:cstheme="minorHAnsi"/>
          </w:rPr>
          <w:t>http://www.environment.gov.au/water/cewo/publications/making-the-connection</w:t>
        </w:r>
      </w:hyperlink>
      <w:r w:rsidRPr="00F1750A">
        <w:rPr>
          <w:rFonts w:cstheme="minorHAnsi"/>
          <w:szCs w:val="22"/>
        </w:rPr>
        <w:t xml:space="preserve"> </w:t>
      </w:r>
    </w:p>
    <w:p w14:paraId="209474C9" w14:textId="77777777" w:rsidR="00AA0841" w:rsidRPr="00292C5A" w:rsidRDefault="00AA0841" w:rsidP="00AA0841">
      <w:pPr>
        <w:pStyle w:val="BodyText1"/>
        <w:spacing w:before="0" w:after="240" w:line="240" w:lineRule="auto"/>
        <w:jc w:val="left"/>
        <w:rPr>
          <w:rFonts w:asciiTheme="minorHAnsi" w:hAnsiTheme="minorHAnsi" w:cstheme="minorHAnsi"/>
          <w:lang w:eastAsia="en-AU"/>
        </w:rPr>
      </w:pPr>
      <w:r w:rsidRPr="00292C5A">
        <w:rPr>
          <w:rFonts w:asciiTheme="minorHAnsi" w:hAnsiTheme="minorHAnsi" w:cstheme="minorHAnsi"/>
        </w:rPr>
        <w:t xml:space="preserve">Jenkins, K., Kingsford, R., Wolfenden, B., Shiquan, R., and Driver, P. (2012). </w:t>
      </w:r>
      <w:r w:rsidRPr="00292C5A">
        <w:rPr>
          <w:rFonts w:asciiTheme="minorHAnsi" w:hAnsiTheme="minorHAnsi" w:cstheme="minorHAnsi"/>
          <w:i/>
          <w:iCs/>
        </w:rPr>
        <w:t>Invertebrate monitoring and modelling in the Macquarie Marshes.</w:t>
      </w:r>
      <w:r w:rsidRPr="00292C5A">
        <w:rPr>
          <w:rFonts w:asciiTheme="minorHAnsi" w:hAnsiTheme="minorHAnsi" w:cstheme="minorHAnsi"/>
        </w:rPr>
        <w:t xml:space="preserve"> NSW Department of Primary Industries, Sydney.</w:t>
      </w:r>
    </w:p>
    <w:p w14:paraId="7A51027B" w14:textId="77777777" w:rsidR="00AA0841" w:rsidRPr="00F1750A" w:rsidRDefault="00AA0841" w:rsidP="00AA0841">
      <w:pPr>
        <w:spacing w:after="240"/>
        <w:rPr>
          <w:rFonts w:cstheme="minorHAnsi"/>
          <w:szCs w:val="22"/>
        </w:rPr>
      </w:pPr>
      <w:r w:rsidRPr="00F1750A">
        <w:rPr>
          <w:rFonts w:cstheme="minorHAnsi"/>
          <w:szCs w:val="22"/>
        </w:rPr>
        <w:t xml:space="preserve">McGinness, H., Martin, J., Robinson, F., Davies, M., Piper, M., Keyte, P., Suter, S., Spencer, J., Rees, J., Webster, E., Brandis, K., Kingsford, R., Doerr, V., Mac Nally, R. (2017). </w:t>
      </w:r>
      <w:r w:rsidRPr="00F1750A">
        <w:rPr>
          <w:rFonts w:cstheme="minorHAnsi"/>
          <w:i/>
          <w:szCs w:val="22"/>
        </w:rPr>
        <w:t>Waterbird movements and breeding success in the Macquarie Marshes, NSW 2016–17.</w:t>
      </w:r>
      <w:r w:rsidRPr="00F1750A">
        <w:rPr>
          <w:rFonts w:cstheme="minorHAnsi"/>
          <w:szCs w:val="22"/>
        </w:rPr>
        <w:t xml:space="preserve"> Progress Report May 2017, submitted to the Commonwealth Environmental Water Office (CEWO), Department of Environment and Energy. CSIRO, Canberra. </w:t>
      </w:r>
      <w:hyperlink r:id="rId180" w:history="1">
        <w:r w:rsidRPr="00F1750A">
          <w:rPr>
            <w:rStyle w:val="Hyperlink"/>
            <w:rFonts w:cstheme="minorHAnsi"/>
          </w:rPr>
          <w:t>http://www.environment.gov.au/water/cewo/publications/waterbird-movements-breeding-success-macquarie-marshes-final-report-2017</w:t>
        </w:r>
      </w:hyperlink>
      <w:r w:rsidRPr="00F1750A">
        <w:rPr>
          <w:rFonts w:cstheme="minorHAnsi"/>
          <w:szCs w:val="22"/>
        </w:rPr>
        <w:t xml:space="preserve"> </w:t>
      </w:r>
    </w:p>
    <w:p w14:paraId="10D9231F" w14:textId="77777777" w:rsidR="00AA0841" w:rsidRPr="00292C5A" w:rsidRDefault="00AA0841" w:rsidP="00AA0841">
      <w:pPr>
        <w:spacing w:after="240"/>
        <w:rPr>
          <w:rFonts w:cstheme="minorHAnsi"/>
          <w:szCs w:val="22"/>
        </w:rPr>
      </w:pPr>
      <w:r w:rsidRPr="00292C5A">
        <w:rPr>
          <w:rFonts w:cstheme="minorHAnsi"/>
          <w:szCs w:val="22"/>
        </w:rPr>
        <w:t xml:space="preserve">Murray–Darling Basin Authority (2012). </w:t>
      </w:r>
      <w:r w:rsidRPr="00292C5A">
        <w:rPr>
          <w:rFonts w:cstheme="minorHAnsi"/>
          <w:i/>
          <w:szCs w:val="22"/>
        </w:rPr>
        <w:t>Assessment of environmental water requirements for the proposed Basin Plan: Macquarie Marshes</w:t>
      </w:r>
      <w:r w:rsidRPr="00292C5A">
        <w:rPr>
          <w:rFonts w:cstheme="minorHAnsi"/>
          <w:szCs w:val="22"/>
        </w:rPr>
        <w:t xml:space="preserve">. </w:t>
      </w:r>
      <w:hyperlink r:id="rId181" w:history="1">
        <w:r w:rsidRPr="00292C5A">
          <w:rPr>
            <w:rStyle w:val="Hyperlink"/>
            <w:rFonts w:cstheme="minorHAnsi"/>
          </w:rPr>
          <w:t>http://www.mdba.gov.au/sites/default/files/archived/proposed/EWR-Macquarie-Marshes.pdf</w:t>
        </w:r>
      </w:hyperlink>
      <w:r w:rsidRPr="00292C5A">
        <w:rPr>
          <w:rFonts w:cstheme="minorHAnsi"/>
          <w:szCs w:val="22"/>
        </w:rPr>
        <w:t xml:space="preserve">  </w:t>
      </w:r>
    </w:p>
    <w:p w14:paraId="7525083E" w14:textId="77777777" w:rsidR="00AA0841" w:rsidRPr="00292C5A" w:rsidRDefault="00AA0841" w:rsidP="00AA0841">
      <w:pPr>
        <w:spacing w:after="240"/>
        <w:rPr>
          <w:rFonts w:cstheme="minorHAnsi"/>
          <w:szCs w:val="22"/>
        </w:rPr>
      </w:pPr>
      <w:r w:rsidRPr="00292C5A">
        <w:rPr>
          <w:rFonts w:cstheme="minorHAnsi"/>
          <w:szCs w:val="22"/>
        </w:rPr>
        <w:t xml:space="preserve">Murray–Darling Basin Authority (2014). </w:t>
      </w:r>
      <w:r w:rsidRPr="00292C5A">
        <w:rPr>
          <w:rFonts w:cstheme="minorHAnsi"/>
          <w:i/>
          <w:szCs w:val="22"/>
        </w:rPr>
        <w:t>Basin-wide environmental watering strategy.</w:t>
      </w:r>
      <w:r w:rsidRPr="00292C5A">
        <w:rPr>
          <w:rFonts w:cstheme="minorHAnsi"/>
          <w:szCs w:val="22"/>
        </w:rPr>
        <w:t xml:space="preserve"> </w:t>
      </w:r>
      <w:hyperlink r:id="rId182" w:history="1">
        <w:r w:rsidRPr="00292C5A">
          <w:rPr>
            <w:rStyle w:val="Hyperlink"/>
            <w:rFonts w:cstheme="minorHAnsi"/>
          </w:rPr>
          <w:t>http://www.mdba.gov.au/sites/default/files/pubs/Final-BWS-Nov14.pdf</w:t>
        </w:r>
      </w:hyperlink>
      <w:r w:rsidRPr="00292C5A">
        <w:rPr>
          <w:rFonts w:cstheme="minorHAnsi"/>
          <w:szCs w:val="22"/>
        </w:rPr>
        <w:t xml:space="preserve"> </w:t>
      </w:r>
    </w:p>
    <w:p w14:paraId="28BA2444" w14:textId="77777777" w:rsidR="00AA0841" w:rsidRDefault="00AA0841" w:rsidP="00AA0841">
      <w:pPr>
        <w:spacing w:after="240"/>
        <w:rPr>
          <w:rStyle w:val="Hyperlink"/>
          <w:rFonts w:cstheme="minorHAnsi"/>
        </w:rPr>
      </w:pPr>
      <w:r w:rsidRPr="00292C5A">
        <w:rPr>
          <w:rFonts w:cstheme="minorHAnsi"/>
          <w:szCs w:val="22"/>
        </w:rPr>
        <w:t xml:space="preserve">Murray–Darling Basin Authority (2019). </w:t>
      </w:r>
      <w:r w:rsidRPr="00292C5A">
        <w:rPr>
          <w:rFonts w:cstheme="minorHAnsi"/>
          <w:i/>
          <w:szCs w:val="22"/>
        </w:rPr>
        <w:t>People, industry and water use</w:t>
      </w:r>
      <w:r w:rsidRPr="00292C5A">
        <w:rPr>
          <w:rFonts w:cstheme="minorHAnsi"/>
          <w:szCs w:val="22"/>
        </w:rPr>
        <w:t>.</w:t>
      </w:r>
      <w:r w:rsidRPr="00292C5A">
        <w:rPr>
          <w:rFonts w:cstheme="minorHAnsi"/>
          <w:color w:val="5F497A" w:themeColor="accent4" w:themeShade="BF"/>
          <w:szCs w:val="22"/>
        </w:rPr>
        <w:t xml:space="preserve"> </w:t>
      </w:r>
      <w:hyperlink r:id="rId183" w:history="1">
        <w:r w:rsidRPr="00292C5A">
          <w:rPr>
            <w:rStyle w:val="Hyperlink"/>
            <w:rFonts w:cstheme="minorHAnsi"/>
          </w:rPr>
          <w:t>https://www.mdba.gov.au/discover-basin/catchments/macquarie-castlereagh</w:t>
        </w:r>
      </w:hyperlink>
    </w:p>
    <w:p w14:paraId="080E145B" w14:textId="77777777" w:rsidR="00AA0841" w:rsidRPr="00FF35AD" w:rsidRDefault="00AA0841" w:rsidP="00AA0841">
      <w:pPr>
        <w:pStyle w:val="imprintheading"/>
        <w:rPr>
          <w:rFonts w:asciiTheme="minorHAnsi" w:hAnsiTheme="minorHAnsi" w:cstheme="minorHAnsi"/>
          <w:b w:val="0"/>
          <w:sz w:val="22"/>
          <w:szCs w:val="22"/>
        </w:rPr>
      </w:pPr>
      <w:r>
        <w:rPr>
          <w:rFonts w:asciiTheme="minorHAnsi" w:hAnsiTheme="minorHAnsi" w:cstheme="minorHAnsi"/>
          <w:b w:val="0"/>
          <w:sz w:val="22"/>
          <w:szCs w:val="22"/>
        </w:rPr>
        <w:lastRenderedPageBreak/>
        <w:t>Murray Lower Darling Rivers Indigenous Nations (MLDRIN) (2020).</w:t>
      </w:r>
      <w:r w:rsidRPr="00DE4C34">
        <w:t xml:space="preserve"> </w:t>
      </w:r>
      <w:r w:rsidRPr="00DE4C34">
        <w:rPr>
          <w:rFonts w:asciiTheme="minorHAnsi" w:hAnsiTheme="minorHAnsi" w:cstheme="minorHAnsi"/>
          <w:b w:val="0"/>
          <w:i/>
          <w:iCs/>
          <w:sz w:val="22"/>
          <w:szCs w:val="22"/>
        </w:rPr>
        <w:t xml:space="preserve">First Nations Environmental Water Guidance Project. MLDRIN Member Nations 2020‐21 Priorities. </w:t>
      </w:r>
      <w:r w:rsidRPr="00F8531D">
        <w:rPr>
          <w:rFonts w:asciiTheme="minorHAnsi" w:hAnsiTheme="minorHAnsi" w:cstheme="minorHAnsi"/>
          <w:b w:val="0"/>
          <w:sz w:val="22"/>
          <w:szCs w:val="22"/>
        </w:rPr>
        <w:t>Report provided to Commonwealth Environmental Water Office</w:t>
      </w:r>
      <w:r>
        <w:rPr>
          <w:rFonts w:asciiTheme="minorHAnsi" w:hAnsiTheme="minorHAnsi" w:cstheme="minorHAnsi"/>
          <w:b w:val="0"/>
          <w:sz w:val="22"/>
          <w:szCs w:val="22"/>
        </w:rPr>
        <w:t>.</w:t>
      </w:r>
    </w:p>
    <w:p w14:paraId="1F2F9DC2" w14:textId="77777777" w:rsidR="00AA0841" w:rsidRPr="00AE33EA" w:rsidRDefault="00AA0841" w:rsidP="00AA0841">
      <w:r>
        <w:t xml:space="preserve">Northern Basin Aboriginal Nations (NBAN) Ltd. (2020) </w:t>
      </w:r>
      <w:r w:rsidRPr="00D647D9">
        <w:rPr>
          <w:i/>
          <w:iCs/>
        </w:rPr>
        <w:t>First Nations Environmental Water Guidance Report</w:t>
      </w:r>
      <w:r>
        <w:t>. Provided to the Commonwealth Environmental Water Office.</w:t>
      </w:r>
    </w:p>
    <w:p w14:paraId="00C3E5E2" w14:textId="77777777" w:rsidR="00AA0841" w:rsidRPr="00F1750A" w:rsidRDefault="00AA0841" w:rsidP="00AA0841">
      <w:pPr>
        <w:spacing w:after="240"/>
        <w:rPr>
          <w:rFonts w:cstheme="minorHAnsi"/>
          <w:szCs w:val="22"/>
        </w:rPr>
      </w:pPr>
      <w:r w:rsidRPr="00F1750A">
        <w:rPr>
          <w:rFonts w:cstheme="minorHAnsi"/>
          <w:szCs w:val="22"/>
        </w:rPr>
        <w:t xml:space="preserve">NSW Department of Environment, Climate Change and Water (2010). </w:t>
      </w:r>
      <w:r w:rsidRPr="00F1750A">
        <w:rPr>
          <w:rFonts w:cstheme="minorHAnsi"/>
          <w:i/>
          <w:szCs w:val="22"/>
        </w:rPr>
        <w:t>Macquarie Marshes Adaptive Environmental Management Plan</w:t>
      </w:r>
      <w:r w:rsidRPr="00F1750A">
        <w:rPr>
          <w:rFonts w:cstheme="minorHAnsi"/>
          <w:szCs w:val="22"/>
        </w:rPr>
        <w:t xml:space="preserve">. Synthesis of information projects and actions. DECCW, June 2010. </w:t>
      </w:r>
    </w:p>
    <w:p w14:paraId="7656D0BC" w14:textId="77777777" w:rsidR="00AA0841" w:rsidRDefault="00AA0841" w:rsidP="00AA0841">
      <w:pPr>
        <w:pStyle w:val="Default"/>
        <w:spacing w:after="240"/>
        <w:rPr>
          <w:rFonts w:asciiTheme="minorHAnsi" w:hAnsiTheme="minorHAnsi" w:cstheme="minorHAnsi"/>
          <w:sz w:val="22"/>
          <w:szCs w:val="22"/>
        </w:rPr>
      </w:pPr>
      <w:r>
        <w:rPr>
          <w:rFonts w:asciiTheme="minorHAnsi" w:hAnsiTheme="minorHAnsi" w:cstheme="minorHAnsi"/>
          <w:sz w:val="22"/>
          <w:szCs w:val="22"/>
        </w:rPr>
        <w:t xml:space="preserve">NSW Department of Industry – Water (2019). </w:t>
      </w:r>
      <w:r w:rsidRPr="009D6899">
        <w:rPr>
          <w:rFonts w:asciiTheme="minorHAnsi" w:hAnsiTheme="minorHAnsi" w:cstheme="minorHAnsi"/>
          <w:i/>
          <w:iCs/>
          <w:sz w:val="22"/>
          <w:szCs w:val="22"/>
        </w:rPr>
        <w:t>Temporary water restrictions: Macquarie Regulated River Water Source.</w:t>
      </w:r>
      <w:r>
        <w:rPr>
          <w:rFonts w:asciiTheme="minorHAnsi" w:hAnsiTheme="minorHAnsi" w:cstheme="minorHAnsi"/>
          <w:sz w:val="22"/>
          <w:szCs w:val="22"/>
        </w:rPr>
        <w:t xml:space="preserve"> </w:t>
      </w:r>
      <w:hyperlink r:id="rId184" w:history="1">
        <w:r w:rsidRPr="0083580E">
          <w:rPr>
            <w:rStyle w:val="Hyperlink"/>
            <w:rFonts w:asciiTheme="minorHAnsi" w:hAnsiTheme="minorHAnsi" w:cstheme="minorHAnsi"/>
            <w:sz w:val="22"/>
          </w:rPr>
          <w:t>https://www.industry.nsw.gov.au/water/allocations-availability/temporary-water-restrictions/macquarie-regulated-river-water-source</w:t>
        </w:r>
      </w:hyperlink>
      <w:r>
        <w:rPr>
          <w:rFonts w:asciiTheme="minorHAnsi" w:hAnsiTheme="minorHAnsi" w:cstheme="minorHAnsi"/>
          <w:sz w:val="22"/>
          <w:szCs w:val="22"/>
        </w:rPr>
        <w:t xml:space="preserve"> </w:t>
      </w:r>
    </w:p>
    <w:p w14:paraId="7B92C0FE" w14:textId="77777777" w:rsidR="00AA0841" w:rsidRDefault="00AA0841" w:rsidP="00AA0841">
      <w:pPr>
        <w:pStyle w:val="BodyText1"/>
        <w:spacing w:before="0" w:line="240" w:lineRule="auto"/>
        <w:jc w:val="left"/>
        <w:rPr>
          <w:rFonts w:asciiTheme="minorHAnsi" w:hAnsiTheme="minorHAnsi" w:cstheme="minorHAnsi"/>
          <w:noProof/>
        </w:rPr>
      </w:pPr>
      <w:r>
        <w:rPr>
          <w:rFonts w:asciiTheme="minorHAnsi" w:hAnsiTheme="minorHAnsi" w:cstheme="minorHAnsi"/>
          <w:noProof/>
        </w:rPr>
        <w:t xml:space="preserve">NSW Department of Planning, Industry and Environment (2020). Water Allocation Statement – NSW Regulated Rivers Water Sources 1 July 2020. NSW Department of Planning, Industry and Environment INT20/75956. </w:t>
      </w:r>
      <w:hyperlink r:id="rId185" w:history="1">
        <w:r w:rsidRPr="001249D0">
          <w:rPr>
            <w:rStyle w:val="Hyperlink"/>
            <w:rFonts w:asciiTheme="minorHAnsi" w:hAnsiTheme="minorHAnsi" w:cstheme="minorHAnsi"/>
            <w:noProof/>
          </w:rPr>
          <w:t>https://www.industry.nsw.gov.au/__data/assets/pdf_file/0012/313032/WAS-Regulated-Rivers-20200701.pdf</w:t>
        </w:r>
      </w:hyperlink>
    </w:p>
    <w:p w14:paraId="4802D007" w14:textId="77777777" w:rsidR="00AA0841" w:rsidRPr="00F1750A" w:rsidRDefault="00AA0841" w:rsidP="00AA0841">
      <w:pPr>
        <w:spacing w:after="240"/>
        <w:rPr>
          <w:rFonts w:cstheme="minorHAnsi"/>
          <w:szCs w:val="22"/>
        </w:rPr>
      </w:pPr>
      <w:r w:rsidRPr="00F1750A">
        <w:rPr>
          <w:rFonts w:cstheme="minorHAnsi"/>
          <w:szCs w:val="22"/>
        </w:rPr>
        <w:t xml:space="preserve">NSW Office of Environment and Heritage (2019a). </w:t>
      </w:r>
      <w:r w:rsidRPr="00F1750A">
        <w:rPr>
          <w:rFonts w:cstheme="minorHAnsi"/>
          <w:i/>
          <w:szCs w:val="22"/>
        </w:rPr>
        <w:t>Frog and tadpole surveys in the Macquarie Marshes, spring 2018</w:t>
      </w:r>
      <w:r w:rsidRPr="00F1750A">
        <w:rPr>
          <w:rFonts w:cstheme="minorHAnsi"/>
          <w:szCs w:val="22"/>
        </w:rPr>
        <w:t>. NSW Office of Environment and Heritage, February 2019.</w:t>
      </w:r>
    </w:p>
    <w:p w14:paraId="2EF36AD8" w14:textId="77777777" w:rsidR="00AA0841" w:rsidRPr="00F1750A" w:rsidRDefault="00AA0841" w:rsidP="00AA0841">
      <w:pPr>
        <w:spacing w:before="240" w:after="240"/>
        <w:rPr>
          <w:rFonts w:cstheme="minorHAnsi"/>
          <w:szCs w:val="22"/>
        </w:rPr>
      </w:pPr>
      <w:r w:rsidRPr="00F1750A">
        <w:rPr>
          <w:rFonts w:cstheme="minorHAnsi"/>
          <w:szCs w:val="22"/>
        </w:rPr>
        <w:t xml:space="preserve">NSW Office of Environment and Heritage (2019b). </w:t>
      </w:r>
      <w:r w:rsidRPr="00F1750A">
        <w:rPr>
          <w:rFonts w:cstheme="minorHAnsi"/>
          <w:i/>
          <w:szCs w:val="22"/>
        </w:rPr>
        <w:t xml:space="preserve">Waterbird surveys in the Macquarie Marshes, spring 2018. </w:t>
      </w:r>
      <w:r w:rsidRPr="00F1750A">
        <w:rPr>
          <w:rFonts w:cstheme="minorHAnsi"/>
          <w:szCs w:val="22"/>
        </w:rPr>
        <w:t>NSW Office of Environment and Heritage, February 2019.</w:t>
      </w:r>
    </w:p>
    <w:p w14:paraId="4B56B330" w14:textId="77777777" w:rsidR="00AA0841" w:rsidRDefault="00AA0841" w:rsidP="00AA0841">
      <w:pPr>
        <w:autoSpaceDE w:val="0"/>
        <w:autoSpaceDN w:val="0"/>
        <w:spacing w:after="240"/>
        <w:rPr>
          <w:rFonts w:cstheme="minorHAnsi"/>
          <w:szCs w:val="22"/>
        </w:rPr>
      </w:pPr>
      <w:r>
        <w:rPr>
          <w:rFonts w:cstheme="minorHAnsi"/>
          <w:szCs w:val="22"/>
        </w:rPr>
        <w:t xml:space="preserve">NSW Office of Environment and Heritage (2018a). </w:t>
      </w:r>
      <w:r w:rsidRPr="00CD2334">
        <w:rPr>
          <w:rFonts w:cstheme="minorHAnsi"/>
          <w:i/>
          <w:iCs/>
          <w:szCs w:val="22"/>
        </w:rPr>
        <w:t>Macquarie-Castlereagh Long Term Water Plan Part A: Macquarie-Castlereagh catchment</w:t>
      </w:r>
      <w:r>
        <w:rPr>
          <w:rFonts w:cstheme="minorHAnsi"/>
          <w:i/>
          <w:iCs/>
          <w:szCs w:val="22"/>
        </w:rPr>
        <w:t xml:space="preserve">. Draft for exhibition. </w:t>
      </w:r>
      <w:hyperlink r:id="rId186" w:history="1">
        <w:r w:rsidRPr="0083580E">
          <w:rPr>
            <w:rStyle w:val="Hyperlink"/>
            <w:rFonts w:cstheme="minorHAnsi"/>
          </w:rPr>
          <w:t>https://www.environment.nsw.gov.au/research-and-publications/publications-search/macquarie-castlereagh-long-term-water-plan-part-a</w:t>
        </w:r>
      </w:hyperlink>
      <w:r>
        <w:rPr>
          <w:rFonts w:cstheme="minorHAnsi"/>
          <w:szCs w:val="22"/>
        </w:rPr>
        <w:t xml:space="preserve"> </w:t>
      </w:r>
    </w:p>
    <w:p w14:paraId="582526A8" w14:textId="77777777" w:rsidR="00AA0841" w:rsidRDefault="00AA0841" w:rsidP="00AA0841">
      <w:pPr>
        <w:autoSpaceDE w:val="0"/>
        <w:autoSpaceDN w:val="0"/>
        <w:spacing w:after="240"/>
        <w:rPr>
          <w:rFonts w:cstheme="minorHAnsi"/>
          <w:szCs w:val="22"/>
        </w:rPr>
      </w:pPr>
      <w:r>
        <w:rPr>
          <w:rFonts w:cstheme="minorHAnsi"/>
          <w:szCs w:val="22"/>
        </w:rPr>
        <w:t xml:space="preserve">NSW Office of Environment and Heritage (2018b). </w:t>
      </w:r>
      <w:r w:rsidRPr="00901AE5">
        <w:rPr>
          <w:rFonts w:cstheme="minorHAnsi"/>
          <w:i/>
          <w:iCs/>
          <w:szCs w:val="22"/>
        </w:rPr>
        <w:t>Macquarie-Castlereagh Long Term Water Plan Part B: Macquarie-Castlereagh planning units.</w:t>
      </w:r>
      <w:r>
        <w:rPr>
          <w:rFonts w:cstheme="minorHAnsi"/>
          <w:szCs w:val="22"/>
        </w:rPr>
        <w:t xml:space="preserve"> </w:t>
      </w:r>
      <w:r>
        <w:rPr>
          <w:rFonts w:cstheme="minorHAnsi"/>
          <w:i/>
          <w:iCs/>
          <w:szCs w:val="22"/>
        </w:rPr>
        <w:t xml:space="preserve">Draft for exhibition. </w:t>
      </w:r>
      <w:hyperlink r:id="rId187" w:history="1">
        <w:r w:rsidRPr="0083580E">
          <w:rPr>
            <w:rStyle w:val="Hyperlink"/>
            <w:rFonts w:cstheme="minorHAnsi"/>
          </w:rPr>
          <w:t>https://www.environment.nsw.gov.au/research-and-publications/publications-search/macquarie-castlereagh-long-term-water-plan-part-b-planning-units</w:t>
        </w:r>
      </w:hyperlink>
      <w:r>
        <w:rPr>
          <w:rFonts w:cstheme="minorHAnsi"/>
          <w:szCs w:val="22"/>
        </w:rPr>
        <w:t xml:space="preserve"> </w:t>
      </w:r>
    </w:p>
    <w:p w14:paraId="2448DC4A" w14:textId="77777777" w:rsidR="00AA0841" w:rsidRPr="00F1750A" w:rsidRDefault="00AA0841" w:rsidP="00AA0841">
      <w:pPr>
        <w:autoSpaceDE w:val="0"/>
        <w:autoSpaceDN w:val="0"/>
        <w:spacing w:after="240"/>
        <w:rPr>
          <w:rFonts w:cstheme="minorHAnsi"/>
          <w:szCs w:val="22"/>
        </w:rPr>
      </w:pPr>
      <w:r w:rsidRPr="00F1750A">
        <w:rPr>
          <w:rFonts w:cstheme="minorHAnsi"/>
          <w:szCs w:val="22"/>
        </w:rPr>
        <w:t xml:space="preserve">NSW Office of Environment and Heritage (2017). </w:t>
      </w:r>
      <w:r w:rsidRPr="00F1750A">
        <w:rPr>
          <w:rFonts w:cstheme="minorHAnsi"/>
          <w:i/>
          <w:szCs w:val="22"/>
        </w:rPr>
        <w:t>Summary of observations from two years of monitoring frogs in the Macquarie Marshes</w:t>
      </w:r>
      <w:r w:rsidRPr="00F1750A">
        <w:rPr>
          <w:rFonts w:cstheme="minorHAnsi"/>
          <w:szCs w:val="22"/>
        </w:rPr>
        <w:t>. NSW Office of Environment and Heritage, February 2017.</w:t>
      </w:r>
    </w:p>
    <w:p w14:paraId="1A37D3E2" w14:textId="77777777" w:rsidR="00AA0841" w:rsidRPr="00F1750A" w:rsidRDefault="00AA0841" w:rsidP="00AA0841">
      <w:pPr>
        <w:pStyle w:val="Default"/>
        <w:rPr>
          <w:rFonts w:asciiTheme="minorHAnsi" w:hAnsiTheme="minorHAnsi" w:cstheme="minorHAnsi"/>
          <w:sz w:val="22"/>
          <w:szCs w:val="22"/>
        </w:rPr>
      </w:pPr>
      <w:r w:rsidRPr="00F1750A">
        <w:rPr>
          <w:rFonts w:asciiTheme="minorHAnsi" w:hAnsiTheme="minorHAnsi" w:cstheme="minorHAnsi"/>
          <w:sz w:val="22"/>
          <w:szCs w:val="22"/>
        </w:rPr>
        <w:t xml:space="preserve">Ocock, J. and Spencer, J. (2017). </w:t>
      </w:r>
      <w:r w:rsidRPr="00F1750A">
        <w:rPr>
          <w:rFonts w:asciiTheme="minorHAnsi" w:hAnsiTheme="minorHAnsi" w:cstheme="minorHAnsi"/>
          <w:i/>
          <w:sz w:val="22"/>
          <w:szCs w:val="22"/>
        </w:rPr>
        <w:t xml:space="preserve">Results from spring frog surveys in the Macquarie Marshes (2011–2017). </w:t>
      </w:r>
      <w:r w:rsidRPr="00F1750A">
        <w:rPr>
          <w:rFonts w:asciiTheme="minorHAnsi" w:hAnsiTheme="minorHAnsi" w:cstheme="minorHAnsi"/>
          <w:sz w:val="22"/>
          <w:szCs w:val="22"/>
        </w:rPr>
        <w:t>NSW Office of Environment and Heritage, November 2017.</w:t>
      </w:r>
    </w:p>
    <w:p w14:paraId="6AC84623" w14:textId="77777777" w:rsidR="00AA0841" w:rsidRPr="00292C5A" w:rsidRDefault="00AA0841" w:rsidP="00AA0841">
      <w:pPr>
        <w:pStyle w:val="Default"/>
        <w:rPr>
          <w:rFonts w:asciiTheme="minorHAnsi" w:hAnsiTheme="minorHAnsi" w:cstheme="minorHAnsi"/>
          <w:sz w:val="22"/>
          <w:szCs w:val="22"/>
          <w:highlight w:val="cyan"/>
        </w:rPr>
      </w:pPr>
    </w:p>
    <w:p w14:paraId="2037A008" w14:textId="77777777" w:rsidR="00AA0841" w:rsidRPr="00F1750A" w:rsidRDefault="00AA0841" w:rsidP="00AA0841">
      <w:pPr>
        <w:pStyle w:val="Default"/>
        <w:rPr>
          <w:rFonts w:asciiTheme="minorHAnsi" w:hAnsiTheme="minorHAnsi" w:cstheme="minorHAnsi"/>
          <w:sz w:val="22"/>
          <w:szCs w:val="22"/>
        </w:rPr>
      </w:pPr>
      <w:r w:rsidRPr="00F1750A">
        <w:rPr>
          <w:rFonts w:asciiTheme="minorHAnsi" w:hAnsiTheme="minorHAnsi" w:cstheme="minorHAnsi"/>
          <w:sz w:val="22"/>
          <w:szCs w:val="22"/>
        </w:rPr>
        <w:t xml:space="preserve">Spencer, J., Hosking, T., Ocock, J. and Suter, S. (2016). </w:t>
      </w:r>
      <w:r w:rsidRPr="00F1750A">
        <w:rPr>
          <w:rFonts w:asciiTheme="minorHAnsi" w:hAnsiTheme="minorHAnsi" w:cstheme="minorHAnsi"/>
          <w:i/>
          <w:sz w:val="22"/>
          <w:szCs w:val="22"/>
        </w:rPr>
        <w:t>OEH waterbird surveys in the Macquarie Marshes – spring 2015</w:t>
      </w:r>
      <w:r w:rsidRPr="00F1750A">
        <w:rPr>
          <w:rFonts w:asciiTheme="minorHAnsi" w:hAnsiTheme="minorHAnsi" w:cstheme="minorHAnsi"/>
          <w:sz w:val="22"/>
          <w:szCs w:val="22"/>
        </w:rPr>
        <w:t>. NSW Office of the Environment and Heritage, February 2016.</w:t>
      </w:r>
    </w:p>
    <w:p w14:paraId="11031B5D" w14:textId="77777777" w:rsidR="00AA0841" w:rsidRPr="00292C5A" w:rsidRDefault="00AA0841" w:rsidP="00AA0841">
      <w:pPr>
        <w:pStyle w:val="Default"/>
        <w:rPr>
          <w:rFonts w:asciiTheme="minorHAnsi" w:hAnsiTheme="minorHAnsi" w:cstheme="minorHAnsi"/>
          <w:sz w:val="22"/>
          <w:szCs w:val="22"/>
          <w:highlight w:val="cyan"/>
        </w:rPr>
      </w:pPr>
    </w:p>
    <w:p w14:paraId="3F3D8B10" w14:textId="77777777" w:rsidR="00AA0841" w:rsidRPr="00F1750A" w:rsidRDefault="00AA0841" w:rsidP="00AA0841">
      <w:pPr>
        <w:autoSpaceDE w:val="0"/>
        <w:autoSpaceDN w:val="0"/>
        <w:spacing w:after="240"/>
        <w:rPr>
          <w:rFonts w:cstheme="minorHAnsi"/>
          <w:szCs w:val="22"/>
        </w:rPr>
      </w:pPr>
      <w:r w:rsidRPr="00F1750A">
        <w:rPr>
          <w:rFonts w:cstheme="minorHAnsi"/>
          <w:szCs w:val="22"/>
        </w:rPr>
        <w:t xml:space="preserve">Stocks, J.R., Scott, K.F., Rodgers, M.P., Walsh, C.T., van der Meulen, D.E., and Gilligan, D. (2015). </w:t>
      </w:r>
      <w:r w:rsidRPr="00F1750A">
        <w:rPr>
          <w:rFonts w:cstheme="minorHAnsi"/>
          <w:i/>
          <w:szCs w:val="22"/>
        </w:rPr>
        <w:t>Short-term intervention monitoring of a fish community response to an environmental flow in the mid and lower Macquarie River: 2014/2015 watering year</w:t>
      </w:r>
      <w:r w:rsidRPr="00F1750A">
        <w:rPr>
          <w:rFonts w:cstheme="minorHAnsi"/>
          <w:szCs w:val="22"/>
        </w:rPr>
        <w:t>. NSW Department of Primary Industries, Batemans Bay.</w:t>
      </w:r>
    </w:p>
    <w:p w14:paraId="370CBB35" w14:textId="77777777" w:rsidR="00AA0841" w:rsidRPr="00F1750A" w:rsidRDefault="00AA0841" w:rsidP="00AA0841">
      <w:pPr>
        <w:autoSpaceDE w:val="0"/>
        <w:autoSpaceDN w:val="0"/>
        <w:spacing w:after="240"/>
        <w:rPr>
          <w:rFonts w:cstheme="minorHAnsi"/>
          <w:szCs w:val="22"/>
        </w:rPr>
      </w:pPr>
      <w:r w:rsidRPr="00F1750A">
        <w:rPr>
          <w:rFonts w:cstheme="minorHAnsi"/>
          <w:szCs w:val="22"/>
        </w:rPr>
        <w:t xml:space="preserve">Thomas, R. F., Kingsford, R. T., Lu, Y., Cox, S. J., Sims, N. C. and Hunter, S. J. (2015). Mapping inundation in the heterogeneous floodplain wetlands of the Macquarie Marshes, using Landsat Thematic Mapper. </w:t>
      </w:r>
      <w:r w:rsidRPr="00F1750A">
        <w:rPr>
          <w:rFonts w:cstheme="minorHAnsi"/>
          <w:i/>
          <w:szCs w:val="22"/>
        </w:rPr>
        <w:t>Journal of Hydrology</w:t>
      </w:r>
      <w:r w:rsidRPr="00F1750A">
        <w:rPr>
          <w:rFonts w:cstheme="minorHAnsi"/>
          <w:szCs w:val="22"/>
        </w:rPr>
        <w:t xml:space="preserve">, 524, 194–213. </w:t>
      </w:r>
    </w:p>
    <w:p w14:paraId="7E76A449" w14:textId="77777777" w:rsidR="00AA0841" w:rsidRDefault="00AA0841" w:rsidP="00AA0841">
      <w:pPr>
        <w:spacing w:after="240"/>
        <w:rPr>
          <w:rFonts w:cstheme="minorHAnsi"/>
          <w:szCs w:val="22"/>
        </w:rPr>
      </w:pPr>
      <w:r w:rsidRPr="00292C5A">
        <w:rPr>
          <w:rFonts w:cstheme="minorHAnsi"/>
          <w:szCs w:val="22"/>
        </w:rPr>
        <w:t xml:space="preserve">Torrible, L., Wettin, P., Barma, D., Wilson, G., Hobcroft, D., and O’Cock, J. (2011). </w:t>
      </w:r>
      <w:r w:rsidRPr="00292C5A">
        <w:rPr>
          <w:rFonts w:cstheme="minorHAnsi"/>
          <w:i/>
          <w:szCs w:val="22"/>
        </w:rPr>
        <w:t>Post flood assessment and determination of environmental water requirements for Gunningbar Creek, Lower Crooked Creek, Marra Creek and the lower Macquarie River</w:t>
      </w:r>
      <w:r w:rsidRPr="00292C5A">
        <w:rPr>
          <w:rFonts w:cstheme="minorHAnsi"/>
          <w:szCs w:val="22"/>
        </w:rPr>
        <w:t>. Prepared by IRPEC Pty for BWR on behalf of the Australian Government Department of Sustainability, Environment, Water, Population and Communities.</w:t>
      </w:r>
    </w:p>
    <w:p w14:paraId="28898207" w14:textId="77777777" w:rsidR="00AA0841" w:rsidRPr="00FF1014" w:rsidRDefault="00AA0841" w:rsidP="00AA0841">
      <w:pPr>
        <w:spacing w:after="240"/>
        <w:rPr>
          <w:rFonts w:cstheme="minorHAnsi"/>
          <w:i/>
          <w:iCs/>
          <w:szCs w:val="22"/>
        </w:rPr>
      </w:pPr>
      <w:r>
        <w:rPr>
          <w:rFonts w:cstheme="minorHAnsi"/>
          <w:szCs w:val="22"/>
        </w:rPr>
        <w:t xml:space="preserve">WaterNSW (2020). </w:t>
      </w:r>
      <w:r w:rsidRPr="00FF1014">
        <w:rPr>
          <w:rFonts w:cstheme="minorHAnsi"/>
          <w:i/>
          <w:iCs/>
          <w:szCs w:val="22"/>
        </w:rPr>
        <w:t>Regional water availability report – Weekly edition 27 April 2020.</w:t>
      </w:r>
      <w:r>
        <w:rPr>
          <w:rFonts w:cstheme="minorHAnsi"/>
          <w:i/>
          <w:iCs/>
          <w:szCs w:val="22"/>
        </w:rPr>
        <w:t xml:space="preserve"> </w:t>
      </w:r>
      <w:hyperlink r:id="rId188" w:history="1">
        <w:r w:rsidRPr="0083580E">
          <w:rPr>
            <w:rStyle w:val="Hyperlink"/>
            <w:rFonts w:cstheme="minorHAnsi"/>
          </w:rPr>
          <w:t>https://www.waternsw.com.au/__data/assets/pdf_file/0005/156146/Water-Availability-Report-27-April-2020.PDF?utm_source=Swift&amp;utm_medium=Email&amp;utm_campaign=NSW_availability</w:t>
        </w:r>
      </w:hyperlink>
      <w:r>
        <w:rPr>
          <w:rFonts w:cstheme="minorHAnsi"/>
          <w:szCs w:val="22"/>
        </w:rPr>
        <w:t xml:space="preserve"> </w:t>
      </w:r>
    </w:p>
    <w:p w14:paraId="3E4E039C" w14:textId="77777777" w:rsidR="00AA0841" w:rsidRPr="00325679" w:rsidRDefault="00AA0841" w:rsidP="00AA0841">
      <w:pPr>
        <w:spacing w:after="240"/>
        <w:rPr>
          <w:rStyle w:val="Hyperlink"/>
          <w:rFonts w:cstheme="minorHAnsi"/>
        </w:rPr>
      </w:pPr>
      <w:r w:rsidRPr="00325679">
        <w:rPr>
          <w:rFonts w:cstheme="minorHAnsi"/>
          <w:szCs w:val="22"/>
        </w:rPr>
        <w:lastRenderedPageBreak/>
        <w:t xml:space="preserve">WaterNSW (2020). </w:t>
      </w:r>
      <w:r w:rsidRPr="00325679">
        <w:rPr>
          <w:rFonts w:cstheme="minorHAnsi"/>
          <w:i/>
          <w:szCs w:val="22"/>
        </w:rPr>
        <w:t>Real time data: 421 – Macquarie River Basin</w:t>
      </w:r>
      <w:r w:rsidRPr="00325679">
        <w:rPr>
          <w:rFonts w:cstheme="minorHAnsi"/>
          <w:szCs w:val="22"/>
        </w:rPr>
        <w:t xml:space="preserve">. </w:t>
      </w:r>
      <w:hyperlink r:id="rId189" w:history="1">
        <w:r w:rsidRPr="00325679">
          <w:rPr>
            <w:rStyle w:val="Hyperlink"/>
            <w:rFonts w:cstheme="minorHAnsi"/>
          </w:rPr>
          <w:t>https://realtimedata.waternsw.com.au/</w:t>
        </w:r>
      </w:hyperlink>
    </w:p>
    <w:p w14:paraId="51ED52EF" w14:textId="77777777" w:rsidR="00AA0841" w:rsidRPr="00F1750A" w:rsidRDefault="00AA0841" w:rsidP="00AA0841">
      <w:pPr>
        <w:pStyle w:val="Default"/>
        <w:spacing w:after="240"/>
        <w:rPr>
          <w:rFonts w:asciiTheme="minorHAnsi" w:hAnsiTheme="minorHAnsi" w:cstheme="minorHAnsi"/>
          <w:i/>
          <w:sz w:val="22"/>
          <w:szCs w:val="22"/>
        </w:rPr>
      </w:pPr>
      <w:r w:rsidRPr="00F1750A">
        <w:rPr>
          <w:rFonts w:asciiTheme="minorHAnsi" w:hAnsiTheme="minorHAnsi" w:cstheme="minorHAnsi"/>
          <w:sz w:val="22"/>
          <w:szCs w:val="22"/>
        </w:rPr>
        <w:t xml:space="preserve">WaterNSW (2017). </w:t>
      </w:r>
      <w:r w:rsidRPr="00F1750A">
        <w:rPr>
          <w:rFonts w:asciiTheme="minorHAnsi" w:hAnsiTheme="minorHAnsi" w:cstheme="minorHAnsi"/>
          <w:i/>
          <w:sz w:val="22"/>
          <w:szCs w:val="22"/>
        </w:rPr>
        <w:t>Lower Macquarie Catchment Temporary Water Monitoring 2017</w:t>
      </w:r>
      <w:r w:rsidRPr="00F1750A">
        <w:rPr>
          <w:rFonts w:asciiTheme="minorHAnsi" w:hAnsiTheme="minorHAnsi" w:cstheme="minorHAnsi"/>
          <w:sz w:val="22"/>
          <w:szCs w:val="22"/>
        </w:rPr>
        <w:t>. Report to Commonwealth Department of Environment and Energy, October 2017.</w:t>
      </w:r>
    </w:p>
    <w:p w14:paraId="18937DCF" w14:textId="77777777" w:rsidR="00AA0841" w:rsidRPr="00A90442" w:rsidRDefault="00AA0841" w:rsidP="00AA0841">
      <w:pPr>
        <w:spacing w:after="240"/>
        <w:rPr>
          <w:rFonts w:cstheme="minorHAnsi"/>
          <w:color w:val="5F497A" w:themeColor="accent4" w:themeShade="BF"/>
          <w:szCs w:val="22"/>
        </w:rPr>
      </w:pPr>
      <w:r w:rsidRPr="00A90442">
        <w:rPr>
          <w:rFonts w:cstheme="minorHAnsi"/>
          <w:szCs w:val="22"/>
        </w:rPr>
        <w:t xml:space="preserve">WaterNSW (2018). </w:t>
      </w:r>
      <w:r w:rsidRPr="00A90442">
        <w:rPr>
          <w:rFonts w:cstheme="minorHAnsi"/>
          <w:i/>
          <w:szCs w:val="22"/>
        </w:rPr>
        <w:t>Burrendong Dam – facts and history</w:t>
      </w:r>
      <w:r w:rsidRPr="00A90442">
        <w:rPr>
          <w:rFonts w:cstheme="minorHAnsi"/>
          <w:szCs w:val="22"/>
        </w:rPr>
        <w:t xml:space="preserve">. </w:t>
      </w:r>
      <w:hyperlink r:id="rId190" w:history="1">
        <w:r w:rsidRPr="00A90442">
          <w:rPr>
            <w:rStyle w:val="Hyperlink"/>
            <w:rFonts w:cstheme="minorHAnsi"/>
          </w:rPr>
          <w:t>http://www.waternsw.com.au/supply/visit/burrendong-dam</w:t>
        </w:r>
      </w:hyperlink>
      <w:r w:rsidRPr="00A90442">
        <w:rPr>
          <w:rFonts w:cstheme="minorHAnsi"/>
          <w:color w:val="5F497A" w:themeColor="accent4" w:themeShade="BF"/>
          <w:szCs w:val="22"/>
        </w:rPr>
        <w:t xml:space="preserve"> </w:t>
      </w:r>
    </w:p>
    <w:p w14:paraId="6D4E1FA6" w14:textId="77777777" w:rsidR="00AA0841" w:rsidRPr="00AE33EA" w:rsidRDefault="00AA0841" w:rsidP="00AA0841">
      <w:pPr>
        <w:spacing w:after="240"/>
        <w:rPr>
          <w:rFonts w:cstheme="minorHAnsi"/>
          <w:szCs w:val="22"/>
        </w:rPr>
      </w:pPr>
      <w:r w:rsidRPr="00A90442">
        <w:rPr>
          <w:rFonts w:cstheme="minorHAnsi"/>
          <w:szCs w:val="22"/>
        </w:rPr>
        <w:t xml:space="preserve">WaterNSW (2018). </w:t>
      </w:r>
      <w:r w:rsidRPr="00A90442">
        <w:rPr>
          <w:rFonts w:cstheme="minorHAnsi"/>
          <w:i/>
          <w:szCs w:val="22"/>
        </w:rPr>
        <w:t>Windamere Dam – facts and history</w:t>
      </w:r>
      <w:r w:rsidRPr="00A90442">
        <w:rPr>
          <w:rFonts w:cstheme="minorHAnsi"/>
          <w:szCs w:val="22"/>
        </w:rPr>
        <w:t xml:space="preserve">. </w:t>
      </w:r>
      <w:hyperlink r:id="rId191" w:history="1">
        <w:r w:rsidRPr="00A90442">
          <w:rPr>
            <w:rStyle w:val="Hyperlink"/>
            <w:rFonts w:cstheme="minorHAnsi"/>
          </w:rPr>
          <w:t>http://www.waternsw.com.au/supply/visit/windamere-dam</w:t>
        </w:r>
      </w:hyperlink>
      <w:r w:rsidRPr="00A90442">
        <w:rPr>
          <w:rFonts w:cstheme="minorHAnsi"/>
          <w:szCs w:val="22"/>
        </w:rPr>
        <w:t xml:space="preserve"> </w:t>
      </w:r>
    </w:p>
    <w:p w14:paraId="16D20C34" w14:textId="77777777" w:rsidR="0071217B" w:rsidRDefault="0071217B">
      <w:pPr>
        <w:spacing w:after="0"/>
      </w:pPr>
      <w:r>
        <w:br w:type="page"/>
      </w:r>
    </w:p>
    <w:p w14:paraId="4A423934" w14:textId="77777777" w:rsidR="00B27BEC" w:rsidRPr="00CD1566" w:rsidRDefault="00B27BEC" w:rsidP="005D79EF">
      <w:pPr>
        <w:pStyle w:val="Heading2"/>
        <w:numPr>
          <w:ilvl w:val="1"/>
          <w:numId w:val="27"/>
        </w:numPr>
        <w:spacing w:before="120"/>
        <w:rPr>
          <w:rFonts w:ascii="Century Gothic" w:hAnsi="Century Gothic"/>
          <w:noProof/>
        </w:rPr>
      </w:pPr>
      <w:r w:rsidRPr="00CD1566">
        <w:lastRenderedPageBreak/>
        <w:t xml:space="preserve">Barwon-Darling River </w:t>
      </w:r>
    </w:p>
    <w:p w14:paraId="69996724" w14:textId="77777777" w:rsidR="00B27BEC" w:rsidRPr="00B27BEC" w:rsidRDefault="00B27BEC" w:rsidP="00CD1566">
      <w:pPr>
        <w:pStyle w:val="Heading3"/>
      </w:pPr>
      <w:r w:rsidRPr="00B27BEC">
        <w:t>Region overview</w:t>
      </w:r>
    </w:p>
    <w:p w14:paraId="3D16B575" w14:textId="77777777" w:rsidR="00B27BEC" w:rsidRPr="00B27BEC" w:rsidRDefault="00B27BEC" w:rsidP="00CD1566">
      <w:pPr>
        <w:pStyle w:val="Heading4"/>
      </w:pPr>
      <w:r w:rsidRPr="00B27BEC">
        <w:t>River system</w:t>
      </w:r>
    </w:p>
    <w:p w14:paraId="2B3C1A21" w14:textId="77777777" w:rsidR="00B27BEC" w:rsidRPr="00B27BEC" w:rsidRDefault="00B27BEC" w:rsidP="00B27BEC">
      <w:r w:rsidRPr="00B27BEC">
        <w:t>The Barwon River flows south-west through a relatively narrow floodplain with a tightly meandering channel. It has a highly variable channel capacity and flow pattern. Channel capacity increases downstream of Collarenebri, after the Little Weir, Boomi, Moonie, Gwydir and Mehi rivers have joined the Barwon.</w:t>
      </w:r>
    </w:p>
    <w:p w14:paraId="3BC3288C" w14:textId="77777777" w:rsidR="00B27BEC" w:rsidRPr="00B27BEC" w:rsidRDefault="00B27BEC" w:rsidP="00B27BEC">
      <w:r w:rsidRPr="00B27BEC">
        <w:t>Downstream of Collarenebri, the Barwon River continues south-west, and is joined by more creeks and rivers including the Namoi River. Beyond Walgett the river turns in a westerly direction and flows unrestricted across alluvial plains. Further downstream there are many anabranches and effluent channels, which split and re-join the major channel. Upstream of Bourke, the Culgoa and Barwon Rivers join to form the Darling River.</w:t>
      </w:r>
    </w:p>
    <w:p w14:paraId="48F7646A" w14:textId="77777777" w:rsidR="00B27BEC" w:rsidRPr="00B27BEC" w:rsidRDefault="00B27BEC" w:rsidP="00B27BEC">
      <w:r w:rsidRPr="00B27BEC">
        <w:t>The Darling River flows south-west within a deeply incised channel towards Wilcannia. Below Wilcannia the Darling reaches the Menindee Lakes, at the artificial storage of Lake Wetherell.</w:t>
      </w:r>
    </w:p>
    <w:p w14:paraId="55D42361" w14:textId="77777777" w:rsidR="00B27BEC" w:rsidRPr="00B27BEC" w:rsidRDefault="00B27BEC" w:rsidP="00B27BEC">
      <w:r w:rsidRPr="00B27BEC">
        <w:t>There are no major public water storages along the Barwon–Darling system, although large headwater storages exist in several tributaries. There are also large private off river storages that store water diverted or pumped from the Barwon and Darling Rivers or harvested from floodplain run-off. There are also 14 major weirs along the main stem of the Barwon–Darling system from Mungindi to upstream of Menindee Lakes, which create a series of barriers for fish passage. Only the Brewarrina Weir contains an effective fishway.</w:t>
      </w:r>
    </w:p>
    <w:p w14:paraId="465E1728" w14:textId="77777777" w:rsidR="00B27BEC" w:rsidRPr="00B27BEC" w:rsidRDefault="00B27BEC" w:rsidP="00CD1566">
      <w:pPr>
        <w:pStyle w:val="Heading4"/>
      </w:pPr>
      <w:r w:rsidRPr="00B27BEC">
        <w:t>Traditional Owners</w:t>
      </w:r>
    </w:p>
    <w:p w14:paraId="22AB27FC" w14:textId="77777777" w:rsidR="00B27BEC" w:rsidRPr="00B27BEC" w:rsidRDefault="00B27BEC" w:rsidP="00B27BEC">
      <w:r w:rsidRPr="00B27BEC">
        <w:t xml:space="preserve">The rivers and waterholes of the Barwon–Darling system hold significant spiritual and cultural importance for Aboriginal people from several nations including the Barkandji, Murrawarri, Ngemba and Ngiyampaa peoples. </w:t>
      </w:r>
    </w:p>
    <w:p w14:paraId="1B29A8D8" w14:textId="77777777" w:rsidR="00B27BEC" w:rsidRPr="00B27BEC" w:rsidRDefault="00B27BEC" w:rsidP="00CD1566">
      <w:pPr>
        <w:pStyle w:val="Heading4"/>
      </w:pPr>
      <w:r w:rsidRPr="00B27BEC">
        <w:t>Important sites and values</w:t>
      </w:r>
    </w:p>
    <w:p w14:paraId="283F2616" w14:textId="77777777" w:rsidR="00B27BEC" w:rsidRPr="00B27BEC" w:rsidRDefault="00B27BEC" w:rsidP="00B27BEC">
      <w:r w:rsidRPr="00B27BEC">
        <w:t xml:space="preserve">The Barwon–Darling River channel connects the rivers, lakes and wetlands in the northern Murray–Darling Basin as well as providing connectivity with the southern Basin. Connectivity of the Barwon–Darling has been listed in the Basin environmental watering priorities in recent years. The Barwon–Darling provides a critical dry period refuge and movement corridor for fish and waterbirds, as well as habitats for other aquatic species including turtles, mussels, river snail and shrimp. Connectivity along the length of the Barwon and Darling Rivers is particularly important for regional communities of native fish and other aquatic species. </w:t>
      </w:r>
    </w:p>
    <w:p w14:paraId="19A4D5A3" w14:textId="77777777" w:rsidR="00B27BEC" w:rsidRPr="00B27BEC" w:rsidRDefault="00B27BEC" w:rsidP="00B27BEC">
      <w:r w:rsidRPr="00B27BEC">
        <w:t>Diverse in-stream habitats including channels, deep pools, riffles, benches, snags, gravel beds and aquatic and riparian vegetation support a significant native fish community. There are more than 1 100 refugial waterholes between Mungindi and Wilcannia.</w:t>
      </w:r>
    </w:p>
    <w:p w14:paraId="63A4982B" w14:textId="77777777" w:rsidR="00B27BEC" w:rsidRPr="00B27BEC" w:rsidRDefault="00B27BEC" w:rsidP="00B27BEC">
      <w:r w:rsidRPr="00B27BEC">
        <w:t xml:space="preserve">The fish community within the Barwon–Darling system includes 15 native species which have been recorded or expected to occur along the system, and up to five non-native species. Silver perch is listed as critically endangered and Murray cod as vulnerable under the Commonwealth </w:t>
      </w:r>
      <w:r w:rsidRPr="00B27BEC">
        <w:rPr>
          <w:i/>
          <w:iCs/>
        </w:rPr>
        <w:t>Environment Protection and Biodiversity Conservation Act 1999</w:t>
      </w:r>
      <w:r w:rsidRPr="00B27BEC">
        <w:t>. The system is likely to contain remnant populations of olive perchlet, purple spotted gudgeon and freshwater catfish, all of which are listed under relevant threatened species legislation within NSW. Other important species found in the Barwon–Darling that are not widely dispersed across the Basin include Rendahl’s tandan, Hyrtl’s tandan, spangled perch, Darling River hardyhead and desert rainbowfish.</w:t>
      </w:r>
    </w:p>
    <w:p w14:paraId="3C6E8E2D" w14:textId="77777777" w:rsidR="00B27BEC" w:rsidRPr="00B27BEC" w:rsidRDefault="00B27BEC" w:rsidP="00B27BEC">
      <w:r w:rsidRPr="00B27BEC">
        <w:t xml:space="preserve">The Barwon–Darling also supports several species of river mussels, including </w:t>
      </w:r>
      <w:r w:rsidRPr="00B27BEC">
        <w:rPr>
          <w:i/>
        </w:rPr>
        <w:t>Alathyria jacksoni</w:t>
      </w:r>
      <w:r w:rsidRPr="00B27BEC">
        <w:t xml:space="preserve">, which is highly responsive to changes in low and zero flows. </w:t>
      </w:r>
    </w:p>
    <w:p w14:paraId="7851250B" w14:textId="77777777" w:rsidR="00B27BEC" w:rsidRPr="00B27BEC" w:rsidRDefault="00B27BEC" w:rsidP="00B27BEC">
      <w:pPr>
        <w:spacing w:after="0"/>
        <w:rPr>
          <w:rFonts w:cs="Arial"/>
          <w:i/>
          <w:color w:val="5F497A" w:themeColor="accent4" w:themeShade="BF"/>
          <w:sz w:val="26"/>
          <w:szCs w:val="24"/>
          <w:lang w:val="en-GB"/>
        </w:rPr>
      </w:pPr>
      <w:r w:rsidRPr="00B27BEC">
        <w:br w:type="page"/>
      </w:r>
    </w:p>
    <w:p w14:paraId="5C0708E3" w14:textId="77777777" w:rsidR="00B27BEC" w:rsidRPr="00B27BEC" w:rsidRDefault="00B27BEC" w:rsidP="00CD1566">
      <w:pPr>
        <w:pStyle w:val="Heading4"/>
      </w:pPr>
      <w:r w:rsidRPr="00B27BEC">
        <w:lastRenderedPageBreak/>
        <w:t>Stakeholder engagement</w:t>
      </w:r>
    </w:p>
    <w:p w14:paraId="14ECC9E7" w14:textId="77777777" w:rsidR="00B27BEC" w:rsidRPr="00B27BEC" w:rsidRDefault="00B27BEC" w:rsidP="00B27BEC">
      <w:r w:rsidRPr="00B27BEC">
        <w:t>The Commonwealth Environmental Water Office (CEWO) works with the following to collect and collate relevant monitoring information and evaluation results that facilitates adaptive management and changing our practices where needed:</w:t>
      </w:r>
    </w:p>
    <w:p w14:paraId="5B0A69CC" w14:textId="77777777" w:rsidR="00B27BEC" w:rsidRPr="00B27BEC" w:rsidRDefault="00B27BEC" w:rsidP="00B27BEC">
      <w:pPr>
        <w:ind w:left="360" w:hanging="360"/>
        <w:rPr>
          <w:lang w:val="en-GB"/>
        </w:rPr>
      </w:pPr>
      <w:r w:rsidRPr="00B27BEC">
        <w:rPr>
          <w:lang w:val="en-GB"/>
        </w:rPr>
        <w:t xml:space="preserve">the Murray–Darling Basin Authority </w:t>
      </w:r>
    </w:p>
    <w:p w14:paraId="3989B0DE" w14:textId="77777777" w:rsidR="00B27BEC" w:rsidRPr="00B27BEC" w:rsidRDefault="00B27BEC" w:rsidP="00CD1566">
      <w:pPr>
        <w:pStyle w:val="DotStyle1"/>
      </w:pPr>
      <w:r w:rsidRPr="00B27BEC">
        <w:t>state agencies in particular the Water and Environment, Energy and Science groups in the Department of Planning, Industry and Environment (DPIE)</w:t>
      </w:r>
    </w:p>
    <w:p w14:paraId="725314DB" w14:textId="77777777" w:rsidR="00B27BEC" w:rsidRPr="00B27BEC" w:rsidRDefault="00B27BEC" w:rsidP="00CD1566">
      <w:pPr>
        <w:pStyle w:val="DotStyle1"/>
      </w:pPr>
      <w:r w:rsidRPr="00B27BEC">
        <w:t xml:space="preserve">research organisations </w:t>
      </w:r>
    </w:p>
    <w:p w14:paraId="7853F816" w14:textId="77777777" w:rsidR="00B27BEC" w:rsidRPr="00B27BEC" w:rsidRDefault="00B27BEC" w:rsidP="00CD1566">
      <w:pPr>
        <w:pStyle w:val="DotStyle1"/>
      </w:pPr>
      <w:r w:rsidRPr="00B27BEC">
        <w:t xml:space="preserve">regional organisations, local groups and landholders.  </w:t>
      </w:r>
    </w:p>
    <w:p w14:paraId="48615ECD" w14:textId="77777777" w:rsidR="00B27BEC" w:rsidRPr="00B27BEC" w:rsidRDefault="00B27BEC" w:rsidP="00B27BEC">
      <w:r w:rsidRPr="00B27BEC">
        <w:t>This continual review of information and outcomes is helping to build knowledge about the best way to get positive outcomes across the Barwon–Darling system scale, based on what does and does not work across the system.</w:t>
      </w:r>
    </w:p>
    <w:p w14:paraId="5A7EAD39" w14:textId="77777777" w:rsidR="00B27BEC" w:rsidRPr="00B27BEC" w:rsidRDefault="00B27BEC" w:rsidP="00B27BEC">
      <w:r w:rsidRPr="00B27BEC">
        <w:t xml:space="preserve">The CEWO funds a Monitoring, Evaluation and Research program, that includes a selected area at the junction of the Warrego and Darling rivers. This provides additional information to inform adaptive management. </w:t>
      </w:r>
    </w:p>
    <w:p w14:paraId="48C839E0" w14:textId="77777777" w:rsidR="00B27BEC" w:rsidRPr="00B27BEC" w:rsidRDefault="00B27BEC" w:rsidP="00B27BEC">
      <w:pPr>
        <w:rPr>
          <w:color w:val="auto"/>
        </w:rPr>
      </w:pPr>
      <w:r w:rsidRPr="00B27BEC">
        <w:rPr>
          <w:noProof/>
        </w:rPr>
        <w:drawing>
          <wp:inline distT="0" distB="0" distL="0" distR="0" wp14:anchorId="35E9B43C" wp14:editId="61B4424E">
            <wp:extent cx="6138225" cy="4457390"/>
            <wp:effectExtent l="19050" t="19050" r="15240" b="19685"/>
            <wp:docPr id="20" name="Picture 20" descr="A map of the Barwon-Darling including major towns and tributaries." title="Figure 1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extLst>
                        <a:ext uri="{BEBA8EAE-BF5A-486C-A8C5-ECC9F3942E4B}">
                          <a14:imgProps xmlns:a14="http://schemas.microsoft.com/office/drawing/2010/main">
                            <a14:imgLayer r:embed="rId193">
                              <a14:imgEffect>
                                <a14:sharpenSoften amount="25000"/>
                              </a14:imgEffect>
                            </a14:imgLayer>
                          </a14:imgProps>
                        </a:ext>
                      </a:extLst>
                    </a:blip>
                    <a:srcRect l="19548" t="11560" r="19543" b="9802"/>
                    <a:stretch/>
                  </pic:blipFill>
                  <pic:spPr bwMode="auto">
                    <a:xfrm>
                      <a:off x="0" y="0"/>
                      <a:ext cx="6193065" cy="4497213"/>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611BDE" w14:textId="77777777" w:rsidR="00B27BEC" w:rsidRPr="00B27BEC" w:rsidRDefault="00B27BEC" w:rsidP="00B27BEC">
      <w:r w:rsidRPr="00B27BEC">
        <w:rPr>
          <w:b/>
          <w:bCs/>
        </w:rPr>
        <w:t>Figure 1:</w:t>
      </w:r>
      <w:r w:rsidRPr="00B27BEC">
        <w:t xml:space="preserve"> Map of the Barwon–Darling system. </w:t>
      </w:r>
    </w:p>
    <w:p w14:paraId="0C024139" w14:textId="77777777" w:rsidR="00CD1566" w:rsidRDefault="00CD1566">
      <w:pPr>
        <w:spacing w:after="0"/>
        <w:rPr>
          <w:color w:val="5F497A" w:themeColor="accent4" w:themeShade="BF"/>
          <w:sz w:val="26"/>
          <w:szCs w:val="24"/>
          <w:lang w:val="en-GB"/>
        </w:rPr>
      </w:pPr>
      <w:r>
        <w:rPr>
          <w:color w:val="5F497A" w:themeColor="accent4" w:themeShade="BF"/>
          <w:sz w:val="26"/>
          <w:szCs w:val="24"/>
          <w:lang w:val="en-GB"/>
        </w:rPr>
        <w:br w:type="page"/>
      </w:r>
    </w:p>
    <w:p w14:paraId="5C76F727" w14:textId="1E35AB88" w:rsidR="00B27BEC" w:rsidRPr="00B27BEC" w:rsidRDefault="00B27BEC" w:rsidP="00CD1566">
      <w:pPr>
        <w:pStyle w:val="Heading3"/>
      </w:pPr>
      <w:r w:rsidRPr="00B27BEC">
        <w:lastRenderedPageBreak/>
        <w:t>Environmental objectives</w:t>
      </w:r>
    </w:p>
    <w:p w14:paraId="5AF47566" w14:textId="77777777" w:rsidR="00B27BEC" w:rsidRPr="00B27BEC" w:rsidRDefault="00B27BEC" w:rsidP="00B27BEC">
      <w:pPr>
        <w:rPr>
          <w:lang w:val="en-GB"/>
        </w:rPr>
      </w:pPr>
      <w:r w:rsidRPr="00B27BEC">
        <w:rPr>
          <w:lang w:val="en-GB"/>
        </w:rPr>
        <w:t>Based on long-term environmental objectives in the Basin Plan, draft state long-term watering plans, site management plans, and best available knowledge, the following objectives are relevant for environmental watering in the Barwon–Darling system.</w:t>
      </w:r>
    </w:p>
    <w:p w14:paraId="6F48A8E9" w14:textId="77777777" w:rsidR="00B27BEC" w:rsidRPr="00B27BEC" w:rsidRDefault="00B27BEC" w:rsidP="00B27BEC">
      <w:pPr>
        <w:rPr>
          <w:lang w:val="en-GB"/>
        </w:rPr>
      </w:pPr>
      <w:r w:rsidRPr="00B27BEC">
        <w:rPr>
          <w:lang w:val="en-GB"/>
        </w:rPr>
        <w:t>Because of the unregulated nature of the Barwon–Darling system, the objectives that can be achieved in a particular year may vary and are highly dependent on catchment conditions and rainfall events within the systems tributaries. These objectives will continue to be revised as part of the commitment of the CEWO to adaptive management.</w:t>
      </w:r>
    </w:p>
    <w:p w14:paraId="5184F133" w14:textId="77777777" w:rsidR="00B27BEC" w:rsidRPr="00B27BEC" w:rsidRDefault="00B27BEC" w:rsidP="00B27BEC">
      <w:pPr>
        <w:rPr>
          <w:lang w:val="en-GB"/>
        </w:rPr>
      </w:pPr>
      <w:r w:rsidRPr="00B27BEC">
        <w:rPr>
          <w:b/>
          <w:bCs/>
          <w:lang w:val="en-GB"/>
        </w:rPr>
        <w:t>Vegetation:</w:t>
      </w:r>
      <w:r w:rsidRPr="00B27BEC">
        <w:rPr>
          <w:lang w:val="en-GB"/>
        </w:rPr>
        <w:t xml:space="preserve"> Maintain the condition, growth and survival of riparian, in-channel, floodplain and wetland vegetation.</w:t>
      </w:r>
    </w:p>
    <w:p w14:paraId="7426036C" w14:textId="77777777" w:rsidR="00B27BEC" w:rsidRPr="00B27BEC" w:rsidRDefault="00B27BEC" w:rsidP="00B27BEC">
      <w:pPr>
        <w:rPr>
          <w:lang w:val="en-GB"/>
        </w:rPr>
      </w:pPr>
      <w:r w:rsidRPr="00B27BEC">
        <w:rPr>
          <w:b/>
          <w:bCs/>
          <w:lang w:val="en-GB"/>
        </w:rPr>
        <w:t>Waterbirds:</w:t>
      </w:r>
      <w:r w:rsidRPr="00B27BEC">
        <w:rPr>
          <w:lang w:val="en-GB"/>
        </w:rPr>
        <w:t xml:space="preserve"> Increase waterbird abundance and maintain species diversity by supporting naturally triggered breeding events, and maintaining suitable refuge, feeding and breeding habitat. </w:t>
      </w:r>
    </w:p>
    <w:p w14:paraId="715E3487" w14:textId="77777777" w:rsidR="00B27BEC" w:rsidRPr="00B27BEC" w:rsidRDefault="00B27BEC" w:rsidP="00B27BEC">
      <w:pPr>
        <w:rPr>
          <w:lang w:val="en-GB"/>
        </w:rPr>
      </w:pPr>
      <w:r w:rsidRPr="00B27BEC">
        <w:rPr>
          <w:b/>
          <w:bCs/>
          <w:lang w:val="en-GB"/>
        </w:rPr>
        <w:t>Native fish:</w:t>
      </w:r>
      <w:r w:rsidRPr="00B27BEC">
        <w:rPr>
          <w:lang w:val="en-GB"/>
        </w:rPr>
        <w:t xml:space="preserve"> Prevent loss of native fish species and improve population structure and distribution, by supporting opportunities for movement, dispersal, reproduction, and recruitment.</w:t>
      </w:r>
    </w:p>
    <w:p w14:paraId="46120745" w14:textId="77777777" w:rsidR="00B27BEC" w:rsidRPr="00B27BEC" w:rsidRDefault="00B27BEC" w:rsidP="00B27BEC">
      <w:pPr>
        <w:rPr>
          <w:lang w:val="en-GB"/>
        </w:rPr>
      </w:pPr>
      <w:r w:rsidRPr="00B27BEC">
        <w:rPr>
          <w:b/>
          <w:bCs/>
          <w:lang w:val="en-GB"/>
        </w:rPr>
        <w:t>Other vertebrates:</w:t>
      </w:r>
      <w:r w:rsidRPr="00B27BEC">
        <w:rPr>
          <w:lang w:val="en-GB"/>
        </w:rPr>
        <w:t xml:space="preserve"> Support opportunities for the reproduction and recruitment of other native aquatic species, including frogs and turtles.</w:t>
      </w:r>
    </w:p>
    <w:p w14:paraId="3CADAF05" w14:textId="77777777" w:rsidR="00B27BEC" w:rsidRPr="00B27BEC" w:rsidRDefault="00B27BEC" w:rsidP="00B27BEC">
      <w:pPr>
        <w:rPr>
          <w:lang w:val="en-GB"/>
        </w:rPr>
      </w:pPr>
      <w:r w:rsidRPr="00B27BEC">
        <w:rPr>
          <w:b/>
          <w:bCs/>
          <w:lang w:val="en-GB"/>
        </w:rPr>
        <w:t>Connectivity:</w:t>
      </w:r>
      <w:r w:rsidRPr="00B27BEC">
        <w:rPr>
          <w:lang w:val="en-GB"/>
        </w:rPr>
        <w:t xml:space="preserve"> Support longitudinal connectivity, along the Barwon and Darling rivers, and lateral connectivity within the river network and between the rivers and their floodplains. </w:t>
      </w:r>
    </w:p>
    <w:p w14:paraId="6E201B32" w14:textId="77777777" w:rsidR="00B27BEC" w:rsidRPr="00B27BEC" w:rsidRDefault="00B27BEC" w:rsidP="00B27BEC">
      <w:pPr>
        <w:rPr>
          <w:lang w:val="en-GB"/>
        </w:rPr>
      </w:pPr>
      <w:r w:rsidRPr="00B27BEC">
        <w:rPr>
          <w:b/>
          <w:bCs/>
          <w:lang w:val="en-GB"/>
        </w:rPr>
        <w:t>Processes/water quality/resilience:</w:t>
      </w:r>
      <w:r w:rsidRPr="00B27BEC">
        <w:rPr>
          <w:lang w:val="en-GB"/>
        </w:rPr>
        <w:t xml:space="preserve"> Support key ecosystem functions and promote productivity; maintain water quality in channels and pools; and maintain drought refuge habitat.</w:t>
      </w:r>
    </w:p>
    <w:p w14:paraId="60C038D6" w14:textId="77777777" w:rsidR="00B27BEC" w:rsidRPr="00B27BEC" w:rsidRDefault="00B27BEC" w:rsidP="00CD1566">
      <w:pPr>
        <w:pStyle w:val="Heading3"/>
      </w:pPr>
      <w:r w:rsidRPr="00B27BEC">
        <w:t>First Nations environmental objectives</w:t>
      </w:r>
    </w:p>
    <w:p w14:paraId="49514455" w14:textId="32AE6687" w:rsidR="00B27BEC" w:rsidRPr="00B27BEC" w:rsidRDefault="00B27BEC" w:rsidP="00B27BEC">
      <w:bookmarkStart w:id="118" w:name="_Hlk42794762"/>
      <w:r w:rsidRPr="00B27BEC">
        <w:t>Representatives of the First Nations peoples of the Barwon-Darling river system have identified environmental objectives for their country for 2020–21 (</w:t>
      </w:r>
      <w:r w:rsidRPr="00B27BEC">
        <w:fldChar w:fldCharType="begin"/>
      </w:r>
      <w:r w:rsidRPr="00B27BEC">
        <w:instrText xml:space="preserve"> REF _Ref43981497 \h  \* MERGEFORMAT </w:instrText>
      </w:r>
      <w:r w:rsidRPr="00B27BEC">
        <w:fldChar w:fldCharType="separate"/>
      </w:r>
      <w:r w:rsidR="001B2852" w:rsidRPr="001B2852">
        <w:t xml:space="preserve">Table </w:t>
      </w:r>
      <w:r w:rsidR="001B2852" w:rsidRPr="001B2852">
        <w:rPr>
          <w:noProof/>
        </w:rPr>
        <w:t>26</w:t>
      </w:r>
      <w:r w:rsidRPr="00B27BEC">
        <w:fldChar w:fldCharType="end"/>
      </w:r>
      <w:r w:rsidRPr="00B27BEC">
        <w:t xml:space="preserve">). These objectives were developed through the First Nations Environmental Guidance project undertaken by the Northern Basin Aboriginal Nations organisation. </w:t>
      </w:r>
    </w:p>
    <w:p w14:paraId="4DB73B82" w14:textId="77777777" w:rsidR="00B27BEC" w:rsidRPr="00B27BEC" w:rsidRDefault="00B27BEC" w:rsidP="00B27BEC">
      <w:r w:rsidRPr="00B27BEC">
        <w:rPr>
          <w:rFonts w:cs="Calibri"/>
        </w:rPr>
        <w:t>Some of these objectives sit outside the scope of water for the environment to influence, while for others, the link between water for the environment and the site or species is not well understood. </w:t>
      </w:r>
    </w:p>
    <w:p w14:paraId="0972C0C6" w14:textId="77777777" w:rsidR="00B27BEC" w:rsidRPr="00B27BEC" w:rsidRDefault="00B27BEC" w:rsidP="00B27BEC">
      <w:r w:rsidRPr="00B27BEC">
        <w:t>The CEWO is committed to working with First Nations groups to better understand their objectives. The CEWO will use environmental flows to contribute to these objectives where possible and where this is consistent with the Commonwealth Environmental Water Holder’s statutory responsibility of protecting and restoring environmental assets in the Basin.</w:t>
      </w:r>
    </w:p>
    <w:p w14:paraId="125A178B" w14:textId="4CF6DBFB" w:rsidR="00B27BEC" w:rsidRPr="00B27BEC" w:rsidRDefault="00B27BEC" w:rsidP="00B27BEC">
      <w:bookmarkStart w:id="119" w:name="_Ref43981497"/>
      <w:bookmarkStart w:id="120" w:name="_Ref43387221"/>
      <w:r w:rsidRPr="00B27BEC">
        <w:rPr>
          <w:b/>
        </w:rPr>
        <w:t xml:space="preserve">Table </w:t>
      </w:r>
      <w:r w:rsidRPr="00B27BEC">
        <w:rPr>
          <w:b/>
        </w:rPr>
        <w:fldChar w:fldCharType="begin"/>
      </w:r>
      <w:r w:rsidRPr="00B27BEC">
        <w:rPr>
          <w:b/>
        </w:rPr>
        <w:instrText xml:space="preserve"> SEQ Table \* ARABIC </w:instrText>
      </w:r>
      <w:r w:rsidRPr="00B27BEC">
        <w:rPr>
          <w:b/>
        </w:rPr>
        <w:fldChar w:fldCharType="separate"/>
      </w:r>
      <w:r w:rsidR="001B2852">
        <w:rPr>
          <w:b/>
          <w:noProof/>
        </w:rPr>
        <w:t>26</w:t>
      </w:r>
      <w:r w:rsidRPr="00B27BEC">
        <w:rPr>
          <w:b/>
        </w:rPr>
        <w:fldChar w:fldCharType="end"/>
      </w:r>
      <w:bookmarkEnd w:id="119"/>
      <w:r w:rsidRPr="00B27BEC">
        <w:t xml:space="preserve">: </w:t>
      </w:r>
      <w:bookmarkEnd w:id="120"/>
      <w:r w:rsidRPr="00B27BEC">
        <w:t>First Nations environmental objectives for the Barwon-Darling system for 2020–21 (NBAN Ltd. 2020)</w:t>
      </w:r>
    </w:p>
    <w:tbl>
      <w:tblPr>
        <w:tblStyle w:val="TableGrid11"/>
        <w:tblW w:w="9639" w:type="dxa"/>
        <w:tblInd w:w="-5" w:type="dxa"/>
        <w:tblBorders>
          <w:insideH w:val="none" w:sz="0" w:space="0" w:color="auto"/>
          <w:insideV w:val="none" w:sz="0" w:space="0" w:color="auto"/>
        </w:tblBorders>
        <w:tblLook w:val="04A0" w:firstRow="1" w:lastRow="0" w:firstColumn="1" w:lastColumn="0" w:noHBand="0" w:noVBand="1"/>
      </w:tblPr>
      <w:tblGrid>
        <w:gridCol w:w="9639"/>
      </w:tblGrid>
      <w:tr w:rsidR="00B27BEC" w:rsidRPr="00B27BEC" w14:paraId="037D8F04" w14:textId="77777777" w:rsidTr="00B27BEC">
        <w:tc>
          <w:tcPr>
            <w:tcW w:w="9639" w:type="dxa"/>
            <w:tcBorders>
              <w:bottom w:val="nil"/>
            </w:tcBorders>
            <w:shd w:val="clear" w:color="auto" w:fill="B6DDE8" w:themeFill="accent5" w:themeFillTint="66"/>
            <w:vAlign w:val="center"/>
          </w:tcPr>
          <w:p w14:paraId="2545D809" w14:textId="77777777" w:rsidR="00B27BEC" w:rsidRPr="00B27BEC" w:rsidRDefault="00B27BEC" w:rsidP="00CD1566">
            <w:pPr>
              <w:spacing w:after="60"/>
              <w:rPr>
                <w:rFonts w:cstheme="minorHAnsi"/>
                <w:szCs w:val="22"/>
              </w:rPr>
            </w:pPr>
            <w:r w:rsidRPr="00B27BEC">
              <w:rPr>
                <w:rFonts w:cstheme="minorHAnsi"/>
                <w:b/>
                <w:szCs w:val="22"/>
              </w:rPr>
              <w:t>River flows and Connectivity</w:t>
            </w:r>
          </w:p>
        </w:tc>
      </w:tr>
      <w:tr w:rsidR="00B27BEC" w:rsidRPr="00B27BEC" w14:paraId="1899F71D" w14:textId="77777777" w:rsidTr="00B27BEC">
        <w:tc>
          <w:tcPr>
            <w:tcW w:w="9639" w:type="dxa"/>
            <w:tcBorders>
              <w:top w:val="nil"/>
              <w:bottom w:val="single" w:sz="4" w:space="0" w:color="auto"/>
            </w:tcBorders>
          </w:tcPr>
          <w:p w14:paraId="02E43358" w14:textId="77777777" w:rsidR="00B27BEC" w:rsidRPr="00B27BEC" w:rsidRDefault="00B27BEC" w:rsidP="00CD1566">
            <w:pPr>
              <w:spacing w:after="60"/>
              <w:rPr>
                <w:szCs w:val="22"/>
              </w:rPr>
            </w:pPr>
            <w:r w:rsidRPr="00B27BEC">
              <w:rPr>
                <w:rFonts w:ascii="Calibri" w:hAnsi="Calibri" w:cs="Calibri"/>
                <w:i/>
                <w:color w:val="5F497A" w:themeColor="accent4" w:themeShade="BF"/>
                <w:szCs w:val="22"/>
              </w:rPr>
              <w:t>Priority sites:</w:t>
            </w:r>
            <w:r w:rsidRPr="00B27BEC">
              <w:rPr>
                <w:i/>
                <w:iCs/>
                <w:szCs w:val="22"/>
              </w:rPr>
              <w:t xml:space="preserve"> </w:t>
            </w:r>
            <w:r w:rsidRPr="00B27BEC">
              <w:rPr>
                <w:szCs w:val="22"/>
              </w:rPr>
              <w:t>The Big Warrambool.</w:t>
            </w:r>
          </w:p>
          <w:p w14:paraId="079274DD" w14:textId="77777777" w:rsidR="00B27BEC" w:rsidRPr="00B27BEC" w:rsidRDefault="00B27BEC" w:rsidP="00CD1566">
            <w:pPr>
              <w:spacing w:after="60"/>
              <w:rPr>
                <w:szCs w:val="22"/>
              </w:rPr>
            </w:pPr>
            <w:r w:rsidRPr="00B27BEC">
              <w:rPr>
                <w:rFonts w:ascii="Calibri" w:hAnsi="Calibri" w:cs="Calibri"/>
                <w:i/>
                <w:color w:val="5F497A" w:themeColor="accent4" w:themeShade="BF"/>
                <w:szCs w:val="22"/>
              </w:rPr>
              <w:t>Other flows and connectivity:</w:t>
            </w:r>
            <w:r w:rsidRPr="00B27BEC">
              <w:rPr>
                <w:i/>
                <w:iCs/>
                <w:szCs w:val="22"/>
              </w:rPr>
              <w:t xml:space="preserve"> </w:t>
            </w:r>
            <w:r w:rsidRPr="00B27BEC">
              <w:rPr>
                <w:szCs w:val="22"/>
              </w:rPr>
              <w:t>Ensure there is flow at all times, which can then flow into smaller tributaries and rivers during flooding.</w:t>
            </w:r>
          </w:p>
        </w:tc>
      </w:tr>
      <w:tr w:rsidR="00B27BEC" w:rsidRPr="00B27BEC" w14:paraId="410A0856" w14:textId="77777777" w:rsidTr="00B27BEC">
        <w:tc>
          <w:tcPr>
            <w:tcW w:w="9639" w:type="dxa"/>
            <w:tcBorders>
              <w:top w:val="single" w:sz="4" w:space="0" w:color="auto"/>
              <w:bottom w:val="nil"/>
            </w:tcBorders>
            <w:shd w:val="clear" w:color="auto" w:fill="B6DDE8" w:themeFill="accent5" w:themeFillTint="66"/>
          </w:tcPr>
          <w:p w14:paraId="65A9E02D" w14:textId="77777777" w:rsidR="00B27BEC" w:rsidRPr="00B27BEC" w:rsidRDefault="00B27BEC" w:rsidP="00CD1566">
            <w:pPr>
              <w:spacing w:after="60"/>
              <w:rPr>
                <w:rFonts w:cstheme="minorHAnsi"/>
                <w:b/>
                <w:szCs w:val="22"/>
              </w:rPr>
            </w:pPr>
            <w:r w:rsidRPr="00B27BEC">
              <w:rPr>
                <w:rFonts w:cstheme="minorHAnsi"/>
                <w:b/>
                <w:szCs w:val="22"/>
              </w:rPr>
              <w:t>Native Vegetation</w:t>
            </w:r>
          </w:p>
        </w:tc>
      </w:tr>
      <w:tr w:rsidR="00B27BEC" w:rsidRPr="00B27BEC" w14:paraId="32FB6DF0" w14:textId="77777777" w:rsidTr="00B27BEC">
        <w:tc>
          <w:tcPr>
            <w:tcW w:w="9639" w:type="dxa"/>
            <w:tcBorders>
              <w:top w:val="nil"/>
              <w:bottom w:val="single" w:sz="4" w:space="0" w:color="auto"/>
            </w:tcBorders>
          </w:tcPr>
          <w:p w14:paraId="38EE8F47" w14:textId="77777777" w:rsidR="00B27BEC" w:rsidRPr="00B27BEC" w:rsidRDefault="00B27BEC" w:rsidP="00CD1566">
            <w:pPr>
              <w:spacing w:after="60"/>
              <w:rPr>
                <w:szCs w:val="22"/>
              </w:rPr>
            </w:pPr>
            <w:r w:rsidRPr="00B27BEC">
              <w:rPr>
                <w:rFonts w:ascii="Calibri" w:hAnsi="Calibri" w:cs="Calibri"/>
                <w:i/>
                <w:color w:val="5F497A" w:themeColor="accent4" w:themeShade="BF"/>
                <w:szCs w:val="22"/>
              </w:rPr>
              <w:t>Indicator species:</w:t>
            </w:r>
            <w:r w:rsidRPr="00B27BEC">
              <w:rPr>
                <w:szCs w:val="22"/>
              </w:rPr>
              <w:t xml:space="preserve"> Lignum, river reed, quinine, river redgum, yam, dog wood, nardoo.</w:t>
            </w:r>
          </w:p>
        </w:tc>
      </w:tr>
      <w:tr w:rsidR="00B27BEC" w:rsidRPr="00B27BEC" w14:paraId="305EB202" w14:textId="77777777" w:rsidTr="00B27BEC">
        <w:tc>
          <w:tcPr>
            <w:tcW w:w="9639" w:type="dxa"/>
            <w:tcBorders>
              <w:top w:val="single" w:sz="4" w:space="0" w:color="auto"/>
              <w:bottom w:val="nil"/>
            </w:tcBorders>
            <w:shd w:val="clear" w:color="auto" w:fill="B6DDE8" w:themeFill="accent5" w:themeFillTint="66"/>
          </w:tcPr>
          <w:p w14:paraId="72B54D2D" w14:textId="77777777" w:rsidR="00B27BEC" w:rsidRPr="00B27BEC" w:rsidRDefault="00B27BEC" w:rsidP="00CD1566">
            <w:pPr>
              <w:spacing w:after="60"/>
              <w:rPr>
                <w:rFonts w:cstheme="minorHAnsi"/>
                <w:b/>
                <w:szCs w:val="22"/>
              </w:rPr>
            </w:pPr>
            <w:r w:rsidRPr="00B27BEC">
              <w:rPr>
                <w:rFonts w:cstheme="minorHAnsi"/>
                <w:b/>
                <w:szCs w:val="22"/>
              </w:rPr>
              <w:t>Native Birds</w:t>
            </w:r>
          </w:p>
        </w:tc>
      </w:tr>
      <w:tr w:rsidR="00B27BEC" w:rsidRPr="00B27BEC" w14:paraId="1091078C" w14:textId="77777777" w:rsidTr="00B27BEC">
        <w:tc>
          <w:tcPr>
            <w:tcW w:w="9639" w:type="dxa"/>
            <w:tcBorders>
              <w:top w:val="nil"/>
              <w:bottom w:val="single" w:sz="4" w:space="0" w:color="auto"/>
            </w:tcBorders>
          </w:tcPr>
          <w:p w14:paraId="3BDFB78A" w14:textId="77777777" w:rsidR="00B27BEC" w:rsidRPr="00B27BEC" w:rsidRDefault="00B27BEC" w:rsidP="00CD1566">
            <w:pPr>
              <w:spacing w:after="60"/>
              <w:rPr>
                <w:szCs w:val="22"/>
              </w:rPr>
            </w:pPr>
            <w:r w:rsidRPr="00B27BEC">
              <w:rPr>
                <w:rFonts w:ascii="Calibri" w:hAnsi="Calibri" w:cs="Calibri"/>
                <w:i/>
                <w:color w:val="5F497A" w:themeColor="accent4" w:themeShade="BF"/>
                <w:szCs w:val="22"/>
              </w:rPr>
              <w:t>Indicator species:</w:t>
            </w:r>
            <w:r w:rsidRPr="00B27BEC">
              <w:rPr>
                <w:szCs w:val="22"/>
              </w:rPr>
              <w:t xml:space="preserve"> Pelican, duck, black swan, black shag, black cockatoo</w:t>
            </w:r>
            <w:bookmarkStart w:id="121" w:name="_Hlk43365697"/>
            <w:r w:rsidRPr="00B27BEC">
              <w:rPr>
                <w:szCs w:val="22"/>
                <w:vertAlign w:val="superscript"/>
              </w:rPr>
              <w:t>i</w:t>
            </w:r>
            <w:bookmarkEnd w:id="121"/>
            <w:r w:rsidRPr="00B27BEC">
              <w:rPr>
                <w:szCs w:val="22"/>
              </w:rPr>
              <w:t>.</w:t>
            </w:r>
          </w:p>
        </w:tc>
      </w:tr>
      <w:tr w:rsidR="00B27BEC" w:rsidRPr="00B27BEC" w14:paraId="426FF2B5" w14:textId="77777777" w:rsidTr="00B27BEC">
        <w:tc>
          <w:tcPr>
            <w:tcW w:w="9639" w:type="dxa"/>
            <w:tcBorders>
              <w:top w:val="single" w:sz="4" w:space="0" w:color="auto"/>
              <w:bottom w:val="nil"/>
            </w:tcBorders>
            <w:shd w:val="clear" w:color="auto" w:fill="B6DDE8" w:themeFill="accent5" w:themeFillTint="66"/>
          </w:tcPr>
          <w:p w14:paraId="26DB343E" w14:textId="77777777" w:rsidR="00B27BEC" w:rsidRPr="00B27BEC" w:rsidRDefault="00B27BEC" w:rsidP="00CD1566">
            <w:pPr>
              <w:spacing w:after="60"/>
              <w:rPr>
                <w:rFonts w:cstheme="minorHAnsi"/>
                <w:b/>
                <w:szCs w:val="22"/>
              </w:rPr>
            </w:pPr>
            <w:r w:rsidRPr="00B27BEC">
              <w:rPr>
                <w:rFonts w:cstheme="minorHAnsi"/>
                <w:b/>
                <w:szCs w:val="22"/>
              </w:rPr>
              <w:t>Native Animals</w:t>
            </w:r>
          </w:p>
        </w:tc>
      </w:tr>
      <w:tr w:rsidR="00B27BEC" w:rsidRPr="00B27BEC" w14:paraId="46DD3C7E" w14:textId="77777777" w:rsidTr="00B27BEC">
        <w:tc>
          <w:tcPr>
            <w:tcW w:w="9639" w:type="dxa"/>
            <w:tcBorders>
              <w:top w:val="nil"/>
              <w:bottom w:val="single" w:sz="4" w:space="0" w:color="auto"/>
            </w:tcBorders>
          </w:tcPr>
          <w:p w14:paraId="5BBEEED5" w14:textId="77777777" w:rsidR="00B27BEC" w:rsidRPr="00B27BEC" w:rsidRDefault="00B27BEC" w:rsidP="00CD1566">
            <w:pPr>
              <w:spacing w:after="60"/>
              <w:rPr>
                <w:szCs w:val="22"/>
              </w:rPr>
            </w:pPr>
            <w:r w:rsidRPr="00B27BEC">
              <w:rPr>
                <w:rFonts w:ascii="Calibri" w:hAnsi="Calibri" w:cs="Calibri"/>
                <w:i/>
                <w:color w:val="5F497A" w:themeColor="accent4" w:themeShade="BF"/>
                <w:szCs w:val="22"/>
              </w:rPr>
              <w:t>Indicator species:</w:t>
            </w:r>
            <w:r w:rsidRPr="00B27BEC">
              <w:rPr>
                <w:szCs w:val="22"/>
              </w:rPr>
              <w:t xml:space="preserve"> Cod, booglie, yellowbelly, emu</w:t>
            </w:r>
            <w:r w:rsidRPr="00B27BEC">
              <w:rPr>
                <w:szCs w:val="22"/>
                <w:vertAlign w:val="superscript"/>
              </w:rPr>
              <w:t>i</w:t>
            </w:r>
            <w:r w:rsidRPr="00B27BEC">
              <w:rPr>
                <w:szCs w:val="22"/>
              </w:rPr>
              <w:t>, echidna</w:t>
            </w:r>
            <w:r w:rsidRPr="00B27BEC">
              <w:rPr>
                <w:szCs w:val="22"/>
                <w:vertAlign w:val="superscript"/>
              </w:rPr>
              <w:t>i</w:t>
            </w:r>
            <w:r w:rsidRPr="00B27BEC">
              <w:rPr>
                <w:szCs w:val="22"/>
              </w:rPr>
              <w:t>, silver bream (silver perch).</w:t>
            </w:r>
          </w:p>
        </w:tc>
      </w:tr>
      <w:tr w:rsidR="00B27BEC" w:rsidRPr="00B27BEC" w14:paraId="67B56BFB" w14:textId="77777777" w:rsidTr="00B27BEC">
        <w:tc>
          <w:tcPr>
            <w:tcW w:w="9639" w:type="dxa"/>
            <w:tcBorders>
              <w:top w:val="single" w:sz="4" w:space="0" w:color="auto"/>
            </w:tcBorders>
            <w:shd w:val="clear" w:color="auto" w:fill="B6DDE8" w:themeFill="accent5" w:themeFillTint="66"/>
          </w:tcPr>
          <w:p w14:paraId="306682D1" w14:textId="77777777" w:rsidR="00B27BEC" w:rsidRPr="00B27BEC" w:rsidRDefault="00B27BEC" w:rsidP="00CD1566">
            <w:pPr>
              <w:spacing w:after="60"/>
              <w:rPr>
                <w:rFonts w:cstheme="minorHAnsi"/>
                <w:b/>
                <w:szCs w:val="22"/>
              </w:rPr>
            </w:pPr>
            <w:r w:rsidRPr="00B27BEC">
              <w:rPr>
                <w:rFonts w:cstheme="minorHAnsi"/>
                <w:b/>
                <w:szCs w:val="22"/>
              </w:rPr>
              <w:t>Connecting with Country</w:t>
            </w:r>
          </w:p>
        </w:tc>
      </w:tr>
      <w:tr w:rsidR="00B27BEC" w:rsidRPr="00B27BEC" w14:paraId="31737CB1" w14:textId="77777777" w:rsidTr="00B27BEC">
        <w:tc>
          <w:tcPr>
            <w:tcW w:w="9639" w:type="dxa"/>
          </w:tcPr>
          <w:p w14:paraId="35FC7724" w14:textId="77777777" w:rsidR="00B27BEC" w:rsidRPr="00B27BEC" w:rsidRDefault="00B27BEC" w:rsidP="00CD1566">
            <w:pPr>
              <w:spacing w:after="60"/>
              <w:rPr>
                <w:rFonts w:cstheme="minorHAnsi"/>
                <w:szCs w:val="22"/>
              </w:rPr>
            </w:pPr>
            <w:r w:rsidRPr="00B27BEC">
              <w:rPr>
                <w:rFonts w:cstheme="minorHAnsi"/>
                <w:szCs w:val="22"/>
              </w:rPr>
              <w:t>A place to teach culture and stories. A place of gathering for men, and women. Fishing and hunting.</w:t>
            </w:r>
          </w:p>
        </w:tc>
      </w:tr>
    </w:tbl>
    <w:p w14:paraId="36835942" w14:textId="77777777" w:rsidR="00B27BEC" w:rsidRPr="00B27BEC" w:rsidRDefault="00B27BEC" w:rsidP="00B27BEC">
      <w:pPr>
        <w:spacing w:after="0"/>
        <w:rPr>
          <w:sz w:val="20"/>
        </w:rPr>
      </w:pPr>
      <w:r w:rsidRPr="00B27BEC">
        <w:rPr>
          <w:vertAlign w:val="superscript"/>
        </w:rPr>
        <w:lastRenderedPageBreak/>
        <w:t>i</w:t>
      </w:r>
      <w:r w:rsidRPr="00B27BEC">
        <w:rPr>
          <w:sz w:val="20"/>
          <w:lang w:val="en-GB"/>
        </w:rPr>
        <w:t xml:space="preserve"> </w:t>
      </w:r>
      <w:r w:rsidRPr="00B27BEC">
        <w:rPr>
          <w:sz w:val="20"/>
        </w:rPr>
        <w:t>Water for the environment targeting other environmental outcomes may influence this species or objective</w:t>
      </w:r>
    </w:p>
    <w:bookmarkEnd w:id="118"/>
    <w:p w14:paraId="7F66CCB0" w14:textId="77777777" w:rsidR="00B27BEC" w:rsidRPr="00B27BEC" w:rsidRDefault="00B27BEC" w:rsidP="00CD1566">
      <w:pPr>
        <w:keepNext/>
        <w:numPr>
          <w:ilvl w:val="2"/>
          <w:numId w:val="13"/>
        </w:numPr>
        <w:spacing w:before="240" w:after="240"/>
        <w:outlineLvl w:val="2"/>
        <w:rPr>
          <w:color w:val="5F497A" w:themeColor="accent4" w:themeShade="BF"/>
          <w:sz w:val="26"/>
          <w:szCs w:val="24"/>
          <w:lang w:val="en-GB"/>
        </w:rPr>
      </w:pPr>
      <w:r w:rsidRPr="00B27BEC">
        <w:rPr>
          <w:color w:val="5F497A" w:themeColor="accent4" w:themeShade="BF"/>
          <w:sz w:val="26"/>
          <w:szCs w:val="24"/>
          <w:lang w:val="en-GB"/>
        </w:rPr>
        <w:t>Recent conditions and seasonal outlook</w:t>
      </w:r>
    </w:p>
    <w:p w14:paraId="25C78535" w14:textId="77777777" w:rsidR="00B27BEC" w:rsidRPr="00B27BEC" w:rsidRDefault="00B27BEC" w:rsidP="00CD1566">
      <w:pPr>
        <w:keepNext/>
        <w:numPr>
          <w:ilvl w:val="3"/>
          <w:numId w:val="13"/>
        </w:numPr>
        <w:spacing w:before="240" w:after="240"/>
        <w:outlineLvl w:val="3"/>
        <w:rPr>
          <w:rFonts w:cs="Arial"/>
          <w:i/>
          <w:color w:val="5F497A" w:themeColor="accent4" w:themeShade="BF"/>
          <w:sz w:val="26"/>
          <w:szCs w:val="24"/>
          <w:lang w:val="en-GB"/>
        </w:rPr>
      </w:pPr>
      <w:r w:rsidRPr="00B27BEC">
        <w:rPr>
          <w:rFonts w:cs="Arial"/>
          <w:i/>
          <w:color w:val="5F497A" w:themeColor="accent4" w:themeShade="BF"/>
          <w:sz w:val="26"/>
          <w:szCs w:val="24"/>
          <w:lang w:val="en-GB"/>
        </w:rPr>
        <w:t>Recent conditions and environmental water use</w:t>
      </w:r>
    </w:p>
    <w:p w14:paraId="724E1319" w14:textId="77777777" w:rsidR="00B27BEC" w:rsidRPr="00B27BEC" w:rsidRDefault="00B27BEC" w:rsidP="00B27BEC">
      <w:pPr>
        <w:rPr>
          <w:lang w:val="en-GB"/>
        </w:rPr>
      </w:pPr>
      <w:r w:rsidRPr="00B27BEC">
        <w:rPr>
          <w:lang w:val="en-GB"/>
        </w:rPr>
        <w:t xml:space="preserve">Like much of the northern Basin, the Barwon–Darling system experienced very hot and dry conditions between January 2018 and January 2020. Rainfall was well below average, with 2018 and 2019 recording the two highest annual average maximum temperatures at Brewarrina for the 83 years of record.  Flows along the system during this period have also been generally low, with long reaches of the Barwon–Darling ceasing to flow for extended periods. The hot and dry conditions over the last two years resulted in the Darling River downstream of Bourke not flowing for over 430 days between September 2018 and November 2019. Other river reaches such as downstream of Collarenebri and upstream of Wilcannia experienced low or no flow periods of over 170 days and 200 days respectively. These long periods of low or no flow saw a reduction in the number and quality of refuge pools within the Barwon–Darling systems. The reduction in extent and quality of drought refuges is likely to have had a significant impact on the aquatic communities of the system. Exceptions to these dry conditions were: </w:t>
      </w:r>
    </w:p>
    <w:p w14:paraId="383FA5E9" w14:textId="77777777" w:rsidR="00B27BEC" w:rsidRPr="00B27BEC" w:rsidRDefault="00B27BEC" w:rsidP="006A11B1">
      <w:pPr>
        <w:pStyle w:val="DotStyle1"/>
      </w:pPr>
      <w:r w:rsidRPr="00B27BEC">
        <w:t xml:space="preserve">Small flow events moving through the system in autumn 2018, winter 2019 (river reaches downstream of the Warrego/Darling River junction to just downstream of Wilcannia), and late spring 2019. </w:t>
      </w:r>
    </w:p>
    <w:p w14:paraId="7CCCB0FC" w14:textId="77777777" w:rsidR="00B27BEC" w:rsidRPr="00B27BEC" w:rsidRDefault="00B27BEC" w:rsidP="006A11B1">
      <w:pPr>
        <w:pStyle w:val="DotStyle1"/>
      </w:pPr>
      <w:r w:rsidRPr="00B27BEC">
        <w:t>Environmental flows from the Northern Connectivity Event along both the Barwon and Darling rivers to the Menindee Lakes during autumn/winter 2018, and Northern Fish Flow moving along the Barwon River during winter 2019.</w:t>
      </w:r>
    </w:p>
    <w:p w14:paraId="53AEAF7A" w14:textId="77777777" w:rsidR="00B27BEC" w:rsidRPr="00B27BEC" w:rsidRDefault="00B27BEC" w:rsidP="00B27BEC">
      <w:bookmarkStart w:id="122" w:name="_Hlk40894073"/>
      <w:bookmarkStart w:id="123" w:name="_Hlk42249799"/>
      <w:r w:rsidRPr="00B27BEC">
        <w:t>During late summer and early autumn 2020</w:t>
      </w:r>
      <w:bookmarkEnd w:id="122"/>
      <w:r w:rsidRPr="00B27BEC">
        <w:t xml:space="preserve"> widespread rainfall occurred across most of the northern Basin with the upper parts of northern Basin valleys recording more than 300 mm of rainfall during January and February. This rainfall generated significant flows in most Barwon–Darling tributaries and corresponding inflows into the Barwon and Darling rivers. The contribution each tributary made to flows along the Barwon and Darling rivers varied, with the Condamine-Balonne contributing the most (205 gigalitres as measured at the end of system gauges on the Culgoa and Bokhara rivers).</w:t>
      </w:r>
    </w:p>
    <w:p w14:paraId="6F8EC5F1" w14:textId="77777777" w:rsidR="00B27BEC" w:rsidRPr="00B27BEC" w:rsidRDefault="00B27BEC" w:rsidP="00B27BEC">
      <w:r w:rsidRPr="00B27BEC">
        <w:t xml:space="preserve">To address critical water needs along the Barwon–Darling systems, temporary water restrictions were put in place by the NSW Government using Section 324 of the NSW </w:t>
      </w:r>
      <w:r w:rsidRPr="00B27BEC">
        <w:rPr>
          <w:i/>
          <w:iCs/>
        </w:rPr>
        <w:t>Water Management Act 2000</w:t>
      </w:r>
      <w:r w:rsidRPr="00B27BEC">
        <w:t xml:space="preserve">. These restrictions commenced on 4 November 2019 and prevented unregulated river licence holders along the Barwon and Darling Rivers upstream of Menindee from extracting water from the natural flow events. The temporary restrictions were in place along the Barwon River until 27 February 2020, while along the Darling River upstream of Menindee Lakes the restrictions were in place until 6 March 2020.    </w:t>
      </w:r>
    </w:p>
    <w:bookmarkEnd w:id="123"/>
    <w:p w14:paraId="534C9A99" w14:textId="77777777" w:rsidR="00B27BEC" w:rsidRPr="00B27BEC" w:rsidRDefault="00B27BEC" w:rsidP="00B27BEC">
      <w:r w:rsidRPr="00B27BEC">
        <w:t xml:space="preserve">Details of previous Commonwealth environmental use in the Barwon–Darling catchment are available at: </w:t>
      </w:r>
      <w:hyperlink r:id="rId194" w:history="1">
        <w:r w:rsidRPr="00B27BEC">
          <w:rPr>
            <w:rFonts w:cs="Times New Roman"/>
            <w:color w:val="0000FF"/>
            <w:u w:val="single"/>
          </w:rPr>
          <w:t>https://www.environment.gov.au/water/cewo/catchment/northern-unregulated-rivers/history</w:t>
        </w:r>
      </w:hyperlink>
    </w:p>
    <w:p w14:paraId="3CD3B6B9" w14:textId="77777777" w:rsidR="00B27BEC" w:rsidRPr="00B27BEC" w:rsidRDefault="00B27BEC" w:rsidP="00CD1566">
      <w:pPr>
        <w:keepNext/>
        <w:numPr>
          <w:ilvl w:val="3"/>
          <w:numId w:val="13"/>
        </w:numPr>
        <w:spacing w:before="240" w:after="240"/>
        <w:outlineLvl w:val="3"/>
        <w:rPr>
          <w:rFonts w:cs="Arial"/>
          <w:i/>
          <w:color w:val="5F497A" w:themeColor="accent4" w:themeShade="BF"/>
          <w:sz w:val="26"/>
          <w:szCs w:val="24"/>
          <w:lang w:val="en-GB"/>
        </w:rPr>
      </w:pPr>
      <w:r w:rsidRPr="00B27BEC">
        <w:rPr>
          <w:rFonts w:cs="Arial"/>
          <w:i/>
          <w:color w:val="5F497A" w:themeColor="accent4" w:themeShade="BF"/>
          <w:sz w:val="26"/>
          <w:szCs w:val="24"/>
          <w:lang w:val="en-GB"/>
        </w:rPr>
        <w:t>Seasonal outlook</w:t>
      </w:r>
    </w:p>
    <w:p w14:paraId="2115BA90" w14:textId="77777777" w:rsidR="00B27BEC" w:rsidRPr="00B27BEC" w:rsidRDefault="00B27BEC" w:rsidP="00B27BEC">
      <w:r w:rsidRPr="00B27BEC">
        <w:t xml:space="preserve">According to the Bureau of Meteorology outlook on 2 July 2020, above median rainfall is forecast across the Barwon–Darling system from August to October. While this forecast suggests that recent severe dry conditions may continue to ease somewhat, follow up rain over the forthcoming summer is needed to ensure continued recovery from the drought. Wetter conditions can return suddenly in the northern Basin. Maximum temperatures are also forecast to remain above average over the coming months.  </w:t>
      </w:r>
    </w:p>
    <w:p w14:paraId="59A2FA9B" w14:textId="77777777" w:rsidR="00B27BEC" w:rsidRPr="00B27BEC" w:rsidRDefault="00B27BEC" w:rsidP="00B27BEC">
      <w:pPr>
        <w:spacing w:after="0"/>
        <w:rPr>
          <w:rFonts w:cs="Arial"/>
          <w:i/>
          <w:color w:val="5F497A" w:themeColor="accent4" w:themeShade="BF"/>
          <w:sz w:val="26"/>
          <w:szCs w:val="24"/>
          <w:lang w:val="en-GB"/>
        </w:rPr>
      </w:pPr>
      <w:r w:rsidRPr="00B27BEC">
        <w:br w:type="page"/>
      </w:r>
    </w:p>
    <w:p w14:paraId="5C74F369" w14:textId="77777777" w:rsidR="00B27BEC" w:rsidRPr="00B27BEC" w:rsidRDefault="00B27BEC" w:rsidP="00CD1566">
      <w:pPr>
        <w:keepNext/>
        <w:numPr>
          <w:ilvl w:val="3"/>
          <w:numId w:val="13"/>
        </w:numPr>
        <w:spacing w:before="240" w:after="240"/>
        <w:outlineLvl w:val="3"/>
        <w:rPr>
          <w:rFonts w:cs="Arial"/>
          <w:i/>
          <w:color w:val="5F497A" w:themeColor="accent4" w:themeShade="BF"/>
          <w:sz w:val="26"/>
          <w:szCs w:val="24"/>
          <w:lang w:val="en-GB"/>
        </w:rPr>
      </w:pPr>
      <w:r w:rsidRPr="00B27BEC">
        <w:rPr>
          <w:rFonts w:cs="Arial"/>
          <w:i/>
          <w:color w:val="5F497A" w:themeColor="accent4" w:themeShade="BF"/>
          <w:sz w:val="26"/>
          <w:szCs w:val="24"/>
          <w:lang w:val="en-GB"/>
        </w:rPr>
        <w:lastRenderedPageBreak/>
        <w:t>Water availability</w:t>
      </w:r>
    </w:p>
    <w:p w14:paraId="0DAADA97" w14:textId="77777777" w:rsidR="00B27BEC" w:rsidRPr="00B27BEC" w:rsidRDefault="00B27BEC" w:rsidP="00B27BEC">
      <w:pPr>
        <w:keepNext/>
        <w:spacing w:before="120"/>
        <w:outlineLvl w:val="4"/>
        <w:rPr>
          <w:rFonts w:ascii="Calibri" w:hAnsi="Calibri" w:cs="Calibri"/>
          <w:i/>
          <w:color w:val="5F497A" w:themeColor="accent4" w:themeShade="BF"/>
          <w:szCs w:val="22"/>
          <w:lang w:val="en-GB" w:eastAsia="en-US"/>
        </w:rPr>
      </w:pPr>
      <w:r w:rsidRPr="00B27BEC">
        <w:rPr>
          <w:rFonts w:ascii="Calibri" w:hAnsi="Calibri" w:cs="Calibri"/>
          <w:i/>
          <w:color w:val="5F497A" w:themeColor="accent4" w:themeShade="BF"/>
          <w:szCs w:val="22"/>
          <w:lang w:val="en-GB" w:eastAsia="en-US"/>
        </w:rPr>
        <w:t>Unregulated held environmental water entitlements</w:t>
      </w:r>
    </w:p>
    <w:p w14:paraId="6E90855B" w14:textId="74242D6C" w:rsidR="00B27BEC" w:rsidRPr="00B27BEC" w:rsidRDefault="00B27BEC" w:rsidP="00B27BEC">
      <w:r w:rsidRPr="00B27BEC">
        <w:t xml:space="preserve">Commonwealth holdings of water for the environment in the Barwon–Darling system are exclusively made up of unregulated entitlements. These entitlements can only be sourced as a share of an unregulated flow event, determined by entitlement conditions. The list of unregulated entitlements held along the Barwon–Darling is shown in </w:t>
      </w:r>
      <w:r w:rsidRPr="00B27BEC">
        <w:fldChar w:fldCharType="begin"/>
      </w:r>
      <w:r w:rsidRPr="00B27BEC">
        <w:instrText xml:space="preserve"> REF _Ref43981479 \h  \* MERGEFORMAT </w:instrText>
      </w:r>
      <w:r w:rsidRPr="00B27BEC">
        <w:fldChar w:fldCharType="separate"/>
      </w:r>
      <w:r w:rsidR="001B2852" w:rsidRPr="001B2852">
        <w:t xml:space="preserve">Table </w:t>
      </w:r>
      <w:r w:rsidR="001B2852" w:rsidRPr="001B2852">
        <w:rPr>
          <w:noProof/>
        </w:rPr>
        <w:t>27</w:t>
      </w:r>
      <w:r w:rsidRPr="00B27BEC">
        <w:fldChar w:fldCharType="end"/>
      </w:r>
      <w:r w:rsidRPr="00B27BEC">
        <w:t>.</w:t>
      </w:r>
    </w:p>
    <w:p w14:paraId="3958DE3C" w14:textId="439DC4CD" w:rsidR="00B27BEC" w:rsidRPr="00B27BEC" w:rsidRDefault="00B27BEC" w:rsidP="00B27BEC">
      <w:bookmarkStart w:id="124" w:name="_Ref43981479"/>
      <w:r w:rsidRPr="00B27BEC">
        <w:rPr>
          <w:b/>
        </w:rPr>
        <w:t xml:space="preserve">Table </w:t>
      </w:r>
      <w:r w:rsidRPr="00B27BEC">
        <w:rPr>
          <w:b/>
        </w:rPr>
        <w:fldChar w:fldCharType="begin"/>
      </w:r>
      <w:r w:rsidRPr="00B27BEC">
        <w:rPr>
          <w:b/>
        </w:rPr>
        <w:instrText xml:space="preserve"> SEQ Table \* ARABIC </w:instrText>
      </w:r>
      <w:r w:rsidRPr="00B27BEC">
        <w:rPr>
          <w:b/>
        </w:rPr>
        <w:fldChar w:fldCharType="separate"/>
      </w:r>
      <w:r w:rsidR="001B2852">
        <w:rPr>
          <w:b/>
          <w:noProof/>
        </w:rPr>
        <w:t>27</w:t>
      </w:r>
      <w:r w:rsidRPr="00B27BEC">
        <w:rPr>
          <w:b/>
        </w:rPr>
        <w:fldChar w:fldCharType="end"/>
      </w:r>
      <w:bookmarkEnd w:id="124"/>
      <w:r w:rsidRPr="00B27BEC">
        <w:t xml:space="preserve">: </w:t>
      </w:r>
      <w:r w:rsidRPr="00B27BEC">
        <w:rPr>
          <w:lang w:val="en"/>
        </w:rPr>
        <w:t xml:space="preserve">Unregulated </w:t>
      </w:r>
      <w:r w:rsidRPr="00B27BEC">
        <w:rPr>
          <w:rFonts w:eastAsia="Calibri"/>
          <w:lang w:val="en"/>
        </w:rPr>
        <w:t xml:space="preserve">Commonwealth environmental water entitlements </w:t>
      </w:r>
      <w:r w:rsidRPr="00B27BEC">
        <w:rPr>
          <w:rFonts w:eastAsia="Calibri"/>
          <w:lang w:eastAsia="en-US"/>
        </w:rPr>
        <w:t>in the Barwon-Darling system</w:t>
      </w:r>
      <w:r w:rsidRPr="00B27BEC">
        <w:rPr>
          <w:rFonts w:ascii="Arial" w:eastAsia="Calibri" w:hAnsi="Arial" w:cs="Arial"/>
          <w:sz w:val="20"/>
          <w:lang w:eastAsia="en-US"/>
        </w:rPr>
        <w:t>.</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3260"/>
        <w:gridCol w:w="2127"/>
        <w:gridCol w:w="1984"/>
      </w:tblGrid>
      <w:tr w:rsidR="00B27BEC" w:rsidRPr="00B27BEC" w14:paraId="31D42BC7" w14:textId="77777777" w:rsidTr="00B27BEC">
        <w:trPr>
          <w:trHeight w:val="510"/>
        </w:trPr>
        <w:tc>
          <w:tcPr>
            <w:tcW w:w="1838" w:type="dxa"/>
            <w:shd w:val="clear" w:color="auto" w:fill="B6DDE8" w:themeFill="accent5" w:themeFillTint="66"/>
            <w:vAlign w:val="center"/>
            <w:hideMark/>
          </w:tcPr>
          <w:p w14:paraId="2152661C" w14:textId="77777777" w:rsidR="00B27BEC" w:rsidRPr="00B27BEC" w:rsidRDefault="00B27BEC" w:rsidP="00B27BEC">
            <w:pPr>
              <w:jc w:val="center"/>
              <w:outlineLvl w:val="7"/>
              <w:rPr>
                <w:rFonts w:cstheme="minorHAnsi"/>
                <w:b/>
                <w:lang w:val="en-GB" w:eastAsia="en-US"/>
              </w:rPr>
            </w:pPr>
            <w:r w:rsidRPr="00B27BEC">
              <w:rPr>
                <w:rFonts w:cstheme="minorHAnsi"/>
                <w:b/>
                <w:lang w:val="en-GB" w:eastAsia="en-US"/>
              </w:rPr>
              <w:t>Water Access License (WAL)</w:t>
            </w:r>
          </w:p>
        </w:tc>
        <w:tc>
          <w:tcPr>
            <w:tcW w:w="3260" w:type="dxa"/>
            <w:shd w:val="clear" w:color="auto" w:fill="B6DDE8" w:themeFill="accent5" w:themeFillTint="66"/>
            <w:vAlign w:val="center"/>
            <w:hideMark/>
          </w:tcPr>
          <w:p w14:paraId="7124107E" w14:textId="77777777" w:rsidR="00B27BEC" w:rsidRPr="00B27BEC" w:rsidRDefault="00B27BEC" w:rsidP="00B27BEC">
            <w:pPr>
              <w:jc w:val="center"/>
              <w:outlineLvl w:val="7"/>
              <w:rPr>
                <w:rFonts w:cstheme="minorHAnsi"/>
                <w:b/>
                <w:lang w:val="en-GB" w:eastAsia="en-US"/>
              </w:rPr>
            </w:pPr>
            <w:r w:rsidRPr="00B27BEC">
              <w:rPr>
                <w:rFonts w:cstheme="minorHAnsi"/>
                <w:b/>
                <w:lang w:val="en-GB" w:eastAsia="en-US"/>
              </w:rPr>
              <w:t>Water Management Zone</w:t>
            </w:r>
          </w:p>
        </w:tc>
        <w:tc>
          <w:tcPr>
            <w:tcW w:w="2127" w:type="dxa"/>
            <w:shd w:val="clear" w:color="auto" w:fill="B6DDE8" w:themeFill="accent5" w:themeFillTint="66"/>
            <w:vAlign w:val="center"/>
          </w:tcPr>
          <w:p w14:paraId="0F99A730" w14:textId="77777777" w:rsidR="00B27BEC" w:rsidRPr="00B27BEC" w:rsidRDefault="00B27BEC" w:rsidP="00B27BEC">
            <w:pPr>
              <w:jc w:val="center"/>
              <w:outlineLvl w:val="7"/>
              <w:rPr>
                <w:rFonts w:cstheme="minorHAnsi"/>
                <w:b/>
                <w:lang w:val="en-GB" w:eastAsia="en-US"/>
              </w:rPr>
            </w:pPr>
            <w:r w:rsidRPr="00B27BEC">
              <w:rPr>
                <w:rFonts w:cstheme="minorHAnsi"/>
                <w:b/>
                <w:lang w:val="en-GB" w:eastAsia="en-US"/>
              </w:rPr>
              <w:t>Class</w:t>
            </w:r>
          </w:p>
        </w:tc>
        <w:tc>
          <w:tcPr>
            <w:tcW w:w="1984" w:type="dxa"/>
            <w:shd w:val="clear" w:color="auto" w:fill="B6DDE8" w:themeFill="accent5" w:themeFillTint="66"/>
            <w:vAlign w:val="center"/>
            <w:hideMark/>
          </w:tcPr>
          <w:p w14:paraId="14AFA831" w14:textId="77777777" w:rsidR="00B27BEC" w:rsidRPr="00B27BEC" w:rsidRDefault="00B27BEC" w:rsidP="00B27BEC">
            <w:pPr>
              <w:jc w:val="center"/>
              <w:outlineLvl w:val="7"/>
              <w:rPr>
                <w:rFonts w:cstheme="minorHAnsi"/>
                <w:b/>
                <w:lang w:val="en-GB" w:eastAsia="en-US"/>
              </w:rPr>
            </w:pPr>
            <w:r w:rsidRPr="00B27BEC">
              <w:rPr>
                <w:rFonts w:cstheme="minorHAnsi"/>
                <w:b/>
                <w:lang w:val="en-GB" w:eastAsia="en-US"/>
              </w:rPr>
              <w:t>Long-term Average Annual Allocation (ML)</w:t>
            </w:r>
          </w:p>
        </w:tc>
      </w:tr>
      <w:tr w:rsidR="00B27BEC" w:rsidRPr="00B27BEC" w14:paraId="58BB684A" w14:textId="77777777" w:rsidTr="00B27BEC">
        <w:trPr>
          <w:trHeight w:val="284"/>
        </w:trPr>
        <w:tc>
          <w:tcPr>
            <w:tcW w:w="1838" w:type="dxa"/>
            <w:shd w:val="clear" w:color="auto" w:fill="auto"/>
            <w:noWrap/>
            <w:vAlign w:val="center"/>
          </w:tcPr>
          <w:p w14:paraId="33A0522D" w14:textId="77777777" w:rsidR="00B27BEC" w:rsidRPr="00B27BEC" w:rsidRDefault="00B27BEC" w:rsidP="00B27BEC">
            <w:pPr>
              <w:jc w:val="center"/>
            </w:pPr>
            <w:r w:rsidRPr="00B27BEC">
              <w:t>37810</w:t>
            </w:r>
          </w:p>
        </w:tc>
        <w:tc>
          <w:tcPr>
            <w:tcW w:w="3260" w:type="dxa"/>
            <w:shd w:val="clear" w:color="auto" w:fill="auto"/>
            <w:noWrap/>
            <w:vAlign w:val="center"/>
          </w:tcPr>
          <w:p w14:paraId="287D5CDE" w14:textId="77777777" w:rsidR="00B27BEC" w:rsidRPr="00B27BEC" w:rsidRDefault="00B27BEC" w:rsidP="00B27BEC">
            <w:pPr>
              <w:jc w:val="center"/>
            </w:pPr>
            <w:r w:rsidRPr="00B27BEC">
              <w:t>Boomi River Confluence to Mogil Mogil Weir Pool</w:t>
            </w:r>
          </w:p>
        </w:tc>
        <w:tc>
          <w:tcPr>
            <w:tcW w:w="2127" w:type="dxa"/>
            <w:shd w:val="clear" w:color="auto" w:fill="auto"/>
            <w:vAlign w:val="center"/>
          </w:tcPr>
          <w:p w14:paraId="6C60864A" w14:textId="77777777" w:rsidR="00B27BEC" w:rsidRPr="00B27BEC" w:rsidRDefault="00B27BEC" w:rsidP="00B27BEC">
            <w:pPr>
              <w:jc w:val="center"/>
            </w:pPr>
            <w:r w:rsidRPr="00B27BEC">
              <w:t>B</w:t>
            </w:r>
          </w:p>
        </w:tc>
        <w:tc>
          <w:tcPr>
            <w:tcW w:w="1984" w:type="dxa"/>
            <w:shd w:val="clear" w:color="auto" w:fill="auto"/>
            <w:noWrap/>
            <w:vAlign w:val="center"/>
          </w:tcPr>
          <w:p w14:paraId="4E0CB653" w14:textId="77777777" w:rsidR="00B27BEC" w:rsidRPr="00B27BEC" w:rsidRDefault="00B27BEC" w:rsidP="00B27BEC">
            <w:pPr>
              <w:jc w:val="center"/>
            </w:pPr>
            <w:r w:rsidRPr="00B27BEC">
              <w:t>3 731</w:t>
            </w:r>
          </w:p>
        </w:tc>
      </w:tr>
      <w:tr w:rsidR="00B27BEC" w:rsidRPr="00B27BEC" w14:paraId="7176CEC7" w14:textId="77777777" w:rsidTr="00B27BEC">
        <w:trPr>
          <w:trHeight w:val="284"/>
        </w:trPr>
        <w:tc>
          <w:tcPr>
            <w:tcW w:w="1838" w:type="dxa"/>
            <w:shd w:val="clear" w:color="auto" w:fill="auto"/>
            <w:noWrap/>
            <w:vAlign w:val="center"/>
          </w:tcPr>
          <w:p w14:paraId="289CCC6E" w14:textId="77777777" w:rsidR="00B27BEC" w:rsidRPr="00B27BEC" w:rsidRDefault="00B27BEC" w:rsidP="00B27BEC">
            <w:pPr>
              <w:jc w:val="center"/>
            </w:pPr>
            <w:r w:rsidRPr="00B27BEC">
              <w:t>33619</w:t>
            </w:r>
          </w:p>
        </w:tc>
        <w:tc>
          <w:tcPr>
            <w:tcW w:w="3260" w:type="dxa"/>
            <w:vMerge w:val="restart"/>
            <w:shd w:val="clear" w:color="auto" w:fill="auto"/>
            <w:noWrap/>
            <w:vAlign w:val="center"/>
          </w:tcPr>
          <w:p w14:paraId="225B60DE" w14:textId="77777777" w:rsidR="00B27BEC" w:rsidRPr="00B27BEC" w:rsidRDefault="00B27BEC" w:rsidP="00B27BEC">
            <w:pPr>
              <w:jc w:val="center"/>
            </w:pPr>
            <w:r w:rsidRPr="00B27BEC">
              <w:t>Downstream of Mogil Mogil to Collarenebri</w:t>
            </w:r>
          </w:p>
        </w:tc>
        <w:tc>
          <w:tcPr>
            <w:tcW w:w="2127" w:type="dxa"/>
            <w:shd w:val="clear" w:color="auto" w:fill="auto"/>
            <w:vAlign w:val="center"/>
          </w:tcPr>
          <w:p w14:paraId="269FF460" w14:textId="77777777" w:rsidR="00B27BEC" w:rsidRPr="00B27BEC" w:rsidRDefault="00B27BEC" w:rsidP="00B27BEC">
            <w:pPr>
              <w:jc w:val="center"/>
            </w:pPr>
            <w:r w:rsidRPr="00B27BEC">
              <w:t>B</w:t>
            </w:r>
          </w:p>
        </w:tc>
        <w:tc>
          <w:tcPr>
            <w:tcW w:w="1984" w:type="dxa"/>
            <w:shd w:val="clear" w:color="auto" w:fill="auto"/>
            <w:noWrap/>
            <w:vAlign w:val="center"/>
          </w:tcPr>
          <w:p w14:paraId="616EC48A" w14:textId="77777777" w:rsidR="00B27BEC" w:rsidRPr="00B27BEC" w:rsidRDefault="00B27BEC" w:rsidP="00B27BEC">
            <w:pPr>
              <w:jc w:val="center"/>
            </w:pPr>
            <w:r w:rsidRPr="00B27BEC">
              <w:t>9 252</w:t>
            </w:r>
          </w:p>
        </w:tc>
      </w:tr>
      <w:tr w:rsidR="00B27BEC" w:rsidRPr="00B27BEC" w14:paraId="04672A23" w14:textId="77777777" w:rsidTr="00B27BEC">
        <w:trPr>
          <w:trHeight w:val="235"/>
        </w:trPr>
        <w:tc>
          <w:tcPr>
            <w:tcW w:w="1838" w:type="dxa"/>
            <w:shd w:val="clear" w:color="auto" w:fill="auto"/>
            <w:noWrap/>
            <w:vAlign w:val="center"/>
          </w:tcPr>
          <w:p w14:paraId="75E790AA" w14:textId="77777777" w:rsidR="00B27BEC" w:rsidRPr="00B27BEC" w:rsidRDefault="00B27BEC" w:rsidP="00B27BEC">
            <w:pPr>
              <w:jc w:val="center"/>
            </w:pPr>
            <w:r w:rsidRPr="00B27BEC">
              <w:t>33798</w:t>
            </w:r>
          </w:p>
        </w:tc>
        <w:tc>
          <w:tcPr>
            <w:tcW w:w="3260" w:type="dxa"/>
            <w:vMerge/>
            <w:shd w:val="clear" w:color="auto" w:fill="auto"/>
            <w:noWrap/>
            <w:vAlign w:val="center"/>
          </w:tcPr>
          <w:p w14:paraId="4FA5CB02" w14:textId="77777777" w:rsidR="00B27BEC" w:rsidRPr="00B27BEC" w:rsidRDefault="00B27BEC" w:rsidP="00B27BEC">
            <w:pPr>
              <w:jc w:val="center"/>
            </w:pPr>
          </w:p>
        </w:tc>
        <w:tc>
          <w:tcPr>
            <w:tcW w:w="2127" w:type="dxa"/>
            <w:shd w:val="clear" w:color="auto" w:fill="auto"/>
            <w:vAlign w:val="center"/>
          </w:tcPr>
          <w:p w14:paraId="2669F24E" w14:textId="77777777" w:rsidR="00B27BEC" w:rsidRPr="00B27BEC" w:rsidRDefault="00B27BEC" w:rsidP="00B27BEC">
            <w:pPr>
              <w:jc w:val="center"/>
            </w:pPr>
            <w:r w:rsidRPr="00B27BEC">
              <w:t>C</w:t>
            </w:r>
          </w:p>
        </w:tc>
        <w:tc>
          <w:tcPr>
            <w:tcW w:w="1984" w:type="dxa"/>
            <w:shd w:val="clear" w:color="auto" w:fill="auto"/>
            <w:noWrap/>
            <w:vAlign w:val="center"/>
          </w:tcPr>
          <w:p w14:paraId="4981675D" w14:textId="77777777" w:rsidR="00B27BEC" w:rsidRPr="00B27BEC" w:rsidRDefault="00B27BEC" w:rsidP="00B27BEC">
            <w:pPr>
              <w:jc w:val="center"/>
            </w:pPr>
            <w:r w:rsidRPr="00B27BEC">
              <w:t>6 963</w:t>
            </w:r>
          </w:p>
        </w:tc>
      </w:tr>
      <w:tr w:rsidR="00B27BEC" w:rsidRPr="00B27BEC" w14:paraId="0860963B" w14:textId="77777777" w:rsidTr="00B27BEC">
        <w:trPr>
          <w:trHeight w:val="284"/>
        </w:trPr>
        <w:tc>
          <w:tcPr>
            <w:tcW w:w="1838" w:type="dxa"/>
            <w:shd w:val="clear" w:color="auto" w:fill="auto"/>
            <w:noWrap/>
            <w:vAlign w:val="center"/>
          </w:tcPr>
          <w:p w14:paraId="04C841E8" w14:textId="77777777" w:rsidR="00B27BEC" w:rsidRPr="00B27BEC" w:rsidRDefault="00B27BEC" w:rsidP="00B27BEC">
            <w:pPr>
              <w:jc w:val="center"/>
            </w:pPr>
            <w:r w:rsidRPr="00B27BEC">
              <w:t>37461</w:t>
            </w:r>
          </w:p>
        </w:tc>
        <w:tc>
          <w:tcPr>
            <w:tcW w:w="3260" w:type="dxa"/>
            <w:tcBorders>
              <w:bottom w:val="single" w:sz="4" w:space="0" w:color="auto"/>
            </w:tcBorders>
            <w:shd w:val="clear" w:color="auto" w:fill="auto"/>
            <w:noWrap/>
            <w:vAlign w:val="center"/>
          </w:tcPr>
          <w:p w14:paraId="119515CF" w14:textId="77777777" w:rsidR="00B27BEC" w:rsidRPr="00B27BEC" w:rsidRDefault="00B27BEC" w:rsidP="00B27BEC">
            <w:pPr>
              <w:jc w:val="center"/>
            </w:pPr>
            <w:r w:rsidRPr="00B27BEC">
              <w:t>Boorooma to Brewarrina</w:t>
            </w:r>
          </w:p>
        </w:tc>
        <w:tc>
          <w:tcPr>
            <w:tcW w:w="2127" w:type="dxa"/>
            <w:shd w:val="clear" w:color="auto" w:fill="auto"/>
            <w:vAlign w:val="center"/>
          </w:tcPr>
          <w:p w14:paraId="1F726657" w14:textId="77777777" w:rsidR="00B27BEC" w:rsidRPr="00B27BEC" w:rsidRDefault="00B27BEC" w:rsidP="00B27BEC">
            <w:pPr>
              <w:jc w:val="center"/>
            </w:pPr>
            <w:r w:rsidRPr="00B27BEC">
              <w:t>B</w:t>
            </w:r>
          </w:p>
        </w:tc>
        <w:tc>
          <w:tcPr>
            <w:tcW w:w="1984" w:type="dxa"/>
            <w:shd w:val="clear" w:color="auto" w:fill="auto"/>
            <w:noWrap/>
            <w:vAlign w:val="center"/>
          </w:tcPr>
          <w:p w14:paraId="02CCDDAB" w14:textId="77777777" w:rsidR="00B27BEC" w:rsidRPr="00B27BEC" w:rsidRDefault="00B27BEC" w:rsidP="00B27BEC">
            <w:pPr>
              <w:jc w:val="center"/>
            </w:pPr>
            <w:r w:rsidRPr="00B27BEC">
              <w:t>323</w:t>
            </w:r>
          </w:p>
        </w:tc>
      </w:tr>
      <w:tr w:rsidR="00B27BEC" w:rsidRPr="00B27BEC" w14:paraId="39E099E1" w14:textId="77777777" w:rsidTr="00B27BEC">
        <w:trPr>
          <w:trHeight w:val="284"/>
        </w:trPr>
        <w:tc>
          <w:tcPr>
            <w:tcW w:w="1838" w:type="dxa"/>
            <w:tcBorders>
              <w:right w:val="single" w:sz="4" w:space="0" w:color="auto"/>
            </w:tcBorders>
            <w:shd w:val="clear" w:color="auto" w:fill="auto"/>
            <w:noWrap/>
            <w:vAlign w:val="center"/>
            <w:hideMark/>
          </w:tcPr>
          <w:p w14:paraId="7C70163F" w14:textId="77777777" w:rsidR="00B27BEC" w:rsidRPr="00B27BEC" w:rsidRDefault="00B27BEC" w:rsidP="00B27BEC">
            <w:pPr>
              <w:jc w:val="center"/>
            </w:pPr>
            <w:r w:rsidRPr="00B27BEC">
              <w:t>33701</w:t>
            </w:r>
          </w:p>
        </w:tc>
        <w:tc>
          <w:tcPr>
            <w:tcW w:w="32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2644A" w14:textId="77777777" w:rsidR="00B27BEC" w:rsidRPr="00B27BEC" w:rsidRDefault="00B27BEC" w:rsidP="00B27BEC">
            <w:pPr>
              <w:jc w:val="center"/>
            </w:pPr>
            <w:r w:rsidRPr="00B27BEC">
              <w:t>Bourke To Louth</w:t>
            </w:r>
          </w:p>
        </w:tc>
        <w:tc>
          <w:tcPr>
            <w:tcW w:w="2127" w:type="dxa"/>
            <w:tcBorders>
              <w:left w:val="single" w:sz="4" w:space="0" w:color="auto"/>
            </w:tcBorders>
            <w:shd w:val="clear" w:color="auto" w:fill="auto"/>
            <w:vAlign w:val="center"/>
          </w:tcPr>
          <w:p w14:paraId="239E4DB7" w14:textId="77777777" w:rsidR="00B27BEC" w:rsidRPr="00B27BEC" w:rsidRDefault="00B27BEC" w:rsidP="00B27BEC">
            <w:pPr>
              <w:jc w:val="center"/>
            </w:pPr>
            <w:r w:rsidRPr="00B27BEC">
              <w:t>A</w:t>
            </w:r>
          </w:p>
        </w:tc>
        <w:tc>
          <w:tcPr>
            <w:tcW w:w="1984" w:type="dxa"/>
            <w:shd w:val="clear" w:color="auto" w:fill="auto"/>
            <w:noWrap/>
            <w:vAlign w:val="center"/>
            <w:hideMark/>
          </w:tcPr>
          <w:p w14:paraId="0B182F70" w14:textId="77777777" w:rsidR="00B27BEC" w:rsidRPr="00B27BEC" w:rsidRDefault="00B27BEC" w:rsidP="00B27BEC">
            <w:pPr>
              <w:jc w:val="center"/>
            </w:pPr>
            <w:r w:rsidRPr="00B27BEC">
              <w:t>51</w:t>
            </w:r>
          </w:p>
        </w:tc>
      </w:tr>
      <w:tr w:rsidR="00B27BEC" w:rsidRPr="00B27BEC" w14:paraId="450EB682" w14:textId="77777777" w:rsidTr="00B27BEC">
        <w:trPr>
          <w:trHeight w:val="274"/>
        </w:trPr>
        <w:tc>
          <w:tcPr>
            <w:tcW w:w="1838" w:type="dxa"/>
            <w:tcBorders>
              <w:right w:val="single" w:sz="4" w:space="0" w:color="auto"/>
            </w:tcBorders>
            <w:shd w:val="clear" w:color="auto" w:fill="auto"/>
            <w:noWrap/>
            <w:vAlign w:val="center"/>
            <w:hideMark/>
          </w:tcPr>
          <w:p w14:paraId="787C1D6F" w14:textId="77777777" w:rsidR="00B27BEC" w:rsidRPr="00B27BEC" w:rsidRDefault="00B27BEC" w:rsidP="00B27BEC">
            <w:pPr>
              <w:jc w:val="center"/>
            </w:pPr>
            <w:r w:rsidRPr="00B27BEC">
              <w:t>33704</w:t>
            </w:r>
          </w:p>
        </w:tc>
        <w:tc>
          <w:tcPr>
            <w:tcW w:w="326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4C821D37" w14:textId="77777777" w:rsidR="00B27BEC" w:rsidRPr="00B27BEC" w:rsidRDefault="00B27BEC" w:rsidP="00B27BEC">
            <w:pPr>
              <w:jc w:val="center"/>
            </w:pPr>
          </w:p>
        </w:tc>
        <w:tc>
          <w:tcPr>
            <w:tcW w:w="2127" w:type="dxa"/>
            <w:tcBorders>
              <w:left w:val="single" w:sz="4" w:space="0" w:color="auto"/>
            </w:tcBorders>
            <w:shd w:val="clear" w:color="auto" w:fill="auto"/>
            <w:vAlign w:val="center"/>
          </w:tcPr>
          <w:p w14:paraId="36A7A46B" w14:textId="77777777" w:rsidR="00B27BEC" w:rsidRPr="00B27BEC" w:rsidRDefault="00B27BEC" w:rsidP="00B27BEC">
            <w:pPr>
              <w:jc w:val="center"/>
            </w:pPr>
            <w:r w:rsidRPr="00B27BEC">
              <w:t>A</w:t>
            </w:r>
          </w:p>
        </w:tc>
        <w:tc>
          <w:tcPr>
            <w:tcW w:w="1984" w:type="dxa"/>
            <w:shd w:val="clear" w:color="auto" w:fill="auto"/>
            <w:noWrap/>
            <w:vAlign w:val="center"/>
            <w:hideMark/>
          </w:tcPr>
          <w:p w14:paraId="585B63C1" w14:textId="77777777" w:rsidR="00B27BEC" w:rsidRPr="00B27BEC" w:rsidRDefault="00B27BEC" w:rsidP="00B27BEC">
            <w:pPr>
              <w:jc w:val="center"/>
            </w:pPr>
            <w:r w:rsidRPr="00B27BEC">
              <w:t>22</w:t>
            </w:r>
          </w:p>
        </w:tc>
      </w:tr>
      <w:tr w:rsidR="00B27BEC" w:rsidRPr="00B27BEC" w14:paraId="2E4198F1" w14:textId="77777777" w:rsidTr="00B27BEC">
        <w:trPr>
          <w:trHeight w:val="167"/>
        </w:trPr>
        <w:tc>
          <w:tcPr>
            <w:tcW w:w="1838" w:type="dxa"/>
            <w:tcBorders>
              <w:right w:val="single" w:sz="4" w:space="0" w:color="auto"/>
            </w:tcBorders>
            <w:shd w:val="clear" w:color="auto" w:fill="auto"/>
            <w:noWrap/>
            <w:vAlign w:val="center"/>
            <w:hideMark/>
          </w:tcPr>
          <w:p w14:paraId="607C796F" w14:textId="77777777" w:rsidR="00B27BEC" w:rsidRPr="00B27BEC" w:rsidRDefault="00B27BEC" w:rsidP="00B27BEC">
            <w:pPr>
              <w:jc w:val="center"/>
            </w:pPr>
            <w:r w:rsidRPr="00B27BEC">
              <w:t>33784</w:t>
            </w:r>
          </w:p>
        </w:tc>
        <w:tc>
          <w:tcPr>
            <w:tcW w:w="326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224B79DB" w14:textId="77777777" w:rsidR="00B27BEC" w:rsidRPr="00B27BEC" w:rsidRDefault="00B27BEC" w:rsidP="00B27BEC">
            <w:pPr>
              <w:jc w:val="center"/>
            </w:pPr>
          </w:p>
        </w:tc>
        <w:tc>
          <w:tcPr>
            <w:tcW w:w="2127" w:type="dxa"/>
            <w:tcBorders>
              <w:left w:val="single" w:sz="4" w:space="0" w:color="auto"/>
            </w:tcBorders>
            <w:shd w:val="clear" w:color="auto" w:fill="auto"/>
            <w:vAlign w:val="center"/>
          </w:tcPr>
          <w:p w14:paraId="448E9AEE" w14:textId="77777777" w:rsidR="00B27BEC" w:rsidRPr="00B27BEC" w:rsidRDefault="00B27BEC" w:rsidP="00B27BEC">
            <w:pPr>
              <w:jc w:val="center"/>
            </w:pPr>
            <w:r w:rsidRPr="00B27BEC">
              <w:t>B</w:t>
            </w:r>
          </w:p>
        </w:tc>
        <w:tc>
          <w:tcPr>
            <w:tcW w:w="1984" w:type="dxa"/>
            <w:shd w:val="clear" w:color="auto" w:fill="auto"/>
            <w:noWrap/>
            <w:vAlign w:val="center"/>
            <w:hideMark/>
          </w:tcPr>
          <w:p w14:paraId="2DDA642B" w14:textId="77777777" w:rsidR="00B27BEC" w:rsidRPr="00B27BEC" w:rsidRDefault="00B27BEC" w:rsidP="00B27BEC">
            <w:pPr>
              <w:jc w:val="center"/>
            </w:pPr>
            <w:r w:rsidRPr="00B27BEC">
              <w:t>1 566</w:t>
            </w:r>
          </w:p>
        </w:tc>
      </w:tr>
      <w:tr w:rsidR="00B27BEC" w:rsidRPr="00B27BEC" w14:paraId="1EAA8064" w14:textId="77777777" w:rsidTr="00B27BEC">
        <w:trPr>
          <w:trHeight w:val="185"/>
        </w:trPr>
        <w:tc>
          <w:tcPr>
            <w:tcW w:w="1838" w:type="dxa"/>
            <w:tcBorders>
              <w:right w:val="single" w:sz="4" w:space="0" w:color="auto"/>
            </w:tcBorders>
            <w:shd w:val="clear" w:color="auto" w:fill="auto"/>
            <w:noWrap/>
            <w:vAlign w:val="center"/>
            <w:hideMark/>
          </w:tcPr>
          <w:p w14:paraId="25952ECB" w14:textId="77777777" w:rsidR="00B27BEC" w:rsidRPr="00B27BEC" w:rsidRDefault="00B27BEC" w:rsidP="00B27BEC">
            <w:pPr>
              <w:jc w:val="center"/>
            </w:pPr>
            <w:r w:rsidRPr="00B27BEC">
              <w:t>35944</w:t>
            </w:r>
          </w:p>
        </w:tc>
        <w:tc>
          <w:tcPr>
            <w:tcW w:w="326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30E208" w14:textId="77777777" w:rsidR="00B27BEC" w:rsidRPr="00B27BEC" w:rsidRDefault="00B27BEC" w:rsidP="00B27BEC">
            <w:pPr>
              <w:jc w:val="center"/>
            </w:pPr>
          </w:p>
        </w:tc>
        <w:tc>
          <w:tcPr>
            <w:tcW w:w="2127" w:type="dxa"/>
            <w:tcBorders>
              <w:left w:val="single" w:sz="4" w:space="0" w:color="auto"/>
            </w:tcBorders>
            <w:shd w:val="clear" w:color="auto" w:fill="auto"/>
            <w:vAlign w:val="center"/>
          </w:tcPr>
          <w:p w14:paraId="595C4743" w14:textId="77777777" w:rsidR="00B27BEC" w:rsidRPr="00B27BEC" w:rsidRDefault="00B27BEC" w:rsidP="00B27BEC">
            <w:pPr>
              <w:jc w:val="center"/>
            </w:pPr>
            <w:r w:rsidRPr="00B27BEC">
              <w:t>B</w:t>
            </w:r>
          </w:p>
        </w:tc>
        <w:tc>
          <w:tcPr>
            <w:tcW w:w="1984" w:type="dxa"/>
            <w:shd w:val="clear" w:color="auto" w:fill="auto"/>
            <w:noWrap/>
            <w:vAlign w:val="center"/>
            <w:hideMark/>
          </w:tcPr>
          <w:p w14:paraId="4426C6EE" w14:textId="77777777" w:rsidR="00B27BEC" w:rsidRPr="00B27BEC" w:rsidRDefault="00B27BEC" w:rsidP="00B27BEC">
            <w:pPr>
              <w:jc w:val="center"/>
            </w:pPr>
            <w:r w:rsidRPr="00B27BEC">
              <w:t>1 188</w:t>
            </w:r>
          </w:p>
        </w:tc>
      </w:tr>
      <w:tr w:rsidR="00B27BEC" w:rsidRPr="00B27BEC" w14:paraId="558774B3" w14:textId="77777777" w:rsidTr="00B27BEC">
        <w:trPr>
          <w:trHeight w:val="203"/>
        </w:trPr>
        <w:tc>
          <w:tcPr>
            <w:tcW w:w="1838" w:type="dxa"/>
            <w:tcBorders>
              <w:right w:val="single" w:sz="4" w:space="0" w:color="auto"/>
            </w:tcBorders>
            <w:shd w:val="clear" w:color="auto" w:fill="auto"/>
            <w:noWrap/>
            <w:vAlign w:val="center"/>
            <w:hideMark/>
          </w:tcPr>
          <w:p w14:paraId="0E0C2D56" w14:textId="77777777" w:rsidR="00B27BEC" w:rsidRPr="00B27BEC" w:rsidRDefault="00B27BEC" w:rsidP="00B27BEC">
            <w:pPr>
              <w:jc w:val="center"/>
            </w:pPr>
            <w:r w:rsidRPr="00B27BEC">
              <w:t>35943</w:t>
            </w:r>
          </w:p>
        </w:tc>
        <w:tc>
          <w:tcPr>
            <w:tcW w:w="326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0433E7C8" w14:textId="77777777" w:rsidR="00B27BEC" w:rsidRPr="00B27BEC" w:rsidRDefault="00B27BEC" w:rsidP="00B27BEC">
            <w:pPr>
              <w:jc w:val="center"/>
            </w:pPr>
          </w:p>
        </w:tc>
        <w:tc>
          <w:tcPr>
            <w:tcW w:w="2127" w:type="dxa"/>
            <w:tcBorders>
              <w:left w:val="single" w:sz="4" w:space="0" w:color="auto"/>
            </w:tcBorders>
            <w:shd w:val="clear" w:color="auto" w:fill="auto"/>
            <w:vAlign w:val="center"/>
          </w:tcPr>
          <w:p w14:paraId="564F8539" w14:textId="77777777" w:rsidR="00B27BEC" w:rsidRPr="00B27BEC" w:rsidRDefault="00B27BEC" w:rsidP="00B27BEC">
            <w:pPr>
              <w:jc w:val="center"/>
            </w:pPr>
            <w:r w:rsidRPr="00B27BEC">
              <w:t>C</w:t>
            </w:r>
          </w:p>
        </w:tc>
        <w:tc>
          <w:tcPr>
            <w:tcW w:w="1984" w:type="dxa"/>
            <w:shd w:val="clear" w:color="auto" w:fill="auto"/>
            <w:noWrap/>
            <w:vAlign w:val="center"/>
            <w:hideMark/>
          </w:tcPr>
          <w:p w14:paraId="43B6C3EF" w14:textId="77777777" w:rsidR="00B27BEC" w:rsidRPr="00B27BEC" w:rsidRDefault="00B27BEC" w:rsidP="00B27BEC">
            <w:pPr>
              <w:jc w:val="center"/>
            </w:pPr>
            <w:r w:rsidRPr="00B27BEC">
              <w:t>5 535</w:t>
            </w:r>
          </w:p>
        </w:tc>
      </w:tr>
    </w:tbl>
    <w:p w14:paraId="4894DECE" w14:textId="77777777" w:rsidR="00B27BEC" w:rsidRPr="00B27BEC" w:rsidRDefault="00B27BEC" w:rsidP="00B27BEC">
      <w:pPr>
        <w:spacing w:before="240"/>
      </w:pPr>
      <w:r w:rsidRPr="00B27BEC">
        <w:t xml:space="preserve">Available water for the environment using unregulated entitlements within the Barwon–Darling system depends </w:t>
      </w:r>
      <w:bookmarkStart w:id="125" w:name="_Hlk40451282"/>
      <w:r w:rsidRPr="00B27BEC">
        <w:t>on the nature of flow events that occur</w:t>
      </w:r>
      <w:bookmarkEnd w:id="125"/>
      <w:r w:rsidRPr="00B27BEC">
        <w:t xml:space="preserve">. Unregulated entitlements provide opportunistic access to unregulated river flows and overland flows when water resource plan rules are triggered. Each entitlement will contribute to restoring in-stream flows reflecting its flow class, daily take rates and location. </w:t>
      </w:r>
    </w:p>
    <w:p w14:paraId="12344E45" w14:textId="77777777" w:rsidR="00B27BEC" w:rsidRPr="00B27BEC" w:rsidRDefault="00B27BEC" w:rsidP="00B27BEC">
      <w:r w:rsidRPr="00B27BEC">
        <w:t xml:space="preserve">On a long-term average basis 28 631 megalitres of Commonwealth water for the environment is available in the Barwon–Darling system.  The amount of water available in each water varies, with above average volumes of Commonwealth water for the environment available in wet years and very small volumes available during dry times. </w:t>
      </w:r>
    </w:p>
    <w:p w14:paraId="7BAB60D7" w14:textId="77777777" w:rsidR="00B27BEC" w:rsidRPr="00B27BEC" w:rsidRDefault="00B27BEC" w:rsidP="00B27BEC">
      <w:pPr>
        <w:keepNext/>
        <w:spacing w:before="120"/>
        <w:outlineLvl w:val="4"/>
        <w:rPr>
          <w:rFonts w:ascii="Calibri" w:hAnsi="Calibri" w:cs="Calibri"/>
          <w:i/>
          <w:color w:val="5F497A" w:themeColor="accent4" w:themeShade="BF"/>
          <w:szCs w:val="22"/>
          <w:lang w:val="en-GB" w:eastAsia="en-US"/>
        </w:rPr>
      </w:pPr>
      <w:r w:rsidRPr="00B27BEC">
        <w:rPr>
          <w:rFonts w:ascii="Calibri" w:hAnsi="Calibri" w:cs="Calibri"/>
          <w:i/>
          <w:color w:val="5F497A" w:themeColor="accent4" w:themeShade="BF"/>
          <w:szCs w:val="22"/>
          <w:lang w:val="en-GB" w:eastAsia="en-US"/>
        </w:rPr>
        <w:t>Environmental water entitlements held in tributary systems</w:t>
      </w:r>
    </w:p>
    <w:p w14:paraId="78AF05A6" w14:textId="77777777" w:rsidR="00B27BEC" w:rsidRPr="00B27BEC" w:rsidRDefault="00B27BEC" w:rsidP="00B27BEC">
      <w:r w:rsidRPr="00B27BEC">
        <w:t>In addition to holdings within the Barwon–Darling system, held water for the environment delivered from within tributary systems of the Barwon–Darling can be delivered to the Barwon and Darling systems to enhance environmental outcomes in the Barwon and Darling Rivers. Active management enables water for the environment to be protected from extraction so it can remain in-stream and be used for environmental purposes.</w:t>
      </w:r>
    </w:p>
    <w:p w14:paraId="6D78A0B8" w14:textId="77777777" w:rsidR="00B27BEC" w:rsidRPr="00B27BEC" w:rsidRDefault="00B27BEC" w:rsidP="00B27BEC">
      <w:r w:rsidRPr="00B27BEC">
        <w:t xml:space="preserve">Regulated and supplementary entitlements of water for the environment held within tributary systems of the Barwon–Darling can be delivered to increase flows in the Barwon and Darling Rivers. The Northern Connectivity Event and Northern Fish Flow are examples of this type of use. In most regulated tributaries of the Barwon–Darling system account volumes for </w:t>
      </w:r>
      <w:bookmarkStart w:id="126" w:name="_Hlk41295860"/>
      <w:r w:rsidRPr="00B27BEC">
        <w:t xml:space="preserve">regulated entitlements held by the Commonwealth </w:t>
      </w:r>
      <w:bookmarkEnd w:id="126"/>
      <w:r w:rsidRPr="00B27BEC">
        <w:t>are currently low. This means use of regulated entitlements held by the Commonwealth to meet environmental outcomes in the Barwon–Darling is unlikely to occur during the 2020–21 water year.</w:t>
      </w:r>
    </w:p>
    <w:p w14:paraId="47BAB6F1" w14:textId="77777777" w:rsidR="00B27BEC" w:rsidRPr="00B27BEC" w:rsidRDefault="00B27BEC" w:rsidP="00B27BEC">
      <w:pPr>
        <w:spacing w:after="0"/>
        <w:rPr>
          <w:rFonts w:ascii="Calibri" w:hAnsi="Calibri" w:cs="Calibri"/>
          <w:i/>
          <w:color w:val="5F497A" w:themeColor="accent4" w:themeShade="BF"/>
          <w:szCs w:val="22"/>
          <w:lang w:val="en-GB" w:eastAsia="en-US"/>
        </w:rPr>
      </w:pPr>
      <w:r w:rsidRPr="00B27BEC">
        <w:br w:type="page"/>
      </w:r>
    </w:p>
    <w:p w14:paraId="61091E61" w14:textId="77777777" w:rsidR="00B27BEC" w:rsidRPr="00B27BEC" w:rsidRDefault="00B27BEC" w:rsidP="00B27BEC">
      <w:pPr>
        <w:keepNext/>
        <w:spacing w:before="120"/>
        <w:outlineLvl w:val="4"/>
        <w:rPr>
          <w:rFonts w:ascii="Calibri" w:hAnsi="Calibri" w:cs="Calibri"/>
          <w:i/>
          <w:color w:val="5F497A" w:themeColor="accent4" w:themeShade="BF"/>
          <w:szCs w:val="22"/>
          <w:lang w:val="en-GB" w:eastAsia="en-US"/>
        </w:rPr>
      </w:pPr>
      <w:r w:rsidRPr="00B27BEC">
        <w:rPr>
          <w:rFonts w:ascii="Calibri" w:hAnsi="Calibri" w:cs="Calibri"/>
          <w:i/>
          <w:color w:val="5F497A" w:themeColor="accent4" w:themeShade="BF"/>
          <w:szCs w:val="22"/>
          <w:lang w:val="en-GB" w:eastAsia="en-US"/>
        </w:rPr>
        <w:lastRenderedPageBreak/>
        <w:t>Supporting Policies</w:t>
      </w:r>
    </w:p>
    <w:p w14:paraId="35DF5F7B" w14:textId="77777777" w:rsidR="00B27BEC" w:rsidRPr="00B27BEC" w:rsidRDefault="00B27BEC" w:rsidP="00B27BEC">
      <w:pPr>
        <w:rPr>
          <w:szCs w:val="22"/>
        </w:rPr>
      </w:pPr>
      <w:r w:rsidRPr="00B27BEC">
        <w:t xml:space="preserve">To maximise environmental outcomes resulting from environmental water delivered from regulated tributaries as well as from the activation of unregulated entitlements along the Barwon–Darling will require </w:t>
      </w:r>
      <w:r w:rsidRPr="00B27BEC">
        <w:rPr>
          <w:szCs w:val="22"/>
        </w:rPr>
        <w:t>water for the environment to be protected from downstream extraction.</w:t>
      </w:r>
    </w:p>
    <w:p w14:paraId="555ECF45" w14:textId="77777777" w:rsidR="00B27BEC" w:rsidRPr="00B27BEC" w:rsidRDefault="00B27BEC" w:rsidP="00B27BEC">
      <w:r w:rsidRPr="00B27BEC">
        <w:t xml:space="preserve">Through implementation of the Water Reform Action Plan, the NSW Government is committed to improving the way in which water for the environment is managed in the NSW northern Murray–Darling Basin. As part of the Plan, the NSW Government is exploring changes to existing operational arrangements along the Barwon and Darling rivers to increase the level of management across the system. Known as active management, this will allow water for the environment to be protected from extraction and used instream for environmental purposes (referred to as active environmental water). Active management presents new but complex opportunities for managers of water for the environment. </w:t>
      </w:r>
    </w:p>
    <w:p w14:paraId="31425EE3" w14:textId="77777777" w:rsidR="00B27BEC" w:rsidRPr="00B27BEC" w:rsidRDefault="00B27BEC" w:rsidP="00CD1566">
      <w:pPr>
        <w:keepNext/>
        <w:numPr>
          <w:ilvl w:val="3"/>
          <w:numId w:val="13"/>
        </w:numPr>
        <w:spacing w:before="240" w:after="240"/>
        <w:outlineLvl w:val="3"/>
        <w:rPr>
          <w:rFonts w:cs="Arial"/>
          <w:i/>
          <w:color w:val="5F497A" w:themeColor="accent4" w:themeShade="BF"/>
          <w:sz w:val="26"/>
          <w:szCs w:val="24"/>
          <w:lang w:val="en-GB"/>
        </w:rPr>
      </w:pPr>
      <w:r w:rsidRPr="00B27BEC">
        <w:rPr>
          <w:rFonts w:cs="Arial"/>
          <w:i/>
          <w:color w:val="5F497A" w:themeColor="accent4" w:themeShade="BF"/>
          <w:sz w:val="26"/>
          <w:szCs w:val="24"/>
          <w:lang w:val="en-GB"/>
        </w:rPr>
        <w:t>Environmental demands</w:t>
      </w:r>
    </w:p>
    <w:p w14:paraId="5A3EF59E" w14:textId="0371E1D9" w:rsidR="00B27BEC" w:rsidRPr="00B27BEC" w:rsidRDefault="00B27BEC" w:rsidP="00B27BEC">
      <w:pPr>
        <w:rPr>
          <w:rFonts w:ascii="Century Gothic" w:hAnsi="Century Gothic"/>
        </w:rPr>
        <w:sectPr w:rsidR="00B27BEC" w:rsidRPr="00B27BEC" w:rsidSect="003737D8">
          <w:headerReference w:type="default" r:id="rId195"/>
          <w:footerReference w:type="default" r:id="rId196"/>
          <w:footerReference w:type="first" r:id="rId197"/>
          <w:footnotePr>
            <w:numRestart w:val="eachSect"/>
          </w:footnotePr>
          <w:pgSz w:w="11906" w:h="16838"/>
          <w:pgMar w:top="1134" w:right="1133" w:bottom="851" w:left="964" w:header="567" w:footer="397" w:gutter="0"/>
          <w:cols w:space="708"/>
          <w:docGrid w:linePitch="360"/>
        </w:sectPr>
      </w:pPr>
      <w:r w:rsidRPr="00B27BEC">
        <w:t xml:space="preserve">The environmental water demands for assets in the Barwon–Darling for the 2020–21 water year are represented in </w:t>
      </w:r>
      <w:r w:rsidRPr="00B27BEC">
        <w:fldChar w:fldCharType="begin"/>
      </w:r>
      <w:r w:rsidRPr="00B27BEC">
        <w:instrText xml:space="preserve"> REF _Ref43981560 \h  \* MERGEFORMAT </w:instrText>
      </w:r>
      <w:r w:rsidRPr="00B27BEC">
        <w:fldChar w:fldCharType="separate"/>
      </w:r>
      <w:r w:rsidR="001B2852" w:rsidRPr="001B2852">
        <w:t xml:space="preserve">Table </w:t>
      </w:r>
      <w:r w:rsidR="001B2852" w:rsidRPr="001B2852">
        <w:rPr>
          <w:noProof/>
        </w:rPr>
        <w:t>28</w:t>
      </w:r>
      <w:r w:rsidRPr="00B27BEC">
        <w:fldChar w:fldCharType="end"/>
      </w:r>
      <w:r w:rsidRPr="00B27BEC">
        <w:t xml:space="preserve">. These demands have been drawn from material presented in the draft Long-Term Water Plan, prepared by the NSW Government for the Barwon–Darling system.  </w:t>
      </w:r>
    </w:p>
    <w:p w14:paraId="3C618F5B" w14:textId="2F82A100" w:rsidR="00B27BEC" w:rsidRPr="00B27BEC" w:rsidRDefault="00B27BEC" w:rsidP="00B27BEC">
      <w:bookmarkStart w:id="127" w:name="_Ref43981560"/>
      <w:r w:rsidRPr="00B27BEC">
        <w:rPr>
          <w:b/>
        </w:rPr>
        <w:lastRenderedPageBreak/>
        <w:t xml:space="preserve">Table </w:t>
      </w:r>
      <w:r w:rsidRPr="00B27BEC">
        <w:rPr>
          <w:b/>
        </w:rPr>
        <w:fldChar w:fldCharType="begin"/>
      </w:r>
      <w:r w:rsidRPr="00B27BEC">
        <w:rPr>
          <w:b/>
        </w:rPr>
        <w:instrText xml:space="preserve"> SEQ Table \* ARABIC </w:instrText>
      </w:r>
      <w:r w:rsidRPr="00B27BEC">
        <w:rPr>
          <w:b/>
        </w:rPr>
        <w:fldChar w:fldCharType="separate"/>
      </w:r>
      <w:r w:rsidR="001B2852">
        <w:rPr>
          <w:b/>
          <w:noProof/>
        </w:rPr>
        <w:t>28</w:t>
      </w:r>
      <w:r w:rsidRPr="00B27BEC">
        <w:rPr>
          <w:b/>
        </w:rPr>
        <w:fldChar w:fldCharType="end"/>
      </w:r>
      <w:bookmarkEnd w:id="127"/>
      <w:r w:rsidRPr="00B27BEC">
        <w:t>: Environmental demands, priority for watering in 2020–21 and outlook for coming year along the Barwon–Darling system.</w:t>
      </w:r>
    </w:p>
    <w:tbl>
      <w:tblPr>
        <w:tblW w:w="496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64"/>
        <w:gridCol w:w="1607"/>
        <w:gridCol w:w="3948"/>
        <w:gridCol w:w="1411"/>
        <w:gridCol w:w="5918"/>
        <w:gridCol w:w="1895"/>
        <w:gridCol w:w="3040"/>
        <w:gridCol w:w="2253"/>
      </w:tblGrid>
      <w:tr w:rsidR="00B27BEC" w:rsidRPr="00B27BEC" w14:paraId="63BD5589" w14:textId="77777777" w:rsidTr="00B27BEC">
        <w:trPr>
          <w:trHeight w:val="307"/>
          <w:tblHeader/>
        </w:trPr>
        <w:tc>
          <w:tcPr>
            <w:tcW w:w="404" w:type="pct"/>
            <w:vMerge w:val="restart"/>
            <w:tcBorders>
              <w:top w:val="single" w:sz="12" w:space="0" w:color="auto"/>
              <w:bottom w:val="single" w:sz="4" w:space="0" w:color="auto"/>
            </w:tcBorders>
            <w:shd w:val="clear" w:color="auto" w:fill="B6DDE8" w:themeFill="accent5" w:themeFillTint="66"/>
            <w:vAlign w:val="center"/>
            <w:hideMark/>
          </w:tcPr>
          <w:p w14:paraId="05C5718D" w14:textId="77777777" w:rsidR="00B27BEC" w:rsidRPr="00B27BEC" w:rsidRDefault="00B27BEC" w:rsidP="00B27BEC">
            <w:pPr>
              <w:jc w:val="center"/>
              <w:outlineLvl w:val="7"/>
              <w:rPr>
                <w:rFonts w:cstheme="minorHAnsi"/>
                <w:b/>
                <w:sz w:val="18"/>
                <w:szCs w:val="18"/>
                <w:lang w:val="en-GB" w:eastAsia="en-US"/>
              </w:rPr>
            </w:pPr>
            <w:r w:rsidRPr="00B27BEC">
              <w:rPr>
                <w:rFonts w:cstheme="minorHAnsi"/>
                <w:b/>
                <w:sz w:val="18"/>
                <w:szCs w:val="18"/>
                <w:lang w:val="en-GB" w:eastAsia="en-US"/>
              </w:rPr>
              <w:t>Environmental assets</w:t>
            </w:r>
          </w:p>
        </w:tc>
        <w:tc>
          <w:tcPr>
            <w:tcW w:w="368" w:type="pct"/>
            <w:vMerge w:val="restart"/>
            <w:tcBorders>
              <w:top w:val="single" w:sz="12" w:space="0" w:color="auto"/>
              <w:bottom w:val="single" w:sz="4" w:space="0" w:color="auto"/>
            </w:tcBorders>
            <w:shd w:val="clear" w:color="auto" w:fill="B6DDE8" w:themeFill="accent5" w:themeFillTint="66"/>
            <w:vAlign w:val="center"/>
          </w:tcPr>
          <w:p w14:paraId="02A1D963" w14:textId="77777777" w:rsidR="00B27BEC" w:rsidRPr="00B27BEC" w:rsidRDefault="00B27BEC" w:rsidP="00B27BEC">
            <w:pPr>
              <w:jc w:val="center"/>
              <w:outlineLvl w:val="7"/>
              <w:rPr>
                <w:rFonts w:cstheme="minorHAnsi"/>
                <w:b/>
                <w:sz w:val="18"/>
                <w:szCs w:val="18"/>
                <w:lang w:val="en-GB" w:eastAsia="en-US"/>
              </w:rPr>
            </w:pPr>
            <w:r w:rsidRPr="00B27BEC">
              <w:rPr>
                <w:rFonts w:cstheme="minorHAnsi"/>
                <w:b/>
                <w:sz w:val="18"/>
                <w:szCs w:val="18"/>
                <w:lang w:val="en-GB" w:eastAsia="en-US"/>
              </w:rPr>
              <w:t>Target values</w:t>
            </w:r>
          </w:p>
        </w:tc>
        <w:tc>
          <w:tcPr>
            <w:tcW w:w="1227" w:type="pct"/>
            <w:gridSpan w:val="2"/>
            <w:tcBorders>
              <w:top w:val="single" w:sz="12" w:space="0" w:color="auto"/>
              <w:bottom w:val="single" w:sz="4" w:space="0" w:color="auto"/>
            </w:tcBorders>
            <w:shd w:val="clear" w:color="auto" w:fill="B6DDE8" w:themeFill="accent5" w:themeFillTint="66"/>
            <w:vAlign w:val="center"/>
            <w:hideMark/>
          </w:tcPr>
          <w:p w14:paraId="161D500F" w14:textId="77777777" w:rsidR="00B27BEC" w:rsidRPr="00B27BEC" w:rsidRDefault="00B27BEC" w:rsidP="00B27BEC">
            <w:pPr>
              <w:jc w:val="center"/>
              <w:outlineLvl w:val="7"/>
              <w:rPr>
                <w:rFonts w:cstheme="minorHAnsi"/>
                <w:b/>
                <w:sz w:val="18"/>
                <w:szCs w:val="18"/>
                <w:vertAlign w:val="superscript"/>
                <w:lang w:val="en-GB" w:eastAsia="en-US"/>
              </w:rPr>
            </w:pPr>
            <w:r w:rsidRPr="00B27BEC">
              <w:rPr>
                <w:rFonts w:cstheme="minorHAnsi"/>
                <w:b/>
                <w:sz w:val="18"/>
                <w:szCs w:val="18"/>
                <w:lang w:val="en-GB" w:eastAsia="en-US"/>
              </w:rPr>
              <w:t xml:space="preserve">Indicative demand (for </w:t>
            </w:r>
            <w:r w:rsidRPr="00B27BEC">
              <w:rPr>
                <w:rFonts w:cstheme="minorHAnsi"/>
                <w:b/>
                <w:sz w:val="18"/>
                <w:szCs w:val="18"/>
                <w:u w:val="single"/>
                <w:lang w:val="en-GB" w:eastAsia="en-US"/>
              </w:rPr>
              <w:t>all sources of water</w:t>
            </w:r>
            <w:r w:rsidRPr="00B27BEC">
              <w:rPr>
                <w:rFonts w:cstheme="minorHAnsi"/>
                <w:b/>
                <w:sz w:val="18"/>
                <w:szCs w:val="18"/>
                <w:lang w:val="en-GB" w:eastAsia="en-US"/>
              </w:rPr>
              <w:t xml:space="preserve"> in the system)</w:t>
            </w:r>
          </w:p>
        </w:tc>
        <w:tc>
          <w:tcPr>
            <w:tcW w:w="1355" w:type="pct"/>
            <w:tcBorders>
              <w:top w:val="single" w:sz="12" w:space="0" w:color="auto"/>
              <w:bottom w:val="single" w:sz="4" w:space="0" w:color="auto"/>
            </w:tcBorders>
            <w:shd w:val="clear" w:color="auto" w:fill="B6DDE8" w:themeFill="accent5" w:themeFillTint="66"/>
            <w:vAlign w:val="center"/>
            <w:hideMark/>
          </w:tcPr>
          <w:p w14:paraId="7D94FF8D" w14:textId="77777777" w:rsidR="00B27BEC" w:rsidRPr="00B27BEC" w:rsidRDefault="00B27BEC" w:rsidP="00B27BEC">
            <w:pPr>
              <w:jc w:val="center"/>
              <w:outlineLvl w:val="7"/>
              <w:rPr>
                <w:rFonts w:cstheme="minorHAnsi"/>
                <w:b/>
                <w:sz w:val="18"/>
                <w:szCs w:val="18"/>
                <w:lang w:val="en-GB" w:eastAsia="en-US"/>
              </w:rPr>
            </w:pPr>
            <w:r w:rsidRPr="00B27BEC">
              <w:rPr>
                <w:rFonts w:cstheme="minorHAnsi"/>
                <w:b/>
                <w:sz w:val="18"/>
                <w:szCs w:val="18"/>
                <w:lang w:val="en-GB" w:eastAsia="en-US"/>
              </w:rPr>
              <w:t>Watering history</w:t>
            </w:r>
          </w:p>
        </w:tc>
        <w:tc>
          <w:tcPr>
            <w:tcW w:w="1130" w:type="pct"/>
            <w:gridSpan w:val="2"/>
            <w:tcBorders>
              <w:top w:val="single" w:sz="12" w:space="0" w:color="auto"/>
              <w:bottom w:val="single" w:sz="4" w:space="0" w:color="auto"/>
            </w:tcBorders>
            <w:shd w:val="clear" w:color="auto" w:fill="B6DDE8" w:themeFill="accent5" w:themeFillTint="66"/>
            <w:vAlign w:val="center"/>
            <w:hideMark/>
          </w:tcPr>
          <w:p w14:paraId="581CCC97" w14:textId="77777777" w:rsidR="00B27BEC" w:rsidRPr="00B27BEC" w:rsidRDefault="00B27BEC" w:rsidP="00B27BEC">
            <w:pPr>
              <w:jc w:val="center"/>
              <w:outlineLvl w:val="7"/>
              <w:rPr>
                <w:rFonts w:cstheme="minorHAnsi"/>
                <w:b/>
                <w:color w:val="auto"/>
                <w:sz w:val="18"/>
                <w:szCs w:val="18"/>
                <w:lang w:val="en-GB" w:eastAsia="en-US"/>
              </w:rPr>
            </w:pPr>
            <w:r w:rsidRPr="00B27BEC">
              <w:rPr>
                <w:rFonts w:cstheme="minorHAnsi"/>
                <w:b/>
                <w:color w:val="auto"/>
                <w:sz w:val="18"/>
                <w:szCs w:val="18"/>
                <w:lang w:val="en-GB" w:eastAsia="en-US"/>
              </w:rPr>
              <w:t>2020–21</w:t>
            </w:r>
          </w:p>
        </w:tc>
        <w:tc>
          <w:tcPr>
            <w:tcW w:w="516" w:type="pct"/>
            <w:tcBorders>
              <w:top w:val="single" w:sz="12" w:space="0" w:color="auto"/>
              <w:bottom w:val="single" w:sz="4" w:space="0" w:color="auto"/>
            </w:tcBorders>
            <w:shd w:val="clear" w:color="auto" w:fill="B6DDE8" w:themeFill="accent5" w:themeFillTint="66"/>
            <w:vAlign w:val="center"/>
            <w:hideMark/>
          </w:tcPr>
          <w:p w14:paraId="63E1AD2C" w14:textId="77777777" w:rsidR="00B27BEC" w:rsidRPr="00B27BEC" w:rsidRDefault="00B27BEC" w:rsidP="00B27BEC">
            <w:pPr>
              <w:jc w:val="center"/>
              <w:outlineLvl w:val="7"/>
              <w:rPr>
                <w:rFonts w:cstheme="minorHAnsi"/>
                <w:b/>
                <w:color w:val="auto"/>
                <w:sz w:val="18"/>
                <w:szCs w:val="18"/>
                <w:lang w:val="en-GB" w:eastAsia="en-US"/>
              </w:rPr>
            </w:pPr>
            <w:r w:rsidRPr="00B27BEC">
              <w:rPr>
                <w:rFonts w:cstheme="minorHAnsi"/>
                <w:b/>
                <w:color w:val="auto"/>
                <w:sz w:val="18"/>
                <w:szCs w:val="18"/>
                <w:lang w:val="en-GB" w:eastAsia="en-US"/>
              </w:rPr>
              <w:t>Implications for future demands</w:t>
            </w:r>
          </w:p>
        </w:tc>
      </w:tr>
      <w:tr w:rsidR="00B27BEC" w:rsidRPr="00B27BEC" w14:paraId="6D1040FF" w14:textId="77777777" w:rsidTr="00B27BEC">
        <w:trPr>
          <w:trHeight w:val="706"/>
          <w:tblHeader/>
        </w:trPr>
        <w:tc>
          <w:tcPr>
            <w:tcW w:w="404" w:type="pct"/>
            <w:vMerge/>
            <w:tcBorders>
              <w:top w:val="single" w:sz="4" w:space="0" w:color="auto"/>
              <w:bottom w:val="single" w:sz="12" w:space="0" w:color="auto"/>
            </w:tcBorders>
            <w:shd w:val="clear" w:color="auto" w:fill="B6DDE8" w:themeFill="accent5" w:themeFillTint="66"/>
            <w:vAlign w:val="center"/>
            <w:hideMark/>
          </w:tcPr>
          <w:p w14:paraId="71875FD4" w14:textId="77777777" w:rsidR="00B27BEC" w:rsidRPr="00B27BEC" w:rsidRDefault="00B27BEC" w:rsidP="00B27BEC">
            <w:pPr>
              <w:jc w:val="center"/>
              <w:outlineLvl w:val="7"/>
              <w:rPr>
                <w:rFonts w:cstheme="minorHAnsi"/>
                <w:b/>
                <w:sz w:val="18"/>
                <w:szCs w:val="18"/>
                <w:lang w:val="en-GB" w:eastAsia="en-US"/>
              </w:rPr>
            </w:pPr>
          </w:p>
        </w:tc>
        <w:tc>
          <w:tcPr>
            <w:tcW w:w="368" w:type="pct"/>
            <w:vMerge/>
            <w:tcBorders>
              <w:top w:val="single" w:sz="4" w:space="0" w:color="auto"/>
              <w:bottom w:val="single" w:sz="12" w:space="0" w:color="auto"/>
            </w:tcBorders>
            <w:shd w:val="clear" w:color="auto" w:fill="B6DDE8" w:themeFill="accent5" w:themeFillTint="66"/>
          </w:tcPr>
          <w:p w14:paraId="717439E7" w14:textId="77777777" w:rsidR="00B27BEC" w:rsidRPr="00B27BEC" w:rsidRDefault="00B27BEC" w:rsidP="00B27BEC">
            <w:pPr>
              <w:jc w:val="center"/>
              <w:outlineLvl w:val="7"/>
              <w:rPr>
                <w:rFonts w:cstheme="minorHAnsi"/>
                <w:b/>
                <w:sz w:val="18"/>
                <w:szCs w:val="18"/>
                <w:lang w:val="en-GB" w:eastAsia="en-US"/>
              </w:rPr>
            </w:pPr>
          </w:p>
        </w:tc>
        <w:tc>
          <w:tcPr>
            <w:tcW w:w="904" w:type="pct"/>
            <w:tcBorders>
              <w:top w:val="single" w:sz="4" w:space="0" w:color="auto"/>
              <w:bottom w:val="single" w:sz="12" w:space="0" w:color="auto"/>
            </w:tcBorders>
            <w:shd w:val="clear" w:color="auto" w:fill="B6DDE8" w:themeFill="accent5" w:themeFillTint="66"/>
            <w:vAlign w:val="center"/>
            <w:hideMark/>
          </w:tcPr>
          <w:p w14:paraId="12DE56B8" w14:textId="77777777" w:rsidR="00B27BEC" w:rsidRPr="00B27BEC" w:rsidRDefault="00B27BEC" w:rsidP="00B27BEC">
            <w:pPr>
              <w:jc w:val="center"/>
              <w:outlineLvl w:val="7"/>
              <w:rPr>
                <w:rFonts w:cstheme="minorHAnsi"/>
                <w:b/>
                <w:sz w:val="18"/>
                <w:szCs w:val="18"/>
                <w:lang w:val="en-GB" w:eastAsia="en-US"/>
              </w:rPr>
            </w:pPr>
            <w:r w:rsidRPr="00B27BEC">
              <w:rPr>
                <w:rFonts w:cstheme="minorHAnsi"/>
                <w:b/>
                <w:sz w:val="18"/>
                <w:szCs w:val="18"/>
                <w:lang w:val="en-GB" w:eastAsia="en-US"/>
              </w:rPr>
              <w:t>Flow/Volume</w:t>
            </w:r>
          </w:p>
        </w:tc>
        <w:tc>
          <w:tcPr>
            <w:tcW w:w="323" w:type="pct"/>
            <w:tcBorders>
              <w:top w:val="single" w:sz="4" w:space="0" w:color="auto"/>
              <w:bottom w:val="single" w:sz="12" w:space="0" w:color="auto"/>
            </w:tcBorders>
            <w:shd w:val="clear" w:color="auto" w:fill="B6DDE8" w:themeFill="accent5" w:themeFillTint="66"/>
            <w:vAlign w:val="center"/>
            <w:hideMark/>
          </w:tcPr>
          <w:p w14:paraId="76B197CC" w14:textId="77777777" w:rsidR="00B27BEC" w:rsidRPr="00B27BEC" w:rsidRDefault="00B27BEC" w:rsidP="00B27BEC">
            <w:pPr>
              <w:jc w:val="center"/>
              <w:outlineLvl w:val="7"/>
              <w:rPr>
                <w:rFonts w:cstheme="minorHAnsi"/>
                <w:b/>
                <w:sz w:val="18"/>
                <w:szCs w:val="18"/>
                <w:lang w:val="en-GB" w:eastAsia="en-US"/>
              </w:rPr>
            </w:pPr>
            <w:r w:rsidRPr="00B27BEC">
              <w:rPr>
                <w:rFonts w:cstheme="minorHAnsi"/>
                <w:b/>
                <w:sz w:val="18"/>
                <w:szCs w:val="18"/>
                <w:lang w:val="en-GB" w:eastAsia="en-US"/>
              </w:rPr>
              <w:t>Required frequency (maximum dry interval)</w:t>
            </w:r>
          </w:p>
        </w:tc>
        <w:tc>
          <w:tcPr>
            <w:tcW w:w="1355" w:type="pct"/>
            <w:tcBorders>
              <w:top w:val="single" w:sz="4" w:space="0" w:color="auto"/>
              <w:bottom w:val="single" w:sz="12" w:space="0" w:color="auto"/>
            </w:tcBorders>
            <w:shd w:val="clear" w:color="auto" w:fill="B6DDE8" w:themeFill="accent5" w:themeFillTint="66"/>
            <w:vAlign w:val="center"/>
            <w:hideMark/>
          </w:tcPr>
          <w:p w14:paraId="16196DD7" w14:textId="77777777" w:rsidR="00B27BEC" w:rsidRPr="00B27BEC" w:rsidRDefault="00B27BEC" w:rsidP="00B27BEC">
            <w:pPr>
              <w:jc w:val="center"/>
              <w:outlineLvl w:val="7"/>
              <w:rPr>
                <w:rFonts w:cstheme="minorHAnsi"/>
                <w:b/>
                <w:sz w:val="18"/>
                <w:szCs w:val="18"/>
                <w:lang w:val="en-GB" w:eastAsia="en-US"/>
              </w:rPr>
            </w:pPr>
            <w:r w:rsidRPr="00B27BEC">
              <w:rPr>
                <w:rFonts w:cstheme="minorHAnsi"/>
                <w:b/>
                <w:sz w:val="18"/>
                <w:szCs w:val="18"/>
                <w:lang w:val="en-GB" w:eastAsia="en-US"/>
              </w:rPr>
              <w:t>(from all sources of water)</w:t>
            </w:r>
          </w:p>
        </w:tc>
        <w:tc>
          <w:tcPr>
            <w:tcW w:w="434" w:type="pct"/>
            <w:tcBorders>
              <w:top w:val="single" w:sz="4" w:space="0" w:color="auto"/>
              <w:bottom w:val="single" w:sz="12" w:space="0" w:color="auto"/>
            </w:tcBorders>
            <w:shd w:val="clear" w:color="auto" w:fill="B6DDE8" w:themeFill="accent5" w:themeFillTint="66"/>
            <w:vAlign w:val="center"/>
            <w:hideMark/>
          </w:tcPr>
          <w:p w14:paraId="689786FA" w14:textId="77777777" w:rsidR="00B27BEC" w:rsidRPr="00B27BEC" w:rsidRDefault="00B27BEC" w:rsidP="00B27BEC">
            <w:pPr>
              <w:jc w:val="center"/>
              <w:outlineLvl w:val="7"/>
              <w:rPr>
                <w:rFonts w:cstheme="minorHAnsi"/>
                <w:b/>
                <w:color w:val="auto"/>
                <w:sz w:val="18"/>
                <w:szCs w:val="18"/>
                <w:lang w:val="en-GB" w:eastAsia="en-US"/>
              </w:rPr>
            </w:pPr>
            <w:r w:rsidRPr="00B27BEC">
              <w:rPr>
                <w:rFonts w:cstheme="minorHAnsi"/>
                <w:b/>
                <w:color w:val="auto"/>
                <w:sz w:val="18"/>
                <w:szCs w:val="18"/>
                <w:lang w:val="en-GB" w:eastAsia="en-US"/>
              </w:rPr>
              <w:t>Environmental demands for water (all sources)</w:t>
            </w:r>
          </w:p>
        </w:tc>
        <w:tc>
          <w:tcPr>
            <w:tcW w:w="696" w:type="pct"/>
            <w:tcBorders>
              <w:top w:val="single" w:sz="4" w:space="0" w:color="auto"/>
              <w:bottom w:val="single" w:sz="12" w:space="0" w:color="auto"/>
            </w:tcBorders>
            <w:shd w:val="clear" w:color="auto" w:fill="B6DDE8" w:themeFill="accent5" w:themeFillTint="66"/>
            <w:vAlign w:val="center"/>
            <w:hideMark/>
          </w:tcPr>
          <w:p w14:paraId="182215AA" w14:textId="77777777" w:rsidR="00B27BEC" w:rsidRPr="00B27BEC" w:rsidRDefault="00B27BEC" w:rsidP="00B27BEC">
            <w:pPr>
              <w:jc w:val="center"/>
              <w:outlineLvl w:val="7"/>
              <w:rPr>
                <w:rFonts w:cstheme="minorHAnsi"/>
                <w:b/>
                <w:color w:val="auto"/>
                <w:sz w:val="18"/>
                <w:szCs w:val="18"/>
                <w:lang w:val="en-GB" w:eastAsia="en-US"/>
              </w:rPr>
            </w:pPr>
            <w:r w:rsidRPr="00B27BEC">
              <w:rPr>
                <w:rFonts w:cstheme="minorHAnsi"/>
                <w:b/>
                <w:color w:val="auto"/>
                <w:sz w:val="18"/>
                <w:szCs w:val="18"/>
                <w:lang w:val="en-GB" w:eastAsia="en-US"/>
              </w:rPr>
              <w:t>Potential Commonwealth environmental water contribution?</w:t>
            </w:r>
          </w:p>
        </w:tc>
        <w:tc>
          <w:tcPr>
            <w:tcW w:w="516" w:type="pct"/>
            <w:tcBorders>
              <w:top w:val="single" w:sz="4" w:space="0" w:color="auto"/>
              <w:bottom w:val="single" w:sz="12" w:space="0" w:color="auto"/>
            </w:tcBorders>
            <w:shd w:val="clear" w:color="auto" w:fill="B6DDE8" w:themeFill="accent5" w:themeFillTint="66"/>
            <w:vAlign w:val="center"/>
            <w:hideMark/>
          </w:tcPr>
          <w:p w14:paraId="6EA5E35C" w14:textId="77777777" w:rsidR="00B27BEC" w:rsidRPr="00B27BEC" w:rsidRDefault="00B27BEC" w:rsidP="00B27BEC">
            <w:pPr>
              <w:jc w:val="center"/>
              <w:outlineLvl w:val="7"/>
              <w:rPr>
                <w:rFonts w:cstheme="minorHAnsi"/>
                <w:b/>
                <w:color w:val="auto"/>
                <w:sz w:val="18"/>
                <w:szCs w:val="18"/>
                <w:lang w:val="en-GB" w:eastAsia="en-US"/>
              </w:rPr>
            </w:pPr>
            <w:r w:rsidRPr="00B27BEC">
              <w:rPr>
                <w:rFonts w:cstheme="minorHAnsi"/>
                <w:b/>
                <w:color w:val="auto"/>
                <w:sz w:val="18"/>
                <w:szCs w:val="18"/>
                <w:lang w:val="en-GB" w:eastAsia="en-US"/>
              </w:rPr>
              <w:t>Likely urgency of demand in 2021–22 if watering occurred as planned in 2020–21</w:t>
            </w:r>
          </w:p>
        </w:tc>
      </w:tr>
      <w:tr w:rsidR="00B27BEC" w:rsidRPr="00B27BEC" w14:paraId="21BACE5C" w14:textId="77777777" w:rsidTr="00B27BEC">
        <w:trPr>
          <w:trHeight w:val="3277"/>
        </w:trPr>
        <w:tc>
          <w:tcPr>
            <w:tcW w:w="404" w:type="pct"/>
            <w:vMerge w:val="restart"/>
            <w:tcBorders>
              <w:top w:val="single" w:sz="12" w:space="0" w:color="auto"/>
            </w:tcBorders>
            <w:shd w:val="clear" w:color="auto" w:fill="auto"/>
          </w:tcPr>
          <w:p w14:paraId="239A6B27" w14:textId="77777777" w:rsidR="00B27BEC" w:rsidRPr="00B27BEC" w:rsidRDefault="00B27BEC" w:rsidP="00B27BEC">
            <w:pPr>
              <w:outlineLvl w:val="7"/>
              <w:rPr>
                <w:rFonts w:cstheme="minorHAnsi"/>
                <w:sz w:val="18"/>
                <w:szCs w:val="18"/>
                <w:lang w:val="en-GB" w:eastAsia="en-US"/>
              </w:rPr>
            </w:pPr>
            <w:bookmarkStart w:id="128" w:name="_Hlk41248156"/>
            <w:r w:rsidRPr="00B27BEC">
              <w:rPr>
                <w:rFonts w:cstheme="minorHAnsi"/>
                <w:sz w:val="18"/>
                <w:szCs w:val="18"/>
                <w:lang w:val="en-GB" w:eastAsia="en-US"/>
              </w:rPr>
              <w:t>Refuge pools along the Barwon and Darling rivers</w:t>
            </w:r>
          </w:p>
          <w:p w14:paraId="760D7C06"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Refuge habitat</w:t>
            </w:r>
          </w:p>
          <w:p w14:paraId="7E5BEF9B"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Native fish</w:t>
            </w:r>
          </w:p>
          <w:p w14:paraId="28041036"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Water quality</w:t>
            </w:r>
          </w:p>
          <w:p w14:paraId="3EEEA7AE"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 xml:space="preserve">Aquatic invertebrate species </w:t>
            </w:r>
          </w:p>
          <w:p w14:paraId="64A3A3A9" w14:textId="77777777" w:rsidR="00B27BEC" w:rsidRPr="00B27BEC" w:rsidRDefault="00B27BEC" w:rsidP="00B27BEC">
            <w:pPr>
              <w:outlineLvl w:val="7"/>
              <w:rPr>
                <w:rFonts w:cstheme="minorHAnsi"/>
                <w:sz w:val="18"/>
                <w:szCs w:val="18"/>
                <w:lang w:val="en-GB" w:eastAsia="en-US"/>
              </w:rPr>
            </w:pPr>
          </w:p>
          <w:p w14:paraId="74CA8859" w14:textId="77777777" w:rsidR="00B27BEC" w:rsidRPr="00B27BEC" w:rsidRDefault="00B27BEC" w:rsidP="00B27BEC">
            <w:pPr>
              <w:outlineLvl w:val="7"/>
              <w:rPr>
                <w:rFonts w:cstheme="minorHAnsi"/>
                <w:sz w:val="18"/>
                <w:szCs w:val="18"/>
                <w:lang w:val="en-GB" w:eastAsia="en-US"/>
              </w:rPr>
            </w:pPr>
          </w:p>
        </w:tc>
        <w:tc>
          <w:tcPr>
            <w:tcW w:w="368" w:type="pct"/>
            <w:vMerge w:val="restart"/>
            <w:tcBorders>
              <w:top w:val="single" w:sz="12" w:space="0" w:color="auto"/>
            </w:tcBorders>
          </w:tcPr>
          <w:p w14:paraId="18DDA523"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Critical drought refuge habitat</w:t>
            </w:r>
          </w:p>
          <w:p w14:paraId="0A14EB49"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Native fish maintenance and survival</w:t>
            </w:r>
          </w:p>
          <w:p w14:paraId="5F931281" w14:textId="77777777" w:rsidR="00B27BEC" w:rsidRPr="00B27BEC" w:rsidRDefault="00B27BEC" w:rsidP="00B27BEC">
            <w:pPr>
              <w:outlineLvl w:val="7"/>
              <w:rPr>
                <w:rFonts w:eastAsia="Century Gothic" w:cstheme="minorHAnsi"/>
                <w:sz w:val="18"/>
                <w:szCs w:val="18"/>
                <w:lang w:val="en-GB" w:eastAsia="en-US"/>
              </w:rPr>
            </w:pPr>
            <w:r w:rsidRPr="00B27BEC">
              <w:rPr>
                <w:rFonts w:eastAsia="Century Gothic" w:cstheme="minorHAnsi"/>
                <w:sz w:val="18"/>
                <w:szCs w:val="18"/>
                <w:lang w:val="en-GB" w:eastAsia="en-US"/>
              </w:rPr>
              <w:t>Maintenance and survival of key invertebrate fauna</w:t>
            </w:r>
          </w:p>
        </w:tc>
        <w:tc>
          <w:tcPr>
            <w:tcW w:w="904" w:type="pct"/>
            <w:tcBorders>
              <w:top w:val="single" w:sz="12" w:space="0" w:color="auto"/>
            </w:tcBorders>
            <w:shd w:val="clear" w:color="auto" w:fill="auto"/>
          </w:tcPr>
          <w:p w14:paraId="2839C78A"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Cease-to-flow Triggers</w:t>
            </w:r>
          </w:p>
          <w:p w14:paraId="4BA8C975"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0 ML/d (Barwon River @ Beemery) for a maximum of 50 days during very dry conditions</w:t>
            </w:r>
          </w:p>
          <w:p w14:paraId="25455C8E"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0 ML/d (Darling River @ Bourke) for a maximum of 100 days during very dry conditions</w:t>
            </w:r>
          </w:p>
          <w:p w14:paraId="70FC7F43"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0 ML/d (Darling River @ Louth) for a maximum of 110 days during very dry conditions</w:t>
            </w:r>
          </w:p>
          <w:p w14:paraId="21AB18B7"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0 ML/d (Darling River @ Wilcannia) for a maximum of 120 days during very dry conditions</w:t>
            </w:r>
          </w:p>
        </w:tc>
        <w:tc>
          <w:tcPr>
            <w:tcW w:w="323" w:type="pct"/>
            <w:tcBorders>
              <w:top w:val="single" w:sz="12" w:space="0" w:color="auto"/>
            </w:tcBorders>
            <w:shd w:val="clear" w:color="auto" w:fill="auto"/>
            <w:vAlign w:val="center"/>
          </w:tcPr>
          <w:p w14:paraId="3BDFE332" w14:textId="77777777" w:rsidR="00B27BEC" w:rsidRPr="00B27BEC" w:rsidRDefault="00B27BEC" w:rsidP="00B27BEC">
            <w:pPr>
              <w:jc w:val="center"/>
              <w:outlineLvl w:val="7"/>
              <w:rPr>
                <w:rFonts w:cstheme="minorHAnsi"/>
                <w:sz w:val="18"/>
                <w:szCs w:val="18"/>
                <w:lang w:val="en-GB" w:eastAsia="en-US"/>
              </w:rPr>
            </w:pPr>
            <w:r w:rsidRPr="00B27BEC">
              <w:rPr>
                <w:rFonts w:cstheme="minorHAnsi"/>
                <w:sz w:val="18"/>
                <w:szCs w:val="18"/>
                <w:lang w:val="en-GB" w:eastAsia="en-US"/>
              </w:rPr>
              <w:t>Cease to flow period should not exceed periods of 50–120 days</w:t>
            </w:r>
          </w:p>
        </w:tc>
        <w:tc>
          <w:tcPr>
            <w:tcW w:w="1355" w:type="pct"/>
            <w:tcBorders>
              <w:top w:val="single" w:sz="12" w:space="0" w:color="auto"/>
            </w:tcBorders>
            <w:shd w:val="clear" w:color="auto" w:fill="auto"/>
          </w:tcPr>
          <w:p w14:paraId="171BD048"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 xml:space="preserve">The Northern Connectivity Event in April–May 2018 assisted in replenishing refuge pools along the entire Barwon and Darling system. With extremely dry conditions during the 2018–19 water year, the Northern Fish Flow in April–June 2019 assisted in replenishing refuge pools along the Barwon River to just downstream of the Culgoa junction.   </w:t>
            </w:r>
          </w:p>
          <w:p w14:paraId="211208D7"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Reflecting the extremely dry conditions that persisted through most of 2018–19 and 2019–20, cease-to-flow triggers were exceeded at Bourke, Louth and Wilcannia.</w:t>
            </w:r>
          </w:p>
          <w:p w14:paraId="4BE9D9CD"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 xml:space="preserve">Rainfall events during late summer/early Autumn have moved the system towards more moderate conditions. However, a return to below average rainfall patterns across the northern Basin during the summer of 2020–21 will see the system return to dry conditions and possibly the return of prolonged periods of no or low flows. </w:t>
            </w:r>
          </w:p>
        </w:tc>
        <w:tc>
          <w:tcPr>
            <w:tcW w:w="434" w:type="pct"/>
            <w:tcBorders>
              <w:top w:val="single" w:sz="12" w:space="0" w:color="auto"/>
            </w:tcBorders>
            <w:shd w:val="clear" w:color="auto" w:fill="FF0000"/>
            <w:vAlign w:val="center"/>
          </w:tcPr>
          <w:p w14:paraId="65556211" w14:textId="77777777" w:rsidR="00B27BEC" w:rsidRPr="00B27BEC" w:rsidRDefault="00B27BEC" w:rsidP="00B27BEC">
            <w:pPr>
              <w:jc w:val="center"/>
              <w:outlineLvl w:val="7"/>
              <w:rPr>
                <w:rFonts w:eastAsia="Century Gothic" w:cstheme="minorHAnsi"/>
                <w:color w:val="auto"/>
                <w:sz w:val="18"/>
                <w:szCs w:val="18"/>
                <w:lang w:val="en-GB" w:eastAsia="en-US"/>
              </w:rPr>
            </w:pPr>
            <w:r w:rsidRPr="00B27BEC">
              <w:rPr>
                <w:rFonts w:cstheme="minorHAnsi"/>
                <w:color w:val="auto"/>
                <w:sz w:val="18"/>
                <w:szCs w:val="18"/>
                <w:lang w:val="en-GB" w:eastAsia="en-US"/>
              </w:rPr>
              <w:t>High</w:t>
            </w:r>
          </w:p>
        </w:tc>
        <w:tc>
          <w:tcPr>
            <w:tcW w:w="696" w:type="pct"/>
            <w:tcBorders>
              <w:top w:val="single" w:sz="12" w:space="0" w:color="auto"/>
            </w:tcBorders>
            <w:shd w:val="clear" w:color="auto" w:fill="365F91" w:themeFill="accent1" w:themeFillShade="BF"/>
            <w:vAlign w:val="center"/>
          </w:tcPr>
          <w:p w14:paraId="17A002CA"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A high priority for CEW under dry to very dry conditions.</w:t>
            </w:r>
          </w:p>
          <w:p w14:paraId="7097C656"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Protection of natural flow events through activation of unregulated environmental water entitlements held along the Barwon and Darling systems is a high priority.</w:t>
            </w:r>
          </w:p>
          <w:p w14:paraId="09A0D1F9"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Using regulated environmental water entitlements to respond to extended periods of no flow is not expected to be an option until account balances improve in key regulated systems.</w:t>
            </w:r>
          </w:p>
        </w:tc>
        <w:tc>
          <w:tcPr>
            <w:tcW w:w="516" w:type="pct"/>
            <w:tcBorders>
              <w:top w:val="single" w:sz="12" w:space="0" w:color="auto"/>
            </w:tcBorders>
            <w:shd w:val="clear" w:color="auto" w:fill="FF0000"/>
            <w:vAlign w:val="center"/>
          </w:tcPr>
          <w:p w14:paraId="79A3F354"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High</w:t>
            </w:r>
          </w:p>
        </w:tc>
      </w:tr>
      <w:bookmarkEnd w:id="128"/>
      <w:tr w:rsidR="00B27BEC" w:rsidRPr="00B27BEC" w14:paraId="59DE4D67" w14:textId="77777777" w:rsidTr="00B27BEC">
        <w:trPr>
          <w:trHeight w:val="617"/>
        </w:trPr>
        <w:tc>
          <w:tcPr>
            <w:tcW w:w="404" w:type="pct"/>
            <w:vMerge/>
            <w:tcBorders>
              <w:bottom w:val="single" w:sz="12" w:space="0" w:color="auto"/>
            </w:tcBorders>
            <w:shd w:val="clear" w:color="auto" w:fill="auto"/>
          </w:tcPr>
          <w:p w14:paraId="168B682E" w14:textId="77777777" w:rsidR="00B27BEC" w:rsidRPr="00B27BEC" w:rsidRDefault="00B27BEC" w:rsidP="00B27BEC">
            <w:pPr>
              <w:outlineLvl w:val="7"/>
              <w:rPr>
                <w:rFonts w:cstheme="minorHAnsi"/>
                <w:sz w:val="18"/>
                <w:szCs w:val="18"/>
                <w:lang w:val="en-GB" w:eastAsia="en-US"/>
              </w:rPr>
            </w:pPr>
          </w:p>
        </w:tc>
        <w:tc>
          <w:tcPr>
            <w:tcW w:w="368" w:type="pct"/>
            <w:vMerge/>
            <w:tcBorders>
              <w:bottom w:val="single" w:sz="12" w:space="0" w:color="auto"/>
            </w:tcBorders>
          </w:tcPr>
          <w:p w14:paraId="7D286E7F" w14:textId="77777777" w:rsidR="00B27BEC" w:rsidRPr="00B27BEC" w:rsidRDefault="00B27BEC" w:rsidP="00B27BEC">
            <w:pPr>
              <w:outlineLvl w:val="7"/>
              <w:rPr>
                <w:rFonts w:cstheme="minorHAnsi"/>
                <w:sz w:val="18"/>
                <w:szCs w:val="18"/>
                <w:lang w:val="en-GB" w:eastAsia="en-US"/>
              </w:rPr>
            </w:pPr>
          </w:p>
        </w:tc>
        <w:tc>
          <w:tcPr>
            <w:tcW w:w="904" w:type="pct"/>
            <w:tcBorders>
              <w:bottom w:val="single" w:sz="12" w:space="0" w:color="auto"/>
            </w:tcBorders>
            <w:shd w:val="clear" w:color="auto" w:fill="auto"/>
          </w:tcPr>
          <w:p w14:paraId="1323EA69"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Very Low flows</w:t>
            </w:r>
          </w:p>
          <w:p w14:paraId="63E483C0"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 xml:space="preserve">&gt;95 ML/d for a total of 230 days in a year at Dangar’s Bridge (near Walgett) on the Barwon River </w:t>
            </w:r>
          </w:p>
          <w:p w14:paraId="509F5323" w14:textId="77777777" w:rsidR="00B27BEC" w:rsidRPr="00B27BEC" w:rsidRDefault="00B27BEC" w:rsidP="00B27BEC">
            <w:pPr>
              <w:outlineLvl w:val="7"/>
              <w:rPr>
                <w:rFonts w:cstheme="minorHAnsi"/>
                <w:sz w:val="18"/>
                <w:szCs w:val="18"/>
                <w:lang w:val="en-GB" w:eastAsia="en-US"/>
              </w:rPr>
            </w:pPr>
            <w:r w:rsidRPr="00B27BEC">
              <w:rPr>
                <w:rFonts w:cstheme="minorHAnsi"/>
                <w:b/>
                <w:bCs/>
                <w:sz w:val="18"/>
                <w:szCs w:val="18"/>
                <w:lang w:val="en-GB" w:eastAsia="en-US"/>
              </w:rPr>
              <w:t>&gt;</w:t>
            </w:r>
            <w:r w:rsidRPr="00B27BEC">
              <w:rPr>
                <w:rFonts w:cstheme="minorHAnsi"/>
                <w:sz w:val="18"/>
                <w:szCs w:val="18"/>
                <w:lang w:val="en-GB" w:eastAsia="en-US"/>
              </w:rPr>
              <w:t>105 ML/d for a total of 180 days in a year at Bourke on the Darling River</w:t>
            </w:r>
          </w:p>
          <w:p w14:paraId="0B453F42"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&gt;70 ML/d for a total of 180 days in a year at Louth on the Darling River</w:t>
            </w:r>
          </w:p>
          <w:p w14:paraId="7A987CC6"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&gt;30 ML/d for a total of 175 days in a year at Wilcannia on the Darling River</w:t>
            </w:r>
          </w:p>
        </w:tc>
        <w:tc>
          <w:tcPr>
            <w:tcW w:w="323" w:type="pct"/>
            <w:tcBorders>
              <w:bottom w:val="single" w:sz="12" w:space="0" w:color="auto"/>
            </w:tcBorders>
            <w:shd w:val="clear" w:color="auto" w:fill="auto"/>
            <w:vAlign w:val="center"/>
          </w:tcPr>
          <w:p w14:paraId="46F7A1CE" w14:textId="77777777" w:rsidR="00B27BEC" w:rsidRPr="00B27BEC" w:rsidRDefault="00B27BEC" w:rsidP="00B27BEC">
            <w:pPr>
              <w:jc w:val="center"/>
              <w:outlineLvl w:val="7"/>
              <w:rPr>
                <w:rFonts w:cstheme="minorHAnsi"/>
                <w:sz w:val="18"/>
                <w:szCs w:val="18"/>
                <w:lang w:val="en-GB" w:eastAsia="en-US"/>
              </w:rPr>
            </w:pPr>
            <w:r w:rsidRPr="00B27BEC">
              <w:rPr>
                <w:rFonts w:cstheme="minorHAnsi"/>
                <w:sz w:val="18"/>
                <w:szCs w:val="18"/>
                <w:lang w:val="en-GB" w:eastAsia="en-US"/>
              </w:rPr>
              <w:t>Every year</w:t>
            </w:r>
          </w:p>
        </w:tc>
        <w:tc>
          <w:tcPr>
            <w:tcW w:w="1355" w:type="pct"/>
            <w:tcBorders>
              <w:bottom w:val="single" w:sz="12" w:space="0" w:color="auto"/>
            </w:tcBorders>
            <w:shd w:val="clear" w:color="auto" w:fill="auto"/>
          </w:tcPr>
          <w:p w14:paraId="250728A4"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 xml:space="preserve">These flows provide replenishment volumes to refuge pools along the Barwon–Darling system. Over the last 10 years the requirements for very low flows have been met around 6–7 times but have not been met since the 2017–18 water year.  </w:t>
            </w:r>
          </w:p>
          <w:p w14:paraId="1EAED606"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During dry years like the 2017–18 water years, held environmental water delivered from tributaries systems (through watering actions like the Northern Connectivity Event) can assist in achieving these environmental water requirements.</w:t>
            </w:r>
          </w:p>
          <w:p w14:paraId="345571BB"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 xml:space="preserve">Rainfall events during late summer/early Autumn 2020 have moved the system towards more moderate conditions. However, the extremely dry conditions that persisted for most of 2018–19 and 2019–20 mean the requirement for very low flows across the system remains a high priority.  </w:t>
            </w:r>
          </w:p>
        </w:tc>
        <w:tc>
          <w:tcPr>
            <w:tcW w:w="434" w:type="pct"/>
            <w:tcBorders>
              <w:bottom w:val="single" w:sz="12" w:space="0" w:color="auto"/>
            </w:tcBorders>
            <w:shd w:val="clear" w:color="auto" w:fill="FF0000"/>
            <w:vAlign w:val="center"/>
          </w:tcPr>
          <w:p w14:paraId="4CF8ECB2"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High</w:t>
            </w:r>
          </w:p>
        </w:tc>
        <w:tc>
          <w:tcPr>
            <w:tcW w:w="696" w:type="pct"/>
            <w:tcBorders>
              <w:bottom w:val="single" w:sz="12" w:space="0" w:color="auto"/>
            </w:tcBorders>
            <w:shd w:val="clear" w:color="auto" w:fill="365F91" w:themeFill="accent1" w:themeFillShade="BF"/>
            <w:vAlign w:val="center"/>
          </w:tcPr>
          <w:p w14:paraId="049D59BC"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A high priority for CEW under dry to moderate conditions.</w:t>
            </w:r>
          </w:p>
          <w:p w14:paraId="23883872"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Protection of natural flow events through activation of unregulated environmental water entitlements held along the Barwon and Darling systems is a high priority.</w:t>
            </w:r>
          </w:p>
          <w:p w14:paraId="3BEA3B44"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Using regulated environmental water entitlements to respond to extended periods of no or low flow dry is not expected to be an option until account balances improve in key regulated systems.</w:t>
            </w:r>
          </w:p>
        </w:tc>
        <w:tc>
          <w:tcPr>
            <w:tcW w:w="516" w:type="pct"/>
            <w:tcBorders>
              <w:bottom w:val="single" w:sz="12" w:space="0" w:color="auto"/>
            </w:tcBorders>
            <w:shd w:val="clear" w:color="auto" w:fill="FF0000"/>
            <w:vAlign w:val="center"/>
          </w:tcPr>
          <w:p w14:paraId="23F06EFB"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High</w:t>
            </w:r>
          </w:p>
        </w:tc>
      </w:tr>
      <w:tr w:rsidR="00B27BEC" w:rsidRPr="00B27BEC" w14:paraId="74EB3BCA" w14:textId="77777777" w:rsidTr="00B27BEC">
        <w:trPr>
          <w:trHeight w:val="4383"/>
        </w:trPr>
        <w:tc>
          <w:tcPr>
            <w:tcW w:w="404" w:type="pct"/>
            <w:tcBorders>
              <w:top w:val="single" w:sz="12" w:space="0" w:color="auto"/>
              <w:bottom w:val="single" w:sz="12" w:space="0" w:color="auto"/>
            </w:tcBorders>
            <w:shd w:val="clear" w:color="auto" w:fill="auto"/>
          </w:tcPr>
          <w:p w14:paraId="404C476D"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In-stream habitats (pools channels benches, snags, and gravel beds) along the Barwon and Darling Rivers</w:t>
            </w:r>
          </w:p>
          <w:p w14:paraId="495D06BA"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Aquatic habitat</w:t>
            </w:r>
          </w:p>
          <w:p w14:paraId="10D7D727"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Native fish</w:t>
            </w:r>
          </w:p>
          <w:p w14:paraId="4365B4E1"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 xml:space="preserve">Aquatic invertebrate species </w:t>
            </w:r>
          </w:p>
          <w:p w14:paraId="2FD9010B"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Water quality</w:t>
            </w:r>
            <w:r w:rsidRPr="00B27BEC">
              <w:rPr>
                <w:rFonts w:cstheme="minorHAnsi"/>
                <w:color w:val="000000" w:themeColor="text1"/>
                <w:sz w:val="18"/>
                <w:szCs w:val="18"/>
                <w:lang w:val="en-GB" w:eastAsia="en-US"/>
              </w:rPr>
              <w:t xml:space="preserve"> </w:t>
            </w:r>
          </w:p>
        </w:tc>
        <w:tc>
          <w:tcPr>
            <w:tcW w:w="368" w:type="pct"/>
            <w:tcBorders>
              <w:top w:val="single" w:sz="12" w:space="0" w:color="auto"/>
              <w:bottom w:val="single" w:sz="12" w:space="0" w:color="auto"/>
            </w:tcBorders>
          </w:tcPr>
          <w:p w14:paraId="3309CCA7"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Enabling native fish to access in-stream habitats</w:t>
            </w:r>
          </w:p>
          <w:p w14:paraId="19FCEB5A"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Native fish movement</w:t>
            </w:r>
          </w:p>
          <w:p w14:paraId="16DD9684"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Maintaining the condition/quality of in-stream habitat</w:t>
            </w:r>
          </w:p>
        </w:tc>
        <w:tc>
          <w:tcPr>
            <w:tcW w:w="904" w:type="pct"/>
            <w:tcBorders>
              <w:top w:val="single" w:sz="12" w:space="0" w:color="auto"/>
              <w:bottom w:val="single" w:sz="12" w:space="0" w:color="auto"/>
            </w:tcBorders>
            <w:shd w:val="clear" w:color="auto" w:fill="auto"/>
          </w:tcPr>
          <w:p w14:paraId="4DE40FFB"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Baseflows</w:t>
            </w:r>
          </w:p>
          <w:p w14:paraId="4145FBB5"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 xml:space="preserve">&gt;320 ML/d for a total of 150 days in a year at Dangar Bridge (near Walgett) on the Barwon River </w:t>
            </w:r>
          </w:p>
          <w:p w14:paraId="34D61B55"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&gt;500 ML/d for a total of 135 days in a year at Bourke on the Darling River</w:t>
            </w:r>
          </w:p>
          <w:p w14:paraId="14E357C9"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&gt;450 ML/d for a total of 135 days in a year at Louth on the Darling River</w:t>
            </w:r>
          </w:p>
          <w:p w14:paraId="70AB6D91"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&gt;350 ML/d for a total of 145 days in a year at Wilcannia on the Darling River</w:t>
            </w:r>
          </w:p>
        </w:tc>
        <w:tc>
          <w:tcPr>
            <w:tcW w:w="323" w:type="pct"/>
            <w:tcBorders>
              <w:top w:val="single" w:sz="12" w:space="0" w:color="auto"/>
              <w:bottom w:val="single" w:sz="12" w:space="0" w:color="auto"/>
            </w:tcBorders>
            <w:shd w:val="clear" w:color="auto" w:fill="auto"/>
            <w:vAlign w:val="center"/>
          </w:tcPr>
          <w:p w14:paraId="7B9752AD" w14:textId="77777777" w:rsidR="00B27BEC" w:rsidRPr="00B27BEC" w:rsidRDefault="00B27BEC" w:rsidP="00B27BEC">
            <w:pPr>
              <w:jc w:val="center"/>
              <w:outlineLvl w:val="7"/>
              <w:rPr>
                <w:rFonts w:cstheme="minorHAnsi"/>
                <w:sz w:val="18"/>
                <w:szCs w:val="18"/>
                <w:lang w:val="en-GB" w:eastAsia="en-US"/>
              </w:rPr>
            </w:pPr>
            <w:r w:rsidRPr="00B27BEC">
              <w:rPr>
                <w:rFonts w:cstheme="minorHAnsi"/>
                <w:sz w:val="18"/>
                <w:szCs w:val="18"/>
                <w:lang w:val="en-GB" w:eastAsia="en-US"/>
              </w:rPr>
              <w:t>Every Year</w:t>
            </w:r>
          </w:p>
        </w:tc>
        <w:tc>
          <w:tcPr>
            <w:tcW w:w="1355" w:type="pct"/>
            <w:tcBorders>
              <w:top w:val="single" w:sz="12" w:space="0" w:color="auto"/>
              <w:bottom w:val="single" w:sz="12" w:space="0" w:color="auto"/>
            </w:tcBorders>
            <w:shd w:val="clear" w:color="auto" w:fill="auto"/>
          </w:tcPr>
          <w:p w14:paraId="774BB28D"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 xml:space="preserve">These flows provide a flow depth to support movement for small and medium bodied fish as well as assist in managing water quality issues (destratification of waterholes and blue green algal blooms).  </w:t>
            </w:r>
          </w:p>
          <w:p w14:paraId="2E0DC73B"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During dry years like the 2017–18 water years, held environmental water delivered from tributaries systems (through watering actions like the Northern Connectivity Event) can assist in achieving these environmental water requirements.</w:t>
            </w:r>
          </w:p>
          <w:p w14:paraId="61A0ED96"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Active management of un-regulated environmental water entitlements held along the Barwon and Darling Rivers will also assist in achieving these environmental water requirements.</w:t>
            </w:r>
          </w:p>
          <w:p w14:paraId="75C77472"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Over the long term, baseflow requirements across the Barwon Darling system have been met 4–5 years in the last ten and more recently have not been met since the 2016–17 water year. Due to the extended dry period over the last 3 water years the need for Baseflows across the Barwon–Darling system is a high priority.</w:t>
            </w:r>
          </w:p>
        </w:tc>
        <w:tc>
          <w:tcPr>
            <w:tcW w:w="434" w:type="pct"/>
            <w:tcBorders>
              <w:top w:val="single" w:sz="12" w:space="0" w:color="auto"/>
              <w:bottom w:val="single" w:sz="12" w:space="0" w:color="auto"/>
            </w:tcBorders>
            <w:shd w:val="clear" w:color="auto" w:fill="FF0000"/>
            <w:vAlign w:val="center"/>
          </w:tcPr>
          <w:p w14:paraId="7FCB3B43"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High</w:t>
            </w:r>
          </w:p>
        </w:tc>
        <w:tc>
          <w:tcPr>
            <w:tcW w:w="696" w:type="pct"/>
            <w:tcBorders>
              <w:top w:val="single" w:sz="12" w:space="0" w:color="auto"/>
              <w:bottom w:val="single" w:sz="12" w:space="0" w:color="auto"/>
            </w:tcBorders>
            <w:shd w:val="clear" w:color="auto" w:fill="365F91" w:themeFill="accent1" w:themeFillShade="BF"/>
            <w:vAlign w:val="center"/>
          </w:tcPr>
          <w:p w14:paraId="32AD714D"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A high priority for CEW under moderate to dry conditions.</w:t>
            </w:r>
          </w:p>
          <w:p w14:paraId="42E06978"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Protection of natural flow events through activation of unregulated environmental water entitlements held along the Barwon and Darling systems is a high priority.</w:t>
            </w:r>
          </w:p>
          <w:p w14:paraId="363AF9E9"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Using regulated environmental water entitlements to respond to extended periods of no or low flow dry is not expected to be an option until account balances improve in key regulated systems.</w:t>
            </w:r>
          </w:p>
        </w:tc>
        <w:tc>
          <w:tcPr>
            <w:tcW w:w="516" w:type="pct"/>
            <w:tcBorders>
              <w:top w:val="single" w:sz="12" w:space="0" w:color="auto"/>
              <w:bottom w:val="single" w:sz="12" w:space="0" w:color="auto"/>
            </w:tcBorders>
            <w:shd w:val="clear" w:color="auto" w:fill="FF0000"/>
            <w:vAlign w:val="center"/>
          </w:tcPr>
          <w:p w14:paraId="0F9226E8"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High</w:t>
            </w:r>
          </w:p>
        </w:tc>
      </w:tr>
      <w:tr w:rsidR="00B27BEC" w:rsidRPr="00B27BEC" w14:paraId="6C91BFA0" w14:textId="77777777" w:rsidTr="00B27BEC">
        <w:trPr>
          <w:trHeight w:val="3669"/>
        </w:trPr>
        <w:tc>
          <w:tcPr>
            <w:tcW w:w="404" w:type="pct"/>
            <w:vMerge w:val="restart"/>
            <w:tcBorders>
              <w:top w:val="single" w:sz="12" w:space="0" w:color="auto"/>
              <w:left w:val="single" w:sz="12" w:space="0" w:color="auto"/>
              <w:bottom w:val="single" w:sz="4" w:space="0" w:color="auto"/>
            </w:tcBorders>
            <w:shd w:val="clear" w:color="auto" w:fill="auto"/>
          </w:tcPr>
          <w:p w14:paraId="7F61A658"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lastRenderedPageBreak/>
              <w:t>Native fish habitat and aquatic communities along the Barwon and Darling Rivers</w:t>
            </w:r>
          </w:p>
          <w:p w14:paraId="603788CF"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Aquatic habitat</w:t>
            </w:r>
          </w:p>
          <w:p w14:paraId="4D885D5E"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 xml:space="preserve">Aquatic invertebrate species </w:t>
            </w:r>
          </w:p>
          <w:p w14:paraId="0372B5C5"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Water quality</w:t>
            </w:r>
          </w:p>
          <w:p w14:paraId="62B3F924" w14:textId="77777777" w:rsidR="00B27BEC" w:rsidRPr="00B27BEC" w:rsidRDefault="00B27BEC" w:rsidP="00B27BEC">
            <w:pPr>
              <w:outlineLvl w:val="7"/>
              <w:rPr>
                <w:rFonts w:cstheme="minorHAnsi"/>
                <w:b/>
                <w:sz w:val="18"/>
                <w:szCs w:val="18"/>
                <w:lang w:val="en-GB" w:eastAsia="en-US"/>
              </w:rPr>
            </w:pPr>
            <w:r w:rsidRPr="00B27BEC">
              <w:rPr>
                <w:rFonts w:cstheme="minorHAnsi"/>
                <w:sz w:val="18"/>
                <w:szCs w:val="18"/>
                <w:lang w:val="en-GB" w:eastAsia="en-US"/>
              </w:rPr>
              <w:t>Breeding opportunities for native fish</w:t>
            </w:r>
          </w:p>
        </w:tc>
        <w:tc>
          <w:tcPr>
            <w:tcW w:w="368" w:type="pct"/>
            <w:vMerge w:val="restart"/>
            <w:tcBorders>
              <w:top w:val="single" w:sz="12" w:space="0" w:color="auto"/>
              <w:bottom w:val="single" w:sz="4" w:space="0" w:color="auto"/>
            </w:tcBorders>
          </w:tcPr>
          <w:p w14:paraId="2D69CB39"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Providing native fish with spawning and recruitment opportunities</w:t>
            </w:r>
          </w:p>
          <w:p w14:paraId="4EA607D2" w14:textId="77777777" w:rsidR="00B27BEC" w:rsidRPr="00B27BEC" w:rsidRDefault="00B27BEC" w:rsidP="00B27BEC">
            <w:pPr>
              <w:outlineLvl w:val="7"/>
              <w:rPr>
                <w:rFonts w:cstheme="minorHAnsi"/>
                <w:sz w:val="18"/>
                <w:szCs w:val="18"/>
                <w:lang w:val="en-GB" w:eastAsia="en-US"/>
              </w:rPr>
            </w:pPr>
          </w:p>
        </w:tc>
        <w:tc>
          <w:tcPr>
            <w:tcW w:w="904" w:type="pct"/>
            <w:tcBorders>
              <w:top w:val="single" w:sz="12" w:space="0" w:color="auto"/>
              <w:bottom w:val="single" w:sz="4" w:space="0" w:color="auto"/>
            </w:tcBorders>
            <w:shd w:val="clear" w:color="auto" w:fill="auto"/>
          </w:tcPr>
          <w:p w14:paraId="5286F362"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Small Freshes (SF1)</w:t>
            </w:r>
          </w:p>
          <w:p w14:paraId="1E33C641"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&gt;700 ML/d for at least 10 days on the Barwon at Dangar’s Bridge near Walgett ideally in Oct–April (but can occur at any time).</w:t>
            </w:r>
          </w:p>
          <w:p w14:paraId="43496250"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&gt;1 500 ML/d for at least 10 days on the Darling at Louth ideally in Oct–April (but can occur at any time).</w:t>
            </w:r>
          </w:p>
          <w:p w14:paraId="714D6177"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&gt;1 400 ML/d for at least 10 days on the Darling at Wilcannia ideally in Oct–April (but can occur at any time).</w:t>
            </w:r>
          </w:p>
        </w:tc>
        <w:tc>
          <w:tcPr>
            <w:tcW w:w="323" w:type="pct"/>
            <w:tcBorders>
              <w:top w:val="single" w:sz="12" w:space="0" w:color="auto"/>
              <w:bottom w:val="single" w:sz="4" w:space="0" w:color="auto"/>
            </w:tcBorders>
            <w:shd w:val="clear" w:color="auto" w:fill="auto"/>
            <w:vAlign w:val="center"/>
          </w:tcPr>
          <w:p w14:paraId="40A0FA3B" w14:textId="77777777" w:rsidR="00B27BEC" w:rsidRPr="00B27BEC" w:rsidRDefault="00B27BEC" w:rsidP="00B27BEC">
            <w:pPr>
              <w:jc w:val="center"/>
              <w:outlineLvl w:val="7"/>
              <w:rPr>
                <w:rFonts w:cstheme="minorHAnsi"/>
                <w:sz w:val="18"/>
                <w:szCs w:val="18"/>
                <w:lang w:val="en-GB" w:eastAsia="en-US"/>
              </w:rPr>
            </w:pPr>
            <w:r w:rsidRPr="00B27BEC">
              <w:rPr>
                <w:rFonts w:cstheme="minorHAnsi"/>
                <w:sz w:val="18"/>
                <w:szCs w:val="18"/>
                <w:lang w:val="en-GB" w:eastAsia="en-US"/>
              </w:rPr>
              <w:t>Annual</w:t>
            </w:r>
          </w:p>
        </w:tc>
        <w:tc>
          <w:tcPr>
            <w:tcW w:w="1355" w:type="pct"/>
            <w:tcBorders>
              <w:top w:val="single" w:sz="12" w:space="0" w:color="auto"/>
              <w:bottom w:val="single" w:sz="4" w:space="0" w:color="auto"/>
            </w:tcBorders>
            <w:shd w:val="clear" w:color="auto" w:fill="auto"/>
          </w:tcPr>
          <w:p w14:paraId="7AAC87C4"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 xml:space="preserve">SF1 flows provide flow depths and velocities to support movement of large bodied fish.  </w:t>
            </w:r>
          </w:p>
          <w:p w14:paraId="47E15E58"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 xml:space="preserve">Small freshes, particularly along the Darling River need to be supported by natural flow events. Active management of unregulated environmental water entitlements held along the Barwon and Darling rivers will assist in achieving these environmental water requirements. </w:t>
            </w:r>
          </w:p>
          <w:p w14:paraId="2BED1E6D"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SF1 flows along the Barwon River have occurred 7–9 out of the last 10 years, while along the Darling SF1 flows have occurred 5 out the last 10 years. Along the Darling River SF1 events have occurred only once (during the 2019–20 water year) over the last 3 water years.</w:t>
            </w:r>
          </w:p>
          <w:p w14:paraId="42B507E0"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 xml:space="preserve">SF1 flows seek to provide opportunities for fish movement across each water year and are a high priority because of the infrequent movement opportunities for large bodied fish particularly along the Darling River over the last 3 years.  </w:t>
            </w:r>
          </w:p>
        </w:tc>
        <w:tc>
          <w:tcPr>
            <w:tcW w:w="434" w:type="pct"/>
            <w:tcBorders>
              <w:top w:val="single" w:sz="12" w:space="0" w:color="auto"/>
              <w:bottom w:val="single" w:sz="4" w:space="0" w:color="auto"/>
            </w:tcBorders>
            <w:shd w:val="clear" w:color="auto" w:fill="FF0000"/>
            <w:vAlign w:val="center"/>
          </w:tcPr>
          <w:p w14:paraId="35FBF2C5"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High</w:t>
            </w:r>
          </w:p>
        </w:tc>
        <w:tc>
          <w:tcPr>
            <w:tcW w:w="696" w:type="pct"/>
            <w:tcBorders>
              <w:top w:val="single" w:sz="12" w:space="0" w:color="auto"/>
              <w:bottom w:val="single" w:sz="4" w:space="0" w:color="auto"/>
            </w:tcBorders>
            <w:shd w:val="clear" w:color="auto" w:fill="365F91" w:themeFill="accent1" w:themeFillShade="BF"/>
            <w:vAlign w:val="center"/>
          </w:tcPr>
          <w:p w14:paraId="1D9D339B"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A high priority for CEW under dry to moderate conditions.</w:t>
            </w:r>
          </w:p>
          <w:p w14:paraId="32D17217"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Protection of natural flow events through activation of unregulated environmental water entitlements held along the Barwon and Darling systems is a high priority.</w:t>
            </w:r>
          </w:p>
        </w:tc>
        <w:tc>
          <w:tcPr>
            <w:tcW w:w="516" w:type="pct"/>
            <w:tcBorders>
              <w:top w:val="single" w:sz="12" w:space="0" w:color="auto"/>
              <w:bottom w:val="single" w:sz="4" w:space="0" w:color="auto"/>
              <w:right w:val="single" w:sz="12" w:space="0" w:color="auto"/>
            </w:tcBorders>
            <w:shd w:val="clear" w:color="auto" w:fill="FF0000"/>
            <w:vAlign w:val="center"/>
          </w:tcPr>
          <w:p w14:paraId="28129959"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High</w:t>
            </w:r>
          </w:p>
        </w:tc>
      </w:tr>
      <w:tr w:rsidR="00B27BEC" w:rsidRPr="00B27BEC" w14:paraId="3ABF318F" w14:textId="77777777" w:rsidTr="00B27BEC">
        <w:trPr>
          <w:trHeight w:val="617"/>
        </w:trPr>
        <w:tc>
          <w:tcPr>
            <w:tcW w:w="404" w:type="pct"/>
            <w:vMerge/>
            <w:tcBorders>
              <w:top w:val="single" w:sz="4" w:space="0" w:color="auto"/>
              <w:left w:val="single" w:sz="12" w:space="0" w:color="auto"/>
              <w:bottom w:val="single" w:sz="12" w:space="0" w:color="auto"/>
            </w:tcBorders>
            <w:shd w:val="clear" w:color="auto" w:fill="auto"/>
          </w:tcPr>
          <w:p w14:paraId="2E71443A" w14:textId="77777777" w:rsidR="00B27BEC" w:rsidRPr="00B27BEC" w:rsidRDefault="00B27BEC" w:rsidP="00B27BEC">
            <w:pPr>
              <w:outlineLvl w:val="7"/>
              <w:rPr>
                <w:rFonts w:cstheme="minorHAnsi"/>
                <w:sz w:val="18"/>
                <w:szCs w:val="18"/>
                <w:lang w:val="en-GB" w:eastAsia="en-US"/>
              </w:rPr>
            </w:pPr>
          </w:p>
        </w:tc>
        <w:tc>
          <w:tcPr>
            <w:tcW w:w="368" w:type="pct"/>
            <w:vMerge/>
            <w:tcBorders>
              <w:top w:val="single" w:sz="4" w:space="0" w:color="auto"/>
              <w:bottom w:val="single" w:sz="12" w:space="0" w:color="auto"/>
            </w:tcBorders>
          </w:tcPr>
          <w:p w14:paraId="4A533C83" w14:textId="77777777" w:rsidR="00B27BEC" w:rsidRPr="00B27BEC" w:rsidRDefault="00B27BEC" w:rsidP="00B27BEC">
            <w:pPr>
              <w:outlineLvl w:val="7"/>
              <w:rPr>
                <w:rFonts w:cstheme="minorHAnsi"/>
                <w:sz w:val="18"/>
                <w:szCs w:val="18"/>
                <w:lang w:val="en-GB" w:eastAsia="en-US"/>
              </w:rPr>
            </w:pPr>
          </w:p>
        </w:tc>
        <w:tc>
          <w:tcPr>
            <w:tcW w:w="904" w:type="pct"/>
            <w:tcBorders>
              <w:top w:val="single" w:sz="4" w:space="0" w:color="auto"/>
              <w:bottom w:val="single" w:sz="12" w:space="0" w:color="auto"/>
            </w:tcBorders>
            <w:shd w:val="clear" w:color="auto" w:fill="auto"/>
          </w:tcPr>
          <w:p w14:paraId="76454674"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Small Fresh (SF2)</w:t>
            </w:r>
          </w:p>
          <w:p w14:paraId="5AACBA50"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700–6 500 ML/d for at least 14 days on the Barwon at Dangar’s Bridge near Walgett in Oct–April.</w:t>
            </w:r>
          </w:p>
          <w:p w14:paraId="2F7477BD"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1 500–15 000 ML/d for at least 14 days on the Darling at Bourke ideally in Oct–April.</w:t>
            </w:r>
          </w:p>
        </w:tc>
        <w:tc>
          <w:tcPr>
            <w:tcW w:w="323" w:type="pct"/>
            <w:tcBorders>
              <w:top w:val="single" w:sz="4" w:space="0" w:color="auto"/>
              <w:bottom w:val="single" w:sz="12" w:space="0" w:color="auto"/>
            </w:tcBorders>
            <w:shd w:val="clear" w:color="auto" w:fill="auto"/>
            <w:vAlign w:val="center"/>
          </w:tcPr>
          <w:p w14:paraId="22225DFC" w14:textId="77777777" w:rsidR="00B27BEC" w:rsidRPr="00B27BEC" w:rsidRDefault="00B27BEC" w:rsidP="00B27BEC">
            <w:pPr>
              <w:jc w:val="center"/>
              <w:outlineLvl w:val="7"/>
              <w:rPr>
                <w:rFonts w:cstheme="minorHAnsi"/>
                <w:sz w:val="18"/>
                <w:szCs w:val="18"/>
                <w:lang w:val="en-GB" w:eastAsia="en-US"/>
              </w:rPr>
            </w:pPr>
            <w:r w:rsidRPr="00B27BEC">
              <w:rPr>
                <w:rFonts w:cstheme="minorHAnsi"/>
                <w:sz w:val="18"/>
                <w:szCs w:val="18"/>
                <w:lang w:val="en-GB" w:eastAsia="en-US"/>
              </w:rPr>
              <w:t>5–10 years in 10</w:t>
            </w:r>
          </w:p>
          <w:p w14:paraId="1B7C5B99" w14:textId="77777777" w:rsidR="00B27BEC" w:rsidRPr="00B27BEC" w:rsidRDefault="00B27BEC" w:rsidP="00B27BEC">
            <w:pPr>
              <w:jc w:val="center"/>
              <w:outlineLvl w:val="7"/>
              <w:rPr>
                <w:rFonts w:cstheme="minorHAnsi"/>
                <w:sz w:val="18"/>
                <w:szCs w:val="18"/>
                <w:lang w:val="en-GB" w:eastAsia="en-US"/>
              </w:rPr>
            </w:pPr>
            <w:r w:rsidRPr="00B27BEC">
              <w:rPr>
                <w:rFonts w:cstheme="minorHAnsi"/>
                <w:sz w:val="18"/>
                <w:szCs w:val="18"/>
                <w:lang w:val="en-GB" w:eastAsia="en-US"/>
              </w:rPr>
              <w:t>(overall 75% of years)</w:t>
            </w:r>
          </w:p>
        </w:tc>
        <w:tc>
          <w:tcPr>
            <w:tcW w:w="1355" w:type="pct"/>
            <w:tcBorders>
              <w:top w:val="single" w:sz="4" w:space="0" w:color="auto"/>
              <w:bottom w:val="single" w:sz="12" w:space="0" w:color="auto"/>
            </w:tcBorders>
            <w:shd w:val="clear" w:color="auto" w:fill="auto"/>
          </w:tcPr>
          <w:p w14:paraId="0CD2C843"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SF2 flows seek to support spawning opportunities for native fish - preferred temperature range for fish spawning, &gt;20°C for most native fish and &gt;18°C for Murray cod).</w:t>
            </w:r>
          </w:p>
          <w:p w14:paraId="0D59775A"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 xml:space="preserve">Small freshes, particularly along the Darling River need to be supported by natural flow events. Active management of un-regulated environmental water entitlements held along the Barwon and Darling Rivers will assist in achieving these environmental water requirements. </w:t>
            </w:r>
          </w:p>
          <w:p w14:paraId="3C447656"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SF2 flows along the Barwon River have occurred 6–7 out of the last 10 years, while along the Darling River small fresh flows have occurred 5 out the last 10 years. Along the Darling River SF2 events have occurred only once (during the 2019–20 water year) over the last 3 water years.</w:t>
            </w:r>
          </w:p>
          <w:p w14:paraId="297C9563" w14:textId="77777777" w:rsidR="00B27BEC" w:rsidRPr="00B27BEC" w:rsidRDefault="00B27BEC" w:rsidP="00B27BEC">
            <w:pPr>
              <w:outlineLvl w:val="7"/>
              <w:rPr>
                <w:rFonts w:cstheme="minorHAnsi"/>
                <w:sz w:val="18"/>
                <w:szCs w:val="18"/>
                <w:lang w:val="en-GB" w:eastAsia="en-US"/>
              </w:rPr>
            </w:pPr>
            <w:r w:rsidRPr="00B27BEC">
              <w:rPr>
                <w:rFonts w:cstheme="minorHAnsi"/>
                <w:sz w:val="18"/>
                <w:szCs w:val="18"/>
                <w:lang w:val="en-GB" w:eastAsia="en-US"/>
              </w:rPr>
              <w:t xml:space="preserve">SF2 flows seek to provide spawning opportunities for native fish in most water years.  Along the Barwon River, the frequency of SF2 events has been within the specified range.  While the along the Darling River, SF2 events have occurred at the bottom end of specified frequency range – overall SF2 flows across the Barwon–Darling are a moderate priority.     </w:t>
            </w:r>
          </w:p>
        </w:tc>
        <w:tc>
          <w:tcPr>
            <w:tcW w:w="434" w:type="pct"/>
            <w:tcBorders>
              <w:top w:val="single" w:sz="4" w:space="0" w:color="auto"/>
              <w:bottom w:val="single" w:sz="12" w:space="0" w:color="auto"/>
            </w:tcBorders>
            <w:shd w:val="clear" w:color="auto" w:fill="FFC000"/>
            <w:vAlign w:val="center"/>
          </w:tcPr>
          <w:p w14:paraId="2B7BD022"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Moderate</w:t>
            </w:r>
          </w:p>
        </w:tc>
        <w:tc>
          <w:tcPr>
            <w:tcW w:w="696" w:type="pct"/>
            <w:tcBorders>
              <w:top w:val="single" w:sz="4" w:space="0" w:color="auto"/>
              <w:bottom w:val="single" w:sz="12" w:space="0" w:color="auto"/>
            </w:tcBorders>
            <w:shd w:val="clear" w:color="auto" w:fill="95B3D7" w:themeFill="accent1" w:themeFillTint="99"/>
            <w:vAlign w:val="center"/>
          </w:tcPr>
          <w:p w14:paraId="47EC61AC"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A moderate priority for CEW under all water resource availability scenarios.</w:t>
            </w:r>
          </w:p>
          <w:p w14:paraId="526BDB99"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Protection of natural flow events through activation of unregulated environmental water entitlements held along the Barwon and Darling systems is a secondary priority.</w:t>
            </w:r>
          </w:p>
          <w:p w14:paraId="0ED46DCD" w14:textId="77777777" w:rsidR="00B27BEC" w:rsidRPr="00B27BEC" w:rsidRDefault="00B27BEC" w:rsidP="00B27BEC">
            <w:pPr>
              <w:jc w:val="center"/>
              <w:outlineLvl w:val="7"/>
              <w:rPr>
                <w:rFonts w:cstheme="minorHAnsi"/>
                <w:color w:val="auto"/>
                <w:sz w:val="18"/>
                <w:szCs w:val="18"/>
                <w:lang w:val="en-GB" w:eastAsia="en-US"/>
              </w:rPr>
            </w:pPr>
          </w:p>
        </w:tc>
        <w:tc>
          <w:tcPr>
            <w:tcW w:w="516" w:type="pct"/>
            <w:tcBorders>
              <w:top w:val="single" w:sz="4" w:space="0" w:color="auto"/>
              <w:bottom w:val="single" w:sz="12" w:space="0" w:color="auto"/>
              <w:right w:val="single" w:sz="12" w:space="0" w:color="auto"/>
            </w:tcBorders>
            <w:shd w:val="clear" w:color="auto" w:fill="FFC000"/>
            <w:vAlign w:val="center"/>
          </w:tcPr>
          <w:p w14:paraId="0685168F" w14:textId="77777777" w:rsidR="00B27BEC" w:rsidRPr="00B27BEC" w:rsidRDefault="00B27BEC" w:rsidP="00B27BEC">
            <w:pPr>
              <w:jc w:val="center"/>
              <w:outlineLvl w:val="7"/>
              <w:rPr>
                <w:rFonts w:cstheme="minorHAnsi"/>
                <w:color w:val="auto"/>
                <w:sz w:val="18"/>
                <w:szCs w:val="18"/>
                <w:lang w:val="en-GB" w:eastAsia="en-US"/>
              </w:rPr>
            </w:pPr>
            <w:r w:rsidRPr="00B27BEC">
              <w:rPr>
                <w:rFonts w:cstheme="minorHAnsi"/>
                <w:color w:val="auto"/>
                <w:sz w:val="18"/>
                <w:szCs w:val="18"/>
                <w:lang w:val="en-GB" w:eastAsia="en-US"/>
              </w:rPr>
              <w:t>Moderate</w:t>
            </w:r>
          </w:p>
        </w:tc>
      </w:tr>
    </w:tbl>
    <w:p w14:paraId="53DD0AF9" w14:textId="77777777" w:rsidR="00B27BEC" w:rsidRPr="00B27BEC" w:rsidRDefault="00B27BEC" w:rsidP="00B27BEC"/>
    <w:p w14:paraId="61FACBFF" w14:textId="77777777" w:rsidR="00B27BEC" w:rsidRPr="00B27BEC" w:rsidRDefault="00B27BEC" w:rsidP="00B27BEC">
      <w:pPr>
        <w:rPr>
          <w:szCs w:val="22"/>
        </w:rPr>
      </w:pPr>
      <w:r w:rsidRPr="00B27BEC">
        <w:rPr>
          <w:noProof/>
        </w:rPr>
        <w:drawing>
          <wp:inline distT="0" distB="0" distL="0" distR="0" wp14:anchorId="5B608260" wp14:editId="20768720">
            <wp:extent cx="10572750" cy="2001107"/>
            <wp:effectExtent l="0" t="0" r="0" b="0"/>
            <wp:docPr id="21" name="Picture 2">
              <a:extLst xmlns:a="http://schemas.openxmlformats.org/drawingml/2006/main">
                <a:ext uri="{FF2B5EF4-FFF2-40B4-BE49-F238E27FC236}">
                  <a16:creationId xmlns:a16="http://schemas.microsoft.com/office/drawing/2014/main" id="{44C6E65D-16A7-4929-AC15-EE3EC6EA9F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4C6E65D-16A7-4929-AC15-EE3EC6EA9F11}"/>
                        </a:ext>
                      </a:extLst>
                    </pic:cNvPr>
                    <pic:cNvPicPr>
                      <a:picLocks noChangeAspect="1"/>
                    </pic:cNvPicPr>
                  </pic:nvPicPr>
                  <pic:blipFill>
                    <a:blip r:embed="rId88"/>
                    <a:stretch>
                      <a:fillRect/>
                    </a:stretch>
                  </pic:blipFill>
                  <pic:spPr>
                    <a:xfrm>
                      <a:off x="0" y="0"/>
                      <a:ext cx="10685527" cy="2022452"/>
                    </a:xfrm>
                    <a:prstGeom prst="rect">
                      <a:avLst/>
                    </a:prstGeom>
                  </pic:spPr>
                </pic:pic>
              </a:graphicData>
            </a:graphic>
          </wp:inline>
        </w:drawing>
      </w:r>
    </w:p>
    <w:p w14:paraId="6D70D1CC" w14:textId="77777777" w:rsidR="00B27BEC" w:rsidRPr="00B27BEC" w:rsidRDefault="00B27BEC" w:rsidP="00B27BEC">
      <w:pPr>
        <w:rPr>
          <w:rFonts w:ascii="Century Gothic" w:hAnsi="Century Gothic" w:cs="Arial"/>
          <w:noProof/>
          <w:color w:val="0000FF"/>
          <w:u w:val="single"/>
        </w:rPr>
        <w:sectPr w:rsidR="00B27BEC" w:rsidRPr="00B27BEC" w:rsidSect="003737D8">
          <w:footerReference w:type="first" r:id="rId198"/>
          <w:footnotePr>
            <w:numFmt w:val="chicago"/>
          </w:footnotePr>
          <w:pgSz w:w="23814" w:h="16839" w:orient="landscape" w:code="8"/>
          <w:pgMar w:top="1134" w:right="821" w:bottom="851" w:left="964" w:header="567" w:footer="397" w:gutter="0"/>
          <w:cols w:space="708"/>
          <w:docGrid w:linePitch="360"/>
        </w:sectPr>
      </w:pPr>
    </w:p>
    <w:p w14:paraId="1C2D68FC" w14:textId="77777777" w:rsidR="00B27BEC" w:rsidRPr="00B27BEC" w:rsidRDefault="00B27BEC" w:rsidP="006A11B1">
      <w:pPr>
        <w:keepNext/>
        <w:numPr>
          <w:ilvl w:val="2"/>
          <w:numId w:val="13"/>
        </w:numPr>
        <w:spacing w:before="240" w:after="240"/>
        <w:outlineLvl w:val="2"/>
        <w:rPr>
          <w:noProof/>
          <w:color w:val="5F497A" w:themeColor="accent4" w:themeShade="BF"/>
          <w:sz w:val="26"/>
          <w:szCs w:val="24"/>
          <w:lang w:val="en-GB"/>
        </w:rPr>
      </w:pPr>
      <w:r w:rsidRPr="00B27BEC">
        <w:rPr>
          <w:noProof/>
          <w:color w:val="5F497A" w:themeColor="accent4" w:themeShade="BF"/>
          <w:sz w:val="26"/>
          <w:szCs w:val="24"/>
          <w:lang w:val="en-GB"/>
        </w:rPr>
        <w:lastRenderedPageBreak/>
        <w:t>Water delivery in 2020–21</w:t>
      </w:r>
    </w:p>
    <w:p w14:paraId="1521585A" w14:textId="64D5E743" w:rsidR="00B27BEC" w:rsidRPr="00B27BEC" w:rsidRDefault="00B27BEC" w:rsidP="00B27BEC">
      <w:r w:rsidRPr="00B27BEC">
        <w:t>Environmental water contained within unregulated flows is important in achieving ecological outcomes in the Barwon–Darling system. These natural flows (not delivered from dams) are particularly important for fish as they contain the natural cues and nutrients fish require for their lifecycles. Unregulated flows through the Barwon–Darling system can be enhanced using Commonwealth holdings both along the Barwon</w:t>
      </w:r>
      <w:r w:rsidR="006A11B1">
        <w:t>-</w:t>
      </w:r>
      <w:r w:rsidRPr="00B27BEC">
        <w:t xml:space="preserve">Darling and within tributary systems. </w:t>
      </w:r>
    </w:p>
    <w:p w14:paraId="3B472F24" w14:textId="3FCB13AC" w:rsidR="00B27BEC" w:rsidRPr="00B27BEC" w:rsidRDefault="00B27BEC" w:rsidP="00B27BEC">
      <w:r w:rsidRPr="00B27BEC">
        <w:t>The focus for</w:t>
      </w:r>
      <w:r w:rsidRPr="00B27BEC">
        <w:rPr>
          <w:rFonts w:cstheme="minorHAnsi"/>
        </w:rPr>
        <w:t xml:space="preserve"> Commonwealth environmental water use during</w:t>
      </w:r>
      <w:r w:rsidRPr="00B27BEC">
        <w:t xml:space="preserve"> the 2020</w:t>
      </w:r>
      <w:r w:rsidR="006A11B1">
        <w:t>-</w:t>
      </w:r>
      <w:r w:rsidRPr="00B27BEC">
        <w:t>21 water year will be the protection and enhancement of unregulated flows along the Barwon–Darling to meet the following watering priorities:</w:t>
      </w:r>
    </w:p>
    <w:p w14:paraId="34E845A1" w14:textId="78E28BB3" w:rsidR="00B27BEC" w:rsidRPr="00B27BEC" w:rsidRDefault="00B27BEC" w:rsidP="006A11B1">
      <w:pPr>
        <w:pStyle w:val="DotStyle1"/>
      </w:pPr>
      <w:r w:rsidRPr="00B27BEC">
        <w:t>protection of dry spell breaking low flows along the Barwon</w:t>
      </w:r>
      <w:r w:rsidR="006A11B1">
        <w:t>-</w:t>
      </w:r>
      <w:r w:rsidRPr="00B27BEC">
        <w:t>Darling to refresh refuge pools</w:t>
      </w:r>
    </w:p>
    <w:p w14:paraId="4DC40B40" w14:textId="13E62C22" w:rsidR="00B27BEC" w:rsidRPr="00B27BEC" w:rsidRDefault="00B27BEC" w:rsidP="006A11B1">
      <w:pPr>
        <w:pStyle w:val="DotStyle1"/>
      </w:pPr>
      <w:r w:rsidRPr="00B27BEC">
        <w:t>enhancing fresh pulses to maintain or improve water quality, enhance native fish condition, and support fish movement along the Barwon</w:t>
      </w:r>
      <w:r w:rsidR="006A11B1">
        <w:t>-</w:t>
      </w:r>
      <w:r w:rsidRPr="00B27BEC">
        <w:t>Darling.</w:t>
      </w:r>
    </w:p>
    <w:p w14:paraId="74F08750" w14:textId="168DDCA9" w:rsidR="00B27BEC" w:rsidRPr="00B27BEC" w:rsidRDefault="00B27BEC" w:rsidP="00B27BEC">
      <w:r w:rsidRPr="00B27BEC">
        <w:t>Low resource availability in regulated upstream storages will significantly constrain the ability for regulated releases to further enhance environmental outcomes in the Barwon–Darling for the 2020</w:t>
      </w:r>
      <w:r w:rsidR="006A11B1">
        <w:t>-</w:t>
      </w:r>
      <w:r w:rsidRPr="00B27BEC">
        <w:t>21 watering year.</w:t>
      </w:r>
    </w:p>
    <w:p w14:paraId="4A840BF0" w14:textId="77777777" w:rsidR="00B27BEC" w:rsidRPr="00B27BEC" w:rsidRDefault="00B27BEC" w:rsidP="006A11B1">
      <w:pPr>
        <w:keepNext/>
        <w:numPr>
          <w:ilvl w:val="2"/>
          <w:numId w:val="13"/>
        </w:numPr>
        <w:spacing w:before="240" w:after="240"/>
        <w:outlineLvl w:val="2"/>
        <w:rPr>
          <w:noProof/>
          <w:color w:val="5F497A" w:themeColor="accent4" w:themeShade="BF"/>
          <w:sz w:val="26"/>
          <w:szCs w:val="24"/>
          <w:lang w:val="en-GB"/>
        </w:rPr>
      </w:pPr>
      <w:r w:rsidRPr="00B27BEC">
        <w:rPr>
          <w:noProof/>
          <w:color w:val="5F497A" w:themeColor="accent4" w:themeShade="BF"/>
          <w:sz w:val="26"/>
          <w:szCs w:val="24"/>
          <w:lang w:val="en-GB"/>
        </w:rPr>
        <w:t>Monitoring and Lessons learned</w:t>
      </w:r>
    </w:p>
    <w:p w14:paraId="46CAC40A" w14:textId="77777777" w:rsidR="00B27BEC" w:rsidRPr="00B27BEC" w:rsidRDefault="00B27BEC" w:rsidP="006A11B1">
      <w:pPr>
        <w:keepNext/>
        <w:numPr>
          <w:ilvl w:val="3"/>
          <w:numId w:val="13"/>
        </w:numPr>
        <w:spacing w:before="240"/>
        <w:outlineLvl w:val="3"/>
        <w:rPr>
          <w:rFonts w:cs="Arial"/>
          <w:i/>
          <w:color w:val="5F497A" w:themeColor="accent4" w:themeShade="BF"/>
          <w:sz w:val="26"/>
          <w:szCs w:val="24"/>
          <w:lang w:val="en-GB"/>
        </w:rPr>
      </w:pPr>
      <w:r w:rsidRPr="00B27BEC">
        <w:rPr>
          <w:rFonts w:cs="Arial"/>
          <w:i/>
          <w:color w:val="5F497A" w:themeColor="accent4" w:themeShade="BF"/>
          <w:sz w:val="26"/>
          <w:szCs w:val="24"/>
          <w:lang w:val="en-GB"/>
        </w:rPr>
        <w:t>Monitoring</w:t>
      </w:r>
    </w:p>
    <w:p w14:paraId="6BCF82E8" w14:textId="77777777" w:rsidR="00B27BEC" w:rsidRPr="00B27BEC" w:rsidRDefault="00B27BEC" w:rsidP="00B27BEC">
      <w:pPr>
        <w:rPr>
          <w:rFonts w:ascii="Calibri" w:hAnsi="Calibri" w:cs="Times New Roman"/>
          <w:color w:val="auto"/>
          <w:szCs w:val="22"/>
          <w:lang w:val="en-US" w:eastAsia="en-US"/>
        </w:rPr>
      </w:pPr>
      <w:r w:rsidRPr="00B27BEC">
        <w:rPr>
          <w:rFonts w:ascii="Calibri" w:hAnsi="Calibri" w:cs="Times New Roman"/>
          <w:color w:val="auto"/>
          <w:szCs w:val="22"/>
          <w:lang w:val="en-US" w:eastAsia="en-US"/>
        </w:rPr>
        <w:t xml:space="preserve">Operational monitoring is undertaken for all Commonwealth environmental watering actions and involves collecting on-ground data about environmental water delivery such as volumes delivered, impact on the river systems hydrograph, area of inundation and river levels. It can also include observations of environmental outcomes. </w:t>
      </w:r>
    </w:p>
    <w:p w14:paraId="12DDDEDE" w14:textId="12710AF2" w:rsidR="00B27BEC" w:rsidRPr="00B27BEC" w:rsidRDefault="00B27BEC" w:rsidP="00B27BEC">
      <w:pPr>
        <w:rPr>
          <w:rFonts w:ascii="Calibri" w:hAnsi="Calibri" w:cs="Times New Roman"/>
          <w:color w:val="auto"/>
          <w:szCs w:val="22"/>
          <w:lang w:val="en-US" w:eastAsia="en-US"/>
        </w:rPr>
      </w:pPr>
      <w:r w:rsidRPr="00B27BEC">
        <w:rPr>
          <w:rFonts w:ascii="Calibri" w:hAnsi="Calibri" w:cs="Times New Roman"/>
          <w:color w:val="auto"/>
          <w:szCs w:val="22"/>
          <w:lang w:val="en-US" w:eastAsia="en-US"/>
        </w:rPr>
        <w:t>The Monitoring, Evaluation and Research (MER) Program (previously the Long-Term Intervention Monitoring Project 2014</w:t>
      </w:r>
      <w:r w:rsidR="006A11B1">
        <w:rPr>
          <w:rFonts w:ascii="Calibri" w:hAnsi="Calibri" w:cs="Times New Roman"/>
          <w:color w:val="auto"/>
          <w:szCs w:val="22"/>
          <w:lang w:val="en-US" w:eastAsia="en-US"/>
        </w:rPr>
        <w:t>-</w:t>
      </w:r>
      <w:r w:rsidRPr="00B27BEC">
        <w:rPr>
          <w:rFonts w:ascii="Calibri" w:hAnsi="Calibri" w:cs="Times New Roman"/>
          <w:color w:val="auto"/>
          <w:szCs w:val="22"/>
          <w:lang w:val="en-US" w:eastAsia="en-US"/>
        </w:rPr>
        <w:t xml:space="preserve">2019) has the junction of the Darling and Warrego Rivers as a focus area. It aims to understand the environmental response from Commonwealth environmental watering with respect to the targeted objectives by carrying out monitoring of site condition over many years. </w:t>
      </w:r>
    </w:p>
    <w:p w14:paraId="64BBA35E" w14:textId="77777777" w:rsidR="00B27BEC" w:rsidRPr="00B27BEC" w:rsidRDefault="00B27BEC" w:rsidP="00B27BEC">
      <w:pPr>
        <w:rPr>
          <w:rFonts w:ascii="Century Gothic" w:hAnsi="Century Gothic" w:cs="Times New Roman"/>
          <w:color w:val="auto"/>
          <w:szCs w:val="22"/>
          <w:lang w:val="en-US" w:eastAsia="en-US"/>
        </w:rPr>
      </w:pPr>
      <w:r w:rsidRPr="00B27BEC">
        <w:rPr>
          <w:rFonts w:ascii="Calibri" w:hAnsi="Calibri"/>
          <w:szCs w:val="22"/>
          <w:lang w:val="en-US"/>
        </w:rPr>
        <w:t>Information on the monitoring activities is available</w:t>
      </w:r>
      <w:r w:rsidRPr="00B27BEC">
        <w:rPr>
          <w:rFonts w:ascii="Century Gothic" w:hAnsi="Century Gothic" w:cs="Times New Roman"/>
          <w:color w:val="auto"/>
          <w:szCs w:val="22"/>
          <w:lang w:val="en-US" w:eastAsia="en-US"/>
        </w:rPr>
        <w:t xml:space="preserve"> </w:t>
      </w:r>
      <w:hyperlink r:id="rId199" w:history="1">
        <w:r w:rsidRPr="00B27BEC">
          <w:rPr>
            <w:rFonts w:cstheme="minorHAnsi"/>
            <w:color w:val="0000FF"/>
            <w:szCs w:val="22"/>
            <w:u w:val="single"/>
            <w:lang w:eastAsia="en-US"/>
          </w:rPr>
          <w:t>https://www.environment.gov.au/water/cewo/catchment/northern-unregulated-rivers/monitoring</w:t>
        </w:r>
      </w:hyperlink>
      <w:r w:rsidRPr="00B27BEC">
        <w:rPr>
          <w:rFonts w:ascii="Calibri" w:hAnsi="Calibri" w:cstheme="minorHAnsi"/>
          <w:color w:val="auto"/>
          <w:szCs w:val="22"/>
          <w:lang w:val="en-US" w:eastAsia="en-US"/>
        </w:rPr>
        <w:t>.</w:t>
      </w:r>
      <w:r w:rsidRPr="00B27BEC">
        <w:rPr>
          <w:rFonts w:ascii="Century Gothic" w:hAnsi="Century Gothic" w:cs="Times New Roman"/>
          <w:color w:val="auto"/>
          <w:szCs w:val="22"/>
          <w:lang w:val="en-US" w:eastAsia="en-US"/>
        </w:rPr>
        <w:t xml:space="preserve"> </w:t>
      </w:r>
    </w:p>
    <w:p w14:paraId="0D773A3F" w14:textId="258FE48E" w:rsidR="00B27BEC" w:rsidRPr="00B27BEC" w:rsidRDefault="00B27BEC" w:rsidP="00B27BEC">
      <w:pPr>
        <w:rPr>
          <w:rFonts w:ascii="Calibri" w:hAnsi="Calibri" w:cs="Times New Roman"/>
          <w:color w:val="auto"/>
          <w:szCs w:val="22"/>
          <w:lang w:val="en-US" w:eastAsia="en-US"/>
        </w:rPr>
      </w:pPr>
      <w:r w:rsidRPr="00B27BEC">
        <w:rPr>
          <w:rFonts w:ascii="Calibri" w:hAnsi="Calibri" w:cs="Times New Roman"/>
          <w:color w:val="auto"/>
          <w:szCs w:val="22"/>
          <w:lang w:val="en-US" w:eastAsia="en-US"/>
        </w:rPr>
        <w:t>Monitoring information is also provided by state governments and other organisations throughout the Barwon</w:t>
      </w:r>
      <w:r w:rsidR="006A11B1">
        <w:rPr>
          <w:rFonts w:ascii="Calibri" w:hAnsi="Calibri" w:cs="Times New Roman"/>
          <w:color w:val="auto"/>
          <w:szCs w:val="22"/>
          <w:lang w:val="en-US" w:eastAsia="en-US"/>
        </w:rPr>
        <w:t>-</w:t>
      </w:r>
      <w:r w:rsidRPr="00B27BEC">
        <w:rPr>
          <w:rFonts w:ascii="Calibri" w:hAnsi="Calibri" w:cs="Times New Roman"/>
          <w:color w:val="auto"/>
          <w:szCs w:val="22"/>
          <w:lang w:val="en-US" w:eastAsia="en-US"/>
        </w:rPr>
        <w:t>Darling system.</w:t>
      </w:r>
    </w:p>
    <w:p w14:paraId="32024859" w14:textId="77777777" w:rsidR="00B27BEC" w:rsidRPr="00B27BEC" w:rsidRDefault="00B27BEC" w:rsidP="006A11B1">
      <w:pPr>
        <w:keepNext/>
        <w:numPr>
          <w:ilvl w:val="3"/>
          <w:numId w:val="13"/>
        </w:numPr>
        <w:spacing w:before="240"/>
        <w:outlineLvl w:val="3"/>
        <w:rPr>
          <w:rFonts w:cs="Arial"/>
          <w:i/>
          <w:color w:val="5F497A" w:themeColor="accent4" w:themeShade="BF"/>
          <w:sz w:val="26"/>
          <w:szCs w:val="24"/>
          <w:lang w:val="en-GB"/>
        </w:rPr>
      </w:pPr>
      <w:r w:rsidRPr="00B27BEC">
        <w:rPr>
          <w:rFonts w:cs="Arial"/>
          <w:i/>
          <w:color w:val="5F497A" w:themeColor="accent4" w:themeShade="BF"/>
          <w:sz w:val="26"/>
          <w:szCs w:val="24"/>
          <w:lang w:val="en-GB"/>
        </w:rPr>
        <w:t>Lessons learned</w:t>
      </w:r>
    </w:p>
    <w:p w14:paraId="1C9E406C" w14:textId="77777777" w:rsidR="00B27BEC" w:rsidRPr="00B27BEC" w:rsidRDefault="00B27BEC" w:rsidP="00B27BEC">
      <w:r w:rsidRPr="00B27BEC">
        <w:t>Outcomes from monitoring and lessons learned in previous years are a critical component for the effective and efficient use of Commonwealth water for the environment. These learnings are incorporated into the way environmental water is managed.</w:t>
      </w:r>
    </w:p>
    <w:p w14:paraId="7E1A2AA6" w14:textId="794BA7C5" w:rsidR="00B27BEC" w:rsidRPr="00B27BEC" w:rsidRDefault="00B27BEC" w:rsidP="00B27BEC">
      <w:r w:rsidRPr="00B27BEC">
        <w:t xml:space="preserve">Key findings from monitoring undertaken across the Barwon–Darling system is summarised in </w:t>
      </w:r>
      <w:r w:rsidRPr="00B27BEC">
        <w:fldChar w:fldCharType="begin"/>
      </w:r>
      <w:r w:rsidRPr="00B27BEC">
        <w:instrText xml:space="preserve"> REF _Ref43981649 \h  \* MERGEFORMAT </w:instrText>
      </w:r>
      <w:r w:rsidRPr="00B27BEC">
        <w:fldChar w:fldCharType="separate"/>
      </w:r>
      <w:r w:rsidR="001B2852" w:rsidRPr="001B2852">
        <w:t xml:space="preserve">Table </w:t>
      </w:r>
      <w:r w:rsidR="001B2852" w:rsidRPr="001B2852">
        <w:rPr>
          <w:noProof/>
        </w:rPr>
        <w:t>29</w:t>
      </w:r>
      <w:r w:rsidRPr="00B27BEC">
        <w:fldChar w:fldCharType="end"/>
      </w:r>
      <w:r w:rsidRPr="00B27BEC">
        <w:t>.</w:t>
      </w:r>
    </w:p>
    <w:p w14:paraId="4CE32414" w14:textId="26B14536" w:rsidR="00B27BEC" w:rsidRPr="00B27BEC" w:rsidRDefault="00B27BEC" w:rsidP="00B27BEC">
      <w:pPr>
        <w:spacing w:before="240"/>
      </w:pPr>
      <w:bookmarkStart w:id="129" w:name="_Ref43981649"/>
      <w:r w:rsidRPr="00B27BEC">
        <w:rPr>
          <w:b/>
        </w:rPr>
        <w:t xml:space="preserve">Table </w:t>
      </w:r>
      <w:r w:rsidRPr="00B27BEC">
        <w:rPr>
          <w:b/>
        </w:rPr>
        <w:fldChar w:fldCharType="begin"/>
      </w:r>
      <w:r w:rsidRPr="00B27BEC">
        <w:rPr>
          <w:b/>
        </w:rPr>
        <w:instrText xml:space="preserve"> SEQ Table \* ARABIC </w:instrText>
      </w:r>
      <w:r w:rsidRPr="00B27BEC">
        <w:rPr>
          <w:b/>
        </w:rPr>
        <w:fldChar w:fldCharType="separate"/>
      </w:r>
      <w:r w:rsidR="001B2852">
        <w:rPr>
          <w:b/>
          <w:noProof/>
        </w:rPr>
        <w:t>29</w:t>
      </w:r>
      <w:r w:rsidRPr="00B27BEC">
        <w:rPr>
          <w:b/>
        </w:rPr>
        <w:fldChar w:fldCharType="end"/>
      </w:r>
      <w:bookmarkEnd w:id="129"/>
      <w:r w:rsidRPr="00B27BEC">
        <w:t>: Key lessons learned in the Barwon–Darling system</w:t>
      </w:r>
    </w:p>
    <w:tbl>
      <w:tblPr>
        <w:tblStyle w:val="TableGrid3"/>
        <w:tblW w:w="0" w:type="auto"/>
        <w:tblLook w:val="04A0" w:firstRow="1" w:lastRow="0" w:firstColumn="1" w:lastColumn="0" w:noHBand="0" w:noVBand="1"/>
      </w:tblPr>
      <w:tblGrid>
        <w:gridCol w:w="1682"/>
        <w:gridCol w:w="8117"/>
      </w:tblGrid>
      <w:tr w:rsidR="00B27BEC" w:rsidRPr="00B27BEC" w14:paraId="17FB0C66" w14:textId="77777777" w:rsidTr="00B27BEC">
        <w:trPr>
          <w:cnfStyle w:val="100000000000" w:firstRow="1" w:lastRow="0" w:firstColumn="0" w:lastColumn="0" w:oddVBand="0" w:evenVBand="0" w:oddHBand="0" w:evenHBand="0" w:firstRowFirstColumn="0" w:firstRowLastColumn="0" w:lastRowFirstColumn="0" w:lastRowLastColumn="0"/>
          <w:trHeight w:val="487"/>
          <w:tblHeader/>
        </w:trPr>
        <w:tc>
          <w:tcPr>
            <w:tcW w:w="1696" w:type="dxa"/>
            <w:shd w:val="clear" w:color="auto" w:fill="B6DDE8" w:themeFill="accent5" w:themeFillTint="66"/>
          </w:tcPr>
          <w:p w14:paraId="40EC042F" w14:textId="77777777" w:rsidR="00B27BEC" w:rsidRPr="00B27BEC" w:rsidRDefault="00B27BEC" w:rsidP="00B27BEC">
            <w:pPr>
              <w:outlineLvl w:val="7"/>
              <w:rPr>
                <w:rFonts w:cstheme="minorHAnsi"/>
                <w:b/>
                <w:szCs w:val="22"/>
                <w:lang w:val="en-GB" w:eastAsia="en-US"/>
              </w:rPr>
            </w:pPr>
            <w:r w:rsidRPr="00B27BEC">
              <w:rPr>
                <w:rFonts w:cstheme="minorHAnsi"/>
                <w:b/>
                <w:szCs w:val="22"/>
                <w:lang w:val="en-GB" w:eastAsia="en-US"/>
              </w:rPr>
              <w:t>Theme</w:t>
            </w:r>
          </w:p>
        </w:tc>
        <w:tc>
          <w:tcPr>
            <w:tcW w:w="8358" w:type="dxa"/>
            <w:shd w:val="clear" w:color="auto" w:fill="B6DDE8" w:themeFill="accent5" w:themeFillTint="66"/>
          </w:tcPr>
          <w:p w14:paraId="39694EA6" w14:textId="77777777" w:rsidR="00B27BEC" w:rsidRPr="00B27BEC" w:rsidRDefault="00B27BEC" w:rsidP="00B27BEC">
            <w:pPr>
              <w:outlineLvl w:val="7"/>
              <w:rPr>
                <w:rFonts w:cstheme="minorHAnsi"/>
                <w:b/>
                <w:szCs w:val="22"/>
                <w:lang w:val="en-GB" w:eastAsia="en-US"/>
              </w:rPr>
            </w:pPr>
            <w:r w:rsidRPr="00B27BEC">
              <w:rPr>
                <w:rFonts w:cstheme="minorHAnsi"/>
                <w:b/>
                <w:szCs w:val="22"/>
                <w:lang w:val="en-GB" w:eastAsia="en-US"/>
              </w:rPr>
              <w:t>Lesson learned</w:t>
            </w:r>
          </w:p>
        </w:tc>
      </w:tr>
      <w:tr w:rsidR="00B27BEC" w:rsidRPr="00B27BEC" w14:paraId="7B814F74" w14:textId="77777777" w:rsidTr="006A11B1">
        <w:trPr>
          <w:cnfStyle w:val="000000100000" w:firstRow="0" w:lastRow="0" w:firstColumn="0" w:lastColumn="0" w:oddVBand="0" w:evenVBand="0" w:oddHBand="1" w:evenHBand="0" w:firstRowFirstColumn="0" w:firstRowLastColumn="0" w:lastRowFirstColumn="0" w:lastRowLastColumn="0"/>
          <w:trHeight w:val="2462"/>
        </w:trPr>
        <w:tc>
          <w:tcPr>
            <w:tcW w:w="1696" w:type="dxa"/>
            <w:shd w:val="clear" w:color="auto" w:fill="B6DDE8" w:themeFill="accent5" w:themeFillTint="66"/>
          </w:tcPr>
          <w:p w14:paraId="15177395" w14:textId="77777777" w:rsidR="00B27BEC" w:rsidRPr="00B27BEC" w:rsidRDefault="00B27BEC" w:rsidP="00B27BEC">
            <w:pPr>
              <w:outlineLvl w:val="7"/>
              <w:rPr>
                <w:rFonts w:cstheme="minorHAnsi"/>
                <w:szCs w:val="22"/>
                <w:lang w:val="en-GB" w:eastAsia="en-US"/>
              </w:rPr>
            </w:pPr>
            <w:r w:rsidRPr="00B27BEC">
              <w:rPr>
                <w:rFonts w:cstheme="minorHAnsi"/>
                <w:szCs w:val="22"/>
                <w:lang w:val="en-GB" w:eastAsia="en-US"/>
              </w:rPr>
              <w:t>Native fish and other aquatic species</w:t>
            </w:r>
          </w:p>
        </w:tc>
        <w:tc>
          <w:tcPr>
            <w:tcW w:w="8358" w:type="dxa"/>
          </w:tcPr>
          <w:p w14:paraId="3FB9DC64" w14:textId="77777777" w:rsidR="00B27BEC" w:rsidRPr="00B27BEC" w:rsidRDefault="00B27BEC" w:rsidP="006A11B1">
            <w:pPr>
              <w:pStyle w:val="DotStyle1"/>
            </w:pPr>
            <w:r w:rsidRPr="00B27BEC">
              <w:t xml:space="preserve">Over the last several years, the University of New England (UNE) with NSW DPI – Fisheries have been monitoring native fish responses to flow as part of the CEWO’s MER/LTIM Warrego-Darling selected area projects. </w:t>
            </w:r>
          </w:p>
          <w:p w14:paraId="5848CA2F" w14:textId="77777777" w:rsidR="00B27BEC" w:rsidRPr="00B27BEC" w:rsidRDefault="00B27BEC" w:rsidP="006A11B1">
            <w:pPr>
              <w:pStyle w:val="DotStyle1"/>
            </w:pPr>
            <w:r w:rsidRPr="00B27BEC">
              <w:t>Preliminary results from monitoring undertaken in the 2019–20 water year have found juvenile golden perch in both the Warrego and Darling rivers, and several large Murray cod in the Darling River. Turtles were also common across most sites, with some larger specimens found at the confluence of the Warrego and Darling rivers.</w:t>
            </w:r>
          </w:p>
        </w:tc>
      </w:tr>
      <w:tr w:rsidR="00B27BEC" w:rsidRPr="00B27BEC" w14:paraId="04E9026A" w14:textId="77777777" w:rsidTr="00B27BEC">
        <w:trPr>
          <w:cnfStyle w:val="000000010000" w:firstRow="0" w:lastRow="0" w:firstColumn="0" w:lastColumn="0" w:oddVBand="0" w:evenVBand="0" w:oddHBand="0" w:evenHBand="1" w:firstRowFirstColumn="0" w:firstRowLastColumn="0" w:lastRowFirstColumn="0" w:lastRowLastColumn="0"/>
        </w:trPr>
        <w:tc>
          <w:tcPr>
            <w:tcW w:w="1696" w:type="dxa"/>
            <w:shd w:val="clear" w:color="auto" w:fill="B6DDE8" w:themeFill="accent5" w:themeFillTint="66"/>
          </w:tcPr>
          <w:p w14:paraId="2AD201F0" w14:textId="77777777" w:rsidR="00B27BEC" w:rsidRPr="00B27BEC" w:rsidRDefault="00B27BEC" w:rsidP="00B27BEC">
            <w:pPr>
              <w:outlineLvl w:val="7"/>
              <w:rPr>
                <w:rFonts w:cstheme="minorHAnsi"/>
                <w:szCs w:val="22"/>
                <w:lang w:val="en-GB" w:eastAsia="en-US"/>
              </w:rPr>
            </w:pPr>
            <w:r w:rsidRPr="00B27BEC">
              <w:rPr>
                <w:rFonts w:cstheme="minorHAnsi"/>
                <w:szCs w:val="22"/>
                <w:lang w:val="en-GB" w:eastAsia="en-US"/>
              </w:rPr>
              <w:lastRenderedPageBreak/>
              <w:t>Connectivity</w:t>
            </w:r>
          </w:p>
        </w:tc>
        <w:tc>
          <w:tcPr>
            <w:tcW w:w="8358" w:type="dxa"/>
          </w:tcPr>
          <w:p w14:paraId="55A12423" w14:textId="77777777" w:rsidR="00B27BEC" w:rsidRPr="00B27BEC" w:rsidRDefault="00B27BEC" w:rsidP="006A11B1">
            <w:pPr>
              <w:pStyle w:val="DotStyle1"/>
            </w:pPr>
            <w:r w:rsidRPr="00B27BEC">
              <w:t>Connectivity between the Barwon–Darling system and its tributaries can be enhanced using water for the environment. Connectivity is important for supporting native fish habitat and allowing the movement of native fish between rivers for spawning, dispersal and recruitment.</w:t>
            </w:r>
          </w:p>
          <w:p w14:paraId="21F4254A" w14:textId="77777777" w:rsidR="00B27BEC" w:rsidRPr="00B27BEC" w:rsidRDefault="00B27BEC" w:rsidP="006A11B1">
            <w:pPr>
              <w:pStyle w:val="DotStyle1"/>
            </w:pPr>
            <w:r w:rsidRPr="00B27BEC">
              <w:t>The Northern Connectivity Event and Northern Fish Flow delivered from the Gwydir and Border Rivers into the Barwon–Darling system during the 2017–18 and 2018–19 water years were critical actions. These events reconnected channel habitats and promoted fish movement. Protecting environmental water delivered in these events from extraction was essential for success. In the absence of appropriate protection, these watering actions would not have provided the same level of environmental outcomes.</w:t>
            </w:r>
          </w:p>
          <w:p w14:paraId="2E4741CE" w14:textId="77777777" w:rsidR="00B27BEC" w:rsidRPr="00B27BEC" w:rsidRDefault="00B27BEC" w:rsidP="006A11B1">
            <w:pPr>
              <w:pStyle w:val="DotStyle1"/>
            </w:pPr>
            <w:r w:rsidRPr="00B27BEC">
              <w:t xml:space="preserve">Understanding the amount of water required to refill pools and wet up sections of river channel is a key element to estimating the environmental water requirements of the Barwon–Darling system during dry periods.  </w:t>
            </w:r>
          </w:p>
          <w:p w14:paraId="7EB43EF8" w14:textId="77777777" w:rsidR="00B27BEC" w:rsidRPr="00B27BEC" w:rsidRDefault="00B27BEC" w:rsidP="006A11B1">
            <w:pPr>
              <w:pStyle w:val="DotStyle1"/>
            </w:pPr>
            <w:r w:rsidRPr="00B27BEC">
              <w:t xml:space="preserve">For the Northern Fish Flow, on a dry riverbed, the volume of water that passed Collarenebri was approximately 15 350 megalitres, of which 2 230 megalitres or about 15 per cent passed Brewarrina. This means about 5 000 megalitres per 100 river kilometres was used to fill pools and wet the dry river channel between Collarenebri and Brewarrina. </w:t>
            </w:r>
          </w:p>
          <w:p w14:paraId="63E0A6B4" w14:textId="77777777" w:rsidR="00B27BEC" w:rsidRPr="00B27BEC" w:rsidRDefault="00B27BEC" w:rsidP="006A11B1">
            <w:pPr>
              <w:pStyle w:val="DotStyle1"/>
            </w:pPr>
            <w:r w:rsidRPr="00B27BEC">
              <w:t xml:space="preserve">For the Northern Connectivity Event, where waterholes were full before the flow, the volume of water that passed Collarenebri was about 19 900 megalitres, of which approximately 15 700 megalitres or about 80 per cent passed Brewarrina. </w:t>
            </w:r>
          </w:p>
          <w:p w14:paraId="3C6835E9" w14:textId="77777777" w:rsidR="00B27BEC" w:rsidRPr="00B27BEC" w:rsidRDefault="00B27BEC" w:rsidP="006A11B1">
            <w:pPr>
              <w:pStyle w:val="DotStyle1"/>
            </w:pPr>
            <w:r w:rsidRPr="00B27BEC">
              <w:t>This means that approximately three times as much water was used to refill pools and wet up sections of river channel between Collarenebri and Brewarrina during the Northern Fish Flow as compared to the Northern Connectivity Event.</w:t>
            </w:r>
          </w:p>
        </w:tc>
      </w:tr>
      <w:tr w:rsidR="00B27BEC" w:rsidRPr="00B27BEC" w14:paraId="3E3C32BB" w14:textId="77777777" w:rsidTr="00B27BEC">
        <w:trPr>
          <w:cnfStyle w:val="000000100000" w:firstRow="0" w:lastRow="0" w:firstColumn="0" w:lastColumn="0" w:oddVBand="0" w:evenVBand="0" w:oddHBand="1" w:evenHBand="0" w:firstRowFirstColumn="0" w:firstRowLastColumn="0" w:lastRowFirstColumn="0" w:lastRowLastColumn="0"/>
        </w:trPr>
        <w:tc>
          <w:tcPr>
            <w:tcW w:w="1696" w:type="dxa"/>
            <w:shd w:val="clear" w:color="auto" w:fill="B6DDE8" w:themeFill="accent5" w:themeFillTint="66"/>
          </w:tcPr>
          <w:p w14:paraId="7A0E5D05" w14:textId="77777777" w:rsidR="00B27BEC" w:rsidRPr="00B27BEC" w:rsidRDefault="00B27BEC" w:rsidP="00B27BEC">
            <w:pPr>
              <w:outlineLvl w:val="7"/>
              <w:rPr>
                <w:rFonts w:cstheme="minorHAnsi"/>
                <w:szCs w:val="22"/>
                <w:lang w:val="en-GB" w:eastAsia="en-US"/>
              </w:rPr>
            </w:pPr>
            <w:r w:rsidRPr="00B27BEC">
              <w:rPr>
                <w:rFonts w:cstheme="minorHAnsi"/>
                <w:szCs w:val="22"/>
                <w:lang w:val="en-GB" w:eastAsia="en-US"/>
              </w:rPr>
              <w:t xml:space="preserve">Water Quality </w:t>
            </w:r>
          </w:p>
        </w:tc>
        <w:tc>
          <w:tcPr>
            <w:tcW w:w="8358" w:type="dxa"/>
          </w:tcPr>
          <w:p w14:paraId="141371B8" w14:textId="77777777" w:rsidR="00B27BEC" w:rsidRPr="00B27BEC" w:rsidRDefault="00B27BEC" w:rsidP="005D79EF">
            <w:pPr>
              <w:numPr>
                <w:ilvl w:val="0"/>
                <w:numId w:val="28"/>
              </w:numPr>
              <w:outlineLvl w:val="7"/>
              <w:rPr>
                <w:rFonts w:cstheme="minorHAnsi"/>
                <w:szCs w:val="22"/>
                <w:lang w:val="en-GB" w:eastAsia="en-US"/>
              </w:rPr>
            </w:pPr>
            <w:r w:rsidRPr="00B27BEC">
              <w:rPr>
                <w:rFonts w:cstheme="minorHAnsi"/>
                <w:szCs w:val="22"/>
                <w:lang w:val="en-GB" w:eastAsia="en-US"/>
              </w:rPr>
              <w:t>During summer months refuge pools located along the Barwon and Darling Rivers can stratify, reducing habitat quality.</w:t>
            </w:r>
          </w:p>
          <w:p w14:paraId="48FE5EB5" w14:textId="77777777" w:rsidR="00B27BEC" w:rsidRPr="00B27BEC" w:rsidRDefault="00B27BEC" w:rsidP="005D79EF">
            <w:pPr>
              <w:numPr>
                <w:ilvl w:val="0"/>
                <w:numId w:val="28"/>
              </w:numPr>
              <w:outlineLvl w:val="7"/>
              <w:rPr>
                <w:rFonts w:cstheme="minorHAnsi"/>
                <w:szCs w:val="22"/>
                <w:lang w:val="en-GB" w:eastAsia="en-US"/>
              </w:rPr>
            </w:pPr>
            <w:r w:rsidRPr="00B27BEC">
              <w:rPr>
                <w:rFonts w:cstheme="minorHAnsi"/>
                <w:szCs w:val="22"/>
                <w:lang w:val="en-GB" w:eastAsia="en-US"/>
              </w:rPr>
              <w:t>The primary risk considered before the Northern Fish Flow (NFF) was the stratification of waterholes which may rapidly de-stratify when the NFF event arrived, resulting in deoxygenation of the waterholes and fish kills. Consultants (Ecological) were used to gather information about water quality risks.</w:t>
            </w:r>
          </w:p>
          <w:p w14:paraId="61842ECD" w14:textId="77777777" w:rsidR="00B27BEC" w:rsidRPr="00B27BEC" w:rsidRDefault="00B27BEC" w:rsidP="005D79EF">
            <w:pPr>
              <w:numPr>
                <w:ilvl w:val="0"/>
                <w:numId w:val="28"/>
              </w:numPr>
              <w:outlineLvl w:val="7"/>
              <w:rPr>
                <w:rFonts w:cstheme="minorHAnsi"/>
                <w:szCs w:val="22"/>
                <w:lang w:val="en-GB" w:eastAsia="en-US"/>
              </w:rPr>
            </w:pPr>
            <w:r w:rsidRPr="00B27BEC">
              <w:rPr>
                <w:rFonts w:cstheme="minorHAnsi"/>
                <w:szCs w:val="22"/>
                <w:lang w:val="en-GB" w:eastAsia="en-US"/>
              </w:rPr>
              <w:t xml:space="preserve">Samples of dissolved oxygen were collected from refuge pools before, during and after the Northern Fish Flow. If dissolved oxygen falls below 4 mg/L then fish become stressed and may die. Before the Northern Fish Flow, dissolved oxygen concentrations at the Collarenebri Weir pool were found to be below 4 mg/L in places. Dissolved oxygen readings show that concentrations increased when the Northern Fish Flow passed. </w:t>
            </w:r>
          </w:p>
          <w:p w14:paraId="270461A4" w14:textId="77777777" w:rsidR="00B27BEC" w:rsidRPr="00B27BEC" w:rsidRDefault="00B27BEC" w:rsidP="005D79EF">
            <w:pPr>
              <w:numPr>
                <w:ilvl w:val="0"/>
                <w:numId w:val="28"/>
              </w:numPr>
              <w:outlineLvl w:val="7"/>
              <w:rPr>
                <w:rFonts w:cstheme="minorHAnsi"/>
                <w:szCs w:val="22"/>
                <w:lang w:val="en-GB" w:eastAsia="en-US"/>
              </w:rPr>
            </w:pPr>
            <w:r w:rsidRPr="00B27BEC">
              <w:rPr>
                <w:rFonts w:cstheme="minorHAnsi"/>
                <w:szCs w:val="22"/>
                <w:lang w:val="en-GB" w:eastAsia="en-US"/>
              </w:rPr>
              <w:t>The Northern Fish Flow was timed for the flows to reach the Barwon by late May and early June when temperature was significantly reduced, helping to reduce risks to water quality.</w:t>
            </w:r>
          </w:p>
          <w:p w14:paraId="6E228B05" w14:textId="77777777" w:rsidR="00B27BEC" w:rsidRPr="00B27BEC" w:rsidRDefault="00B27BEC" w:rsidP="005D79EF">
            <w:pPr>
              <w:numPr>
                <w:ilvl w:val="0"/>
                <w:numId w:val="28"/>
              </w:numPr>
              <w:outlineLvl w:val="7"/>
              <w:rPr>
                <w:rFonts w:cstheme="minorHAnsi"/>
                <w:szCs w:val="22"/>
                <w:lang w:val="en-GB" w:eastAsia="en-US"/>
              </w:rPr>
            </w:pPr>
            <w:bookmarkStart w:id="130" w:name="_Hlk42250746"/>
            <w:r w:rsidRPr="00B27BEC">
              <w:rPr>
                <w:rFonts w:cstheme="minorHAnsi"/>
                <w:szCs w:val="22"/>
                <w:lang w:val="en-GB" w:eastAsia="en-US"/>
              </w:rPr>
              <w:t>Commonwealth water for the environment delivered as part of natural flow events</w:t>
            </w:r>
            <w:bookmarkEnd w:id="130"/>
            <w:r w:rsidRPr="00B27BEC">
              <w:rPr>
                <w:rFonts w:cstheme="minorHAnsi"/>
                <w:szCs w:val="22"/>
                <w:lang w:val="en-GB" w:eastAsia="en-US"/>
              </w:rPr>
              <w:t xml:space="preserve"> can improve water quality, nutrient cycling and provide access to in-channel habitats for other species. Additionally, Commonwealth water delivered as part of small flow events in the Barwon and Darling rivers may minimise algal productivity and the potential for blooms. </w:t>
            </w:r>
          </w:p>
        </w:tc>
      </w:tr>
    </w:tbl>
    <w:p w14:paraId="267309C6" w14:textId="77777777" w:rsidR="00B27BEC" w:rsidRPr="00B27BEC" w:rsidRDefault="00B27BEC" w:rsidP="00B27BEC">
      <w:pPr>
        <w:rPr>
          <w:rFonts w:cs="Times New Roman"/>
          <w:color w:val="auto"/>
          <w:sz w:val="20"/>
          <w:lang w:val="en-US" w:eastAsia="en-US"/>
        </w:rPr>
      </w:pPr>
      <w:r w:rsidRPr="00B27BEC">
        <w:br w:type="page"/>
      </w:r>
    </w:p>
    <w:p w14:paraId="264AC29A" w14:textId="77777777" w:rsidR="00B27BEC" w:rsidRPr="00B27BEC" w:rsidRDefault="00B27BEC" w:rsidP="006A11B1">
      <w:pPr>
        <w:keepNext/>
        <w:numPr>
          <w:ilvl w:val="2"/>
          <w:numId w:val="13"/>
        </w:numPr>
        <w:spacing w:before="240" w:after="240"/>
        <w:outlineLvl w:val="2"/>
        <w:rPr>
          <w:noProof/>
          <w:color w:val="5F497A" w:themeColor="accent4" w:themeShade="BF"/>
          <w:sz w:val="26"/>
          <w:szCs w:val="24"/>
          <w:lang w:val="en-GB"/>
        </w:rPr>
      </w:pPr>
      <w:r w:rsidRPr="00B27BEC">
        <w:rPr>
          <w:color w:val="5F497A" w:themeColor="accent4" w:themeShade="BF"/>
          <w:sz w:val="26"/>
          <w:szCs w:val="24"/>
          <w:lang w:val="en-GB"/>
        </w:rPr>
        <w:lastRenderedPageBreak/>
        <w:t>Bibliography</w:t>
      </w:r>
    </w:p>
    <w:p w14:paraId="1D186756" w14:textId="77777777" w:rsidR="00B27BEC" w:rsidRPr="00B27BEC" w:rsidRDefault="00B27BEC" w:rsidP="00B27BEC">
      <w:pPr>
        <w:rPr>
          <w:rFonts w:cstheme="minorHAnsi"/>
        </w:rPr>
      </w:pPr>
      <w:r w:rsidRPr="00B27BEC">
        <w:rPr>
          <w:rFonts w:cstheme="minorHAnsi"/>
        </w:rPr>
        <w:t xml:space="preserve">Bureau of Meteorology (2020). </w:t>
      </w:r>
      <w:r w:rsidRPr="00B27BEC">
        <w:rPr>
          <w:i/>
          <w:iCs/>
          <w:lang w:val="en"/>
        </w:rPr>
        <w:t>Rainfall—</w:t>
      </w:r>
      <w:r w:rsidRPr="00B27BEC">
        <w:rPr>
          <w:i/>
          <w:iCs/>
          <w:szCs w:val="22"/>
          <w:lang w:val="en"/>
        </w:rPr>
        <w:t>The chance of above median</w:t>
      </w:r>
      <w:r w:rsidRPr="00B27BEC">
        <w:rPr>
          <w:i/>
          <w:iCs/>
          <w:lang w:val="en"/>
        </w:rPr>
        <w:t xml:space="preserve"> for July to September 2020. </w:t>
      </w:r>
      <w:hyperlink r:id="rId200" w:anchor="/rainfall/median/seasonal/0" w:history="1">
        <w:r w:rsidRPr="00B27BEC">
          <w:rPr>
            <w:rFonts w:cstheme="minorHAnsi"/>
            <w:color w:val="0000FF"/>
            <w:szCs w:val="22"/>
            <w:u w:val="single"/>
          </w:rPr>
          <w:t>http://www.bom.gov.au/climate/outlooks/#/rainfall/median/seasonal/0</w:t>
        </w:r>
      </w:hyperlink>
      <w:r w:rsidRPr="00B27BEC">
        <w:rPr>
          <w:rFonts w:cstheme="minorHAnsi"/>
        </w:rPr>
        <w:t xml:space="preserve"> </w:t>
      </w:r>
    </w:p>
    <w:p w14:paraId="4C411C78" w14:textId="77777777" w:rsidR="00B27BEC" w:rsidRPr="00B27BEC" w:rsidRDefault="00B27BEC" w:rsidP="00B27BEC">
      <w:pPr>
        <w:rPr>
          <w:rFonts w:cstheme="minorHAnsi"/>
        </w:rPr>
      </w:pPr>
      <w:r w:rsidRPr="00B27BEC">
        <w:rPr>
          <w:rFonts w:cstheme="minorHAnsi"/>
        </w:rPr>
        <w:t xml:space="preserve">Bureau of Meteorology (2020). </w:t>
      </w:r>
      <w:r w:rsidRPr="00B27BEC">
        <w:rPr>
          <w:i/>
          <w:iCs/>
          <w:lang w:val="en"/>
        </w:rPr>
        <w:t>Rainfall—</w:t>
      </w:r>
      <w:r w:rsidRPr="00B27BEC">
        <w:rPr>
          <w:i/>
          <w:iCs/>
          <w:szCs w:val="22"/>
          <w:lang w:val="en"/>
        </w:rPr>
        <w:t>The chance of above median</w:t>
      </w:r>
      <w:r w:rsidRPr="00B27BEC">
        <w:rPr>
          <w:i/>
          <w:iCs/>
          <w:lang w:val="en"/>
        </w:rPr>
        <w:t xml:space="preserve"> for August to October 2020. </w:t>
      </w:r>
      <w:hyperlink r:id="rId201" w:anchor="/rainfall/median/seasonal/1" w:history="1">
        <w:r w:rsidRPr="00B27BEC">
          <w:rPr>
            <w:rFonts w:cstheme="minorHAnsi"/>
            <w:color w:val="0000FF"/>
            <w:szCs w:val="22"/>
            <w:u w:val="single"/>
          </w:rPr>
          <w:t>http://www.bom.gov.au/climate/outlooks/#/rainfall/median/seasonal/1</w:t>
        </w:r>
      </w:hyperlink>
      <w:r w:rsidRPr="00B27BEC">
        <w:rPr>
          <w:rFonts w:cstheme="minorHAnsi"/>
        </w:rPr>
        <w:t xml:space="preserve"> </w:t>
      </w:r>
    </w:p>
    <w:p w14:paraId="78EDF358" w14:textId="77777777" w:rsidR="00B27BEC" w:rsidRPr="00B27BEC" w:rsidRDefault="00B27BEC" w:rsidP="00B27BEC">
      <w:pPr>
        <w:rPr>
          <w:rFonts w:cstheme="minorHAnsi"/>
        </w:rPr>
      </w:pPr>
      <w:r w:rsidRPr="00B27BEC">
        <w:rPr>
          <w:rFonts w:cstheme="minorHAnsi"/>
        </w:rPr>
        <w:t xml:space="preserve">Bureau of Meteorology (2020). </w:t>
      </w:r>
      <w:r w:rsidRPr="00B27BEC">
        <w:rPr>
          <w:i/>
          <w:iCs/>
          <w:lang w:val="en"/>
        </w:rPr>
        <w:t>Temperature—</w:t>
      </w:r>
      <w:r w:rsidRPr="00B27BEC">
        <w:rPr>
          <w:i/>
          <w:iCs/>
          <w:szCs w:val="22"/>
          <w:lang w:val="en"/>
        </w:rPr>
        <w:t>The chance of above median maximum temperature</w:t>
      </w:r>
      <w:r w:rsidRPr="00B27BEC">
        <w:rPr>
          <w:i/>
          <w:iCs/>
          <w:lang w:val="en"/>
        </w:rPr>
        <w:t xml:space="preserve"> for June to August 2020</w:t>
      </w:r>
      <w:r w:rsidRPr="00B27BEC">
        <w:rPr>
          <w:lang w:val="en"/>
        </w:rPr>
        <w:t xml:space="preserve">. </w:t>
      </w:r>
      <w:hyperlink r:id="rId202" w:anchor="/temperature/maximum/median/seasonal/0" w:history="1">
        <w:r w:rsidRPr="00B27BEC">
          <w:rPr>
            <w:rFonts w:cstheme="minorHAnsi"/>
            <w:color w:val="0000FF"/>
            <w:szCs w:val="22"/>
            <w:u w:val="single"/>
          </w:rPr>
          <w:t>http://www.bom.gov.au/climate/outlooks/#/temperature/maximum/median/seasonal/0</w:t>
        </w:r>
      </w:hyperlink>
      <w:r w:rsidRPr="00B27BEC">
        <w:rPr>
          <w:rFonts w:cstheme="minorHAnsi"/>
        </w:rPr>
        <w:t xml:space="preserve"> </w:t>
      </w:r>
    </w:p>
    <w:p w14:paraId="5B9D694F" w14:textId="77777777" w:rsidR="00B27BEC" w:rsidRPr="00B27BEC" w:rsidRDefault="00B27BEC" w:rsidP="00B27BEC">
      <w:pPr>
        <w:rPr>
          <w:rFonts w:cstheme="minorHAnsi"/>
        </w:rPr>
      </w:pPr>
      <w:r w:rsidRPr="00B27BEC">
        <w:rPr>
          <w:rFonts w:cstheme="minorHAnsi"/>
        </w:rPr>
        <w:t xml:space="preserve">Bureau of Meteorology (2020). </w:t>
      </w:r>
      <w:r w:rsidRPr="00B27BEC">
        <w:rPr>
          <w:i/>
          <w:iCs/>
          <w:lang w:val="en"/>
        </w:rPr>
        <w:t>Temperature—</w:t>
      </w:r>
      <w:r w:rsidRPr="00B27BEC">
        <w:rPr>
          <w:i/>
          <w:iCs/>
          <w:szCs w:val="22"/>
          <w:lang w:val="en"/>
        </w:rPr>
        <w:t>The chance of above median maximum temperature</w:t>
      </w:r>
      <w:r w:rsidRPr="00B27BEC">
        <w:rPr>
          <w:i/>
          <w:iCs/>
          <w:lang w:val="en"/>
        </w:rPr>
        <w:t xml:space="preserve"> for July to September 2020</w:t>
      </w:r>
      <w:r w:rsidRPr="00B27BEC">
        <w:rPr>
          <w:lang w:val="en"/>
        </w:rPr>
        <w:t xml:space="preserve">. </w:t>
      </w:r>
      <w:hyperlink r:id="rId203" w:anchor="/temperature/maximum/median/seasonal/1" w:history="1">
        <w:r w:rsidRPr="00B27BEC">
          <w:rPr>
            <w:rFonts w:cs="Times New Roman"/>
            <w:color w:val="0000FF"/>
            <w:szCs w:val="22"/>
            <w:u w:val="single"/>
            <w:lang w:val="en"/>
          </w:rPr>
          <w:t>http://www.bom.gov.au/climate/outlooks/#/temperature/maximum/median/seasonal/1</w:t>
        </w:r>
      </w:hyperlink>
      <w:r w:rsidRPr="00B27BEC">
        <w:rPr>
          <w:lang w:val="en"/>
        </w:rPr>
        <w:t xml:space="preserve"> </w:t>
      </w:r>
    </w:p>
    <w:p w14:paraId="40DDDCBB" w14:textId="77777777" w:rsidR="00B27BEC" w:rsidRPr="00B27BEC" w:rsidRDefault="00B27BEC" w:rsidP="00B27BEC">
      <w:r w:rsidRPr="00B27BEC">
        <w:t xml:space="preserve">Department of Agriculture, Water and the Environment (DAWE) (2020). </w:t>
      </w:r>
      <w:r w:rsidRPr="00B27BEC">
        <w:rPr>
          <w:i/>
          <w:iCs/>
        </w:rPr>
        <w:t>Final report on the Northern Connectivity Event (April–July 2018</w:t>
      </w:r>
      <w:r w:rsidRPr="00B27BEC">
        <w:t xml:space="preserve">). Department of Agriculture, Water and the Environment, Canberra. </w:t>
      </w:r>
      <w:hyperlink r:id="rId204" w:history="1">
        <w:r w:rsidRPr="00B27BEC">
          <w:rPr>
            <w:rFonts w:cs="Times New Roman"/>
            <w:color w:val="0000FF"/>
            <w:u w:val="single"/>
          </w:rPr>
          <w:t>https://www.environment.gov.au/system/files/resources/f0f4e105-b7b6-49c1-87aa-d1d9d33a3cc7/files/final-report-northern-connectivity-event-2018.pdf</w:t>
        </w:r>
      </w:hyperlink>
      <w:r w:rsidRPr="00B27BEC">
        <w:t xml:space="preserve"> </w:t>
      </w:r>
    </w:p>
    <w:p w14:paraId="1A69D464" w14:textId="77777777" w:rsidR="00B27BEC" w:rsidRPr="00B27BEC" w:rsidRDefault="00B27BEC" w:rsidP="00B27BEC">
      <w:r w:rsidRPr="00B27BEC">
        <w:t xml:space="preserve">Eco Logical Australia (2020).  </w:t>
      </w:r>
      <w:r w:rsidRPr="00B27BEC">
        <w:rPr>
          <w:i/>
          <w:iCs/>
        </w:rPr>
        <w:t>Barwon Darling Water Quality during the Northern Fish Flow March-August 2019</w:t>
      </w:r>
      <w:r w:rsidRPr="00B27BEC">
        <w:t xml:space="preserve">.  Report prepared for Commonwealth Environmental Water Office, Department of the Agriculture Water and Environment, Commonwealth of Australia. </w:t>
      </w:r>
      <w:hyperlink r:id="rId205" w:history="1">
        <w:r w:rsidRPr="00B27BEC">
          <w:rPr>
            <w:rFonts w:cs="Times New Roman"/>
            <w:color w:val="0000FF"/>
            <w:u w:val="single"/>
          </w:rPr>
          <w:t>https://www.environment.gov.au/water/cewo/publications/barwon-darling-water-quality-northern-fish-flow-march-august-2019</w:t>
        </w:r>
      </w:hyperlink>
      <w:r w:rsidRPr="00B27BEC">
        <w:t xml:space="preserve"> </w:t>
      </w:r>
    </w:p>
    <w:p w14:paraId="6905CDBA" w14:textId="77777777" w:rsidR="00B27BEC" w:rsidRPr="00B27BEC" w:rsidRDefault="00B27BEC" w:rsidP="00B27BEC">
      <w:r w:rsidRPr="00B27BEC">
        <w:t xml:space="preserve">Eco Logical Australia (2019). Commonwealth Environmental Water Office Long Term Intervention Monitoring Project. Junction of the Warrego and Darling rivers selected area; Five Year Evaluation Report. Report prepared for the Commonwealth Environmental Water Office, </w:t>
      </w:r>
      <w:bookmarkStart w:id="131" w:name="_Hlk42708037"/>
      <w:r w:rsidRPr="00B27BEC">
        <w:t>Department of the Environment and Energy, Commonwealth of Australia.</w:t>
      </w:r>
      <w:bookmarkEnd w:id="131"/>
      <w:r w:rsidRPr="00B27BEC">
        <w:t xml:space="preserve"> </w:t>
      </w:r>
      <w:hyperlink r:id="rId206" w:history="1">
        <w:r w:rsidRPr="00B27BEC">
          <w:rPr>
            <w:rFonts w:cs="Times New Roman"/>
            <w:color w:val="0000FF"/>
            <w:u w:val="single"/>
          </w:rPr>
          <w:t>https://www.environment.gov.au/water/cewo/publications/cewo-ltim-warrego-darling-five-year-evaluation-report</w:t>
        </w:r>
      </w:hyperlink>
      <w:r w:rsidRPr="00B27BEC">
        <w:t xml:space="preserve"> </w:t>
      </w:r>
    </w:p>
    <w:p w14:paraId="1EB24AC3" w14:textId="77777777" w:rsidR="00B27BEC" w:rsidRPr="00B27BEC" w:rsidRDefault="00B27BEC" w:rsidP="00B27BEC">
      <w:r w:rsidRPr="00B27BEC">
        <w:t xml:space="preserve">Murray–Darling Basin Authority (2014). </w:t>
      </w:r>
      <w:r w:rsidRPr="00B27BEC">
        <w:rPr>
          <w:i/>
        </w:rPr>
        <w:t>Basin-wide environmental watering strategy.</w:t>
      </w:r>
      <w:r w:rsidRPr="00B27BEC">
        <w:t xml:space="preserve"> </w:t>
      </w:r>
      <w:hyperlink r:id="rId207" w:history="1">
        <w:r w:rsidRPr="00B27BEC">
          <w:rPr>
            <w:color w:val="0000FF"/>
            <w:u w:val="single"/>
          </w:rPr>
          <w:t>http://www.mdba.gov.au/sites/default/files/pubs/Final-BWS-Nov14.pdf</w:t>
        </w:r>
      </w:hyperlink>
      <w:r w:rsidRPr="00B27BEC">
        <w:t xml:space="preserve"> </w:t>
      </w:r>
    </w:p>
    <w:p w14:paraId="38EAEDC9" w14:textId="77777777" w:rsidR="00B27BEC" w:rsidRPr="00B27BEC" w:rsidRDefault="00B27BEC" w:rsidP="00B27BEC">
      <w:r w:rsidRPr="00B27BEC">
        <w:t xml:space="preserve">Northern Basin Aboriginal Nations (NBAN) (2020). </w:t>
      </w:r>
      <w:r w:rsidRPr="00B27BEC">
        <w:rPr>
          <w:i/>
          <w:iCs/>
        </w:rPr>
        <w:t>First Nations Environmental Watering Guidance Report.</w:t>
      </w:r>
      <w:r w:rsidRPr="00B27BEC">
        <w:t xml:space="preserve"> </w:t>
      </w:r>
      <w:bookmarkStart w:id="132" w:name="_Hlk42593530"/>
      <w:r w:rsidRPr="00B27BEC">
        <w:t>Provided to the Commonwealth Environmental Water Office.</w:t>
      </w:r>
      <w:bookmarkEnd w:id="132"/>
      <w:r w:rsidRPr="00B27BEC">
        <w:t xml:space="preserve"> </w:t>
      </w:r>
    </w:p>
    <w:p w14:paraId="27B114C8" w14:textId="77777777" w:rsidR="00B27BEC" w:rsidRPr="00B27BEC" w:rsidRDefault="00B27BEC" w:rsidP="00B27BEC">
      <w:bookmarkStart w:id="133" w:name="_Hlk42700220"/>
      <w:r w:rsidRPr="00B27BEC">
        <w:t xml:space="preserve">NSW Department of Planning, Industry and Environment (DPIE) (2020). </w:t>
      </w:r>
      <w:r w:rsidRPr="00B27BEC">
        <w:rPr>
          <w:i/>
          <w:iCs/>
        </w:rPr>
        <w:t xml:space="preserve">Temporary Water Restrictions </w:t>
      </w:r>
      <w:bookmarkEnd w:id="133"/>
      <w:r w:rsidRPr="00B27BEC">
        <w:rPr>
          <w:i/>
          <w:iCs/>
        </w:rPr>
        <w:t>- Approval to take under Temporary Water Restrictions.</w:t>
      </w:r>
      <w:r w:rsidRPr="00B27BEC">
        <w:t xml:space="preserve"> State of New South Wales and the Department of Planning, Industry and Environment Sydney.</w:t>
      </w:r>
      <w:r w:rsidRPr="00B27BEC">
        <w:rPr>
          <w:color w:val="0000FF"/>
          <w:u w:val="single"/>
        </w:rPr>
        <w:t xml:space="preserve"> </w:t>
      </w:r>
      <w:hyperlink r:id="rId208" w:history="1">
        <w:r w:rsidRPr="00B27BEC">
          <w:rPr>
            <w:rFonts w:cs="Times New Roman"/>
            <w:color w:val="0000FF"/>
            <w:u w:val="single"/>
          </w:rPr>
          <w:t>https://www.industry.nsw.gov.au/__data/assets/pdf_file/0008/291770/approval-to-take-barwon-darling-downstream-culgoa-junction.pdf</w:t>
        </w:r>
      </w:hyperlink>
    </w:p>
    <w:p w14:paraId="4F77118D" w14:textId="77777777" w:rsidR="00B27BEC" w:rsidRPr="00B27BEC" w:rsidRDefault="00B27BEC" w:rsidP="00B27BEC">
      <w:r w:rsidRPr="00B27BEC">
        <w:t xml:space="preserve">NSW Department of Planning, Industry and Environment (DPIE) (2020). </w:t>
      </w:r>
      <w:r w:rsidRPr="00B27BEC">
        <w:rPr>
          <w:i/>
          <w:iCs/>
        </w:rPr>
        <w:t xml:space="preserve">Temporary Water Restrictions Barwon–Darling Unregulated River and Floodplain. </w:t>
      </w:r>
      <w:bookmarkStart w:id="134" w:name="_Hlk42700512"/>
      <w:r w:rsidRPr="00B27BEC">
        <w:t>State of New South Wales and the Department of Planning, Industry and Environment Sydney</w:t>
      </w:r>
      <w:bookmarkEnd w:id="134"/>
      <w:r w:rsidRPr="00B27BEC">
        <w:t xml:space="preserve"> </w:t>
      </w:r>
      <w:hyperlink r:id="rId209" w:history="1">
        <w:r w:rsidRPr="00B27BEC">
          <w:rPr>
            <w:color w:val="0000FF"/>
            <w:u w:val="single"/>
          </w:rPr>
          <w:t>https://www.industry.nsw.gov.au/water/allocations-availability/temporary-water-restrictions/expired/barwon-darling-unreg-river-floodplain</w:t>
        </w:r>
      </w:hyperlink>
    </w:p>
    <w:p w14:paraId="25E92059" w14:textId="77777777" w:rsidR="00B27BEC" w:rsidRPr="00B27BEC" w:rsidRDefault="00B27BEC" w:rsidP="00B27BEC">
      <w:r w:rsidRPr="00B27BEC">
        <w:t xml:space="preserve">Sheldon F (2017). Characterising the ecological effects of changes in the ‘low-flow hydrology’ of the Barwon–Darling River. Australian Rivers Institute, Griffith University. </w:t>
      </w:r>
      <w:hyperlink r:id="rId210" w:history="1">
        <w:r w:rsidRPr="00B27BEC">
          <w:rPr>
            <w:rFonts w:cs="Times New Roman"/>
            <w:color w:val="0000FF"/>
            <w:u w:val="single"/>
          </w:rPr>
          <w:t>https://environment.gov.au/water/cewo/publications/characterising-eco-effects-changes-barwon-darling-2017</w:t>
        </w:r>
      </w:hyperlink>
      <w:r w:rsidRPr="00B27BEC">
        <w:t xml:space="preserve"> </w:t>
      </w:r>
    </w:p>
    <w:p w14:paraId="7B8AACCD" w14:textId="77777777" w:rsidR="00B27BEC" w:rsidRPr="00B27BEC" w:rsidRDefault="00B27BEC" w:rsidP="00B27BEC">
      <w:r w:rsidRPr="00B27BEC">
        <w:t xml:space="preserve">State of New South Wales and the </w:t>
      </w:r>
      <w:bookmarkStart w:id="135" w:name="_Hlk42698819"/>
      <w:r w:rsidRPr="00B27BEC">
        <w:t xml:space="preserve">Department of Planning, Industry and Environment </w:t>
      </w:r>
      <w:bookmarkEnd w:id="135"/>
      <w:r w:rsidRPr="00B27BEC">
        <w:t xml:space="preserve">(2019). </w:t>
      </w:r>
      <w:r w:rsidRPr="00B27BEC">
        <w:rPr>
          <w:i/>
          <w:iCs/>
        </w:rPr>
        <w:t>Barwon–Darling Long-Term Water Plan Parts A and B – draft for exhibition</w:t>
      </w:r>
      <w:r w:rsidRPr="00B27BEC">
        <w:t xml:space="preserve">. State of New South Wales and the Department of Planning, Industry and Environment Sydney  </w:t>
      </w:r>
      <w:hyperlink r:id="rId211" w:history="1">
        <w:r w:rsidRPr="00B27BEC">
          <w:rPr>
            <w:color w:val="0000FF"/>
            <w:u w:val="single"/>
          </w:rPr>
          <w:t>https://www.environment.nsw.gov.au/topics/water/water-for-the-environment/planning-and-reporting/long-term-water-plans/barwon-darling-consultation</w:t>
        </w:r>
      </w:hyperlink>
    </w:p>
    <w:p w14:paraId="121436B3" w14:textId="77777777" w:rsidR="00B27BEC" w:rsidRPr="00B27BEC" w:rsidRDefault="00B27BEC" w:rsidP="00B27BEC">
      <w:pPr>
        <w:rPr>
          <w:rFonts w:cstheme="minorHAnsi"/>
          <w:color w:val="0000FF"/>
          <w:szCs w:val="22"/>
          <w:u w:val="single"/>
        </w:rPr>
      </w:pPr>
      <w:r w:rsidRPr="00B27BEC">
        <w:t xml:space="preserve">WaterNSW (2020). </w:t>
      </w:r>
      <w:r w:rsidRPr="00B27BEC">
        <w:rPr>
          <w:i/>
        </w:rPr>
        <w:t>Real time data: 422 – Culgoa River Basin</w:t>
      </w:r>
      <w:r w:rsidRPr="00B27BEC">
        <w:t xml:space="preserve">. </w:t>
      </w:r>
      <w:hyperlink r:id="rId212" w:history="1">
        <w:r w:rsidRPr="00B27BEC">
          <w:rPr>
            <w:rFonts w:cstheme="minorHAnsi"/>
            <w:color w:val="0000FF"/>
            <w:szCs w:val="22"/>
            <w:u w:val="single"/>
          </w:rPr>
          <w:t>https://realtimedata.waternsw.com.au/</w:t>
        </w:r>
      </w:hyperlink>
    </w:p>
    <w:p w14:paraId="2C833F2E" w14:textId="77777777" w:rsidR="00B27BEC" w:rsidRPr="00B27BEC" w:rsidRDefault="00B27BEC" w:rsidP="00B27BEC">
      <w:pPr>
        <w:rPr>
          <w:rFonts w:cstheme="minorHAnsi"/>
          <w:color w:val="0000FF"/>
          <w:szCs w:val="22"/>
          <w:u w:val="single"/>
        </w:rPr>
      </w:pPr>
      <w:r w:rsidRPr="00B27BEC">
        <w:t xml:space="preserve">WaterNSW (2020). </w:t>
      </w:r>
      <w:r w:rsidRPr="00B27BEC">
        <w:rPr>
          <w:i/>
        </w:rPr>
        <w:t>Real time data: 425 – Darling River Basin</w:t>
      </w:r>
      <w:r w:rsidRPr="00B27BEC">
        <w:t xml:space="preserve">. </w:t>
      </w:r>
      <w:hyperlink r:id="rId213" w:history="1">
        <w:r w:rsidRPr="00B27BEC">
          <w:rPr>
            <w:rFonts w:cstheme="minorHAnsi"/>
            <w:color w:val="0000FF"/>
            <w:szCs w:val="22"/>
            <w:u w:val="single"/>
          </w:rPr>
          <w:t>https://realtimedata.waternsw.com.au/</w:t>
        </w:r>
      </w:hyperlink>
    </w:p>
    <w:p w14:paraId="765BA18F" w14:textId="77777777" w:rsidR="00AA0841" w:rsidRPr="003B7798" w:rsidRDefault="00AA0841" w:rsidP="0057535E">
      <w:pPr>
        <w:pStyle w:val="Heading2"/>
        <w:rPr>
          <w:rFonts w:ascii="Century Gothic" w:hAnsi="Century Gothic"/>
          <w:noProof/>
        </w:rPr>
      </w:pPr>
      <w:r>
        <w:lastRenderedPageBreak/>
        <w:t xml:space="preserve">Lower Darling River </w:t>
      </w:r>
    </w:p>
    <w:p w14:paraId="3451EB01" w14:textId="77777777" w:rsidR="00AA0841" w:rsidRDefault="00AA0841" w:rsidP="0057535E">
      <w:pPr>
        <w:pStyle w:val="Heading3"/>
      </w:pPr>
      <w:r>
        <w:t xml:space="preserve">Region overview </w:t>
      </w:r>
    </w:p>
    <w:p w14:paraId="45B1492C" w14:textId="77777777" w:rsidR="00AA0841" w:rsidRPr="00365FE2" w:rsidRDefault="00AA0841" w:rsidP="0057535E">
      <w:pPr>
        <w:pStyle w:val="Heading4"/>
      </w:pPr>
      <w:r w:rsidRPr="00365FE2">
        <w:t>River</w:t>
      </w:r>
      <w:r>
        <w:t xml:space="preserve"> valley</w:t>
      </w:r>
    </w:p>
    <w:p w14:paraId="3D510596" w14:textId="5041567A" w:rsidR="00AA0841" w:rsidRPr="00DB0A2A" w:rsidRDefault="00AA0841" w:rsidP="00AA0841">
      <w:pPr>
        <w:rPr>
          <w:rFonts w:cstheme="minorHAnsi"/>
          <w:szCs w:val="22"/>
        </w:rPr>
      </w:pPr>
      <w:r>
        <w:rPr>
          <w:rFonts w:cstheme="minorHAnsi"/>
          <w:szCs w:val="22"/>
        </w:rPr>
        <w:t xml:space="preserve">Travelling </w:t>
      </w:r>
      <w:r w:rsidRPr="00DB0A2A">
        <w:rPr>
          <w:rFonts w:cstheme="minorHAnsi"/>
          <w:szCs w:val="22"/>
        </w:rPr>
        <w:t xml:space="preserve">approximately </w:t>
      </w:r>
      <w:r>
        <w:rPr>
          <w:rFonts w:cstheme="minorHAnsi"/>
          <w:szCs w:val="22"/>
        </w:rPr>
        <w:t>700 km</w:t>
      </w:r>
      <w:r w:rsidRPr="00DB0A2A">
        <w:rPr>
          <w:rFonts w:cstheme="minorHAnsi"/>
          <w:szCs w:val="22"/>
        </w:rPr>
        <w:t xml:space="preserve">, </w:t>
      </w:r>
      <w:r>
        <w:rPr>
          <w:rFonts w:cstheme="minorHAnsi"/>
          <w:szCs w:val="22"/>
        </w:rPr>
        <w:t xml:space="preserve">the </w:t>
      </w:r>
      <w:r w:rsidRPr="00DB0A2A">
        <w:rPr>
          <w:rFonts w:cstheme="minorHAnsi"/>
          <w:szCs w:val="22"/>
        </w:rPr>
        <w:t xml:space="preserve">lower Darling River includes the river channel and adjacent billabongs and wetlands from </w:t>
      </w:r>
      <w:r>
        <w:rPr>
          <w:rFonts w:cstheme="minorHAnsi"/>
          <w:szCs w:val="22"/>
        </w:rPr>
        <w:t xml:space="preserve">the </w:t>
      </w:r>
      <w:r w:rsidRPr="00DB0A2A">
        <w:rPr>
          <w:rFonts w:cstheme="minorHAnsi"/>
          <w:szCs w:val="22"/>
        </w:rPr>
        <w:t xml:space="preserve">Menindee Lakes to the junction of the Murray and the Darling </w:t>
      </w:r>
      <w:r>
        <w:rPr>
          <w:rFonts w:cstheme="minorHAnsi"/>
          <w:szCs w:val="22"/>
        </w:rPr>
        <w:t xml:space="preserve">rivers </w:t>
      </w:r>
      <w:r w:rsidRPr="00DB0A2A">
        <w:rPr>
          <w:rFonts w:cstheme="minorHAnsi"/>
          <w:szCs w:val="22"/>
        </w:rPr>
        <w:t xml:space="preserve">at </w:t>
      </w:r>
      <w:r w:rsidRPr="00A61111">
        <w:rPr>
          <w:rFonts w:cstheme="minorHAnsi"/>
          <w:szCs w:val="22"/>
        </w:rPr>
        <w:t>Wentworth (</w:t>
      </w:r>
      <w:r w:rsidRPr="00A61111">
        <w:rPr>
          <w:rFonts w:cstheme="minorHAnsi"/>
          <w:szCs w:val="22"/>
        </w:rPr>
        <w:fldChar w:fldCharType="begin"/>
      </w:r>
      <w:r w:rsidRPr="00A61111">
        <w:rPr>
          <w:rFonts w:cstheme="minorHAnsi"/>
          <w:szCs w:val="22"/>
        </w:rPr>
        <w:instrText xml:space="preserve"> REF _Ref475454230 \h  \* MERGEFORMAT </w:instrText>
      </w:r>
      <w:r w:rsidRPr="00A61111">
        <w:rPr>
          <w:rFonts w:cstheme="minorHAnsi"/>
          <w:szCs w:val="22"/>
        </w:rPr>
      </w:r>
      <w:r w:rsidRPr="00A61111">
        <w:rPr>
          <w:rFonts w:cstheme="minorHAnsi"/>
          <w:szCs w:val="22"/>
        </w:rPr>
        <w:fldChar w:fldCharType="separate"/>
      </w:r>
      <w:r w:rsidR="001B2852" w:rsidRPr="001B2852">
        <w:t xml:space="preserve">Figure </w:t>
      </w:r>
      <w:r w:rsidR="001B2852" w:rsidRPr="001B2852">
        <w:rPr>
          <w:noProof/>
        </w:rPr>
        <w:t>5</w:t>
      </w:r>
      <w:r w:rsidRPr="00A61111">
        <w:rPr>
          <w:rFonts w:cstheme="minorHAnsi"/>
          <w:szCs w:val="22"/>
        </w:rPr>
        <w:fldChar w:fldCharType="end"/>
      </w:r>
      <w:r w:rsidRPr="00A61111">
        <w:rPr>
          <w:rFonts w:cstheme="minorHAnsi"/>
          <w:szCs w:val="22"/>
        </w:rPr>
        <w:t>).</w:t>
      </w:r>
      <w:r w:rsidRPr="00DB0A2A">
        <w:rPr>
          <w:rFonts w:cstheme="minorHAnsi"/>
          <w:szCs w:val="22"/>
        </w:rPr>
        <w:t xml:space="preserve"> The catchment also includes the </w:t>
      </w:r>
      <w:r>
        <w:rPr>
          <w:rFonts w:cstheme="minorHAnsi"/>
          <w:szCs w:val="22"/>
        </w:rPr>
        <w:t xml:space="preserve">Great </w:t>
      </w:r>
      <w:r w:rsidRPr="00DB0A2A">
        <w:rPr>
          <w:rFonts w:cstheme="minorHAnsi"/>
          <w:szCs w:val="22"/>
        </w:rPr>
        <w:t>Darling Anabranch</w:t>
      </w:r>
      <w:r>
        <w:rPr>
          <w:rFonts w:cstheme="minorHAnsi"/>
          <w:szCs w:val="22"/>
        </w:rPr>
        <w:t xml:space="preserve"> an ancestral path of the Darling River, including its </w:t>
      </w:r>
      <w:r w:rsidRPr="00DB0A2A">
        <w:rPr>
          <w:rFonts w:cstheme="minorHAnsi"/>
          <w:szCs w:val="22"/>
        </w:rPr>
        <w:t>lakes, floodplains and channel</w:t>
      </w:r>
      <w:r>
        <w:rPr>
          <w:rFonts w:cstheme="minorHAnsi"/>
          <w:szCs w:val="22"/>
        </w:rPr>
        <w:t>.</w:t>
      </w:r>
      <w:r w:rsidRPr="00DB0A2A">
        <w:rPr>
          <w:rFonts w:cstheme="minorHAnsi"/>
          <w:szCs w:val="22"/>
        </w:rPr>
        <w:t xml:space="preserve"> The catchment is located on the semi-arid plains of south-western New South Wales</w:t>
      </w:r>
      <w:r>
        <w:rPr>
          <w:rFonts w:cstheme="minorHAnsi"/>
          <w:szCs w:val="22"/>
        </w:rPr>
        <w:t>.</w:t>
      </w:r>
    </w:p>
    <w:p w14:paraId="685014D8" w14:textId="77777777" w:rsidR="00AA0841" w:rsidRDefault="00AA0841" w:rsidP="00AA0841">
      <w:pPr>
        <w:rPr>
          <w:rFonts w:cstheme="minorHAnsi"/>
          <w:szCs w:val="22"/>
        </w:rPr>
      </w:pPr>
      <w:r w:rsidRPr="00DB0A2A">
        <w:rPr>
          <w:rFonts w:cstheme="minorHAnsi"/>
          <w:szCs w:val="22"/>
        </w:rPr>
        <w:t xml:space="preserve">The </w:t>
      </w:r>
      <w:r>
        <w:rPr>
          <w:rFonts w:cstheme="minorHAnsi"/>
          <w:szCs w:val="22"/>
        </w:rPr>
        <w:t>l</w:t>
      </w:r>
      <w:r w:rsidRPr="00DB0A2A">
        <w:rPr>
          <w:rFonts w:cstheme="minorHAnsi"/>
          <w:szCs w:val="22"/>
        </w:rPr>
        <w:t>ower Darling</w:t>
      </w:r>
      <w:r>
        <w:rPr>
          <w:rFonts w:cstheme="minorHAnsi"/>
          <w:szCs w:val="22"/>
        </w:rPr>
        <w:t xml:space="preserve"> valley</w:t>
      </w:r>
      <w:r w:rsidRPr="00DB0A2A">
        <w:rPr>
          <w:rFonts w:cstheme="minorHAnsi"/>
          <w:szCs w:val="22"/>
        </w:rPr>
        <w:t xml:space="preserve"> relies on flows from rivers </w:t>
      </w:r>
      <w:r>
        <w:rPr>
          <w:rFonts w:cstheme="minorHAnsi"/>
          <w:szCs w:val="22"/>
        </w:rPr>
        <w:t>in</w:t>
      </w:r>
      <w:r w:rsidRPr="00DB0A2A">
        <w:rPr>
          <w:rFonts w:cstheme="minorHAnsi"/>
          <w:szCs w:val="22"/>
        </w:rPr>
        <w:t xml:space="preserve"> southern Queensland and northern New South Wales</w:t>
      </w:r>
      <w:r>
        <w:rPr>
          <w:rFonts w:cstheme="minorHAnsi"/>
          <w:szCs w:val="22"/>
        </w:rPr>
        <w:t xml:space="preserve">, including ephemeral systems such as the Warrego, that flow into </w:t>
      </w:r>
      <w:r w:rsidRPr="00DB0A2A">
        <w:rPr>
          <w:rFonts w:cstheme="minorHAnsi"/>
          <w:szCs w:val="22"/>
        </w:rPr>
        <w:t xml:space="preserve">the Barwon-Darling </w:t>
      </w:r>
      <w:r>
        <w:rPr>
          <w:rFonts w:cstheme="minorHAnsi"/>
          <w:szCs w:val="22"/>
        </w:rPr>
        <w:t>River</w:t>
      </w:r>
      <w:r w:rsidRPr="00DB0A2A">
        <w:rPr>
          <w:rFonts w:cstheme="minorHAnsi"/>
          <w:szCs w:val="22"/>
        </w:rPr>
        <w:t>. Water is captured at</w:t>
      </w:r>
      <w:r>
        <w:rPr>
          <w:rFonts w:cstheme="minorHAnsi"/>
          <w:szCs w:val="22"/>
        </w:rPr>
        <w:t xml:space="preserve"> the</w:t>
      </w:r>
      <w:r w:rsidRPr="00DB0A2A">
        <w:rPr>
          <w:rFonts w:cstheme="minorHAnsi"/>
          <w:szCs w:val="22"/>
        </w:rPr>
        <w:t xml:space="preserve"> Menindee Lakes</w:t>
      </w:r>
      <w:r>
        <w:rPr>
          <w:rFonts w:cstheme="minorHAnsi"/>
          <w:szCs w:val="22"/>
        </w:rPr>
        <w:t xml:space="preserve">, a series of natural lakes that have been altered to improve water storage.  Key storages include Menindee, Wetherell, Pamamaroo and Cawndilla. Water is released from lakes Menindee, Wetherell and Pamamaroo to provide flows </w:t>
      </w:r>
      <w:r w:rsidRPr="00DB0A2A">
        <w:rPr>
          <w:rFonts w:cstheme="minorHAnsi"/>
          <w:szCs w:val="22"/>
        </w:rPr>
        <w:t>into the Lower Darling River</w:t>
      </w:r>
      <w:r>
        <w:rPr>
          <w:rFonts w:cstheme="minorHAnsi"/>
          <w:szCs w:val="22"/>
        </w:rPr>
        <w:t>, while Lake Cawndilla can provide flows down the Great Darling Anabranch</w:t>
      </w:r>
      <w:r w:rsidRPr="00DB0A2A">
        <w:rPr>
          <w:rFonts w:cstheme="minorHAnsi"/>
          <w:szCs w:val="22"/>
        </w:rPr>
        <w:t xml:space="preserve">.  </w:t>
      </w:r>
    </w:p>
    <w:p w14:paraId="633C9C00" w14:textId="77777777" w:rsidR="00AA0841" w:rsidRDefault="00AA0841" w:rsidP="00AA0841">
      <w:pPr>
        <w:rPr>
          <w:rFonts w:cstheme="minorHAnsi"/>
          <w:szCs w:val="22"/>
        </w:rPr>
      </w:pPr>
      <w:r>
        <w:t>Of the 11 lakes that form the Menindee Lakes system, the two largest; lakes Menindee</w:t>
      </w:r>
      <w:r>
        <w:rPr>
          <w:rStyle w:val="FootnoteReference"/>
        </w:rPr>
        <w:footnoteReference w:id="37"/>
      </w:r>
      <w:r>
        <w:t xml:space="preserve"> and Cawndilla, as well as ~40 km of the lower Darling River and ~25 km of Great Darling Anabranch, are vested in the 44, 259 ha Kinchega National Park.</w:t>
      </w:r>
    </w:p>
    <w:p w14:paraId="27399DAB" w14:textId="77777777" w:rsidR="00AA0841" w:rsidRPr="00DB0A2A" w:rsidRDefault="00AA0841" w:rsidP="00AA0841">
      <w:pPr>
        <w:rPr>
          <w:rFonts w:cstheme="minorHAnsi"/>
          <w:szCs w:val="22"/>
        </w:rPr>
      </w:pPr>
      <w:r w:rsidRPr="00DB0A2A">
        <w:rPr>
          <w:rFonts w:cstheme="minorHAnsi"/>
          <w:color w:val="191919"/>
          <w:szCs w:val="22"/>
        </w:rPr>
        <w:t>Land use in the catchment is largely based on pastoral industries, compris</w:t>
      </w:r>
      <w:r>
        <w:rPr>
          <w:rFonts w:cstheme="minorHAnsi"/>
          <w:color w:val="191919"/>
          <w:szCs w:val="22"/>
        </w:rPr>
        <w:t>ing</w:t>
      </w:r>
      <w:r w:rsidRPr="00DB0A2A">
        <w:rPr>
          <w:rFonts w:cstheme="minorHAnsi"/>
          <w:color w:val="191919"/>
          <w:szCs w:val="22"/>
        </w:rPr>
        <w:t xml:space="preserve"> mainly </w:t>
      </w:r>
      <w:r>
        <w:rPr>
          <w:rFonts w:cstheme="minorHAnsi"/>
          <w:color w:val="191919"/>
          <w:szCs w:val="22"/>
        </w:rPr>
        <w:t xml:space="preserve">of </w:t>
      </w:r>
      <w:r w:rsidRPr="00DB0A2A">
        <w:rPr>
          <w:rFonts w:cstheme="minorHAnsi"/>
          <w:color w:val="191919"/>
          <w:szCs w:val="22"/>
        </w:rPr>
        <w:t xml:space="preserve">sheep </w:t>
      </w:r>
      <w:r>
        <w:rPr>
          <w:rFonts w:cstheme="minorHAnsi"/>
          <w:color w:val="191919"/>
          <w:szCs w:val="22"/>
        </w:rPr>
        <w:t xml:space="preserve">as well as rangeland goats and </w:t>
      </w:r>
      <w:r w:rsidRPr="00DB0A2A">
        <w:rPr>
          <w:rFonts w:cstheme="minorHAnsi"/>
          <w:color w:val="191919"/>
          <w:szCs w:val="22"/>
        </w:rPr>
        <w:t xml:space="preserve">beef cattle </w:t>
      </w:r>
      <w:r>
        <w:rPr>
          <w:rFonts w:cstheme="minorHAnsi"/>
          <w:color w:val="191919"/>
          <w:szCs w:val="22"/>
        </w:rPr>
        <w:t>production</w:t>
      </w:r>
      <w:r w:rsidRPr="00DB0A2A">
        <w:rPr>
          <w:rFonts w:cstheme="minorHAnsi"/>
          <w:color w:val="191919"/>
          <w:szCs w:val="22"/>
        </w:rPr>
        <w:t xml:space="preserve">. There are </w:t>
      </w:r>
      <w:r>
        <w:rPr>
          <w:rFonts w:cstheme="minorHAnsi"/>
          <w:color w:val="191919"/>
          <w:szCs w:val="22"/>
        </w:rPr>
        <w:t xml:space="preserve">also </w:t>
      </w:r>
      <w:r w:rsidRPr="00DB0A2A">
        <w:rPr>
          <w:rFonts w:cstheme="minorHAnsi"/>
          <w:color w:val="191919"/>
          <w:szCs w:val="22"/>
        </w:rPr>
        <w:t xml:space="preserve">some small areas of lakebed cropping, and irrigated cropping, horticulture and viticulture. Tourism is </w:t>
      </w:r>
      <w:r>
        <w:rPr>
          <w:rFonts w:cstheme="minorHAnsi"/>
          <w:color w:val="191919"/>
          <w:szCs w:val="22"/>
        </w:rPr>
        <w:t xml:space="preserve">vitally </w:t>
      </w:r>
      <w:r w:rsidRPr="00DB0A2A">
        <w:rPr>
          <w:rFonts w:cstheme="minorHAnsi"/>
          <w:color w:val="191919"/>
          <w:szCs w:val="22"/>
        </w:rPr>
        <w:t xml:space="preserve">important to the local economy, with waterways </w:t>
      </w:r>
      <w:r>
        <w:rPr>
          <w:rFonts w:cstheme="minorHAnsi"/>
          <w:color w:val="191919"/>
          <w:szCs w:val="22"/>
        </w:rPr>
        <w:t>and national parks supporting widespread recreational activities such as fishing and camping.</w:t>
      </w:r>
    </w:p>
    <w:p w14:paraId="686271A6" w14:textId="77777777" w:rsidR="00AA0841" w:rsidRPr="00365FE2" w:rsidRDefault="00AA0841" w:rsidP="0057535E">
      <w:pPr>
        <w:pStyle w:val="Heading4"/>
      </w:pPr>
      <w:r w:rsidRPr="00365FE2">
        <w:t xml:space="preserve">Traditional </w:t>
      </w:r>
      <w:r>
        <w:t>O</w:t>
      </w:r>
      <w:r w:rsidRPr="00365FE2">
        <w:t>wners</w:t>
      </w:r>
    </w:p>
    <w:p w14:paraId="23AEE6EA" w14:textId="77777777" w:rsidR="00AA0841" w:rsidRDefault="00AA0841" w:rsidP="00AA0841">
      <w:pPr>
        <w:rPr>
          <w:rFonts w:cstheme="minorHAnsi"/>
          <w:color w:val="191919"/>
          <w:szCs w:val="22"/>
        </w:rPr>
      </w:pPr>
      <w:bookmarkStart w:id="136" w:name="_Hlk41300093"/>
      <w:r w:rsidRPr="001568EE">
        <w:rPr>
          <w:rFonts w:cstheme="minorHAnsi"/>
          <w:color w:val="191919"/>
          <w:szCs w:val="22"/>
        </w:rPr>
        <w:t>The river and floodplains of the lower Darling River have long been important for sustenance and spirituality. In 2015, the Barkindji people received Native Title over much of the Darling River valley, extending from the South Australian border to Tilpa in the east, Wentworth in the south and north almost to Wanaaring. The lower Darling River flows through the traditional land of many other Aboriginal nations including the Maraura, Muthi Muthi, Nyeri Nyeri and Ngintait nations. The region contains many significant spiritual and cultural sites, including Lake Mungo in the Willandra Lakes Region and Menindee Lakes.</w:t>
      </w:r>
    </w:p>
    <w:p w14:paraId="07DD7148" w14:textId="77777777" w:rsidR="00AA0841" w:rsidRPr="00365FE2" w:rsidRDefault="00AA0841" w:rsidP="0057535E">
      <w:pPr>
        <w:pStyle w:val="Heading4"/>
      </w:pPr>
      <w:bookmarkStart w:id="137" w:name="_Hlk43293271"/>
      <w:bookmarkEnd w:id="136"/>
      <w:r>
        <w:t xml:space="preserve">Important sites and </w:t>
      </w:r>
      <w:r w:rsidRPr="00365FE2">
        <w:t>values</w:t>
      </w:r>
    </w:p>
    <w:p w14:paraId="554F9B91" w14:textId="77777777" w:rsidR="00AA0841" w:rsidRDefault="00AA0841" w:rsidP="00AA0841">
      <w:r>
        <w:t xml:space="preserve">The Menindee Lakes are listed in the Directory of Important Wetlands in Australia as an exceptional example of the Ephemeral Deflation Basin Lakes (EDBL) wetland type within the bioregion. They </w:t>
      </w:r>
      <w:r w:rsidRPr="00271418">
        <w:t>provide important waterbird habitat with more than 30 species recorded on the main lakes, including threatened species such as freckled duck and migratory waders.</w:t>
      </w:r>
      <w:r>
        <w:t xml:space="preserve"> It also provides critical habitat for native fish including golden perch and threatened species such as Murray cod, silver perch and freshwater catfish. The ephemeral nature of the large shallow lakes makes them very productive and support diverse food sources for fish at a range of life-stages. </w:t>
      </w:r>
      <w:r w:rsidRPr="00271418">
        <w:t xml:space="preserve">The </w:t>
      </w:r>
      <w:r>
        <w:t>Menindee Lakes</w:t>
      </w:r>
      <w:r w:rsidRPr="00271418">
        <w:t xml:space="preserve"> </w:t>
      </w:r>
      <w:r>
        <w:t xml:space="preserve">also </w:t>
      </w:r>
      <w:r w:rsidRPr="00271418">
        <w:t xml:space="preserve">provide </w:t>
      </w:r>
      <w:r>
        <w:t xml:space="preserve">important </w:t>
      </w:r>
      <w:r w:rsidRPr="00271418">
        <w:t>refuge for wildlife during drought</w:t>
      </w:r>
      <w:r>
        <w:t xml:space="preserve"> or adverse conditions. </w:t>
      </w:r>
    </w:p>
    <w:p w14:paraId="6A0FDD4B" w14:textId="77777777" w:rsidR="00AA0841" w:rsidRDefault="00AA0841" w:rsidP="00AA0841">
      <w:pPr>
        <w:spacing w:after="0"/>
      </w:pPr>
      <w:r>
        <w:br w:type="page"/>
      </w:r>
    </w:p>
    <w:p w14:paraId="7DA97B5B" w14:textId="77777777" w:rsidR="00AA0841" w:rsidRDefault="00AA0841" w:rsidP="00AA0841">
      <w:r>
        <w:lastRenderedPageBreak/>
        <w:t xml:space="preserve">The Commonwealth </w:t>
      </w:r>
      <w:r>
        <w:rPr>
          <w:i/>
        </w:rPr>
        <w:t>Environment Protection and Biodiversity Conservation Act 1999</w:t>
      </w:r>
      <w:r>
        <w:t xml:space="preserve"> (EPBC Act) lists the Coolibah</w:t>
      </w:r>
      <w:r>
        <w:noBreakHyphen/>
        <w:t xml:space="preserve">Black Box community, Menindee nightshade, silver perch, Murray cod and 37 waterbirds as conservation dependent.  Eighteen migratory bird species recorded at Menindee Lakes are listed under international agreements (JAMBA and CAMBA). The Lakes are listed by the Murray-Darling Basin Authority as key environmental assets and are used as hydrological indicator sites. The Menindee Lakes including Lakes Cawndilla and Menindee, lower Darling River and Great Darling Anabranch are listed by the </w:t>
      </w:r>
      <w:r>
        <w:rPr>
          <w:i/>
        </w:rPr>
        <w:t>Fisheries Management Act NSW 1994</w:t>
      </w:r>
      <w:r>
        <w:t xml:space="preserve"> as an Endangered Ecological Community.   </w:t>
      </w:r>
    </w:p>
    <w:p w14:paraId="69EE4E96" w14:textId="77777777" w:rsidR="00AA0841" w:rsidRDefault="00AA0841" w:rsidP="00AA0841">
      <w:bookmarkStart w:id="138" w:name="_Hlk36816648"/>
      <w:r w:rsidRPr="00D4571A">
        <w:t xml:space="preserve">The </w:t>
      </w:r>
      <w:r>
        <w:t>Menindee Lakes and lower Darling R</w:t>
      </w:r>
      <w:r w:rsidRPr="00D4571A">
        <w:t>iver represents a large area of highly connected</w:t>
      </w:r>
      <w:r>
        <w:t xml:space="preserve"> aquatic and riparian</w:t>
      </w:r>
      <w:r w:rsidRPr="00D4571A">
        <w:t xml:space="preserve"> habitat</w:t>
      </w:r>
      <w:r>
        <w:t xml:space="preserve"> which </w:t>
      </w:r>
      <w:r w:rsidRPr="00D4571A">
        <w:t xml:space="preserve">supports a diverse native fish community. </w:t>
      </w:r>
      <w:r>
        <w:t xml:space="preserve">The natural flow variability of the </w:t>
      </w:r>
      <w:r w:rsidRPr="00D4571A">
        <w:t xml:space="preserve">lower Darling River supports fish breeding (particularly </w:t>
      </w:r>
      <w:r>
        <w:t xml:space="preserve">by </w:t>
      </w:r>
      <w:r w:rsidRPr="00D4571A">
        <w:t xml:space="preserve">Murray cod and golden perch) and contributes to recruitment and dispersal of native fish throughout the </w:t>
      </w:r>
      <w:r>
        <w:t>S</w:t>
      </w:r>
      <w:r w:rsidRPr="00D4571A">
        <w:t>outhern</w:t>
      </w:r>
      <w:r>
        <w:t>-</w:t>
      </w:r>
      <w:r w:rsidRPr="00D4571A">
        <w:t xml:space="preserve">connected </w:t>
      </w:r>
      <w:r>
        <w:t>B</w:t>
      </w:r>
      <w:r w:rsidRPr="00D4571A">
        <w:t>asin (</w:t>
      </w:r>
      <w:r>
        <w:t xml:space="preserve">Stuart and Sharpe 2020, </w:t>
      </w:r>
      <w:r w:rsidRPr="00D4571A">
        <w:t>Sharpe and Stuart 2018b, Zampatti</w:t>
      </w:r>
      <w:r>
        <w:t> </w:t>
      </w:r>
      <w:r w:rsidRPr="00D4571A">
        <w:t xml:space="preserve">and Leigh 2013).  </w:t>
      </w:r>
      <w:bookmarkEnd w:id="138"/>
      <w:r>
        <w:t>For example, up to 60 per cent of golden perch in the Edward-Wakool, Goulburn, lower and mid</w:t>
      </w:r>
      <w:r>
        <w:noBreakHyphen/>
        <w:t>Murray have been found to originate from recruitment events in the Menindee Lakes/lower Darling (Zampatti et al. 2015). This is the only EDBL floodplain lake system remaining in the entire Murray-Darling Basin that has been recorded to sustain mass golden perch recruitment events (Sharpe 2011, Sharpe and Stuart 2018a, Stuart and Sharpe 2020). The Menindee Lakes are considered among the last, functional EDBL golden perch nursery habitat remaining in the Murray-Darling Basin, hence listed in Directory of Important Wetlands in Australia (Sharpe 2011, Stuart and Sharpe 2020).</w:t>
      </w:r>
    </w:p>
    <w:p w14:paraId="7649CC7F" w14:textId="77777777" w:rsidR="00AA0841" w:rsidRDefault="00AA0841" w:rsidP="00AA0841">
      <w:r>
        <w:t xml:space="preserve">The Great Darling Anabranch is the ancestral path of the Darling and, together with its ephemeral lakes, is highly significant in terms of its contribution to terrestrial and biodiversity value through natural wetting and drying cycles and diverse habitats. The lakes also provide important refuge for wildlife during drought. For example, Lake Cawndilla is an important fish nursery habitat and previous environmental flows have demonstrated its significance as a dispersal pathway for native fish, such as golden perch.  </w:t>
      </w:r>
    </w:p>
    <w:p w14:paraId="08371595" w14:textId="77777777" w:rsidR="00AA0841" w:rsidRDefault="00AA0841" w:rsidP="00AA0841">
      <w:r w:rsidRPr="00D4571A">
        <w:t xml:space="preserve">Flows </w:t>
      </w:r>
      <w:r>
        <w:t xml:space="preserve">in </w:t>
      </w:r>
      <w:r w:rsidRPr="00D4571A">
        <w:t xml:space="preserve">the lower Darling also </w:t>
      </w:r>
      <w:r>
        <w:t xml:space="preserve">promote </w:t>
      </w:r>
      <w:r w:rsidRPr="00D4571A">
        <w:t xml:space="preserve">other environmental outcomes such as the transport of propagules and nutrients that drive </w:t>
      </w:r>
      <w:r>
        <w:t xml:space="preserve">and support </w:t>
      </w:r>
      <w:r w:rsidRPr="00D4571A">
        <w:t xml:space="preserve">food webs and fish </w:t>
      </w:r>
      <w:r>
        <w:t xml:space="preserve">communities </w:t>
      </w:r>
      <w:r w:rsidRPr="00D4571A">
        <w:t xml:space="preserve">in the Lower Murray. In recent </w:t>
      </w:r>
      <w:r>
        <w:t>decades</w:t>
      </w:r>
      <w:r w:rsidRPr="00D4571A">
        <w:t xml:space="preserve">, </w:t>
      </w:r>
      <w:r>
        <w:t>protracted cease-to-flow</w:t>
      </w:r>
      <w:r w:rsidRPr="00D4571A">
        <w:t xml:space="preserve"> and low</w:t>
      </w:r>
      <w:r>
        <w:t>-</w:t>
      </w:r>
      <w:r w:rsidRPr="00D4571A">
        <w:t xml:space="preserve">flow conditions have </w:t>
      </w:r>
      <w:r>
        <w:t xml:space="preserve">significantly compromised </w:t>
      </w:r>
      <w:r w:rsidRPr="00D4571A">
        <w:t>these values</w:t>
      </w:r>
      <w:r>
        <w:t>, including fish deaths events in 2004, 2008, 2015-16 and more recently in 2018-19 (NSW DPI Fisheries 2020)</w:t>
      </w:r>
      <w:r w:rsidRPr="00D4571A">
        <w:t xml:space="preserve">. </w:t>
      </w:r>
    </w:p>
    <w:p w14:paraId="4443A8E8" w14:textId="77777777" w:rsidR="00AA0841" w:rsidRPr="0083198A" w:rsidRDefault="00AA0841" w:rsidP="00AA0841">
      <w:r>
        <w:t xml:space="preserve">Both the lower Darling River and the Great Darling Anabranch are identified in the </w:t>
      </w:r>
      <w:r>
        <w:rPr>
          <w:i/>
          <w:iCs/>
        </w:rPr>
        <w:t xml:space="preserve">Basin-wide environmental watering strategy </w:t>
      </w:r>
      <w:r>
        <w:t>as wetlands of Basin significance for native fish and birds.</w:t>
      </w:r>
    </w:p>
    <w:p w14:paraId="72B39376" w14:textId="77777777" w:rsidR="00AA0841" w:rsidRPr="00365FE2" w:rsidRDefault="00AA0841" w:rsidP="0057535E">
      <w:pPr>
        <w:pStyle w:val="Heading4"/>
      </w:pPr>
      <w:r>
        <w:t>Partners and s</w:t>
      </w:r>
      <w:r w:rsidRPr="00365FE2">
        <w:t>takeholder engagement</w:t>
      </w:r>
    </w:p>
    <w:bookmarkEnd w:id="137"/>
    <w:p w14:paraId="6E2D0522" w14:textId="77777777" w:rsidR="00AA0841" w:rsidRPr="00DB0A2A" w:rsidRDefault="00AA0841" w:rsidP="00AA0841">
      <w:pPr>
        <w:rPr>
          <w:rFonts w:cstheme="minorHAnsi"/>
          <w:szCs w:val="22"/>
        </w:rPr>
      </w:pPr>
      <w:r>
        <w:rPr>
          <w:rFonts w:cstheme="minorHAnsi"/>
          <w:szCs w:val="22"/>
        </w:rPr>
        <w:t xml:space="preserve">In the lower Darling, Commonwealth environmental water is managed in partnership with </w:t>
      </w:r>
      <w:r w:rsidRPr="00DB0A2A">
        <w:rPr>
          <w:rFonts w:cstheme="minorHAnsi"/>
          <w:szCs w:val="22"/>
        </w:rPr>
        <w:t>the NSW Department of Planning, Infrastructure and Environment</w:t>
      </w:r>
      <w:r>
        <w:rPr>
          <w:rFonts w:cstheme="minorHAnsi"/>
          <w:szCs w:val="22"/>
        </w:rPr>
        <w:t>- Environment</w:t>
      </w:r>
      <w:r>
        <w:t>, Energy and Science (</w:t>
      </w:r>
      <w:r w:rsidRPr="00EA72B1">
        <w:t>DPIE</w:t>
      </w:r>
      <w:r>
        <w:noBreakHyphen/>
      </w:r>
      <w:r w:rsidRPr="00EA72B1">
        <w:t>EES</w:t>
      </w:r>
      <w:r>
        <w:t>)</w:t>
      </w:r>
      <w:r>
        <w:rPr>
          <w:rFonts w:cstheme="minorHAnsi"/>
          <w:szCs w:val="22"/>
        </w:rPr>
        <w:t xml:space="preserve">. It is coordinated with other sources of </w:t>
      </w:r>
      <w:r w:rsidRPr="00DB0A2A">
        <w:rPr>
          <w:rFonts w:cstheme="minorHAnsi"/>
          <w:szCs w:val="22"/>
        </w:rPr>
        <w:t>water</w:t>
      </w:r>
      <w:r>
        <w:rPr>
          <w:rFonts w:cstheme="minorHAnsi"/>
          <w:szCs w:val="22"/>
        </w:rPr>
        <w:t xml:space="preserve">, including environmental water available through The Living Murray program, and operational flows managed by </w:t>
      </w:r>
      <w:r w:rsidRPr="00DB0A2A">
        <w:rPr>
          <w:rFonts w:cstheme="minorHAnsi"/>
          <w:szCs w:val="22"/>
        </w:rPr>
        <w:t xml:space="preserve">WaterNSW </w:t>
      </w:r>
      <w:r>
        <w:rPr>
          <w:rFonts w:cstheme="minorHAnsi"/>
          <w:szCs w:val="22"/>
        </w:rPr>
        <w:t>and/</w:t>
      </w:r>
      <w:r w:rsidRPr="00DB0A2A">
        <w:rPr>
          <w:rFonts w:cstheme="minorHAnsi"/>
          <w:szCs w:val="22"/>
        </w:rPr>
        <w:t>or the Murray</w:t>
      </w:r>
      <w:r>
        <w:rPr>
          <w:rFonts w:cstheme="minorHAnsi"/>
          <w:szCs w:val="22"/>
        </w:rPr>
        <w:t>-</w:t>
      </w:r>
      <w:r w:rsidRPr="00DB0A2A">
        <w:rPr>
          <w:rFonts w:cstheme="minorHAnsi"/>
          <w:szCs w:val="22"/>
        </w:rPr>
        <w:t xml:space="preserve">Darling Basin Authority (depending on who has operational control of Menindee Lakes at the time in accordance with the </w:t>
      </w:r>
      <w:r w:rsidRPr="00DB0A2A">
        <w:rPr>
          <w:rFonts w:cstheme="minorHAnsi"/>
          <w:i/>
          <w:szCs w:val="22"/>
        </w:rPr>
        <w:t>Murray</w:t>
      </w:r>
      <w:r>
        <w:rPr>
          <w:rFonts w:cstheme="minorHAnsi"/>
          <w:i/>
          <w:szCs w:val="22"/>
        </w:rPr>
        <w:t>-</w:t>
      </w:r>
      <w:r w:rsidRPr="00DB0A2A">
        <w:rPr>
          <w:rFonts w:cstheme="minorHAnsi"/>
          <w:i/>
          <w:szCs w:val="22"/>
        </w:rPr>
        <w:t>Darling Basin Agreement</w:t>
      </w:r>
      <w:r>
        <w:rPr>
          <w:rFonts w:cstheme="minorHAnsi"/>
          <w:iCs/>
          <w:szCs w:val="22"/>
        </w:rPr>
        <w:t>)</w:t>
      </w:r>
      <w:r w:rsidRPr="00DB0A2A">
        <w:rPr>
          <w:rFonts w:cstheme="minorHAnsi"/>
          <w:szCs w:val="22"/>
        </w:rPr>
        <w:t>.</w:t>
      </w:r>
    </w:p>
    <w:p w14:paraId="502ADF83" w14:textId="77777777" w:rsidR="00AA0841" w:rsidRPr="00365FE2" w:rsidRDefault="00AA0841" w:rsidP="00AA0841">
      <w:r>
        <w:t>In addition to the above agencies, advice is regularly received from</w:t>
      </w:r>
      <w:r w:rsidRPr="00365FE2">
        <w:t xml:space="preserve"> the </w:t>
      </w:r>
      <w:r>
        <w:t xml:space="preserve">NSW </w:t>
      </w:r>
      <w:r w:rsidRPr="00365FE2">
        <w:t>Department of Primary Industries (DPI)</w:t>
      </w:r>
      <w:r>
        <w:t> </w:t>
      </w:r>
      <w:r w:rsidRPr="00DB0A2A">
        <w:rPr>
          <w:rFonts w:cstheme="minorHAnsi"/>
          <w:i/>
          <w:szCs w:val="22"/>
        </w:rPr>
        <w:t>–</w:t>
      </w:r>
      <w:r>
        <w:t xml:space="preserve"> </w:t>
      </w:r>
      <w:r w:rsidRPr="00365FE2">
        <w:t xml:space="preserve">Fisheries, </w:t>
      </w:r>
      <w:r>
        <w:t>the Lower Darling Technical Advisory Group</w:t>
      </w:r>
      <w:r w:rsidRPr="00365FE2">
        <w:t xml:space="preserve"> and the </w:t>
      </w:r>
      <w:r>
        <w:t>Lower Darling Regional Operations Stakeholder Consultation Committee (LD ROSCCo)</w:t>
      </w:r>
      <w:r w:rsidRPr="00365FE2">
        <w:t xml:space="preserve">, who provide advice to water managers </w:t>
      </w:r>
      <w:r>
        <w:t xml:space="preserve">to address stakeholder concerns and share river operation information. The Commonwealth Environmental Water Office (CEWO) also seeks guidance from representatives of the Barkindji Traditional Owners, </w:t>
      </w:r>
      <w:r w:rsidRPr="00CE1234">
        <w:rPr>
          <w:rFonts w:cs="Calibri"/>
          <w:szCs w:val="22"/>
        </w:rPr>
        <w:t>Murray Lower Darling Rivers Indigenous Nations (MLDRIN)</w:t>
      </w:r>
      <w:r>
        <w:t xml:space="preserve">, recreational fishers, landholders and irrigators. </w:t>
      </w:r>
    </w:p>
    <w:p w14:paraId="17CD8FAA" w14:textId="77777777" w:rsidR="00AA0841" w:rsidRDefault="00AA0841" w:rsidP="00AA0841">
      <w:pPr>
        <w:jc w:val="center"/>
        <w:rPr>
          <w:color w:val="auto"/>
        </w:rPr>
      </w:pPr>
      <w:r>
        <w:rPr>
          <w:noProof/>
          <w:color w:val="auto"/>
        </w:rPr>
        <w:lastRenderedPageBreak/>
        <w:drawing>
          <wp:inline distT="0" distB="0" distL="0" distR="0" wp14:anchorId="32726A00" wp14:editId="6A595937">
            <wp:extent cx="6210300" cy="8783955"/>
            <wp:effectExtent l="0" t="0" r="0" b="0"/>
            <wp:docPr id="26" name="Picture 26" descr="A map of the lower-Darling River including major towns, water storages, rivers and environmental as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wer Darling.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6210300" cy="8783955"/>
                    </a:xfrm>
                    <a:prstGeom prst="rect">
                      <a:avLst/>
                    </a:prstGeom>
                  </pic:spPr>
                </pic:pic>
              </a:graphicData>
            </a:graphic>
          </wp:inline>
        </w:drawing>
      </w:r>
    </w:p>
    <w:p w14:paraId="440D35E3" w14:textId="57998BA0" w:rsidR="00AA0841" w:rsidRDefault="00AA0841" w:rsidP="00AA0841">
      <w:pPr>
        <w:ind w:firstLine="284"/>
      </w:pPr>
      <w:r w:rsidRPr="00C942DF">
        <w:rPr>
          <w:b/>
        </w:rPr>
        <w:t xml:space="preserve">Figure </w:t>
      </w:r>
      <w:r w:rsidRPr="00C942DF">
        <w:rPr>
          <w:b/>
        </w:rPr>
        <w:fldChar w:fldCharType="begin"/>
      </w:r>
      <w:r w:rsidRPr="00C942DF">
        <w:rPr>
          <w:b/>
        </w:rPr>
        <w:instrText xml:space="preserve"> SEQ Figure \* ARABIC </w:instrText>
      </w:r>
      <w:r w:rsidRPr="00C942DF">
        <w:rPr>
          <w:b/>
        </w:rPr>
        <w:fldChar w:fldCharType="separate"/>
      </w:r>
      <w:r w:rsidR="001B2852">
        <w:rPr>
          <w:b/>
          <w:noProof/>
        </w:rPr>
        <w:t>12</w:t>
      </w:r>
      <w:r w:rsidRPr="00C942DF">
        <w:rPr>
          <w:b/>
        </w:rPr>
        <w:fldChar w:fldCharType="end"/>
      </w:r>
      <w:r w:rsidRPr="004932F2">
        <w:t xml:space="preserve">: </w:t>
      </w:r>
      <w:r w:rsidRPr="00271418">
        <w:t xml:space="preserve">Map of the </w:t>
      </w:r>
      <w:r>
        <w:t>l</w:t>
      </w:r>
      <w:r w:rsidRPr="00271418">
        <w:t xml:space="preserve">ower Darling </w:t>
      </w:r>
      <w:r>
        <w:t>River</w:t>
      </w:r>
      <w:r>
        <w:br w:type="page"/>
      </w:r>
    </w:p>
    <w:p w14:paraId="49D92A18" w14:textId="77777777" w:rsidR="00AA0841" w:rsidRDefault="00AA0841" w:rsidP="006A11B1">
      <w:pPr>
        <w:pStyle w:val="Heading3"/>
        <w:spacing w:after="240"/>
      </w:pPr>
      <w:r w:rsidRPr="00365FE2">
        <w:lastRenderedPageBreak/>
        <w:t>Environmental</w:t>
      </w:r>
      <w:r>
        <w:t xml:space="preserve"> objectives</w:t>
      </w:r>
    </w:p>
    <w:p w14:paraId="2B30B263" w14:textId="77777777" w:rsidR="00AA0841" w:rsidRPr="00365FE2" w:rsidRDefault="00AA0841" w:rsidP="00AA0841">
      <w:r w:rsidRPr="00365FE2">
        <w:t xml:space="preserve">Based on long-term environmental objectives in the Basin </w:t>
      </w:r>
      <w:r w:rsidRPr="00D4571A">
        <w:t>Plan, draft state</w:t>
      </w:r>
      <w:r w:rsidRPr="00365FE2">
        <w:t xml:space="preserve"> long-term watering plans, </w:t>
      </w:r>
      <w:r>
        <w:t xml:space="preserve">site management plans (including Ramsar site ecological character descriptions), </w:t>
      </w:r>
      <w:r w:rsidRPr="00365FE2">
        <w:t xml:space="preserve">and best available knowledge, the following objectives </w:t>
      </w:r>
      <w:r>
        <w:t>have been developed</w:t>
      </w:r>
      <w:r w:rsidRPr="00365FE2">
        <w:t xml:space="preserve"> for environmental water</w:t>
      </w:r>
      <w:r>
        <w:t xml:space="preserve"> planning</w:t>
      </w:r>
      <w:r w:rsidRPr="00365FE2">
        <w:t xml:space="preserve"> in the </w:t>
      </w:r>
      <w:r>
        <w:t>lower Darling River region</w:t>
      </w:r>
      <w:r w:rsidRPr="00365FE2">
        <w:t>.</w:t>
      </w:r>
    </w:p>
    <w:p w14:paraId="06384760" w14:textId="77777777" w:rsidR="00AA0841" w:rsidRPr="00365FE2" w:rsidRDefault="00AA0841" w:rsidP="00AA0841">
      <w:r w:rsidRPr="00365FE2">
        <w:t>The objectives targeted in a particular year may vary depending on available water, catchment conditions, operational feasibility, and demand for environmental water. These objectives will continue to be revised as part of the Commonwealth Environmental Water Office’s commitment to adaptive management.</w:t>
      </w:r>
    </w:p>
    <w:p w14:paraId="3816E553" w14:textId="77777777" w:rsidR="00AA0841" w:rsidRPr="00365FE2" w:rsidRDefault="00AA0841" w:rsidP="00AA0841">
      <w:r w:rsidRPr="00E07C38">
        <w:rPr>
          <w:b/>
        </w:rPr>
        <w:t>Vegetation</w:t>
      </w:r>
      <w:r w:rsidRPr="00365FE2">
        <w:t>:</w:t>
      </w:r>
      <w:r w:rsidRPr="00E07C38">
        <w:t xml:space="preserve"> Maintain riparian and in-channel vegetation condition.</w:t>
      </w:r>
      <w:r>
        <w:t xml:space="preserve"> </w:t>
      </w:r>
      <w:r w:rsidRPr="00E07C38">
        <w:t>Increase periods of growth for non-woody vegetation communities that closely fringe or occur within river channels.</w:t>
      </w:r>
    </w:p>
    <w:p w14:paraId="61686483" w14:textId="77777777" w:rsidR="00AA0841" w:rsidRPr="00E07C38" w:rsidRDefault="00AA0841" w:rsidP="00AA0841">
      <w:r w:rsidRPr="00E07C38">
        <w:rPr>
          <w:b/>
        </w:rPr>
        <w:t>Waterbirds</w:t>
      </w:r>
      <w:r w:rsidRPr="00365FE2">
        <w:t>:</w:t>
      </w:r>
      <w:r>
        <w:t xml:space="preserve"> </w:t>
      </w:r>
      <w:r w:rsidRPr="00E07C38">
        <w:t>Provide habitat and food sources to support waterbird survival and recruitment and maintain condition and current species diversity.</w:t>
      </w:r>
    </w:p>
    <w:p w14:paraId="7CE4DABD" w14:textId="77777777" w:rsidR="00AA0841" w:rsidRPr="00E07C38" w:rsidRDefault="00AA0841" w:rsidP="00AA0841">
      <w:r w:rsidRPr="00E07C38">
        <w:rPr>
          <w:b/>
        </w:rPr>
        <w:t>Native</w:t>
      </w:r>
      <w:r w:rsidRPr="00E07C38">
        <w:t xml:space="preserve"> </w:t>
      </w:r>
      <w:r w:rsidRPr="00E07C38">
        <w:rPr>
          <w:b/>
        </w:rPr>
        <w:t>fish</w:t>
      </w:r>
      <w:r w:rsidRPr="00365FE2">
        <w:t>:</w:t>
      </w:r>
      <w:r w:rsidRPr="00E07C38">
        <w:t xml:space="preserve"> Provide flows to support habitat and food </w:t>
      </w:r>
      <w:r>
        <w:t>re</w:t>
      </w:r>
      <w:r w:rsidRPr="00E07C38">
        <w:t>sources and promote increased movement, recruitment and survival/condition of native fish.</w:t>
      </w:r>
    </w:p>
    <w:p w14:paraId="72A88D1A" w14:textId="77777777" w:rsidR="00AA0841" w:rsidRPr="00E07C38" w:rsidRDefault="00AA0841" w:rsidP="00AA0841">
      <w:r w:rsidRPr="00E07C38">
        <w:rPr>
          <w:b/>
        </w:rPr>
        <w:t>Invertebrates</w:t>
      </w:r>
      <w:r w:rsidRPr="00E07C38">
        <w:t>: Provide habitat to support increased microinvertebrate and macroinvertebrate survival, diversity, abundance and condition.</w:t>
      </w:r>
    </w:p>
    <w:p w14:paraId="473A15CE" w14:textId="77777777" w:rsidR="00AA0841" w:rsidRPr="00365FE2" w:rsidRDefault="00AA0841" w:rsidP="00AA0841">
      <w:r w:rsidRPr="00E07C38">
        <w:rPr>
          <w:b/>
        </w:rPr>
        <w:t>Other vertebrates</w:t>
      </w:r>
      <w:r w:rsidRPr="00365FE2">
        <w:t xml:space="preserve">: </w:t>
      </w:r>
      <w:r w:rsidRPr="00E07C38">
        <w:t>Provide habitat to support survival, maintain condition and provide recruitment opportunities for frogs and turtles.</w:t>
      </w:r>
    </w:p>
    <w:p w14:paraId="1A636751" w14:textId="77777777" w:rsidR="00AA0841" w:rsidRPr="00365FE2" w:rsidRDefault="00AA0841" w:rsidP="00AA0841">
      <w:r w:rsidRPr="00E07C38">
        <w:rPr>
          <w:b/>
        </w:rPr>
        <w:t>Connectivity</w:t>
      </w:r>
      <w:r w:rsidRPr="00365FE2">
        <w:t>:</w:t>
      </w:r>
      <w:r>
        <w:t xml:space="preserve"> </w:t>
      </w:r>
      <w:r w:rsidRPr="00E07C38">
        <w:t xml:space="preserve">Maintain longitudinal connectivity along the </w:t>
      </w:r>
      <w:r>
        <w:t>l</w:t>
      </w:r>
      <w:r w:rsidRPr="00E07C38">
        <w:t>ower Darling and</w:t>
      </w:r>
      <w:r>
        <w:t xml:space="preserve"> with the</w:t>
      </w:r>
      <w:r w:rsidRPr="00E07C38">
        <w:t xml:space="preserve"> Murray river, </w:t>
      </w:r>
      <w:r>
        <w:t xml:space="preserve">to support </w:t>
      </w:r>
      <w:r w:rsidRPr="00E07C38">
        <w:t>important environmental functions</w:t>
      </w:r>
      <w:r>
        <w:t xml:space="preserve"> (see next objective)</w:t>
      </w:r>
      <w:r w:rsidRPr="00E07C38">
        <w:t xml:space="preserve">. </w:t>
      </w:r>
    </w:p>
    <w:p w14:paraId="727F3BFB" w14:textId="77777777" w:rsidR="00AA0841" w:rsidRPr="00E07C38" w:rsidRDefault="00AA0841" w:rsidP="00AA0841">
      <w:r w:rsidRPr="00E07C38">
        <w:rPr>
          <w:b/>
        </w:rPr>
        <w:t>Processes/water quality/resilience</w:t>
      </w:r>
      <w:r w:rsidRPr="00365FE2">
        <w:t xml:space="preserve">: </w:t>
      </w:r>
      <w:r w:rsidRPr="00E07C38">
        <w:t xml:space="preserve"> Increase primary productivity, nutrient and carbon cycling, biotic dispersal and movement. Maintain </w:t>
      </w:r>
      <w:r>
        <w:t xml:space="preserve">suitable </w:t>
      </w:r>
      <w:r w:rsidRPr="00E07C38">
        <w:t xml:space="preserve">water quality </w:t>
      </w:r>
      <w:r>
        <w:t xml:space="preserve">for native plants and animals </w:t>
      </w:r>
      <w:r w:rsidRPr="00E07C38">
        <w:t xml:space="preserve">and provide refuge from adverse water quality events (e.g. </w:t>
      </w:r>
      <w:r>
        <w:t xml:space="preserve">hypoxic </w:t>
      </w:r>
      <w:r w:rsidRPr="00E07C38">
        <w:t>blackwater</w:t>
      </w:r>
      <w:r>
        <w:t xml:space="preserve"> in the Murray</w:t>
      </w:r>
      <w:r w:rsidRPr="00E07C38">
        <w:t>). Maintain drought refuge habitat and maintenance/condition of native biota (e.g. fish and other aquatic fauna).</w:t>
      </w:r>
    </w:p>
    <w:p w14:paraId="162CF6CF" w14:textId="77777777" w:rsidR="00AA0841" w:rsidRDefault="00AA0841" w:rsidP="006A11B1">
      <w:pPr>
        <w:pStyle w:val="Heading3"/>
        <w:spacing w:after="240"/>
      </w:pPr>
      <w:r>
        <w:t>First Nations e</w:t>
      </w:r>
      <w:r w:rsidRPr="00365FE2">
        <w:t>nvironmental</w:t>
      </w:r>
      <w:r>
        <w:t xml:space="preserve"> objectives</w:t>
      </w:r>
    </w:p>
    <w:p w14:paraId="560528F5" w14:textId="7E4D99A4" w:rsidR="00AA0841" w:rsidRPr="00E061A2" w:rsidRDefault="00AA0841" w:rsidP="00AA0841">
      <w:pPr>
        <w:rPr>
          <w:lang w:val="en-US"/>
        </w:rPr>
      </w:pPr>
      <w:r w:rsidRPr="00E061A2">
        <w:rPr>
          <w:lang w:val="en-US"/>
        </w:rPr>
        <w:t xml:space="preserve">Advice on environmental water objectives in the </w:t>
      </w:r>
      <w:r>
        <w:rPr>
          <w:lang w:val="en-US"/>
        </w:rPr>
        <w:t xml:space="preserve">Lower Darling </w:t>
      </w:r>
      <w:r w:rsidRPr="00E061A2">
        <w:rPr>
          <w:lang w:val="en-US"/>
        </w:rPr>
        <w:t>valley has been provided by the Murray Lower Darling Rivers Indigenous Nations (MLDRIN) through the First Nations Environmental Water Guidance</w:t>
      </w:r>
      <w:r>
        <w:rPr>
          <w:lang w:val="en-US"/>
        </w:rPr>
        <w:t xml:space="preserve"> </w:t>
      </w:r>
      <w:r w:rsidRPr="00E061A2">
        <w:rPr>
          <w:lang w:val="en-US"/>
        </w:rPr>
        <w:t>project</w:t>
      </w:r>
      <w:r w:rsidRPr="000C4D1B">
        <w:rPr>
          <w:lang w:val="en-US"/>
        </w:rPr>
        <w:t xml:space="preserve">. </w:t>
      </w:r>
      <w:r w:rsidRPr="000C4D1B">
        <w:rPr>
          <w:lang w:val="en-US"/>
        </w:rPr>
        <w:fldChar w:fldCharType="begin"/>
      </w:r>
      <w:r w:rsidRPr="000C4D1B">
        <w:rPr>
          <w:lang w:val="en-US"/>
        </w:rPr>
        <w:instrText xml:space="preserve"> REF _Ref43716383 \h  \* MERGEFORMAT </w:instrText>
      </w:r>
      <w:r w:rsidRPr="000C4D1B">
        <w:rPr>
          <w:lang w:val="en-US"/>
        </w:rPr>
      </w:r>
      <w:r w:rsidRPr="000C4D1B">
        <w:rPr>
          <w:lang w:val="en-US"/>
        </w:rPr>
        <w:fldChar w:fldCharType="separate"/>
      </w:r>
      <w:r w:rsidR="001B2852" w:rsidRPr="001B2852">
        <w:t>Table</w:t>
      </w:r>
      <w:r w:rsidR="001B2852" w:rsidRPr="000C4D1B">
        <w:rPr>
          <w:b/>
        </w:rPr>
        <w:t xml:space="preserve"> </w:t>
      </w:r>
      <w:r w:rsidR="001B2852">
        <w:rPr>
          <w:b/>
          <w:noProof/>
        </w:rPr>
        <w:t>30</w:t>
      </w:r>
      <w:r w:rsidRPr="000C4D1B">
        <w:rPr>
          <w:lang w:val="en-US"/>
        </w:rPr>
        <w:fldChar w:fldCharType="end"/>
      </w:r>
      <w:r w:rsidRPr="000C4D1B">
        <w:rPr>
          <w:lang w:val="en-US"/>
        </w:rPr>
        <w:t xml:space="preserve"> includes just some of the common objectives for the Lower Darling catchment, selected as they were raised</w:t>
      </w:r>
      <w:r w:rsidRPr="00E061A2">
        <w:rPr>
          <w:lang w:val="en-US"/>
        </w:rPr>
        <w:t xml:space="preserve"> by 2 or more participating Nations for the region. It is important to note these objectives</w:t>
      </w:r>
      <w:r>
        <w:rPr>
          <w:lang w:val="en-US"/>
        </w:rPr>
        <w:t xml:space="preserve"> are not fully representative nor do they</w:t>
      </w:r>
      <w:r w:rsidRPr="00E061A2">
        <w:rPr>
          <w:lang w:val="en-US"/>
        </w:rPr>
        <w:t xml:space="preserve"> represent the detail, depth and complexity of Nations’ localised water-related objectives.</w:t>
      </w:r>
    </w:p>
    <w:p w14:paraId="1F011CF7" w14:textId="77777777" w:rsidR="00AA0841" w:rsidRPr="00E061A2" w:rsidRDefault="00AA0841" w:rsidP="00AA0841">
      <w:pPr>
        <w:rPr>
          <w:lang w:val="en-US"/>
        </w:rPr>
      </w:pPr>
      <w:r w:rsidRPr="00E061A2">
        <w:rPr>
          <w:lang w:val="en-US"/>
        </w:rPr>
        <w:t>Some of these objectives sit outside the scope of water for the environment to influence, while for others, the link between water for the environment and the site or issues is not well understood.  Environmental flows will aim to contribute to identified objectives, where possible.  The Commonwealth Environmental Water Holder</w:t>
      </w:r>
      <w:r>
        <w:rPr>
          <w:lang w:val="en-US"/>
        </w:rPr>
        <w:t xml:space="preserve"> (CEWH)</w:t>
      </w:r>
      <w:r w:rsidRPr="00E061A2">
        <w:rPr>
          <w:lang w:val="en-US"/>
        </w:rPr>
        <w:t xml:space="preserve"> is committed to continuing to strengthen engagement with all Southern Basin First Nations to support those Nations to articulate objectives for water management. </w:t>
      </w:r>
    </w:p>
    <w:p w14:paraId="03F4F821" w14:textId="77777777" w:rsidR="006A11B1" w:rsidRDefault="00AA0841" w:rsidP="00AA0841">
      <w:r w:rsidRPr="001568EE">
        <w:t xml:space="preserve">Whilst not all Traditional Owner groups participated in the project, the importance of the Baaka (Darling River) was not lost. Many participating Nations noted the Baaka as a priority for watering, despite the fact that this river is not part of their Traditional Country. This highlights the interconnectedness of cultural outcomes and the importance of a whole-of-system perspective. First Nations understand that cultural responsibility for sustaining river health, and the outcomes of custodianship, extend beyond the boundaries of one Nation’s Country. Declining river health and low flows in the Baaka affects outcomes across the whole Southern Basin. It should be noted that the spelling of Baaka is being consulted on by the NSW Geographical Names Board for dual naming, and there are other spellings and pronunciations. Through place naming, communities have the opportunity to unlock past stories, preserve traditions, reawaken language and </w:t>
      </w:r>
    </w:p>
    <w:p w14:paraId="0FE413D8" w14:textId="77777777" w:rsidR="006A11B1" w:rsidRDefault="006A11B1">
      <w:pPr>
        <w:spacing w:after="0"/>
      </w:pPr>
      <w:r>
        <w:br w:type="page"/>
      </w:r>
    </w:p>
    <w:p w14:paraId="08C10108" w14:textId="67DFCDB9" w:rsidR="00AA0841" w:rsidRDefault="00AA0841" w:rsidP="00AA0841">
      <w:pPr>
        <w:rPr>
          <w:b/>
        </w:rPr>
      </w:pPr>
      <w:r w:rsidRPr="001568EE">
        <w:lastRenderedPageBreak/>
        <w:t xml:space="preserve">provide a sense of belonging and identity. Barkindji were not provided full opportunity to input into the plan for 2020-21, and the CEWO aims to do better in working with Barkindji in our planning for future years. </w:t>
      </w:r>
      <w:bookmarkStart w:id="139" w:name="_Ref43389977"/>
    </w:p>
    <w:p w14:paraId="6F514674" w14:textId="2435A1E9" w:rsidR="00AA0841" w:rsidRPr="007A143A" w:rsidRDefault="00AA0841" w:rsidP="00AA0841">
      <w:pPr>
        <w:spacing w:before="240"/>
      </w:pPr>
      <w:bookmarkStart w:id="140" w:name="_Ref43716383"/>
      <w:r w:rsidRPr="000C4D1B">
        <w:rPr>
          <w:b/>
        </w:rPr>
        <w:t xml:space="preserve">Table </w:t>
      </w:r>
      <w:r w:rsidRPr="000C4D1B">
        <w:rPr>
          <w:b/>
        </w:rPr>
        <w:fldChar w:fldCharType="begin"/>
      </w:r>
      <w:r w:rsidRPr="000C4D1B">
        <w:rPr>
          <w:b/>
        </w:rPr>
        <w:instrText xml:space="preserve"> SEQ Table \* ARABIC </w:instrText>
      </w:r>
      <w:r w:rsidRPr="000C4D1B">
        <w:rPr>
          <w:b/>
        </w:rPr>
        <w:fldChar w:fldCharType="separate"/>
      </w:r>
      <w:r w:rsidR="001B2852">
        <w:rPr>
          <w:b/>
          <w:noProof/>
        </w:rPr>
        <w:t>30</w:t>
      </w:r>
      <w:r w:rsidRPr="000C4D1B">
        <w:rPr>
          <w:b/>
        </w:rPr>
        <w:fldChar w:fldCharType="end"/>
      </w:r>
      <w:bookmarkEnd w:id="139"/>
      <w:bookmarkEnd w:id="140"/>
      <w:r w:rsidRPr="007A143A">
        <w:rPr>
          <w:b/>
        </w:rPr>
        <w:t xml:space="preserve">: </w:t>
      </w:r>
      <w:r w:rsidRPr="007A143A">
        <w:t>First Nations environmental water objectives for the Lower Darling for 2020-21 (MLDRIN, 2020)</w:t>
      </w:r>
    </w:p>
    <w:tbl>
      <w:tblPr>
        <w:tblStyle w:val="TableGrid"/>
        <w:tblW w:w="9776" w:type="dxa"/>
        <w:tblLook w:val="04A0" w:firstRow="1" w:lastRow="0" w:firstColumn="1" w:lastColumn="0" w:noHBand="0" w:noVBand="1"/>
      </w:tblPr>
      <w:tblGrid>
        <w:gridCol w:w="9776"/>
      </w:tblGrid>
      <w:tr w:rsidR="00AA0841" w:rsidRPr="00153563" w14:paraId="14C6C46A" w14:textId="77777777" w:rsidTr="00AA0841">
        <w:trPr>
          <w:cnfStyle w:val="100000000000" w:firstRow="1" w:lastRow="0" w:firstColumn="0" w:lastColumn="0" w:oddVBand="0" w:evenVBand="0" w:oddHBand="0" w:evenHBand="0" w:firstRowFirstColumn="0" w:firstRowLastColumn="0" w:lastRowFirstColumn="0" w:lastRowLastColumn="0"/>
        </w:trPr>
        <w:tc>
          <w:tcPr>
            <w:tcW w:w="9776" w:type="dxa"/>
            <w:tcBorders>
              <w:bottom w:val="nil"/>
            </w:tcBorders>
            <w:shd w:val="clear" w:color="auto" w:fill="B6DDE8" w:themeFill="accent5" w:themeFillTint="66"/>
          </w:tcPr>
          <w:p w14:paraId="1C08B2F9" w14:textId="77777777" w:rsidR="00AA0841" w:rsidRPr="00153563" w:rsidRDefault="00AA0841" w:rsidP="00AA0841">
            <w:pPr>
              <w:rPr>
                <w:b/>
                <w:szCs w:val="22"/>
              </w:rPr>
            </w:pPr>
            <w:r w:rsidRPr="00153563">
              <w:rPr>
                <w:b/>
                <w:szCs w:val="22"/>
              </w:rPr>
              <w:t>Waterways and Places in Need of watering</w:t>
            </w:r>
          </w:p>
        </w:tc>
      </w:tr>
      <w:tr w:rsidR="00AA0841" w:rsidRPr="00153563" w14:paraId="7F11A7B9" w14:textId="77777777" w:rsidTr="00AA0841">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2869D4B3" w14:textId="77777777" w:rsidR="00AA0841" w:rsidRPr="00153563" w:rsidRDefault="00AA0841" w:rsidP="00AA0841">
            <w:pPr>
              <w:rPr>
                <w:szCs w:val="22"/>
              </w:rPr>
            </w:pPr>
            <w:r w:rsidRPr="00153563">
              <w:rPr>
                <w:szCs w:val="22"/>
              </w:rPr>
              <w:t>Wetlands, Billabongs and Floodplains, Creeks, Major rivers, Other places, parks, forests, islands, Baaka.</w:t>
            </w:r>
          </w:p>
        </w:tc>
      </w:tr>
      <w:tr w:rsidR="00AA0841" w:rsidRPr="00153563" w14:paraId="685FDA84" w14:textId="77777777" w:rsidTr="00AA0841">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635C5619" w14:textId="77777777" w:rsidR="00AA0841" w:rsidRPr="00153563" w:rsidRDefault="00AA0841" w:rsidP="00AA0841">
            <w:pPr>
              <w:rPr>
                <w:b/>
                <w:szCs w:val="22"/>
              </w:rPr>
            </w:pPr>
            <w:r w:rsidRPr="00153563">
              <w:rPr>
                <w:b/>
                <w:szCs w:val="22"/>
              </w:rPr>
              <w:t>River Flows and Connectivity</w:t>
            </w:r>
          </w:p>
        </w:tc>
      </w:tr>
      <w:tr w:rsidR="00AA0841" w:rsidRPr="00153563" w14:paraId="2E0862ED" w14:textId="77777777" w:rsidTr="00AA0841">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404EE733" w14:textId="77777777" w:rsidR="00AA0841" w:rsidRPr="00153563" w:rsidRDefault="00AA0841" w:rsidP="00AA0841">
            <w:pPr>
              <w:rPr>
                <w:szCs w:val="22"/>
              </w:rPr>
            </w:pPr>
            <w:r w:rsidRPr="00153563">
              <w:rPr>
                <w:szCs w:val="22"/>
              </w:rPr>
              <w:t>Improve water quality, Restore flows in degraded rivers, Improve timing and seasonality of flows, Improve tributary flows, Remove barriers and constraints.</w:t>
            </w:r>
          </w:p>
        </w:tc>
      </w:tr>
      <w:tr w:rsidR="00AA0841" w:rsidRPr="00153563" w14:paraId="17B41B16" w14:textId="77777777" w:rsidTr="00AA0841">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12C7D7F2" w14:textId="77777777" w:rsidR="00AA0841" w:rsidRPr="00153563" w:rsidRDefault="00AA0841" w:rsidP="00AA0841">
            <w:pPr>
              <w:rPr>
                <w:szCs w:val="22"/>
              </w:rPr>
            </w:pPr>
            <w:r w:rsidRPr="00153563">
              <w:rPr>
                <w:b/>
                <w:szCs w:val="22"/>
              </w:rPr>
              <w:t>Vegetation</w:t>
            </w:r>
          </w:p>
        </w:tc>
      </w:tr>
      <w:tr w:rsidR="00AA0841" w:rsidRPr="00153563" w14:paraId="084ECCB6" w14:textId="77777777" w:rsidTr="00AA0841">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737FC8FF" w14:textId="77777777" w:rsidR="00AA0841" w:rsidRPr="00153563" w:rsidRDefault="00AA0841" w:rsidP="00AA0841">
            <w:pPr>
              <w:rPr>
                <w:szCs w:val="22"/>
              </w:rPr>
            </w:pPr>
            <w:r w:rsidRPr="00153563">
              <w:rPr>
                <w:szCs w:val="22"/>
              </w:rPr>
              <w:t>Grasses, Lignum, Old Man Weed, Black Box, Reeds and Rushes.</w:t>
            </w:r>
          </w:p>
        </w:tc>
      </w:tr>
      <w:tr w:rsidR="00AA0841" w:rsidRPr="00153563" w14:paraId="4D220503" w14:textId="77777777" w:rsidTr="00AA0841">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52100F26" w14:textId="77777777" w:rsidR="00AA0841" w:rsidRPr="00153563" w:rsidRDefault="00AA0841" w:rsidP="00AA0841">
            <w:pPr>
              <w:rPr>
                <w:szCs w:val="22"/>
              </w:rPr>
            </w:pPr>
            <w:r w:rsidRPr="00153563">
              <w:rPr>
                <w:b/>
                <w:szCs w:val="22"/>
              </w:rPr>
              <w:t>Fish</w:t>
            </w:r>
          </w:p>
        </w:tc>
      </w:tr>
      <w:tr w:rsidR="00AA0841" w:rsidRPr="00153563" w14:paraId="52017621" w14:textId="77777777" w:rsidTr="00AA0841">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2D27269F" w14:textId="77777777" w:rsidR="00AA0841" w:rsidRPr="00153563" w:rsidRDefault="00AA0841" w:rsidP="00AA0841">
            <w:pPr>
              <w:rPr>
                <w:szCs w:val="22"/>
              </w:rPr>
            </w:pPr>
            <w:r w:rsidRPr="00153563">
              <w:rPr>
                <w:szCs w:val="22"/>
              </w:rPr>
              <w:t>Catfish, Murray Cod, Yellowbelly.</w:t>
            </w:r>
          </w:p>
        </w:tc>
      </w:tr>
      <w:tr w:rsidR="00AA0841" w:rsidRPr="00153563" w14:paraId="191118C6" w14:textId="77777777" w:rsidTr="00AA0841">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1D1DBE0F" w14:textId="77777777" w:rsidR="00AA0841" w:rsidRPr="00153563" w:rsidRDefault="00AA0841" w:rsidP="00AA0841">
            <w:pPr>
              <w:rPr>
                <w:szCs w:val="22"/>
              </w:rPr>
            </w:pPr>
            <w:r w:rsidRPr="00153563">
              <w:rPr>
                <w:b/>
                <w:szCs w:val="22"/>
              </w:rPr>
              <w:t>Waterbirds</w:t>
            </w:r>
          </w:p>
        </w:tc>
      </w:tr>
      <w:tr w:rsidR="00AA0841" w:rsidRPr="00153563" w14:paraId="78A7C37C" w14:textId="77777777" w:rsidTr="00AA0841">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3FF016CE" w14:textId="77777777" w:rsidR="00AA0841" w:rsidRPr="00153563" w:rsidRDefault="00AA0841" w:rsidP="00AA0841">
            <w:pPr>
              <w:rPr>
                <w:szCs w:val="22"/>
              </w:rPr>
            </w:pPr>
            <w:r w:rsidRPr="00153563">
              <w:rPr>
                <w:szCs w:val="22"/>
              </w:rPr>
              <w:t>Pelican, Birds, Swan, Ducks, Sea eagle</w:t>
            </w:r>
            <w:r w:rsidRPr="00153563">
              <w:rPr>
                <w:szCs w:val="22"/>
                <w:vertAlign w:val="superscript"/>
              </w:rPr>
              <w:t>i</w:t>
            </w:r>
            <w:r w:rsidRPr="00153563">
              <w:rPr>
                <w:szCs w:val="22"/>
              </w:rPr>
              <w:t>.</w:t>
            </w:r>
          </w:p>
        </w:tc>
      </w:tr>
      <w:tr w:rsidR="00AA0841" w:rsidRPr="00153563" w14:paraId="387C6F16" w14:textId="77777777" w:rsidTr="00AA0841">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57036667" w14:textId="77777777" w:rsidR="00AA0841" w:rsidRPr="00153563" w:rsidRDefault="00AA0841" w:rsidP="00AA0841">
            <w:pPr>
              <w:rPr>
                <w:rFonts w:cs="Calibri"/>
                <w:szCs w:val="22"/>
              </w:rPr>
            </w:pPr>
            <w:r w:rsidRPr="00153563">
              <w:rPr>
                <w:b/>
                <w:szCs w:val="22"/>
              </w:rPr>
              <w:t>Other</w:t>
            </w:r>
            <w:r w:rsidRPr="00153563">
              <w:rPr>
                <w:szCs w:val="22"/>
              </w:rPr>
              <w:t xml:space="preserve"> </w:t>
            </w:r>
            <w:r w:rsidRPr="00153563">
              <w:rPr>
                <w:b/>
                <w:szCs w:val="22"/>
              </w:rPr>
              <w:t>species</w:t>
            </w:r>
          </w:p>
        </w:tc>
      </w:tr>
      <w:tr w:rsidR="00AA0841" w:rsidRPr="00153563" w14:paraId="5B9652EC" w14:textId="77777777" w:rsidTr="00AA0841">
        <w:trPr>
          <w:cnfStyle w:val="000000100000" w:firstRow="0" w:lastRow="0" w:firstColumn="0" w:lastColumn="0" w:oddVBand="0" w:evenVBand="0" w:oddHBand="1" w:evenHBand="0" w:firstRowFirstColumn="0" w:firstRowLastColumn="0" w:lastRowFirstColumn="0" w:lastRowLastColumn="0"/>
        </w:trPr>
        <w:tc>
          <w:tcPr>
            <w:tcW w:w="9776" w:type="dxa"/>
            <w:tcBorders>
              <w:top w:val="nil"/>
            </w:tcBorders>
          </w:tcPr>
          <w:p w14:paraId="18BE6787" w14:textId="77777777" w:rsidR="00AA0841" w:rsidRPr="00153563" w:rsidRDefault="00AA0841" w:rsidP="00AA0841">
            <w:pPr>
              <w:rPr>
                <w:szCs w:val="22"/>
              </w:rPr>
            </w:pPr>
            <w:r w:rsidRPr="00153563">
              <w:rPr>
                <w:szCs w:val="22"/>
              </w:rPr>
              <w:t>Frogs, Shrimp, Turtles, Mussels, Platypus, Yabbies, Emu</w:t>
            </w:r>
            <w:r w:rsidRPr="00153563">
              <w:rPr>
                <w:szCs w:val="22"/>
                <w:vertAlign w:val="superscript"/>
              </w:rPr>
              <w:t>i</w:t>
            </w:r>
            <w:r w:rsidRPr="00153563">
              <w:rPr>
                <w:szCs w:val="22"/>
              </w:rPr>
              <w:t>, Kangaroo</w:t>
            </w:r>
            <w:r w:rsidRPr="00153563">
              <w:rPr>
                <w:szCs w:val="22"/>
                <w:vertAlign w:val="superscript"/>
              </w:rPr>
              <w:t>i</w:t>
            </w:r>
            <w:r w:rsidRPr="00153563">
              <w:rPr>
                <w:szCs w:val="22"/>
              </w:rPr>
              <w:t>.</w:t>
            </w:r>
          </w:p>
        </w:tc>
      </w:tr>
    </w:tbl>
    <w:p w14:paraId="30F8205F" w14:textId="3255E2ED" w:rsidR="00AA0841" w:rsidRDefault="00AA0841" w:rsidP="00AA0841">
      <w:pPr>
        <w:spacing w:after="0"/>
        <w:rPr>
          <w:sz w:val="20"/>
        </w:rPr>
      </w:pPr>
      <w:r w:rsidRPr="00B95704">
        <w:rPr>
          <w:vertAlign w:val="superscript"/>
        </w:rPr>
        <w:t>i</w:t>
      </w:r>
      <w:r w:rsidRPr="001E6073">
        <w:rPr>
          <w:sz w:val="20"/>
          <w:lang w:val="en-GB"/>
        </w:rPr>
        <w:t xml:space="preserve"> </w:t>
      </w:r>
      <w:r w:rsidRPr="001E6073">
        <w:rPr>
          <w:sz w:val="20"/>
        </w:rPr>
        <w:t>Water for the environment targeting</w:t>
      </w:r>
      <w:r>
        <w:rPr>
          <w:sz w:val="20"/>
        </w:rPr>
        <w:t xml:space="preserve"> other</w:t>
      </w:r>
      <w:r w:rsidRPr="001E6073">
        <w:rPr>
          <w:sz w:val="20"/>
        </w:rPr>
        <w:t xml:space="preserve"> environmental outcomes may</w:t>
      </w:r>
      <w:r>
        <w:rPr>
          <w:sz w:val="20"/>
        </w:rPr>
        <w:t xml:space="preserve"> influence this species or objective</w:t>
      </w:r>
    </w:p>
    <w:p w14:paraId="39FEA0EC" w14:textId="77777777" w:rsidR="00AA0841" w:rsidRPr="00365FE2" w:rsidRDefault="00AA0841" w:rsidP="006A11B1">
      <w:pPr>
        <w:pStyle w:val="Heading3"/>
        <w:spacing w:after="240"/>
      </w:pPr>
      <w:r w:rsidRPr="00365FE2">
        <w:t>Recent conditions and seasonal outlook</w:t>
      </w:r>
    </w:p>
    <w:p w14:paraId="7870515A" w14:textId="77777777" w:rsidR="00AA0841" w:rsidRPr="00365FE2" w:rsidRDefault="00AA0841" w:rsidP="0057535E">
      <w:pPr>
        <w:pStyle w:val="Heading4"/>
      </w:pPr>
      <w:r w:rsidRPr="00365FE2">
        <w:t xml:space="preserve">Recent conditions </w:t>
      </w:r>
      <w:r w:rsidRPr="00237831">
        <w:t>and environmental water use</w:t>
      </w:r>
    </w:p>
    <w:p w14:paraId="07EDDED0" w14:textId="77777777" w:rsidR="00AA0841" w:rsidRDefault="00AA0841" w:rsidP="00AA0841">
      <w:pPr>
        <w:rPr>
          <w:bCs/>
          <w:iCs/>
          <w:szCs w:val="22"/>
        </w:rPr>
      </w:pPr>
      <w:r>
        <w:rPr>
          <w:bCs/>
          <w:iCs/>
          <w:szCs w:val="22"/>
        </w:rPr>
        <w:t xml:space="preserve">For the past 20 years, the </w:t>
      </w:r>
      <w:r w:rsidRPr="00D4571A">
        <w:t>lower</w:t>
      </w:r>
      <w:r>
        <w:rPr>
          <w:bCs/>
          <w:iCs/>
          <w:szCs w:val="22"/>
        </w:rPr>
        <w:t xml:space="preserve"> Darling River has experienced increased frequency and duration of low</w:t>
      </w:r>
      <w:r>
        <w:rPr>
          <w:bCs/>
          <w:iCs/>
          <w:szCs w:val="22"/>
        </w:rPr>
        <w:noBreakHyphen/>
        <w:t xml:space="preserve">flow (most recently in 2014-15, 2018) or cease-to-flow (most recently 2015-16, 2019-20) conditions (DPI Fisheries 2020). The exception being between September 2016 to the start of December 2017, when environmental and consumptive flows provided welcome relief to both the lower Darling and the Great Darling Anabranch. </w:t>
      </w:r>
    </w:p>
    <w:p w14:paraId="4B898171" w14:textId="77777777" w:rsidR="00AA0841" w:rsidRPr="00B00E8E" w:rsidRDefault="00AA0841" w:rsidP="00AA0841">
      <w:pPr>
        <w:rPr>
          <w:bCs/>
          <w:iCs/>
          <w:szCs w:val="22"/>
        </w:rPr>
      </w:pPr>
      <w:r>
        <w:rPr>
          <w:bCs/>
          <w:iCs/>
          <w:szCs w:val="22"/>
        </w:rPr>
        <w:t xml:space="preserve">In the lower </w:t>
      </w:r>
      <w:r w:rsidRPr="00D4571A">
        <w:t>Darling</w:t>
      </w:r>
      <w:r>
        <w:t xml:space="preserve"> River</w:t>
      </w:r>
      <w:r>
        <w:rPr>
          <w:bCs/>
          <w:iCs/>
          <w:szCs w:val="22"/>
        </w:rPr>
        <w:t>, environmental flows in spring of 2016 and 2017 supported Murray cod spawning and recruitment</w:t>
      </w:r>
      <w:r w:rsidRPr="00B00E8E">
        <w:rPr>
          <w:bCs/>
          <w:iCs/>
          <w:szCs w:val="22"/>
        </w:rPr>
        <w:t xml:space="preserve">. </w:t>
      </w:r>
      <w:r>
        <w:rPr>
          <w:szCs w:val="22"/>
        </w:rPr>
        <w:t>A population census in winter 2018 found that the resulting cohorts comprised 28 per cent</w:t>
      </w:r>
      <w:r w:rsidRPr="006F0D75">
        <w:rPr>
          <w:szCs w:val="22"/>
        </w:rPr>
        <w:t xml:space="preserve"> of the overall population structure</w:t>
      </w:r>
      <w:r>
        <w:rPr>
          <w:szCs w:val="22"/>
        </w:rPr>
        <w:t>, with 14 per cent from each cohort (</w:t>
      </w:r>
      <w:r w:rsidRPr="00B05D0A">
        <w:rPr>
          <w:szCs w:val="22"/>
        </w:rPr>
        <w:t>Sharpe and Stuart 2018a</w:t>
      </w:r>
      <w:r>
        <w:rPr>
          <w:szCs w:val="22"/>
        </w:rPr>
        <w:t>)</w:t>
      </w:r>
      <w:r w:rsidRPr="006F0D75">
        <w:rPr>
          <w:szCs w:val="22"/>
        </w:rPr>
        <w:t>.</w:t>
      </w:r>
      <w:r>
        <w:rPr>
          <w:szCs w:val="22"/>
        </w:rPr>
        <w:t xml:space="preserve"> </w:t>
      </w:r>
      <w:r w:rsidRPr="00B00E8E">
        <w:rPr>
          <w:bCs/>
          <w:iCs/>
          <w:szCs w:val="22"/>
        </w:rPr>
        <w:t>Subsequent water releases from the Menindee Lakes</w:t>
      </w:r>
      <w:r>
        <w:rPr>
          <w:bCs/>
          <w:iCs/>
          <w:szCs w:val="22"/>
        </w:rPr>
        <w:t xml:space="preserve"> and down the Lower Darling</w:t>
      </w:r>
      <w:r w:rsidRPr="00B00E8E">
        <w:rPr>
          <w:bCs/>
          <w:iCs/>
          <w:szCs w:val="22"/>
        </w:rPr>
        <w:t xml:space="preserve"> </w:t>
      </w:r>
      <w:r>
        <w:rPr>
          <w:bCs/>
          <w:iCs/>
          <w:szCs w:val="22"/>
        </w:rPr>
        <w:t>in</w:t>
      </w:r>
      <w:r w:rsidRPr="00B00E8E">
        <w:rPr>
          <w:bCs/>
          <w:iCs/>
          <w:szCs w:val="22"/>
        </w:rPr>
        <w:t xml:space="preserve"> 2017 </w:t>
      </w:r>
      <w:r>
        <w:rPr>
          <w:bCs/>
          <w:iCs/>
          <w:szCs w:val="22"/>
        </w:rPr>
        <w:t>to meet</w:t>
      </w:r>
      <w:r w:rsidRPr="00B00E8E">
        <w:rPr>
          <w:bCs/>
          <w:iCs/>
          <w:szCs w:val="22"/>
        </w:rPr>
        <w:t xml:space="preserve"> consumptive </w:t>
      </w:r>
      <w:r>
        <w:rPr>
          <w:bCs/>
          <w:iCs/>
          <w:szCs w:val="22"/>
        </w:rPr>
        <w:t>needs</w:t>
      </w:r>
      <w:r w:rsidRPr="00B00E8E">
        <w:rPr>
          <w:bCs/>
          <w:iCs/>
          <w:szCs w:val="22"/>
        </w:rPr>
        <w:t xml:space="preserve"> were ‘shaped’ by ecologists and environmental water managers in collaboration with the river operators to promote the spawning and dispersal of other large-bodied native fish species such as golden perch and silver perch. </w:t>
      </w:r>
    </w:p>
    <w:p w14:paraId="7537A882" w14:textId="77777777" w:rsidR="00AA0841" w:rsidRDefault="00AA0841" w:rsidP="00AA0841">
      <w:pPr>
        <w:rPr>
          <w:bCs/>
          <w:iCs/>
          <w:szCs w:val="22"/>
        </w:rPr>
      </w:pPr>
      <w:r w:rsidRPr="00B00E8E">
        <w:rPr>
          <w:bCs/>
          <w:iCs/>
          <w:szCs w:val="22"/>
        </w:rPr>
        <w:t xml:space="preserve">In the Great </w:t>
      </w:r>
      <w:r w:rsidRPr="00D4571A">
        <w:t>Darling</w:t>
      </w:r>
      <w:r w:rsidRPr="00B00E8E">
        <w:rPr>
          <w:bCs/>
          <w:iCs/>
          <w:szCs w:val="22"/>
        </w:rPr>
        <w:t xml:space="preserve"> Anabranch, environmental water releases contributed to positive responses in river red gum and black box vegetation communities fringing the anabranch, and facilitated the successful dispersal of native fish, particularly </w:t>
      </w:r>
      <w:r>
        <w:rPr>
          <w:bCs/>
          <w:iCs/>
          <w:szCs w:val="22"/>
        </w:rPr>
        <w:t>g</w:t>
      </w:r>
      <w:r w:rsidRPr="00B00E8E">
        <w:rPr>
          <w:bCs/>
          <w:iCs/>
          <w:szCs w:val="22"/>
        </w:rPr>
        <w:t>olden perch juveniles, from Lake Cawndilla</w:t>
      </w:r>
      <w:r>
        <w:rPr>
          <w:bCs/>
          <w:iCs/>
          <w:szCs w:val="22"/>
        </w:rPr>
        <w:t>, down</w:t>
      </w:r>
      <w:r w:rsidRPr="00B00E8E">
        <w:rPr>
          <w:bCs/>
          <w:iCs/>
          <w:szCs w:val="22"/>
        </w:rPr>
        <w:t xml:space="preserve"> the anabranch and ultimately to the River Murray (</w:t>
      </w:r>
      <w:r>
        <w:rPr>
          <w:bCs/>
          <w:iCs/>
          <w:szCs w:val="22"/>
        </w:rPr>
        <w:t>Sharpe and Stuart 2018a</w:t>
      </w:r>
      <w:r w:rsidRPr="00B00E8E">
        <w:rPr>
          <w:bCs/>
          <w:iCs/>
          <w:szCs w:val="22"/>
        </w:rPr>
        <w:t xml:space="preserve">).  </w:t>
      </w:r>
    </w:p>
    <w:p w14:paraId="734888F9" w14:textId="77777777" w:rsidR="00AA0841" w:rsidRDefault="00AA0841" w:rsidP="00AA0841">
      <w:r w:rsidRPr="00365FE2">
        <w:t xml:space="preserve">Details of </w:t>
      </w:r>
      <w:r>
        <w:t xml:space="preserve">these and other </w:t>
      </w:r>
      <w:r w:rsidRPr="00365FE2">
        <w:t xml:space="preserve">Commonwealth environmental </w:t>
      </w:r>
      <w:r>
        <w:t xml:space="preserve">water actions </w:t>
      </w:r>
      <w:r w:rsidRPr="00365FE2">
        <w:t xml:space="preserve">in the </w:t>
      </w:r>
      <w:r>
        <w:t xml:space="preserve">lower Darling River </w:t>
      </w:r>
      <w:r w:rsidRPr="00365FE2">
        <w:t xml:space="preserve">catchment are available at: </w:t>
      </w:r>
      <w:hyperlink r:id="rId215" w:history="1">
        <w:r w:rsidRPr="00CF0351">
          <w:rPr>
            <w:rStyle w:val="Hyperlink"/>
          </w:rPr>
          <w:t>https://www.environment.gov.au/water/cewo/catchment/lower-murray-darling/history</w:t>
        </w:r>
      </w:hyperlink>
      <w:r>
        <w:t>.</w:t>
      </w:r>
    </w:p>
    <w:p w14:paraId="40BB9B23" w14:textId="77777777" w:rsidR="00AA0841" w:rsidRDefault="00AA0841" w:rsidP="00AA0841">
      <w:pPr>
        <w:rPr>
          <w:bCs/>
          <w:iCs/>
          <w:szCs w:val="22"/>
        </w:rPr>
      </w:pPr>
      <w:r>
        <w:rPr>
          <w:bCs/>
          <w:iCs/>
          <w:szCs w:val="22"/>
        </w:rPr>
        <w:t xml:space="preserve">The return of dry conditions in early 2018 had </w:t>
      </w:r>
      <w:r w:rsidRPr="00361F1C">
        <w:rPr>
          <w:bCs/>
          <w:iCs/>
          <w:szCs w:val="22"/>
        </w:rPr>
        <w:t>catastrophic impacts on the local ecology</w:t>
      </w:r>
      <w:r>
        <w:rPr>
          <w:bCs/>
          <w:iCs/>
          <w:szCs w:val="22"/>
        </w:rPr>
        <w:t>.  M</w:t>
      </w:r>
      <w:r w:rsidRPr="00361F1C">
        <w:rPr>
          <w:bCs/>
          <w:iCs/>
          <w:szCs w:val="22"/>
        </w:rPr>
        <w:t xml:space="preserve">ass deaths </w:t>
      </w:r>
      <w:r>
        <w:rPr>
          <w:bCs/>
          <w:iCs/>
          <w:szCs w:val="22"/>
        </w:rPr>
        <w:t xml:space="preserve">of millions of fish occurred in the Darling River adjacent to the town of Menindee in </w:t>
      </w:r>
      <w:r w:rsidRPr="00361F1C">
        <w:rPr>
          <w:bCs/>
          <w:iCs/>
          <w:szCs w:val="22"/>
        </w:rPr>
        <w:t>in December 2018 and January 2019</w:t>
      </w:r>
      <w:r>
        <w:rPr>
          <w:bCs/>
          <w:iCs/>
          <w:szCs w:val="22"/>
        </w:rPr>
        <w:t xml:space="preserve">. As </w:t>
      </w:r>
      <w:r w:rsidRPr="00361F1C">
        <w:rPr>
          <w:bCs/>
          <w:iCs/>
          <w:szCs w:val="22"/>
        </w:rPr>
        <w:t xml:space="preserve">the lower Darling </w:t>
      </w:r>
      <w:r>
        <w:rPr>
          <w:bCs/>
          <w:iCs/>
          <w:szCs w:val="22"/>
        </w:rPr>
        <w:t xml:space="preserve">contracted </w:t>
      </w:r>
      <w:r w:rsidRPr="00361F1C">
        <w:rPr>
          <w:bCs/>
          <w:iCs/>
          <w:szCs w:val="22"/>
        </w:rPr>
        <w:t xml:space="preserve">to disconnected pools </w:t>
      </w:r>
      <w:r>
        <w:rPr>
          <w:bCs/>
          <w:iCs/>
          <w:szCs w:val="22"/>
        </w:rPr>
        <w:t xml:space="preserve">through 2019, many thousands more fish perished. Small remnant </w:t>
      </w:r>
      <w:r w:rsidRPr="00361F1C">
        <w:rPr>
          <w:bCs/>
          <w:iCs/>
          <w:szCs w:val="22"/>
        </w:rPr>
        <w:t xml:space="preserve">fish populations </w:t>
      </w:r>
      <w:r>
        <w:rPr>
          <w:bCs/>
          <w:iCs/>
          <w:szCs w:val="22"/>
        </w:rPr>
        <w:t>were</w:t>
      </w:r>
      <w:r w:rsidRPr="00361F1C">
        <w:rPr>
          <w:bCs/>
          <w:iCs/>
          <w:szCs w:val="22"/>
        </w:rPr>
        <w:t xml:space="preserve"> supported through </w:t>
      </w:r>
      <w:r>
        <w:rPr>
          <w:bCs/>
          <w:iCs/>
          <w:szCs w:val="22"/>
        </w:rPr>
        <w:t xml:space="preserve">intervention such as relocation to more secure waters and deployment of mechanical </w:t>
      </w:r>
      <w:r w:rsidRPr="00361F1C">
        <w:rPr>
          <w:bCs/>
          <w:iCs/>
          <w:szCs w:val="22"/>
        </w:rPr>
        <w:t>aerators</w:t>
      </w:r>
      <w:r>
        <w:rPr>
          <w:bCs/>
          <w:iCs/>
          <w:szCs w:val="22"/>
        </w:rPr>
        <w:t xml:space="preserve"> at 10 locations in the Lower Darling and Menindee Lakes region.</w:t>
      </w:r>
      <w:r w:rsidRPr="00361F1C">
        <w:rPr>
          <w:bCs/>
          <w:iCs/>
          <w:szCs w:val="22"/>
        </w:rPr>
        <w:t xml:space="preserve"> </w:t>
      </w:r>
      <w:r>
        <w:rPr>
          <w:bCs/>
          <w:iCs/>
          <w:szCs w:val="22"/>
        </w:rPr>
        <w:t xml:space="preserve"> </w:t>
      </w:r>
    </w:p>
    <w:p w14:paraId="783B7018" w14:textId="77777777" w:rsidR="00AA0841" w:rsidRDefault="00AA0841" w:rsidP="00AA0841">
      <w:pPr>
        <w:rPr>
          <w:bCs/>
          <w:iCs/>
          <w:szCs w:val="22"/>
        </w:rPr>
      </w:pPr>
      <w:r w:rsidRPr="0080047A">
        <w:rPr>
          <w:bCs/>
          <w:iCs/>
          <w:szCs w:val="22"/>
        </w:rPr>
        <w:lastRenderedPageBreak/>
        <w:t xml:space="preserve">Following rainfall across the northern Basin in </w:t>
      </w:r>
      <w:r>
        <w:rPr>
          <w:bCs/>
          <w:iCs/>
          <w:szCs w:val="22"/>
        </w:rPr>
        <w:t xml:space="preserve">early </w:t>
      </w:r>
      <w:r w:rsidRPr="0080047A">
        <w:rPr>
          <w:bCs/>
          <w:iCs/>
          <w:szCs w:val="22"/>
        </w:rPr>
        <w:t xml:space="preserve">2020, water </w:t>
      </w:r>
      <w:r>
        <w:rPr>
          <w:bCs/>
          <w:iCs/>
          <w:szCs w:val="22"/>
        </w:rPr>
        <w:t xml:space="preserve">again </w:t>
      </w:r>
      <w:r w:rsidRPr="0080047A">
        <w:rPr>
          <w:bCs/>
          <w:iCs/>
          <w:szCs w:val="22"/>
        </w:rPr>
        <w:t>flow</w:t>
      </w:r>
      <w:r>
        <w:rPr>
          <w:bCs/>
          <w:iCs/>
          <w:szCs w:val="22"/>
        </w:rPr>
        <w:t>ed</w:t>
      </w:r>
      <w:r w:rsidRPr="0080047A">
        <w:rPr>
          <w:bCs/>
          <w:iCs/>
          <w:szCs w:val="22"/>
        </w:rPr>
        <w:t xml:space="preserve"> </w:t>
      </w:r>
      <w:r>
        <w:rPr>
          <w:bCs/>
          <w:iCs/>
          <w:szCs w:val="22"/>
        </w:rPr>
        <w:t xml:space="preserve">to </w:t>
      </w:r>
      <w:r w:rsidRPr="0080047A">
        <w:rPr>
          <w:bCs/>
          <w:iCs/>
          <w:szCs w:val="22"/>
        </w:rPr>
        <w:t xml:space="preserve">the Menindee Lakes. This provided an opportunity to ‘restart’ the lower Darling River, with a pulsed flow </w:t>
      </w:r>
      <w:r>
        <w:rPr>
          <w:bCs/>
          <w:iCs/>
          <w:szCs w:val="22"/>
        </w:rPr>
        <w:t>to re</w:t>
      </w:r>
      <w:r w:rsidRPr="0080047A">
        <w:rPr>
          <w:bCs/>
          <w:iCs/>
          <w:szCs w:val="22"/>
        </w:rPr>
        <w:t xml:space="preserve">connect with the River Murray in </w:t>
      </w:r>
      <w:r>
        <w:rPr>
          <w:bCs/>
          <w:iCs/>
          <w:szCs w:val="22"/>
        </w:rPr>
        <w:t>March/</w:t>
      </w:r>
      <w:r w:rsidRPr="0080047A">
        <w:rPr>
          <w:bCs/>
          <w:iCs/>
          <w:szCs w:val="22"/>
        </w:rPr>
        <w:t xml:space="preserve">April 2020. This flow, along with subsequent provision of baseflows, has provided relief and improved conditions for remnant fish populations. </w:t>
      </w:r>
      <w:r>
        <w:rPr>
          <w:bCs/>
          <w:iCs/>
          <w:szCs w:val="22"/>
        </w:rPr>
        <w:t xml:space="preserve">As of 15 June 2020, the Menindee Lakes system collectively held approximately 27 per cent of active capacity. For the latest storage and release details for the lower Darling valley, visit: </w:t>
      </w:r>
      <w:hyperlink r:id="rId216" w:history="1">
        <w:r w:rsidRPr="00D66957">
          <w:rPr>
            <w:rStyle w:val="Hyperlink"/>
          </w:rPr>
          <w:t>https://www.waternsw.com.au/supply/regional-nsw/availability</w:t>
        </w:r>
      </w:hyperlink>
      <w:r>
        <w:rPr>
          <w:rStyle w:val="Hyperlink"/>
        </w:rPr>
        <w:t>.</w:t>
      </w:r>
    </w:p>
    <w:p w14:paraId="1B483584" w14:textId="77777777" w:rsidR="00AA0841" w:rsidRPr="00365FE2" w:rsidRDefault="00AA0841" w:rsidP="0057535E">
      <w:pPr>
        <w:pStyle w:val="Heading4"/>
      </w:pPr>
      <w:r w:rsidRPr="00365FE2">
        <w:t>Seasonal outlook</w:t>
      </w:r>
    </w:p>
    <w:p w14:paraId="3C39D8E7" w14:textId="77777777" w:rsidR="00AA0841" w:rsidRPr="00365FE2" w:rsidRDefault="00AA0841" w:rsidP="00AA0841">
      <w:r w:rsidRPr="00365FE2">
        <w:t>According to the Bureau of Meteorology outlook</w:t>
      </w:r>
      <w:r>
        <w:t xml:space="preserve"> (BoM 2020)</w:t>
      </w:r>
      <w:r w:rsidRPr="00365FE2">
        <w:t xml:space="preserve"> the</w:t>
      </w:r>
      <w:r>
        <w:t xml:space="preserve">re is an 75-80 per cent chance </w:t>
      </w:r>
      <w:r w:rsidRPr="00365FE2">
        <w:t xml:space="preserve">of above median rainfall </w:t>
      </w:r>
      <w:r>
        <w:t xml:space="preserve">in the lower Darling River valley </w:t>
      </w:r>
      <w:r w:rsidRPr="00365FE2">
        <w:t>between</w:t>
      </w:r>
      <w:r>
        <w:t xml:space="preserve"> July and September </w:t>
      </w:r>
      <w:r w:rsidRPr="00746C92">
        <w:t>2020.  Across the northern catchments</w:t>
      </w:r>
      <w:r>
        <w:t xml:space="preserve"> that provide inflows to the lower Darling system</w:t>
      </w:r>
      <w:r w:rsidRPr="00746C92">
        <w:t>, there is a 65 to 80 percent</w:t>
      </w:r>
      <w:r>
        <w:t xml:space="preserve"> chance of above median rainfall - noting that inflows to Menindee Lakes can vary within and between seasons</w:t>
      </w:r>
      <w:r w:rsidRPr="00365FE2">
        <w:t>.</w:t>
      </w:r>
      <w:r>
        <w:t xml:space="preserve"> </w:t>
      </w:r>
    </w:p>
    <w:p w14:paraId="1242E87E" w14:textId="77777777" w:rsidR="00AA0841" w:rsidRPr="00365FE2" w:rsidRDefault="00AA0841" w:rsidP="00AA0841">
      <w:r w:rsidRPr="00365FE2">
        <w:t xml:space="preserve">While this forecast indicates that the severe dry conditions </w:t>
      </w:r>
      <w:r>
        <w:t xml:space="preserve">are </w:t>
      </w:r>
      <w:r w:rsidRPr="00365FE2">
        <w:t>somewhat</w:t>
      </w:r>
      <w:r>
        <w:t xml:space="preserve"> eased</w:t>
      </w:r>
      <w:r w:rsidRPr="00365FE2">
        <w:t>, several months of above average rainfall are needed to see a recovery from the current long-term drought.</w:t>
      </w:r>
      <w:r>
        <w:t xml:space="preserve"> Additionally, maximum temperatures are likely to remain average over the coming months.</w:t>
      </w:r>
    </w:p>
    <w:p w14:paraId="2BDDE3B2" w14:textId="77777777" w:rsidR="00AA0841" w:rsidRPr="00365FE2" w:rsidRDefault="00AA0841" w:rsidP="0057535E">
      <w:pPr>
        <w:pStyle w:val="Heading4"/>
      </w:pPr>
      <w:r w:rsidRPr="00365FE2">
        <w:t>Water availability</w:t>
      </w:r>
    </w:p>
    <w:p w14:paraId="7A74E6CC" w14:textId="77777777" w:rsidR="00AA0841" w:rsidRDefault="00AA0841" w:rsidP="00AA0841">
      <w:r w:rsidRPr="00365FE2">
        <w:t xml:space="preserve">The volume of Commonwealth environmental water to be carried over in the </w:t>
      </w:r>
      <w:r>
        <w:t xml:space="preserve">lower Darling </w:t>
      </w:r>
      <w:r w:rsidRPr="00365FE2">
        <w:t>for use in 2020</w:t>
      </w:r>
      <w:r>
        <w:noBreakHyphen/>
      </w:r>
      <w:r w:rsidRPr="00365FE2">
        <w:t xml:space="preserve">21 is </w:t>
      </w:r>
      <w:r>
        <w:t>approximately</w:t>
      </w:r>
      <w:r w:rsidRPr="00365FE2">
        <w:t xml:space="preserve"> </w:t>
      </w:r>
      <w:r>
        <w:t>10.</w:t>
      </w:r>
      <w:r w:rsidRPr="00AB3C6B">
        <w:t>8 gigalitres.</w:t>
      </w:r>
      <w:r>
        <w:t xml:space="preserve"> </w:t>
      </w:r>
    </w:p>
    <w:p w14:paraId="71C716B8" w14:textId="77777777" w:rsidR="00AA0841" w:rsidRPr="008262C1" w:rsidRDefault="00AA0841" w:rsidP="00AA0841">
      <w:pPr>
        <w:rPr>
          <w:bCs/>
          <w:iCs/>
          <w:szCs w:val="22"/>
        </w:rPr>
      </w:pPr>
      <w:r>
        <w:rPr>
          <w:bCs/>
          <w:iCs/>
          <w:szCs w:val="22"/>
        </w:rPr>
        <w:t>W</w:t>
      </w:r>
      <w:r w:rsidRPr="008262C1">
        <w:rPr>
          <w:bCs/>
          <w:iCs/>
          <w:szCs w:val="22"/>
        </w:rPr>
        <w:t xml:space="preserve">ater resource availability </w:t>
      </w:r>
      <w:r>
        <w:rPr>
          <w:bCs/>
          <w:iCs/>
          <w:szCs w:val="22"/>
        </w:rPr>
        <w:t>remains</w:t>
      </w:r>
      <w:r w:rsidRPr="008262C1">
        <w:rPr>
          <w:bCs/>
          <w:iCs/>
          <w:szCs w:val="22"/>
        </w:rPr>
        <w:t xml:space="preserve"> low</w:t>
      </w:r>
      <w:r>
        <w:rPr>
          <w:bCs/>
          <w:iCs/>
          <w:szCs w:val="22"/>
        </w:rPr>
        <w:t>, with the potential for any improvement reliant on further inflows to the Menindee Lakes system from the northern Basin</w:t>
      </w:r>
      <w:r w:rsidRPr="008262C1">
        <w:rPr>
          <w:bCs/>
          <w:iCs/>
          <w:szCs w:val="22"/>
        </w:rPr>
        <w:t>.</w:t>
      </w:r>
      <w:r>
        <w:rPr>
          <w:bCs/>
          <w:iCs/>
          <w:szCs w:val="22"/>
        </w:rPr>
        <w:t xml:space="preserve"> As at 1 July 2020, f</w:t>
      </w:r>
      <w:r>
        <w:t>ull (100 per cent) allocation has been provided for high security entitlements and 30 per cent allocation has been provided for general security entitlements (DPIE-Water 2020), which adds an additional 10.7 giga</w:t>
      </w:r>
      <w:r w:rsidRPr="00AB3C6B">
        <w:t>litres available</w:t>
      </w:r>
      <w:r>
        <w:t xml:space="preserve"> against the Commonwealth’s entitlements for use in 2020-21.  A total of 21.5 gigalitres is available as at 1 July 2020.</w:t>
      </w:r>
    </w:p>
    <w:p w14:paraId="7DBF7F5C" w14:textId="77777777" w:rsidR="00AA0841" w:rsidRPr="00365FE2" w:rsidRDefault="00AA0841" w:rsidP="0057535E">
      <w:pPr>
        <w:pStyle w:val="Heading4"/>
      </w:pPr>
      <w:r w:rsidRPr="00365FE2">
        <w:t>Environmental demands</w:t>
      </w:r>
    </w:p>
    <w:p w14:paraId="3685E9A1" w14:textId="02F00113" w:rsidR="00AA0841" w:rsidRPr="00365FE2" w:rsidRDefault="00AA0841" w:rsidP="00AA0841">
      <w:r w:rsidRPr="00365FE2">
        <w:t xml:space="preserve">The environmental water demands for assets in the </w:t>
      </w:r>
      <w:r>
        <w:t>lower Darling River valley</w:t>
      </w:r>
      <w:r w:rsidRPr="00365FE2">
        <w:t xml:space="preserve"> in 2020</w:t>
      </w:r>
      <w:r>
        <w:t>-</w:t>
      </w:r>
      <w:r w:rsidRPr="00365FE2">
        <w:t xml:space="preserve">21 are represented in </w:t>
      </w:r>
      <w:r>
        <w:fldChar w:fldCharType="begin"/>
      </w:r>
      <w:r>
        <w:instrText xml:space="preserve"> REF _Ref43383746 \h </w:instrText>
      </w:r>
      <w:r>
        <w:fldChar w:fldCharType="separate"/>
      </w:r>
      <w:r w:rsidR="001B2852" w:rsidRPr="008E30A5">
        <w:rPr>
          <w:szCs w:val="22"/>
        </w:rPr>
        <w:t xml:space="preserve">Table </w:t>
      </w:r>
      <w:r w:rsidR="001B2852">
        <w:rPr>
          <w:noProof/>
          <w:szCs w:val="22"/>
        </w:rPr>
        <w:t>31</w:t>
      </w:r>
      <w:r>
        <w:fldChar w:fldCharType="end"/>
      </w:r>
      <w:r>
        <w:t>.</w:t>
      </w:r>
      <w:r w:rsidRPr="00365FE2">
        <w:t xml:space="preserve"> Note that the capacity to contribute to </w:t>
      </w:r>
      <w:r>
        <w:t xml:space="preserve">some of </w:t>
      </w:r>
      <w:r w:rsidRPr="00365FE2">
        <w:t>these environmental demands is contingent on a substantial improvement in water availability in the catchment.</w:t>
      </w:r>
    </w:p>
    <w:p w14:paraId="4A608D0B" w14:textId="77777777" w:rsidR="00AA0841" w:rsidRPr="000F4C60" w:rsidRDefault="00AA0841" w:rsidP="00AA0841">
      <w:pPr>
        <w:pStyle w:val="NormalWeb"/>
        <w:spacing w:after="240"/>
        <w:rPr>
          <w:rFonts w:ascii="Century Gothic" w:hAnsi="Century Gothic"/>
        </w:rPr>
        <w:sectPr w:rsidR="00AA0841" w:rsidRPr="000F4C60" w:rsidSect="003737D8">
          <w:headerReference w:type="default" r:id="rId217"/>
          <w:footerReference w:type="default" r:id="rId218"/>
          <w:footerReference w:type="first" r:id="rId219"/>
          <w:footnotePr>
            <w:numRestart w:val="eachSect"/>
          </w:footnotePr>
          <w:pgSz w:w="11906" w:h="16838"/>
          <w:pgMar w:top="1134" w:right="1133" w:bottom="851" w:left="964" w:header="567" w:footer="397" w:gutter="0"/>
          <w:cols w:space="708"/>
          <w:docGrid w:linePitch="360"/>
        </w:sectPr>
      </w:pPr>
    </w:p>
    <w:p w14:paraId="750FCABD" w14:textId="0C37D715" w:rsidR="00AA0841" w:rsidRPr="008E30A5" w:rsidRDefault="00AA0841" w:rsidP="00AA0841">
      <w:pPr>
        <w:pStyle w:val="Caption"/>
        <w:keepNext/>
        <w:jc w:val="left"/>
        <w:rPr>
          <w:b w:val="0"/>
          <w:sz w:val="22"/>
          <w:szCs w:val="22"/>
        </w:rPr>
      </w:pPr>
      <w:bookmarkStart w:id="141" w:name="_Ref43383746"/>
      <w:bookmarkStart w:id="142" w:name="_Hlk43383954"/>
      <w:r w:rsidRPr="008E30A5">
        <w:rPr>
          <w:sz w:val="22"/>
          <w:szCs w:val="22"/>
        </w:rPr>
        <w:lastRenderedPageBreak/>
        <w:t xml:space="preserve">Table </w:t>
      </w:r>
      <w:r w:rsidRPr="008E30A5">
        <w:rPr>
          <w:sz w:val="22"/>
          <w:szCs w:val="22"/>
        </w:rPr>
        <w:fldChar w:fldCharType="begin"/>
      </w:r>
      <w:r w:rsidRPr="008E30A5">
        <w:rPr>
          <w:sz w:val="22"/>
          <w:szCs w:val="22"/>
        </w:rPr>
        <w:instrText xml:space="preserve"> SEQ Table \* ARABIC </w:instrText>
      </w:r>
      <w:r w:rsidRPr="008E30A5">
        <w:rPr>
          <w:sz w:val="22"/>
          <w:szCs w:val="22"/>
        </w:rPr>
        <w:fldChar w:fldCharType="separate"/>
      </w:r>
      <w:r w:rsidR="001B2852">
        <w:rPr>
          <w:noProof/>
          <w:sz w:val="22"/>
          <w:szCs w:val="22"/>
        </w:rPr>
        <w:t>31</w:t>
      </w:r>
      <w:r w:rsidRPr="008E30A5">
        <w:rPr>
          <w:sz w:val="22"/>
          <w:szCs w:val="22"/>
        </w:rPr>
        <w:fldChar w:fldCharType="end"/>
      </w:r>
      <w:bookmarkEnd w:id="141"/>
      <w:r w:rsidRPr="008E30A5">
        <w:rPr>
          <w:b w:val="0"/>
          <w:sz w:val="22"/>
          <w:szCs w:val="22"/>
        </w:rPr>
        <w:t>: Environmental demands, priority for watering in 2020–21 and outlook for coming year in the lower Darling River valley.</w:t>
      </w:r>
    </w:p>
    <w:tbl>
      <w:tblPr>
        <w:tblW w:w="5000" w:type="pct"/>
        <w:tblLook w:val="04A0" w:firstRow="1" w:lastRow="0" w:firstColumn="1" w:lastColumn="0" w:noHBand="0" w:noVBand="1"/>
      </w:tblPr>
      <w:tblGrid>
        <w:gridCol w:w="2533"/>
        <w:gridCol w:w="4086"/>
        <w:gridCol w:w="2113"/>
        <w:gridCol w:w="4649"/>
        <w:gridCol w:w="1973"/>
        <w:gridCol w:w="4226"/>
        <w:gridCol w:w="2248"/>
      </w:tblGrid>
      <w:tr w:rsidR="00AA0841" w:rsidRPr="00773E04" w14:paraId="620481A1" w14:textId="77777777" w:rsidTr="00AA0841">
        <w:trPr>
          <w:trHeight w:val="504"/>
          <w:tblHeader/>
        </w:trPr>
        <w:tc>
          <w:tcPr>
            <w:tcW w:w="580" w:type="pct"/>
            <w:vMerge w:val="restart"/>
            <w:tcBorders>
              <w:top w:val="single" w:sz="12" w:space="0" w:color="auto"/>
              <w:left w:val="single" w:sz="12" w:space="0" w:color="auto"/>
              <w:bottom w:val="single" w:sz="12" w:space="0" w:color="000000"/>
              <w:right w:val="single" w:sz="4" w:space="0" w:color="auto"/>
            </w:tcBorders>
            <w:shd w:val="clear" w:color="auto" w:fill="B6DDE8" w:themeFill="accent5" w:themeFillTint="66"/>
            <w:vAlign w:val="center"/>
            <w:hideMark/>
          </w:tcPr>
          <w:p w14:paraId="79E1BC80" w14:textId="77777777" w:rsidR="00AA0841" w:rsidRPr="006F4B5B" w:rsidRDefault="00AA0841" w:rsidP="00AA0841">
            <w:pPr>
              <w:jc w:val="center"/>
              <w:rPr>
                <w:b/>
                <w:bCs/>
                <w:sz w:val="18"/>
                <w:szCs w:val="18"/>
              </w:rPr>
            </w:pPr>
            <w:bookmarkStart w:id="143" w:name="_Hlk43383869"/>
            <w:bookmarkEnd w:id="142"/>
            <w:r w:rsidRPr="006F4B5B">
              <w:rPr>
                <w:b/>
                <w:bCs/>
                <w:sz w:val="18"/>
                <w:szCs w:val="18"/>
              </w:rPr>
              <w:t>Environmental assets</w:t>
            </w:r>
          </w:p>
        </w:tc>
        <w:tc>
          <w:tcPr>
            <w:tcW w:w="1420" w:type="pct"/>
            <w:gridSpan w:val="2"/>
            <w:tcBorders>
              <w:top w:val="single" w:sz="12" w:space="0" w:color="auto"/>
              <w:left w:val="single" w:sz="4" w:space="0" w:color="auto"/>
              <w:bottom w:val="single" w:sz="4" w:space="0" w:color="auto"/>
              <w:right w:val="single" w:sz="4" w:space="0" w:color="auto"/>
            </w:tcBorders>
            <w:shd w:val="clear" w:color="auto" w:fill="B6DDE8" w:themeFill="accent5" w:themeFillTint="66"/>
            <w:vAlign w:val="center"/>
            <w:hideMark/>
          </w:tcPr>
          <w:p w14:paraId="640986D7" w14:textId="77777777" w:rsidR="00AA0841" w:rsidRPr="00C74B03" w:rsidRDefault="00AA0841" w:rsidP="00AA0841">
            <w:pPr>
              <w:jc w:val="center"/>
              <w:rPr>
                <w:b/>
                <w:bCs/>
                <w:sz w:val="18"/>
                <w:szCs w:val="18"/>
                <w:vertAlign w:val="superscript"/>
              </w:rPr>
            </w:pPr>
            <w:r w:rsidRPr="006F4B5B">
              <w:rPr>
                <w:b/>
                <w:bCs/>
                <w:sz w:val="18"/>
                <w:szCs w:val="18"/>
              </w:rPr>
              <w:t xml:space="preserve">Indicative demand (for </w:t>
            </w:r>
            <w:r w:rsidRPr="006F4B5B">
              <w:rPr>
                <w:b/>
                <w:bCs/>
                <w:sz w:val="18"/>
                <w:szCs w:val="18"/>
                <w:u w:val="single"/>
              </w:rPr>
              <w:t>all sources of water</w:t>
            </w:r>
            <w:r w:rsidRPr="006F4B5B">
              <w:rPr>
                <w:b/>
                <w:bCs/>
                <w:sz w:val="18"/>
                <w:szCs w:val="18"/>
              </w:rPr>
              <w:t xml:space="preserve"> in the system)</w:t>
            </w:r>
            <w:r w:rsidRPr="00C61AFA">
              <w:rPr>
                <w:b/>
                <w:bCs/>
                <w:sz w:val="18"/>
                <w:szCs w:val="18"/>
                <w:vertAlign w:val="superscript"/>
              </w:rPr>
              <w:t>1</w:t>
            </w:r>
          </w:p>
        </w:tc>
        <w:tc>
          <w:tcPr>
            <w:tcW w:w="1065" w:type="pct"/>
            <w:tcBorders>
              <w:top w:val="single" w:sz="12" w:space="0" w:color="auto"/>
              <w:left w:val="nil"/>
              <w:bottom w:val="single" w:sz="4" w:space="0" w:color="auto"/>
              <w:right w:val="single" w:sz="4" w:space="0" w:color="auto"/>
            </w:tcBorders>
            <w:shd w:val="clear" w:color="auto" w:fill="B6DDE8" w:themeFill="accent5" w:themeFillTint="66"/>
            <w:vAlign w:val="center"/>
            <w:hideMark/>
          </w:tcPr>
          <w:p w14:paraId="5C86C82F" w14:textId="77777777" w:rsidR="00AA0841" w:rsidRPr="003C4A77" w:rsidRDefault="00AA0841" w:rsidP="00AA0841">
            <w:pPr>
              <w:jc w:val="center"/>
              <w:rPr>
                <w:b/>
                <w:bCs/>
                <w:sz w:val="18"/>
                <w:szCs w:val="18"/>
                <w:vertAlign w:val="superscript"/>
              </w:rPr>
            </w:pPr>
            <w:r w:rsidRPr="00C615DC">
              <w:rPr>
                <w:b/>
                <w:bCs/>
                <w:sz w:val="18"/>
                <w:szCs w:val="18"/>
              </w:rPr>
              <w:t>Watering history</w:t>
            </w:r>
          </w:p>
        </w:tc>
        <w:tc>
          <w:tcPr>
            <w:tcW w:w="1420" w:type="pct"/>
            <w:gridSpan w:val="2"/>
            <w:tcBorders>
              <w:top w:val="single" w:sz="12" w:space="0" w:color="auto"/>
              <w:left w:val="nil"/>
              <w:bottom w:val="single" w:sz="4" w:space="0" w:color="auto"/>
              <w:right w:val="single" w:sz="4" w:space="0" w:color="auto"/>
            </w:tcBorders>
            <w:shd w:val="clear" w:color="auto" w:fill="B6DDE8" w:themeFill="accent5" w:themeFillTint="66"/>
            <w:vAlign w:val="center"/>
            <w:hideMark/>
          </w:tcPr>
          <w:p w14:paraId="39BAAA5C" w14:textId="77777777" w:rsidR="00AA0841" w:rsidRPr="00773E04" w:rsidRDefault="00AA0841" w:rsidP="00AA0841">
            <w:pPr>
              <w:jc w:val="center"/>
              <w:rPr>
                <w:b/>
                <w:bCs/>
                <w:color w:val="auto"/>
                <w:sz w:val="18"/>
                <w:szCs w:val="18"/>
              </w:rPr>
            </w:pPr>
            <w:r w:rsidRPr="00773E04">
              <w:rPr>
                <w:b/>
                <w:bCs/>
                <w:color w:val="auto"/>
                <w:sz w:val="18"/>
                <w:szCs w:val="18"/>
              </w:rPr>
              <w:t>2020–21</w:t>
            </w:r>
          </w:p>
        </w:tc>
        <w:tc>
          <w:tcPr>
            <w:tcW w:w="515" w:type="pct"/>
            <w:tcBorders>
              <w:top w:val="single" w:sz="12" w:space="0" w:color="auto"/>
              <w:left w:val="nil"/>
              <w:bottom w:val="single" w:sz="4" w:space="0" w:color="auto"/>
              <w:right w:val="single" w:sz="12" w:space="0" w:color="auto"/>
            </w:tcBorders>
            <w:shd w:val="clear" w:color="auto" w:fill="B6DDE8" w:themeFill="accent5" w:themeFillTint="66"/>
            <w:vAlign w:val="center"/>
            <w:hideMark/>
          </w:tcPr>
          <w:p w14:paraId="49266BDB" w14:textId="77777777" w:rsidR="00AA0841" w:rsidRPr="00773E04" w:rsidRDefault="00AA0841" w:rsidP="00AA0841">
            <w:pPr>
              <w:jc w:val="center"/>
              <w:rPr>
                <w:b/>
                <w:bCs/>
                <w:color w:val="auto"/>
                <w:sz w:val="18"/>
                <w:szCs w:val="18"/>
              </w:rPr>
            </w:pPr>
            <w:r w:rsidRPr="00773E04">
              <w:rPr>
                <w:b/>
                <w:bCs/>
                <w:color w:val="auto"/>
                <w:sz w:val="18"/>
                <w:szCs w:val="18"/>
              </w:rPr>
              <w:t>Implications for future demands</w:t>
            </w:r>
          </w:p>
        </w:tc>
      </w:tr>
      <w:tr w:rsidR="00AA0841" w:rsidRPr="00773E04" w14:paraId="46C027E5" w14:textId="77777777" w:rsidTr="00AA0841">
        <w:trPr>
          <w:trHeight w:val="750"/>
          <w:tblHeader/>
        </w:trPr>
        <w:tc>
          <w:tcPr>
            <w:tcW w:w="580" w:type="pct"/>
            <w:vMerge/>
            <w:tcBorders>
              <w:top w:val="single" w:sz="4" w:space="0" w:color="auto"/>
              <w:left w:val="single" w:sz="12" w:space="0" w:color="auto"/>
              <w:bottom w:val="single" w:sz="12" w:space="0" w:color="000000"/>
              <w:right w:val="single" w:sz="4" w:space="0" w:color="auto"/>
            </w:tcBorders>
            <w:shd w:val="clear" w:color="auto" w:fill="B6DDE8" w:themeFill="accent5" w:themeFillTint="66"/>
            <w:vAlign w:val="center"/>
            <w:hideMark/>
          </w:tcPr>
          <w:p w14:paraId="61EDEBDB" w14:textId="77777777" w:rsidR="00AA0841" w:rsidRPr="006F4B5B" w:rsidRDefault="00AA0841" w:rsidP="00AA0841">
            <w:pPr>
              <w:rPr>
                <w:b/>
                <w:bCs/>
                <w:sz w:val="18"/>
                <w:szCs w:val="18"/>
              </w:rPr>
            </w:pPr>
          </w:p>
        </w:tc>
        <w:tc>
          <w:tcPr>
            <w:tcW w:w="936" w:type="pct"/>
            <w:tcBorders>
              <w:top w:val="nil"/>
              <w:left w:val="single" w:sz="4" w:space="0" w:color="auto"/>
              <w:bottom w:val="single" w:sz="12" w:space="0" w:color="000000"/>
              <w:right w:val="single" w:sz="4" w:space="0" w:color="auto"/>
            </w:tcBorders>
            <w:shd w:val="clear" w:color="auto" w:fill="B6DDE8" w:themeFill="accent5" w:themeFillTint="66"/>
            <w:vAlign w:val="center"/>
            <w:hideMark/>
          </w:tcPr>
          <w:p w14:paraId="7F7E1FC0" w14:textId="77777777" w:rsidR="00AA0841" w:rsidRPr="006F4B5B" w:rsidRDefault="00AA0841" w:rsidP="00AA0841">
            <w:pPr>
              <w:jc w:val="center"/>
              <w:rPr>
                <w:b/>
                <w:bCs/>
                <w:sz w:val="18"/>
                <w:szCs w:val="18"/>
              </w:rPr>
            </w:pPr>
            <w:r w:rsidRPr="006F4B5B">
              <w:rPr>
                <w:b/>
                <w:bCs/>
                <w:sz w:val="18"/>
                <w:szCs w:val="18"/>
              </w:rPr>
              <w:t>Flow/Volume</w:t>
            </w:r>
          </w:p>
        </w:tc>
        <w:tc>
          <w:tcPr>
            <w:tcW w:w="484" w:type="pct"/>
            <w:tcBorders>
              <w:top w:val="nil"/>
              <w:left w:val="single" w:sz="4" w:space="0" w:color="auto"/>
              <w:bottom w:val="single" w:sz="12" w:space="0" w:color="000000"/>
              <w:right w:val="single" w:sz="4" w:space="0" w:color="auto"/>
            </w:tcBorders>
            <w:shd w:val="clear" w:color="auto" w:fill="B6DDE8" w:themeFill="accent5" w:themeFillTint="66"/>
            <w:vAlign w:val="center"/>
            <w:hideMark/>
          </w:tcPr>
          <w:p w14:paraId="2494F7DF" w14:textId="77777777" w:rsidR="00AA0841" w:rsidRPr="006F4B5B" w:rsidRDefault="00AA0841" w:rsidP="00AA0841">
            <w:pPr>
              <w:jc w:val="center"/>
              <w:rPr>
                <w:b/>
                <w:bCs/>
                <w:sz w:val="18"/>
                <w:szCs w:val="18"/>
              </w:rPr>
            </w:pPr>
            <w:r w:rsidRPr="006F4B5B">
              <w:rPr>
                <w:b/>
                <w:bCs/>
                <w:sz w:val="18"/>
                <w:szCs w:val="18"/>
              </w:rPr>
              <w:t>Required frequency (maximum dry interval)</w:t>
            </w:r>
          </w:p>
        </w:tc>
        <w:tc>
          <w:tcPr>
            <w:tcW w:w="1065" w:type="pct"/>
            <w:tcBorders>
              <w:top w:val="single" w:sz="4" w:space="0" w:color="auto"/>
              <w:left w:val="single" w:sz="4" w:space="0" w:color="auto"/>
              <w:bottom w:val="single" w:sz="12" w:space="0" w:color="000000"/>
              <w:right w:val="single" w:sz="4" w:space="0" w:color="000000"/>
            </w:tcBorders>
            <w:shd w:val="clear" w:color="auto" w:fill="B6DDE8" w:themeFill="accent5" w:themeFillTint="66"/>
            <w:vAlign w:val="center"/>
            <w:hideMark/>
          </w:tcPr>
          <w:p w14:paraId="01F5E7E1" w14:textId="77777777" w:rsidR="00AA0841" w:rsidRPr="00C615DC" w:rsidRDefault="00AA0841" w:rsidP="00AA0841">
            <w:pPr>
              <w:jc w:val="center"/>
              <w:rPr>
                <w:b/>
                <w:bCs/>
                <w:sz w:val="18"/>
                <w:szCs w:val="18"/>
              </w:rPr>
            </w:pPr>
            <w:r w:rsidRPr="00C615DC">
              <w:rPr>
                <w:b/>
                <w:bCs/>
                <w:sz w:val="18"/>
                <w:szCs w:val="18"/>
              </w:rPr>
              <w:t>(from all sources of water)</w:t>
            </w:r>
          </w:p>
        </w:tc>
        <w:tc>
          <w:tcPr>
            <w:tcW w:w="452" w:type="pct"/>
            <w:tcBorders>
              <w:top w:val="nil"/>
              <w:left w:val="single" w:sz="4" w:space="0" w:color="auto"/>
              <w:bottom w:val="single" w:sz="12" w:space="0" w:color="000000"/>
              <w:right w:val="single" w:sz="4" w:space="0" w:color="auto"/>
            </w:tcBorders>
            <w:shd w:val="clear" w:color="auto" w:fill="B6DDE8" w:themeFill="accent5" w:themeFillTint="66"/>
            <w:vAlign w:val="center"/>
            <w:hideMark/>
          </w:tcPr>
          <w:p w14:paraId="51CD4940" w14:textId="77777777" w:rsidR="00AA0841" w:rsidRPr="00773E04" w:rsidRDefault="00AA0841" w:rsidP="00AA0841">
            <w:pPr>
              <w:jc w:val="center"/>
              <w:rPr>
                <w:b/>
                <w:bCs/>
                <w:color w:val="auto"/>
                <w:sz w:val="18"/>
                <w:szCs w:val="18"/>
              </w:rPr>
            </w:pPr>
            <w:r w:rsidRPr="00773E04">
              <w:rPr>
                <w:b/>
                <w:bCs/>
                <w:color w:val="auto"/>
                <w:sz w:val="18"/>
                <w:szCs w:val="18"/>
              </w:rPr>
              <w:t>Environmental demands for water (all sources)</w:t>
            </w:r>
          </w:p>
        </w:tc>
        <w:tc>
          <w:tcPr>
            <w:tcW w:w="968" w:type="pct"/>
            <w:tcBorders>
              <w:top w:val="nil"/>
              <w:left w:val="single" w:sz="4" w:space="0" w:color="auto"/>
              <w:bottom w:val="single" w:sz="12" w:space="0" w:color="000000"/>
              <w:right w:val="single" w:sz="4" w:space="0" w:color="auto"/>
            </w:tcBorders>
            <w:shd w:val="clear" w:color="auto" w:fill="B6DDE8" w:themeFill="accent5" w:themeFillTint="66"/>
            <w:vAlign w:val="center"/>
            <w:hideMark/>
          </w:tcPr>
          <w:p w14:paraId="4B800407" w14:textId="77777777" w:rsidR="00AA0841" w:rsidRPr="00773E04" w:rsidRDefault="00AA0841" w:rsidP="00AA0841">
            <w:pPr>
              <w:jc w:val="center"/>
              <w:rPr>
                <w:b/>
                <w:bCs/>
                <w:color w:val="auto"/>
                <w:sz w:val="18"/>
                <w:szCs w:val="18"/>
              </w:rPr>
            </w:pPr>
            <w:r w:rsidRPr="00773E04">
              <w:rPr>
                <w:b/>
                <w:bCs/>
                <w:color w:val="auto"/>
                <w:sz w:val="18"/>
                <w:szCs w:val="18"/>
              </w:rPr>
              <w:t>Potential Commonwealth environmental water contribution?</w:t>
            </w:r>
          </w:p>
        </w:tc>
        <w:tc>
          <w:tcPr>
            <w:tcW w:w="515" w:type="pct"/>
            <w:tcBorders>
              <w:top w:val="nil"/>
              <w:left w:val="single" w:sz="4" w:space="0" w:color="auto"/>
              <w:bottom w:val="single" w:sz="12" w:space="0" w:color="000000"/>
              <w:right w:val="single" w:sz="12" w:space="0" w:color="auto"/>
            </w:tcBorders>
            <w:shd w:val="clear" w:color="auto" w:fill="B6DDE8" w:themeFill="accent5" w:themeFillTint="66"/>
            <w:vAlign w:val="center"/>
            <w:hideMark/>
          </w:tcPr>
          <w:p w14:paraId="092760FB" w14:textId="77777777" w:rsidR="00AA0841" w:rsidRPr="00773E04" w:rsidRDefault="00AA0841" w:rsidP="00AA0841">
            <w:pPr>
              <w:jc w:val="center"/>
              <w:rPr>
                <w:b/>
                <w:bCs/>
                <w:color w:val="auto"/>
                <w:sz w:val="18"/>
                <w:szCs w:val="18"/>
              </w:rPr>
            </w:pPr>
            <w:r w:rsidRPr="00773E04">
              <w:rPr>
                <w:b/>
                <w:bCs/>
                <w:color w:val="auto"/>
                <w:sz w:val="18"/>
                <w:szCs w:val="18"/>
              </w:rPr>
              <w:t>Likely urgency of demand in 2021–22 if watering occurred as planned in 2020–21</w:t>
            </w:r>
          </w:p>
        </w:tc>
      </w:tr>
      <w:tr w:rsidR="00AA0841" w:rsidRPr="00773E04" w14:paraId="21B1F6D8" w14:textId="77777777" w:rsidTr="00AA0841">
        <w:trPr>
          <w:trHeight w:val="1206"/>
        </w:trPr>
        <w:tc>
          <w:tcPr>
            <w:tcW w:w="580" w:type="pct"/>
            <w:vMerge w:val="restart"/>
            <w:tcBorders>
              <w:top w:val="single" w:sz="8" w:space="0" w:color="auto"/>
              <w:left w:val="single" w:sz="12" w:space="0" w:color="auto"/>
              <w:right w:val="single" w:sz="4" w:space="0" w:color="auto"/>
            </w:tcBorders>
          </w:tcPr>
          <w:p w14:paraId="54C74432" w14:textId="77777777" w:rsidR="00AA0841" w:rsidRDefault="00AA0841" w:rsidP="00AA0841">
            <w:pPr>
              <w:rPr>
                <w:b/>
                <w:sz w:val="18"/>
                <w:szCs w:val="18"/>
                <w:vertAlign w:val="superscript"/>
              </w:rPr>
            </w:pPr>
            <w:r>
              <w:rPr>
                <w:b/>
                <w:sz w:val="18"/>
                <w:szCs w:val="18"/>
              </w:rPr>
              <w:t>Menindee Lakes</w:t>
            </w:r>
            <w:r w:rsidRPr="00B75056">
              <w:rPr>
                <w:b/>
                <w:sz w:val="18"/>
                <w:szCs w:val="18"/>
                <w:vertAlign w:val="superscript"/>
              </w:rPr>
              <w:t>1</w:t>
            </w:r>
          </w:p>
          <w:p w14:paraId="7B90215B" w14:textId="77777777" w:rsidR="00AA0841" w:rsidRDefault="00AA0841" w:rsidP="00AA0841">
            <w:pPr>
              <w:rPr>
                <w:sz w:val="18"/>
                <w:szCs w:val="18"/>
              </w:rPr>
            </w:pPr>
            <w:r w:rsidRPr="00D73511">
              <w:rPr>
                <w:sz w:val="18"/>
                <w:szCs w:val="18"/>
              </w:rPr>
              <w:t>· Native fish</w:t>
            </w:r>
            <w:r>
              <w:rPr>
                <w:sz w:val="18"/>
                <w:szCs w:val="18"/>
              </w:rPr>
              <w:t xml:space="preserve">: survival, dispersal &amp; recruitment of flow pulse specialists in Lakes and dispersal downstream  </w:t>
            </w:r>
          </w:p>
          <w:p w14:paraId="635C8F2D" w14:textId="77777777" w:rsidR="00AA0841" w:rsidRDefault="00AA0841" w:rsidP="00AA0841">
            <w:pPr>
              <w:rPr>
                <w:sz w:val="18"/>
                <w:szCs w:val="18"/>
              </w:rPr>
            </w:pPr>
            <w:r w:rsidRPr="00D73511">
              <w:rPr>
                <w:sz w:val="18"/>
                <w:szCs w:val="18"/>
              </w:rPr>
              <w:t>·</w:t>
            </w:r>
            <w:r>
              <w:rPr>
                <w:sz w:val="18"/>
                <w:szCs w:val="18"/>
              </w:rPr>
              <w:t xml:space="preserve"> Vegetation: non-woody wetland, lignum, fringing river red gum, low-lying black box and coolibah</w:t>
            </w:r>
          </w:p>
          <w:p w14:paraId="70ED9992" w14:textId="77777777" w:rsidR="00AA0841" w:rsidRDefault="00AA0841" w:rsidP="00AA0841">
            <w:pPr>
              <w:rPr>
                <w:sz w:val="18"/>
                <w:szCs w:val="18"/>
              </w:rPr>
            </w:pPr>
            <w:r w:rsidRPr="00D73511">
              <w:rPr>
                <w:sz w:val="18"/>
                <w:szCs w:val="18"/>
              </w:rPr>
              <w:t>·</w:t>
            </w:r>
            <w:r>
              <w:rPr>
                <w:sz w:val="18"/>
                <w:szCs w:val="18"/>
              </w:rPr>
              <w:t xml:space="preserve"> Waterbirds: maintain habitat, potential breeding</w:t>
            </w:r>
          </w:p>
          <w:p w14:paraId="66296947" w14:textId="77777777" w:rsidR="00AA0841" w:rsidRPr="009709FE" w:rsidRDefault="00AA0841" w:rsidP="00AA0841">
            <w:pPr>
              <w:rPr>
                <w:sz w:val="18"/>
                <w:szCs w:val="18"/>
              </w:rPr>
            </w:pPr>
            <w:r w:rsidRPr="00D73511">
              <w:rPr>
                <w:sz w:val="18"/>
                <w:szCs w:val="18"/>
              </w:rPr>
              <w:t>·</w:t>
            </w:r>
            <w:r>
              <w:rPr>
                <w:sz w:val="18"/>
                <w:szCs w:val="18"/>
              </w:rPr>
              <w:t xml:space="preserve"> Ecosystems: refuge, productivity </w:t>
            </w:r>
          </w:p>
        </w:tc>
        <w:tc>
          <w:tcPr>
            <w:tcW w:w="936" w:type="pct"/>
            <w:tcBorders>
              <w:top w:val="single" w:sz="8" w:space="0" w:color="auto"/>
              <w:left w:val="single" w:sz="4" w:space="0" w:color="auto"/>
              <w:bottom w:val="single" w:sz="4" w:space="0" w:color="auto"/>
              <w:right w:val="single" w:sz="4" w:space="0" w:color="auto"/>
            </w:tcBorders>
            <w:vAlign w:val="center"/>
          </w:tcPr>
          <w:p w14:paraId="5DB8B0B8" w14:textId="77777777" w:rsidR="00AA0841" w:rsidRDefault="00AA0841" w:rsidP="00AA0841">
            <w:pPr>
              <w:rPr>
                <w:sz w:val="18"/>
                <w:szCs w:val="18"/>
              </w:rPr>
            </w:pPr>
            <w:r w:rsidRPr="009709FE">
              <w:rPr>
                <w:b/>
                <w:sz w:val="18"/>
                <w:szCs w:val="18"/>
              </w:rPr>
              <w:t>Lake Menindee</w:t>
            </w:r>
            <w:r>
              <w:rPr>
                <w:sz w:val="18"/>
                <w:szCs w:val="18"/>
              </w:rPr>
              <w:t>: 60 GL (1.5 m, 56 m AHD)</w:t>
            </w:r>
          </w:p>
          <w:p w14:paraId="11605A37" w14:textId="77777777" w:rsidR="00AA0841" w:rsidRDefault="00AA0841" w:rsidP="00AA0841">
            <w:pPr>
              <w:rPr>
                <w:sz w:val="18"/>
                <w:szCs w:val="18"/>
              </w:rPr>
            </w:pPr>
            <w:r w:rsidRPr="009709FE">
              <w:rPr>
                <w:b/>
                <w:sz w:val="18"/>
                <w:szCs w:val="18"/>
              </w:rPr>
              <w:t>Lake Cawndilla</w:t>
            </w:r>
            <w:r>
              <w:rPr>
                <w:sz w:val="18"/>
                <w:szCs w:val="18"/>
              </w:rPr>
              <w:t>: 50 GL (1.5 m, 53.8 m AHD)</w:t>
            </w:r>
          </w:p>
          <w:p w14:paraId="38719B84" w14:textId="77777777" w:rsidR="00AA0841" w:rsidRDefault="00AA0841" w:rsidP="00AA0841">
            <w:pPr>
              <w:rPr>
                <w:sz w:val="18"/>
                <w:szCs w:val="18"/>
              </w:rPr>
            </w:pPr>
            <w:r>
              <w:rPr>
                <w:sz w:val="18"/>
                <w:szCs w:val="18"/>
              </w:rPr>
              <w:t xml:space="preserve">Timing: anytime of year, filling to be triggered by upstream flows in the Barwon-Darling River system </w:t>
            </w:r>
          </w:p>
          <w:p w14:paraId="7967DEE2" w14:textId="77777777" w:rsidR="00AA0841" w:rsidRPr="00D73511" w:rsidRDefault="00AA0841" w:rsidP="00AA0841">
            <w:pPr>
              <w:rPr>
                <w:sz w:val="18"/>
                <w:szCs w:val="18"/>
              </w:rPr>
            </w:pPr>
            <w:r>
              <w:rPr>
                <w:sz w:val="18"/>
                <w:szCs w:val="18"/>
              </w:rPr>
              <w:t>Min duration: 3-5 months</w:t>
            </w:r>
            <w:r>
              <w:rPr>
                <w:sz w:val="18"/>
                <w:szCs w:val="18"/>
              </w:rPr>
              <w:tab/>
              <w:t>Max duration: 3 years</w:t>
            </w:r>
          </w:p>
        </w:tc>
        <w:tc>
          <w:tcPr>
            <w:tcW w:w="484" w:type="pct"/>
            <w:tcBorders>
              <w:top w:val="single" w:sz="8" w:space="0" w:color="auto"/>
              <w:left w:val="single" w:sz="4" w:space="0" w:color="auto"/>
              <w:bottom w:val="single" w:sz="4" w:space="0" w:color="auto"/>
              <w:right w:val="single" w:sz="4" w:space="0" w:color="auto"/>
            </w:tcBorders>
            <w:vAlign w:val="center"/>
          </w:tcPr>
          <w:p w14:paraId="20DE6C54" w14:textId="77777777" w:rsidR="00AA0841" w:rsidRDefault="00AA0841" w:rsidP="00AA0841">
            <w:pPr>
              <w:jc w:val="center"/>
              <w:rPr>
                <w:sz w:val="18"/>
                <w:szCs w:val="18"/>
              </w:rPr>
            </w:pPr>
            <w:r>
              <w:rPr>
                <w:sz w:val="18"/>
                <w:szCs w:val="18"/>
              </w:rPr>
              <w:t>6-8 years in 10</w:t>
            </w:r>
          </w:p>
          <w:p w14:paraId="0FEE9F78" w14:textId="77777777" w:rsidR="00AA0841" w:rsidRDefault="00AA0841" w:rsidP="00AA0841">
            <w:pPr>
              <w:jc w:val="center"/>
              <w:rPr>
                <w:sz w:val="18"/>
                <w:szCs w:val="18"/>
              </w:rPr>
            </w:pPr>
            <w:r>
              <w:rPr>
                <w:sz w:val="18"/>
                <w:szCs w:val="18"/>
              </w:rPr>
              <w:t>(Menindee: 2 years, very important to have a refill event before it dries again)</w:t>
            </w:r>
          </w:p>
          <w:p w14:paraId="506886F9" w14:textId="77777777" w:rsidR="00AA0841" w:rsidRPr="00D73511" w:rsidRDefault="00AA0841" w:rsidP="00AA0841">
            <w:pPr>
              <w:jc w:val="center"/>
              <w:rPr>
                <w:sz w:val="18"/>
                <w:szCs w:val="18"/>
              </w:rPr>
            </w:pPr>
            <w:r>
              <w:rPr>
                <w:sz w:val="18"/>
                <w:szCs w:val="18"/>
              </w:rPr>
              <w:t>(Cawndilla: 3 years)</w:t>
            </w:r>
          </w:p>
        </w:tc>
        <w:tc>
          <w:tcPr>
            <w:tcW w:w="1065" w:type="pct"/>
            <w:vMerge w:val="restart"/>
            <w:tcBorders>
              <w:top w:val="single" w:sz="8" w:space="0" w:color="auto"/>
              <w:left w:val="single" w:sz="4" w:space="0" w:color="auto"/>
              <w:right w:val="single" w:sz="4" w:space="0" w:color="auto"/>
            </w:tcBorders>
            <w:vAlign w:val="center"/>
          </w:tcPr>
          <w:p w14:paraId="550EEA21" w14:textId="77777777" w:rsidR="00AA0841" w:rsidRPr="00B75056" w:rsidRDefault="00AA0841" w:rsidP="00AA0841">
            <w:pPr>
              <w:pStyle w:val="CommentText"/>
              <w:rPr>
                <w:sz w:val="18"/>
                <w:szCs w:val="18"/>
              </w:rPr>
            </w:pPr>
            <w:r w:rsidRPr="00B75056">
              <w:rPr>
                <w:sz w:val="18"/>
                <w:szCs w:val="18"/>
              </w:rPr>
              <w:t xml:space="preserve">The lakes </w:t>
            </w:r>
            <w:r>
              <w:rPr>
                <w:sz w:val="18"/>
                <w:szCs w:val="18"/>
              </w:rPr>
              <w:t xml:space="preserve">last </w:t>
            </w:r>
            <w:r w:rsidRPr="00B75056">
              <w:rPr>
                <w:sz w:val="18"/>
                <w:szCs w:val="18"/>
              </w:rPr>
              <w:t xml:space="preserve">refilled </w:t>
            </w:r>
            <w:r>
              <w:rPr>
                <w:sz w:val="18"/>
                <w:szCs w:val="18"/>
              </w:rPr>
              <w:t xml:space="preserve">in </w:t>
            </w:r>
            <w:r w:rsidRPr="00B75056">
              <w:rPr>
                <w:sz w:val="18"/>
                <w:szCs w:val="18"/>
              </w:rPr>
              <w:t>2016-17 (total storage ~1</w:t>
            </w:r>
            <w:r>
              <w:rPr>
                <w:sz w:val="18"/>
                <w:szCs w:val="18"/>
              </w:rPr>
              <w:t xml:space="preserve"> </w:t>
            </w:r>
            <w:r w:rsidRPr="00B75056">
              <w:rPr>
                <w:sz w:val="18"/>
                <w:szCs w:val="18"/>
              </w:rPr>
              <w:t>730 GL</w:t>
            </w:r>
            <w:r>
              <w:rPr>
                <w:sz w:val="18"/>
                <w:szCs w:val="18"/>
              </w:rPr>
              <w:t>).</w:t>
            </w:r>
            <w:r w:rsidRPr="00B75056">
              <w:rPr>
                <w:sz w:val="18"/>
                <w:szCs w:val="18"/>
              </w:rPr>
              <w:t xml:space="preserve"> </w:t>
            </w:r>
            <w:r>
              <w:rPr>
                <w:sz w:val="18"/>
                <w:szCs w:val="18"/>
              </w:rPr>
              <w:t>F</w:t>
            </w:r>
            <w:r w:rsidRPr="00B75056">
              <w:rPr>
                <w:sz w:val="18"/>
                <w:szCs w:val="18"/>
              </w:rPr>
              <w:t xml:space="preserve">orecast storage in 2020 </w:t>
            </w:r>
            <w:r>
              <w:rPr>
                <w:sz w:val="18"/>
                <w:szCs w:val="18"/>
              </w:rPr>
              <w:t xml:space="preserve">is </w:t>
            </w:r>
            <w:r w:rsidRPr="00B75056">
              <w:rPr>
                <w:sz w:val="18"/>
                <w:szCs w:val="18"/>
              </w:rPr>
              <w:t>~580</w:t>
            </w:r>
            <w:r>
              <w:rPr>
                <w:sz w:val="18"/>
                <w:szCs w:val="18"/>
              </w:rPr>
              <w:t xml:space="preserve"> </w:t>
            </w:r>
            <w:r w:rsidRPr="00B75056">
              <w:rPr>
                <w:sz w:val="18"/>
                <w:szCs w:val="18"/>
              </w:rPr>
              <w:t xml:space="preserve">GL </w:t>
            </w:r>
            <w:r>
              <w:rPr>
                <w:sz w:val="18"/>
                <w:szCs w:val="18"/>
              </w:rPr>
              <w:t>(</w:t>
            </w:r>
            <w:r w:rsidRPr="00B75056">
              <w:rPr>
                <w:sz w:val="18"/>
                <w:szCs w:val="18"/>
              </w:rPr>
              <w:t>i.e. &lt;</w:t>
            </w:r>
            <w:r>
              <w:rPr>
                <w:sz w:val="18"/>
                <w:szCs w:val="18"/>
              </w:rPr>
              <w:t> </w:t>
            </w:r>
            <w:r w:rsidRPr="00B75056">
              <w:rPr>
                <w:sz w:val="18"/>
                <w:szCs w:val="18"/>
              </w:rPr>
              <w:t>35%)</w:t>
            </w:r>
            <w:r>
              <w:rPr>
                <w:sz w:val="18"/>
                <w:szCs w:val="18"/>
              </w:rPr>
              <w:t>.</w:t>
            </w:r>
            <w:r w:rsidRPr="00B75056">
              <w:rPr>
                <w:sz w:val="18"/>
                <w:szCs w:val="18"/>
              </w:rPr>
              <w:t xml:space="preserve"> </w:t>
            </w:r>
          </w:p>
          <w:p w14:paraId="3838CE81" w14:textId="77777777" w:rsidR="00AA0841" w:rsidRPr="00A97A16" w:rsidRDefault="00AA0841" w:rsidP="00AA0841">
            <w:pPr>
              <w:rPr>
                <w:sz w:val="18"/>
                <w:szCs w:val="18"/>
              </w:rPr>
            </w:pPr>
          </w:p>
        </w:tc>
        <w:tc>
          <w:tcPr>
            <w:tcW w:w="452" w:type="pct"/>
            <w:tcBorders>
              <w:top w:val="single" w:sz="12" w:space="0" w:color="000000"/>
              <w:left w:val="single" w:sz="4" w:space="0" w:color="auto"/>
              <w:bottom w:val="single" w:sz="4" w:space="0" w:color="auto"/>
              <w:right w:val="single" w:sz="4" w:space="0" w:color="auto"/>
            </w:tcBorders>
            <w:shd w:val="clear" w:color="auto" w:fill="C00000"/>
            <w:vAlign w:val="center"/>
          </w:tcPr>
          <w:p w14:paraId="7656EE85" w14:textId="77777777" w:rsidR="00AA0841" w:rsidRPr="00773E04" w:rsidRDefault="00AA0841" w:rsidP="00AA0841">
            <w:pPr>
              <w:jc w:val="center"/>
              <w:rPr>
                <w:color w:val="auto"/>
                <w:sz w:val="18"/>
                <w:szCs w:val="18"/>
              </w:rPr>
            </w:pPr>
            <w:r w:rsidRPr="00773E04">
              <w:rPr>
                <w:color w:val="auto"/>
                <w:sz w:val="18"/>
                <w:szCs w:val="18"/>
              </w:rPr>
              <w:t>Critical</w:t>
            </w:r>
          </w:p>
        </w:tc>
        <w:tc>
          <w:tcPr>
            <w:tcW w:w="968" w:type="pct"/>
            <w:vMerge w:val="restart"/>
            <w:tcBorders>
              <w:top w:val="single" w:sz="8" w:space="0" w:color="auto"/>
              <w:left w:val="single" w:sz="4" w:space="0" w:color="auto"/>
              <w:right w:val="single" w:sz="4" w:space="0" w:color="auto"/>
            </w:tcBorders>
            <w:shd w:val="clear" w:color="auto" w:fill="A6A6A6" w:themeFill="background1" w:themeFillShade="A6"/>
            <w:vAlign w:val="center"/>
          </w:tcPr>
          <w:p w14:paraId="00096559" w14:textId="77777777" w:rsidR="00AA0841" w:rsidRPr="00773E04" w:rsidRDefault="00AA0841" w:rsidP="00AA0841">
            <w:pPr>
              <w:jc w:val="center"/>
              <w:rPr>
                <w:color w:val="auto"/>
                <w:sz w:val="18"/>
                <w:szCs w:val="18"/>
              </w:rPr>
            </w:pPr>
            <w:r w:rsidRPr="00773E04">
              <w:rPr>
                <w:color w:val="auto"/>
                <w:sz w:val="18"/>
                <w:szCs w:val="18"/>
              </w:rPr>
              <w:t>Lake levels primarily rely on upstream inflows and larger natural events. Commonwealth environmental water deliveries will consider environmental needs in both the Lakes and lower Darling River system and will look to where the most effective use of available environmental water.</w:t>
            </w:r>
          </w:p>
        </w:tc>
        <w:tc>
          <w:tcPr>
            <w:tcW w:w="515" w:type="pct"/>
            <w:tcBorders>
              <w:top w:val="single" w:sz="8" w:space="0" w:color="auto"/>
              <w:left w:val="single" w:sz="4" w:space="0" w:color="auto"/>
              <w:right w:val="single" w:sz="12" w:space="0" w:color="auto"/>
            </w:tcBorders>
            <w:shd w:val="clear" w:color="auto" w:fill="C00000"/>
            <w:vAlign w:val="center"/>
          </w:tcPr>
          <w:p w14:paraId="0381B2B8" w14:textId="77777777" w:rsidR="00AA0841" w:rsidRPr="00773E04" w:rsidRDefault="00AA0841" w:rsidP="00AA0841">
            <w:pPr>
              <w:jc w:val="center"/>
              <w:rPr>
                <w:color w:val="auto"/>
                <w:sz w:val="18"/>
                <w:szCs w:val="18"/>
              </w:rPr>
            </w:pPr>
            <w:r w:rsidRPr="00773E04">
              <w:rPr>
                <w:color w:val="auto"/>
                <w:sz w:val="18"/>
                <w:szCs w:val="18"/>
              </w:rPr>
              <w:t>Critical</w:t>
            </w:r>
          </w:p>
        </w:tc>
      </w:tr>
      <w:tr w:rsidR="00AA0841" w:rsidRPr="00773E04" w14:paraId="07AB1222" w14:textId="77777777" w:rsidTr="00AA0841">
        <w:trPr>
          <w:trHeight w:val="1672"/>
        </w:trPr>
        <w:tc>
          <w:tcPr>
            <w:tcW w:w="580" w:type="pct"/>
            <w:vMerge/>
            <w:tcBorders>
              <w:left w:val="single" w:sz="12" w:space="0" w:color="auto"/>
              <w:right w:val="single" w:sz="4" w:space="0" w:color="auto"/>
            </w:tcBorders>
          </w:tcPr>
          <w:p w14:paraId="43576DDE" w14:textId="77777777" w:rsidR="00AA0841" w:rsidRDefault="00AA0841" w:rsidP="00AA0841">
            <w:pPr>
              <w:rPr>
                <w:b/>
                <w:sz w:val="18"/>
                <w:szCs w:val="18"/>
              </w:rPr>
            </w:pPr>
          </w:p>
        </w:tc>
        <w:tc>
          <w:tcPr>
            <w:tcW w:w="936" w:type="pct"/>
            <w:tcBorders>
              <w:top w:val="single" w:sz="8" w:space="0" w:color="auto"/>
              <w:left w:val="single" w:sz="4" w:space="0" w:color="auto"/>
              <w:bottom w:val="single" w:sz="4" w:space="0" w:color="auto"/>
              <w:right w:val="single" w:sz="4" w:space="0" w:color="auto"/>
            </w:tcBorders>
            <w:vAlign w:val="center"/>
          </w:tcPr>
          <w:p w14:paraId="0C1EA429" w14:textId="77777777" w:rsidR="00AA0841" w:rsidRDefault="00AA0841" w:rsidP="00AA0841">
            <w:pPr>
              <w:rPr>
                <w:sz w:val="18"/>
                <w:szCs w:val="18"/>
              </w:rPr>
            </w:pPr>
            <w:r w:rsidRPr="009709FE">
              <w:rPr>
                <w:b/>
                <w:sz w:val="18"/>
                <w:szCs w:val="18"/>
              </w:rPr>
              <w:t>Lake Menindee</w:t>
            </w:r>
            <w:r>
              <w:rPr>
                <w:sz w:val="18"/>
                <w:szCs w:val="18"/>
              </w:rPr>
              <w:t>: 116 GL (1.8 m, 56.5 m AHD)</w:t>
            </w:r>
          </w:p>
          <w:p w14:paraId="0E8C6974" w14:textId="77777777" w:rsidR="00AA0841" w:rsidRDefault="00AA0841" w:rsidP="00AA0841">
            <w:pPr>
              <w:rPr>
                <w:sz w:val="18"/>
                <w:szCs w:val="18"/>
              </w:rPr>
            </w:pPr>
            <w:r w:rsidRPr="009709FE">
              <w:rPr>
                <w:b/>
                <w:sz w:val="18"/>
                <w:szCs w:val="18"/>
              </w:rPr>
              <w:t>Lake Cawndilla</w:t>
            </w:r>
            <w:r>
              <w:rPr>
                <w:sz w:val="18"/>
                <w:szCs w:val="18"/>
              </w:rPr>
              <w:t>: 84 GL (2.2 m, 54.5 m AHD)</w:t>
            </w:r>
          </w:p>
          <w:p w14:paraId="3BB62F3A" w14:textId="77777777" w:rsidR="00AA0841" w:rsidRDefault="00AA0841" w:rsidP="00AA0841">
            <w:pPr>
              <w:rPr>
                <w:sz w:val="18"/>
                <w:szCs w:val="18"/>
              </w:rPr>
            </w:pPr>
            <w:r>
              <w:rPr>
                <w:sz w:val="18"/>
                <w:szCs w:val="18"/>
              </w:rPr>
              <w:t xml:space="preserve">Timing: anytime of year, filling to be triggered by upstream flows in the Barwon-Darling River system </w:t>
            </w:r>
          </w:p>
          <w:p w14:paraId="573EA4BA" w14:textId="77777777" w:rsidR="00AA0841" w:rsidRPr="00D73511" w:rsidRDefault="00AA0841" w:rsidP="00AA0841">
            <w:pPr>
              <w:rPr>
                <w:sz w:val="18"/>
                <w:szCs w:val="18"/>
              </w:rPr>
            </w:pPr>
            <w:r>
              <w:rPr>
                <w:sz w:val="18"/>
                <w:szCs w:val="18"/>
              </w:rPr>
              <w:t>Min duration: 3-5 months</w:t>
            </w:r>
            <w:r>
              <w:rPr>
                <w:sz w:val="18"/>
                <w:szCs w:val="18"/>
              </w:rPr>
              <w:tab/>
              <w:t>Max duration: 1-2 years</w:t>
            </w:r>
          </w:p>
        </w:tc>
        <w:tc>
          <w:tcPr>
            <w:tcW w:w="484" w:type="pct"/>
            <w:tcBorders>
              <w:top w:val="single" w:sz="8" w:space="0" w:color="auto"/>
              <w:left w:val="single" w:sz="4" w:space="0" w:color="auto"/>
              <w:bottom w:val="single" w:sz="4" w:space="0" w:color="auto"/>
              <w:right w:val="single" w:sz="4" w:space="0" w:color="auto"/>
            </w:tcBorders>
            <w:vAlign w:val="center"/>
          </w:tcPr>
          <w:p w14:paraId="1942598D" w14:textId="77777777" w:rsidR="00AA0841" w:rsidRPr="00D73511" w:rsidRDefault="00AA0841" w:rsidP="00AA0841">
            <w:pPr>
              <w:rPr>
                <w:sz w:val="18"/>
                <w:szCs w:val="18"/>
              </w:rPr>
            </w:pPr>
            <w:r>
              <w:rPr>
                <w:sz w:val="18"/>
                <w:szCs w:val="18"/>
              </w:rPr>
              <w:t>3-5 years in 10 (4 years)</w:t>
            </w:r>
          </w:p>
        </w:tc>
        <w:tc>
          <w:tcPr>
            <w:tcW w:w="1065" w:type="pct"/>
            <w:vMerge/>
            <w:tcBorders>
              <w:left w:val="single" w:sz="4" w:space="0" w:color="auto"/>
              <w:right w:val="single" w:sz="4" w:space="0" w:color="auto"/>
            </w:tcBorders>
            <w:vAlign w:val="center"/>
          </w:tcPr>
          <w:p w14:paraId="217231DE" w14:textId="77777777" w:rsidR="00AA0841" w:rsidRPr="00D73511" w:rsidRDefault="00AA0841" w:rsidP="00AA0841">
            <w:pPr>
              <w:rPr>
                <w:sz w:val="18"/>
                <w:szCs w:val="18"/>
              </w:rPr>
            </w:pPr>
          </w:p>
        </w:tc>
        <w:tc>
          <w:tcPr>
            <w:tcW w:w="452" w:type="pct"/>
            <w:tcBorders>
              <w:top w:val="single" w:sz="4" w:space="0" w:color="auto"/>
              <w:left w:val="single" w:sz="4" w:space="0" w:color="auto"/>
              <w:bottom w:val="single" w:sz="4" w:space="0" w:color="000000"/>
              <w:right w:val="single" w:sz="4" w:space="0" w:color="auto"/>
            </w:tcBorders>
            <w:shd w:val="clear" w:color="auto" w:fill="FFC000"/>
            <w:vAlign w:val="center"/>
          </w:tcPr>
          <w:p w14:paraId="34EFDB9B" w14:textId="77777777" w:rsidR="00AA0841" w:rsidRPr="00773E04" w:rsidRDefault="00AA0841" w:rsidP="00AA0841">
            <w:pPr>
              <w:jc w:val="center"/>
              <w:rPr>
                <w:color w:val="auto"/>
                <w:sz w:val="18"/>
                <w:szCs w:val="18"/>
              </w:rPr>
            </w:pPr>
            <w:r w:rsidRPr="00773E04">
              <w:rPr>
                <w:color w:val="auto"/>
                <w:sz w:val="18"/>
                <w:szCs w:val="18"/>
              </w:rPr>
              <w:t>Moderate</w:t>
            </w:r>
          </w:p>
        </w:tc>
        <w:tc>
          <w:tcPr>
            <w:tcW w:w="968" w:type="pct"/>
            <w:vMerge/>
            <w:tcBorders>
              <w:left w:val="single" w:sz="4" w:space="0" w:color="auto"/>
              <w:right w:val="single" w:sz="4" w:space="0" w:color="auto"/>
            </w:tcBorders>
            <w:shd w:val="clear" w:color="auto" w:fill="A6A6A6" w:themeFill="background1" w:themeFillShade="A6"/>
            <w:vAlign w:val="center"/>
          </w:tcPr>
          <w:p w14:paraId="70C8877F" w14:textId="77777777" w:rsidR="00AA0841" w:rsidRPr="00773E04" w:rsidRDefault="00AA0841" w:rsidP="00AA0841">
            <w:pPr>
              <w:jc w:val="center"/>
              <w:rPr>
                <w:color w:val="auto"/>
                <w:sz w:val="18"/>
                <w:szCs w:val="18"/>
              </w:rPr>
            </w:pPr>
          </w:p>
        </w:tc>
        <w:tc>
          <w:tcPr>
            <w:tcW w:w="515" w:type="pct"/>
            <w:tcBorders>
              <w:top w:val="single" w:sz="8" w:space="0" w:color="auto"/>
              <w:left w:val="single" w:sz="4" w:space="0" w:color="auto"/>
              <w:right w:val="single" w:sz="12" w:space="0" w:color="auto"/>
            </w:tcBorders>
            <w:shd w:val="clear" w:color="auto" w:fill="FFC000"/>
            <w:vAlign w:val="center"/>
          </w:tcPr>
          <w:p w14:paraId="58030A32" w14:textId="77777777" w:rsidR="00AA0841" w:rsidRPr="00773E04" w:rsidRDefault="00AA0841" w:rsidP="00AA0841">
            <w:pPr>
              <w:jc w:val="center"/>
              <w:rPr>
                <w:color w:val="auto"/>
                <w:sz w:val="18"/>
                <w:szCs w:val="18"/>
              </w:rPr>
            </w:pPr>
            <w:r w:rsidRPr="00773E04">
              <w:rPr>
                <w:color w:val="auto"/>
                <w:sz w:val="18"/>
                <w:szCs w:val="18"/>
              </w:rPr>
              <w:t>Moderate</w:t>
            </w:r>
          </w:p>
        </w:tc>
      </w:tr>
      <w:tr w:rsidR="00AA0841" w:rsidRPr="00773E04" w14:paraId="2581C0A9" w14:textId="77777777" w:rsidTr="00AA0841">
        <w:trPr>
          <w:trHeight w:val="1206"/>
        </w:trPr>
        <w:tc>
          <w:tcPr>
            <w:tcW w:w="580" w:type="pct"/>
            <w:vMerge/>
            <w:tcBorders>
              <w:left w:val="single" w:sz="12" w:space="0" w:color="auto"/>
              <w:bottom w:val="single" w:sz="12" w:space="0" w:color="auto"/>
              <w:right w:val="single" w:sz="4" w:space="0" w:color="auto"/>
            </w:tcBorders>
          </w:tcPr>
          <w:p w14:paraId="48E36064" w14:textId="77777777" w:rsidR="00AA0841" w:rsidRDefault="00AA0841" w:rsidP="00AA0841">
            <w:pPr>
              <w:rPr>
                <w:b/>
                <w:sz w:val="18"/>
                <w:szCs w:val="18"/>
              </w:rPr>
            </w:pPr>
          </w:p>
        </w:tc>
        <w:tc>
          <w:tcPr>
            <w:tcW w:w="936" w:type="pct"/>
            <w:tcBorders>
              <w:top w:val="single" w:sz="8" w:space="0" w:color="auto"/>
              <w:left w:val="single" w:sz="4" w:space="0" w:color="auto"/>
              <w:bottom w:val="single" w:sz="12" w:space="0" w:color="auto"/>
              <w:right w:val="single" w:sz="4" w:space="0" w:color="auto"/>
            </w:tcBorders>
            <w:vAlign w:val="center"/>
          </w:tcPr>
          <w:p w14:paraId="55F5C574" w14:textId="77777777" w:rsidR="00AA0841" w:rsidRDefault="00AA0841" w:rsidP="00AA0841">
            <w:pPr>
              <w:rPr>
                <w:sz w:val="18"/>
                <w:szCs w:val="18"/>
              </w:rPr>
            </w:pPr>
            <w:r w:rsidRPr="009709FE">
              <w:rPr>
                <w:b/>
                <w:sz w:val="18"/>
                <w:szCs w:val="18"/>
              </w:rPr>
              <w:t>Lake Menindee</w:t>
            </w:r>
            <w:r>
              <w:rPr>
                <w:sz w:val="18"/>
                <w:szCs w:val="18"/>
              </w:rPr>
              <w:t>: 57.5 m AHD</w:t>
            </w:r>
          </w:p>
          <w:p w14:paraId="50A4C6E9" w14:textId="77777777" w:rsidR="00AA0841" w:rsidRDefault="00AA0841" w:rsidP="00AA0841">
            <w:pPr>
              <w:rPr>
                <w:sz w:val="18"/>
                <w:szCs w:val="18"/>
              </w:rPr>
            </w:pPr>
            <w:r w:rsidRPr="009709FE">
              <w:rPr>
                <w:b/>
                <w:sz w:val="18"/>
                <w:szCs w:val="18"/>
              </w:rPr>
              <w:t>Lake Cawndilla</w:t>
            </w:r>
            <w:r>
              <w:rPr>
                <w:sz w:val="18"/>
                <w:szCs w:val="18"/>
              </w:rPr>
              <w:t>: 57.5 m AHD</w:t>
            </w:r>
          </w:p>
          <w:p w14:paraId="5C6FB554" w14:textId="77777777" w:rsidR="00AA0841" w:rsidRDefault="00AA0841" w:rsidP="00AA0841">
            <w:pPr>
              <w:rPr>
                <w:sz w:val="18"/>
                <w:szCs w:val="18"/>
              </w:rPr>
            </w:pPr>
            <w:r>
              <w:rPr>
                <w:sz w:val="18"/>
                <w:szCs w:val="18"/>
              </w:rPr>
              <w:t xml:space="preserve">Timing: anytime of year, filling to be triggered by upstream flows in the Barwon-Darling River system </w:t>
            </w:r>
          </w:p>
          <w:p w14:paraId="448C4BCE" w14:textId="77777777" w:rsidR="00AA0841" w:rsidRPr="00D73511" w:rsidRDefault="00AA0841" w:rsidP="00AA0841">
            <w:pPr>
              <w:rPr>
                <w:sz w:val="18"/>
                <w:szCs w:val="18"/>
              </w:rPr>
            </w:pPr>
            <w:r>
              <w:rPr>
                <w:sz w:val="18"/>
                <w:szCs w:val="18"/>
              </w:rPr>
              <w:t>Min duration: 3-5 months</w:t>
            </w:r>
            <w:r>
              <w:rPr>
                <w:sz w:val="18"/>
                <w:szCs w:val="18"/>
              </w:rPr>
              <w:tab/>
              <w:t>Max duration: 1 year</w:t>
            </w:r>
          </w:p>
        </w:tc>
        <w:tc>
          <w:tcPr>
            <w:tcW w:w="484" w:type="pct"/>
            <w:tcBorders>
              <w:top w:val="single" w:sz="8" w:space="0" w:color="auto"/>
              <w:left w:val="single" w:sz="4" w:space="0" w:color="auto"/>
              <w:bottom w:val="single" w:sz="12" w:space="0" w:color="auto"/>
              <w:right w:val="single" w:sz="4" w:space="0" w:color="auto"/>
            </w:tcBorders>
            <w:vAlign w:val="center"/>
          </w:tcPr>
          <w:p w14:paraId="5544F414" w14:textId="77777777" w:rsidR="00AA0841" w:rsidRPr="00D73511" w:rsidRDefault="00AA0841" w:rsidP="00AA0841">
            <w:pPr>
              <w:rPr>
                <w:sz w:val="18"/>
                <w:szCs w:val="18"/>
              </w:rPr>
            </w:pPr>
            <w:r>
              <w:rPr>
                <w:sz w:val="18"/>
                <w:szCs w:val="18"/>
              </w:rPr>
              <w:t>1.5 year in 10 (8 years)</w:t>
            </w:r>
          </w:p>
        </w:tc>
        <w:tc>
          <w:tcPr>
            <w:tcW w:w="1065" w:type="pct"/>
            <w:vMerge/>
            <w:tcBorders>
              <w:left w:val="single" w:sz="4" w:space="0" w:color="auto"/>
              <w:bottom w:val="single" w:sz="12" w:space="0" w:color="auto"/>
              <w:right w:val="single" w:sz="4" w:space="0" w:color="auto"/>
            </w:tcBorders>
            <w:vAlign w:val="center"/>
          </w:tcPr>
          <w:p w14:paraId="51547FBA" w14:textId="77777777" w:rsidR="00AA0841" w:rsidRPr="00D73511" w:rsidRDefault="00AA0841" w:rsidP="00AA0841">
            <w:pPr>
              <w:rPr>
                <w:sz w:val="18"/>
                <w:szCs w:val="18"/>
              </w:rPr>
            </w:pPr>
          </w:p>
        </w:tc>
        <w:tc>
          <w:tcPr>
            <w:tcW w:w="452" w:type="pct"/>
            <w:tcBorders>
              <w:top w:val="single" w:sz="4" w:space="0" w:color="000000"/>
              <w:left w:val="single" w:sz="4" w:space="0" w:color="auto"/>
              <w:bottom w:val="single" w:sz="12" w:space="0" w:color="auto"/>
              <w:right w:val="single" w:sz="4" w:space="0" w:color="auto"/>
            </w:tcBorders>
            <w:shd w:val="clear" w:color="auto" w:fill="FFC000"/>
            <w:vAlign w:val="center"/>
          </w:tcPr>
          <w:p w14:paraId="31B4E1F5" w14:textId="77777777" w:rsidR="00AA0841" w:rsidRPr="00773E04" w:rsidRDefault="00AA0841" w:rsidP="00AA0841">
            <w:pPr>
              <w:jc w:val="center"/>
              <w:rPr>
                <w:color w:val="auto"/>
                <w:sz w:val="18"/>
                <w:szCs w:val="18"/>
              </w:rPr>
            </w:pPr>
            <w:r w:rsidRPr="00773E04">
              <w:rPr>
                <w:color w:val="auto"/>
                <w:sz w:val="18"/>
                <w:szCs w:val="18"/>
              </w:rPr>
              <w:t>Moderate</w:t>
            </w:r>
          </w:p>
        </w:tc>
        <w:tc>
          <w:tcPr>
            <w:tcW w:w="968" w:type="pct"/>
            <w:vMerge/>
            <w:tcBorders>
              <w:left w:val="single" w:sz="4" w:space="0" w:color="auto"/>
              <w:bottom w:val="single" w:sz="12" w:space="0" w:color="auto"/>
              <w:right w:val="single" w:sz="4" w:space="0" w:color="auto"/>
            </w:tcBorders>
            <w:shd w:val="clear" w:color="auto" w:fill="A6A6A6" w:themeFill="background1" w:themeFillShade="A6"/>
            <w:vAlign w:val="center"/>
          </w:tcPr>
          <w:p w14:paraId="034D3040" w14:textId="77777777" w:rsidR="00AA0841" w:rsidRPr="00773E04" w:rsidRDefault="00AA0841" w:rsidP="00AA0841">
            <w:pPr>
              <w:jc w:val="center"/>
              <w:rPr>
                <w:color w:val="auto"/>
                <w:sz w:val="18"/>
                <w:szCs w:val="18"/>
              </w:rPr>
            </w:pPr>
          </w:p>
        </w:tc>
        <w:tc>
          <w:tcPr>
            <w:tcW w:w="515" w:type="pct"/>
            <w:tcBorders>
              <w:top w:val="single" w:sz="8" w:space="0" w:color="auto"/>
              <w:left w:val="single" w:sz="4" w:space="0" w:color="auto"/>
              <w:bottom w:val="single" w:sz="12" w:space="0" w:color="auto"/>
              <w:right w:val="single" w:sz="12" w:space="0" w:color="auto"/>
            </w:tcBorders>
            <w:shd w:val="clear" w:color="auto" w:fill="FFC000"/>
            <w:vAlign w:val="center"/>
          </w:tcPr>
          <w:p w14:paraId="4340BC39" w14:textId="77777777" w:rsidR="00AA0841" w:rsidRPr="00773E04" w:rsidRDefault="00AA0841" w:rsidP="00AA0841">
            <w:pPr>
              <w:jc w:val="center"/>
              <w:rPr>
                <w:color w:val="auto"/>
                <w:sz w:val="18"/>
                <w:szCs w:val="18"/>
              </w:rPr>
            </w:pPr>
            <w:r w:rsidRPr="00773E04">
              <w:rPr>
                <w:color w:val="auto"/>
                <w:sz w:val="18"/>
                <w:szCs w:val="18"/>
              </w:rPr>
              <w:t>Moderate</w:t>
            </w:r>
          </w:p>
        </w:tc>
      </w:tr>
      <w:tr w:rsidR="00AA0841" w:rsidRPr="00773E04" w14:paraId="019A0D4B" w14:textId="77777777" w:rsidTr="00AA0841">
        <w:trPr>
          <w:trHeight w:val="1206"/>
        </w:trPr>
        <w:tc>
          <w:tcPr>
            <w:tcW w:w="580" w:type="pct"/>
            <w:vMerge w:val="restart"/>
            <w:tcBorders>
              <w:top w:val="single" w:sz="12" w:space="0" w:color="auto"/>
              <w:left w:val="single" w:sz="12" w:space="0" w:color="auto"/>
              <w:right w:val="single" w:sz="4" w:space="0" w:color="auto"/>
            </w:tcBorders>
            <w:hideMark/>
          </w:tcPr>
          <w:p w14:paraId="7DC8D7BA" w14:textId="77777777" w:rsidR="00AA0841" w:rsidRDefault="00AA0841" w:rsidP="00AA0841">
            <w:pPr>
              <w:rPr>
                <w:sz w:val="18"/>
                <w:szCs w:val="18"/>
              </w:rPr>
            </w:pPr>
            <w:r w:rsidRPr="00D73511">
              <w:rPr>
                <w:b/>
                <w:sz w:val="18"/>
                <w:szCs w:val="18"/>
              </w:rPr>
              <w:t>Lower Darling River</w:t>
            </w:r>
            <w:r w:rsidRPr="00D73511">
              <w:rPr>
                <w:b/>
                <w:sz w:val="18"/>
                <w:szCs w:val="18"/>
                <w:vertAlign w:val="superscript"/>
              </w:rPr>
              <w:t>1</w:t>
            </w:r>
            <w:r w:rsidRPr="00D73511">
              <w:rPr>
                <w:b/>
                <w:sz w:val="18"/>
                <w:szCs w:val="18"/>
              </w:rPr>
              <w:br/>
            </w:r>
            <w:r w:rsidRPr="00D73511">
              <w:rPr>
                <w:sz w:val="18"/>
                <w:szCs w:val="18"/>
              </w:rPr>
              <w:br/>
              <w:t>· Native fish</w:t>
            </w:r>
            <w:r>
              <w:rPr>
                <w:sz w:val="18"/>
                <w:szCs w:val="18"/>
              </w:rPr>
              <w:t xml:space="preserve">: spawning, nesting and recruitment (riverine specialists, generalists). </w:t>
            </w:r>
          </w:p>
          <w:p w14:paraId="1D08ED96" w14:textId="77777777" w:rsidR="00AA0841" w:rsidRDefault="00AA0841" w:rsidP="00AA0841">
            <w:pPr>
              <w:rPr>
                <w:sz w:val="18"/>
                <w:szCs w:val="18"/>
              </w:rPr>
            </w:pPr>
            <w:r w:rsidRPr="00D73511">
              <w:rPr>
                <w:sz w:val="18"/>
                <w:szCs w:val="18"/>
              </w:rPr>
              <w:t xml:space="preserve">· </w:t>
            </w:r>
            <w:r>
              <w:rPr>
                <w:sz w:val="18"/>
                <w:szCs w:val="18"/>
              </w:rPr>
              <w:t>Ecosystem functions: longitudinal connectivity, refuge habitat, small-scale productivity</w:t>
            </w:r>
          </w:p>
          <w:p w14:paraId="7A8F666F" w14:textId="77777777" w:rsidR="00AA0841" w:rsidRPr="00D73511" w:rsidRDefault="00AA0841" w:rsidP="00AA0841">
            <w:pPr>
              <w:rPr>
                <w:sz w:val="18"/>
                <w:szCs w:val="18"/>
              </w:rPr>
            </w:pPr>
          </w:p>
        </w:tc>
        <w:tc>
          <w:tcPr>
            <w:tcW w:w="936" w:type="pct"/>
            <w:tcBorders>
              <w:top w:val="single" w:sz="12" w:space="0" w:color="auto"/>
              <w:left w:val="single" w:sz="4" w:space="0" w:color="auto"/>
              <w:bottom w:val="single" w:sz="4" w:space="0" w:color="auto"/>
              <w:right w:val="single" w:sz="4" w:space="0" w:color="auto"/>
            </w:tcBorders>
            <w:vAlign w:val="center"/>
            <w:hideMark/>
          </w:tcPr>
          <w:p w14:paraId="6A59B372" w14:textId="77777777" w:rsidR="00AA0841" w:rsidRPr="00D73511" w:rsidRDefault="00AA0841" w:rsidP="00AA0841">
            <w:pPr>
              <w:rPr>
                <w:sz w:val="18"/>
                <w:szCs w:val="18"/>
              </w:rPr>
            </w:pPr>
            <w:r w:rsidRPr="00D73511">
              <w:rPr>
                <w:sz w:val="18"/>
                <w:szCs w:val="18"/>
              </w:rPr>
              <w:t>Elevated baseflows above minimum releases through to River Murray for water quality and fish habitat requirements (400 ML/d at Weir 32).</w:t>
            </w:r>
          </w:p>
        </w:tc>
        <w:tc>
          <w:tcPr>
            <w:tcW w:w="484" w:type="pct"/>
            <w:tcBorders>
              <w:top w:val="single" w:sz="12" w:space="0" w:color="auto"/>
              <w:left w:val="single" w:sz="4" w:space="0" w:color="auto"/>
              <w:bottom w:val="single" w:sz="4" w:space="0" w:color="auto"/>
              <w:right w:val="single" w:sz="4" w:space="0" w:color="auto"/>
            </w:tcBorders>
            <w:vAlign w:val="center"/>
            <w:hideMark/>
          </w:tcPr>
          <w:p w14:paraId="0E4617D3" w14:textId="77777777" w:rsidR="00AA0841" w:rsidRPr="00D73511" w:rsidRDefault="00AA0841" w:rsidP="00AA0841">
            <w:pPr>
              <w:rPr>
                <w:sz w:val="18"/>
                <w:szCs w:val="18"/>
              </w:rPr>
            </w:pPr>
            <w:r w:rsidRPr="00D73511">
              <w:rPr>
                <w:sz w:val="18"/>
                <w:szCs w:val="18"/>
              </w:rPr>
              <w:t>Continuous (if limited water, focus on baseflows during spring</w:t>
            </w:r>
            <w:r>
              <w:rPr>
                <w:sz w:val="18"/>
                <w:szCs w:val="18"/>
              </w:rPr>
              <w:t xml:space="preserve"> and </w:t>
            </w:r>
            <w:r w:rsidRPr="00D73511">
              <w:rPr>
                <w:sz w:val="18"/>
                <w:szCs w:val="18"/>
              </w:rPr>
              <w:t>summer).</w:t>
            </w:r>
          </w:p>
        </w:tc>
        <w:tc>
          <w:tcPr>
            <w:tcW w:w="1065" w:type="pct"/>
            <w:vMerge w:val="restart"/>
            <w:tcBorders>
              <w:top w:val="single" w:sz="12" w:space="0" w:color="auto"/>
              <w:left w:val="single" w:sz="4" w:space="0" w:color="auto"/>
              <w:right w:val="single" w:sz="4" w:space="0" w:color="auto"/>
            </w:tcBorders>
            <w:vAlign w:val="center"/>
            <w:hideMark/>
          </w:tcPr>
          <w:p w14:paraId="320CB359" w14:textId="77777777" w:rsidR="00AA0841" w:rsidRPr="00D73511" w:rsidRDefault="00AA0841" w:rsidP="00AA0841">
            <w:pPr>
              <w:rPr>
                <w:sz w:val="18"/>
                <w:szCs w:val="18"/>
              </w:rPr>
            </w:pPr>
            <w:r w:rsidRPr="00D73511">
              <w:rPr>
                <w:sz w:val="18"/>
                <w:szCs w:val="18"/>
              </w:rPr>
              <w:t xml:space="preserve">Very low and cease-to-flow conditions in 2014-15 and 2015-16. Small to moderate </w:t>
            </w:r>
            <w:r>
              <w:rPr>
                <w:sz w:val="18"/>
                <w:szCs w:val="18"/>
              </w:rPr>
              <w:t>spring</w:t>
            </w:r>
            <w:r w:rsidRPr="00D73511">
              <w:rPr>
                <w:sz w:val="18"/>
                <w:szCs w:val="18"/>
              </w:rPr>
              <w:t xml:space="preserve"> pulse </w:t>
            </w:r>
            <w:r>
              <w:rPr>
                <w:sz w:val="18"/>
                <w:szCs w:val="18"/>
              </w:rPr>
              <w:t xml:space="preserve">was </w:t>
            </w:r>
            <w:r w:rsidRPr="00D73511">
              <w:rPr>
                <w:sz w:val="18"/>
                <w:szCs w:val="18"/>
              </w:rPr>
              <w:t>achieved in 2016-17 and</w:t>
            </w:r>
            <w:r>
              <w:rPr>
                <w:sz w:val="18"/>
                <w:szCs w:val="18"/>
              </w:rPr>
              <w:t xml:space="preserve">, to a lesser extent, </w:t>
            </w:r>
            <w:r w:rsidRPr="00D73511">
              <w:rPr>
                <w:sz w:val="18"/>
                <w:szCs w:val="18"/>
              </w:rPr>
              <w:t xml:space="preserve">in 2017-18.  </w:t>
            </w:r>
            <w:r>
              <w:rPr>
                <w:sz w:val="18"/>
                <w:szCs w:val="18"/>
              </w:rPr>
              <w:t xml:space="preserve">Cease-to-flow conditions commenced in </w:t>
            </w:r>
            <w:r w:rsidRPr="00D73511">
              <w:rPr>
                <w:sz w:val="18"/>
                <w:szCs w:val="18"/>
              </w:rPr>
              <w:t>2018–19</w:t>
            </w:r>
            <w:r>
              <w:rPr>
                <w:sz w:val="18"/>
                <w:szCs w:val="18"/>
              </w:rPr>
              <w:t xml:space="preserve"> and persisted for most of 2019-20</w:t>
            </w:r>
            <w:r w:rsidRPr="00D73511">
              <w:rPr>
                <w:sz w:val="18"/>
                <w:szCs w:val="18"/>
              </w:rPr>
              <w:t>.</w:t>
            </w:r>
            <w:r>
              <w:rPr>
                <w:sz w:val="18"/>
                <w:szCs w:val="18"/>
              </w:rPr>
              <w:t xml:space="preserve">  Resumption of flows in late 2020 peaking at 3 500 ML for a few weeks in March and April 2020 with a return to baseflows of at least 200-400 ML/day expected for at least 12 months. </w:t>
            </w:r>
          </w:p>
        </w:tc>
        <w:tc>
          <w:tcPr>
            <w:tcW w:w="452" w:type="pct"/>
            <w:tcBorders>
              <w:top w:val="single" w:sz="12" w:space="0" w:color="auto"/>
              <w:left w:val="single" w:sz="4" w:space="0" w:color="auto"/>
              <w:bottom w:val="single" w:sz="4" w:space="0" w:color="auto"/>
              <w:right w:val="single" w:sz="4" w:space="0" w:color="auto"/>
            </w:tcBorders>
            <w:shd w:val="clear" w:color="auto" w:fill="C00000"/>
            <w:vAlign w:val="center"/>
            <w:hideMark/>
          </w:tcPr>
          <w:p w14:paraId="2C4931ED" w14:textId="77777777" w:rsidR="00AA0841" w:rsidRPr="00773E04" w:rsidRDefault="00AA0841" w:rsidP="00AA0841">
            <w:pPr>
              <w:jc w:val="center"/>
              <w:rPr>
                <w:color w:val="auto"/>
                <w:sz w:val="18"/>
                <w:szCs w:val="18"/>
              </w:rPr>
            </w:pPr>
            <w:r w:rsidRPr="00773E04">
              <w:rPr>
                <w:color w:val="auto"/>
                <w:sz w:val="18"/>
                <w:szCs w:val="18"/>
              </w:rPr>
              <w:t>Critical</w:t>
            </w:r>
          </w:p>
        </w:tc>
        <w:tc>
          <w:tcPr>
            <w:tcW w:w="968" w:type="pct"/>
            <w:tcBorders>
              <w:top w:val="single" w:sz="12" w:space="0" w:color="auto"/>
              <w:left w:val="single" w:sz="4" w:space="0" w:color="auto"/>
              <w:bottom w:val="single" w:sz="4" w:space="0" w:color="auto"/>
              <w:right w:val="single" w:sz="4" w:space="0" w:color="auto"/>
            </w:tcBorders>
            <w:shd w:val="clear" w:color="auto" w:fill="365F91" w:themeFill="accent1" w:themeFillShade="BF"/>
            <w:vAlign w:val="center"/>
            <w:hideMark/>
          </w:tcPr>
          <w:p w14:paraId="0F0D2DB6" w14:textId="77777777" w:rsidR="00AA0841" w:rsidRPr="00773E04" w:rsidRDefault="00AA0841" w:rsidP="00AA0841">
            <w:pPr>
              <w:jc w:val="center"/>
              <w:rPr>
                <w:color w:val="auto"/>
                <w:sz w:val="18"/>
                <w:szCs w:val="18"/>
              </w:rPr>
            </w:pPr>
            <w:r w:rsidRPr="00773E04">
              <w:rPr>
                <w:color w:val="auto"/>
                <w:sz w:val="18"/>
                <w:szCs w:val="18"/>
              </w:rPr>
              <w:t xml:space="preserve">A high priority for Commonwealth environmental watering 2020-21 (likely to receive water even under low water resource availability) </w:t>
            </w:r>
          </w:p>
        </w:tc>
        <w:tc>
          <w:tcPr>
            <w:tcW w:w="515" w:type="pct"/>
            <w:vMerge w:val="restart"/>
            <w:tcBorders>
              <w:top w:val="single" w:sz="12" w:space="0" w:color="auto"/>
              <w:left w:val="single" w:sz="4" w:space="0" w:color="auto"/>
              <w:right w:val="single" w:sz="12" w:space="0" w:color="auto"/>
            </w:tcBorders>
            <w:shd w:val="clear" w:color="auto" w:fill="FF0000"/>
            <w:vAlign w:val="center"/>
            <w:hideMark/>
          </w:tcPr>
          <w:p w14:paraId="079F6614" w14:textId="77777777" w:rsidR="00AA0841" w:rsidRPr="00773E04" w:rsidRDefault="00AA0841" w:rsidP="00AA0841">
            <w:pPr>
              <w:jc w:val="center"/>
              <w:rPr>
                <w:color w:val="auto"/>
                <w:sz w:val="18"/>
                <w:szCs w:val="18"/>
              </w:rPr>
            </w:pPr>
            <w:r w:rsidRPr="00773E04">
              <w:rPr>
                <w:color w:val="auto"/>
                <w:sz w:val="18"/>
                <w:szCs w:val="18"/>
              </w:rPr>
              <w:t>High</w:t>
            </w:r>
          </w:p>
          <w:p w14:paraId="091BC145" w14:textId="77777777" w:rsidR="00AA0841" w:rsidRPr="00773E04" w:rsidRDefault="00AA0841" w:rsidP="00AA0841">
            <w:pPr>
              <w:jc w:val="center"/>
              <w:rPr>
                <w:color w:val="auto"/>
                <w:sz w:val="18"/>
                <w:szCs w:val="18"/>
              </w:rPr>
            </w:pPr>
          </w:p>
          <w:p w14:paraId="08D229CB" w14:textId="77777777" w:rsidR="00AA0841" w:rsidRPr="00773E04" w:rsidRDefault="00AA0841" w:rsidP="00AA0841">
            <w:pPr>
              <w:jc w:val="center"/>
              <w:rPr>
                <w:color w:val="auto"/>
                <w:sz w:val="18"/>
                <w:szCs w:val="18"/>
              </w:rPr>
            </w:pPr>
          </w:p>
        </w:tc>
      </w:tr>
      <w:tr w:rsidR="00AA0841" w:rsidRPr="00773E04" w14:paraId="6DDC17FE" w14:textId="77777777" w:rsidTr="00AA0841">
        <w:trPr>
          <w:trHeight w:val="988"/>
        </w:trPr>
        <w:tc>
          <w:tcPr>
            <w:tcW w:w="580" w:type="pct"/>
            <w:vMerge/>
            <w:tcBorders>
              <w:left w:val="single" w:sz="12" w:space="0" w:color="auto"/>
              <w:right w:val="single" w:sz="4" w:space="0" w:color="auto"/>
            </w:tcBorders>
            <w:vAlign w:val="center"/>
            <w:hideMark/>
          </w:tcPr>
          <w:p w14:paraId="0DFCA0BC" w14:textId="77777777" w:rsidR="00AA0841" w:rsidRPr="00D73511" w:rsidRDefault="00AA0841" w:rsidP="00AA0841">
            <w:pPr>
              <w:rPr>
                <w:sz w:val="18"/>
                <w:szCs w:val="18"/>
              </w:rPr>
            </w:pPr>
          </w:p>
        </w:tc>
        <w:tc>
          <w:tcPr>
            <w:tcW w:w="936" w:type="pct"/>
            <w:tcBorders>
              <w:top w:val="nil"/>
              <w:left w:val="single" w:sz="4" w:space="0" w:color="auto"/>
              <w:bottom w:val="single" w:sz="4" w:space="0" w:color="auto"/>
              <w:right w:val="single" w:sz="4" w:space="0" w:color="auto"/>
            </w:tcBorders>
            <w:vAlign w:val="center"/>
            <w:hideMark/>
          </w:tcPr>
          <w:p w14:paraId="2FAEFF67" w14:textId="77777777" w:rsidR="00AA0841" w:rsidRPr="00D73511" w:rsidRDefault="00AA0841" w:rsidP="00AA0841">
            <w:pPr>
              <w:rPr>
                <w:sz w:val="18"/>
                <w:szCs w:val="18"/>
              </w:rPr>
            </w:pPr>
            <w:r w:rsidRPr="00D73511">
              <w:rPr>
                <w:sz w:val="18"/>
                <w:szCs w:val="18"/>
              </w:rPr>
              <w:t xml:space="preserve">Small to moderate river pulse (up to </w:t>
            </w:r>
            <w:r>
              <w:rPr>
                <w:sz w:val="18"/>
                <w:szCs w:val="18"/>
              </w:rPr>
              <w:t>800</w:t>
            </w:r>
            <w:r w:rsidRPr="00D73511">
              <w:rPr>
                <w:sz w:val="18"/>
                <w:szCs w:val="18"/>
              </w:rPr>
              <w:t xml:space="preserve"> ML/d at Weir 32</w:t>
            </w:r>
            <w:r>
              <w:rPr>
                <w:sz w:val="18"/>
                <w:szCs w:val="18"/>
              </w:rPr>
              <w:t xml:space="preserve"> </w:t>
            </w:r>
            <w:r w:rsidRPr="00D73511">
              <w:rPr>
                <w:sz w:val="18"/>
                <w:szCs w:val="18"/>
              </w:rPr>
              <w:t xml:space="preserve">in </w:t>
            </w:r>
            <w:r>
              <w:rPr>
                <w:sz w:val="18"/>
                <w:szCs w:val="18"/>
              </w:rPr>
              <w:t xml:space="preserve">spring and </w:t>
            </w:r>
            <w:r w:rsidRPr="00D73511">
              <w:rPr>
                <w:sz w:val="18"/>
                <w:szCs w:val="18"/>
              </w:rPr>
              <w:t>summer)</w:t>
            </w:r>
            <w:r>
              <w:rPr>
                <w:sz w:val="18"/>
                <w:szCs w:val="18"/>
              </w:rPr>
              <w:t>.</w:t>
            </w:r>
          </w:p>
        </w:tc>
        <w:tc>
          <w:tcPr>
            <w:tcW w:w="484" w:type="pct"/>
            <w:tcBorders>
              <w:top w:val="nil"/>
              <w:left w:val="single" w:sz="4" w:space="0" w:color="auto"/>
              <w:bottom w:val="single" w:sz="4" w:space="0" w:color="auto"/>
              <w:right w:val="single" w:sz="4" w:space="0" w:color="auto"/>
            </w:tcBorders>
            <w:vAlign w:val="center"/>
            <w:hideMark/>
          </w:tcPr>
          <w:p w14:paraId="6788CCBF" w14:textId="77777777" w:rsidR="00AA0841" w:rsidRPr="00D73511" w:rsidRDefault="00AA0841" w:rsidP="00AA0841">
            <w:pPr>
              <w:rPr>
                <w:sz w:val="18"/>
                <w:szCs w:val="18"/>
              </w:rPr>
            </w:pPr>
            <w:r w:rsidRPr="00D73511">
              <w:rPr>
                <w:sz w:val="18"/>
                <w:szCs w:val="18"/>
              </w:rPr>
              <w:t>1-2 in 5 years (max interval unknown)</w:t>
            </w:r>
          </w:p>
        </w:tc>
        <w:tc>
          <w:tcPr>
            <w:tcW w:w="1065" w:type="pct"/>
            <w:vMerge/>
            <w:tcBorders>
              <w:left w:val="single" w:sz="4" w:space="0" w:color="auto"/>
              <w:right w:val="single" w:sz="4" w:space="0" w:color="auto"/>
            </w:tcBorders>
            <w:vAlign w:val="center"/>
            <w:hideMark/>
          </w:tcPr>
          <w:p w14:paraId="0623B809" w14:textId="77777777" w:rsidR="00AA0841" w:rsidRPr="00D73511" w:rsidRDefault="00AA0841" w:rsidP="00AA0841">
            <w:pPr>
              <w:rPr>
                <w:sz w:val="18"/>
                <w:szCs w:val="18"/>
              </w:rPr>
            </w:pPr>
          </w:p>
        </w:tc>
        <w:tc>
          <w:tcPr>
            <w:tcW w:w="452" w:type="pct"/>
            <w:tcBorders>
              <w:top w:val="single" w:sz="4" w:space="0" w:color="auto"/>
              <w:left w:val="single" w:sz="4" w:space="0" w:color="auto"/>
              <w:bottom w:val="single" w:sz="4" w:space="0" w:color="auto"/>
              <w:right w:val="single" w:sz="4" w:space="0" w:color="auto"/>
            </w:tcBorders>
            <w:shd w:val="clear" w:color="auto" w:fill="C00000"/>
            <w:vAlign w:val="center"/>
            <w:hideMark/>
          </w:tcPr>
          <w:p w14:paraId="2357D7A3" w14:textId="77777777" w:rsidR="00AA0841" w:rsidRPr="00773E04" w:rsidRDefault="00AA0841" w:rsidP="00AA0841">
            <w:pPr>
              <w:jc w:val="center"/>
              <w:rPr>
                <w:color w:val="auto"/>
                <w:sz w:val="18"/>
                <w:szCs w:val="18"/>
              </w:rPr>
            </w:pPr>
            <w:r w:rsidRPr="00773E04">
              <w:rPr>
                <w:color w:val="auto"/>
                <w:sz w:val="18"/>
                <w:szCs w:val="18"/>
              </w:rPr>
              <w:t>Critical</w:t>
            </w:r>
          </w:p>
        </w:tc>
        <w:tc>
          <w:tcPr>
            <w:tcW w:w="968" w:type="pct"/>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hideMark/>
          </w:tcPr>
          <w:p w14:paraId="7BF83BB0" w14:textId="77777777" w:rsidR="00AA0841" w:rsidRPr="00773E04" w:rsidRDefault="00AA0841" w:rsidP="00AA0841">
            <w:pPr>
              <w:jc w:val="center"/>
              <w:rPr>
                <w:color w:val="auto"/>
                <w:sz w:val="18"/>
                <w:szCs w:val="18"/>
              </w:rPr>
            </w:pPr>
            <w:r w:rsidRPr="00773E04">
              <w:rPr>
                <w:color w:val="auto"/>
                <w:sz w:val="18"/>
                <w:szCs w:val="18"/>
              </w:rPr>
              <w:t>A high priority for Commonwealth environmental watering 2020-21 subject to water resource availability</w:t>
            </w:r>
          </w:p>
        </w:tc>
        <w:tc>
          <w:tcPr>
            <w:tcW w:w="515" w:type="pct"/>
            <w:vMerge/>
            <w:tcBorders>
              <w:left w:val="single" w:sz="4" w:space="0" w:color="auto"/>
              <w:right w:val="single" w:sz="12" w:space="0" w:color="auto"/>
            </w:tcBorders>
            <w:shd w:val="clear" w:color="auto" w:fill="FF0000"/>
            <w:vAlign w:val="center"/>
            <w:hideMark/>
          </w:tcPr>
          <w:p w14:paraId="7D16C6F8" w14:textId="77777777" w:rsidR="00AA0841" w:rsidRPr="00773E04" w:rsidRDefault="00AA0841" w:rsidP="00AA0841">
            <w:pPr>
              <w:jc w:val="center"/>
              <w:rPr>
                <w:color w:val="auto"/>
                <w:sz w:val="18"/>
                <w:szCs w:val="18"/>
              </w:rPr>
            </w:pPr>
          </w:p>
        </w:tc>
      </w:tr>
      <w:tr w:rsidR="00AA0841" w:rsidRPr="00773E04" w14:paraId="525790B7" w14:textId="77777777" w:rsidTr="00AA0841">
        <w:trPr>
          <w:trHeight w:val="1315"/>
        </w:trPr>
        <w:tc>
          <w:tcPr>
            <w:tcW w:w="580" w:type="pct"/>
            <w:vMerge/>
            <w:tcBorders>
              <w:left w:val="single" w:sz="12" w:space="0" w:color="auto"/>
              <w:bottom w:val="single" w:sz="12" w:space="0" w:color="auto"/>
              <w:right w:val="single" w:sz="4" w:space="0" w:color="auto"/>
            </w:tcBorders>
          </w:tcPr>
          <w:p w14:paraId="2F916DE0" w14:textId="77777777" w:rsidR="00AA0841" w:rsidRPr="00D73511" w:rsidRDefault="00AA0841" w:rsidP="00AA0841">
            <w:pPr>
              <w:rPr>
                <w:sz w:val="18"/>
                <w:szCs w:val="18"/>
              </w:rPr>
            </w:pPr>
          </w:p>
        </w:tc>
        <w:tc>
          <w:tcPr>
            <w:tcW w:w="936" w:type="pct"/>
            <w:tcBorders>
              <w:top w:val="nil"/>
              <w:left w:val="nil"/>
              <w:bottom w:val="single" w:sz="12" w:space="0" w:color="auto"/>
              <w:right w:val="single" w:sz="4" w:space="0" w:color="auto"/>
            </w:tcBorders>
            <w:vAlign w:val="center"/>
          </w:tcPr>
          <w:p w14:paraId="7930F4ED" w14:textId="77777777" w:rsidR="00AA0841" w:rsidRPr="00D73511" w:rsidRDefault="00AA0841" w:rsidP="00AA0841">
            <w:pPr>
              <w:rPr>
                <w:sz w:val="18"/>
                <w:szCs w:val="18"/>
              </w:rPr>
            </w:pPr>
            <w:r>
              <w:rPr>
                <w:sz w:val="18"/>
                <w:szCs w:val="18"/>
              </w:rPr>
              <w:t>Small fresh (up to 2 000 ML/d at Weir 32 for ~60 days in summer) for Murray cod breeding.</w:t>
            </w:r>
          </w:p>
        </w:tc>
        <w:tc>
          <w:tcPr>
            <w:tcW w:w="484" w:type="pct"/>
            <w:tcBorders>
              <w:top w:val="nil"/>
              <w:left w:val="nil"/>
              <w:bottom w:val="single" w:sz="12" w:space="0" w:color="auto"/>
              <w:right w:val="single" w:sz="4" w:space="0" w:color="auto"/>
            </w:tcBorders>
            <w:vAlign w:val="center"/>
          </w:tcPr>
          <w:p w14:paraId="66311E08" w14:textId="77777777" w:rsidR="00AA0841" w:rsidRPr="00D73511" w:rsidRDefault="00AA0841" w:rsidP="00AA0841">
            <w:pPr>
              <w:rPr>
                <w:sz w:val="18"/>
                <w:szCs w:val="18"/>
              </w:rPr>
            </w:pPr>
            <w:r>
              <w:rPr>
                <w:sz w:val="18"/>
                <w:szCs w:val="18"/>
              </w:rPr>
              <w:t>2-4 years in 10 (5 years)</w:t>
            </w:r>
          </w:p>
        </w:tc>
        <w:tc>
          <w:tcPr>
            <w:tcW w:w="1065" w:type="pct"/>
            <w:vMerge/>
            <w:tcBorders>
              <w:left w:val="single" w:sz="4" w:space="0" w:color="auto"/>
              <w:bottom w:val="single" w:sz="12" w:space="0" w:color="auto"/>
              <w:right w:val="single" w:sz="4" w:space="0" w:color="auto"/>
            </w:tcBorders>
            <w:vAlign w:val="center"/>
          </w:tcPr>
          <w:p w14:paraId="055A1584" w14:textId="77777777" w:rsidR="00AA0841" w:rsidRPr="00D73511" w:rsidRDefault="00AA0841" w:rsidP="00AA0841">
            <w:pPr>
              <w:rPr>
                <w:sz w:val="18"/>
                <w:szCs w:val="18"/>
              </w:rPr>
            </w:pPr>
          </w:p>
        </w:tc>
        <w:tc>
          <w:tcPr>
            <w:tcW w:w="452" w:type="pct"/>
            <w:tcBorders>
              <w:top w:val="single" w:sz="4" w:space="0" w:color="auto"/>
              <w:left w:val="single" w:sz="4" w:space="0" w:color="auto"/>
              <w:bottom w:val="single" w:sz="12" w:space="0" w:color="auto"/>
              <w:right w:val="single" w:sz="4" w:space="0" w:color="auto"/>
            </w:tcBorders>
            <w:shd w:val="clear" w:color="auto" w:fill="FF0000"/>
            <w:vAlign w:val="center"/>
          </w:tcPr>
          <w:p w14:paraId="6BF81F0D" w14:textId="77777777" w:rsidR="00AA0841" w:rsidRPr="00773E04" w:rsidRDefault="00AA0841" w:rsidP="00AA0841">
            <w:pPr>
              <w:jc w:val="center"/>
              <w:rPr>
                <w:color w:val="auto"/>
                <w:sz w:val="18"/>
                <w:szCs w:val="18"/>
              </w:rPr>
            </w:pPr>
            <w:r w:rsidRPr="00773E04">
              <w:rPr>
                <w:color w:val="auto"/>
                <w:sz w:val="18"/>
                <w:szCs w:val="18"/>
              </w:rPr>
              <w:t>High</w:t>
            </w:r>
          </w:p>
        </w:tc>
        <w:tc>
          <w:tcPr>
            <w:tcW w:w="968" w:type="pct"/>
            <w:tcBorders>
              <w:top w:val="single" w:sz="4" w:space="0" w:color="auto"/>
              <w:left w:val="nil"/>
              <w:bottom w:val="single" w:sz="12" w:space="0" w:color="auto"/>
              <w:right w:val="single" w:sz="4" w:space="0" w:color="auto"/>
            </w:tcBorders>
            <w:shd w:val="clear" w:color="auto" w:fill="95B3D7" w:themeFill="accent1" w:themeFillTint="99"/>
            <w:vAlign w:val="center"/>
          </w:tcPr>
          <w:p w14:paraId="28CC151C" w14:textId="77777777" w:rsidR="00AA0841" w:rsidRPr="00773E04" w:rsidRDefault="00AA0841" w:rsidP="00AA0841">
            <w:pPr>
              <w:jc w:val="center"/>
              <w:rPr>
                <w:color w:val="auto"/>
                <w:sz w:val="18"/>
                <w:szCs w:val="18"/>
              </w:rPr>
            </w:pPr>
            <w:r w:rsidRPr="00773E04">
              <w:rPr>
                <w:color w:val="auto"/>
                <w:sz w:val="18"/>
                <w:szCs w:val="18"/>
              </w:rPr>
              <w:t>Option to be considered under a moderate to high water resource availability</w:t>
            </w:r>
          </w:p>
        </w:tc>
        <w:tc>
          <w:tcPr>
            <w:tcW w:w="515" w:type="pct"/>
            <w:vMerge/>
            <w:tcBorders>
              <w:left w:val="single" w:sz="4" w:space="0" w:color="auto"/>
              <w:bottom w:val="single" w:sz="12" w:space="0" w:color="auto"/>
              <w:right w:val="single" w:sz="12" w:space="0" w:color="auto"/>
            </w:tcBorders>
            <w:shd w:val="clear" w:color="auto" w:fill="FF0000"/>
            <w:vAlign w:val="center"/>
          </w:tcPr>
          <w:p w14:paraId="38528F7D" w14:textId="77777777" w:rsidR="00AA0841" w:rsidRPr="00773E04" w:rsidRDefault="00AA0841" w:rsidP="00AA0841">
            <w:pPr>
              <w:jc w:val="center"/>
              <w:rPr>
                <w:color w:val="auto"/>
                <w:sz w:val="18"/>
                <w:szCs w:val="18"/>
              </w:rPr>
            </w:pPr>
          </w:p>
        </w:tc>
      </w:tr>
      <w:tr w:rsidR="00AA0841" w:rsidRPr="00773E04" w14:paraId="1B4C6EAA" w14:textId="77777777" w:rsidTr="00AA0841">
        <w:trPr>
          <w:trHeight w:val="1631"/>
        </w:trPr>
        <w:tc>
          <w:tcPr>
            <w:tcW w:w="580" w:type="pct"/>
            <w:tcBorders>
              <w:top w:val="single" w:sz="12" w:space="0" w:color="auto"/>
              <w:left w:val="single" w:sz="12" w:space="0" w:color="auto"/>
              <w:bottom w:val="single" w:sz="12" w:space="0" w:color="auto"/>
              <w:right w:val="single" w:sz="4" w:space="0" w:color="auto"/>
            </w:tcBorders>
          </w:tcPr>
          <w:p w14:paraId="0457A250" w14:textId="77777777" w:rsidR="00AA0841" w:rsidRDefault="00AA0841" w:rsidP="00AA0841">
            <w:pPr>
              <w:rPr>
                <w:b/>
                <w:sz w:val="18"/>
                <w:szCs w:val="18"/>
                <w:vertAlign w:val="superscript"/>
              </w:rPr>
            </w:pPr>
            <w:r>
              <w:rPr>
                <w:b/>
                <w:sz w:val="18"/>
                <w:szCs w:val="18"/>
              </w:rPr>
              <w:t>Floodrunners and fringing lakes</w:t>
            </w:r>
            <w:r w:rsidRPr="009709FE">
              <w:rPr>
                <w:b/>
                <w:sz w:val="18"/>
                <w:szCs w:val="18"/>
                <w:vertAlign w:val="superscript"/>
              </w:rPr>
              <w:t>1</w:t>
            </w:r>
          </w:p>
          <w:p w14:paraId="30FA84C5" w14:textId="77777777" w:rsidR="00AA0841" w:rsidRDefault="00AA0841" w:rsidP="00AA0841">
            <w:pPr>
              <w:rPr>
                <w:sz w:val="18"/>
                <w:szCs w:val="18"/>
              </w:rPr>
            </w:pPr>
            <w:r w:rsidRPr="00D73511">
              <w:rPr>
                <w:sz w:val="18"/>
                <w:szCs w:val="18"/>
              </w:rPr>
              <w:t>·</w:t>
            </w:r>
            <w:r>
              <w:rPr>
                <w:sz w:val="18"/>
                <w:szCs w:val="18"/>
              </w:rPr>
              <w:t xml:space="preserve"> </w:t>
            </w:r>
            <w:r w:rsidRPr="00D73511">
              <w:rPr>
                <w:sz w:val="18"/>
                <w:szCs w:val="18"/>
              </w:rPr>
              <w:t>Native fish</w:t>
            </w:r>
            <w:r>
              <w:rPr>
                <w:sz w:val="18"/>
                <w:szCs w:val="18"/>
              </w:rPr>
              <w:t xml:space="preserve">: spawning (flow pulse specialists), dispersal (all species), </w:t>
            </w:r>
          </w:p>
          <w:p w14:paraId="15C44BC4" w14:textId="77777777" w:rsidR="00AA0841" w:rsidRDefault="00AA0841" w:rsidP="00AA0841">
            <w:pPr>
              <w:rPr>
                <w:sz w:val="18"/>
                <w:szCs w:val="18"/>
              </w:rPr>
            </w:pPr>
            <w:r w:rsidRPr="00D73511">
              <w:rPr>
                <w:sz w:val="18"/>
                <w:szCs w:val="18"/>
              </w:rPr>
              <w:t>·</w:t>
            </w:r>
            <w:r>
              <w:rPr>
                <w:sz w:val="18"/>
                <w:szCs w:val="18"/>
              </w:rPr>
              <w:t xml:space="preserve"> Waterbirds: foraging habitat, support natural breeding events</w:t>
            </w:r>
          </w:p>
          <w:p w14:paraId="269B5BA5" w14:textId="77777777" w:rsidR="00AA0841" w:rsidRDefault="00AA0841" w:rsidP="00AA0841">
            <w:pPr>
              <w:rPr>
                <w:sz w:val="18"/>
                <w:szCs w:val="18"/>
              </w:rPr>
            </w:pPr>
            <w:r w:rsidRPr="00D73511">
              <w:rPr>
                <w:sz w:val="18"/>
                <w:szCs w:val="18"/>
              </w:rPr>
              <w:t xml:space="preserve">· </w:t>
            </w:r>
            <w:r>
              <w:rPr>
                <w:sz w:val="18"/>
                <w:szCs w:val="18"/>
              </w:rPr>
              <w:t xml:space="preserve">Ecosystem functions: lateral connectivity, dispersal of biota, channel maintenance, productivity, nutrient/carbon exchange </w:t>
            </w:r>
          </w:p>
          <w:p w14:paraId="3117A0AF" w14:textId="77777777" w:rsidR="00AA0841" w:rsidRPr="006D64E7" w:rsidRDefault="00AA0841" w:rsidP="00AA0841">
            <w:pPr>
              <w:rPr>
                <w:b/>
                <w:sz w:val="18"/>
                <w:szCs w:val="18"/>
              </w:rPr>
            </w:pPr>
            <w:r w:rsidRPr="00D73511">
              <w:rPr>
                <w:sz w:val="18"/>
                <w:szCs w:val="18"/>
              </w:rPr>
              <w:t>·</w:t>
            </w:r>
            <w:r>
              <w:rPr>
                <w:sz w:val="18"/>
                <w:szCs w:val="18"/>
              </w:rPr>
              <w:t xml:space="preserve"> Other: frog habitat and breeding</w:t>
            </w:r>
          </w:p>
        </w:tc>
        <w:tc>
          <w:tcPr>
            <w:tcW w:w="936" w:type="pct"/>
            <w:tcBorders>
              <w:top w:val="single" w:sz="12" w:space="0" w:color="auto"/>
              <w:left w:val="nil"/>
              <w:bottom w:val="single" w:sz="12" w:space="0" w:color="auto"/>
              <w:right w:val="single" w:sz="4" w:space="0" w:color="auto"/>
            </w:tcBorders>
            <w:vAlign w:val="center"/>
          </w:tcPr>
          <w:p w14:paraId="727C27F2" w14:textId="77777777" w:rsidR="00AA0841" w:rsidRDefault="00AA0841" w:rsidP="00AA0841">
            <w:pPr>
              <w:rPr>
                <w:sz w:val="18"/>
                <w:szCs w:val="18"/>
              </w:rPr>
            </w:pPr>
            <w:r>
              <w:rPr>
                <w:sz w:val="18"/>
                <w:szCs w:val="18"/>
              </w:rPr>
              <w:t>10 000 – 12 000 ML/d at Weir 32, ideally August-October or January-April (or anytime) for a minimum of 14 days (to achieve 2-6 months of wetland inundation)</w:t>
            </w:r>
          </w:p>
        </w:tc>
        <w:tc>
          <w:tcPr>
            <w:tcW w:w="484" w:type="pct"/>
            <w:tcBorders>
              <w:top w:val="single" w:sz="12" w:space="0" w:color="auto"/>
              <w:left w:val="nil"/>
              <w:bottom w:val="single" w:sz="12" w:space="0" w:color="auto"/>
              <w:right w:val="single" w:sz="4" w:space="0" w:color="auto"/>
            </w:tcBorders>
            <w:vAlign w:val="center"/>
          </w:tcPr>
          <w:p w14:paraId="20156EF8" w14:textId="77777777" w:rsidR="00AA0841" w:rsidRDefault="00AA0841" w:rsidP="00AA0841">
            <w:pPr>
              <w:rPr>
                <w:sz w:val="18"/>
                <w:szCs w:val="18"/>
              </w:rPr>
            </w:pPr>
            <w:r>
              <w:rPr>
                <w:sz w:val="18"/>
                <w:szCs w:val="18"/>
              </w:rPr>
              <w:t>5-8 years in 10</w:t>
            </w:r>
            <w:r w:rsidRPr="009709FE">
              <w:rPr>
                <w:sz w:val="18"/>
                <w:szCs w:val="18"/>
                <w:vertAlign w:val="superscript"/>
              </w:rPr>
              <w:t>*</w:t>
            </w:r>
            <w:r>
              <w:rPr>
                <w:sz w:val="18"/>
                <w:szCs w:val="18"/>
              </w:rPr>
              <w:t xml:space="preserve"> (2 years) </w:t>
            </w:r>
          </w:p>
          <w:p w14:paraId="714EE3E7" w14:textId="77777777" w:rsidR="00AA0841" w:rsidRDefault="00AA0841" w:rsidP="00AA0841">
            <w:pPr>
              <w:rPr>
                <w:sz w:val="18"/>
                <w:szCs w:val="18"/>
              </w:rPr>
            </w:pPr>
            <w:r w:rsidRPr="009709FE">
              <w:rPr>
                <w:sz w:val="18"/>
                <w:szCs w:val="18"/>
                <w:vertAlign w:val="superscript"/>
              </w:rPr>
              <w:t>*</w:t>
            </w:r>
            <w:r>
              <w:rPr>
                <w:sz w:val="18"/>
                <w:szCs w:val="18"/>
              </w:rPr>
              <w:t xml:space="preserve"> annual event for 2-3 consecutive years for recovery of wetland vegetation</w:t>
            </w:r>
          </w:p>
        </w:tc>
        <w:tc>
          <w:tcPr>
            <w:tcW w:w="1065" w:type="pct"/>
            <w:tcBorders>
              <w:top w:val="single" w:sz="12" w:space="0" w:color="auto"/>
              <w:left w:val="nil"/>
              <w:bottom w:val="single" w:sz="12" w:space="0" w:color="auto"/>
              <w:right w:val="single" w:sz="4" w:space="0" w:color="000000"/>
            </w:tcBorders>
            <w:vAlign w:val="center"/>
          </w:tcPr>
          <w:p w14:paraId="7A89FD84" w14:textId="77777777" w:rsidR="00AA0841" w:rsidRDefault="00AA0841" w:rsidP="00AA0841">
            <w:pPr>
              <w:rPr>
                <w:sz w:val="18"/>
                <w:szCs w:val="18"/>
              </w:rPr>
            </w:pPr>
            <w:r>
              <w:rPr>
                <w:sz w:val="18"/>
                <w:szCs w:val="18"/>
              </w:rPr>
              <w:t>Small overbank flow in 2011-12.</w:t>
            </w:r>
          </w:p>
        </w:tc>
        <w:tc>
          <w:tcPr>
            <w:tcW w:w="452" w:type="pct"/>
            <w:tcBorders>
              <w:top w:val="single" w:sz="12" w:space="0" w:color="auto"/>
              <w:left w:val="nil"/>
              <w:bottom w:val="single" w:sz="12" w:space="0" w:color="auto"/>
              <w:right w:val="single" w:sz="4" w:space="0" w:color="auto"/>
            </w:tcBorders>
            <w:shd w:val="clear" w:color="auto" w:fill="FFC000"/>
            <w:vAlign w:val="center"/>
          </w:tcPr>
          <w:p w14:paraId="1ACFA0AC" w14:textId="77777777" w:rsidR="00AA0841" w:rsidRPr="00773E04" w:rsidRDefault="00AA0841" w:rsidP="00AA0841">
            <w:pPr>
              <w:jc w:val="center"/>
              <w:rPr>
                <w:color w:val="auto"/>
                <w:sz w:val="18"/>
                <w:szCs w:val="18"/>
              </w:rPr>
            </w:pPr>
            <w:r w:rsidRPr="00773E04">
              <w:rPr>
                <w:color w:val="auto"/>
                <w:sz w:val="18"/>
                <w:szCs w:val="18"/>
              </w:rPr>
              <w:t>Moderate</w:t>
            </w:r>
          </w:p>
        </w:tc>
        <w:tc>
          <w:tcPr>
            <w:tcW w:w="968" w:type="pct"/>
            <w:tcBorders>
              <w:top w:val="single" w:sz="12" w:space="0" w:color="auto"/>
              <w:left w:val="nil"/>
              <w:bottom w:val="single" w:sz="12" w:space="0" w:color="auto"/>
              <w:right w:val="single" w:sz="4" w:space="0" w:color="auto"/>
            </w:tcBorders>
            <w:shd w:val="clear" w:color="auto" w:fill="A6A6A6" w:themeFill="background1" w:themeFillShade="A6"/>
            <w:vAlign w:val="center"/>
          </w:tcPr>
          <w:p w14:paraId="2A53B9BB" w14:textId="77777777" w:rsidR="00AA0841" w:rsidRPr="00773E04" w:rsidRDefault="00AA0841" w:rsidP="00AA0841">
            <w:pPr>
              <w:jc w:val="center"/>
              <w:rPr>
                <w:color w:val="auto"/>
                <w:sz w:val="18"/>
                <w:szCs w:val="18"/>
              </w:rPr>
            </w:pPr>
            <w:r w:rsidRPr="00773E04">
              <w:rPr>
                <w:color w:val="auto"/>
                <w:sz w:val="18"/>
                <w:szCs w:val="18"/>
              </w:rPr>
              <w:t xml:space="preserve">Reliant on large, unregulated flows. </w:t>
            </w:r>
          </w:p>
        </w:tc>
        <w:tc>
          <w:tcPr>
            <w:tcW w:w="515" w:type="pct"/>
            <w:tcBorders>
              <w:top w:val="single" w:sz="12" w:space="0" w:color="auto"/>
              <w:left w:val="nil"/>
              <w:bottom w:val="single" w:sz="12" w:space="0" w:color="auto"/>
              <w:right w:val="single" w:sz="12" w:space="0" w:color="auto"/>
            </w:tcBorders>
            <w:shd w:val="clear" w:color="auto" w:fill="FFC000"/>
            <w:vAlign w:val="center"/>
          </w:tcPr>
          <w:p w14:paraId="69090D34" w14:textId="77777777" w:rsidR="00AA0841" w:rsidRPr="00773E04" w:rsidRDefault="00AA0841" w:rsidP="00AA0841">
            <w:pPr>
              <w:jc w:val="center"/>
              <w:rPr>
                <w:color w:val="auto"/>
                <w:sz w:val="18"/>
                <w:szCs w:val="18"/>
              </w:rPr>
            </w:pPr>
            <w:r w:rsidRPr="00773E04">
              <w:rPr>
                <w:color w:val="auto"/>
                <w:sz w:val="18"/>
                <w:szCs w:val="18"/>
              </w:rPr>
              <w:t>Moderate</w:t>
            </w:r>
          </w:p>
        </w:tc>
      </w:tr>
      <w:tr w:rsidR="00AA0841" w:rsidRPr="00773E04" w14:paraId="2AF3D10E" w14:textId="77777777" w:rsidTr="00AA0841">
        <w:trPr>
          <w:trHeight w:val="1115"/>
        </w:trPr>
        <w:tc>
          <w:tcPr>
            <w:tcW w:w="580" w:type="pct"/>
            <w:tcBorders>
              <w:top w:val="single" w:sz="12" w:space="0" w:color="auto"/>
              <w:left w:val="single" w:sz="12" w:space="0" w:color="auto"/>
              <w:bottom w:val="single" w:sz="12" w:space="0" w:color="auto"/>
              <w:right w:val="single" w:sz="4" w:space="0" w:color="auto"/>
            </w:tcBorders>
            <w:hideMark/>
          </w:tcPr>
          <w:p w14:paraId="5E3E4360" w14:textId="77777777" w:rsidR="00AA0841" w:rsidRPr="008C669A" w:rsidRDefault="00AA0841" w:rsidP="00AA0841">
            <w:pPr>
              <w:rPr>
                <w:b/>
                <w:sz w:val="18"/>
                <w:szCs w:val="18"/>
                <w:vertAlign w:val="superscript"/>
              </w:rPr>
            </w:pPr>
            <w:r w:rsidRPr="008C669A">
              <w:rPr>
                <w:b/>
                <w:sz w:val="18"/>
                <w:szCs w:val="18"/>
              </w:rPr>
              <w:lastRenderedPageBreak/>
              <w:t>Great Darling Anabranch</w:t>
            </w:r>
            <w:r w:rsidRPr="008C669A">
              <w:rPr>
                <w:b/>
                <w:sz w:val="18"/>
                <w:szCs w:val="18"/>
                <w:vertAlign w:val="superscript"/>
              </w:rPr>
              <w:t>1</w:t>
            </w:r>
          </w:p>
          <w:p w14:paraId="15ABAEFE" w14:textId="77777777" w:rsidR="00AA0841" w:rsidRPr="00DD58C5" w:rsidRDefault="00AA0841" w:rsidP="00AA0841">
            <w:pPr>
              <w:rPr>
                <w:sz w:val="18"/>
                <w:szCs w:val="18"/>
              </w:rPr>
            </w:pPr>
            <w:r w:rsidRPr="00DD58C5">
              <w:rPr>
                <w:sz w:val="18"/>
                <w:szCs w:val="18"/>
              </w:rPr>
              <w:t>· Native fish: recruitment and dispersal of flow pulse specialists</w:t>
            </w:r>
          </w:p>
          <w:p w14:paraId="7664F613" w14:textId="77777777" w:rsidR="00AA0841" w:rsidRPr="00DD58C5" w:rsidRDefault="00AA0841" w:rsidP="00AA0841">
            <w:pPr>
              <w:rPr>
                <w:sz w:val="18"/>
                <w:szCs w:val="18"/>
              </w:rPr>
            </w:pPr>
            <w:r w:rsidRPr="00DD58C5">
              <w:rPr>
                <w:sz w:val="18"/>
                <w:szCs w:val="18"/>
              </w:rPr>
              <w:t xml:space="preserve">· Native vegetation: non-woody, fringing </w:t>
            </w:r>
            <w:r>
              <w:rPr>
                <w:sz w:val="18"/>
                <w:szCs w:val="18"/>
              </w:rPr>
              <w:t>river red gum</w:t>
            </w:r>
            <w:r w:rsidRPr="00DD58C5">
              <w:rPr>
                <w:sz w:val="18"/>
                <w:szCs w:val="18"/>
              </w:rPr>
              <w:t>, black box, lignum</w:t>
            </w:r>
          </w:p>
          <w:p w14:paraId="1A4132C3" w14:textId="77777777" w:rsidR="00AA0841" w:rsidRPr="00DD58C5" w:rsidRDefault="00AA0841" w:rsidP="00AA0841">
            <w:pPr>
              <w:rPr>
                <w:sz w:val="18"/>
                <w:szCs w:val="18"/>
              </w:rPr>
            </w:pPr>
            <w:r w:rsidRPr="00DD58C5">
              <w:rPr>
                <w:sz w:val="18"/>
                <w:szCs w:val="18"/>
              </w:rPr>
              <w:t xml:space="preserve">· Waterbirds: habitat and potential breeding </w:t>
            </w:r>
          </w:p>
          <w:p w14:paraId="5245200E" w14:textId="77777777" w:rsidR="00AA0841" w:rsidRPr="00DD58C5" w:rsidRDefault="00AA0841" w:rsidP="00AA0841">
            <w:pPr>
              <w:rPr>
                <w:sz w:val="18"/>
                <w:szCs w:val="18"/>
              </w:rPr>
            </w:pPr>
            <w:r w:rsidRPr="00DD58C5">
              <w:rPr>
                <w:sz w:val="18"/>
                <w:szCs w:val="18"/>
              </w:rPr>
              <w:t>· Ecosystem functions: refuge; productivity</w:t>
            </w:r>
          </w:p>
        </w:tc>
        <w:tc>
          <w:tcPr>
            <w:tcW w:w="936" w:type="pct"/>
            <w:tcBorders>
              <w:top w:val="single" w:sz="12" w:space="0" w:color="auto"/>
              <w:left w:val="nil"/>
              <w:bottom w:val="single" w:sz="12" w:space="0" w:color="auto"/>
              <w:right w:val="single" w:sz="4" w:space="0" w:color="auto"/>
            </w:tcBorders>
            <w:vAlign w:val="center"/>
            <w:hideMark/>
          </w:tcPr>
          <w:p w14:paraId="40EBA249" w14:textId="77777777" w:rsidR="00AA0841" w:rsidRPr="00D73511" w:rsidRDefault="00AA0841" w:rsidP="00AA0841">
            <w:pPr>
              <w:rPr>
                <w:sz w:val="18"/>
                <w:szCs w:val="18"/>
              </w:rPr>
            </w:pPr>
            <w:r>
              <w:rPr>
                <w:sz w:val="18"/>
                <w:szCs w:val="18"/>
              </w:rPr>
              <w:t xml:space="preserve">&gt; 800 ML/day (800-2 000 ML/day) </w:t>
            </w:r>
            <w:r w:rsidRPr="00D73511">
              <w:rPr>
                <w:sz w:val="18"/>
                <w:szCs w:val="18"/>
              </w:rPr>
              <w:t>from</w:t>
            </w:r>
            <w:r w:rsidRPr="00D73511">
              <w:rPr>
                <w:sz w:val="18"/>
                <w:szCs w:val="18"/>
              </w:rPr>
              <w:br/>
              <w:t>Menindee Lakes for</w:t>
            </w:r>
            <w:r>
              <w:rPr>
                <w:sz w:val="18"/>
                <w:szCs w:val="18"/>
              </w:rPr>
              <w:t xml:space="preserve"> minimum 21 days.</w:t>
            </w:r>
            <w:r w:rsidRPr="00D73511">
              <w:rPr>
                <w:sz w:val="18"/>
                <w:szCs w:val="18"/>
              </w:rPr>
              <w:br/>
            </w:r>
          </w:p>
        </w:tc>
        <w:tc>
          <w:tcPr>
            <w:tcW w:w="484" w:type="pct"/>
            <w:tcBorders>
              <w:top w:val="single" w:sz="12" w:space="0" w:color="auto"/>
              <w:left w:val="nil"/>
              <w:bottom w:val="single" w:sz="12" w:space="0" w:color="auto"/>
              <w:right w:val="single" w:sz="4" w:space="0" w:color="auto"/>
            </w:tcBorders>
            <w:vAlign w:val="center"/>
            <w:hideMark/>
          </w:tcPr>
          <w:p w14:paraId="2ABDA542" w14:textId="77777777" w:rsidR="00AA0841" w:rsidRPr="00D73511" w:rsidRDefault="00AA0841" w:rsidP="00AA0841">
            <w:pPr>
              <w:rPr>
                <w:sz w:val="18"/>
                <w:szCs w:val="18"/>
              </w:rPr>
            </w:pPr>
            <w:r>
              <w:rPr>
                <w:sz w:val="18"/>
                <w:szCs w:val="18"/>
              </w:rPr>
              <w:t xml:space="preserve">2-3 </w:t>
            </w:r>
            <w:r w:rsidRPr="00D73511">
              <w:rPr>
                <w:sz w:val="18"/>
                <w:szCs w:val="18"/>
              </w:rPr>
              <w:t>in 10 years</w:t>
            </w:r>
            <w:r w:rsidRPr="00D73511">
              <w:rPr>
                <w:sz w:val="18"/>
                <w:szCs w:val="18"/>
              </w:rPr>
              <w:br/>
              <w:t>(</w:t>
            </w:r>
            <w:r>
              <w:rPr>
                <w:sz w:val="18"/>
                <w:szCs w:val="18"/>
              </w:rPr>
              <w:t>4</w:t>
            </w:r>
            <w:r w:rsidRPr="00D73511">
              <w:rPr>
                <w:sz w:val="18"/>
                <w:szCs w:val="18"/>
              </w:rPr>
              <w:t xml:space="preserve"> years)</w:t>
            </w:r>
          </w:p>
        </w:tc>
        <w:tc>
          <w:tcPr>
            <w:tcW w:w="1065" w:type="pct"/>
            <w:tcBorders>
              <w:top w:val="single" w:sz="12" w:space="0" w:color="auto"/>
              <w:left w:val="nil"/>
              <w:bottom w:val="single" w:sz="12" w:space="0" w:color="auto"/>
              <w:right w:val="single" w:sz="4" w:space="0" w:color="000000"/>
            </w:tcBorders>
            <w:vAlign w:val="center"/>
            <w:hideMark/>
          </w:tcPr>
          <w:p w14:paraId="4879AD8B" w14:textId="77777777" w:rsidR="00AA0841" w:rsidRPr="00D73511" w:rsidRDefault="00AA0841" w:rsidP="00AA0841">
            <w:pPr>
              <w:rPr>
                <w:sz w:val="18"/>
                <w:szCs w:val="18"/>
              </w:rPr>
            </w:pPr>
            <w:r>
              <w:rPr>
                <w:sz w:val="18"/>
                <w:szCs w:val="18"/>
              </w:rPr>
              <w:t xml:space="preserve">Environmental water in-channel flows in spring 2013 to reconnect residual pools, supporting recovery of riverine and wetland communities through dispersal opportunities and improving riparian vegetation. </w:t>
            </w:r>
            <w:r w:rsidRPr="00D73511">
              <w:rPr>
                <w:sz w:val="18"/>
                <w:szCs w:val="18"/>
              </w:rPr>
              <w:t xml:space="preserve">A significant </w:t>
            </w:r>
            <w:r>
              <w:rPr>
                <w:sz w:val="18"/>
                <w:szCs w:val="18"/>
              </w:rPr>
              <w:t>e-</w:t>
            </w:r>
            <w:r w:rsidRPr="00D73511">
              <w:rPr>
                <w:sz w:val="18"/>
                <w:szCs w:val="18"/>
              </w:rPr>
              <w:t xml:space="preserve">water </w:t>
            </w:r>
            <w:r>
              <w:rPr>
                <w:sz w:val="18"/>
                <w:szCs w:val="18"/>
              </w:rPr>
              <w:t>action</w:t>
            </w:r>
            <w:r w:rsidRPr="00D73511">
              <w:rPr>
                <w:sz w:val="18"/>
                <w:szCs w:val="18"/>
              </w:rPr>
              <w:t xml:space="preserve"> occurred in </w:t>
            </w:r>
            <w:r>
              <w:rPr>
                <w:sz w:val="18"/>
                <w:szCs w:val="18"/>
              </w:rPr>
              <w:t>summer of 20</w:t>
            </w:r>
            <w:r w:rsidRPr="00D73511">
              <w:rPr>
                <w:sz w:val="18"/>
                <w:szCs w:val="18"/>
              </w:rPr>
              <w:t xml:space="preserve">17, allowing for dispersal of large bodied native fish and improved water quality and vegetation condition. </w:t>
            </w:r>
            <w:r>
              <w:rPr>
                <w:sz w:val="18"/>
                <w:szCs w:val="18"/>
              </w:rPr>
              <w:t>No flows have been provided down the Anabranch since then.</w:t>
            </w:r>
          </w:p>
        </w:tc>
        <w:tc>
          <w:tcPr>
            <w:tcW w:w="452" w:type="pct"/>
            <w:tcBorders>
              <w:top w:val="single" w:sz="12" w:space="0" w:color="auto"/>
              <w:left w:val="nil"/>
              <w:bottom w:val="single" w:sz="12" w:space="0" w:color="auto"/>
              <w:right w:val="single" w:sz="4" w:space="0" w:color="auto"/>
            </w:tcBorders>
            <w:shd w:val="clear" w:color="auto" w:fill="FFC000"/>
            <w:vAlign w:val="center"/>
            <w:hideMark/>
          </w:tcPr>
          <w:p w14:paraId="7F037BCB" w14:textId="77777777" w:rsidR="00AA0841" w:rsidRPr="00773E04" w:rsidRDefault="00AA0841" w:rsidP="00AA0841">
            <w:pPr>
              <w:jc w:val="center"/>
              <w:rPr>
                <w:color w:val="auto"/>
                <w:sz w:val="18"/>
                <w:szCs w:val="18"/>
              </w:rPr>
            </w:pPr>
            <w:r w:rsidRPr="00773E04">
              <w:rPr>
                <w:color w:val="auto"/>
                <w:sz w:val="18"/>
                <w:szCs w:val="18"/>
              </w:rPr>
              <w:t>Moderate</w:t>
            </w:r>
          </w:p>
        </w:tc>
        <w:tc>
          <w:tcPr>
            <w:tcW w:w="968" w:type="pct"/>
            <w:tcBorders>
              <w:top w:val="single" w:sz="12" w:space="0" w:color="auto"/>
              <w:left w:val="nil"/>
              <w:bottom w:val="single" w:sz="12" w:space="0" w:color="auto"/>
              <w:right w:val="single" w:sz="4" w:space="0" w:color="auto"/>
            </w:tcBorders>
            <w:shd w:val="clear" w:color="000000" w:fill="FFFFFF"/>
            <w:vAlign w:val="center"/>
            <w:hideMark/>
          </w:tcPr>
          <w:p w14:paraId="43B113D5" w14:textId="77777777" w:rsidR="00AA0841" w:rsidRPr="00773E04" w:rsidRDefault="00AA0841" w:rsidP="00AA0841">
            <w:pPr>
              <w:jc w:val="center"/>
              <w:rPr>
                <w:color w:val="auto"/>
                <w:sz w:val="18"/>
                <w:szCs w:val="18"/>
              </w:rPr>
            </w:pPr>
            <w:r w:rsidRPr="00773E04">
              <w:rPr>
                <w:color w:val="auto"/>
                <w:sz w:val="18"/>
                <w:szCs w:val="18"/>
              </w:rPr>
              <w:t>Lower priority for Commonwealth environmental water. Lower Darling is a higher priority, particularly given a very low to low resource availability forecast for 2020-21.</w:t>
            </w:r>
          </w:p>
        </w:tc>
        <w:tc>
          <w:tcPr>
            <w:tcW w:w="515" w:type="pct"/>
            <w:tcBorders>
              <w:top w:val="single" w:sz="12" w:space="0" w:color="auto"/>
              <w:left w:val="nil"/>
              <w:bottom w:val="single" w:sz="12" w:space="0" w:color="auto"/>
              <w:right w:val="single" w:sz="12" w:space="0" w:color="auto"/>
            </w:tcBorders>
            <w:shd w:val="clear" w:color="auto" w:fill="FFC000"/>
            <w:vAlign w:val="center"/>
            <w:hideMark/>
          </w:tcPr>
          <w:p w14:paraId="7B529A3B" w14:textId="77777777" w:rsidR="00AA0841" w:rsidRPr="00773E04" w:rsidRDefault="00AA0841" w:rsidP="00AA0841">
            <w:pPr>
              <w:jc w:val="center"/>
              <w:rPr>
                <w:color w:val="auto"/>
                <w:sz w:val="18"/>
                <w:szCs w:val="18"/>
              </w:rPr>
            </w:pPr>
            <w:r w:rsidRPr="00773E04">
              <w:rPr>
                <w:color w:val="auto"/>
                <w:sz w:val="18"/>
                <w:szCs w:val="18"/>
              </w:rPr>
              <w:t>Moderate</w:t>
            </w:r>
          </w:p>
        </w:tc>
      </w:tr>
    </w:tbl>
    <w:bookmarkEnd w:id="143"/>
    <w:p w14:paraId="66A7D73B" w14:textId="77777777" w:rsidR="00AA0841" w:rsidRPr="005974D4" w:rsidRDefault="00AA0841" w:rsidP="00AA0841">
      <w:pPr>
        <w:spacing w:after="0"/>
        <w:rPr>
          <w:rFonts w:eastAsia="Century Gothic" w:hAnsi="Century Gothic"/>
          <w:b/>
          <w:bCs/>
          <w:spacing w:val="-1"/>
          <w:sz w:val="18"/>
          <w:szCs w:val="18"/>
        </w:rPr>
      </w:pPr>
      <w:r w:rsidRPr="005974D4">
        <w:rPr>
          <w:rFonts w:eastAsia="Century Gothic" w:hAnsi="Century Gothic"/>
          <w:b/>
          <w:bCs/>
          <w:spacing w:val="-1"/>
          <w:sz w:val="18"/>
          <w:szCs w:val="18"/>
        </w:rPr>
        <w:t>References:</w:t>
      </w:r>
    </w:p>
    <w:p w14:paraId="4FF8E7C5" w14:textId="77777777" w:rsidR="00AA0841" w:rsidRPr="008E30A5" w:rsidRDefault="00AA0841" w:rsidP="005D79EF">
      <w:pPr>
        <w:pStyle w:val="ListParagraph"/>
        <w:numPr>
          <w:ilvl w:val="0"/>
          <w:numId w:val="37"/>
        </w:numPr>
        <w:rPr>
          <w:rFonts w:hAnsi="Century Gothic"/>
          <w:sz w:val="18"/>
          <w:szCs w:val="18"/>
        </w:rPr>
      </w:pPr>
      <w:r w:rsidRPr="008E30A5">
        <w:rPr>
          <w:rFonts w:hAnsi="Century Gothic"/>
          <w:sz w:val="18"/>
          <w:szCs w:val="18"/>
        </w:rPr>
        <w:t>Information on flow/volume and required frequency of indicative demands drawn from the draft Murray-Lower Darling Long Term Water Plan (DPIE-Water 2019), as appropriate.</w:t>
      </w:r>
    </w:p>
    <w:p w14:paraId="1AE05BA4" w14:textId="77777777" w:rsidR="00AA0841" w:rsidRPr="00D73511" w:rsidRDefault="00AA0841" w:rsidP="00AA0841">
      <w:pPr>
        <w:spacing w:after="0"/>
        <w:rPr>
          <w:rFonts w:eastAsia="Century Gothic" w:hAnsi="Century Gothic"/>
          <w:bCs/>
          <w:spacing w:val="-1"/>
          <w:sz w:val="18"/>
          <w:szCs w:val="18"/>
        </w:rPr>
      </w:pPr>
    </w:p>
    <w:p w14:paraId="2C286BB6" w14:textId="77777777" w:rsidR="00AA0841" w:rsidRPr="00716A3C" w:rsidRDefault="00AA0841" w:rsidP="00AA0841">
      <w:pPr>
        <w:pStyle w:val="PlainText"/>
        <w:rPr>
          <w:rFonts w:asciiTheme="minorHAnsi" w:hAnsiTheme="minorHAnsi"/>
          <w:sz w:val="22"/>
          <w:szCs w:val="22"/>
        </w:rPr>
      </w:pPr>
      <w:r>
        <w:rPr>
          <w:noProof/>
        </w:rPr>
        <w:drawing>
          <wp:inline distT="0" distB="0" distL="0" distR="0" wp14:anchorId="00C07D4F" wp14:editId="7393E982">
            <wp:extent cx="9791700" cy="196759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9941286" cy="1997658"/>
                    </a:xfrm>
                    <a:prstGeom prst="rect">
                      <a:avLst/>
                    </a:prstGeom>
                  </pic:spPr>
                </pic:pic>
              </a:graphicData>
            </a:graphic>
          </wp:inline>
        </w:drawing>
      </w:r>
    </w:p>
    <w:p w14:paraId="25B8E362" w14:textId="77777777" w:rsidR="00AA0841" w:rsidRDefault="00AA0841" w:rsidP="00AA0841">
      <w:pPr>
        <w:spacing w:after="240"/>
        <w:rPr>
          <w:rStyle w:val="Hyperlink"/>
          <w:rFonts w:ascii="Century Gothic" w:hAnsi="Century Gothic" w:cs="Arial"/>
          <w:noProof/>
        </w:rPr>
        <w:sectPr w:rsidR="00AA0841" w:rsidSect="003737D8">
          <w:footerReference w:type="first" r:id="rId221"/>
          <w:footnotePr>
            <w:numFmt w:val="chicago"/>
          </w:footnotePr>
          <w:pgSz w:w="23814" w:h="16839" w:orient="landscape" w:code="8"/>
          <w:pgMar w:top="1134" w:right="992" w:bottom="851" w:left="964" w:header="567" w:footer="397" w:gutter="0"/>
          <w:cols w:space="708"/>
          <w:docGrid w:linePitch="360"/>
        </w:sectPr>
      </w:pPr>
    </w:p>
    <w:p w14:paraId="40F7FE45" w14:textId="77777777" w:rsidR="00AA0841" w:rsidRDefault="00AA0841" w:rsidP="006A11B1">
      <w:pPr>
        <w:pStyle w:val="Heading3"/>
        <w:spacing w:after="240"/>
      </w:pPr>
      <w:r>
        <w:lastRenderedPageBreak/>
        <w:t>Water delivery in 2020–21</w:t>
      </w:r>
    </w:p>
    <w:p w14:paraId="04E2647A" w14:textId="77777777" w:rsidR="00AA0841" w:rsidRPr="00C32946" w:rsidRDefault="00AA0841" w:rsidP="00AA0841">
      <w:bookmarkStart w:id="144" w:name="_Hlk40957054"/>
      <w:r w:rsidRPr="00365FE2">
        <w:t xml:space="preserve">Based on the demand for water for the environment, water availability (supply), and catchment conditions, the overall purpose for managing Commonwealth water for the environment in the </w:t>
      </w:r>
      <w:r>
        <w:t>lower Darling River v</w:t>
      </w:r>
      <w:r w:rsidRPr="00365FE2">
        <w:t>alley in 2020</w:t>
      </w:r>
      <w:r>
        <w:t>-</w:t>
      </w:r>
      <w:r w:rsidRPr="00365FE2">
        <w:t>21 is to avoid</w:t>
      </w:r>
      <w:r>
        <w:t xml:space="preserve"> further</w:t>
      </w:r>
      <w:r w:rsidRPr="00365FE2">
        <w:t xml:space="preserve"> damage </w:t>
      </w:r>
      <w:r>
        <w:t>or decline to environmental assets and support recovery of the system if water availability improves.</w:t>
      </w:r>
    </w:p>
    <w:p w14:paraId="7C3553C4" w14:textId="77777777" w:rsidR="00AA0841" w:rsidRDefault="00AA0841" w:rsidP="00AA0841">
      <w:r w:rsidRPr="00C32946">
        <w:t>The hi</w:t>
      </w:r>
      <w:r>
        <w:t>ghest priority will be to provide elevated baseflows in spring to support Murray cod breeding and recovery of a variety of other aquatic biota (e.g. mussels and snails). The magnitude of the flow will depend on  water availability.  A small spring fresh of up to 2 000 ML/day to target both Murray cod and golden perch recruitment may be considered if water availability significantly improves.</w:t>
      </w:r>
    </w:p>
    <w:p w14:paraId="24DB6FEE" w14:textId="77777777" w:rsidR="00AA0841" w:rsidRPr="008F4687" w:rsidRDefault="00AA0841" w:rsidP="00AA0841">
      <w:r>
        <w:t>Golden perch spawning has also been recorded upstream in response to flow in the Barwon-Darling and its tributaries. Young fish have been recorded dispersing with these flows to the Menindee Lakes nursery habitat (Sharpe and Stuart, 2018a) and delivery of environmental water will provide an opportunity for some of these to ultimately disperse further into the lower Darling and potentially into the River Murray.</w:t>
      </w:r>
    </w:p>
    <w:p w14:paraId="1161BC54" w14:textId="77777777" w:rsidR="00AA0841" w:rsidRDefault="00AA0841" w:rsidP="00AA0841">
      <w:r>
        <w:t>Deliveries to</w:t>
      </w:r>
      <w:r w:rsidRPr="004F1EBD">
        <w:t xml:space="preserve"> the Great Darling Anabranch will </w:t>
      </w:r>
      <w:r>
        <w:t xml:space="preserve">only </w:t>
      </w:r>
      <w:r w:rsidRPr="004F1EBD">
        <w:t>be considered if water availability significantly improves</w:t>
      </w:r>
      <w:r>
        <w:t xml:space="preserve"> and there is sufficient inflow into Lake Cawndilla.</w:t>
      </w:r>
      <w:r w:rsidRPr="008F4687">
        <w:t xml:space="preserve"> </w:t>
      </w:r>
    </w:p>
    <w:p w14:paraId="6D82A533" w14:textId="77777777" w:rsidR="00AA0841" w:rsidRDefault="00AA0841" w:rsidP="00AA0841">
      <w:r>
        <w:t xml:space="preserve">Environmental flows will be designed with native fish ecologists and in close consultation with the local community, </w:t>
      </w:r>
      <w:r w:rsidRPr="00AB3C6B">
        <w:t>including First Nations people. Consideration</w:t>
      </w:r>
      <w:r>
        <w:t xml:space="preserve"> will also be given on water levels in the Menindee Lakes and its associated environmental values. </w:t>
      </w:r>
    </w:p>
    <w:bookmarkEnd w:id="144"/>
    <w:p w14:paraId="480888B1" w14:textId="77777777" w:rsidR="00AA0841" w:rsidRPr="000B4649" w:rsidRDefault="00AA0841" w:rsidP="006A11B1">
      <w:pPr>
        <w:pStyle w:val="Heading3"/>
        <w:spacing w:after="240"/>
      </w:pPr>
      <w:r w:rsidRPr="000B4649">
        <w:t>Monitoring and Lessons learn</w:t>
      </w:r>
      <w:r>
        <w:t>ed</w:t>
      </w:r>
    </w:p>
    <w:p w14:paraId="0A70CF30" w14:textId="77777777" w:rsidR="00AA0841" w:rsidRPr="00A75F68" w:rsidRDefault="00AA0841" w:rsidP="0057535E">
      <w:pPr>
        <w:pStyle w:val="Heading4"/>
      </w:pPr>
      <w:r w:rsidRPr="00A75F68">
        <w:t>Monitoring</w:t>
      </w:r>
    </w:p>
    <w:p w14:paraId="24C91298" w14:textId="77777777" w:rsidR="00AA0841" w:rsidRPr="00B351BE" w:rsidRDefault="00AA0841" w:rsidP="00AA0841">
      <w:r w:rsidRPr="00D1079D">
        <w:t xml:space="preserve">In the </w:t>
      </w:r>
      <w:r>
        <w:t xml:space="preserve">lower Darling </w:t>
      </w:r>
      <w:r w:rsidRPr="00D1079D">
        <w:t>River, monitoring is primarily undertaken by NSW agencies including NSW DPIE (vegetation, waterbirds and frogs), NSW DPI – Fisheries (native fish), and WaterNSW (hydrology and flow delivery data).</w:t>
      </w:r>
      <w:r w:rsidRPr="00B351BE">
        <w:t xml:space="preserve"> </w:t>
      </w:r>
    </w:p>
    <w:p w14:paraId="50DB26DC" w14:textId="77777777" w:rsidR="00AA0841" w:rsidRPr="004367B7" w:rsidRDefault="00AA0841" w:rsidP="00AA0841">
      <w:r>
        <w:rPr>
          <w:szCs w:val="22"/>
        </w:rPr>
        <w:t xml:space="preserve">Several short-term intervention monitoring projects were conducted to assess the success of environmental flows in 2016-17 and 2017-18. The projects both demonstrated the success of the </w:t>
      </w:r>
      <w:r w:rsidRPr="004367B7">
        <w:t xml:space="preserve">flows in achieving the desired outcome and informing real-time adaptive management of the flows. </w:t>
      </w:r>
    </w:p>
    <w:p w14:paraId="026EB75E" w14:textId="77777777" w:rsidR="00AA0841" w:rsidRDefault="00AA0841" w:rsidP="00AA0841">
      <w:r>
        <w:t xml:space="preserve">Technical reports from short term monitoring projects in the lower Darling can be found at: </w:t>
      </w:r>
    </w:p>
    <w:p w14:paraId="6C7D44C6" w14:textId="77777777" w:rsidR="00AA0841" w:rsidRDefault="00030BA8" w:rsidP="00AA0841">
      <w:hyperlink r:id="rId222" w:history="1">
        <w:r w:rsidR="00AA0841" w:rsidRPr="009C1AC2">
          <w:rPr>
            <w:rStyle w:val="Hyperlink"/>
          </w:rPr>
          <w:t>https://www.environment.gov.au/water/cewo/publications/assessment-murray-cod-recruitment-lower-darling-river-flows-2016-18</w:t>
        </w:r>
      </w:hyperlink>
      <w:r w:rsidR="00AA0841">
        <w:t xml:space="preserve"> (Sharpe and Stuart 2018a).</w:t>
      </w:r>
    </w:p>
    <w:p w14:paraId="1CC43F8B" w14:textId="77777777" w:rsidR="00AA0841" w:rsidRDefault="00030BA8" w:rsidP="00AA0841">
      <w:hyperlink r:id="rId223" w:history="1">
        <w:r w:rsidR="00AA0841" w:rsidRPr="009C1AC2">
          <w:rPr>
            <w:rStyle w:val="Hyperlink"/>
          </w:rPr>
          <w:t>https://www.environment.gov.au/water/cewo/publications/environmental-flows-darling-river-fish-2016-17</w:t>
        </w:r>
      </w:hyperlink>
      <w:r w:rsidR="00AA0841">
        <w:t xml:space="preserve"> (Sharpe and Stuart 2018b). </w:t>
      </w:r>
    </w:p>
    <w:p w14:paraId="2FC6795C" w14:textId="77777777" w:rsidR="00AA0841" w:rsidRDefault="00030BA8" w:rsidP="00AA0841">
      <w:hyperlink r:id="rId224" w:history="1">
        <w:r w:rsidR="00AA0841" w:rsidRPr="009C1AC2">
          <w:rPr>
            <w:rStyle w:val="Hyperlink"/>
          </w:rPr>
          <w:t>https://www.environment.gov.au/water/cewo/publications/environmental-flows-support-murray-cod-spawning-lower-darling-river-2017</w:t>
        </w:r>
      </w:hyperlink>
      <w:r w:rsidR="00AA0841">
        <w:t xml:space="preserve"> (Sharpe 2019).</w:t>
      </w:r>
    </w:p>
    <w:p w14:paraId="6C2A8B4C" w14:textId="77777777" w:rsidR="00AA0841" w:rsidRPr="00721870" w:rsidRDefault="00AA0841" w:rsidP="00AA0841">
      <w:r>
        <w:t>A monitoring program drafted to assess environmental flows delivered in 2020-21 will be scoped early in the water year.</w:t>
      </w:r>
    </w:p>
    <w:p w14:paraId="372ECA63" w14:textId="77777777" w:rsidR="00AA0841" w:rsidRPr="00F24369" w:rsidRDefault="00AA0841" w:rsidP="0057535E">
      <w:pPr>
        <w:pStyle w:val="Heading4"/>
      </w:pPr>
      <w:r w:rsidRPr="00F24369">
        <w:t>Lessons learn</w:t>
      </w:r>
      <w:r>
        <w:t>ed</w:t>
      </w:r>
    </w:p>
    <w:p w14:paraId="19170179" w14:textId="77777777" w:rsidR="00AA0841" w:rsidRDefault="00AA0841" w:rsidP="00AA0841">
      <w:r w:rsidRPr="00D1079D">
        <w:t xml:space="preserve">Outcomes from monitoring in previous years are critical </w:t>
      </w:r>
      <w:r>
        <w:t xml:space="preserve">in our commitment to </w:t>
      </w:r>
      <w:r w:rsidRPr="00D1079D">
        <w:t xml:space="preserve">the effective and efficient use of Commonwealth water for the environment. </w:t>
      </w:r>
    </w:p>
    <w:p w14:paraId="77D27173" w14:textId="32071A63" w:rsidR="00AA0841" w:rsidRDefault="00AA0841" w:rsidP="006A11B1">
      <w:pPr>
        <w:rPr>
          <w:rFonts w:ascii="Century Gothic" w:hAnsi="Century Gothic" w:cs="Times New Roman"/>
          <w:color w:val="auto"/>
          <w:sz w:val="20"/>
          <w:lang w:val="en-US" w:eastAsia="en-US"/>
        </w:rPr>
      </w:pPr>
      <w:r w:rsidRPr="004367B7">
        <w:t xml:space="preserve">Monitoring in the </w:t>
      </w:r>
      <w:r>
        <w:t>l</w:t>
      </w:r>
      <w:r w:rsidRPr="004367B7">
        <w:t>ower Darling River (2016-17 and 2017-18) and the Great Darling Anabranch (2016</w:t>
      </w:r>
      <w:r>
        <w:t>-</w:t>
      </w:r>
      <w:r w:rsidRPr="004367B7">
        <w:t xml:space="preserve">17) showed environmental flows were successful in supporting tangible and significant multi-species outcomes for native fish. Where possible, maintaining the function of the Menindee Lakes and </w:t>
      </w:r>
      <w:r>
        <w:t>l</w:t>
      </w:r>
      <w:r w:rsidRPr="004367B7">
        <w:t>ower Darling River is critical for Murray cod spawning and recruitment, the dispersal and recruitment of golden perch from their nursery grounds in the Menindee Lakes</w:t>
      </w:r>
      <w:r>
        <w:t>,</w:t>
      </w:r>
      <w:r w:rsidRPr="004367B7">
        <w:t xml:space="preserve"> and spawning of golden perch and the nationally threatened silver perch in the </w:t>
      </w:r>
      <w:r>
        <w:t>lower Darling River channel</w:t>
      </w:r>
      <w:r w:rsidRPr="004367B7">
        <w:t xml:space="preserve"> (Sharpe and Stuart 2018a</w:t>
      </w:r>
      <w:r>
        <w:t xml:space="preserve"> and </w:t>
      </w:r>
      <w:r w:rsidRPr="004367B7">
        <w:t>b</w:t>
      </w:r>
      <w:r>
        <w:t>, Stuart and Sharpe 2020</w:t>
      </w:r>
      <w:r w:rsidRPr="004367B7">
        <w:t xml:space="preserve">). </w:t>
      </w:r>
      <w:r>
        <w:rPr>
          <w:rFonts w:ascii="Century Gothic" w:hAnsi="Century Gothic"/>
        </w:rPr>
        <w:br w:type="page"/>
      </w:r>
    </w:p>
    <w:p w14:paraId="5F57386B" w14:textId="77777777" w:rsidR="00AA0841" w:rsidRPr="00764C2A" w:rsidRDefault="00AA0841" w:rsidP="006A11B1">
      <w:pPr>
        <w:pStyle w:val="Heading3"/>
        <w:spacing w:after="240"/>
      </w:pPr>
      <w:r w:rsidRPr="00D1079D">
        <w:lastRenderedPageBreak/>
        <w:t>Bibliography</w:t>
      </w:r>
    </w:p>
    <w:p w14:paraId="301C5396" w14:textId="77777777" w:rsidR="00AA0841" w:rsidRPr="00E57908" w:rsidRDefault="00AA0841" w:rsidP="00AA0841">
      <w:pPr>
        <w:pStyle w:val="CommentText"/>
        <w:rPr>
          <w:sz w:val="22"/>
          <w:szCs w:val="22"/>
        </w:rPr>
      </w:pPr>
      <w:r w:rsidRPr="00E57908">
        <w:rPr>
          <w:sz w:val="22"/>
          <w:szCs w:val="22"/>
        </w:rPr>
        <w:t>Bureau of Meteorology (BoM)</w:t>
      </w:r>
      <w:r>
        <w:rPr>
          <w:sz w:val="22"/>
          <w:szCs w:val="22"/>
        </w:rPr>
        <w:t xml:space="preserve"> </w:t>
      </w:r>
      <w:r w:rsidRPr="00E57908">
        <w:rPr>
          <w:sz w:val="22"/>
          <w:szCs w:val="22"/>
        </w:rPr>
        <w:t>(2020) Climate outlooks – weeks, months and seasons. [ONLINE] Available at</w:t>
      </w:r>
      <w:r>
        <w:rPr>
          <w:sz w:val="22"/>
          <w:szCs w:val="22"/>
        </w:rPr>
        <w:t xml:space="preserve">: </w:t>
      </w:r>
      <w:hyperlink r:id="rId225" w:anchor="/overview/summary" w:history="1">
        <w:r w:rsidRPr="00B12553">
          <w:rPr>
            <w:rStyle w:val="Hyperlink"/>
            <w:sz w:val="22"/>
          </w:rPr>
          <w:t>http://www.bom.gov.au/climate/outlooks/#/overview/summary</w:t>
        </w:r>
      </w:hyperlink>
      <w:r w:rsidRPr="00E57908">
        <w:rPr>
          <w:sz w:val="22"/>
          <w:szCs w:val="22"/>
        </w:rPr>
        <w:t xml:space="preserve"> [Accessed </w:t>
      </w:r>
      <w:r>
        <w:rPr>
          <w:sz w:val="22"/>
          <w:szCs w:val="22"/>
        </w:rPr>
        <w:t>18 June</w:t>
      </w:r>
      <w:r w:rsidRPr="00E57908">
        <w:rPr>
          <w:sz w:val="22"/>
          <w:szCs w:val="22"/>
        </w:rPr>
        <w:t xml:space="preserve"> 2020]</w:t>
      </w:r>
      <w:r>
        <w:rPr>
          <w:sz w:val="22"/>
          <w:szCs w:val="22"/>
        </w:rPr>
        <w:t>.</w:t>
      </w:r>
    </w:p>
    <w:p w14:paraId="49BF7EDA" w14:textId="77777777" w:rsidR="00AA0841" w:rsidRPr="00B662DC" w:rsidRDefault="00AA0841" w:rsidP="00AA0841">
      <w:pPr>
        <w:rPr>
          <w:b/>
          <w:lang w:eastAsia="zh-CN" w:bidi="th-TH"/>
        </w:rPr>
      </w:pPr>
      <w:r w:rsidRPr="00B662DC">
        <w:rPr>
          <w:lang w:eastAsia="zh-CN" w:bidi="th-TH"/>
        </w:rPr>
        <w:t>Murray–Darling Basin Authority</w:t>
      </w:r>
      <w:r>
        <w:rPr>
          <w:lang w:eastAsia="zh-CN" w:bidi="th-TH"/>
        </w:rPr>
        <w:t xml:space="preserve"> (MDBA)</w:t>
      </w:r>
      <w:r w:rsidRPr="00B662DC">
        <w:rPr>
          <w:lang w:eastAsia="zh-CN" w:bidi="th-TH"/>
        </w:rPr>
        <w:t xml:space="preserve"> (2012) </w:t>
      </w:r>
      <w:r w:rsidRPr="00B662DC">
        <w:rPr>
          <w:i/>
          <w:lang w:eastAsia="zh-CN" w:bidi="th-TH"/>
        </w:rPr>
        <w:t>Assessment of environmental water requirements for the proposed Basin Plan: Lower Darling River System</w:t>
      </w:r>
      <w:r w:rsidRPr="00B662DC">
        <w:rPr>
          <w:lang w:eastAsia="zh-CN" w:bidi="th-TH"/>
        </w:rPr>
        <w:t>.</w:t>
      </w:r>
      <w:r w:rsidRPr="00B662DC">
        <w:rPr>
          <w:szCs w:val="22"/>
          <w:lang w:eastAsia="zh-CN" w:bidi="th-TH"/>
        </w:rPr>
        <w:t xml:space="preserve"> </w:t>
      </w:r>
      <w:r w:rsidRPr="00B662DC">
        <w:rPr>
          <w:lang w:eastAsia="zh-CN" w:bidi="th-TH"/>
        </w:rPr>
        <w:t>Murray</w:t>
      </w:r>
      <w:r>
        <w:rPr>
          <w:lang w:eastAsia="zh-CN" w:bidi="th-TH"/>
        </w:rPr>
        <w:t>-</w:t>
      </w:r>
      <w:r w:rsidRPr="00B662DC">
        <w:rPr>
          <w:lang w:eastAsia="zh-CN" w:bidi="th-TH"/>
        </w:rPr>
        <w:t>Darling Basin Authority, Canberra.</w:t>
      </w:r>
    </w:p>
    <w:p w14:paraId="52725779" w14:textId="77777777" w:rsidR="00AA0841" w:rsidRDefault="00AA0841" w:rsidP="00AA0841">
      <w:r w:rsidRPr="00B4594C">
        <w:t xml:space="preserve">Murray Darling Basin Authority (MDBA) (2019) Basin-wide environmental watering strategy. Second Edition. Murray Darling Basin Authority, Canberra. </w:t>
      </w:r>
    </w:p>
    <w:p w14:paraId="0792947A" w14:textId="77777777" w:rsidR="00AA0841" w:rsidRPr="00486DF3" w:rsidRDefault="00AA0841" w:rsidP="00AA0841">
      <w:pPr>
        <w:pStyle w:val="imprintheading"/>
        <w:rPr>
          <w:rFonts w:asciiTheme="minorHAnsi" w:hAnsiTheme="minorHAnsi" w:cstheme="minorHAnsi"/>
          <w:b w:val="0"/>
          <w:sz w:val="22"/>
          <w:szCs w:val="22"/>
        </w:rPr>
      </w:pPr>
      <w:r>
        <w:rPr>
          <w:rFonts w:asciiTheme="minorHAnsi" w:hAnsiTheme="minorHAnsi" w:cstheme="minorHAnsi"/>
          <w:b w:val="0"/>
          <w:sz w:val="22"/>
          <w:szCs w:val="22"/>
        </w:rPr>
        <w:t>Murray Lower Darling Rivers Indigenous Nations (MLDRIN) (2020).</w:t>
      </w:r>
      <w:r w:rsidRPr="00DE4C34">
        <w:t xml:space="preserve"> </w:t>
      </w:r>
      <w:r w:rsidRPr="00DE4C34">
        <w:rPr>
          <w:rFonts w:asciiTheme="minorHAnsi" w:hAnsiTheme="minorHAnsi" w:cstheme="minorHAnsi"/>
          <w:b w:val="0"/>
          <w:i/>
          <w:iCs/>
          <w:sz w:val="22"/>
          <w:szCs w:val="22"/>
        </w:rPr>
        <w:t xml:space="preserve">First Nations Environmental Water Guidance Project. MLDRIN Member Nations 2020‐21 Priorities. </w:t>
      </w:r>
      <w:r w:rsidRPr="00F8531D">
        <w:rPr>
          <w:rFonts w:asciiTheme="minorHAnsi" w:hAnsiTheme="minorHAnsi" w:cstheme="minorHAnsi"/>
          <w:b w:val="0"/>
          <w:sz w:val="22"/>
          <w:szCs w:val="22"/>
        </w:rPr>
        <w:t>Report provided to Commonwealth Environmental Water Office</w:t>
      </w:r>
      <w:r>
        <w:rPr>
          <w:rFonts w:asciiTheme="minorHAnsi" w:hAnsiTheme="minorHAnsi" w:cstheme="minorHAnsi"/>
          <w:b w:val="0"/>
          <w:sz w:val="22"/>
          <w:szCs w:val="22"/>
        </w:rPr>
        <w:t>.</w:t>
      </w:r>
    </w:p>
    <w:p w14:paraId="1D56C5CB" w14:textId="77777777" w:rsidR="00AA0841" w:rsidRDefault="00AA0841" w:rsidP="00AA0841">
      <w:r>
        <w:t xml:space="preserve">NSW Department of Planning, Industry and Environment (DPIE-Water) (2019) </w:t>
      </w:r>
      <w:r w:rsidRPr="00003F40">
        <w:rPr>
          <w:i/>
        </w:rPr>
        <w:t>Murray-Lower Darling Long Term Water Plan</w:t>
      </w:r>
      <w:r>
        <w:t xml:space="preserve">. Part B: Murray-Lower Darling planning units. Draft for exhibition. [ONLINE] Available at: </w:t>
      </w:r>
      <w:hyperlink r:id="rId226" w:history="1">
        <w:r w:rsidRPr="00986B8A">
          <w:rPr>
            <w:rStyle w:val="Hyperlink"/>
          </w:rPr>
          <w:t>https://www.environment.nsw.gov.au/-/media/OEH/Corporate-Site/Documents/Water/Water-for-the-environment/murray-lower-darling-long-term-water-plan-part-b-190459.pdf</w:t>
        </w:r>
      </w:hyperlink>
      <w:r>
        <w:t xml:space="preserve"> [Accessed 13 May 2020]</w:t>
      </w:r>
    </w:p>
    <w:p w14:paraId="24EEBC70" w14:textId="77777777" w:rsidR="00AA0841" w:rsidRDefault="00AA0841" w:rsidP="00AA0841">
      <w:r>
        <w:t xml:space="preserve">NSW Department of Planning, Industry and Environment (DPIE-Water) (2020) Water allocation statement [ONLINE] Available at </w:t>
      </w:r>
      <w:hyperlink r:id="rId227" w:history="1">
        <w:r w:rsidRPr="004711F7">
          <w:rPr>
            <w:rStyle w:val="Hyperlink"/>
          </w:rPr>
          <w:t>https://www.industry.nsw.gov.au/__data/assets/pdf_file/0012/313032/WAS-Regulated-Rivers-20200701.pdf</w:t>
        </w:r>
      </w:hyperlink>
      <w:r>
        <w:t xml:space="preserve"> [Accessed 2 July 2020].</w:t>
      </w:r>
    </w:p>
    <w:p w14:paraId="75BFD74C" w14:textId="77777777" w:rsidR="00AA0841" w:rsidRDefault="00AA0841" w:rsidP="00AA0841">
      <w:pPr>
        <w:rPr>
          <w:lang w:eastAsia="zh-CN" w:bidi="th-TH"/>
        </w:rPr>
      </w:pPr>
      <w:r>
        <w:rPr>
          <w:lang w:eastAsia="zh-CN" w:bidi="th-TH"/>
        </w:rPr>
        <w:t xml:space="preserve">NSW Department of Primary Industries – Fisheries (2020). Lower Darling Fish Recovery Reach Coordinator Report - Recovering the Lower Darling 2019/20. Report prepared for the MDBA. </w:t>
      </w:r>
    </w:p>
    <w:p w14:paraId="5BB36ACE" w14:textId="77777777" w:rsidR="00AA0841" w:rsidRPr="0022114E" w:rsidRDefault="00AA0841" w:rsidP="00AA0841">
      <w:r>
        <w:t xml:space="preserve">Sharpe, C. (2019) </w:t>
      </w:r>
      <w:r w:rsidRPr="0022114E">
        <w:rPr>
          <w:i/>
        </w:rPr>
        <w:t>Environmental flows to support Murray cod spawning in the lower Darling River 2017</w:t>
      </w:r>
      <w:r>
        <w:t xml:space="preserve">. </w:t>
      </w:r>
      <w:r w:rsidRPr="0022114E">
        <w:t>CPS Enviro report to The Commonwealth Environmental Water Office.</w:t>
      </w:r>
    </w:p>
    <w:p w14:paraId="0D1545C5" w14:textId="77777777" w:rsidR="00AA0841" w:rsidRDefault="00AA0841" w:rsidP="00AA0841">
      <w:r w:rsidRPr="00CF2B48">
        <w:t>Sharpe, C. and Stuart, I. (2018</w:t>
      </w:r>
      <w:r>
        <w:t>a</w:t>
      </w:r>
      <w:r w:rsidRPr="00CF2B48">
        <w:t xml:space="preserve">) </w:t>
      </w:r>
      <w:r w:rsidRPr="00CF2B48">
        <w:rPr>
          <w:i/>
        </w:rPr>
        <w:t>Environmental flows in the Darling River to support native fish populations</w:t>
      </w:r>
      <w:r>
        <w:rPr>
          <w:i/>
        </w:rPr>
        <w:t>.</w:t>
      </w:r>
      <w:r w:rsidRPr="00CF2B48">
        <w:t xml:space="preserve"> CPS Enviro report to The Commonwealth Environmental Water Office.</w:t>
      </w:r>
    </w:p>
    <w:p w14:paraId="04223D62" w14:textId="77777777" w:rsidR="00AA0841" w:rsidRDefault="00AA0841" w:rsidP="00AA0841">
      <w:r>
        <w:t xml:space="preserve">Sharpe, C. and Stuart, I. (2018b) </w:t>
      </w:r>
      <w:r w:rsidRPr="0022114E">
        <w:rPr>
          <w:i/>
        </w:rPr>
        <w:t>Assessment of Murray cod recruitment in the lower Darling River in response to environmental flows 2016–18</w:t>
      </w:r>
      <w:r>
        <w:t>. CPS Enviro technical report to The Commonwealth Environmental Water Office.</w:t>
      </w:r>
    </w:p>
    <w:p w14:paraId="30998F86" w14:textId="77777777" w:rsidR="00AA0841" w:rsidRPr="005813C4" w:rsidRDefault="00AA0841" w:rsidP="00AA0841">
      <w:pPr>
        <w:rPr>
          <w:szCs w:val="22"/>
        </w:rPr>
      </w:pPr>
      <w:r w:rsidRPr="00A61111">
        <w:rPr>
          <w:szCs w:val="22"/>
        </w:rPr>
        <w:t>Stuart, I.G. and Sharpe, C.P. (2020).  Riverine spawning, long distance larval drift, and floodplain recruitment of a pelagophilic fish: A case study of golden perch (</w:t>
      </w:r>
      <w:r w:rsidRPr="00A61111">
        <w:rPr>
          <w:i/>
          <w:szCs w:val="22"/>
        </w:rPr>
        <w:t>Macquaria ambigua</w:t>
      </w:r>
      <w:r w:rsidRPr="00A61111">
        <w:rPr>
          <w:szCs w:val="22"/>
        </w:rPr>
        <w:t xml:space="preserve">) in the arid Darling River, Australia.  Aquatic Conservation: Marine and Freshwater Ecosystems </w:t>
      </w:r>
      <w:r w:rsidRPr="00A61111">
        <w:rPr>
          <w:b/>
          <w:szCs w:val="22"/>
        </w:rPr>
        <w:t>30</w:t>
      </w:r>
      <w:r w:rsidRPr="00A61111">
        <w:rPr>
          <w:szCs w:val="22"/>
        </w:rPr>
        <w:t xml:space="preserve">: 675–690. [ONLINE] Available at </w:t>
      </w:r>
      <w:hyperlink r:id="rId228" w:history="1">
        <w:r w:rsidRPr="00A61111">
          <w:rPr>
            <w:rStyle w:val="Hyperlink"/>
          </w:rPr>
          <w:t>https://onlinelibrary.wiley.com/doi/epdf/10.1002/aqc.3311</w:t>
        </w:r>
      </w:hyperlink>
      <w:r w:rsidRPr="00A61111">
        <w:rPr>
          <w:szCs w:val="22"/>
        </w:rPr>
        <w:t>.</w:t>
      </w:r>
    </w:p>
    <w:p w14:paraId="0E23E6FE" w14:textId="77777777" w:rsidR="00AA0841" w:rsidRDefault="00AA0841" w:rsidP="00AA0841">
      <w:pPr>
        <w:rPr>
          <w:szCs w:val="22"/>
        </w:rPr>
      </w:pPr>
      <w:r>
        <w:rPr>
          <w:szCs w:val="22"/>
        </w:rPr>
        <w:t xml:space="preserve">Zampatti, B.P. and Leigh, S.J. (2013) Within-channel flows promote spawning and recruitment of golden perch, </w:t>
      </w:r>
      <w:r w:rsidRPr="008D1F86">
        <w:rPr>
          <w:i/>
          <w:szCs w:val="22"/>
        </w:rPr>
        <w:t>Macquaria ambigua ambigua</w:t>
      </w:r>
      <w:r>
        <w:rPr>
          <w:szCs w:val="22"/>
        </w:rPr>
        <w:t xml:space="preserve"> – implications for environmental flow management in the River Murray, Australia. </w:t>
      </w:r>
      <w:r w:rsidRPr="001C2ED4">
        <w:rPr>
          <w:i/>
          <w:szCs w:val="22"/>
        </w:rPr>
        <w:t>Marine and Freshwater Research</w:t>
      </w:r>
      <w:r>
        <w:rPr>
          <w:szCs w:val="22"/>
        </w:rPr>
        <w:t xml:space="preserve">, </w:t>
      </w:r>
      <w:r w:rsidRPr="001C2ED4">
        <w:rPr>
          <w:b/>
          <w:szCs w:val="22"/>
        </w:rPr>
        <w:t>64</w:t>
      </w:r>
      <w:r>
        <w:rPr>
          <w:szCs w:val="22"/>
        </w:rPr>
        <w:t>: 618-630.</w:t>
      </w:r>
    </w:p>
    <w:p w14:paraId="1261538D" w14:textId="77777777" w:rsidR="00AA0841" w:rsidRPr="005813C4" w:rsidRDefault="00AA0841" w:rsidP="00AA0841">
      <w:pPr>
        <w:rPr>
          <w:szCs w:val="22"/>
        </w:rPr>
      </w:pPr>
      <w:r w:rsidRPr="008E30A5">
        <w:rPr>
          <w:szCs w:val="22"/>
        </w:rPr>
        <w:t xml:space="preserve">Zampatti, B.P., Wilson, P.J., </w:t>
      </w:r>
      <w:r w:rsidRPr="008E30A5">
        <w:rPr>
          <w:lang w:eastAsia="zh-CN" w:bidi="th-TH"/>
        </w:rPr>
        <w:t>Baumgartner</w:t>
      </w:r>
      <w:r w:rsidRPr="008E30A5">
        <w:rPr>
          <w:szCs w:val="22"/>
        </w:rPr>
        <w:t>, L., Koster, W., Livore, J.P., McCasker, N., Thiem, J., Tonkin, Z. and Ye, Q. (2015).  Reproduction and recruitment of golden perch (</w:t>
      </w:r>
      <w:r w:rsidRPr="008E30A5">
        <w:rPr>
          <w:i/>
          <w:szCs w:val="22"/>
        </w:rPr>
        <w:t>Macquaria ambigua ambigua</w:t>
      </w:r>
      <w:r w:rsidRPr="008E30A5">
        <w:rPr>
          <w:szCs w:val="22"/>
        </w:rPr>
        <w:t>) in the southern Murray-Darling basin in 2013-14: an exploration of river-scale response, connectivity and population dynamics.  SARDI Research Report Series No. 820. 61 pp.</w:t>
      </w:r>
    </w:p>
    <w:p w14:paraId="3ACF0152" w14:textId="77777777" w:rsidR="00AA0841" w:rsidRDefault="00AA0841" w:rsidP="00AA0841">
      <w:pPr>
        <w:spacing w:line="276" w:lineRule="auto"/>
        <w:rPr>
          <w:szCs w:val="22"/>
        </w:rPr>
      </w:pPr>
    </w:p>
    <w:p w14:paraId="65EA8CAC" w14:textId="77777777" w:rsidR="0071217B" w:rsidRDefault="0071217B">
      <w:pPr>
        <w:spacing w:after="0"/>
      </w:pPr>
      <w:r>
        <w:br w:type="page"/>
      </w:r>
    </w:p>
    <w:p w14:paraId="3AFD7125" w14:textId="46682015" w:rsidR="005D79EF" w:rsidRPr="005D79EF" w:rsidRDefault="005D79EF" w:rsidP="005D79EF">
      <w:pPr>
        <w:pStyle w:val="Heading2"/>
        <w:rPr>
          <w:rFonts w:ascii="Century Gothic" w:hAnsi="Century Gothic"/>
          <w:noProof/>
        </w:rPr>
      </w:pPr>
      <w:r w:rsidRPr="005D79EF">
        <w:lastRenderedPageBreak/>
        <w:t>Lachlan River</w:t>
      </w:r>
    </w:p>
    <w:p w14:paraId="27EA641F" w14:textId="77777777" w:rsidR="005D79EF" w:rsidRPr="005D79EF" w:rsidRDefault="005D79EF" w:rsidP="005D79EF">
      <w:pPr>
        <w:pStyle w:val="Heading3"/>
      </w:pPr>
      <w:r w:rsidRPr="005D79EF">
        <w:t>Region overview</w:t>
      </w:r>
    </w:p>
    <w:p w14:paraId="660FBE45" w14:textId="77777777" w:rsidR="005D79EF" w:rsidRPr="005D79EF" w:rsidRDefault="005D79EF" w:rsidP="005D79EF">
      <w:pPr>
        <w:pStyle w:val="Heading4"/>
      </w:pPr>
      <w:r w:rsidRPr="005D79EF">
        <w:t>The Lachlan Valley</w:t>
      </w:r>
    </w:p>
    <w:p w14:paraId="05034213" w14:textId="0A5811CA" w:rsidR="005D79EF" w:rsidRPr="005D79EF" w:rsidRDefault="005D79EF" w:rsidP="005D79EF">
      <w:pPr>
        <w:rPr>
          <w:rFonts w:ascii="Calibri" w:hAnsi="Calibri" w:cs="Calibri"/>
          <w:szCs w:val="22"/>
        </w:rPr>
      </w:pPr>
      <w:r w:rsidRPr="005D79EF">
        <w:rPr>
          <w:rFonts w:ascii="Calibri" w:hAnsi="Calibri" w:cs="Calibri"/>
          <w:szCs w:val="22"/>
        </w:rPr>
        <w:t>The Lachlan River (</w:t>
      </w:r>
      <w:r w:rsidRPr="005D79EF">
        <w:rPr>
          <w:rFonts w:ascii="Calibri" w:hAnsi="Calibri" w:cs="Calibri"/>
          <w:szCs w:val="22"/>
        </w:rPr>
        <w:fldChar w:fldCharType="begin"/>
      </w:r>
      <w:r w:rsidRPr="005D79EF">
        <w:rPr>
          <w:rFonts w:ascii="Calibri" w:hAnsi="Calibri" w:cs="Calibri"/>
          <w:szCs w:val="22"/>
        </w:rPr>
        <w:instrText xml:space="preserve"> REF _Ref475454230 \h  \* MERGEFORMAT </w:instrText>
      </w:r>
      <w:r w:rsidRPr="005D79EF">
        <w:rPr>
          <w:rFonts w:ascii="Calibri" w:hAnsi="Calibri" w:cs="Calibri"/>
          <w:szCs w:val="22"/>
        </w:rPr>
      </w:r>
      <w:r w:rsidRPr="005D79EF">
        <w:rPr>
          <w:rFonts w:ascii="Calibri" w:hAnsi="Calibri" w:cs="Calibri"/>
          <w:szCs w:val="22"/>
        </w:rPr>
        <w:fldChar w:fldCharType="separate"/>
      </w:r>
      <w:r w:rsidR="001B2852" w:rsidRPr="001B2852">
        <w:t xml:space="preserve">Figure </w:t>
      </w:r>
      <w:r w:rsidR="001B2852" w:rsidRPr="001B2852">
        <w:rPr>
          <w:noProof/>
        </w:rPr>
        <w:t>5</w:t>
      </w:r>
      <w:r w:rsidRPr="005D79EF">
        <w:rPr>
          <w:rFonts w:ascii="Calibri" w:hAnsi="Calibri" w:cs="Calibri"/>
          <w:szCs w:val="22"/>
        </w:rPr>
        <w:fldChar w:fldCharType="end"/>
      </w:r>
      <w:r w:rsidRPr="005D79EF">
        <w:rPr>
          <w:rFonts w:ascii="Calibri" w:hAnsi="Calibri" w:cs="Calibri"/>
          <w:szCs w:val="22"/>
        </w:rPr>
        <w:t>) is the fourth longest river in Australia at 1 448 kilometres with a catchment of around 90 000 square kilometres. Flow attenuation in the system is high due to the low gradient of the system and it can take 90 days for a flow event from Wyangala Dam to reach the end of the river system at The Great Cumbung (Barma Water Resources 2011). Many anabranches and distributary creeks in the Lachlan terminate in wetlands. Not all environmental water is sourced from dam releases – unregulated tributary inflows can be ordered and accounted for as environmental water and allowed to reach assets by bypassing regulating storages. The harvesting of water for consumptive purposes has significantly modified the flow of the Lachlan River (Higgisson et al, 2019).</w:t>
      </w:r>
    </w:p>
    <w:p w14:paraId="690A80AE" w14:textId="77777777" w:rsidR="005D79EF" w:rsidRPr="005D79EF" w:rsidRDefault="005D79EF" w:rsidP="005D79EF">
      <w:pPr>
        <w:pStyle w:val="Heading4"/>
      </w:pPr>
      <w:r w:rsidRPr="005D79EF">
        <w:t>Traditional Owners</w:t>
      </w:r>
    </w:p>
    <w:p w14:paraId="52F792BD" w14:textId="77777777" w:rsidR="005D79EF" w:rsidRPr="005D79EF" w:rsidRDefault="005D79EF" w:rsidP="005D79EF">
      <w:pPr>
        <w:autoSpaceDE w:val="0"/>
        <w:autoSpaceDN w:val="0"/>
        <w:adjustRightInd w:val="0"/>
        <w:spacing w:after="0"/>
        <w:rPr>
          <w:rFonts w:ascii="Calibri" w:hAnsi="Calibri" w:cs="Calibri"/>
          <w:szCs w:val="22"/>
        </w:rPr>
      </w:pPr>
      <w:r w:rsidRPr="005D79EF">
        <w:rPr>
          <w:rFonts w:ascii="Calibri" w:hAnsi="Calibri" w:cs="Calibri"/>
          <w:szCs w:val="22"/>
        </w:rPr>
        <w:t>The Lachlan River flows through the lands of the Nari Nari, Ngiyampaa, Wiradjuri and Yita Yita Nations, and the Commonwealth Environvmental Water Office (CEWO) respectfully acknowledge these people, their Elders past, present and future, as the Traditional Owners of the land on which this chapter is focused.</w:t>
      </w:r>
    </w:p>
    <w:p w14:paraId="7EC53C57" w14:textId="77777777" w:rsidR="005D79EF" w:rsidRPr="005D79EF" w:rsidRDefault="005D79EF" w:rsidP="005D79EF">
      <w:pPr>
        <w:pStyle w:val="Heading4"/>
      </w:pPr>
      <w:r w:rsidRPr="005D79EF">
        <w:t>Important sites and values</w:t>
      </w:r>
    </w:p>
    <w:p w14:paraId="6FA8D415" w14:textId="1170FB09" w:rsidR="005D79EF" w:rsidRPr="005D79EF" w:rsidRDefault="005D79EF" w:rsidP="005D79EF">
      <w:r w:rsidRPr="005D79EF">
        <w:t>The draft Long Term Water Plan for the Lachlan Catchment (OEH 2018a and b) provides greater detail on the environmental assets found in the Lachlan Catchment and their watering requirements. The Commonwealth works with NSW agencies to deliver flows to priority sites that are identified from year to year and as conditions change during the year. During 2019-20 sites such as Booberoi Creek, Yarrabandai Lagoon, the river channel, Brewster Weir pool and a number of lower Lachlan wetlands, including the core reed beds of The Great Cumbung (</w:t>
      </w:r>
      <w:r w:rsidRPr="005D79EF">
        <w:fldChar w:fldCharType="begin"/>
      </w:r>
      <w:r w:rsidRPr="005D79EF">
        <w:instrText xml:space="preserve"> REF _Ref43721446 \h  \* MERGEFORMAT </w:instrText>
      </w:r>
      <w:r w:rsidRPr="005D79EF">
        <w:fldChar w:fldCharType="separate"/>
      </w:r>
      <w:r w:rsidR="001B2852" w:rsidRPr="001B2852">
        <w:t xml:space="preserve">Figure </w:t>
      </w:r>
      <w:r w:rsidR="001B2852" w:rsidRPr="001B2852">
        <w:rPr>
          <w:noProof/>
        </w:rPr>
        <w:t>14</w:t>
      </w:r>
      <w:r w:rsidRPr="005D79EF">
        <w:fldChar w:fldCharType="end"/>
      </w:r>
      <w:r w:rsidRPr="005D79EF">
        <w:t>) were watered to create a mosaic of drought refuge sites throughout the Lachlan riverine system.</w:t>
      </w:r>
    </w:p>
    <w:p w14:paraId="3ADD1AD9" w14:textId="77777777" w:rsidR="005D79EF" w:rsidRPr="005D79EF" w:rsidRDefault="005D79EF" w:rsidP="005D79EF">
      <w:pPr>
        <w:pStyle w:val="Heading4"/>
      </w:pPr>
      <w:r w:rsidRPr="005D79EF">
        <w:t>Stakeholder engagement</w:t>
      </w:r>
    </w:p>
    <w:p w14:paraId="4F5BBBFE" w14:textId="77777777" w:rsidR="005D79EF" w:rsidRPr="005D79EF" w:rsidRDefault="005D79EF" w:rsidP="005D79EF">
      <w:r w:rsidRPr="005D79EF">
        <w:t>The CEWO continues to work with NSW Department of Planning, Industry and Environment (NSW DPIE-ESS) in reviewing, coordinating and managing environmental watering actions in the Lachlan Catchment. This work is done in conjunction with the CEWO’s Monitoring, Evaluating and Research (MER) Program provider, the University of Canberra, the river operator WaterNSW and the Lachlan Environmental Water Advisory Group (EWAG). This work is further complemented by regular landholder visits and discussion.</w:t>
      </w:r>
    </w:p>
    <w:p w14:paraId="0D47CBDB" w14:textId="77777777" w:rsidR="005D79EF" w:rsidRPr="005D79EF" w:rsidRDefault="005D79EF" w:rsidP="005D79EF">
      <w:pPr>
        <w:rPr>
          <w:color w:val="auto"/>
        </w:rPr>
      </w:pPr>
    </w:p>
    <w:p w14:paraId="1664361A" w14:textId="77777777" w:rsidR="005D79EF" w:rsidRPr="005D79EF" w:rsidRDefault="005D79EF" w:rsidP="005D79EF">
      <w:pPr>
        <w:rPr>
          <w:color w:val="auto"/>
        </w:rPr>
        <w:sectPr w:rsidR="005D79EF" w:rsidRPr="005D79EF" w:rsidSect="00583873">
          <w:headerReference w:type="default" r:id="rId229"/>
          <w:footerReference w:type="default" r:id="rId230"/>
          <w:footerReference w:type="first" r:id="rId231"/>
          <w:pgSz w:w="11906" w:h="16838"/>
          <w:pgMar w:top="851" w:right="1133" w:bottom="1135" w:left="993" w:header="567" w:footer="397" w:gutter="0"/>
          <w:cols w:space="708"/>
          <w:docGrid w:linePitch="360"/>
        </w:sectPr>
      </w:pPr>
    </w:p>
    <w:p w14:paraId="1D7C3700" w14:textId="77777777" w:rsidR="005D79EF" w:rsidRPr="005D79EF" w:rsidRDefault="005D79EF" w:rsidP="005D79EF">
      <w:pPr>
        <w:spacing w:after="60"/>
        <w:rPr>
          <w:noProof/>
        </w:rPr>
      </w:pPr>
    </w:p>
    <w:p w14:paraId="4156AD47" w14:textId="77777777" w:rsidR="005D79EF" w:rsidRPr="005D79EF" w:rsidRDefault="005D79EF" w:rsidP="005D79EF">
      <w:pPr>
        <w:spacing w:after="60"/>
        <w:rPr>
          <w:noProof/>
        </w:rPr>
      </w:pPr>
      <w:r w:rsidRPr="005D79EF">
        <w:rPr>
          <w:noProof/>
        </w:rPr>
        <w:drawing>
          <wp:inline distT="0" distB="0" distL="0" distR="0" wp14:anchorId="3664C95B" wp14:editId="538D8964">
            <wp:extent cx="6343650" cy="43862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348019" cy="4389271"/>
                    </a:xfrm>
                    <a:prstGeom prst="rect">
                      <a:avLst/>
                    </a:prstGeom>
                    <a:noFill/>
                  </pic:spPr>
                </pic:pic>
              </a:graphicData>
            </a:graphic>
          </wp:inline>
        </w:drawing>
      </w:r>
    </w:p>
    <w:p w14:paraId="35425210" w14:textId="77777777" w:rsidR="005D79EF" w:rsidRPr="005D79EF" w:rsidRDefault="005D79EF" w:rsidP="005D79EF">
      <w:pPr>
        <w:spacing w:after="60"/>
        <w:rPr>
          <w:noProof/>
        </w:rPr>
      </w:pPr>
      <w:r w:rsidRPr="005D79EF">
        <w:rPr>
          <w:noProof/>
        </w:rPr>
        <w:drawing>
          <wp:inline distT="0" distB="0" distL="0" distR="0" wp14:anchorId="77DC994A" wp14:editId="64F1B586">
            <wp:extent cx="6308987" cy="3388360"/>
            <wp:effectExtent l="0" t="0" r="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314504" cy="3391323"/>
                    </a:xfrm>
                    <a:prstGeom prst="rect">
                      <a:avLst/>
                    </a:prstGeom>
                    <a:noFill/>
                  </pic:spPr>
                </pic:pic>
              </a:graphicData>
            </a:graphic>
          </wp:inline>
        </w:drawing>
      </w:r>
    </w:p>
    <w:p w14:paraId="4C52FE69" w14:textId="0537B84A" w:rsidR="005D79EF" w:rsidRPr="005D79EF" w:rsidRDefault="005D79EF" w:rsidP="005D79EF">
      <w:pPr>
        <w:autoSpaceDE w:val="0"/>
        <w:autoSpaceDN w:val="0"/>
        <w:adjustRightInd w:val="0"/>
        <w:spacing w:after="0"/>
        <w:ind w:left="851" w:hanging="851"/>
      </w:pPr>
      <w:r w:rsidRPr="005D79EF">
        <w:rPr>
          <w:b/>
        </w:rPr>
        <w:t xml:space="preserve">Figure </w:t>
      </w:r>
      <w:r w:rsidRPr="005D79EF">
        <w:rPr>
          <w:b/>
        </w:rPr>
        <w:fldChar w:fldCharType="begin"/>
      </w:r>
      <w:r w:rsidRPr="005D79EF">
        <w:rPr>
          <w:b/>
        </w:rPr>
        <w:instrText xml:space="preserve"> SEQ Figure \* ARABIC </w:instrText>
      </w:r>
      <w:r w:rsidRPr="005D79EF">
        <w:rPr>
          <w:b/>
        </w:rPr>
        <w:fldChar w:fldCharType="separate"/>
      </w:r>
      <w:r w:rsidR="001B2852">
        <w:rPr>
          <w:b/>
          <w:noProof/>
        </w:rPr>
        <w:t>13</w:t>
      </w:r>
      <w:r w:rsidRPr="005D79EF">
        <w:rPr>
          <w:b/>
        </w:rPr>
        <w:fldChar w:fldCharType="end"/>
      </w:r>
      <w:r w:rsidRPr="005D79EF">
        <w:t>: The Lachlan valley showing the division of planning units into Zone A and B as used in the draft Long Term Water Plan for the Lachlan Catchment (NSW OEH 2018a)</w:t>
      </w:r>
    </w:p>
    <w:p w14:paraId="26F6F0BE" w14:textId="77777777" w:rsidR="005D79EF" w:rsidRPr="005D79EF" w:rsidRDefault="005D79EF" w:rsidP="005D79EF">
      <w:pPr>
        <w:sectPr w:rsidR="005D79EF" w:rsidRPr="005D79EF" w:rsidSect="00583873">
          <w:pgSz w:w="11906" w:h="16838"/>
          <w:pgMar w:top="992" w:right="1133" w:bottom="1440" w:left="851" w:header="567" w:footer="397" w:gutter="0"/>
          <w:cols w:space="708"/>
          <w:docGrid w:linePitch="360"/>
        </w:sectPr>
      </w:pPr>
    </w:p>
    <w:p w14:paraId="6A7E6065" w14:textId="77777777" w:rsidR="005D79EF" w:rsidRPr="005D79EF" w:rsidRDefault="005D79EF" w:rsidP="005D79EF"/>
    <w:p w14:paraId="0D44E573" w14:textId="77777777" w:rsidR="005D79EF" w:rsidRPr="005D79EF" w:rsidRDefault="005D79EF" w:rsidP="005D79EF">
      <w:r w:rsidRPr="005D79EF">
        <w:rPr>
          <w:noProof/>
        </w:rPr>
        <w:drawing>
          <wp:inline distT="0" distB="0" distL="0" distR="0" wp14:anchorId="27CDC972" wp14:editId="1CB5E63E">
            <wp:extent cx="9260840" cy="5517515"/>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9260840" cy="5517515"/>
                    </a:xfrm>
                    <a:prstGeom prst="rect">
                      <a:avLst/>
                    </a:prstGeom>
                    <a:noFill/>
                  </pic:spPr>
                </pic:pic>
              </a:graphicData>
            </a:graphic>
          </wp:inline>
        </w:drawing>
      </w:r>
    </w:p>
    <w:p w14:paraId="27232FB1" w14:textId="05E962AC" w:rsidR="005D79EF" w:rsidRPr="005D79EF" w:rsidRDefault="005D79EF" w:rsidP="005D79EF">
      <w:bookmarkStart w:id="145" w:name="_Ref43721446"/>
      <w:r w:rsidRPr="005D79EF">
        <w:rPr>
          <w:b/>
        </w:rPr>
        <w:t xml:space="preserve">Figure </w:t>
      </w:r>
      <w:r w:rsidRPr="005D79EF">
        <w:rPr>
          <w:b/>
        </w:rPr>
        <w:fldChar w:fldCharType="begin"/>
      </w:r>
      <w:r w:rsidRPr="005D79EF">
        <w:rPr>
          <w:b/>
        </w:rPr>
        <w:instrText xml:space="preserve"> SEQ Figure \* ARABIC </w:instrText>
      </w:r>
      <w:r w:rsidRPr="005D79EF">
        <w:rPr>
          <w:b/>
        </w:rPr>
        <w:fldChar w:fldCharType="separate"/>
      </w:r>
      <w:r w:rsidR="001B2852">
        <w:rPr>
          <w:b/>
          <w:noProof/>
        </w:rPr>
        <w:t>14</w:t>
      </w:r>
      <w:r w:rsidRPr="005D79EF">
        <w:rPr>
          <w:b/>
        </w:rPr>
        <w:fldChar w:fldCharType="end"/>
      </w:r>
      <w:bookmarkEnd w:id="145"/>
      <w:r w:rsidRPr="005D79EF">
        <w:t>: Map of the Lower Lachlan Catchment (</w:t>
      </w:r>
      <w:r w:rsidR="006B3193">
        <w:t>Driver et al</w:t>
      </w:r>
      <w:r w:rsidRPr="005D79EF">
        <w:t xml:space="preserve"> 20</w:t>
      </w:r>
      <w:r w:rsidR="006B3193">
        <w:t>03</w:t>
      </w:r>
      <w:r w:rsidRPr="005D79EF">
        <w:t>)</w:t>
      </w:r>
    </w:p>
    <w:p w14:paraId="0BE954A6" w14:textId="77777777" w:rsidR="005D79EF" w:rsidRPr="005D79EF" w:rsidRDefault="005D79EF" w:rsidP="005D79EF"/>
    <w:p w14:paraId="11611264" w14:textId="77777777" w:rsidR="005D79EF" w:rsidRPr="005D79EF" w:rsidRDefault="005D79EF" w:rsidP="005D79EF">
      <w:pPr>
        <w:sectPr w:rsidR="005D79EF" w:rsidRPr="005D79EF" w:rsidSect="00583873">
          <w:pgSz w:w="16838" w:h="11906" w:orient="landscape"/>
          <w:pgMar w:top="851" w:right="992" w:bottom="567" w:left="993" w:header="567" w:footer="397" w:gutter="0"/>
          <w:cols w:space="708"/>
          <w:docGrid w:linePitch="360"/>
        </w:sectPr>
      </w:pPr>
    </w:p>
    <w:p w14:paraId="540B2EA3" w14:textId="77777777" w:rsidR="005D79EF" w:rsidRPr="005D79EF" w:rsidRDefault="005D79EF" w:rsidP="005D79EF">
      <w:pPr>
        <w:pStyle w:val="Heading3"/>
      </w:pPr>
      <w:r w:rsidRPr="005D79EF">
        <w:lastRenderedPageBreak/>
        <w:t>Environmental objectives</w:t>
      </w:r>
    </w:p>
    <w:p w14:paraId="4C0918C7" w14:textId="1AF0E2D7" w:rsidR="005D79EF" w:rsidRPr="005D79EF" w:rsidRDefault="005D79EF" w:rsidP="005D79EF">
      <w:r w:rsidRPr="005D79EF">
        <w:fldChar w:fldCharType="begin"/>
      </w:r>
      <w:r w:rsidRPr="005D79EF">
        <w:instrText xml:space="preserve"> REF _Ref43721883 \h  \* MERGEFORMAT </w:instrText>
      </w:r>
      <w:r w:rsidRPr="005D79EF">
        <w:fldChar w:fldCharType="separate"/>
      </w:r>
      <w:r w:rsidR="001B2852" w:rsidRPr="001B2852">
        <w:t xml:space="preserve">Table </w:t>
      </w:r>
      <w:r w:rsidR="001B2852" w:rsidRPr="001B2852">
        <w:rPr>
          <w:noProof/>
        </w:rPr>
        <w:t>32</w:t>
      </w:r>
      <w:r w:rsidRPr="005D79EF">
        <w:fldChar w:fldCharType="end"/>
      </w:r>
      <w:r w:rsidRPr="005D79EF">
        <w:t xml:space="preserve"> sets out the objectives for environmental watering in the Lachlan River catchment, based on long</w:t>
      </w:r>
      <w:r w:rsidRPr="005D79EF">
        <w:noBreakHyphen/>
        <w:t xml:space="preserve">term environmental objectives in the Basin Plan, draft state Long-Term Water Plans (LTWP), site management plans, and best available knowledge. </w:t>
      </w:r>
    </w:p>
    <w:p w14:paraId="140863E9" w14:textId="77777777" w:rsidR="005D79EF" w:rsidRPr="005D79EF" w:rsidRDefault="005D79EF" w:rsidP="005D79EF">
      <w:r w:rsidRPr="005D79EF">
        <w:t>The objectives that are targeted in a particular year may vary, depending on available water, catchment conditions, operational feasibility, and demand for environmental water. These objectives will continue to be revised as part of the CEWO’s commitment to adaptive management.</w:t>
      </w:r>
    </w:p>
    <w:p w14:paraId="20ED9E6A" w14:textId="0C65B890" w:rsidR="005D79EF" w:rsidRPr="005D79EF" w:rsidRDefault="005D79EF" w:rsidP="005D79EF">
      <w:pPr>
        <w:spacing w:before="240"/>
      </w:pPr>
      <w:bookmarkStart w:id="146" w:name="_Ref43721883"/>
      <w:r w:rsidRPr="005D79EF">
        <w:rPr>
          <w:b/>
        </w:rPr>
        <w:t xml:space="preserve">Table </w:t>
      </w:r>
      <w:r w:rsidRPr="005D79EF">
        <w:rPr>
          <w:b/>
        </w:rPr>
        <w:fldChar w:fldCharType="begin"/>
      </w:r>
      <w:r w:rsidRPr="005D79EF">
        <w:rPr>
          <w:b/>
        </w:rPr>
        <w:instrText xml:space="preserve"> SEQ Table \* ARABIC </w:instrText>
      </w:r>
      <w:r w:rsidRPr="005D79EF">
        <w:rPr>
          <w:b/>
        </w:rPr>
        <w:fldChar w:fldCharType="separate"/>
      </w:r>
      <w:r w:rsidR="001B2852">
        <w:rPr>
          <w:b/>
          <w:noProof/>
        </w:rPr>
        <w:t>32</w:t>
      </w:r>
      <w:r w:rsidRPr="005D79EF">
        <w:rPr>
          <w:b/>
        </w:rPr>
        <w:fldChar w:fldCharType="end"/>
      </w:r>
      <w:bookmarkEnd w:id="146"/>
      <w:r w:rsidRPr="005D79EF">
        <w:t>: Summary of objectives for environmental watering in the Lachlan River catchment.</w:t>
      </w:r>
    </w:p>
    <w:tbl>
      <w:tblPr>
        <w:tblStyle w:val="TableGrid3"/>
        <w:tblW w:w="9918" w:type="dxa"/>
        <w:tblLook w:val="04A0" w:firstRow="1" w:lastRow="0" w:firstColumn="1" w:lastColumn="0" w:noHBand="0" w:noVBand="1"/>
      </w:tblPr>
      <w:tblGrid>
        <w:gridCol w:w="1980"/>
        <w:gridCol w:w="3969"/>
        <w:gridCol w:w="3969"/>
      </w:tblGrid>
      <w:tr w:rsidR="005D79EF" w:rsidRPr="005D79EF" w14:paraId="1E6C2F1B" w14:textId="77777777" w:rsidTr="00583873">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6DDE8" w:themeFill="accent5" w:themeFillTint="66"/>
            <w:vAlign w:val="center"/>
          </w:tcPr>
          <w:p w14:paraId="56E307E5" w14:textId="77777777" w:rsidR="005D79EF" w:rsidRPr="005D79EF" w:rsidRDefault="005D79EF" w:rsidP="005D79EF">
            <w:pPr>
              <w:spacing w:after="0"/>
              <w:jc w:val="center"/>
              <w:rPr>
                <w:b/>
                <w:bCs/>
              </w:rPr>
            </w:pPr>
            <w:r w:rsidRPr="005D79EF">
              <w:rPr>
                <w:b/>
                <w:bCs/>
              </w:rPr>
              <w:t>Basin-Wide</w:t>
            </w:r>
          </w:p>
          <w:p w14:paraId="5EB2CFA8" w14:textId="77777777" w:rsidR="005D79EF" w:rsidRPr="005D79EF" w:rsidRDefault="005D79EF" w:rsidP="005D79EF">
            <w:pPr>
              <w:spacing w:after="0"/>
              <w:jc w:val="center"/>
              <w:rPr>
                <w:b/>
                <w:bCs/>
              </w:rPr>
            </w:pPr>
            <w:r w:rsidRPr="005D79EF">
              <w:rPr>
                <w:b/>
                <w:bCs/>
              </w:rPr>
              <w:t>Matters</w:t>
            </w:r>
          </w:p>
        </w:tc>
        <w:tc>
          <w:tcPr>
            <w:tcW w:w="3969" w:type="dxa"/>
            <w:shd w:val="clear" w:color="auto" w:fill="B6DDE8" w:themeFill="accent5" w:themeFillTint="66"/>
            <w:vAlign w:val="center"/>
          </w:tcPr>
          <w:p w14:paraId="0CD5365A" w14:textId="77777777" w:rsidR="005D79EF" w:rsidRPr="005D79EF" w:rsidRDefault="005D79EF" w:rsidP="005D79EF">
            <w:pPr>
              <w:spacing w:after="0"/>
              <w:jc w:val="center"/>
              <w:rPr>
                <w:b/>
                <w:bCs/>
              </w:rPr>
            </w:pPr>
            <w:r w:rsidRPr="005D79EF">
              <w:rPr>
                <w:b/>
                <w:bCs/>
              </w:rPr>
              <w:t>In-Channel Assets</w:t>
            </w:r>
          </w:p>
        </w:tc>
        <w:tc>
          <w:tcPr>
            <w:tcW w:w="3969" w:type="dxa"/>
            <w:shd w:val="clear" w:color="auto" w:fill="B6DDE8" w:themeFill="accent5" w:themeFillTint="66"/>
            <w:vAlign w:val="center"/>
          </w:tcPr>
          <w:p w14:paraId="6A92D7C2" w14:textId="77777777" w:rsidR="005D79EF" w:rsidRPr="005D79EF" w:rsidRDefault="005D79EF" w:rsidP="005D79EF">
            <w:pPr>
              <w:spacing w:after="0"/>
              <w:jc w:val="center"/>
              <w:rPr>
                <w:b/>
                <w:bCs/>
              </w:rPr>
            </w:pPr>
            <w:r w:rsidRPr="005D79EF">
              <w:rPr>
                <w:b/>
                <w:bCs/>
              </w:rPr>
              <w:t>Off-Channel Assets</w:t>
            </w:r>
          </w:p>
        </w:tc>
      </w:tr>
      <w:tr w:rsidR="005D79EF" w:rsidRPr="005D79EF" w14:paraId="5E9F47FF" w14:textId="77777777" w:rsidTr="00583873">
        <w:trPr>
          <w:cnfStyle w:val="000000100000" w:firstRow="0" w:lastRow="0" w:firstColumn="0" w:lastColumn="0" w:oddVBand="0" w:evenVBand="0" w:oddHBand="1" w:evenHBand="0" w:firstRowFirstColumn="0" w:firstRowLastColumn="0" w:lastRowFirstColumn="0" w:lastRowLastColumn="0"/>
        </w:trPr>
        <w:tc>
          <w:tcPr>
            <w:tcW w:w="1980" w:type="dxa"/>
            <w:shd w:val="clear" w:color="auto" w:fill="B6DDE8" w:themeFill="accent5" w:themeFillTint="66"/>
          </w:tcPr>
          <w:p w14:paraId="3757DB6D" w14:textId="77777777" w:rsidR="005D79EF" w:rsidRPr="005D79EF" w:rsidRDefault="005D79EF" w:rsidP="005D79EF">
            <w:pPr>
              <w:jc w:val="center"/>
              <w:rPr>
                <w:b/>
                <w:bCs/>
              </w:rPr>
            </w:pPr>
            <w:r w:rsidRPr="005D79EF">
              <w:rPr>
                <w:b/>
                <w:bCs/>
              </w:rPr>
              <w:t>Vegetation</w:t>
            </w:r>
          </w:p>
        </w:tc>
        <w:tc>
          <w:tcPr>
            <w:tcW w:w="3969" w:type="dxa"/>
          </w:tcPr>
          <w:p w14:paraId="4089BC6A" w14:textId="77777777" w:rsidR="005D79EF" w:rsidRPr="005D79EF" w:rsidRDefault="005D79EF" w:rsidP="005D79EF">
            <w:pPr>
              <w:numPr>
                <w:ilvl w:val="0"/>
                <w:numId w:val="45"/>
              </w:numPr>
              <w:ind w:left="360" w:hanging="360"/>
              <w:rPr>
                <w:lang w:val="en-GB"/>
              </w:rPr>
            </w:pPr>
            <w:r w:rsidRPr="005D79EF">
              <w:rPr>
                <w:lang w:val="en-GB"/>
              </w:rPr>
              <w:t>Maintain riparian and in channel vegetation condition.</w:t>
            </w:r>
          </w:p>
          <w:p w14:paraId="7F0E03D9" w14:textId="77777777" w:rsidR="005D79EF" w:rsidRPr="005D79EF" w:rsidRDefault="005D79EF" w:rsidP="005D79EF">
            <w:pPr>
              <w:numPr>
                <w:ilvl w:val="0"/>
                <w:numId w:val="45"/>
              </w:numPr>
              <w:ind w:left="360" w:hanging="360"/>
              <w:rPr>
                <w:lang w:val="en-GB"/>
              </w:rPr>
            </w:pPr>
            <w:r w:rsidRPr="005D79EF">
              <w:rPr>
                <w:lang w:val="en-GB"/>
              </w:rPr>
              <w:t>Increase periods of growth for nonwoody vegetation communities that closely fringe or occur within river corridors.</w:t>
            </w:r>
          </w:p>
        </w:tc>
        <w:tc>
          <w:tcPr>
            <w:tcW w:w="3969" w:type="dxa"/>
          </w:tcPr>
          <w:p w14:paraId="57B697C3" w14:textId="77777777" w:rsidR="005D79EF" w:rsidRPr="005D79EF" w:rsidRDefault="005D79EF" w:rsidP="005D79EF">
            <w:pPr>
              <w:numPr>
                <w:ilvl w:val="0"/>
                <w:numId w:val="45"/>
              </w:numPr>
              <w:ind w:left="360" w:hanging="360"/>
              <w:rPr>
                <w:lang w:val="en-GB"/>
              </w:rPr>
            </w:pPr>
            <w:r w:rsidRPr="005D79EF">
              <w:rPr>
                <w:lang w:val="en-GB"/>
              </w:rPr>
              <w:t xml:space="preserve">Maintain the current extent of floodplain vegetation near river channels and on low-lying areas of the floodplain. </w:t>
            </w:r>
          </w:p>
          <w:p w14:paraId="12E8FE77" w14:textId="77777777" w:rsidR="005D79EF" w:rsidRPr="005D79EF" w:rsidRDefault="005D79EF" w:rsidP="005D79EF">
            <w:pPr>
              <w:numPr>
                <w:ilvl w:val="0"/>
                <w:numId w:val="45"/>
              </w:numPr>
              <w:ind w:left="360" w:hanging="360"/>
              <w:rPr>
                <w:lang w:val="en-GB"/>
              </w:rPr>
            </w:pPr>
            <w:r w:rsidRPr="005D79EF">
              <w:rPr>
                <w:lang w:val="en-GB"/>
              </w:rPr>
              <w:t xml:space="preserve">Maintain the condition of black box, river red gum and lignum shrublands. </w:t>
            </w:r>
          </w:p>
          <w:p w14:paraId="0F76E0EB" w14:textId="77777777" w:rsidR="005D79EF" w:rsidRPr="005D79EF" w:rsidRDefault="005D79EF" w:rsidP="005D79EF">
            <w:pPr>
              <w:numPr>
                <w:ilvl w:val="0"/>
                <w:numId w:val="45"/>
              </w:numPr>
              <w:ind w:left="360" w:hanging="360"/>
              <w:rPr>
                <w:lang w:val="en-GB"/>
              </w:rPr>
            </w:pPr>
            <w:r w:rsidRPr="005D79EF">
              <w:rPr>
                <w:lang w:val="en-GB"/>
              </w:rPr>
              <w:t>Maintain and improve condition of wetland vegetation.</w:t>
            </w:r>
          </w:p>
        </w:tc>
      </w:tr>
      <w:tr w:rsidR="005D79EF" w:rsidRPr="005D79EF" w14:paraId="2B216D33" w14:textId="77777777" w:rsidTr="00583873">
        <w:trPr>
          <w:cnfStyle w:val="000000010000" w:firstRow="0" w:lastRow="0" w:firstColumn="0" w:lastColumn="0" w:oddVBand="0" w:evenVBand="0" w:oddHBand="0" w:evenHBand="1" w:firstRowFirstColumn="0" w:firstRowLastColumn="0" w:lastRowFirstColumn="0" w:lastRowLastColumn="0"/>
        </w:trPr>
        <w:tc>
          <w:tcPr>
            <w:tcW w:w="1980" w:type="dxa"/>
            <w:shd w:val="clear" w:color="auto" w:fill="B6DDE8" w:themeFill="accent5" w:themeFillTint="66"/>
          </w:tcPr>
          <w:p w14:paraId="1F99FD6C" w14:textId="77777777" w:rsidR="005D79EF" w:rsidRPr="005D79EF" w:rsidRDefault="005D79EF" w:rsidP="005D79EF">
            <w:pPr>
              <w:jc w:val="center"/>
              <w:rPr>
                <w:b/>
                <w:bCs/>
              </w:rPr>
            </w:pPr>
            <w:r w:rsidRPr="005D79EF">
              <w:rPr>
                <w:b/>
                <w:bCs/>
              </w:rPr>
              <w:t>Waterbirds</w:t>
            </w:r>
          </w:p>
        </w:tc>
        <w:tc>
          <w:tcPr>
            <w:tcW w:w="3969" w:type="dxa"/>
          </w:tcPr>
          <w:p w14:paraId="719BCE68" w14:textId="77777777" w:rsidR="005D79EF" w:rsidRPr="005D79EF" w:rsidRDefault="005D79EF" w:rsidP="005D79EF">
            <w:pPr>
              <w:numPr>
                <w:ilvl w:val="0"/>
                <w:numId w:val="45"/>
              </w:numPr>
              <w:ind w:left="360" w:hanging="360"/>
              <w:rPr>
                <w:lang w:val="en-GB"/>
              </w:rPr>
            </w:pPr>
            <w:r w:rsidRPr="005D79EF">
              <w:rPr>
                <w:lang w:val="en-GB"/>
              </w:rPr>
              <w:t>Provide habitat and food sources to support waterbird survival and recruitment and maintain condition and current species diversity.</w:t>
            </w:r>
          </w:p>
        </w:tc>
        <w:tc>
          <w:tcPr>
            <w:tcW w:w="3969" w:type="dxa"/>
          </w:tcPr>
          <w:p w14:paraId="014A5223" w14:textId="77777777" w:rsidR="005D79EF" w:rsidRPr="005D79EF" w:rsidRDefault="005D79EF" w:rsidP="005D79EF">
            <w:pPr>
              <w:numPr>
                <w:ilvl w:val="0"/>
                <w:numId w:val="45"/>
              </w:numPr>
              <w:ind w:left="360" w:hanging="360"/>
              <w:rPr>
                <w:lang w:val="en-GB"/>
              </w:rPr>
            </w:pPr>
            <w:r w:rsidRPr="005D79EF">
              <w:rPr>
                <w:lang w:val="en-GB"/>
              </w:rPr>
              <w:t>Support naturally triggered bird breeding events that may be in danger of failing due to falling water levels.</w:t>
            </w:r>
          </w:p>
          <w:p w14:paraId="1B3DC0FD" w14:textId="77777777" w:rsidR="005D79EF" w:rsidRPr="005D79EF" w:rsidRDefault="005D79EF" w:rsidP="005D79EF">
            <w:pPr>
              <w:numPr>
                <w:ilvl w:val="0"/>
                <w:numId w:val="45"/>
              </w:numPr>
              <w:ind w:left="360" w:hanging="360"/>
              <w:rPr>
                <w:lang w:val="en-GB"/>
              </w:rPr>
            </w:pPr>
            <w:r w:rsidRPr="005D79EF">
              <w:rPr>
                <w:lang w:val="en-GB"/>
              </w:rPr>
              <w:t>Provide habitat and food sources for migratory birds</w:t>
            </w:r>
          </w:p>
        </w:tc>
      </w:tr>
      <w:tr w:rsidR="005D79EF" w:rsidRPr="005D79EF" w14:paraId="19D68B92" w14:textId="77777777" w:rsidTr="00583873">
        <w:trPr>
          <w:cnfStyle w:val="000000100000" w:firstRow="0" w:lastRow="0" w:firstColumn="0" w:lastColumn="0" w:oddVBand="0" w:evenVBand="0" w:oddHBand="1" w:evenHBand="0" w:firstRowFirstColumn="0" w:firstRowLastColumn="0" w:lastRowFirstColumn="0" w:lastRowLastColumn="0"/>
        </w:trPr>
        <w:tc>
          <w:tcPr>
            <w:tcW w:w="1980" w:type="dxa"/>
            <w:shd w:val="clear" w:color="auto" w:fill="B6DDE8" w:themeFill="accent5" w:themeFillTint="66"/>
          </w:tcPr>
          <w:p w14:paraId="3C6700DA" w14:textId="77777777" w:rsidR="005D79EF" w:rsidRPr="005D79EF" w:rsidRDefault="005D79EF" w:rsidP="005D79EF">
            <w:pPr>
              <w:jc w:val="center"/>
              <w:rPr>
                <w:b/>
                <w:bCs/>
              </w:rPr>
            </w:pPr>
            <w:r w:rsidRPr="005D79EF">
              <w:rPr>
                <w:b/>
                <w:bCs/>
              </w:rPr>
              <w:t>Native Fish</w:t>
            </w:r>
          </w:p>
        </w:tc>
        <w:tc>
          <w:tcPr>
            <w:tcW w:w="3969" w:type="dxa"/>
          </w:tcPr>
          <w:p w14:paraId="569879AF" w14:textId="77777777" w:rsidR="005D79EF" w:rsidRPr="005D79EF" w:rsidRDefault="005D79EF" w:rsidP="005D79EF">
            <w:pPr>
              <w:numPr>
                <w:ilvl w:val="0"/>
                <w:numId w:val="45"/>
              </w:numPr>
              <w:ind w:left="360" w:hanging="360"/>
              <w:rPr>
                <w:lang w:val="en-GB"/>
              </w:rPr>
            </w:pPr>
            <w:r w:rsidRPr="005D79EF">
              <w:rPr>
                <w:lang w:val="en-GB"/>
              </w:rPr>
              <w:t>Provide flows to support habitat and food sources and promote increased movement, recruitment and survival/condition of native fish.</w:t>
            </w:r>
          </w:p>
        </w:tc>
        <w:tc>
          <w:tcPr>
            <w:tcW w:w="3969" w:type="dxa"/>
          </w:tcPr>
          <w:p w14:paraId="3280FF7F" w14:textId="77777777" w:rsidR="005D79EF" w:rsidRPr="005D79EF" w:rsidRDefault="005D79EF" w:rsidP="005D79EF">
            <w:pPr>
              <w:numPr>
                <w:ilvl w:val="0"/>
                <w:numId w:val="45"/>
              </w:numPr>
              <w:ind w:left="360" w:hanging="360"/>
              <w:rPr>
                <w:lang w:val="en-GB"/>
              </w:rPr>
            </w:pPr>
            <w:r w:rsidRPr="005D79EF">
              <w:rPr>
                <w:lang w:val="en-GB"/>
              </w:rPr>
              <w:t>Provide flow cues to promote increased movement, recruitment and survival/condition of native fish (particularly for floodplain specialists).</w:t>
            </w:r>
          </w:p>
        </w:tc>
      </w:tr>
      <w:tr w:rsidR="005D79EF" w:rsidRPr="005D79EF" w14:paraId="638AB653" w14:textId="77777777" w:rsidTr="00583873">
        <w:trPr>
          <w:cnfStyle w:val="000000010000" w:firstRow="0" w:lastRow="0" w:firstColumn="0" w:lastColumn="0" w:oddVBand="0" w:evenVBand="0" w:oddHBand="0" w:evenHBand="1" w:firstRowFirstColumn="0" w:firstRowLastColumn="0" w:lastRowFirstColumn="0" w:lastRowLastColumn="0"/>
        </w:trPr>
        <w:tc>
          <w:tcPr>
            <w:tcW w:w="1980" w:type="dxa"/>
            <w:shd w:val="clear" w:color="auto" w:fill="B6DDE8" w:themeFill="accent5" w:themeFillTint="66"/>
          </w:tcPr>
          <w:p w14:paraId="56B5311C" w14:textId="77777777" w:rsidR="005D79EF" w:rsidRPr="005D79EF" w:rsidRDefault="005D79EF" w:rsidP="005D79EF">
            <w:pPr>
              <w:jc w:val="center"/>
              <w:rPr>
                <w:b/>
                <w:bCs/>
              </w:rPr>
            </w:pPr>
            <w:r w:rsidRPr="005D79EF">
              <w:rPr>
                <w:b/>
                <w:bCs/>
              </w:rPr>
              <w:t>Invertebrates</w:t>
            </w:r>
          </w:p>
        </w:tc>
        <w:tc>
          <w:tcPr>
            <w:tcW w:w="7938" w:type="dxa"/>
            <w:gridSpan w:val="2"/>
          </w:tcPr>
          <w:p w14:paraId="0029ED8C" w14:textId="77777777" w:rsidR="005D79EF" w:rsidRPr="005D79EF" w:rsidRDefault="005D79EF" w:rsidP="005D79EF">
            <w:pPr>
              <w:numPr>
                <w:ilvl w:val="0"/>
                <w:numId w:val="45"/>
              </w:numPr>
              <w:ind w:left="360" w:hanging="360"/>
              <w:rPr>
                <w:lang w:val="en-GB"/>
              </w:rPr>
            </w:pPr>
            <w:r w:rsidRPr="005D79EF">
              <w:rPr>
                <w:lang w:val="en-GB"/>
              </w:rPr>
              <w:t>Provide habitat to support increased invertebrate survival, diversity, abundance and condition.</w:t>
            </w:r>
          </w:p>
        </w:tc>
      </w:tr>
      <w:tr w:rsidR="005D79EF" w:rsidRPr="005D79EF" w14:paraId="1CFD196C" w14:textId="77777777" w:rsidTr="00583873">
        <w:trPr>
          <w:cnfStyle w:val="000000100000" w:firstRow="0" w:lastRow="0" w:firstColumn="0" w:lastColumn="0" w:oddVBand="0" w:evenVBand="0" w:oddHBand="1" w:evenHBand="0" w:firstRowFirstColumn="0" w:firstRowLastColumn="0" w:lastRowFirstColumn="0" w:lastRowLastColumn="0"/>
        </w:trPr>
        <w:tc>
          <w:tcPr>
            <w:tcW w:w="1980" w:type="dxa"/>
            <w:shd w:val="clear" w:color="auto" w:fill="B6DDE8" w:themeFill="accent5" w:themeFillTint="66"/>
          </w:tcPr>
          <w:p w14:paraId="5B817D45" w14:textId="77777777" w:rsidR="005D79EF" w:rsidRPr="005D79EF" w:rsidRDefault="005D79EF" w:rsidP="005D79EF">
            <w:pPr>
              <w:jc w:val="center"/>
              <w:rPr>
                <w:b/>
                <w:bCs/>
              </w:rPr>
            </w:pPr>
            <w:r w:rsidRPr="005D79EF">
              <w:rPr>
                <w:b/>
                <w:bCs/>
              </w:rPr>
              <w:t>Other vertebrates</w:t>
            </w:r>
          </w:p>
        </w:tc>
        <w:tc>
          <w:tcPr>
            <w:tcW w:w="7938" w:type="dxa"/>
            <w:gridSpan w:val="2"/>
          </w:tcPr>
          <w:p w14:paraId="11AFB69B" w14:textId="77777777" w:rsidR="005D79EF" w:rsidRPr="005D79EF" w:rsidRDefault="005D79EF" w:rsidP="005D79EF">
            <w:pPr>
              <w:numPr>
                <w:ilvl w:val="0"/>
                <w:numId w:val="45"/>
              </w:numPr>
              <w:ind w:left="360" w:hanging="360"/>
              <w:rPr>
                <w:lang w:val="en-GB"/>
              </w:rPr>
            </w:pPr>
            <w:r w:rsidRPr="005D79EF">
              <w:rPr>
                <w:lang w:val="en-GB"/>
              </w:rPr>
              <w:t>Provide habitat to support survival, maintain condition and provide recruitment opportunities for rakali (native water rat), frogs and turtles.</w:t>
            </w:r>
          </w:p>
        </w:tc>
      </w:tr>
      <w:tr w:rsidR="005D79EF" w:rsidRPr="005D79EF" w14:paraId="06A1E9F5" w14:textId="77777777" w:rsidTr="00583873">
        <w:trPr>
          <w:cnfStyle w:val="000000010000" w:firstRow="0" w:lastRow="0" w:firstColumn="0" w:lastColumn="0" w:oddVBand="0" w:evenVBand="0" w:oddHBand="0" w:evenHBand="1" w:firstRowFirstColumn="0" w:firstRowLastColumn="0" w:lastRowFirstColumn="0" w:lastRowLastColumn="0"/>
        </w:trPr>
        <w:tc>
          <w:tcPr>
            <w:tcW w:w="1980" w:type="dxa"/>
            <w:shd w:val="clear" w:color="auto" w:fill="B6DDE8" w:themeFill="accent5" w:themeFillTint="66"/>
          </w:tcPr>
          <w:p w14:paraId="34C51828" w14:textId="77777777" w:rsidR="005D79EF" w:rsidRPr="005D79EF" w:rsidRDefault="005D79EF" w:rsidP="005D79EF">
            <w:pPr>
              <w:jc w:val="center"/>
              <w:rPr>
                <w:b/>
                <w:bCs/>
              </w:rPr>
            </w:pPr>
            <w:r w:rsidRPr="005D79EF">
              <w:rPr>
                <w:b/>
                <w:bCs/>
              </w:rPr>
              <w:t>Connectivity</w:t>
            </w:r>
          </w:p>
        </w:tc>
        <w:tc>
          <w:tcPr>
            <w:tcW w:w="3969" w:type="dxa"/>
          </w:tcPr>
          <w:p w14:paraId="083C7ACB" w14:textId="77777777" w:rsidR="005D79EF" w:rsidRPr="005D79EF" w:rsidRDefault="005D79EF" w:rsidP="005D79EF">
            <w:pPr>
              <w:numPr>
                <w:ilvl w:val="0"/>
                <w:numId w:val="45"/>
              </w:numPr>
              <w:ind w:left="360" w:hanging="360"/>
              <w:rPr>
                <w:lang w:val="en-GB"/>
              </w:rPr>
            </w:pPr>
            <w:r w:rsidRPr="005D79EF">
              <w:rPr>
                <w:lang w:val="en-GB"/>
              </w:rPr>
              <w:t>Maintain longitudinal &amp; lateral connectivity through contributing to an increase in the frequency of freshes.</w:t>
            </w:r>
          </w:p>
        </w:tc>
        <w:tc>
          <w:tcPr>
            <w:tcW w:w="3969" w:type="dxa"/>
          </w:tcPr>
          <w:p w14:paraId="133F836F" w14:textId="77777777" w:rsidR="005D79EF" w:rsidRPr="005D79EF" w:rsidRDefault="005D79EF" w:rsidP="005D79EF">
            <w:pPr>
              <w:numPr>
                <w:ilvl w:val="0"/>
                <w:numId w:val="45"/>
              </w:numPr>
              <w:ind w:left="360" w:hanging="360"/>
              <w:rPr>
                <w:lang w:val="en-GB"/>
              </w:rPr>
            </w:pPr>
            <w:r w:rsidRPr="005D79EF">
              <w:rPr>
                <w:lang w:val="en-GB"/>
              </w:rPr>
              <w:t>Maintain latitudinal connectivity (within constraints) to wetlands, floodplains, creeks and anabranches by contributing an increase in the frequency of lowland floodplain flows.</w:t>
            </w:r>
          </w:p>
        </w:tc>
      </w:tr>
      <w:tr w:rsidR="005D79EF" w:rsidRPr="005D79EF" w14:paraId="74783224" w14:textId="77777777" w:rsidTr="00583873">
        <w:trPr>
          <w:cnfStyle w:val="000000100000" w:firstRow="0" w:lastRow="0" w:firstColumn="0" w:lastColumn="0" w:oddVBand="0" w:evenVBand="0" w:oddHBand="1" w:evenHBand="0" w:firstRowFirstColumn="0" w:firstRowLastColumn="0" w:lastRowFirstColumn="0" w:lastRowLastColumn="0"/>
        </w:trPr>
        <w:tc>
          <w:tcPr>
            <w:tcW w:w="1980" w:type="dxa"/>
            <w:shd w:val="clear" w:color="auto" w:fill="B6DDE8" w:themeFill="accent5" w:themeFillTint="66"/>
          </w:tcPr>
          <w:p w14:paraId="0C990B10" w14:textId="77777777" w:rsidR="005D79EF" w:rsidRPr="005D79EF" w:rsidRDefault="005D79EF" w:rsidP="005D79EF">
            <w:pPr>
              <w:jc w:val="center"/>
              <w:rPr>
                <w:b/>
                <w:bCs/>
              </w:rPr>
            </w:pPr>
            <w:r w:rsidRPr="005D79EF">
              <w:rPr>
                <w:b/>
                <w:bCs/>
              </w:rPr>
              <w:t>Process</w:t>
            </w:r>
          </w:p>
          <w:p w14:paraId="664A1AFC" w14:textId="77777777" w:rsidR="005D79EF" w:rsidRPr="005D79EF" w:rsidRDefault="005D79EF" w:rsidP="005D79EF">
            <w:pPr>
              <w:jc w:val="center"/>
              <w:rPr>
                <w:b/>
                <w:bCs/>
              </w:rPr>
            </w:pPr>
            <w:r w:rsidRPr="005D79EF">
              <w:rPr>
                <w:b/>
                <w:bCs/>
              </w:rPr>
              <w:t>Water quality</w:t>
            </w:r>
          </w:p>
          <w:p w14:paraId="43FA1BE6" w14:textId="77777777" w:rsidR="005D79EF" w:rsidRPr="005D79EF" w:rsidRDefault="005D79EF" w:rsidP="005D79EF">
            <w:pPr>
              <w:jc w:val="center"/>
              <w:rPr>
                <w:b/>
                <w:bCs/>
              </w:rPr>
            </w:pPr>
            <w:r w:rsidRPr="005D79EF">
              <w:rPr>
                <w:b/>
                <w:bCs/>
              </w:rPr>
              <w:t>Resilience</w:t>
            </w:r>
          </w:p>
        </w:tc>
        <w:tc>
          <w:tcPr>
            <w:tcW w:w="7938" w:type="dxa"/>
            <w:gridSpan w:val="2"/>
          </w:tcPr>
          <w:p w14:paraId="6D0D2509" w14:textId="77777777" w:rsidR="005D79EF" w:rsidRPr="005D79EF" w:rsidRDefault="005D79EF" w:rsidP="005D79EF">
            <w:pPr>
              <w:numPr>
                <w:ilvl w:val="0"/>
                <w:numId w:val="45"/>
              </w:numPr>
              <w:ind w:left="360" w:hanging="360"/>
              <w:rPr>
                <w:lang w:val="en-GB"/>
              </w:rPr>
            </w:pPr>
            <w:r w:rsidRPr="005D79EF">
              <w:rPr>
                <w:lang w:val="en-GB"/>
              </w:rPr>
              <w:t>Increase primary productivity, nutrient and carbon cycling, biotic dispersal and movement. Increase transport of organic matter and nutrients downstream.</w:t>
            </w:r>
          </w:p>
          <w:p w14:paraId="2C52CC59" w14:textId="77777777" w:rsidR="005D79EF" w:rsidRPr="005D79EF" w:rsidRDefault="005D79EF" w:rsidP="005D79EF">
            <w:pPr>
              <w:numPr>
                <w:ilvl w:val="0"/>
                <w:numId w:val="45"/>
              </w:numPr>
              <w:ind w:left="360" w:hanging="360"/>
              <w:rPr>
                <w:lang w:val="en-GB"/>
              </w:rPr>
            </w:pPr>
            <w:r w:rsidRPr="005D79EF">
              <w:rPr>
                <w:lang w:val="en-GB"/>
              </w:rPr>
              <w:t>Maintain water quality and provide refuge habitat from adverse water quality events.</w:t>
            </w:r>
          </w:p>
          <w:p w14:paraId="7F763264" w14:textId="77777777" w:rsidR="005D79EF" w:rsidRPr="005D79EF" w:rsidRDefault="005D79EF" w:rsidP="005D79EF">
            <w:pPr>
              <w:numPr>
                <w:ilvl w:val="0"/>
                <w:numId w:val="45"/>
              </w:numPr>
              <w:ind w:left="360" w:hanging="360"/>
              <w:rPr>
                <w:lang w:val="en-GB"/>
              </w:rPr>
            </w:pPr>
            <w:r w:rsidRPr="005D79EF">
              <w:rPr>
                <w:lang w:val="en-GB"/>
              </w:rPr>
              <w:t>Provide drought refuge habitat and maintenance/condition of native biota.</w:t>
            </w:r>
          </w:p>
        </w:tc>
      </w:tr>
    </w:tbl>
    <w:p w14:paraId="42288D2F" w14:textId="77777777" w:rsidR="005D79EF" w:rsidRPr="005D79EF" w:rsidRDefault="005D79EF" w:rsidP="005D79EF">
      <w:pPr>
        <w:spacing w:after="0"/>
      </w:pPr>
      <w:r w:rsidRPr="005D79EF">
        <w:br w:type="page"/>
      </w:r>
    </w:p>
    <w:p w14:paraId="28BD1287" w14:textId="77777777" w:rsidR="005D79EF" w:rsidRPr="005D79EF" w:rsidRDefault="005D79EF" w:rsidP="005D79EF">
      <w:pPr>
        <w:pStyle w:val="Heading3"/>
      </w:pPr>
      <w:r w:rsidRPr="005D79EF">
        <w:lastRenderedPageBreak/>
        <w:t>First Nations Environmental Objectives</w:t>
      </w:r>
    </w:p>
    <w:p w14:paraId="787C7F56" w14:textId="5AC967CA" w:rsidR="005D79EF" w:rsidRPr="005D79EF" w:rsidRDefault="005D79EF" w:rsidP="005D79EF">
      <w:pPr>
        <w:rPr>
          <w:rFonts w:ascii="Segoe UI" w:hAnsi="Segoe UI" w:cs="Segoe UI"/>
          <w:lang w:val="en-US"/>
        </w:rPr>
      </w:pPr>
      <w:r w:rsidRPr="005D79EF">
        <w:rPr>
          <w:lang w:val="en-US"/>
        </w:rPr>
        <w:t xml:space="preserve">Advice on environmental water objectives in the Lachlan Catchment has been provided by the Murray Lower Darling Rivers Indigenous Nations (MLDRIN) and the Northern Basin Aboriginal Nations (NBAN) through the First Nations Environmental Water Guidance project. </w:t>
      </w:r>
      <w:r w:rsidRPr="005D79EF">
        <w:rPr>
          <w:lang w:val="en-US"/>
        </w:rPr>
        <w:fldChar w:fldCharType="begin"/>
      </w:r>
      <w:r w:rsidRPr="005D79EF">
        <w:rPr>
          <w:lang w:val="en-US"/>
        </w:rPr>
        <w:instrText xml:space="preserve"> REF _Ref44323251 \h  \* MERGEFORMAT </w:instrText>
      </w:r>
      <w:r w:rsidRPr="005D79EF">
        <w:rPr>
          <w:lang w:val="en-US"/>
        </w:rPr>
      </w:r>
      <w:r w:rsidRPr="005D79EF">
        <w:rPr>
          <w:lang w:val="en-US"/>
        </w:rPr>
        <w:fldChar w:fldCharType="separate"/>
      </w:r>
      <w:r w:rsidR="001B2852" w:rsidRPr="001B2852">
        <w:t xml:space="preserve">Table </w:t>
      </w:r>
      <w:r w:rsidR="001B2852" w:rsidRPr="001B2852">
        <w:rPr>
          <w:noProof/>
        </w:rPr>
        <w:t>33</w:t>
      </w:r>
      <w:r w:rsidRPr="005D79EF">
        <w:rPr>
          <w:lang w:val="en-US"/>
        </w:rPr>
        <w:fldChar w:fldCharType="end"/>
      </w:r>
      <w:r w:rsidRPr="005D79EF">
        <w:rPr>
          <w:lang w:val="en-US"/>
        </w:rPr>
        <w:t xml:space="preserve"> includes just some of the common objectives for the Lachlan Catchment, provided by MLDRIN, selected as they were raised by two or more participating Nations for the region. It is important to note these objectives do not represent the detail, depth and complexity of Nations’ localised water-related objectives. </w:t>
      </w:r>
      <w:r w:rsidRPr="005D79EF">
        <w:rPr>
          <w:lang w:val="en-US"/>
        </w:rPr>
        <w:fldChar w:fldCharType="begin"/>
      </w:r>
      <w:r w:rsidRPr="005D79EF">
        <w:rPr>
          <w:lang w:val="en-US"/>
        </w:rPr>
        <w:instrText xml:space="preserve"> REF _Ref44322774 \h  \* MERGEFORMAT </w:instrText>
      </w:r>
      <w:r w:rsidRPr="005D79EF">
        <w:rPr>
          <w:lang w:val="en-US"/>
        </w:rPr>
      </w:r>
      <w:r w:rsidRPr="005D79EF">
        <w:rPr>
          <w:lang w:val="en-US"/>
        </w:rPr>
        <w:fldChar w:fldCharType="separate"/>
      </w:r>
      <w:r w:rsidR="001B2852" w:rsidRPr="001B2852">
        <w:t xml:space="preserve">Table </w:t>
      </w:r>
      <w:r w:rsidR="001B2852" w:rsidRPr="001B2852">
        <w:rPr>
          <w:noProof/>
        </w:rPr>
        <w:t>34</w:t>
      </w:r>
      <w:r w:rsidRPr="005D79EF">
        <w:rPr>
          <w:lang w:val="en-US"/>
        </w:rPr>
        <w:fldChar w:fldCharType="end"/>
      </w:r>
      <w:r w:rsidRPr="005D79EF">
        <w:rPr>
          <w:lang w:val="en-US"/>
        </w:rPr>
        <w:t xml:space="preserve"> shows the First Nations environmental water objectives provided by NBAN for the Lachlan Catchment.</w:t>
      </w:r>
    </w:p>
    <w:p w14:paraId="5B2DEC38" w14:textId="77777777" w:rsidR="005D79EF" w:rsidRPr="005D79EF" w:rsidRDefault="005D79EF" w:rsidP="005D79EF">
      <w:r w:rsidRPr="005D79EF">
        <w:rPr>
          <w:noProof/>
        </w:rPr>
        <mc:AlternateContent>
          <mc:Choice Requires="wps">
            <w:drawing>
              <wp:anchor distT="0" distB="0" distL="114300" distR="114300" simplePos="0" relativeHeight="251671562" behindDoc="0" locked="0" layoutInCell="1" allowOverlap="1" wp14:anchorId="094EAB79" wp14:editId="2A14F75B">
                <wp:simplePos x="0" y="0"/>
                <wp:positionH relativeFrom="margin">
                  <wp:align>left</wp:align>
                </wp:positionH>
                <wp:positionV relativeFrom="paragraph">
                  <wp:posOffset>5780405</wp:posOffset>
                </wp:positionV>
                <wp:extent cx="6019800" cy="635"/>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6019800" cy="635"/>
                        </a:xfrm>
                        <a:prstGeom prst="rect">
                          <a:avLst/>
                        </a:prstGeom>
                        <a:solidFill>
                          <a:prstClr val="white"/>
                        </a:solidFill>
                        <a:ln>
                          <a:noFill/>
                        </a:ln>
                      </wps:spPr>
                      <wps:txbx>
                        <w:txbxContent>
                          <w:p w14:paraId="7462C5F9" w14:textId="6207FDAA" w:rsidR="00583873" w:rsidRPr="005D79EF" w:rsidRDefault="00583873" w:rsidP="005D79EF">
                            <w:pPr>
                              <w:pStyle w:val="Caption"/>
                              <w:rPr>
                                <w:rFonts w:cs="Century Gothic"/>
                                <w:noProof/>
                                <w:color w:val="000000"/>
                                <w:sz w:val="22"/>
                                <w:szCs w:val="22"/>
                              </w:rPr>
                            </w:pPr>
                            <w:r w:rsidRPr="005D79EF">
                              <w:rPr>
                                <w:sz w:val="22"/>
                                <w:szCs w:val="22"/>
                              </w:rPr>
                              <w:t xml:space="preserve">Figure </w:t>
                            </w:r>
                            <w:r w:rsidRPr="005D79EF">
                              <w:rPr>
                                <w:sz w:val="22"/>
                                <w:szCs w:val="22"/>
                              </w:rPr>
                              <w:fldChar w:fldCharType="begin"/>
                            </w:r>
                            <w:r w:rsidRPr="005D79EF">
                              <w:rPr>
                                <w:sz w:val="22"/>
                                <w:szCs w:val="22"/>
                              </w:rPr>
                              <w:instrText xml:space="preserve"> SEQ Figure \* ARABIC </w:instrText>
                            </w:r>
                            <w:r w:rsidRPr="005D79EF">
                              <w:rPr>
                                <w:sz w:val="22"/>
                                <w:szCs w:val="22"/>
                              </w:rPr>
                              <w:fldChar w:fldCharType="separate"/>
                            </w:r>
                            <w:r w:rsidR="001B2852">
                              <w:rPr>
                                <w:noProof/>
                                <w:sz w:val="22"/>
                                <w:szCs w:val="22"/>
                              </w:rPr>
                              <w:t>15</w:t>
                            </w:r>
                            <w:r w:rsidRPr="005D79EF">
                              <w:rPr>
                                <w:noProof/>
                                <w:sz w:val="22"/>
                                <w:szCs w:val="22"/>
                              </w:rPr>
                              <w:fldChar w:fldCharType="end"/>
                            </w:r>
                            <w:r w:rsidRPr="005D79EF">
                              <w:rPr>
                                <w:sz w:val="22"/>
                                <w:szCs w:val="22"/>
                              </w:rPr>
                              <w:t xml:space="preserve">: </w:t>
                            </w:r>
                            <w:r w:rsidRPr="005D79EF">
                              <w:rPr>
                                <w:b w:val="0"/>
                                <w:bCs w:val="0"/>
                                <w:sz w:val="22"/>
                                <w:szCs w:val="22"/>
                              </w:rPr>
                              <w:t>Eel-tailed Catfish story (NBAN,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4EAB79" id="Text Box 48" o:spid="_x0000_s1030" type="#_x0000_t202" style="position:absolute;margin-left:0;margin-top:455.15pt;width:474pt;height:.05pt;z-index:25167156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" stroked="f">
                <v:textbox style="mso-fit-shape-to-text:t" inset="0,0,0,0">
                  <w:txbxContent>
                    <w:p w14:paraId="7462C5F9" w14:textId="6207FDAA" w:rsidR="00583873" w:rsidRPr="005D79EF" w:rsidRDefault="00583873" w:rsidP="005D79EF">
                      <w:pPr>
                        <w:pStyle w:val="Caption"/>
                        <w:rPr>
                          <w:rFonts w:cs="Century Gothic"/>
                          <w:noProof/>
                          <w:color w:val="000000"/>
                          <w:sz w:val="22"/>
                          <w:szCs w:val="22"/>
                        </w:rPr>
                      </w:pPr>
                      <w:r w:rsidRPr="005D79EF">
                        <w:rPr>
                          <w:sz w:val="22"/>
                          <w:szCs w:val="22"/>
                        </w:rPr>
                        <w:t xml:space="preserve">Figure </w:t>
                      </w:r>
                      <w:r w:rsidRPr="005D79EF">
                        <w:rPr>
                          <w:sz w:val="22"/>
                          <w:szCs w:val="22"/>
                        </w:rPr>
                        <w:fldChar w:fldCharType="begin"/>
                      </w:r>
                      <w:r w:rsidRPr="005D79EF">
                        <w:rPr>
                          <w:sz w:val="22"/>
                          <w:szCs w:val="22"/>
                        </w:rPr>
                        <w:instrText xml:space="preserve"> SEQ Figure \* ARABIC </w:instrText>
                      </w:r>
                      <w:r w:rsidRPr="005D79EF">
                        <w:rPr>
                          <w:sz w:val="22"/>
                          <w:szCs w:val="22"/>
                        </w:rPr>
                        <w:fldChar w:fldCharType="separate"/>
                      </w:r>
                      <w:r w:rsidR="001B2852">
                        <w:rPr>
                          <w:noProof/>
                          <w:sz w:val="22"/>
                          <w:szCs w:val="22"/>
                        </w:rPr>
                        <w:t>15</w:t>
                      </w:r>
                      <w:r w:rsidRPr="005D79EF">
                        <w:rPr>
                          <w:noProof/>
                          <w:sz w:val="22"/>
                          <w:szCs w:val="22"/>
                        </w:rPr>
                        <w:fldChar w:fldCharType="end"/>
                      </w:r>
                      <w:r w:rsidRPr="005D79EF">
                        <w:rPr>
                          <w:sz w:val="22"/>
                          <w:szCs w:val="22"/>
                        </w:rPr>
                        <w:t xml:space="preserve">: </w:t>
                      </w:r>
                      <w:r w:rsidRPr="005D79EF">
                        <w:rPr>
                          <w:b w:val="0"/>
                          <w:bCs w:val="0"/>
                          <w:sz w:val="22"/>
                          <w:szCs w:val="22"/>
                        </w:rPr>
                        <w:t>Eel-tailed Catfish story (NBAN, 2020)</w:t>
                      </w:r>
                    </w:p>
                  </w:txbxContent>
                </v:textbox>
                <w10:wrap type="square" anchorx="margin"/>
              </v:shape>
            </w:pict>
          </mc:Fallback>
        </mc:AlternateContent>
      </w:r>
      <w:r w:rsidRPr="005D79EF">
        <w:rPr>
          <w:noProof/>
        </w:rPr>
        <w:drawing>
          <wp:anchor distT="0" distB="0" distL="114300" distR="114300" simplePos="0" relativeHeight="251670538" behindDoc="0" locked="0" layoutInCell="1" allowOverlap="1" wp14:anchorId="016232F5" wp14:editId="2F498CC3">
            <wp:simplePos x="0" y="0"/>
            <wp:positionH relativeFrom="margin">
              <wp:align>left</wp:align>
            </wp:positionH>
            <wp:positionV relativeFrom="paragraph">
              <wp:posOffset>972185</wp:posOffset>
            </wp:positionV>
            <wp:extent cx="6019800" cy="4745134"/>
            <wp:effectExtent l="19050" t="19050" r="19050" b="1778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extLst>
                        <a:ext uri="{28A0092B-C50C-407E-A947-70E740481C1C}">
                          <a14:useLocalDpi xmlns:a14="http://schemas.microsoft.com/office/drawing/2010/main" val="0"/>
                        </a:ext>
                      </a:extLst>
                    </a:blip>
                    <a:srcRect t="1" b="839"/>
                    <a:stretch/>
                  </pic:blipFill>
                  <pic:spPr bwMode="auto">
                    <a:xfrm>
                      <a:off x="0" y="0"/>
                      <a:ext cx="6019800" cy="4745134"/>
                    </a:xfrm>
                    <a:prstGeom prst="rect">
                      <a:avLst/>
                    </a:prstGeom>
                    <a:ln>
                      <a:solidFill>
                        <a:srgbClr val="4F81BD"/>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79EF">
        <w:t>Some of these objectives sit outside the scope of water for the environment to influence, while for others, the link between water for the environment and the site or issues is not well understood.  Environmental flows will aim to contribute to identified objectives, where possible.  The Commonwealth Environmental Water Holder (CEWH) is committed to continuing to strengthen engagement with all Southern Basin First Nations to support those Nations to articulate objectives for water management.</w:t>
      </w:r>
    </w:p>
    <w:p w14:paraId="0BCC026E" w14:textId="77777777" w:rsidR="005D79EF" w:rsidRPr="005D79EF" w:rsidRDefault="005D79EF" w:rsidP="005D79EF">
      <w:pPr>
        <w:rPr>
          <w:color w:val="auto"/>
        </w:rPr>
      </w:pPr>
    </w:p>
    <w:p w14:paraId="2C85E086" w14:textId="77777777" w:rsidR="005D79EF" w:rsidRPr="005D79EF" w:rsidRDefault="005D79EF" w:rsidP="005D79EF">
      <w:pPr>
        <w:rPr>
          <w:color w:val="auto"/>
        </w:rPr>
      </w:pPr>
    </w:p>
    <w:p w14:paraId="27032EC0" w14:textId="77777777" w:rsidR="005D79EF" w:rsidRPr="005D79EF" w:rsidRDefault="005D79EF" w:rsidP="005D79EF">
      <w:pPr>
        <w:rPr>
          <w:color w:val="auto"/>
        </w:rPr>
      </w:pPr>
    </w:p>
    <w:p w14:paraId="40254CD3" w14:textId="77777777" w:rsidR="005D79EF" w:rsidRPr="005D79EF" w:rsidRDefault="005D79EF" w:rsidP="005D79EF">
      <w:pPr>
        <w:rPr>
          <w:color w:val="auto"/>
        </w:rPr>
      </w:pPr>
    </w:p>
    <w:p w14:paraId="720102A8" w14:textId="77777777" w:rsidR="005D79EF" w:rsidRPr="005D79EF" w:rsidRDefault="005D79EF" w:rsidP="005D79EF">
      <w:pPr>
        <w:rPr>
          <w:color w:val="auto"/>
        </w:rPr>
      </w:pPr>
    </w:p>
    <w:p w14:paraId="2BCFD63A" w14:textId="77777777" w:rsidR="005D79EF" w:rsidRPr="005D79EF" w:rsidRDefault="005D79EF" w:rsidP="005D79EF">
      <w:pPr>
        <w:spacing w:after="0"/>
        <w:rPr>
          <w:b/>
        </w:rPr>
      </w:pPr>
      <w:bookmarkStart w:id="147" w:name="_Ref43389847"/>
      <w:r w:rsidRPr="005D79EF">
        <w:rPr>
          <w:b/>
        </w:rPr>
        <w:br w:type="page"/>
      </w:r>
    </w:p>
    <w:p w14:paraId="5F5A37D3" w14:textId="08E0B1BE" w:rsidR="005D79EF" w:rsidRPr="005D79EF" w:rsidRDefault="005D79EF" w:rsidP="005D79EF">
      <w:pPr>
        <w:spacing w:before="240"/>
      </w:pPr>
      <w:bookmarkStart w:id="148" w:name="_Ref44323251"/>
      <w:r w:rsidRPr="005D79EF">
        <w:rPr>
          <w:b/>
        </w:rPr>
        <w:lastRenderedPageBreak/>
        <w:t xml:space="preserve">Table </w:t>
      </w:r>
      <w:r w:rsidRPr="005D79EF">
        <w:rPr>
          <w:b/>
        </w:rPr>
        <w:fldChar w:fldCharType="begin"/>
      </w:r>
      <w:r w:rsidRPr="005D79EF">
        <w:rPr>
          <w:b/>
        </w:rPr>
        <w:instrText xml:space="preserve"> SEQ Table \* ARABIC </w:instrText>
      </w:r>
      <w:r w:rsidRPr="005D79EF">
        <w:rPr>
          <w:b/>
        </w:rPr>
        <w:fldChar w:fldCharType="separate"/>
      </w:r>
      <w:r w:rsidR="001B2852">
        <w:rPr>
          <w:b/>
          <w:noProof/>
        </w:rPr>
        <w:t>33</w:t>
      </w:r>
      <w:r w:rsidRPr="005D79EF">
        <w:rPr>
          <w:b/>
        </w:rPr>
        <w:fldChar w:fldCharType="end"/>
      </w:r>
      <w:bookmarkEnd w:id="147"/>
      <w:bookmarkEnd w:id="148"/>
      <w:r w:rsidRPr="005D79EF">
        <w:rPr>
          <w:b/>
        </w:rPr>
        <w:t xml:space="preserve">: </w:t>
      </w:r>
      <w:r w:rsidRPr="005D79EF">
        <w:t>First Nations environmental objectives for the Lachlan Catchment 2020-21 provided by MLDRIN (MLDRIN 2020)</w:t>
      </w:r>
    </w:p>
    <w:tbl>
      <w:tblPr>
        <w:tblStyle w:val="TableGrid"/>
        <w:tblW w:w="9776" w:type="dxa"/>
        <w:tblLook w:val="04A0" w:firstRow="1" w:lastRow="0" w:firstColumn="1" w:lastColumn="0" w:noHBand="0" w:noVBand="1"/>
      </w:tblPr>
      <w:tblGrid>
        <w:gridCol w:w="9776"/>
      </w:tblGrid>
      <w:tr w:rsidR="005D79EF" w:rsidRPr="005D79EF" w14:paraId="17AC81BF" w14:textId="77777777" w:rsidTr="00583873">
        <w:trPr>
          <w:cnfStyle w:val="100000000000" w:firstRow="1" w:lastRow="0" w:firstColumn="0" w:lastColumn="0" w:oddVBand="0" w:evenVBand="0" w:oddHBand="0" w:evenHBand="0" w:firstRowFirstColumn="0" w:firstRowLastColumn="0" w:lastRowFirstColumn="0" w:lastRowLastColumn="0"/>
        </w:trPr>
        <w:tc>
          <w:tcPr>
            <w:tcW w:w="9776" w:type="dxa"/>
            <w:tcBorders>
              <w:bottom w:val="nil"/>
            </w:tcBorders>
            <w:shd w:val="clear" w:color="auto" w:fill="B6DDE8" w:themeFill="accent5" w:themeFillTint="66"/>
          </w:tcPr>
          <w:p w14:paraId="231C81CE" w14:textId="77777777" w:rsidR="005D79EF" w:rsidRPr="005D79EF" w:rsidRDefault="005D79EF" w:rsidP="005D79EF">
            <w:pPr>
              <w:rPr>
                <w:b/>
                <w:szCs w:val="22"/>
              </w:rPr>
            </w:pPr>
            <w:r w:rsidRPr="005D79EF">
              <w:rPr>
                <w:b/>
                <w:szCs w:val="22"/>
                <w:lang w:val="en-GB"/>
              </w:rPr>
              <w:t>Waterways and Places in Need of watering</w:t>
            </w:r>
          </w:p>
        </w:tc>
      </w:tr>
      <w:tr w:rsidR="005D79EF" w:rsidRPr="005D79EF" w14:paraId="4EBFC3CA"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4FFA41EB" w14:textId="77777777" w:rsidR="005D79EF" w:rsidRPr="005D79EF" w:rsidRDefault="005D79EF" w:rsidP="005D79EF">
            <w:pPr>
              <w:rPr>
                <w:szCs w:val="22"/>
              </w:rPr>
            </w:pPr>
            <w:r w:rsidRPr="005D79EF">
              <w:rPr>
                <w:szCs w:val="22"/>
              </w:rPr>
              <w:t>Billabongs (general), All on Country, Murrumbidgee, Lachlan</w:t>
            </w:r>
          </w:p>
        </w:tc>
      </w:tr>
      <w:tr w:rsidR="005D79EF" w:rsidRPr="005D79EF" w14:paraId="457353C9"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2DC6FA0B" w14:textId="77777777" w:rsidR="005D79EF" w:rsidRPr="005D79EF" w:rsidRDefault="005D79EF" w:rsidP="005D79EF">
            <w:pPr>
              <w:rPr>
                <w:b/>
                <w:szCs w:val="22"/>
              </w:rPr>
            </w:pPr>
            <w:r w:rsidRPr="005D79EF">
              <w:rPr>
                <w:b/>
                <w:szCs w:val="22"/>
              </w:rPr>
              <w:t>River Flows and Connectivity</w:t>
            </w:r>
          </w:p>
        </w:tc>
      </w:tr>
      <w:tr w:rsidR="005D79EF" w:rsidRPr="005D79EF" w14:paraId="709B8D0D"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74620D0C" w14:textId="77777777" w:rsidR="005D79EF" w:rsidRPr="005D79EF" w:rsidRDefault="005D79EF" w:rsidP="005D79EF">
            <w:pPr>
              <w:rPr>
                <w:szCs w:val="22"/>
              </w:rPr>
            </w:pPr>
            <w:r w:rsidRPr="005D79EF">
              <w:rPr>
                <w:szCs w:val="22"/>
              </w:rPr>
              <w:t>Improve water quality, Improve timing and seasonality of flows, Improve flows and quantity (rivers and general), Remove barriers and constraints.</w:t>
            </w:r>
          </w:p>
        </w:tc>
      </w:tr>
      <w:tr w:rsidR="005D79EF" w:rsidRPr="005D79EF" w14:paraId="1B7FF7F3"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1A7F2A21" w14:textId="77777777" w:rsidR="005D79EF" w:rsidRPr="005D79EF" w:rsidRDefault="005D79EF" w:rsidP="005D79EF">
            <w:pPr>
              <w:rPr>
                <w:b/>
                <w:szCs w:val="22"/>
              </w:rPr>
            </w:pPr>
            <w:r w:rsidRPr="005D79EF">
              <w:rPr>
                <w:b/>
                <w:szCs w:val="22"/>
              </w:rPr>
              <w:t>Vegetation</w:t>
            </w:r>
          </w:p>
        </w:tc>
      </w:tr>
      <w:tr w:rsidR="005D79EF" w:rsidRPr="005D79EF" w14:paraId="24702441"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1757F574" w14:textId="77777777" w:rsidR="005D79EF" w:rsidRPr="005D79EF" w:rsidRDefault="005D79EF" w:rsidP="005D79EF">
            <w:pPr>
              <w:rPr>
                <w:szCs w:val="22"/>
              </w:rPr>
            </w:pPr>
            <w:r w:rsidRPr="005D79EF">
              <w:rPr>
                <w:szCs w:val="22"/>
              </w:rPr>
              <w:t>Lignum, River Red Gum.</w:t>
            </w:r>
          </w:p>
        </w:tc>
      </w:tr>
      <w:tr w:rsidR="005D79EF" w:rsidRPr="005D79EF" w14:paraId="0E7A3D08"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7D2BA588" w14:textId="77777777" w:rsidR="005D79EF" w:rsidRPr="005D79EF" w:rsidRDefault="005D79EF" w:rsidP="005D79EF">
            <w:pPr>
              <w:rPr>
                <w:b/>
                <w:szCs w:val="22"/>
              </w:rPr>
            </w:pPr>
            <w:r w:rsidRPr="005D79EF">
              <w:rPr>
                <w:b/>
                <w:szCs w:val="22"/>
              </w:rPr>
              <w:t>Fish</w:t>
            </w:r>
          </w:p>
        </w:tc>
      </w:tr>
      <w:tr w:rsidR="005D79EF" w:rsidRPr="005D79EF" w14:paraId="220C54B8"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028421AB" w14:textId="77777777" w:rsidR="005D79EF" w:rsidRPr="005D79EF" w:rsidRDefault="005D79EF" w:rsidP="005D79EF">
            <w:pPr>
              <w:rPr>
                <w:szCs w:val="22"/>
              </w:rPr>
            </w:pPr>
            <w:r w:rsidRPr="005D79EF">
              <w:rPr>
                <w:szCs w:val="22"/>
              </w:rPr>
              <w:t>Murray Cod, Yellowbelly (Golden Perch, Callop), Catfish, Silver perch .</w:t>
            </w:r>
          </w:p>
        </w:tc>
      </w:tr>
      <w:tr w:rsidR="005D79EF" w:rsidRPr="005D79EF" w14:paraId="7948A0FD"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4E1AE825" w14:textId="77777777" w:rsidR="005D79EF" w:rsidRPr="005D79EF" w:rsidRDefault="005D79EF" w:rsidP="005D79EF">
            <w:pPr>
              <w:rPr>
                <w:b/>
                <w:szCs w:val="22"/>
              </w:rPr>
            </w:pPr>
            <w:r w:rsidRPr="005D79EF">
              <w:rPr>
                <w:b/>
                <w:szCs w:val="22"/>
              </w:rPr>
              <w:t>Waterbirds</w:t>
            </w:r>
          </w:p>
        </w:tc>
      </w:tr>
      <w:tr w:rsidR="005D79EF" w:rsidRPr="005D79EF" w14:paraId="436EEC7C"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72550A09" w14:textId="77777777" w:rsidR="005D79EF" w:rsidRPr="005D79EF" w:rsidRDefault="005D79EF" w:rsidP="005D79EF">
            <w:pPr>
              <w:rPr>
                <w:szCs w:val="22"/>
              </w:rPr>
            </w:pPr>
            <w:r w:rsidRPr="005D79EF">
              <w:rPr>
                <w:szCs w:val="22"/>
              </w:rPr>
              <w:t>Ducks (general), Pelican, Swan (general)</w:t>
            </w:r>
          </w:p>
        </w:tc>
      </w:tr>
      <w:tr w:rsidR="005D79EF" w:rsidRPr="005D79EF" w14:paraId="0CE7799F"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11733C92" w14:textId="77777777" w:rsidR="005D79EF" w:rsidRPr="005D79EF" w:rsidRDefault="005D79EF" w:rsidP="005D79EF">
            <w:pPr>
              <w:rPr>
                <w:b/>
                <w:szCs w:val="22"/>
              </w:rPr>
            </w:pPr>
            <w:r w:rsidRPr="005D79EF">
              <w:rPr>
                <w:b/>
                <w:szCs w:val="22"/>
              </w:rPr>
              <w:t>Other species</w:t>
            </w:r>
          </w:p>
        </w:tc>
      </w:tr>
      <w:tr w:rsidR="005D79EF" w:rsidRPr="005D79EF" w14:paraId="2E6159E3"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tcBorders>
          </w:tcPr>
          <w:p w14:paraId="27316E4D" w14:textId="77777777" w:rsidR="005D79EF" w:rsidRPr="005D79EF" w:rsidRDefault="005D79EF" w:rsidP="005D79EF">
            <w:pPr>
              <w:rPr>
                <w:szCs w:val="22"/>
              </w:rPr>
            </w:pPr>
            <w:r w:rsidRPr="005D79EF">
              <w:rPr>
                <w:szCs w:val="22"/>
              </w:rPr>
              <w:t>Murray Cray</w:t>
            </w:r>
          </w:p>
        </w:tc>
      </w:tr>
    </w:tbl>
    <w:p w14:paraId="67C2321A" w14:textId="758DC9E9" w:rsidR="005D79EF" w:rsidRPr="005D79EF" w:rsidRDefault="005D79EF" w:rsidP="005D79EF">
      <w:pPr>
        <w:spacing w:before="240"/>
      </w:pPr>
      <w:bookmarkStart w:id="149" w:name="_Ref44322774"/>
      <w:r w:rsidRPr="005D79EF">
        <w:rPr>
          <w:b/>
        </w:rPr>
        <w:t xml:space="preserve">Table </w:t>
      </w:r>
      <w:r w:rsidRPr="005D79EF">
        <w:rPr>
          <w:b/>
        </w:rPr>
        <w:fldChar w:fldCharType="begin"/>
      </w:r>
      <w:r w:rsidRPr="005D79EF">
        <w:rPr>
          <w:b/>
        </w:rPr>
        <w:instrText xml:space="preserve"> SEQ Table \* ARABIC </w:instrText>
      </w:r>
      <w:r w:rsidRPr="005D79EF">
        <w:rPr>
          <w:b/>
        </w:rPr>
        <w:fldChar w:fldCharType="separate"/>
      </w:r>
      <w:r w:rsidR="001B2852">
        <w:rPr>
          <w:b/>
          <w:noProof/>
        </w:rPr>
        <w:t>34</w:t>
      </w:r>
      <w:r w:rsidRPr="005D79EF">
        <w:rPr>
          <w:b/>
        </w:rPr>
        <w:fldChar w:fldCharType="end"/>
      </w:r>
      <w:bookmarkEnd w:id="149"/>
      <w:r w:rsidRPr="005D79EF">
        <w:t>: First Nations environmental objectives for the Lachlan system for 2020-21 provided by NBAN (NBAN Ltd 2020)</w:t>
      </w:r>
    </w:p>
    <w:tbl>
      <w:tblPr>
        <w:tblStyle w:val="TableGrid"/>
        <w:tblW w:w="9776" w:type="dxa"/>
        <w:tblLook w:val="04A0" w:firstRow="1" w:lastRow="0" w:firstColumn="1" w:lastColumn="0" w:noHBand="0" w:noVBand="1"/>
      </w:tblPr>
      <w:tblGrid>
        <w:gridCol w:w="9776"/>
      </w:tblGrid>
      <w:tr w:rsidR="005D79EF" w:rsidRPr="005D79EF" w14:paraId="15FACCDE" w14:textId="77777777" w:rsidTr="00583873">
        <w:trPr>
          <w:cnfStyle w:val="100000000000" w:firstRow="1" w:lastRow="0" w:firstColumn="0" w:lastColumn="0" w:oddVBand="0" w:evenVBand="0" w:oddHBand="0" w:evenHBand="0" w:firstRowFirstColumn="0" w:firstRowLastColumn="0" w:lastRowFirstColumn="0" w:lastRowLastColumn="0"/>
        </w:trPr>
        <w:tc>
          <w:tcPr>
            <w:tcW w:w="9776" w:type="dxa"/>
            <w:tcBorders>
              <w:bottom w:val="nil"/>
            </w:tcBorders>
            <w:shd w:val="clear" w:color="auto" w:fill="B6DDE8" w:themeFill="accent5" w:themeFillTint="66"/>
          </w:tcPr>
          <w:p w14:paraId="20090B14" w14:textId="77777777" w:rsidR="005D79EF" w:rsidRPr="005D79EF" w:rsidRDefault="005D79EF" w:rsidP="005D79EF">
            <w:pPr>
              <w:rPr>
                <w:rFonts w:cs="Calibri"/>
                <w:szCs w:val="22"/>
              </w:rPr>
            </w:pPr>
            <w:r w:rsidRPr="005D79EF">
              <w:rPr>
                <w:rFonts w:cstheme="minorHAnsi"/>
                <w:b/>
                <w:bCs/>
                <w:szCs w:val="22"/>
              </w:rPr>
              <w:t>River flows and Connectivity</w:t>
            </w:r>
          </w:p>
        </w:tc>
      </w:tr>
      <w:tr w:rsidR="005D79EF" w:rsidRPr="005D79EF" w14:paraId="6F371D79"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519228E1" w14:textId="77777777" w:rsidR="005D79EF" w:rsidRPr="005D79EF" w:rsidRDefault="005D79EF" w:rsidP="005D79EF">
            <w:pPr>
              <w:ind w:left="142" w:hanging="142"/>
              <w:rPr>
                <w:rFonts w:cstheme="minorHAnsi"/>
                <w:szCs w:val="22"/>
              </w:rPr>
            </w:pPr>
            <w:r w:rsidRPr="005D79EF">
              <w:rPr>
                <w:rFonts w:ascii="Calibri" w:hAnsi="Calibri" w:cs="Calibri"/>
                <w:i/>
                <w:color w:val="5F497A" w:themeColor="accent4" w:themeShade="BF"/>
                <w:szCs w:val="22"/>
                <w:lang w:val="en-GB"/>
              </w:rPr>
              <w:t>Priority</w:t>
            </w:r>
            <w:r w:rsidRPr="005D79EF">
              <w:rPr>
                <w:rFonts w:ascii="Calibri" w:hAnsi="Calibri" w:cs="Calibri"/>
                <w:i/>
                <w:color w:val="5F497A" w:themeColor="accent4" w:themeShade="BF"/>
                <w:szCs w:val="22"/>
                <w:lang w:val="en-GB" w:eastAsia="en-US"/>
              </w:rPr>
              <w:t xml:space="preserve"> </w:t>
            </w:r>
            <w:r w:rsidRPr="005D79EF">
              <w:rPr>
                <w:rFonts w:ascii="Calibri" w:hAnsi="Calibri" w:cs="Calibri"/>
                <w:i/>
                <w:color w:val="5F497A" w:themeColor="accent4" w:themeShade="BF"/>
                <w:szCs w:val="22"/>
                <w:lang w:val="en-GB"/>
              </w:rPr>
              <w:t>sites</w:t>
            </w:r>
            <w:r w:rsidRPr="005D79EF">
              <w:rPr>
                <w:rFonts w:cstheme="minorHAnsi"/>
                <w:b/>
                <w:color w:val="222222"/>
                <w:szCs w:val="22"/>
              </w:rPr>
              <w:t>:</w:t>
            </w:r>
            <w:r w:rsidRPr="005D79EF">
              <w:rPr>
                <w:rFonts w:cstheme="minorHAnsi"/>
                <w:bCs/>
                <w:color w:val="222222"/>
                <w:szCs w:val="22"/>
              </w:rPr>
              <w:t xml:space="preserve"> Lachlan River</w:t>
            </w:r>
            <w:r w:rsidRPr="005D79EF">
              <w:rPr>
                <w:rFonts w:cstheme="minorHAnsi"/>
                <w:szCs w:val="22"/>
              </w:rPr>
              <w:t xml:space="preserve"> needs to flow at all times, Booberoi Creek.</w:t>
            </w:r>
          </w:p>
        </w:tc>
      </w:tr>
      <w:tr w:rsidR="005D79EF" w:rsidRPr="005D79EF" w14:paraId="35B3688B"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30728DB7" w14:textId="77777777" w:rsidR="005D79EF" w:rsidRPr="005D79EF" w:rsidRDefault="005D79EF" w:rsidP="005D79EF">
            <w:pPr>
              <w:rPr>
                <w:rFonts w:cs="Calibri"/>
                <w:szCs w:val="22"/>
              </w:rPr>
            </w:pPr>
            <w:r w:rsidRPr="005D79EF">
              <w:rPr>
                <w:rFonts w:cstheme="minorHAnsi"/>
                <w:b/>
                <w:bCs/>
                <w:szCs w:val="22"/>
              </w:rPr>
              <w:t>Native Vegetation</w:t>
            </w:r>
          </w:p>
        </w:tc>
      </w:tr>
      <w:tr w:rsidR="005D79EF" w:rsidRPr="005D79EF" w14:paraId="29534F7F"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3EBE65C7" w14:textId="77777777" w:rsidR="005D79EF" w:rsidRPr="005D79EF" w:rsidRDefault="005D79EF" w:rsidP="005D79EF">
            <w:pPr>
              <w:ind w:left="142" w:hanging="142"/>
              <w:rPr>
                <w:rFonts w:cs="Calibri"/>
                <w:szCs w:val="22"/>
              </w:rPr>
            </w:pPr>
            <w:r w:rsidRPr="005D79EF">
              <w:rPr>
                <w:rFonts w:ascii="Calibri" w:hAnsi="Calibri" w:cs="Calibri"/>
                <w:i/>
                <w:color w:val="5F497A" w:themeColor="accent4" w:themeShade="BF"/>
                <w:szCs w:val="22"/>
                <w:lang w:val="en-GB"/>
              </w:rPr>
              <w:t>Indicator species</w:t>
            </w:r>
            <w:r w:rsidRPr="005D79EF">
              <w:rPr>
                <w:rFonts w:cstheme="minorHAnsi"/>
                <w:b/>
                <w:color w:val="222222"/>
                <w:szCs w:val="22"/>
              </w:rPr>
              <w:t>:</w:t>
            </w:r>
            <w:r w:rsidRPr="005D79EF">
              <w:rPr>
                <w:rFonts w:cstheme="minorHAnsi"/>
                <w:bCs/>
                <w:color w:val="222222"/>
                <w:szCs w:val="22"/>
              </w:rPr>
              <w:t xml:space="preserve"> River Red Gum, Black Box</w:t>
            </w:r>
            <w:r w:rsidRPr="005D79EF">
              <w:rPr>
                <w:szCs w:val="22"/>
                <w:vertAlign w:val="superscript"/>
              </w:rPr>
              <w:t xml:space="preserve"> i</w:t>
            </w:r>
            <w:r w:rsidRPr="005D79EF">
              <w:rPr>
                <w:rFonts w:cstheme="minorHAnsi"/>
                <w:bCs/>
                <w:color w:val="222222"/>
                <w:szCs w:val="22"/>
              </w:rPr>
              <w:t xml:space="preserve">, </w:t>
            </w:r>
            <w:r w:rsidRPr="005D79EF">
              <w:rPr>
                <w:rFonts w:cstheme="minorHAnsi"/>
                <w:bCs/>
                <w:szCs w:val="22"/>
              </w:rPr>
              <w:t>Bulrush, Ribbon Weed, Pinrush.</w:t>
            </w:r>
          </w:p>
        </w:tc>
      </w:tr>
      <w:tr w:rsidR="005D79EF" w:rsidRPr="005D79EF" w14:paraId="14597E79"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7C1D8A8F" w14:textId="77777777" w:rsidR="005D79EF" w:rsidRPr="005D79EF" w:rsidRDefault="005D79EF" w:rsidP="005D79EF">
            <w:pPr>
              <w:rPr>
                <w:rFonts w:cstheme="minorHAnsi"/>
                <w:b/>
                <w:bCs/>
                <w:szCs w:val="22"/>
              </w:rPr>
            </w:pPr>
            <w:r w:rsidRPr="005D79EF">
              <w:rPr>
                <w:rFonts w:cstheme="minorHAnsi"/>
                <w:b/>
                <w:bCs/>
                <w:szCs w:val="22"/>
              </w:rPr>
              <w:t>Native Birds</w:t>
            </w:r>
          </w:p>
        </w:tc>
      </w:tr>
      <w:tr w:rsidR="005D79EF" w:rsidRPr="005D79EF" w14:paraId="16C5C82C"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4855986F" w14:textId="77777777" w:rsidR="005D79EF" w:rsidRPr="005D79EF" w:rsidRDefault="005D79EF" w:rsidP="005D79EF">
            <w:pPr>
              <w:ind w:left="142" w:hanging="142"/>
              <w:rPr>
                <w:rFonts w:cs="Calibri"/>
                <w:szCs w:val="22"/>
              </w:rPr>
            </w:pPr>
            <w:r w:rsidRPr="005D79EF">
              <w:rPr>
                <w:rFonts w:ascii="Calibri" w:hAnsi="Calibri" w:cs="Calibri"/>
                <w:i/>
                <w:color w:val="5F497A" w:themeColor="accent4" w:themeShade="BF"/>
                <w:szCs w:val="22"/>
                <w:lang w:val="en-GB"/>
              </w:rPr>
              <w:t>Indicator species</w:t>
            </w:r>
            <w:r w:rsidRPr="005D79EF">
              <w:rPr>
                <w:rFonts w:cstheme="minorHAnsi"/>
                <w:b/>
                <w:color w:val="222222"/>
                <w:szCs w:val="22"/>
              </w:rPr>
              <w:t>:</w:t>
            </w:r>
            <w:r w:rsidRPr="005D79EF">
              <w:rPr>
                <w:rFonts w:cstheme="minorHAnsi"/>
                <w:bCs/>
                <w:color w:val="222222"/>
                <w:szCs w:val="22"/>
              </w:rPr>
              <w:t xml:space="preserve"> Black Duck, Emu</w:t>
            </w:r>
            <w:r w:rsidRPr="005D79EF">
              <w:rPr>
                <w:szCs w:val="22"/>
                <w:vertAlign w:val="superscript"/>
              </w:rPr>
              <w:t xml:space="preserve"> i</w:t>
            </w:r>
            <w:r w:rsidRPr="005D79EF">
              <w:rPr>
                <w:rFonts w:cstheme="minorHAnsi"/>
                <w:bCs/>
                <w:color w:val="222222"/>
                <w:szCs w:val="22"/>
              </w:rPr>
              <w:t>, White Cockatoo</w:t>
            </w:r>
            <w:r w:rsidRPr="005D79EF">
              <w:rPr>
                <w:szCs w:val="22"/>
                <w:vertAlign w:val="superscript"/>
              </w:rPr>
              <w:t xml:space="preserve"> i</w:t>
            </w:r>
            <w:r w:rsidRPr="005D79EF">
              <w:rPr>
                <w:rFonts w:cstheme="minorHAnsi"/>
                <w:bCs/>
                <w:color w:val="222222"/>
                <w:szCs w:val="22"/>
              </w:rPr>
              <w:t>, Black Swan, Kookaburra</w:t>
            </w:r>
            <w:r w:rsidRPr="005D79EF">
              <w:rPr>
                <w:szCs w:val="22"/>
                <w:vertAlign w:val="superscript"/>
              </w:rPr>
              <w:t xml:space="preserve"> I </w:t>
            </w:r>
            <w:r w:rsidRPr="005D79EF">
              <w:rPr>
                <w:rFonts w:cs="Calibri"/>
                <w:szCs w:val="22"/>
              </w:rPr>
              <w:t>.</w:t>
            </w:r>
          </w:p>
        </w:tc>
      </w:tr>
      <w:tr w:rsidR="005D79EF" w:rsidRPr="005D79EF" w14:paraId="6DD874A8"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3C9CFE66" w14:textId="77777777" w:rsidR="005D79EF" w:rsidRPr="005D79EF" w:rsidRDefault="005D79EF" w:rsidP="005D79EF">
            <w:pPr>
              <w:rPr>
                <w:rFonts w:cs="Calibri"/>
                <w:szCs w:val="22"/>
              </w:rPr>
            </w:pPr>
            <w:r w:rsidRPr="005D79EF">
              <w:rPr>
                <w:rFonts w:cstheme="minorHAnsi"/>
                <w:b/>
                <w:bCs/>
                <w:szCs w:val="22"/>
              </w:rPr>
              <w:t>Native Animals</w:t>
            </w:r>
          </w:p>
        </w:tc>
      </w:tr>
      <w:tr w:rsidR="005D79EF" w:rsidRPr="005D79EF" w14:paraId="3739EA96"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24003690" w14:textId="77777777" w:rsidR="005D79EF" w:rsidRPr="005D79EF" w:rsidRDefault="005D79EF" w:rsidP="005D79EF">
            <w:pPr>
              <w:ind w:left="142" w:hanging="142"/>
              <w:rPr>
                <w:rFonts w:cstheme="minorHAnsi"/>
                <w:bCs/>
                <w:color w:val="222222"/>
                <w:szCs w:val="22"/>
              </w:rPr>
            </w:pPr>
            <w:r w:rsidRPr="005D79EF">
              <w:rPr>
                <w:rFonts w:ascii="Calibri" w:hAnsi="Calibri" w:cs="Calibri"/>
                <w:i/>
                <w:color w:val="5F497A" w:themeColor="accent4" w:themeShade="BF"/>
                <w:szCs w:val="22"/>
                <w:lang w:val="en-GB"/>
              </w:rPr>
              <w:t>Indicator species</w:t>
            </w:r>
            <w:r w:rsidRPr="005D79EF">
              <w:rPr>
                <w:rFonts w:cstheme="minorHAnsi"/>
                <w:b/>
                <w:color w:val="222222"/>
                <w:szCs w:val="22"/>
              </w:rPr>
              <w:t>:</w:t>
            </w:r>
            <w:r w:rsidRPr="005D79EF">
              <w:rPr>
                <w:rFonts w:cstheme="minorHAnsi"/>
                <w:bCs/>
                <w:color w:val="222222"/>
                <w:szCs w:val="22"/>
              </w:rPr>
              <w:t xml:space="preserve"> Water Rats, Turtles, Yellowbelly, Catfish, Frogs.</w:t>
            </w:r>
          </w:p>
        </w:tc>
      </w:tr>
      <w:tr w:rsidR="005D79EF" w:rsidRPr="005D79EF" w14:paraId="6640937A"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43E93FC7" w14:textId="77777777" w:rsidR="005D79EF" w:rsidRPr="005D79EF" w:rsidRDefault="005D79EF" w:rsidP="005D79EF">
            <w:pPr>
              <w:rPr>
                <w:rFonts w:cs="Calibri"/>
                <w:szCs w:val="22"/>
              </w:rPr>
            </w:pPr>
            <w:r w:rsidRPr="005D79EF">
              <w:rPr>
                <w:rFonts w:cstheme="minorHAnsi"/>
                <w:b/>
                <w:bCs/>
                <w:szCs w:val="22"/>
              </w:rPr>
              <w:t>Connecting with Country</w:t>
            </w:r>
          </w:p>
        </w:tc>
      </w:tr>
      <w:tr w:rsidR="005D79EF" w:rsidRPr="005D79EF" w14:paraId="3883063A"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tcBorders>
          </w:tcPr>
          <w:p w14:paraId="56669585" w14:textId="77777777" w:rsidR="005D79EF" w:rsidRPr="005D79EF" w:rsidRDefault="005D79EF" w:rsidP="005D79EF">
            <w:pPr>
              <w:rPr>
                <w:rFonts w:cs="Calibri"/>
                <w:szCs w:val="22"/>
              </w:rPr>
            </w:pPr>
            <w:r w:rsidRPr="005D79EF">
              <w:rPr>
                <w:rFonts w:eastAsia="ArialMT" w:cstheme="minorHAnsi"/>
                <w:color w:val="222222"/>
                <w:szCs w:val="22"/>
              </w:rPr>
              <w:t>Flows from the Lachlan River at all times, to flow into Booberoi Creek and Willandra Creek for Ngiyampaa Wangaaypuwan People to Connect with Country at the waterways</w:t>
            </w:r>
          </w:p>
        </w:tc>
      </w:tr>
    </w:tbl>
    <w:p w14:paraId="1592C307" w14:textId="77777777" w:rsidR="005D79EF" w:rsidRPr="005D79EF" w:rsidRDefault="005D79EF" w:rsidP="005D79EF">
      <w:pPr>
        <w:spacing w:after="0"/>
        <w:rPr>
          <w:sz w:val="20"/>
        </w:rPr>
      </w:pPr>
      <w:r w:rsidRPr="005D79EF">
        <w:rPr>
          <w:sz w:val="20"/>
        </w:rPr>
        <w:t xml:space="preserve">  </w:t>
      </w:r>
      <w:r w:rsidRPr="005D79EF">
        <w:rPr>
          <w:vertAlign w:val="superscript"/>
        </w:rPr>
        <w:t>i</w:t>
      </w:r>
      <w:r w:rsidRPr="005D79EF">
        <w:rPr>
          <w:sz w:val="20"/>
          <w:lang w:val="en-GB"/>
        </w:rPr>
        <w:t xml:space="preserve"> </w:t>
      </w:r>
      <w:r w:rsidRPr="005D79EF">
        <w:rPr>
          <w:sz w:val="20"/>
        </w:rPr>
        <w:t>Water for the environment targeting other environmental outcomes may influence this species or objective</w:t>
      </w:r>
    </w:p>
    <w:p w14:paraId="3A50A2DC" w14:textId="77777777" w:rsidR="005D79EF" w:rsidRPr="005D79EF" w:rsidRDefault="005D79EF" w:rsidP="005D79EF">
      <w:pPr>
        <w:pStyle w:val="Heading3"/>
      </w:pPr>
      <w:r w:rsidRPr="005D79EF">
        <w:t>Recent conditions and seasonal outlook</w:t>
      </w:r>
    </w:p>
    <w:p w14:paraId="4284980E" w14:textId="77777777" w:rsidR="005D79EF" w:rsidRPr="005D79EF" w:rsidRDefault="005D79EF" w:rsidP="005D79EF">
      <w:pPr>
        <w:pStyle w:val="Heading4"/>
      </w:pPr>
      <w:r w:rsidRPr="005D79EF">
        <w:t>Recent conditions and environmental water use</w:t>
      </w:r>
    </w:p>
    <w:p w14:paraId="73CA2B86" w14:textId="77777777" w:rsidR="005D79EF" w:rsidRPr="005D79EF" w:rsidRDefault="005D79EF" w:rsidP="005D79EF">
      <w:r w:rsidRPr="005D79EF">
        <w:t xml:space="preserve">As noted by Dyer et al. (2015-2019) and </w:t>
      </w:r>
      <w:r w:rsidRPr="005D79EF">
        <w:rPr>
          <w:rFonts w:ascii="Calibri" w:hAnsi="Calibri" w:cs="Calibri"/>
          <w:szCs w:val="22"/>
        </w:rPr>
        <w:t>Higgisson et al. (2019)</w:t>
      </w:r>
      <w:r w:rsidRPr="005D79EF">
        <w:t xml:space="preserve"> the Lachlan Catchment can experience highly variable rainfall and related flow conditions. In 2016-17, the catchment experienced widescale flooding due to heavy rainfall. This was beneficial to wetland and floodplain vegetation and waterbird populations. However, the widescale flooding also caused a significant hypoxic blackwater event that negatively impacted on large bodied native fish like Murray cod. During 2017-18 to 2018-19, the use of Commonwealth environmental water in the Lachlan River system included a focus on the recovery of Murray cod populations.</w:t>
      </w:r>
    </w:p>
    <w:p w14:paraId="2DF496BD" w14:textId="77777777" w:rsidR="005D79EF" w:rsidRPr="005D79EF" w:rsidRDefault="005D79EF" w:rsidP="005D79EF">
      <w:r w:rsidRPr="005D79EF">
        <w:lastRenderedPageBreak/>
        <w:t>Drought conditions deepened in many NSW catchments during 2018-19. By the start of 2019-20 the Lachlan Catchment was being managed under Stage 3 of the NSW Extreme Event Policy (NSW Department of Industry 2018). The use of Commonwealth environmental water in the Lachlan River during 2019-20 focused on building resilience and maintaining drought refugia at key sites across the catchment.</w:t>
      </w:r>
    </w:p>
    <w:p w14:paraId="1B47893C" w14:textId="77777777" w:rsidR="005D79EF" w:rsidRPr="005D79EF" w:rsidRDefault="005D79EF" w:rsidP="005D79EF">
      <w:r w:rsidRPr="005D79EF">
        <w:t xml:space="preserve">Details of previous Commonwealth environmental use in the Lachlan catchment are available at: </w:t>
      </w:r>
      <w:hyperlink r:id="rId236" w:history="1">
        <w:r w:rsidRPr="005D79EF">
          <w:rPr>
            <w:color w:val="0000FF"/>
            <w:u w:val="single"/>
          </w:rPr>
          <w:t>http://www.environment.gov.au/water/cewo/catchment/lachlan</w:t>
        </w:r>
      </w:hyperlink>
    </w:p>
    <w:p w14:paraId="22687B98" w14:textId="77777777" w:rsidR="005D79EF" w:rsidRPr="005D79EF" w:rsidRDefault="005D79EF" w:rsidP="005D79EF">
      <w:pPr>
        <w:pStyle w:val="Heading4"/>
      </w:pPr>
      <w:r w:rsidRPr="005D79EF">
        <w:t>Seasonal outlook</w:t>
      </w:r>
    </w:p>
    <w:p w14:paraId="1D5A43EC" w14:textId="77777777" w:rsidR="005D79EF" w:rsidRPr="005D79EF" w:rsidRDefault="005D79EF" w:rsidP="005D79EF">
      <w:r w:rsidRPr="005D79EF">
        <w:t xml:space="preserve">NSW Department of Planning, Industry and Environment (2020a) notes that the Lachlan catchment will continue to be managed under the NSW Extreme Event Policy for the foreseeable future and may escalate from Stage 3 to Stage 4 (extreme drought) if there is no significant improvement in the system. The Bureau of Meteorology </w:t>
      </w:r>
      <w:r w:rsidRPr="005D79EF">
        <w:rPr>
          <w:i/>
          <w:iCs/>
        </w:rPr>
        <w:t>(</w:t>
      </w:r>
      <w:r w:rsidRPr="005D79EF">
        <w:t>2020) suggests there is largely a 70-75 per cent chance of above median rainfall across the Lachlan River catchment between July and September 2020.While this forecast indicates that the severe dry conditions may ease, as of May 2020, a total of 315 gigalitres of inflows into storages in the Lachlan catchment would be required before new general security allocations could be made NSW Department of Planning, Industry and Environment, (2020a).</w:t>
      </w:r>
    </w:p>
    <w:p w14:paraId="2AEC7613" w14:textId="77777777" w:rsidR="005D79EF" w:rsidRPr="005D79EF" w:rsidRDefault="005D79EF" w:rsidP="005D79EF">
      <w:pPr>
        <w:pStyle w:val="Heading4"/>
      </w:pPr>
      <w:r w:rsidRPr="005D79EF">
        <w:t>Water availability</w:t>
      </w:r>
    </w:p>
    <w:p w14:paraId="4C7A795D" w14:textId="77777777" w:rsidR="005D79EF" w:rsidRPr="005D79EF" w:rsidRDefault="005D79EF" w:rsidP="005D79EF">
      <w:r w:rsidRPr="005D79EF">
        <w:t>On 1 July 2020, the NSW Department of Planning, Industry and Environment (2020b) announced 70 per cent allocation against high security entitlements and no new allocation to general security allocations. The restriction of accessing 43 per cent of the 1 July 2019 general account balance remains and a further 50 per cent restriction has been applied for 2020-21 on the active general security account balance as at 30 June 2020 (NSW DPIE 2020b). Based on this, as at 1 July 2020 the CEWO has around 650 megalitres of water, with 16 gigalitres still held in the WaterNSW Drought Account.</w:t>
      </w:r>
    </w:p>
    <w:p w14:paraId="118EC30C" w14:textId="77777777" w:rsidR="005D79EF" w:rsidRPr="005D79EF" w:rsidRDefault="005D79EF" w:rsidP="005D79EF">
      <w:r w:rsidRPr="005D79EF">
        <w:t xml:space="preserve">The CEWO will continue to monitor catchment conditions, inflows and changes to water availability and will undertake watering actions should additional water become available (either through the release of water from the Drought Account or increased water allocations following large rain events). </w:t>
      </w:r>
    </w:p>
    <w:p w14:paraId="2CDD6A2B" w14:textId="77777777" w:rsidR="005D79EF" w:rsidRPr="005D79EF" w:rsidRDefault="005D79EF" w:rsidP="005D79EF">
      <w:pPr>
        <w:pStyle w:val="Heading4"/>
      </w:pPr>
      <w:r w:rsidRPr="005D79EF">
        <w:t>Environmental demands</w:t>
      </w:r>
    </w:p>
    <w:p w14:paraId="453EC00C" w14:textId="1193C7A5" w:rsidR="005D79EF" w:rsidRPr="005D79EF" w:rsidRDefault="005D79EF" w:rsidP="005D79EF">
      <w:r w:rsidRPr="005D79EF">
        <w:t xml:space="preserve">Environmental demands, and need to avoid further damage to key assets, remain high as a result of drought conditions across the catchment. The environmental water demands for assets in the Lachlan River catchment in 2020-21 are represented in </w:t>
      </w:r>
      <w:r w:rsidRPr="005D79EF">
        <w:fldChar w:fldCharType="begin"/>
      </w:r>
      <w:r w:rsidRPr="005D79EF">
        <w:instrText xml:space="preserve"> REF _Ref43722712 \h  \* MERGEFORMAT </w:instrText>
      </w:r>
      <w:r w:rsidRPr="005D79EF">
        <w:fldChar w:fldCharType="separate"/>
      </w:r>
      <w:r w:rsidR="001B2852" w:rsidRPr="001B2852">
        <w:t>Table 35</w:t>
      </w:r>
      <w:r w:rsidRPr="005D79EF">
        <w:fldChar w:fldCharType="end"/>
      </w:r>
      <w:r w:rsidRPr="005D79EF">
        <w:t>. Note that the capacity to contribute to these environmental demands is contingent on a substantial improvement in water availability in the catchment.</w:t>
      </w:r>
    </w:p>
    <w:p w14:paraId="135A70B1" w14:textId="77777777" w:rsidR="005D79EF" w:rsidRPr="005D79EF" w:rsidRDefault="005D79EF" w:rsidP="005D79EF"/>
    <w:p w14:paraId="0FA1F219" w14:textId="77777777" w:rsidR="005D79EF" w:rsidRPr="005D79EF" w:rsidRDefault="005D79EF" w:rsidP="005D79EF"/>
    <w:p w14:paraId="52D15A9C" w14:textId="77777777" w:rsidR="005D79EF" w:rsidRPr="005D79EF" w:rsidRDefault="005D79EF" w:rsidP="005D79EF">
      <w:pPr>
        <w:spacing w:after="240"/>
        <w:rPr>
          <w:rFonts w:ascii="Century Gothic" w:hAnsi="Century Gothic" w:cs="Times New Roman"/>
          <w:color w:val="auto"/>
          <w:sz w:val="20"/>
          <w:lang w:val="en-US" w:eastAsia="en-US"/>
        </w:rPr>
      </w:pPr>
    </w:p>
    <w:p w14:paraId="448DEEFC" w14:textId="77777777" w:rsidR="005D79EF" w:rsidRPr="005D79EF" w:rsidRDefault="005D79EF" w:rsidP="005D79EF">
      <w:pPr>
        <w:spacing w:after="240"/>
        <w:rPr>
          <w:rFonts w:ascii="Century Gothic" w:hAnsi="Century Gothic" w:cs="Times New Roman"/>
          <w:color w:val="auto"/>
          <w:sz w:val="20"/>
          <w:lang w:val="en-US" w:eastAsia="en-US"/>
        </w:rPr>
        <w:sectPr w:rsidR="005D79EF" w:rsidRPr="005D79EF" w:rsidSect="00583873">
          <w:pgSz w:w="11906" w:h="16838"/>
          <w:pgMar w:top="1135" w:right="1133" w:bottom="993" w:left="993" w:header="567" w:footer="397" w:gutter="0"/>
          <w:cols w:space="708"/>
          <w:docGrid w:linePitch="360"/>
        </w:sectPr>
      </w:pPr>
    </w:p>
    <w:p w14:paraId="14160AFF" w14:textId="230A434A" w:rsidR="005D79EF" w:rsidRPr="005D79EF" w:rsidRDefault="005D79EF" w:rsidP="005D79EF">
      <w:pPr>
        <w:rPr>
          <w:b/>
        </w:rPr>
      </w:pPr>
      <w:bookmarkStart w:id="150" w:name="_Ref43722712"/>
      <w:r w:rsidRPr="005D79EF">
        <w:rPr>
          <w:b/>
        </w:rPr>
        <w:lastRenderedPageBreak/>
        <w:t xml:space="preserve">Table </w:t>
      </w:r>
      <w:r w:rsidRPr="005D79EF">
        <w:rPr>
          <w:b/>
        </w:rPr>
        <w:fldChar w:fldCharType="begin"/>
      </w:r>
      <w:r w:rsidRPr="005D79EF">
        <w:rPr>
          <w:b/>
        </w:rPr>
        <w:instrText xml:space="preserve"> SEQ Table \* ARABIC </w:instrText>
      </w:r>
      <w:r w:rsidRPr="005D79EF">
        <w:rPr>
          <w:b/>
        </w:rPr>
        <w:fldChar w:fldCharType="separate"/>
      </w:r>
      <w:r w:rsidR="001B2852">
        <w:rPr>
          <w:b/>
          <w:noProof/>
        </w:rPr>
        <w:t>35</w:t>
      </w:r>
      <w:r w:rsidRPr="005D79EF">
        <w:rPr>
          <w:b/>
        </w:rPr>
        <w:fldChar w:fldCharType="end"/>
      </w:r>
      <w:bookmarkEnd w:id="150"/>
      <w:r w:rsidRPr="005D79EF">
        <w:rPr>
          <w:b/>
        </w:rPr>
        <w:t>:</w:t>
      </w:r>
      <w:r w:rsidRPr="005D79EF">
        <w:t xml:space="preserve"> Environmental demands, priority for watering in 2020–21 and outlook for coming year in the Lachlan River catchment.</w:t>
      </w:r>
    </w:p>
    <w:tbl>
      <w:tblPr>
        <w:tblW w:w="496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5"/>
        <w:gridCol w:w="4250"/>
        <w:gridCol w:w="1980"/>
        <w:gridCol w:w="4672"/>
        <w:gridCol w:w="1980"/>
        <w:gridCol w:w="4250"/>
        <w:gridCol w:w="2266"/>
      </w:tblGrid>
      <w:tr w:rsidR="005D79EF" w:rsidRPr="005D79EF" w14:paraId="2F164B9E" w14:textId="77777777" w:rsidTr="00583873">
        <w:trPr>
          <w:trHeight w:val="504"/>
          <w:tblHeader/>
        </w:trPr>
        <w:tc>
          <w:tcPr>
            <w:tcW w:w="582" w:type="pct"/>
            <w:vMerge w:val="restart"/>
            <w:tcBorders>
              <w:top w:val="single" w:sz="12" w:space="0" w:color="auto"/>
              <w:left w:val="single" w:sz="12" w:space="0" w:color="auto"/>
            </w:tcBorders>
            <w:shd w:val="clear" w:color="auto" w:fill="B6DDE8" w:themeFill="accent5" w:themeFillTint="66"/>
            <w:vAlign w:val="center"/>
            <w:hideMark/>
          </w:tcPr>
          <w:p w14:paraId="2CB09D1F" w14:textId="77777777" w:rsidR="005D79EF" w:rsidRPr="005D79EF" w:rsidRDefault="005D79EF" w:rsidP="005D79EF">
            <w:pPr>
              <w:jc w:val="center"/>
              <w:rPr>
                <w:rFonts w:cstheme="minorHAnsi"/>
                <w:b/>
                <w:bCs/>
                <w:sz w:val="18"/>
                <w:szCs w:val="18"/>
              </w:rPr>
            </w:pPr>
            <w:r w:rsidRPr="005D79EF">
              <w:rPr>
                <w:rFonts w:cstheme="minorHAnsi"/>
                <w:b/>
                <w:bCs/>
                <w:sz w:val="18"/>
                <w:szCs w:val="18"/>
              </w:rPr>
              <w:t>Environmental assets and Long Term Water Plan unit (PU) reference number (see Figure 1 and more detailed description at bottom of table)</w:t>
            </w:r>
          </w:p>
        </w:tc>
        <w:tc>
          <w:tcPr>
            <w:tcW w:w="1419" w:type="pct"/>
            <w:gridSpan w:val="2"/>
            <w:tcBorders>
              <w:top w:val="single" w:sz="12" w:space="0" w:color="auto"/>
            </w:tcBorders>
            <w:shd w:val="clear" w:color="auto" w:fill="B6DDE8" w:themeFill="accent5" w:themeFillTint="66"/>
            <w:vAlign w:val="center"/>
            <w:hideMark/>
          </w:tcPr>
          <w:p w14:paraId="0E8888DA" w14:textId="77777777" w:rsidR="005D79EF" w:rsidRPr="005D79EF" w:rsidRDefault="005D79EF" w:rsidP="005D79EF">
            <w:pPr>
              <w:jc w:val="center"/>
              <w:rPr>
                <w:rFonts w:cstheme="minorHAnsi"/>
                <w:b/>
                <w:bCs/>
                <w:sz w:val="18"/>
                <w:szCs w:val="18"/>
                <w:vertAlign w:val="superscript"/>
              </w:rPr>
            </w:pPr>
            <w:r w:rsidRPr="005D79EF">
              <w:rPr>
                <w:rFonts w:cstheme="minorHAnsi"/>
                <w:b/>
                <w:bCs/>
                <w:sz w:val="18"/>
                <w:szCs w:val="18"/>
              </w:rPr>
              <w:t xml:space="preserve">Indicative demand (for </w:t>
            </w:r>
            <w:r w:rsidRPr="005D79EF">
              <w:rPr>
                <w:rFonts w:cstheme="minorHAnsi"/>
                <w:b/>
                <w:bCs/>
                <w:sz w:val="18"/>
                <w:szCs w:val="18"/>
                <w:u w:val="single"/>
              </w:rPr>
              <w:t>all sources of water</w:t>
            </w:r>
            <w:r w:rsidRPr="005D79EF">
              <w:rPr>
                <w:rFonts w:cstheme="minorHAnsi"/>
                <w:b/>
                <w:bCs/>
                <w:sz w:val="18"/>
                <w:szCs w:val="18"/>
              </w:rPr>
              <w:t xml:space="preserve"> in the system)</w:t>
            </w:r>
          </w:p>
        </w:tc>
        <w:tc>
          <w:tcPr>
            <w:tcW w:w="1064" w:type="pct"/>
            <w:tcBorders>
              <w:top w:val="single" w:sz="12" w:space="0" w:color="auto"/>
            </w:tcBorders>
            <w:shd w:val="clear" w:color="auto" w:fill="B6DDE8" w:themeFill="accent5" w:themeFillTint="66"/>
            <w:vAlign w:val="center"/>
            <w:hideMark/>
          </w:tcPr>
          <w:p w14:paraId="26F6DDD3" w14:textId="77777777" w:rsidR="005D79EF" w:rsidRPr="005D79EF" w:rsidRDefault="005D79EF" w:rsidP="005D79EF">
            <w:pPr>
              <w:jc w:val="center"/>
              <w:rPr>
                <w:rFonts w:cstheme="minorHAnsi"/>
                <w:b/>
                <w:bCs/>
                <w:sz w:val="18"/>
                <w:szCs w:val="18"/>
              </w:rPr>
            </w:pPr>
            <w:r w:rsidRPr="005D79EF">
              <w:rPr>
                <w:rFonts w:cstheme="minorHAnsi"/>
                <w:b/>
                <w:bCs/>
                <w:sz w:val="18"/>
                <w:szCs w:val="18"/>
              </w:rPr>
              <w:t>Watering history</w:t>
            </w:r>
          </w:p>
        </w:tc>
        <w:tc>
          <w:tcPr>
            <w:tcW w:w="1419" w:type="pct"/>
            <w:gridSpan w:val="2"/>
            <w:tcBorders>
              <w:top w:val="single" w:sz="12" w:space="0" w:color="auto"/>
            </w:tcBorders>
            <w:shd w:val="clear" w:color="auto" w:fill="B6DDE8" w:themeFill="accent5" w:themeFillTint="66"/>
            <w:vAlign w:val="center"/>
            <w:hideMark/>
          </w:tcPr>
          <w:p w14:paraId="67A8BE31" w14:textId="77777777" w:rsidR="005D79EF" w:rsidRPr="005D79EF" w:rsidRDefault="005D79EF" w:rsidP="005D79EF">
            <w:pPr>
              <w:jc w:val="center"/>
              <w:rPr>
                <w:rFonts w:cstheme="minorHAnsi"/>
                <w:b/>
                <w:color w:val="auto"/>
                <w:sz w:val="18"/>
                <w:szCs w:val="18"/>
              </w:rPr>
            </w:pPr>
            <w:r w:rsidRPr="005D79EF">
              <w:rPr>
                <w:rFonts w:cstheme="minorHAnsi"/>
                <w:b/>
                <w:color w:val="auto"/>
                <w:sz w:val="18"/>
                <w:szCs w:val="18"/>
              </w:rPr>
              <w:t>2020–21</w:t>
            </w:r>
          </w:p>
        </w:tc>
        <w:tc>
          <w:tcPr>
            <w:tcW w:w="516" w:type="pct"/>
            <w:tcBorders>
              <w:top w:val="single" w:sz="12" w:space="0" w:color="auto"/>
              <w:right w:val="single" w:sz="12" w:space="0" w:color="auto"/>
            </w:tcBorders>
            <w:shd w:val="clear" w:color="auto" w:fill="B6DDE8" w:themeFill="accent5" w:themeFillTint="66"/>
            <w:vAlign w:val="center"/>
            <w:hideMark/>
          </w:tcPr>
          <w:p w14:paraId="4F955623" w14:textId="77777777" w:rsidR="005D79EF" w:rsidRPr="005D79EF" w:rsidRDefault="005D79EF" w:rsidP="005D79EF">
            <w:pPr>
              <w:jc w:val="center"/>
              <w:rPr>
                <w:rFonts w:cstheme="minorHAnsi"/>
                <w:b/>
                <w:color w:val="auto"/>
                <w:sz w:val="18"/>
                <w:szCs w:val="18"/>
              </w:rPr>
            </w:pPr>
            <w:r w:rsidRPr="005D79EF">
              <w:rPr>
                <w:rFonts w:cstheme="minorHAnsi"/>
                <w:b/>
                <w:color w:val="auto"/>
                <w:sz w:val="18"/>
                <w:szCs w:val="18"/>
              </w:rPr>
              <w:t>Implications for future demands</w:t>
            </w:r>
          </w:p>
        </w:tc>
      </w:tr>
      <w:tr w:rsidR="005D79EF" w:rsidRPr="005D79EF" w14:paraId="2AF0B47E" w14:textId="77777777" w:rsidTr="00583873">
        <w:trPr>
          <w:trHeight w:val="740"/>
          <w:tblHeader/>
        </w:trPr>
        <w:tc>
          <w:tcPr>
            <w:tcW w:w="582" w:type="pct"/>
            <w:vMerge/>
            <w:tcBorders>
              <w:left w:val="single" w:sz="12" w:space="0" w:color="auto"/>
              <w:bottom w:val="single" w:sz="12" w:space="0" w:color="auto"/>
            </w:tcBorders>
            <w:shd w:val="clear" w:color="auto" w:fill="B6DDE8" w:themeFill="accent5" w:themeFillTint="66"/>
            <w:vAlign w:val="center"/>
            <w:hideMark/>
          </w:tcPr>
          <w:p w14:paraId="055FAA25" w14:textId="77777777" w:rsidR="005D79EF" w:rsidRPr="005D79EF" w:rsidRDefault="005D79EF" w:rsidP="005D79EF">
            <w:pPr>
              <w:jc w:val="center"/>
              <w:rPr>
                <w:rFonts w:cstheme="minorHAnsi"/>
                <w:b/>
                <w:bCs/>
                <w:sz w:val="18"/>
                <w:szCs w:val="18"/>
              </w:rPr>
            </w:pPr>
          </w:p>
        </w:tc>
        <w:tc>
          <w:tcPr>
            <w:tcW w:w="968" w:type="pct"/>
            <w:tcBorders>
              <w:bottom w:val="single" w:sz="12" w:space="0" w:color="auto"/>
            </w:tcBorders>
            <w:shd w:val="clear" w:color="auto" w:fill="B6DDE8" w:themeFill="accent5" w:themeFillTint="66"/>
            <w:vAlign w:val="center"/>
            <w:hideMark/>
          </w:tcPr>
          <w:p w14:paraId="420EF454" w14:textId="77777777" w:rsidR="005D79EF" w:rsidRPr="005D79EF" w:rsidRDefault="005D79EF" w:rsidP="005D79EF">
            <w:pPr>
              <w:jc w:val="center"/>
              <w:rPr>
                <w:rFonts w:cstheme="minorHAnsi"/>
                <w:b/>
                <w:bCs/>
                <w:sz w:val="18"/>
                <w:szCs w:val="18"/>
              </w:rPr>
            </w:pPr>
            <w:r w:rsidRPr="005D79EF">
              <w:rPr>
                <w:rFonts w:cstheme="minorHAnsi"/>
                <w:b/>
                <w:bCs/>
                <w:sz w:val="18"/>
                <w:szCs w:val="18"/>
              </w:rPr>
              <w:t>Flow/Volume</w:t>
            </w:r>
          </w:p>
        </w:tc>
        <w:tc>
          <w:tcPr>
            <w:tcW w:w="451" w:type="pct"/>
            <w:tcBorders>
              <w:bottom w:val="single" w:sz="12" w:space="0" w:color="auto"/>
            </w:tcBorders>
            <w:shd w:val="clear" w:color="auto" w:fill="B6DDE8" w:themeFill="accent5" w:themeFillTint="66"/>
            <w:vAlign w:val="center"/>
            <w:hideMark/>
          </w:tcPr>
          <w:p w14:paraId="52C01EC5" w14:textId="77777777" w:rsidR="005D79EF" w:rsidRPr="005D79EF" w:rsidRDefault="005D79EF" w:rsidP="005D79EF">
            <w:pPr>
              <w:jc w:val="center"/>
              <w:rPr>
                <w:rFonts w:cstheme="minorHAnsi"/>
                <w:b/>
                <w:bCs/>
                <w:sz w:val="18"/>
                <w:szCs w:val="18"/>
              </w:rPr>
            </w:pPr>
            <w:r w:rsidRPr="005D79EF">
              <w:rPr>
                <w:rFonts w:cstheme="minorHAnsi"/>
                <w:b/>
                <w:bCs/>
                <w:sz w:val="18"/>
                <w:szCs w:val="18"/>
              </w:rPr>
              <w:t>Required frequency (maximum dry interval)</w:t>
            </w:r>
          </w:p>
        </w:tc>
        <w:tc>
          <w:tcPr>
            <w:tcW w:w="1064" w:type="pct"/>
            <w:tcBorders>
              <w:bottom w:val="single" w:sz="12" w:space="0" w:color="auto"/>
            </w:tcBorders>
            <w:shd w:val="clear" w:color="auto" w:fill="B6DDE8" w:themeFill="accent5" w:themeFillTint="66"/>
            <w:vAlign w:val="center"/>
            <w:hideMark/>
          </w:tcPr>
          <w:p w14:paraId="2F6946C1" w14:textId="77777777" w:rsidR="005D79EF" w:rsidRPr="005D79EF" w:rsidRDefault="005D79EF" w:rsidP="005D79EF">
            <w:pPr>
              <w:jc w:val="center"/>
              <w:rPr>
                <w:rFonts w:cstheme="minorHAnsi"/>
                <w:b/>
                <w:bCs/>
                <w:sz w:val="18"/>
                <w:szCs w:val="18"/>
              </w:rPr>
            </w:pPr>
            <w:r w:rsidRPr="005D79EF">
              <w:rPr>
                <w:rFonts w:cstheme="minorHAnsi"/>
                <w:b/>
                <w:bCs/>
                <w:sz w:val="18"/>
                <w:szCs w:val="18"/>
              </w:rPr>
              <w:t>(from all sources of water)</w:t>
            </w:r>
          </w:p>
        </w:tc>
        <w:tc>
          <w:tcPr>
            <w:tcW w:w="451" w:type="pct"/>
            <w:tcBorders>
              <w:bottom w:val="single" w:sz="12" w:space="0" w:color="auto"/>
            </w:tcBorders>
            <w:shd w:val="clear" w:color="auto" w:fill="B6DDE8" w:themeFill="accent5" w:themeFillTint="66"/>
            <w:vAlign w:val="center"/>
            <w:hideMark/>
          </w:tcPr>
          <w:p w14:paraId="74CC361F" w14:textId="77777777" w:rsidR="005D79EF" w:rsidRPr="005D79EF" w:rsidRDefault="005D79EF" w:rsidP="005D79EF">
            <w:pPr>
              <w:jc w:val="center"/>
              <w:rPr>
                <w:rFonts w:cstheme="minorHAnsi"/>
                <w:b/>
                <w:color w:val="auto"/>
                <w:sz w:val="18"/>
                <w:szCs w:val="18"/>
              </w:rPr>
            </w:pPr>
            <w:r w:rsidRPr="005D79EF">
              <w:rPr>
                <w:rFonts w:cstheme="minorHAnsi"/>
                <w:b/>
                <w:color w:val="auto"/>
                <w:sz w:val="18"/>
                <w:szCs w:val="18"/>
              </w:rPr>
              <w:t xml:space="preserve">Environmental demands for water </w:t>
            </w:r>
          </w:p>
          <w:p w14:paraId="59454590" w14:textId="77777777" w:rsidR="005D79EF" w:rsidRPr="005D79EF" w:rsidRDefault="005D79EF" w:rsidP="005D79EF">
            <w:pPr>
              <w:jc w:val="center"/>
              <w:rPr>
                <w:rFonts w:cstheme="minorHAnsi"/>
                <w:b/>
                <w:color w:val="auto"/>
                <w:sz w:val="18"/>
                <w:szCs w:val="18"/>
              </w:rPr>
            </w:pPr>
            <w:r w:rsidRPr="005D79EF">
              <w:rPr>
                <w:rFonts w:cstheme="minorHAnsi"/>
                <w:b/>
                <w:color w:val="auto"/>
                <w:sz w:val="18"/>
                <w:szCs w:val="18"/>
              </w:rPr>
              <w:t>(all sources)</w:t>
            </w:r>
          </w:p>
        </w:tc>
        <w:tc>
          <w:tcPr>
            <w:tcW w:w="968" w:type="pct"/>
            <w:tcBorders>
              <w:bottom w:val="single" w:sz="12" w:space="0" w:color="auto"/>
            </w:tcBorders>
            <w:shd w:val="clear" w:color="auto" w:fill="B6DDE8" w:themeFill="accent5" w:themeFillTint="66"/>
            <w:vAlign w:val="center"/>
            <w:hideMark/>
          </w:tcPr>
          <w:p w14:paraId="518A7A5B" w14:textId="77777777" w:rsidR="005D79EF" w:rsidRPr="005D79EF" w:rsidRDefault="005D79EF" w:rsidP="005D79EF">
            <w:pPr>
              <w:jc w:val="center"/>
              <w:rPr>
                <w:rFonts w:cstheme="minorHAnsi"/>
                <w:b/>
                <w:color w:val="auto"/>
                <w:sz w:val="18"/>
                <w:szCs w:val="18"/>
              </w:rPr>
            </w:pPr>
            <w:r w:rsidRPr="005D79EF">
              <w:rPr>
                <w:rFonts w:cstheme="minorHAnsi"/>
                <w:b/>
                <w:color w:val="auto"/>
                <w:sz w:val="18"/>
                <w:szCs w:val="18"/>
              </w:rPr>
              <w:t>Potential Commonwealth environmental water contribution?</w:t>
            </w:r>
          </w:p>
        </w:tc>
        <w:tc>
          <w:tcPr>
            <w:tcW w:w="516" w:type="pct"/>
            <w:tcBorders>
              <w:bottom w:val="single" w:sz="12" w:space="0" w:color="auto"/>
              <w:right w:val="single" w:sz="12" w:space="0" w:color="auto"/>
            </w:tcBorders>
            <w:shd w:val="clear" w:color="auto" w:fill="B6DDE8" w:themeFill="accent5" w:themeFillTint="66"/>
            <w:vAlign w:val="center"/>
            <w:hideMark/>
          </w:tcPr>
          <w:p w14:paraId="4884D51E" w14:textId="77777777" w:rsidR="005D79EF" w:rsidRPr="005D79EF" w:rsidRDefault="005D79EF" w:rsidP="005D79EF">
            <w:pPr>
              <w:jc w:val="center"/>
              <w:rPr>
                <w:rFonts w:cstheme="minorHAnsi"/>
                <w:b/>
                <w:color w:val="auto"/>
                <w:sz w:val="18"/>
                <w:szCs w:val="18"/>
              </w:rPr>
            </w:pPr>
            <w:r w:rsidRPr="005D79EF">
              <w:rPr>
                <w:rFonts w:cstheme="minorHAnsi"/>
                <w:b/>
                <w:color w:val="auto"/>
                <w:sz w:val="18"/>
                <w:szCs w:val="18"/>
              </w:rPr>
              <w:t>Likely urgency of demand in 2021–22 if watering occurred as planned in 2020–21</w:t>
            </w:r>
          </w:p>
        </w:tc>
      </w:tr>
      <w:tr w:rsidR="005D79EF" w:rsidRPr="005D79EF" w14:paraId="1ECDF4B6" w14:textId="77777777" w:rsidTr="00583873">
        <w:trPr>
          <w:trHeight w:val="1786"/>
        </w:trPr>
        <w:tc>
          <w:tcPr>
            <w:tcW w:w="582" w:type="pct"/>
            <w:tcBorders>
              <w:top w:val="single" w:sz="12" w:space="0" w:color="auto"/>
              <w:left w:val="single" w:sz="12" w:space="0" w:color="auto"/>
              <w:bottom w:val="single" w:sz="12" w:space="0" w:color="auto"/>
            </w:tcBorders>
            <w:shd w:val="clear" w:color="auto" w:fill="auto"/>
            <w:vAlign w:val="center"/>
          </w:tcPr>
          <w:p w14:paraId="6F492262" w14:textId="77777777" w:rsidR="005D79EF" w:rsidRPr="005D79EF" w:rsidRDefault="005D79EF" w:rsidP="005D79EF">
            <w:pPr>
              <w:rPr>
                <w:rFonts w:cstheme="minorHAnsi"/>
                <w:b/>
                <w:sz w:val="18"/>
                <w:szCs w:val="18"/>
              </w:rPr>
            </w:pPr>
            <w:r w:rsidRPr="005D79EF">
              <w:rPr>
                <w:rFonts w:cstheme="minorHAnsi"/>
                <w:b/>
                <w:bCs/>
                <w:color w:val="auto"/>
                <w:sz w:val="18"/>
                <w:szCs w:val="18"/>
              </w:rPr>
              <w:t>Lachlan River</w:t>
            </w:r>
            <w:r w:rsidRPr="005D79EF">
              <w:rPr>
                <w:rFonts w:cstheme="minorHAnsi"/>
                <w:b/>
                <w:sz w:val="18"/>
                <w:szCs w:val="18"/>
              </w:rPr>
              <w:t xml:space="preserve"> (PU 2, 3, 6, 8, 14, 16)</w:t>
            </w:r>
          </w:p>
          <w:p w14:paraId="63B8F6EC" w14:textId="77777777" w:rsidR="005D79EF" w:rsidRPr="005D79EF" w:rsidRDefault="005D79EF" w:rsidP="005D79EF">
            <w:pPr>
              <w:rPr>
                <w:rFonts w:cstheme="minorHAnsi"/>
                <w:sz w:val="18"/>
                <w:szCs w:val="18"/>
              </w:rPr>
            </w:pPr>
            <w:r w:rsidRPr="005D79EF">
              <w:rPr>
                <w:rFonts w:cstheme="minorHAnsi"/>
                <w:color w:val="auto"/>
                <w:sz w:val="18"/>
                <w:szCs w:val="18"/>
              </w:rPr>
              <w:t xml:space="preserve">Protect tributary inflows (natural trigger) or deliver upon environmental triggers (e.g. timing or temperature) being reached, to target </w:t>
            </w:r>
            <w:r w:rsidRPr="005D79EF">
              <w:rPr>
                <w:rFonts w:cstheme="minorHAnsi"/>
                <w:bCs/>
                <w:sz w:val="18"/>
                <w:szCs w:val="18"/>
              </w:rPr>
              <w:t>native fish, in-stream productivity, native vegetation and connectivity along the river channel</w:t>
            </w:r>
          </w:p>
        </w:tc>
        <w:tc>
          <w:tcPr>
            <w:tcW w:w="968" w:type="pct"/>
            <w:tcBorders>
              <w:top w:val="single" w:sz="12" w:space="0" w:color="auto"/>
              <w:bottom w:val="single" w:sz="12" w:space="0" w:color="auto"/>
            </w:tcBorders>
            <w:shd w:val="clear" w:color="auto" w:fill="auto"/>
            <w:vAlign w:val="center"/>
          </w:tcPr>
          <w:p w14:paraId="49E5962C" w14:textId="77777777" w:rsidR="005D79EF" w:rsidRPr="005D79EF" w:rsidRDefault="005D79EF" w:rsidP="005D79EF">
            <w:pPr>
              <w:jc w:val="center"/>
              <w:rPr>
                <w:rFonts w:cstheme="minorHAnsi"/>
                <w:color w:val="auto"/>
                <w:spacing w:val="-1"/>
                <w:sz w:val="18"/>
                <w:szCs w:val="18"/>
              </w:rPr>
            </w:pPr>
            <w:r w:rsidRPr="005D79EF">
              <w:rPr>
                <w:rFonts w:cstheme="minorHAnsi"/>
                <w:sz w:val="18"/>
                <w:szCs w:val="18"/>
              </w:rPr>
              <w:t>&gt;600 ML/d, based on conceptual hydrographs (Ellis et al. 2016), other flow objectives and available water allocations.</w:t>
            </w:r>
          </w:p>
        </w:tc>
        <w:tc>
          <w:tcPr>
            <w:tcW w:w="451" w:type="pct"/>
            <w:tcBorders>
              <w:top w:val="single" w:sz="12" w:space="0" w:color="auto"/>
              <w:bottom w:val="single" w:sz="12" w:space="0" w:color="auto"/>
            </w:tcBorders>
            <w:shd w:val="clear" w:color="auto" w:fill="auto"/>
            <w:vAlign w:val="center"/>
          </w:tcPr>
          <w:p w14:paraId="07BEF90B" w14:textId="77777777" w:rsidR="005D79EF" w:rsidRPr="005D79EF" w:rsidRDefault="005D79EF" w:rsidP="005D79EF">
            <w:pPr>
              <w:jc w:val="center"/>
              <w:rPr>
                <w:rFonts w:cstheme="minorHAnsi"/>
                <w:color w:val="auto"/>
                <w:sz w:val="18"/>
                <w:szCs w:val="18"/>
              </w:rPr>
            </w:pPr>
            <w:r w:rsidRPr="005D79EF">
              <w:rPr>
                <w:rFonts w:cstheme="minorHAnsi"/>
                <w:sz w:val="18"/>
                <w:szCs w:val="18"/>
              </w:rPr>
              <w:t>5–10 years in 10 (Annual for the maintenance of drought refuge)</w:t>
            </w:r>
          </w:p>
        </w:tc>
        <w:tc>
          <w:tcPr>
            <w:tcW w:w="1064" w:type="pct"/>
            <w:tcBorders>
              <w:top w:val="single" w:sz="12" w:space="0" w:color="auto"/>
              <w:bottom w:val="single" w:sz="12" w:space="0" w:color="auto"/>
            </w:tcBorders>
            <w:shd w:val="clear" w:color="auto" w:fill="auto"/>
            <w:vAlign w:val="center"/>
          </w:tcPr>
          <w:p w14:paraId="4464D36B" w14:textId="77777777" w:rsidR="005D79EF" w:rsidRPr="005D79EF" w:rsidRDefault="005D79EF" w:rsidP="005D79EF">
            <w:pPr>
              <w:rPr>
                <w:rFonts w:cstheme="minorHAnsi"/>
                <w:bCs/>
                <w:color w:val="auto"/>
                <w:sz w:val="18"/>
                <w:szCs w:val="18"/>
                <w:highlight w:val="lightGray"/>
              </w:rPr>
            </w:pPr>
            <w:r w:rsidRPr="005D79EF">
              <w:rPr>
                <w:rFonts w:cstheme="minorHAnsi"/>
                <w:bCs/>
                <w:sz w:val="18"/>
                <w:szCs w:val="18"/>
              </w:rPr>
              <w:t>From 2018-2020 a pulse and minimum flow period in spring has been provided</w:t>
            </w:r>
          </w:p>
        </w:tc>
        <w:tc>
          <w:tcPr>
            <w:tcW w:w="451" w:type="pct"/>
            <w:tcBorders>
              <w:top w:val="single" w:sz="12" w:space="0" w:color="auto"/>
              <w:bottom w:val="single" w:sz="12" w:space="0" w:color="auto"/>
            </w:tcBorders>
            <w:shd w:val="clear" w:color="auto" w:fill="FF0000"/>
            <w:vAlign w:val="center"/>
          </w:tcPr>
          <w:p w14:paraId="6B0F8117" w14:textId="77777777" w:rsidR="005D79EF" w:rsidRPr="005D79EF" w:rsidRDefault="005D79EF" w:rsidP="005D79EF">
            <w:pPr>
              <w:jc w:val="center"/>
              <w:rPr>
                <w:rFonts w:eastAsia="Century Gothic" w:cstheme="minorHAnsi"/>
                <w:color w:val="auto"/>
                <w:sz w:val="18"/>
                <w:szCs w:val="18"/>
              </w:rPr>
            </w:pPr>
            <w:r w:rsidRPr="005D79EF">
              <w:rPr>
                <w:rFonts w:cstheme="minorHAnsi"/>
                <w:color w:val="auto"/>
                <w:sz w:val="18"/>
                <w:szCs w:val="18"/>
              </w:rPr>
              <w:t>High</w:t>
            </w:r>
          </w:p>
        </w:tc>
        <w:tc>
          <w:tcPr>
            <w:tcW w:w="968" w:type="pct"/>
            <w:tcBorders>
              <w:top w:val="single" w:sz="12" w:space="0" w:color="auto"/>
              <w:bottom w:val="single" w:sz="12" w:space="0" w:color="auto"/>
            </w:tcBorders>
            <w:shd w:val="clear" w:color="auto" w:fill="365F91" w:themeFill="accent1" w:themeFillShade="BF"/>
            <w:vAlign w:val="center"/>
          </w:tcPr>
          <w:p w14:paraId="4CD84BA9" w14:textId="77777777" w:rsidR="005D79EF" w:rsidRPr="005D79EF" w:rsidRDefault="005D79EF" w:rsidP="005D79EF">
            <w:pPr>
              <w:jc w:val="center"/>
              <w:rPr>
                <w:rFonts w:cstheme="minorHAnsi"/>
                <w:color w:val="auto"/>
                <w:spacing w:val="-1"/>
                <w:sz w:val="18"/>
                <w:szCs w:val="18"/>
              </w:rPr>
            </w:pPr>
            <w:r w:rsidRPr="005D79EF">
              <w:rPr>
                <w:rFonts w:cstheme="minorHAnsi"/>
                <w:color w:val="auto"/>
                <w:sz w:val="18"/>
                <w:szCs w:val="18"/>
              </w:rPr>
              <w:t>High priority for Commonwealth environmental watering (likely to receive water even under low water resource availability)</w:t>
            </w:r>
          </w:p>
        </w:tc>
        <w:tc>
          <w:tcPr>
            <w:tcW w:w="516" w:type="pct"/>
            <w:tcBorders>
              <w:top w:val="single" w:sz="12" w:space="0" w:color="auto"/>
              <w:bottom w:val="single" w:sz="12" w:space="0" w:color="auto"/>
              <w:right w:val="single" w:sz="12" w:space="0" w:color="auto"/>
            </w:tcBorders>
            <w:shd w:val="clear" w:color="auto" w:fill="FF0000"/>
            <w:vAlign w:val="center"/>
          </w:tcPr>
          <w:p w14:paraId="20DB796C" w14:textId="77777777" w:rsidR="005D79EF" w:rsidRPr="005D79EF" w:rsidRDefault="005D79EF" w:rsidP="005D79EF">
            <w:pPr>
              <w:jc w:val="center"/>
              <w:rPr>
                <w:rFonts w:cstheme="minorHAnsi"/>
                <w:color w:val="auto"/>
                <w:sz w:val="18"/>
                <w:szCs w:val="18"/>
              </w:rPr>
            </w:pPr>
            <w:r w:rsidRPr="005D79EF">
              <w:rPr>
                <w:rFonts w:cstheme="minorHAnsi"/>
                <w:color w:val="auto"/>
                <w:sz w:val="18"/>
                <w:szCs w:val="18"/>
              </w:rPr>
              <w:t>High</w:t>
            </w:r>
          </w:p>
        </w:tc>
      </w:tr>
      <w:tr w:rsidR="005D79EF" w:rsidRPr="005D79EF" w14:paraId="3C9924BB" w14:textId="77777777" w:rsidTr="00583873">
        <w:trPr>
          <w:trHeight w:val="1125"/>
        </w:trPr>
        <w:tc>
          <w:tcPr>
            <w:tcW w:w="582" w:type="pct"/>
            <w:tcBorders>
              <w:top w:val="single" w:sz="12" w:space="0" w:color="auto"/>
              <w:left w:val="single" w:sz="12" w:space="0" w:color="auto"/>
              <w:bottom w:val="single" w:sz="12" w:space="0" w:color="auto"/>
            </w:tcBorders>
            <w:shd w:val="clear" w:color="auto" w:fill="auto"/>
            <w:vAlign w:val="center"/>
          </w:tcPr>
          <w:p w14:paraId="5E31A0BD" w14:textId="77777777" w:rsidR="005D79EF" w:rsidRPr="005D79EF" w:rsidRDefault="005D79EF" w:rsidP="005D79EF">
            <w:pPr>
              <w:rPr>
                <w:rFonts w:cstheme="minorHAnsi"/>
                <w:b/>
                <w:color w:val="auto"/>
                <w:sz w:val="18"/>
                <w:szCs w:val="18"/>
              </w:rPr>
            </w:pPr>
            <w:bookmarkStart w:id="151" w:name="_Hlk39150831"/>
            <w:r w:rsidRPr="005D79EF">
              <w:rPr>
                <w:rFonts w:cstheme="minorHAnsi"/>
                <w:b/>
                <w:color w:val="auto"/>
                <w:sz w:val="18"/>
                <w:szCs w:val="18"/>
              </w:rPr>
              <w:t>Yarrabandai Lagoon (formerly known as Burrawang West, PU 3) (see note 1)</w:t>
            </w:r>
          </w:p>
          <w:p w14:paraId="30F05C76" w14:textId="77777777" w:rsidR="005D79EF" w:rsidRPr="005D79EF" w:rsidRDefault="005D79EF" w:rsidP="005D79EF">
            <w:pPr>
              <w:rPr>
                <w:rFonts w:cstheme="minorHAnsi"/>
                <w:bCs/>
                <w:sz w:val="18"/>
                <w:szCs w:val="18"/>
              </w:rPr>
            </w:pPr>
            <w:r w:rsidRPr="005D79EF">
              <w:rPr>
                <w:rFonts w:cstheme="minorHAnsi"/>
                <w:color w:val="auto"/>
                <w:sz w:val="18"/>
                <w:szCs w:val="18"/>
              </w:rPr>
              <w:t>Provide off-channel drouth refuge habitat for native frogs and waterbirds</w:t>
            </w:r>
          </w:p>
        </w:tc>
        <w:tc>
          <w:tcPr>
            <w:tcW w:w="968" w:type="pct"/>
            <w:tcBorders>
              <w:top w:val="single" w:sz="12" w:space="0" w:color="auto"/>
              <w:bottom w:val="single" w:sz="12" w:space="0" w:color="auto"/>
            </w:tcBorders>
            <w:shd w:val="clear" w:color="auto" w:fill="auto"/>
            <w:vAlign w:val="center"/>
          </w:tcPr>
          <w:p w14:paraId="1017E0A1" w14:textId="77777777" w:rsidR="005D79EF" w:rsidRPr="005D79EF" w:rsidRDefault="005D79EF" w:rsidP="005D79EF">
            <w:pPr>
              <w:jc w:val="center"/>
              <w:rPr>
                <w:rFonts w:cstheme="minorHAnsi"/>
                <w:spacing w:val="-1"/>
                <w:sz w:val="18"/>
                <w:szCs w:val="18"/>
              </w:rPr>
            </w:pPr>
            <w:r w:rsidRPr="005D79EF">
              <w:rPr>
                <w:rFonts w:cstheme="minorHAnsi"/>
                <w:sz w:val="18"/>
                <w:szCs w:val="18"/>
              </w:rPr>
              <w:t>400-800 ML in total</w:t>
            </w:r>
          </w:p>
        </w:tc>
        <w:tc>
          <w:tcPr>
            <w:tcW w:w="451" w:type="pct"/>
            <w:tcBorders>
              <w:top w:val="single" w:sz="12" w:space="0" w:color="auto"/>
              <w:bottom w:val="single" w:sz="12" w:space="0" w:color="auto"/>
            </w:tcBorders>
            <w:shd w:val="clear" w:color="auto" w:fill="auto"/>
            <w:vAlign w:val="center"/>
          </w:tcPr>
          <w:p w14:paraId="7F113815" w14:textId="77777777" w:rsidR="005D79EF" w:rsidRPr="005D79EF" w:rsidRDefault="005D79EF" w:rsidP="005D79EF">
            <w:pPr>
              <w:jc w:val="center"/>
              <w:rPr>
                <w:rFonts w:eastAsia="Century Gothic" w:cstheme="minorHAnsi"/>
                <w:spacing w:val="-1"/>
                <w:sz w:val="18"/>
                <w:szCs w:val="18"/>
              </w:rPr>
            </w:pPr>
            <w:r w:rsidRPr="005D79EF">
              <w:rPr>
                <w:rFonts w:cstheme="minorHAnsi"/>
                <w:sz w:val="18"/>
                <w:szCs w:val="18"/>
              </w:rPr>
              <w:t>5–10 years in 10 (Annual for the maintenance of drought refuge)</w:t>
            </w:r>
          </w:p>
        </w:tc>
        <w:tc>
          <w:tcPr>
            <w:tcW w:w="1064" w:type="pct"/>
            <w:tcBorders>
              <w:top w:val="single" w:sz="12" w:space="0" w:color="auto"/>
              <w:bottom w:val="single" w:sz="12" w:space="0" w:color="auto"/>
            </w:tcBorders>
            <w:shd w:val="clear" w:color="auto" w:fill="auto"/>
            <w:vAlign w:val="center"/>
          </w:tcPr>
          <w:p w14:paraId="52A1754A" w14:textId="77777777" w:rsidR="005D79EF" w:rsidRPr="005D79EF" w:rsidRDefault="005D79EF" w:rsidP="005D79EF">
            <w:pPr>
              <w:rPr>
                <w:rFonts w:cstheme="minorHAnsi"/>
                <w:bCs/>
                <w:sz w:val="18"/>
                <w:szCs w:val="18"/>
              </w:rPr>
            </w:pPr>
            <w:r w:rsidRPr="005D79EF">
              <w:rPr>
                <w:rFonts w:cstheme="minorHAnsi"/>
                <w:sz w:val="18"/>
                <w:szCs w:val="18"/>
              </w:rPr>
              <w:t>Previously watered by NSW. Watered since 2018-19 and received high natural flows in winter 2020.</w:t>
            </w:r>
          </w:p>
        </w:tc>
        <w:tc>
          <w:tcPr>
            <w:tcW w:w="451" w:type="pct"/>
            <w:tcBorders>
              <w:top w:val="single" w:sz="12" w:space="0" w:color="auto"/>
              <w:bottom w:val="single" w:sz="12" w:space="0" w:color="auto"/>
            </w:tcBorders>
            <w:shd w:val="clear" w:color="auto" w:fill="FFC000"/>
            <w:vAlign w:val="center"/>
          </w:tcPr>
          <w:p w14:paraId="171D74DF"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c>
          <w:tcPr>
            <w:tcW w:w="968" w:type="pct"/>
            <w:tcBorders>
              <w:top w:val="single" w:sz="12" w:space="0" w:color="auto"/>
              <w:bottom w:val="single" w:sz="12" w:space="0" w:color="auto"/>
            </w:tcBorders>
            <w:shd w:val="clear" w:color="auto" w:fill="365F91" w:themeFill="accent1" w:themeFillShade="BF"/>
            <w:vAlign w:val="center"/>
          </w:tcPr>
          <w:p w14:paraId="60195272" w14:textId="77777777" w:rsidR="005D79EF" w:rsidRPr="005D79EF" w:rsidRDefault="005D79EF" w:rsidP="005D79EF">
            <w:pPr>
              <w:jc w:val="center"/>
              <w:rPr>
                <w:rFonts w:cstheme="minorHAnsi"/>
                <w:color w:val="auto"/>
                <w:spacing w:val="-1"/>
                <w:sz w:val="18"/>
                <w:szCs w:val="18"/>
              </w:rPr>
            </w:pPr>
            <w:r w:rsidRPr="005D79EF">
              <w:rPr>
                <w:color w:val="auto"/>
                <w:sz w:val="18"/>
                <w:szCs w:val="18"/>
              </w:rPr>
              <w:t>Priority for Commonwealth environmental watering (likely to receive water even under low water resource availability), subject to site assessment</w:t>
            </w:r>
          </w:p>
        </w:tc>
        <w:tc>
          <w:tcPr>
            <w:tcW w:w="516" w:type="pct"/>
            <w:tcBorders>
              <w:top w:val="single" w:sz="12" w:space="0" w:color="auto"/>
              <w:bottom w:val="single" w:sz="12" w:space="0" w:color="auto"/>
              <w:right w:val="single" w:sz="12" w:space="0" w:color="auto"/>
            </w:tcBorders>
            <w:shd w:val="clear" w:color="auto" w:fill="FFC000"/>
            <w:vAlign w:val="center"/>
          </w:tcPr>
          <w:p w14:paraId="467CCB89"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r>
      <w:bookmarkEnd w:id="151"/>
      <w:tr w:rsidR="005D79EF" w:rsidRPr="005D79EF" w14:paraId="7C2CCF24" w14:textId="77777777" w:rsidTr="00583873">
        <w:trPr>
          <w:trHeight w:val="1379"/>
        </w:trPr>
        <w:tc>
          <w:tcPr>
            <w:tcW w:w="582" w:type="pct"/>
            <w:tcBorders>
              <w:top w:val="single" w:sz="12" w:space="0" w:color="auto"/>
              <w:left w:val="single" w:sz="12" w:space="0" w:color="auto"/>
              <w:bottom w:val="single" w:sz="12" w:space="0" w:color="auto"/>
            </w:tcBorders>
            <w:shd w:val="clear" w:color="auto" w:fill="auto"/>
            <w:vAlign w:val="center"/>
          </w:tcPr>
          <w:p w14:paraId="5A22EB3B" w14:textId="77777777" w:rsidR="005D79EF" w:rsidRPr="005D79EF" w:rsidRDefault="005D79EF" w:rsidP="005D79EF">
            <w:pPr>
              <w:rPr>
                <w:rFonts w:cstheme="minorHAnsi"/>
                <w:b/>
                <w:bCs/>
                <w:color w:val="auto"/>
                <w:sz w:val="18"/>
                <w:szCs w:val="18"/>
              </w:rPr>
            </w:pPr>
            <w:r w:rsidRPr="005D79EF">
              <w:rPr>
                <w:rFonts w:cstheme="minorHAnsi"/>
                <w:b/>
                <w:color w:val="auto"/>
                <w:sz w:val="18"/>
                <w:szCs w:val="18"/>
              </w:rPr>
              <w:t>Brewster Weir Pool (PU 8)</w:t>
            </w:r>
          </w:p>
          <w:p w14:paraId="08A71359" w14:textId="77777777" w:rsidR="005D79EF" w:rsidRPr="005D79EF" w:rsidRDefault="005D79EF" w:rsidP="005D79EF">
            <w:pPr>
              <w:rPr>
                <w:rFonts w:cstheme="minorHAnsi"/>
                <w:bCs/>
                <w:sz w:val="18"/>
                <w:szCs w:val="18"/>
              </w:rPr>
            </w:pPr>
            <w:r w:rsidRPr="005D79EF">
              <w:rPr>
                <w:rFonts w:cstheme="minorHAnsi"/>
                <w:color w:val="auto"/>
                <w:sz w:val="18"/>
                <w:szCs w:val="18"/>
              </w:rPr>
              <w:t>Help maintain weir pool height to maintain olive perchlet habitat</w:t>
            </w:r>
          </w:p>
        </w:tc>
        <w:tc>
          <w:tcPr>
            <w:tcW w:w="968" w:type="pct"/>
            <w:tcBorders>
              <w:top w:val="single" w:sz="12" w:space="0" w:color="auto"/>
              <w:bottom w:val="single" w:sz="12" w:space="0" w:color="auto"/>
            </w:tcBorders>
            <w:shd w:val="clear" w:color="auto" w:fill="auto"/>
            <w:vAlign w:val="center"/>
          </w:tcPr>
          <w:p w14:paraId="0C9DF9CD" w14:textId="77777777" w:rsidR="005D79EF" w:rsidRPr="005D79EF" w:rsidRDefault="005D79EF" w:rsidP="005D79EF">
            <w:pPr>
              <w:jc w:val="center"/>
              <w:rPr>
                <w:rFonts w:cstheme="minorHAnsi"/>
                <w:spacing w:val="-1"/>
                <w:sz w:val="18"/>
                <w:szCs w:val="18"/>
              </w:rPr>
            </w:pPr>
            <w:r w:rsidRPr="005D79EF">
              <w:rPr>
                <w:rFonts w:cstheme="minorHAnsi"/>
                <w:sz w:val="18"/>
                <w:szCs w:val="18"/>
              </w:rPr>
              <w:t>Up to 5 GL dependant on the operational level and management requirements of the weir</w:t>
            </w:r>
          </w:p>
        </w:tc>
        <w:tc>
          <w:tcPr>
            <w:tcW w:w="451" w:type="pct"/>
            <w:tcBorders>
              <w:top w:val="single" w:sz="12" w:space="0" w:color="auto"/>
              <w:bottom w:val="single" w:sz="12" w:space="0" w:color="auto"/>
            </w:tcBorders>
            <w:shd w:val="clear" w:color="auto" w:fill="auto"/>
            <w:vAlign w:val="center"/>
          </w:tcPr>
          <w:p w14:paraId="2384F75B" w14:textId="77777777" w:rsidR="005D79EF" w:rsidRPr="005D79EF" w:rsidRDefault="005D79EF" w:rsidP="005D79EF">
            <w:pPr>
              <w:jc w:val="center"/>
              <w:rPr>
                <w:rFonts w:eastAsia="Century Gothic" w:cstheme="minorHAnsi"/>
                <w:spacing w:val="-1"/>
                <w:sz w:val="18"/>
                <w:szCs w:val="18"/>
              </w:rPr>
            </w:pPr>
            <w:r w:rsidRPr="005D79EF">
              <w:rPr>
                <w:rFonts w:cstheme="minorHAnsi"/>
                <w:sz w:val="18"/>
                <w:szCs w:val="18"/>
              </w:rPr>
              <w:t>5–10 years in 10 (Annual for the maintenance of drought refuge)</w:t>
            </w:r>
          </w:p>
        </w:tc>
        <w:tc>
          <w:tcPr>
            <w:tcW w:w="1064" w:type="pct"/>
            <w:tcBorders>
              <w:top w:val="single" w:sz="12" w:space="0" w:color="auto"/>
              <w:bottom w:val="single" w:sz="12" w:space="0" w:color="auto"/>
            </w:tcBorders>
            <w:shd w:val="clear" w:color="auto" w:fill="auto"/>
            <w:vAlign w:val="center"/>
          </w:tcPr>
          <w:p w14:paraId="3F121548" w14:textId="77777777" w:rsidR="005D79EF" w:rsidRPr="005D79EF" w:rsidRDefault="005D79EF" w:rsidP="005D79EF">
            <w:pPr>
              <w:rPr>
                <w:rFonts w:cstheme="minorHAnsi"/>
                <w:bCs/>
                <w:sz w:val="18"/>
                <w:szCs w:val="18"/>
              </w:rPr>
            </w:pPr>
            <w:r w:rsidRPr="005D79EF">
              <w:rPr>
                <w:rFonts w:cstheme="minorHAnsi"/>
                <w:sz w:val="18"/>
                <w:szCs w:val="18"/>
              </w:rPr>
              <w:t>Watered since 2017-18 and received variable flows in May 2020 as operational water was moved into Lake Brewster</w:t>
            </w:r>
          </w:p>
        </w:tc>
        <w:tc>
          <w:tcPr>
            <w:tcW w:w="451" w:type="pct"/>
            <w:tcBorders>
              <w:top w:val="single" w:sz="12" w:space="0" w:color="auto"/>
              <w:bottom w:val="single" w:sz="12" w:space="0" w:color="auto"/>
            </w:tcBorders>
            <w:shd w:val="clear" w:color="auto" w:fill="FF0000"/>
            <w:vAlign w:val="center"/>
          </w:tcPr>
          <w:p w14:paraId="33C73FFA" w14:textId="77777777" w:rsidR="005D79EF" w:rsidRPr="005D79EF" w:rsidRDefault="005D79EF" w:rsidP="005D79EF">
            <w:pPr>
              <w:jc w:val="center"/>
              <w:rPr>
                <w:rFonts w:cstheme="minorHAnsi"/>
                <w:color w:val="auto"/>
                <w:sz w:val="18"/>
                <w:szCs w:val="18"/>
              </w:rPr>
            </w:pPr>
            <w:r w:rsidRPr="005D79EF">
              <w:rPr>
                <w:color w:val="auto"/>
                <w:sz w:val="18"/>
                <w:szCs w:val="18"/>
              </w:rPr>
              <w:t>High</w:t>
            </w:r>
          </w:p>
        </w:tc>
        <w:tc>
          <w:tcPr>
            <w:tcW w:w="968" w:type="pct"/>
            <w:tcBorders>
              <w:top w:val="single" w:sz="12" w:space="0" w:color="auto"/>
              <w:bottom w:val="single" w:sz="12" w:space="0" w:color="auto"/>
            </w:tcBorders>
            <w:shd w:val="clear" w:color="auto" w:fill="365F91" w:themeFill="accent1" w:themeFillShade="BF"/>
            <w:vAlign w:val="center"/>
          </w:tcPr>
          <w:p w14:paraId="7DEE24F8" w14:textId="77777777" w:rsidR="005D79EF" w:rsidRPr="005D79EF" w:rsidRDefault="005D79EF" w:rsidP="005D79EF">
            <w:pPr>
              <w:jc w:val="center"/>
              <w:rPr>
                <w:rFonts w:cstheme="minorHAnsi"/>
                <w:color w:val="auto"/>
                <w:spacing w:val="-1"/>
                <w:sz w:val="18"/>
                <w:szCs w:val="18"/>
              </w:rPr>
            </w:pPr>
            <w:r w:rsidRPr="005D79EF">
              <w:rPr>
                <w:color w:val="auto"/>
                <w:sz w:val="18"/>
                <w:szCs w:val="18"/>
              </w:rPr>
              <w:t>High priority for Commonwealth environmental watering (likely to receive water even under low water resource availability)</w:t>
            </w:r>
          </w:p>
        </w:tc>
        <w:tc>
          <w:tcPr>
            <w:tcW w:w="516" w:type="pct"/>
            <w:tcBorders>
              <w:top w:val="single" w:sz="12" w:space="0" w:color="auto"/>
              <w:bottom w:val="single" w:sz="12" w:space="0" w:color="auto"/>
              <w:right w:val="single" w:sz="12" w:space="0" w:color="auto"/>
            </w:tcBorders>
            <w:shd w:val="clear" w:color="auto" w:fill="FF0000"/>
            <w:vAlign w:val="center"/>
          </w:tcPr>
          <w:p w14:paraId="340D456A" w14:textId="77777777" w:rsidR="005D79EF" w:rsidRPr="005D79EF" w:rsidRDefault="005D79EF" w:rsidP="005D79EF">
            <w:pPr>
              <w:jc w:val="center"/>
              <w:rPr>
                <w:rFonts w:cstheme="minorHAnsi"/>
                <w:color w:val="auto"/>
                <w:sz w:val="18"/>
                <w:szCs w:val="18"/>
              </w:rPr>
            </w:pPr>
            <w:r w:rsidRPr="005D79EF">
              <w:rPr>
                <w:color w:val="auto"/>
                <w:sz w:val="18"/>
                <w:szCs w:val="18"/>
              </w:rPr>
              <w:t>High</w:t>
            </w:r>
          </w:p>
        </w:tc>
      </w:tr>
      <w:tr w:rsidR="005D79EF" w:rsidRPr="005D79EF" w14:paraId="09D9CDC3" w14:textId="77777777" w:rsidTr="00583873">
        <w:trPr>
          <w:trHeight w:val="617"/>
        </w:trPr>
        <w:tc>
          <w:tcPr>
            <w:tcW w:w="582" w:type="pct"/>
            <w:tcBorders>
              <w:top w:val="single" w:sz="12" w:space="0" w:color="auto"/>
              <w:left w:val="single" w:sz="12" w:space="0" w:color="auto"/>
              <w:bottom w:val="single" w:sz="12" w:space="0" w:color="auto"/>
            </w:tcBorders>
            <w:shd w:val="clear" w:color="auto" w:fill="auto"/>
            <w:vAlign w:val="center"/>
          </w:tcPr>
          <w:p w14:paraId="5E139DE6" w14:textId="77777777" w:rsidR="005D79EF" w:rsidRPr="005D79EF" w:rsidRDefault="005D79EF" w:rsidP="005D79EF">
            <w:pPr>
              <w:rPr>
                <w:rFonts w:cstheme="minorHAnsi"/>
                <w:b/>
                <w:color w:val="auto"/>
                <w:sz w:val="18"/>
                <w:szCs w:val="18"/>
              </w:rPr>
            </w:pPr>
            <w:r w:rsidRPr="005D79EF">
              <w:rPr>
                <w:rFonts w:cstheme="minorHAnsi"/>
                <w:b/>
                <w:color w:val="auto"/>
                <w:sz w:val="18"/>
                <w:szCs w:val="18"/>
              </w:rPr>
              <w:t>Mid-Lachlan anabranches (PU 5)</w:t>
            </w:r>
          </w:p>
          <w:p w14:paraId="319D6A48" w14:textId="77777777" w:rsidR="005D79EF" w:rsidRPr="005D79EF" w:rsidRDefault="005D79EF" w:rsidP="005D79EF">
            <w:pPr>
              <w:rPr>
                <w:rFonts w:cstheme="minorHAnsi"/>
                <w:bCs/>
                <w:sz w:val="18"/>
                <w:szCs w:val="18"/>
              </w:rPr>
            </w:pPr>
            <w:r w:rsidRPr="005D79EF">
              <w:rPr>
                <w:rFonts w:cstheme="minorHAnsi"/>
                <w:color w:val="auto"/>
                <w:sz w:val="18"/>
                <w:szCs w:val="18"/>
              </w:rPr>
              <w:t>Provide lateral connectivity to anabranch systems, maintain native vegetation and native fish outcomes</w:t>
            </w:r>
          </w:p>
        </w:tc>
        <w:tc>
          <w:tcPr>
            <w:tcW w:w="968" w:type="pct"/>
            <w:tcBorders>
              <w:top w:val="single" w:sz="12" w:space="0" w:color="auto"/>
              <w:bottom w:val="single" w:sz="12" w:space="0" w:color="auto"/>
            </w:tcBorders>
            <w:shd w:val="clear" w:color="auto" w:fill="auto"/>
            <w:vAlign w:val="center"/>
          </w:tcPr>
          <w:p w14:paraId="7F030AF1" w14:textId="77777777" w:rsidR="005D79EF" w:rsidRPr="005D79EF" w:rsidRDefault="005D79EF" w:rsidP="005D79EF">
            <w:pPr>
              <w:jc w:val="center"/>
              <w:rPr>
                <w:rFonts w:cstheme="minorHAnsi"/>
                <w:spacing w:val="-1"/>
                <w:sz w:val="18"/>
                <w:szCs w:val="18"/>
              </w:rPr>
            </w:pPr>
            <w:r w:rsidRPr="005D79EF">
              <w:rPr>
                <w:rFonts w:cstheme="minorHAnsi"/>
                <w:sz w:val="18"/>
                <w:szCs w:val="18"/>
              </w:rPr>
              <w:t xml:space="preserve">Nerathong and Wallamundry Creek &gt;30ML/day, Wallaroi Creek &gt;70ML/day for 10 days min annually, Oct to April </w:t>
            </w:r>
          </w:p>
        </w:tc>
        <w:tc>
          <w:tcPr>
            <w:tcW w:w="451" w:type="pct"/>
            <w:tcBorders>
              <w:top w:val="single" w:sz="12" w:space="0" w:color="auto"/>
              <w:bottom w:val="single" w:sz="12" w:space="0" w:color="auto"/>
            </w:tcBorders>
            <w:shd w:val="clear" w:color="auto" w:fill="auto"/>
            <w:vAlign w:val="center"/>
          </w:tcPr>
          <w:p w14:paraId="32C7C7FF" w14:textId="77777777" w:rsidR="005D79EF" w:rsidRPr="005D79EF" w:rsidRDefault="005D79EF" w:rsidP="005D79EF">
            <w:pPr>
              <w:jc w:val="center"/>
              <w:rPr>
                <w:rFonts w:eastAsia="Century Gothic" w:cstheme="minorHAnsi"/>
                <w:spacing w:val="-1"/>
                <w:sz w:val="18"/>
                <w:szCs w:val="18"/>
              </w:rPr>
            </w:pPr>
            <w:r w:rsidRPr="005D79EF">
              <w:rPr>
                <w:rFonts w:cstheme="minorHAnsi"/>
                <w:sz w:val="18"/>
                <w:szCs w:val="18"/>
              </w:rPr>
              <w:t>Annual</w:t>
            </w:r>
          </w:p>
        </w:tc>
        <w:tc>
          <w:tcPr>
            <w:tcW w:w="1064" w:type="pct"/>
            <w:tcBorders>
              <w:top w:val="single" w:sz="12" w:space="0" w:color="auto"/>
              <w:bottom w:val="single" w:sz="12" w:space="0" w:color="auto"/>
            </w:tcBorders>
            <w:shd w:val="clear" w:color="auto" w:fill="auto"/>
            <w:vAlign w:val="center"/>
          </w:tcPr>
          <w:p w14:paraId="355052A3" w14:textId="77777777" w:rsidR="005D79EF" w:rsidRPr="005D79EF" w:rsidRDefault="005D79EF" w:rsidP="005D79EF">
            <w:pPr>
              <w:rPr>
                <w:rFonts w:cstheme="minorHAnsi"/>
                <w:bCs/>
                <w:sz w:val="18"/>
                <w:szCs w:val="18"/>
              </w:rPr>
            </w:pPr>
            <w:r w:rsidRPr="005D79EF">
              <w:rPr>
                <w:rFonts w:cstheme="minorHAnsi"/>
                <w:sz w:val="18"/>
                <w:szCs w:val="18"/>
              </w:rPr>
              <w:t>These systems receive water from annual consumptive demand and replenishment flows.</w:t>
            </w:r>
          </w:p>
        </w:tc>
        <w:tc>
          <w:tcPr>
            <w:tcW w:w="451" w:type="pct"/>
            <w:tcBorders>
              <w:top w:val="single" w:sz="12" w:space="0" w:color="auto"/>
              <w:bottom w:val="single" w:sz="12" w:space="0" w:color="auto"/>
            </w:tcBorders>
            <w:shd w:val="clear" w:color="auto" w:fill="92D050"/>
            <w:vAlign w:val="center"/>
          </w:tcPr>
          <w:p w14:paraId="657EF840" w14:textId="77777777" w:rsidR="005D79EF" w:rsidRPr="005D79EF" w:rsidRDefault="005D79EF" w:rsidP="005D79EF">
            <w:pPr>
              <w:jc w:val="center"/>
              <w:rPr>
                <w:rFonts w:cstheme="minorHAnsi"/>
                <w:color w:val="auto"/>
                <w:sz w:val="18"/>
                <w:szCs w:val="18"/>
              </w:rPr>
            </w:pPr>
            <w:r w:rsidRPr="005D79EF">
              <w:rPr>
                <w:rFonts w:cstheme="minorHAnsi"/>
                <w:color w:val="auto"/>
                <w:sz w:val="18"/>
                <w:szCs w:val="18"/>
              </w:rPr>
              <w:t>Low</w:t>
            </w:r>
          </w:p>
        </w:tc>
        <w:tc>
          <w:tcPr>
            <w:tcW w:w="968" w:type="pct"/>
            <w:tcBorders>
              <w:top w:val="single" w:sz="12" w:space="0" w:color="auto"/>
              <w:bottom w:val="single" w:sz="12" w:space="0" w:color="auto"/>
            </w:tcBorders>
            <w:shd w:val="clear" w:color="auto" w:fill="B8CCE4" w:themeFill="accent1" w:themeFillTint="66"/>
            <w:vAlign w:val="center"/>
          </w:tcPr>
          <w:p w14:paraId="5306A290" w14:textId="77777777" w:rsidR="005D79EF" w:rsidRPr="005D79EF" w:rsidRDefault="005D79EF" w:rsidP="005D79EF">
            <w:pPr>
              <w:jc w:val="center"/>
              <w:rPr>
                <w:rFonts w:cstheme="minorHAnsi"/>
                <w:color w:val="auto"/>
                <w:spacing w:val="-1"/>
                <w:sz w:val="18"/>
                <w:szCs w:val="18"/>
              </w:rPr>
            </w:pPr>
            <w:r w:rsidRPr="005D79EF">
              <w:rPr>
                <w:rFonts w:cstheme="minorHAnsi"/>
                <w:color w:val="auto"/>
                <w:spacing w:val="-1"/>
                <w:sz w:val="18"/>
                <w:szCs w:val="18"/>
              </w:rPr>
              <w:t>Option to be considered under moderate- high water resource availability.</w:t>
            </w:r>
          </w:p>
        </w:tc>
        <w:tc>
          <w:tcPr>
            <w:tcW w:w="516" w:type="pct"/>
            <w:tcBorders>
              <w:top w:val="single" w:sz="12" w:space="0" w:color="auto"/>
              <w:bottom w:val="single" w:sz="12" w:space="0" w:color="auto"/>
              <w:right w:val="single" w:sz="12" w:space="0" w:color="auto"/>
            </w:tcBorders>
            <w:shd w:val="clear" w:color="auto" w:fill="92D050"/>
            <w:vAlign w:val="center"/>
          </w:tcPr>
          <w:p w14:paraId="40975D0F" w14:textId="77777777" w:rsidR="005D79EF" w:rsidRPr="005D79EF" w:rsidRDefault="005D79EF" w:rsidP="005D79EF">
            <w:pPr>
              <w:jc w:val="center"/>
              <w:rPr>
                <w:rFonts w:cstheme="minorHAnsi"/>
                <w:color w:val="auto"/>
                <w:sz w:val="18"/>
                <w:szCs w:val="18"/>
              </w:rPr>
            </w:pPr>
            <w:r w:rsidRPr="005D79EF">
              <w:rPr>
                <w:rFonts w:cstheme="minorHAnsi"/>
                <w:color w:val="auto"/>
                <w:sz w:val="18"/>
                <w:szCs w:val="18"/>
              </w:rPr>
              <w:t>Low</w:t>
            </w:r>
          </w:p>
        </w:tc>
      </w:tr>
      <w:tr w:rsidR="005D79EF" w:rsidRPr="005D79EF" w14:paraId="6550A849" w14:textId="77777777" w:rsidTr="00583873">
        <w:trPr>
          <w:trHeight w:val="617"/>
        </w:trPr>
        <w:tc>
          <w:tcPr>
            <w:tcW w:w="582" w:type="pct"/>
            <w:tcBorders>
              <w:top w:val="single" w:sz="12" w:space="0" w:color="auto"/>
              <w:left w:val="single" w:sz="12" w:space="0" w:color="auto"/>
              <w:bottom w:val="single" w:sz="12" w:space="0" w:color="auto"/>
            </w:tcBorders>
            <w:shd w:val="clear" w:color="auto" w:fill="auto"/>
            <w:vAlign w:val="center"/>
          </w:tcPr>
          <w:p w14:paraId="03B765FE" w14:textId="77777777" w:rsidR="005D79EF" w:rsidRPr="005D79EF" w:rsidRDefault="005D79EF" w:rsidP="005D79EF">
            <w:pPr>
              <w:rPr>
                <w:rFonts w:cstheme="minorHAnsi"/>
                <w:b/>
                <w:color w:val="auto"/>
                <w:sz w:val="18"/>
                <w:szCs w:val="18"/>
              </w:rPr>
            </w:pPr>
            <w:r w:rsidRPr="005D79EF">
              <w:rPr>
                <w:rFonts w:cstheme="minorHAnsi"/>
                <w:b/>
                <w:color w:val="auto"/>
                <w:sz w:val="18"/>
                <w:szCs w:val="18"/>
              </w:rPr>
              <w:t>Booberoi Creek (PU 7)</w:t>
            </w:r>
          </w:p>
          <w:p w14:paraId="2DD084EF" w14:textId="77777777" w:rsidR="005D79EF" w:rsidRPr="005D79EF" w:rsidRDefault="005D79EF" w:rsidP="005D79EF">
            <w:pPr>
              <w:rPr>
                <w:rFonts w:cstheme="minorHAnsi"/>
                <w:bCs/>
                <w:sz w:val="18"/>
                <w:szCs w:val="18"/>
              </w:rPr>
            </w:pPr>
            <w:r w:rsidRPr="005D79EF">
              <w:rPr>
                <w:rFonts w:cstheme="minorHAnsi"/>
                <w:color w:val="auto"/>
                <w:sz w:val="18"/>
                <w:szCs w:val="18"/>
              </w:rPr>
              <w:t>Maintain populations of native fish, aquatic plants and connectivity to the Lachlan River.</w:t>
            </w:r>
          </w:p>
        </w:tc>
        <w:tc>
          <w:tcPr>
            <w:tcW w:w="968" w:type="pct"/>
            <w:tcBorders>
              <w:top w:val="single" w:sz="12" w:space="0" w:color="auto"/>
              <w:bottom w:val="single" w:sz="12" w:space="0" w:color="auto"/>
            </w:tcBorders>
            <w:shd w:val="clear" w:color="auto" w:fill="auto"/>
            <w:vAlign w:val="center"/>
          </w:tcPr>
          <w:p w14:paraId="33889F7D" w14:textId="77777777" w:rsidR="005D79EF" w:rsidRPr="005D79EF" w:rsidRDefault="005D79EF" w:rsidP="005D79EF">
            <w:pPr>
              <w:jc w:val="center"/>
              <w:rPr>
                <w:rFonts w:cstheme="minorHAnsi"/>
                <w:spacing w:val="-1"/>
                <w:sz w:val="18"/>
                <w:szCs w:val="18"/>
              </w:rPr>
            </w:pPr>
            <w:r w:rsidRPr="005D79EF">
              <w:rPr>
                <w:rFonts w:cstheme="minorHAnsi"/>
                <w:sz w:val="18"/>
                <w:szCs w:val="18"/>
              </w:rPr>
              <w:t>Up to 100 ML/day at Booberoi Offtake with return flows at Booberoi Creek return monitored.</w:t>
            </w:r>
          </w:p>
        </w:tc>
        <w:tc>
          <w:tcPr>
            <w:tcW w:w="451" w:type="pct"/>
            <w:tcBorders>
              <w:top w:val="single" w:sz="12" w:space="0" w:color="auto"/>
              <w:bottom w:val="single" w:sz="12" w:space="0" w:color="auto"/>
            </w:tcBorders>
            <w:shd w:val="clear" w:color="auto" w:fill="auto"/>
            <w:vAlign w:val="center"/>
          </w:tcPr>
          <w:p w14:paraId="1B5B5002" w14:textId="77777777" w:rsidR="005D79EF" w:rsidRPr="005D79EF" w:rsidRDefault="005D79EF" w:rsidP="005D79EF">
            <w:pPr>
              <w:jc w:val="center"/>
              <w:rPr>
                <w:rFonts w:eastAsia="Century Gothic" w:cstheme="minorHAnsi"/>
                <w:spacing w:val="-1"/>
                <w:sz w:val="18"/>
                <w:szCs w:val="18"/>
              </w:rPr>
            </w:pPr>
            <w:r w:rsidRPr="005D79EF">
              <w:rPr>
                <w:rFonts w:cstheme="minorHAnsi"/>
                <w:sz w:val="18"/>
                <w:szCs w:val="18"/>
              </w:rPr>
              <w:t>5–10 years in 10. (Annual for the maintenance of drought refuge)</w:t>
            </w:r>
          </w:p>
        </w:tc>
        <w:tc>
          <w:tcPr>
            <w:tcW w:w="1064" w:type="pct"/>
            <w:tcBorders>
              <w:top w:val="single" w:sz="12" w:space="0" w:color="auto"/>
              <w:bottom w:val="single" w:sz="12" w:space="0" w:color="auto"/>
            </w:tcBorders>
            <w:shd w:val="clear" w:color="auto" w:fill="auto"/>
            <w:vAlign w:val="center"/>
          </w:tcPr>
          <w:p w14:paraId="19192F26" w14:textId="77777777" w:rsidR="005D79EF" w:rsidRPr="005D79EF" w:rsidRDefault="005D79EF" w:rsidP="005D79EF">
            <w:pPr>
              <w:rPr>
                <w:rFonts w:cstheme="minorHAnsi"/>
                <w:bCs/>
                <w:sz w:val="18"/>
                <w:szCs w:val="18"/>
              </w:rPr>
            </w:pPr>
            <w:r w:rsidRPr="005D79EF">
              <w:rPr>
                <w:rFonts w:cstheme="minorHAnsi"/>
                <w:sz w:val="18"/>
                <w:szCs w:val="18"/>
              </w:rPr>
              <w:t>Watered every year since 2017.</w:t>
            </w:r>
          </w:p>
        </w:tc>
        <w:tc>
          <w:tcPr>
            <w:tcW w:w="451" w:type="pct"/>
            <w:tcBorders>
              <w:top w:val="single" w:sz="12" w:space="0" w:color="auto"/>
              <w:bottom w:val="single" w:sz="12" w:space="0" w:color="auto"/>
            </w:tcBorders>
            <w:shd w:val="clear" w:color="auto" w:fill="FF0000"/>
            <w:vAlign w:val="center"/>
          </w:tcPr>
          <w:p w14:paraId="76329726" w14:textId="77777777" w:rsidR="005D79EF" w:rsidRPr="005D79EF" w:rsidRDefault="005D79EF" w:rsidP="005D79EF">
            <w:pPr>
              <w:jc w:val="center"/>
              <w:rPr>
                <w:rFonts w:cstheme="minorHAnsi"/>
                <w:color w:val="auto"/>
                <w:sz w:val="18"/>
                <w:szCs w:val="18"/>
              </w:rPr>
            </w:pPr>
            <w:r w:rsidRPr="005D79EF">
              <w:rPr>
                <w:color w:val="auto"/>
                <w:sz w:val="18"/>
                <w:szCs w:val="18"/>
              </w:rPr>
              <w:t>High</w:t>
            </w:r>
          </w:p>
        </w:tc>
        <w:tc>
          <w:tcPr>
            <w:tcW w:w="968" w:type="pct"/>
            <w:tcBorders>
              <w:top w:val="single" w:sz="12" w:space="0" w:color="auto"/>
              <w:bottom w:val="single" w:sz="12" w:space="0" w:color="auto"/>
            </w:tcBorders>
            <w:shd w:val="clear" w:color="auto" w:fill="365F91" w:themeFill="accent1" w:themeFillShade="BF"/>
            <w:vAlign w:val="center"/>
          </w:tcPr>
          <w:p w14:paraId="0DDD7E8D" w14:textId="77777777" w:rsidR="005D79EF" w:rsidRPr="005D79EF" w:rsidRDefault="005D79EF" w:rsidP="005D79EF">
            <w:pPr>
              <w:jc w:val="center"/>
              <w:rPr>
                <w:rFonts w:cstheme="minorHAnsi"/>
                <w:color w:val="auto"/>
                <w:spacing w:val="-1"/>
                <w:sz w:val="18"/>
                <w:szCs w:val="18"/>
              </w:rPr>
            </w:pPr>
            <w:r w:rsidRPr="005D79EF">
              <w:rPr>
                <w:color w:val="auto"/>
                <w:sz w:val="18"/>
                <w:szCs w:val="18"/>
              </w:rPr>
              <w:t>High priority for Commonwealth environmental watering (likely to receive water even under low water resource availability)</w:t>
            </w:r>
          </w:p>
        </w:tc>
        <w:tc>
          <w:tcPr>
            <w:tcW w:w="516" w:type="pct"/>
            <w:tcBorders>
              <w:top w:val="single" w:sz="12" w:space="0" w:color="auto"/>
              <w:bottom w:val="single" w:sz="12" w:space="0" w:color="auto"/>
              <w:right w:val="single" w:sz="12" w:space="0" w:color="auto"/>
            </w:tcBorders>
            <w:shd w:val="clear" w:color="auto" w:fill="FF0000"/>
            <w:vAlign w:val="center"/>
          </w:tcPr>
          <w:p w14:paraId="054C9083" w14:textId="77777777" w:rsidR="005D79EF" w:rsidRPr="005D79EF" w:rsidRDefault="005D79EF" w:rsidP="005D79EF">
            <w:pPr>
              <w:jc w:val="center"/>
              <w:rPr>
                <w:rFonts w:cstheme="minorHAnsi"/>
                <w:color w:val="auto"/>
                <w:sz w:val="18"/>
                <w:szCs w:val="18"/>
              </w:rPr>
            </w:pPr>
            <w:r w:rsidRPr="005D79EF">
              <w:rPr>
                <w:color w:val="auto"/>
                <w:sz w:val="18"/>
                <w:szCs w:val="18"/>
              </w:rPr>
              <w:t>High</w:t>
            </w:r>
          </w:p>
        </w:tc>
      </w:tr>
      <w:tr w:rsidR="005D79EF" w:rsidRPr="005D79EF" w14:paraId="044DA168" w14:textId="77777777" w:rsidTr="00583873">
        <w:trPr>
          <w:trHeight w:val="1436"/>
        </w:trPr>
        <w:tc>
          <w:tcPr>
            <w:tcW w:w="582" w:type="pct"/>
            <w:tcBorders>
              <w:top w:val="single" w:sz="12" w:space="0" w:color="auto"/>
              <w:left w:val="single" w:sz="12" w:space="0" w:color="auto"/>
              <w:bottom w:val="single" w:sz="12" w:space="0" w:color="auto"/>
            </w:tcBorders>
            <w:shd w:val="clear" w:color="auto" w:fill="auto"/>
            <w:vAlign w:val="center"/>
          </w:tcPr>
          <w:p w14:paraId="6254E949" w14:textId="77777777" w:rsidR="005D79EF" w:rsidRPr="005D79EF" w:rsidRDefault="005D79EF" w:rsidP="005D79EF">
            <w:pPr>
              <w:rPr>
                <w:rFonts w:cstheme="minorHAnsi"/>
                <w:b/>
                <w:color w:val="auto"/>
                <w:sz w:val="18"/>
                <w:szCs w:val="18"/>
              </w:rPr>
            </w:pPr>
            <w:r w:rsidRPr="005D79EF">
              <w:rPr>
                <w:rFonts w:cstheme="minorHAnsi"/>
                <w:b/>
                <w:color w:val="auto"/>
                <w:sz w:val="18"/>
                <w:szCs w:val="18"/>
              </w:rPr>
              <w:t xml:space="preserve">Lake Brewster (PU 10) </w:t>
            </w:r>
          </w:p>
          <w:p w14:paraId="6E867D84" w14:textId="77777777" w:rsidR="005D79EF" w:rsidRPr="005D79EF" w:rsidRDefault="005D79EF" w:rsidP="005D79EF">
            <w:pPr>
              <w:rPr>
                <w:rFonts w:cstheme="minorHAnsi"/>
                <w:bCs/>
                <w:sz w:val="18"/>
                <w:szCs w:val="18"/>
              </w:rPr>
            </w:pPr>
            <w:r w:rsidRPr="005D79EF">
              <w:rPr>
                <w:rFonts w:cstheme="minorHAnsi"/>
                <w:color w:val="auto"/>
                <w:sz w:val="18"/>
                <w:szCs w:val="18"/>
              </w:rPr>
              <w:t>Habitat for breeding pelican colony. Wetland vegetation support water quality outcomes</w:t>
            </w:r>
          </w:p>
        </w:tc>
        <w:tc>
          <w:tcPr>
            <w:tcW w:w="968" w:type="pct"/>
            <w:tcBorders>
              <w:top w:val="single" w:sz="12" w:space="0" w:color="auto"/>
              <w:bottom w:val="single" w:sz="12" w:space="0" w:color="auto"/>
            </w:tcBorders>
            <w:shd w:val="clear" w:color="auto" w:fill="auto"/>
            <w:vAlign w:val="center"/>
          </w:tcPr>
          <w:p w14:paraId="388A35A7" w14:textId="77777777" w:rsidR="005D79EF" w:rsidRPr="005D79EF" w:rsidRDefault="005D79EF" w:rsidP="005D79EF">
            <w:pPr>
              <w:jc w:val="center"/>
              <w:rPr>
                <w:rFonts w:cstheme="minorHAnsi"/>
                <w:spacing w:val="-1"/>
                <w:sz w:val="18"/>
                <w:szCs w:val="18"/>
              </w:rPr>
            </w:pPr>
            <w:r w:rsidRPr="005D79EF">
              <w:rPr>
                <w:rFonts w:cstheme="minorHAnsi"/>
                <w:sz w:val="18"/>
                <w:szCs w:val="18"/>
              </w:rPr>
              <w:t>Flows are managed where possible to avoid inundation of nests if pelican breeding has occurred</w:t>
            </w:r>
          </w:p>
        </w:tc>
        <w:tc>
          <w:tcPr>
            <w:tcW w:w="451" w:type="pct"/>
            <w:tcBorders>
              <w:top w:val="single" w:sz="12" w:space="0" w:color="auto"/>
              <w:bottom w:val="single" w:sz="12" w:space="0" w:color="auto"/>
            </w:tcBorders>
            <w:shd w:val="clear" w:color="auto" w:fill="auto"/>
            <w:vAlign w:val="center"/>
          </w:tcPr>
          <w:p w14:paraId="29391585" w14:textId="77777777" w:rsidR="005D79EF" w:rsidRPr="005D79EF" w:rsidRDefault="005D79EF" w:rsidP="005D79EF">
            <w:pPr>
              <w:jc w:val="center"/>
              <w:rPr>
                <w:rFonts w:eastAsia="Century Gothic" w:cstheme="minorHAnsi"/>
                <w:spacing w:val="-1"/>
                <w:sz w:val="18"/>
                <w:szCs w:val="18"/>
              </w:rPr>
            </w:pPr>
            <w:r w:rsidRPr="005D79EF">
              <w:rPr>
                <w:rFonts w:cstheme="minorHAnsi"/>
                <w:sz w:val="18"/>
                <w:szCs w:val="18"/>
              </w:rPr>
              <w:t>As required</w:t>
            </w:r>
          </w:p>
        </w:tc>
        <w:tc>
          <w:tcPr>
            <w:tcW w:w="1064" w:type="pct"/>
            <w:tcBorders>
              <w:top w:val="single" w:sz="12" w:space="0" w:color="auto"/>
              <w:bottom w:val="single" w:sz="12" w:space="0" w:color="auto"/>
            </w:tcBorders>
            <w:shd w:val="clear" w:color="auto" w:fill="auto"/>
            <w:vAlign w:val="center"/>
          </w:tcPr>
          <w:p w14:paraId="0DFB5E98" w14:textId="77777777" w:rsidR="005D79EF" w:rsidRPr="005D79EF" w:rsidRDefault="005D79EF" w:rsidP="005D79EF">
            <w:pPr>
              <w:rPr>
                <w:rFonts w:cstheme="minorHAnsi"/>
                <w:bCs/>
                <w:sz w:val="18"/>
                <w:szCs w:val="18"/>
              </w:rPr>
            </w:pPr>
            <w:r w:rsidRPr="005D79EF">
              <w:rPr>
                <w:rFonts w:cstheme="minorHAnsi"/>
                <w:sz w:val="18"/>
                <w:szCs w:val="18"/>
              </w:rPr>
              <w:t>Watered in 2016 and 2017 for pelican and aquatic vegetation outcomes. Operational inflows into the lake commenced in May 2020.</w:t>
            </w:r>
          </w:p>
        </w:tc>
        <w:tc>
          <w:tcPr>
            <w:tcW w:w="451" w:type="pct"/>
            <w:tcBorders>
              <w:top w:val="single" w:sz="12" w:space="0" w:color="auto"/>
              <w:bottom w:val="single" w:sz="12" w:space="0" w:color="auto"/>
            </w:tcBorders>
            <w:shd w:val="clear" w:color="auto" w:fill="auto"/>
            <w:vAlign w:val="center"/>
          </w:tcPr>
          <w:p w14:paraId="7F68A76F" w14:textId="77777777" w:rsidR="005D79EF" w:rsidRPr="005D79EF" w:rsidRDefault="005D79EF" w:rsidP="005D79EF">
            <w:pPr>
              <w:jc w:val="center"/>
              <w:rPr>
                <w:rFonts w:cstheme="minorHAnsi"/>
                <w:color w:val="auto"/>
                <w:sz w:val="18"/>
                <w:szCs w:val="18"/>
              </w:rPr>
            </w:pPr>
            <w:r w:rsidRPr="005D79EF">
              <w:rPr>
                <w:rFonts w:cstheme="minorHAnsi"/>
                <w:color w:val="auto"/>
                <w:sz w:val="18"/>
                <w:szCs w:val="18"/>
              </w:rPr>
              <w:t>Contingency</w:t>
            </w:r>
          </w:p>
        </w:tc>
        <w:tc>
          <w:tcPr>
            <w:tcW w:w="968" w:type="pct"/>
            <w:tcBorders>
              <w:top w:val="single" w:sz="12" w:space="0" w:color="auto"/>
              <w:bottom w:val="single" w:sz="12" w:space="0" w:color="auto"/>
            </w:tcBorders>
            <w:shd w:val="clear" w:color="auto" w:fill="365F91" w:themeFill="accent1" w:themeFillShade="BF"/>
            <w:vAlign w:val="center"/>
          </w:tcPr>
          <w:p w14:paraId="6CEC52B2" w14:textId="77777777" w:rsidR="005D79EF" w:rsidRPr="005D79EF" w:rsidRDefault="005D79EF" w:rsidP="005D79EF">
            <w:pPr>
              <w:jc w:val="center"/>
              <w:rPr>
                <w:rFonts w:cstheme="minorHAnsi"/>
                <w:color w:val="auto"/>
                <w:spacing w:val="-1"/>
                <w:sz w:val="18"/>
                <w:szCs w:val="18"/>
              </w:rPr>
            </w:pPr>
            <w:r w:rsidRPr="005D79EF">
              <w:rPr>
                <w:rFonts w:cstheme="minorHAnsi"/>
                <w:color w:val="auto"/>
                <w:sz w:val="18"/>
                <w:szCs w:val="18"/>
              </w:rPr>
              <w:t>Option to be considered under all water resource availabilities if breeding event is triggered, however more likely to occur under moderate or high water resource availability</w:t>
            </w:r>
          </w:p>
        </w:tc>
        <w:tc>
          <w:tcPr>
            <w:tcW w:w="516" w:type="pct"/>
            <w:tcBorders>
              <w:top w:val="single" w:sz="12" w:space="0" w:color="auto"/>
              <w:bottom w:val="single" w:sz="12" w:space="0" w:color="auto"/>
              <w:right w:val="single" w:sz="12" w:space="0" w:color="auto"/>
            </w:tcBorders>
            <w:shd w:val="clear" w:color="auto" w:fill="auto"/>
            <w:vAlign w:val="center"/>
          </w:tcPr>
          <w:p w14:paraId="412D5CCB" w14:textId="77777777" w:rsidR="005D79EF" w:rsidRPr="005D79EF" w:rsidRDefault="005D79EF" w:rsidP="005D79EF">
            <w:pPr>
              <w:jc w:val="center"/>
              <w:rPr>
                <w:rFonts w:cstheme="minorHAnsi"/>
                <w:color w:val="auto"/>
                <w:sz w:val="18"/>
                <w:szCs w:val="18"/>
              </w:rPr>
            </w:pPr>
            <w:r w:rsidRPr="005D79EF">
              <w:rPr>
                <w:rFonts w:cstheme="minorHAnsi"/>
                <w:color w:val="auto"/>
                <w:sz w:val="18"/>
                <w:szCs w:val="18"/>
              </w:rPr>
              <w:t>Contingency</w:t>
            </w:r>
          </w:p>
        </w:tc>
      </w:tr>
      <w:tr w:rsidR="005D79EF" w:rsidRPr="005D79EF" w14:paraId="5FFC943A" w14:textId="77777777" w:rsidTr="00583873">
        <w:trPr>
          <w:trHeight w:val="617"/>
        </w:trPr>
        <w:tc>
          <w:tcPr>
            <w:tcW w:w="582" w:type="pct"/>
            <w:tcBorders>
              <w:top w:val="single" w:sz="12" w:space="0" w:color="auto"/>
              <w:left w:val="single" w:sz="12" w:space="0" w:color="auto"/>
              <w:bottom w:val="single" w:sz="12" w:space="0" w:color="auto"/>
            </w:tcBorders>
            <w:shd w:val="clear" w:color="auto" w:fill="auto"/>
            <w:vAlign w:val="center"/>
          </w:tcPr>
          <w:p w14:paraId="3135B51A" w14:textId="77777777" w:rsidR="005D79EF" w:rsidRPr="005D79EF" w:rsidRDefault="005D79EF" w:rsidP="005D79EF">
            <w:pPr>
              <w:rPr>
                <w:rFonts w:cstheme="minorHAnsi"/>
                <w:b/>
                <w:color w:val="auto"/>
                <w:sz w:val="18"/>
                <w:szCs w:val="18"/>
              </w:rPr>
            </w:pPr>
            <w:r w:rsidRPr="005D79EF">
              <w:rPr>
                <w:rFonts w:cstheme="minorHAnsi"/>
                <w:b/>
                <w:color w:val="auto"/>
                <w:sz w:val="18"/>
                <w:szCs w:val="18"/>
              </w:rPr>
              <w:t>Willandra Creek (PU 11)</w:t>
            </w:r>
          </w:p>
          <w:p w14:paraId="74716143" w14:textId="77777777" w:rsidR="005D79EF" w:rsidRPr="005D79EF" w:rsidRDefault="005D79EF" w:rsidP="005D79EF">
            <w:pPr>
              <w:rPr>
                <w:rFonts w:cstheme="minorHAnsi"/>
                <w:bCs/>
                <w:sz w:val="18"/>
                <w:szCs w:val="18"/>
              </w:rPr>
            </w:pPr>
            <w:r w:rsidRPr="005D79EF">
              <w:rPr>
                <w:rFonts w:cstheme="minorHAnsi"/>
                <w:color w:val="auto"/>
                <w:sz w:val="18"/>
                <w:szCs w:val="18"/>
              </w:rPr>
              <w:t>Lateral connectivity to major distributary and native vegetation</w:t>
            </w:r>
          </w:p>
        </w:tc>
        <w:tc>
          <w:tcPr>
            <w:tcW w:w="968" w:type="pct"/>
            <w:tcBorders>
              <w:top w:val="single" w:sz="12" w:space="0" w:color="auto"/>
              <w:bottom w:val="single" w:sz="12" w:space="0" w:color="auto"/>
            </w:tcBorders>
            <w:shd w:val="clear" w:color="auto" w:fill="auto"/>
            <w:vAlign w:val="center"/>
          </w:tcPr>
          <w:p w14:paraId="3CAD37BC" w14:textId="77777777" w:rsidR="005D79EF" w:rsidRPr="005D79EF" w:rsidRDefault="005D79EF" w:rsidP="005D79EF">
            <w:pPr>
              <w:jc w:val="center"/>
              <w:rPr>
                <w:rFonts w:cstheme="minorHAnsi"/>
                <w:sz w:val="18"/>
                <w:szCs w:val="18"/>
              </w:rPr>
            </w:pPr>
            <w:r w:rsidRPr="005D79EF">
              <w:rPr>
                <w:rFonts w:cstheme="minorHAnsi"/>
                <w:sz w:val="18"/>
                <w:szCs w:val="18"/>
              </w:rPr>
              <w:t>&gt;70 ML/d</w:t>
            </w:r>
          </w:p>
        </w:tc>
        <w:tc>
          <w:tcPr>
            <w:tcW w:w="451" w:type="pct"/>
            <w:tcBorders>
              <w:top w:val="single" w:sz="12" w:space="0" w:color="auto"/>
              <w:bottom w:val="single" w:sz="12" w:space="0" w:color="auto"/>
            </w:tcBorders>
            <w:shd w:val="clear" w:color="auto" w:fill="auto"/>
            <w:vAlign w:val="center"/>
          </w:tcPr>
          <w:p w14:paraId="5C3FEC74" w14:textId="77777777" w:rsidR="005D79EF" w:rsidRPr="005D79EF" w:rsidRDefault="005D79EF" w:rsidP="005D79EF">
            <w:pPr>
              <w:jc w:val="center"/>
              <w:rPr>
                <w:rFonts w:eastAsia="Century Gothic" w:cstheme="minorHAnsi"/>
                <w:sz w:val="18"/>
                <w:szCs w:val="18"/>
              </w:rPr>
            </w:pPr>
            <w:r w:rsidRPr="005D79EF">
              <w:rPr>
                <w:rFonts w:cstheme="minorHAnsi"/>
                <w:sz w:val="18"/>
                <w:szCs w:val="18"/>
              </w:rPr>
              <w:t>5–10 years in 10.</w:t>
            </w:r>
          </w:p>
        </w:tc>
        <w:tc>
          <w:tcPr>
            <w:tcW w:w="1064" w:type="pct"/>
            <w:tcBorders>
              <w:top w:val="single" w:sz="12" w:space="0" w:color="auto"/>
              <w:bottom w:val="single" w:sz="12" w:space="0" w:color="auto"/>
            </w:tcBorders>
            <w:shd w:val="clear" w:color="auto" w:fill="auto"/>
            <w:vAlign w:val="center"/>
          </w:tcPr>
          <w:p w14:paraId="1B5F1115" w14:textId="77777777" w:rsidR="005D79EF" w:rsidRPr="005D79EF" w:rsidRDefault="005D79EF" w:rsidP="005D79EF">
            <w:pPr>
              <w:rPr>
                <w:rFonts w:cstheme="minorHAnsi"/>
                <w:sz w:val="18"/>
                <w:szCs w:val="18"/>
              </w:rPr>
            </w:pPr>
            <w:r w:rsidRPr="005D79EF">
              <w:rPr>
                <w:rFonts w:cstheme="minorHAnsi"/>
                <w:sz w:val="18"/>
                <w:szCs w:val="18"/>
              </w:rPr>
              <w:t xml:space="preserve">Distributary receives stock and domestic flows. Demand is usually met annual by operational flows.  </w:t>
            </w:r>
          </w:p>
        </w:tc>
        <w:tc>
          <w:tcPr>
            <w:tcW w:w="451" w:type="pct"/>
            <w:tcBorders>
              <w:top w:val="single" w:sz="12" w:space="0" w:color="auto"/>
              <w:bottom w:val="single" w:sz="12" w:space="0" w:color="auto"/>
            </w:tcBorders>
            <w:shd w:val="clear" w:color="auto" w:fill="92D050"/>
            <w:vAlign w:val="center"/>
          </w:tcPr>
          <w:p w14:paraId="291F1E88" w14:textId="77777777" w:rsidR="005D79EF" w:rsidRPr="005D79EF" w:rsidRDefault="005D79EF" w:rsidP="005D79EF">
            <w:pPr>
              <w:jc w:val="center"/>
              <w:rPr>
                <w:rFonts w:cstheme="minorHAnsi"/>
                <w:color w:val="auto"/>
                <w:sz w:val="18"/>
                <w:szCs w:val="18"/>
              </w:rPr>
            </w:pPr>
            <w:r w:rsidRPr="005D79EF">
              <w:rPr>
                <w:rFonts w:cstheme="minorHAnsi"/>
                <w:color w:val="auto"/>
                <w:sz w:val="18"/>
                <w:szCs w:val="18"/>
              </w:rPr>
              <w:t>Low</w:t>
            </w:r>
          </w:p>
        </w:tc>
        <w:tc>
          <w:tcPr>
            <w:tcW w:w="968" w:type="pct"/>
            <w:tcBorders>
              <w:top w:val="single" w:sz="12" w:space="0" w:color="auto"/>
              <w:bottom w:val="single" w:sz="12" w:space="0" w:color="auto"/>
            </w:tcBorders>
            <w:shd w:val="clear" w:color="auto" w:fill="auto"/>
            <w:vAlign w:val="center"/>
          </w:tcPr>
          <w:p w14:paraId="29E32152" w14:textId="77777777" w:rsidR="005D79EF" w:rsidRPr="005D79EF" w:rsidRDefault="005D79EF" w:rsidP="005D79EF">
            <w:pPr>
              <w:jc w:val="center"/>
              <w:rPr>
                <w:rFonts w:cstheme="minorHAnsi"/>
                <w:color w:val="auto"/>
                <w:spacing w:val="-1"/>
                <w:sz w:val="18"/>
                <w:szCs w:val="18"/>
              </w:rPr>
            </w:pPr>
            <w:r w:rsidRPr="005D79EF">
              <w:rPr>
                <w:rFonts w:cstheme="minorHAnsi"/>
                <w:color w:val="auto"/>
                <w:sz w:val="18"/>
                <w:szCs w:val="18"/>
              </w:rPr>
              <w:t>A low priority for environmental water. Asset receives more water under regulated conditions than would have occurred naturally</w:t>
            </w:r>
          </w:p>
        </w:tc>
        <w:tc>
          <w:tcPr>
            <w:tcW w:w="516" w:type="pct"/>
            <w:tcBorders>
              <w:top w:val="single" w:sz="12" w:space="0" w:color="auto"/>
              <w:bottom w:val="single" w:sz="12" w:space="0" w:color="auto"/>
              <w:right w:val="single" w:sz="12" w:space="0" w:color="auto"/>
            </w:tcBorders>
            <w:shd w:val="clear" w:color="auto" w:fill="92D050"/>
            <w:vAlign w:val="center"/>
          </w:tcPr>
          <w:p w14:paraId="09821F6F" w14:textId="77777777" w:rsidR="005D79EF" w:rsidRPr="005D79EF" w:rsidRDefault="005D79EF" w:rsidP="005D79EF">
            <w:pPr>
              <w:jc w:val="center"/>
              <w:rPr>
                <w:rFonts w:cstheme="minorHAnsi"/>
                <w:color w:val="auto"/>
                <w:sz w:val="18"/>
                <w:szCs w:val="18"/>
              </w:rPr>
            </w:pPr>
            <w:r w:rsidRPr="005D79EF">
              <w:rPr>
                <w:rFonts w:cstheme="minorHAnsi"/>
                <w:color w:val="auto"/>
                <w:sz w:val="18"/>
                <w:szCs w:val="18"/>
              </w:rPr>
              <w:t>Low</w:t>
            </w:r>
          </w:p>
        </w:tc>
      </w:tr>
      <w:tr w:rsidR="005D79EF" w:rsidRPr="005D79EF" w14:paraId="13C432AF" w14:textId="77777777" w:rsidTr="00583873">
        <w:trPr>
          <w:trHeight w:val="806"/>
        </w:trPr>
        <w:tc>
          <w:tcPr>
            <w:tcW w:w="582" w:type="pct"/>
            <w:vMerge w:val="restart"/>
            <w:tcBorders>
              <w:top w:val="single" w:sz="12" w:space="0" w:color="auto"/>
              <w:left w:val="single" w:sz="12" w:space="0" w:color="auto"/>
            </w:tcBorders>
            <w:shd w:val="clear" w:color="auto" w:fill="auto"/>
            <w:vAlign w:val="center"/>
          </w:tcPr>
          <w:p w14:paraId="77CF6A08" w14:textId="77777777" w:rsidR="005D79EF" w:rsidRPr="005D79EF" w:rsidRDefault="005D79EF" w:rsidP="005D79EF">
            <w:pPr>
              <w:rPr>
                <w:rFonts w:cstheme="minorHAnsi"/>
                <w:b/>
                <w:color w:val="auto"/>
                <w:sz w:val="18"/>
                <w:szCs w:val="18"/>
              </w:rPr>
            </w:pPr>
            <w:r w:rsidRPr="005D79EF">
              <w:rPr>
                <w:rFonts w:cstheme="minorHAnsi"/>
                <w:b/>
                <w:color w:val="auto"/>
                <w:sz w:val="18"/>
                <w:szCs w:val="18"/>
              </w:rPr>
              <w:t>Merrowie Creek (PU 12)</w:t>
            </w:r>
          </w:p>
          <w:p w14:paraId="6B23A380" w14:textId="77777777" w:rsidR="005D79EF" w:rsidRPr="005D79EF" w:rsidRDefault="005D79EF" w:rsidP="005D79EF">
            <w:pPr>
              <w:rPr>
                <w:rFonts w:cstheme="minorHAnsi"/>
                <w:sz w:val="18"/>
                <w:szCs w:val="18"/>
              </w:rPr>
            </w:pPr>
            <w:r w:rsidRPr="005D79EF">
              <w:rPr>
                <w:rFonts w:cstheme="minorHAnsi"/>
                <w:color w:val="auto"/>
                <w:sz w:val="18"/>
                <w:szCs w:val="18"/>
              </w:rPr>
              <w:t>Lateral connectivity to major distributaries, foraging and nesting habitat for waterbirds</w:t>
            </w:r>
          </w:p>
        </w:tc>
        <w:tc>
          <w:tcPr>
            <w:tcW w:w="968" w:type="pct"/>
            <w:tcBorders>
              <w:top w:val="single" w:sz="12" w:space="0" w:color="auto"/>
            </w:tcBorders>
            <w:shd w:val="clear" w:color="auto" w:fill="auto"/>
            <w:vAlign w:val="center"/>
          </w:tcPr>
          <w:p w14:paraId="5144433C" w14:textId="77777777" w:rsidR="005D79EF" w:rsidRPr="005D79EF" w:rsidRDefault="005D79EF" w:rsidP="005D79EF">
            <w:pPr>
              <w:jc w:val="center"/>
              <w:rPr>
                <w:rFonts w:cstheme="minorHAnsi"/>
                <w:sz w:val="18"/>
                <w:szCs w:val="18"/>
              </w:rPr>
            </w:pPr>
            <w:r w:rsidRPr="005D79EF">
              <w:rPr>
                <w:rFonts w:cstheme="minorHAnsi"/>
                <w:sz w:val="18"/>
                <w:szCs w:val="18"/>
              </w:rPr>
              <w:t>&gt;160 ML/d for 30 days</w:t>
            </w:r>
          </w:p>
        </w:tc>
        <w:tc>
          <w:tcPr>
            <w:tcW w:w="451" w:type="pct"/>
            <w:tcBorders>
              <w:top w:val="single" w:sz="12" w:space="0" w:color="auto"/>
            </w:tcBorders>
            <w:shd w:val="clear" w:color="auto" w:fill="auto"/>
            <w:vAlign w:val="center"/>
          </w:tcPr>
          <w:p w14:paraId="42D437A1" w14:textId="77777777" w:rsidR="005D79EF" w:rsidRPr="005D79EF" w:rsidRDefault="005D79EF" w:rsidP="005D79EF">
            <w:pPr>
              <w:jc w:val="center"/>
              <w:rPr>
                <w:rFonts w:cstheme="minorHAnsi"/>
                <w:sz w:val="18"/>
                <w:szCs w:val="18"/>
              </w:rPr>
            </w:pPr>
            <w:r w:rsidRPr="005D79EF">
              <w:rPr>
                <w:rFonts w:cstheme="minorHAnsi"/>
                <w:sz w:val="18"/>
                <w:szCs w:val="18"/>
              </w:rPr>
              <w:t>5-7 years in 10</w:t>
            </w:r>
          </w:p>
        </w:tc>
        <w:tc>
          <w:tcPr>
            <w:tcW w:w="1064" w:type="pct"/>
            <w:tcBorders>
              <w:top w:val="single" w:sz="12" w:space="0" w:color="auto"/>
            </w:tcBorders>
            <w:shd w:val="clear" w:color="auto" w:fill="auto"/>
            <w:vAlign w:val="center"/>
          </w:tcPr>
          <w:p w14:paraId="6266E55E" w14:textId="77777777" w:rsidR="005D79EF" w:rsidRPr="005D79EF" w:rsidRDefault="005D79EF" w:rsidP="005D79EF">
            <w:pPr>
              <w:rPr>
                <w:rFonts w:cstheme="minorHAnsi"/>
                <w:bCs/>
                <w:sz w:val="18"/>
                <w:szCs w:val="18"/>
              </w:rPr>
            </w:pPr>
            <w:r w:rsidRPr="005D79EF">
              <w:rPr>
                <w:rFonts w:cstheme="minorHAnsi"/>
                <w:sz w:val="18"/>
                <w:szCs w:val="18"/>
              </w:rPr>
              <w:t>This demand was partial met in three of the previous four years, including delivery to Murphy’s Lake</w:t>
            </w:r>
          </w:p>
        </w:tc>
        <w:tc>
          <w:tcPr>
            <w:tcW w:w="451" w:type="pct"/>
            <w:tcBorders>
              <w:top w:val="single" w:sz="12" w:space="0" w:color="auto"/>
            </w:tcBorders>
            <w:shd w:val="clear" w:color="auto" w:fill="FFC000"/>
            <w:vAlign w:val="center"/>
          </w:tcPr>
          <w:p w14:paraId="207A24BC"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c>
          <w:tcPr>
            <w:tcW w:w="968" w:type="pct"/>
            <w:tcBorders>
              <w:top w:val="single" w:sz="12" w:space="0" w:color="auto"/>
            </w:tcBorders>
            <w:shd w:val="clear" w:color="auto" w:fill="B8CCE4" w:themeFill="accent1" w:themeFillTint="66"/>
            <w:vAlign w:val="center"/>
          </w:tcPr>
          <w:p w14:paraId="08E0151F" w14:textId="77777777" w:rsidR="005D79EF" w:rsidRPr="005D79EF" w:rsidRDefault="005D79EF" w:rsidP="005D79EF">
            <w:pPr>
              <w:jc w:val="center"/>
              <w:rPr>
                <w:rFonts w:cstheme="minorHAnsi"/>
                <w:color w:val="auto"/>
                <w:sz w:val="18"/>
                <w:szCs w:val="18"/>
              </w:rPr>
            </w:pPr>
            <w:r w:rsidRPr="005D79EF">
              <w:rPr>
                <w:rFonts w:cstheme="minorHAnsi"/>
                <w:color w:val="auto"/>
                <w:spacing w:val="-1"/>
                <w:sz w:val="18"/>
                <w:szCs w:val="18"/>
              </w:rPr>
              <w:t xml:space="preserve">Option to be considered under moderate- high water resource availability. </w:t>
            </w:r>
          </w:p>
        </w:tc>
        <w:tc>
          <w:tcPr>
            <w:tcW w:w="516" w:type="pct"/>
            <w:tcBorders>
              <w:top w:val="single" w:sz="12" w:space="0" w:color="auto"/>
              <w:right w:val="single" w:sz="12" w:space="0" w:color="auto"/>
            </w:tcBorders>
            <w:shd w:val="clear" w:color="auto" w:fill="FFC000"/>
            <w:vAlign w:val="center"/>
          </w:tcPr>
          <w:p w14:paraId="1796EB0E"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r>
      <w:tr w:rsidR="005D79EF" w:rsidRPr="005D79EF" w14:paraId="0755C827" w14:textId="77777777" w:rsidTr="00583873">
        <w:trPr>
          <w:trHeight w:val="846"/>
        </w:trPr>
        <w:tc>
          <w:tcPr>
            <w:tcW w:w="582" w:type="pct"/>
            <w:vMerge/>
            <w:tcBorders>
              <w:left w:val="single" w:sz="12" w:space="0" w:color="auto"/>
              <w:bottom w:val="single" w:sz="12" w:space="0" w:color="auto"/>
            </w:tcBorders>
            <w:shd w:val="clear" w:color="auto" w:fill="auto"/>
            <w:vAlign w:val="center"/>
          </w:tcPr>
          <w:p w14:paraId="68D918B2" w14:textId="77777777" w:rsidR="005D79EF" w:rsidRPr="005D79EF" w:rsidRDefault="005D79EF" w:rsidP="005D79EF">
            <w:pPr>
              <w:spacing w:after="0"/>
              <w:rPr>
                <w:rFonts w:cstheme="minorHAnsi"/>
                <w:sz w:val="18"/>
                <w:szCs w:val="18"/>
              </w:rPr>
            </w:pPr>
          </w:p>
        </w:tc>
        <w:tc>
          <w:tcPr>
            <w:tcW w:w="968" w:type="pct"/>
            <w:tcBorders>
              <w:bottom w:val="single" w:sz="12" w:space="0" w:color="auto"/>
            </w:tcBorders>
            <w:shd w:val="clear" w:color="auto" w:fill="auto"/>
            <w:vAlign w:val="center"/>
          </w:tcPr>
          <w:p w14:paraId="6B955C8C" w14:textId="77777777" w:rsidR="005D79EF" w:rsidRPr="005D79EF" w:rsidRDefault="005D79EF" w:rsidP="005D79EF">
            <w:pPr>
              <w:jc w:val="center"/>
              <w:rPr>
                <w:rFonts w:cstheme="minorHAnsi"/>
                <w:sz w:val="18"/>
                <w:szCs w:val="18"/>
              </w:rPr>
            </w:pPr>
            <w:r w:rsidRPr="005D79EF">
              <w:rPr>
                <w:rFonts w:cstheme="minorHAnsi"/>
                <w:sz w:val="18"/>
                <w:szCs w:val="18"/>
              </w:rPr>
              <w:t>&gt;150 ML/d for 45 days</w:t>
            </w:r>
          </w:p>
        </w:tc>
        <w:tc>
          <w:tcPr>
            <w:tcW w:w="451" w:type="pct"/>
            <w:tcBorders>
              <w:bottom w:val="single" w:sz="12" w:space="0" w:color="auto"/>
            </w:tcBorders>
            <w:shd w:val="clear" w:color="auto" w:fill="auto"/>
            <w:vAlign w:val="center"/>
          </w:tcPr>
          <w:p w14:paraId="5C0C58AD" w14:textId="77777777" w:rsidR="005D79EF" w:rsidRPr="005D79EF" w:rsidRDefault="005D79EF" w:rsidP="005D79EF">
            <w:pPr>
              <w:jc w:val="center"/>
              <w:rPr>
                <w:rFonts w:cstheme="minorHAnsi"/>
                <w:sz w:val="18"/>
                <w:szCs w:val="18"/>
              </w:rPr>
            </w:pPr>
            <w:r w:rsidRPr="005D79EF">
              <w:rPr>
                <w:rFonts w:cstheme="minorHAnsi"/>
                <w:sz w:val="18"/>
                <w:szCs w:val="18"/>
              </w:rPr>
              <w:t>5-7 years in 10</w:t>
            </w:r>
          </w:p>
        </w:tc>
        <w:tc>
          <w:tcPr>
            <w:tcW w:w="1064" w:type="pct"/>
            <w:tcBorders>
              <w:bottom w:val="single" w:sz="12" w:space="0" w:color="auto"/>
            </w:tcBorders>
            <w:shd w:val="clear" w:color="auto" w:fill="auto"/>
            <w:vAlign w:val="center"/>
          </w:tcPr>
          <w:p w14:paraId="60B2BB63" w14:textId="77777777" w:rsidR="005D79EF" w:rsidRPr="005D79EF" w:rsidRDefault="005D79EF" w:rsidP="005D79EF">
            <w:pPr>
              <w:rPr>
                <w:rFonts w:cstheme="minorHAnsi"/>
                <w:bCs/>
                <w:sz w:val="18"/>
                <w:szCs w:val="18"/>
              </w:rPr>
            </w:pPr>
            <w:r w:rsidRPr="005D79EF">
              <w:rPr>
                <w:rFonts w:cstheme="minorHAnsi"/>
                <w:sz w:val="18"/>
                <w:szCs w:val="18"/>
              </w:rPr>
              <w:t>Wetland inundation targets last achieved in 2016 flood.</w:t>
            </w:r>
          </w:p>
        </w:tc>
        <w:tc>
          <w:tcPr>
            <w:tcW w:w="451" w:type="pct"/>
            <w:tcBorders>
              <w:bottom w:val="single" w:sz="12" w:space="0" w:color="auto"/>
            </w:tcBorders>
            <w:shd w:val="clear" w:color="auto" w:fill="FFC000"/>
            <w:vAlign w:val="center"/>
          </w:tcPr>
          <w:p w14:paraId="43CBBD4D"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c>
          <w:tcPr>
            <w:tcW w:w="968" w:type="pct"/>
            <w:tcBorders>
              <w:bottom w:val="single" w:sz="12" w:space="0" w:color="auto"/>
            </w:tcBorders>
            <w:shd w:val="clear" w:color="auto" w:fill="B8CCE4" w:themeFill="accent1" w:themeFillTint="66"/>
            <w:vAlign w:val="center"/>
          </w:tcPr>
          <w:p w14:paraId="7A2A01DE" w14:textId="77777777" w:rsidR="005D79EF" w:rsidRPr="005D79EF" w:rsidRDefault="005D79EF" w:rsidP="005D79EF">
            <w:pPr>
              <w:jc w:val="center"/>
              <w:rPr>
                <w:rFonts w:cstheme="minorHAnsi"/>
                <w:color w:val="auto"/>
                <w:sz w:val="18"/>
                <w:szCs w:val="18"/>
              </w:rPr>
            </w:pPr>
            <w:r w:rsidRPr="005D79EF">
              <w:rPr>
                <w:rFonts w:cstheme="minorHAnsi"/>
                <w:color w:val="auto"/>
                <w:spacing w:val="-1"/>
                <w:sz w:val="18"/>
                <w:szCs w:val="18"/>
              </w:rPr>
              <w:t xml:space="preserve">Option to be considered under moderate-high water resource availability. </w:t>
            </w:r>
          </w:p>
        </w:tc>
        <w:tc>
          <w:tcPr>
            <w:tcW w:w="516" w:type="pct"/>
            <w:tcBorders>
              <w:bottom w:val="single" w:sz="12" w:space="0" w:color="auto"/>
              <w:right w:val="single" w:sz="12" w:space="0" w:color="auto"/>
            </w:tcBorders>
            <w:shd w:val="clear" w:color="auto" w:fill="FFC000"/>
            <w:vAlign w:val="center"/>
          </w:tcPr>
          <w:p w14:paraId="3896AC1E"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r>
      <w:tr w:rsidR="005D79EF" w:rsidRPr="005D79EF" w14:paraId="33598D41" w14:textId="77777777" w:rsidTr="00583873">
        <w:trPr>
          <w:trHeight w:val="1118"/>
        </w:trPr>
        <w:tc>
          <w:tcPr>
            <w:tcW w:w="582" w:type="pct"/>
            <w:vMerge w:val="restart"/>
            <w:tcBorders>
              <w:top w:val="single" w:sz="12" w:space="0" w:color="auto"/>
              <w:left w:val="single" w:sz="12" w:space="0" w:color="auto"/>
            </w:tcBorders>
            <w:shd w:val="clear" w:color="auto" w:fill="auto"/>
            <w:vAlign w:val="center"/>
          </w:tcPr>
          <w:p w14:paraId="00EC3E10" w14:textId="77777777" w:rsidR="005D79EF" w:rsidRPr="005D79EF" w:rsidRDefault="005D79EF" w:rsidP="005D79EF">
            <w:pPr>
              <w:rPr>
                <w:rFonts w:cstheme="minorHAnsi"/>
                <w:b/>
                <w:color w:val="auto"/>
                <w:sz w:val="18"/>
                <w:szCs w:val="18"/>
              </w:rPr>
            </w:pPr>
            <w:bookmarkStart w:id="152" w:name="_Hlk39151329"/>
            <w:r w:rsidRPr="005D79EF">
              <w:rPr>
                <w:rFonts w:cstheme="minorHAnsi"/>
                <w:b/>
                <w:color w:val="auto"/>
                <w:sz w:val="18"/>
                <w:szCs w:val="18"/>
              </w:rPr>
              <w:lastRenderedPageBreak/>
              <w:t>Merrimajeel Creek (PU 13)</w:t>
            </w:r>
          </w:p>
          <w:p w14:paraId="0215A0A4" w14:textId="77777777" w:rsidR="005D79EF" w:rsidRPr="005D79EF" w:rsidRDefault="005D79EF" w:rsidP="005D79EF">
            <w:pPr>
              <w:rPr>
                <w:rFonts w:cstheme="minorHAnsi"/>
                <w:bCs/>
                <w:sz w:val="18"/>
                <w:szCs w:val="18"/>
              </w:rPr>
            </w:pPr>
            <w:r w:rsidRPr="005D79EF">
              <w:rPr>
                <w:rFonts w:cstheme="minorHAnsi"/>
                <w:color w:val="auto"/>
                <w:sz w:val="18"/>
                <w:szCs w:val="18"/>
              </w:rPr>
              <w:t xml:space="preserve">Provide lateral connectivity to major distributaries, foraging and nesting habitat for waterbirds and maintain wetland vegetation </w:t>
            </w:r>
          </w:p>
        </w:tc>
        <w:tc>
          <w:tcPr>
            <w:tcW w:w="968" w:type="pct"/>
            <w:tcBorders>
              <w:top w:val="single" w:sz="12" w:space="0" w:color="auto"/>
            </w:tcBorders>
            <w:shd w:val="clear" w:color="auto" w:fill="auto"/>
            <w:vAlign w:val="center"/>
          </w:tcPr>
          <w:p w14:paraId="12C0693B" w14:textId="77777777" w:rsidR="005D79EF" w:rsidRPr="005D79EF" w:rsidRDefault="005D79EF" w:rsidP="005D79EF">
            <w:pPr>
              <w:jc w:val="center"/>
              <w:rPr>
                <w:rFonts w:cstheme="minorHAnsi"/>
                <w:sz w:val="18"/>
                <w:szCs w:val="18"/>
              </w:rPr>
            </w:pPr>
            <w:r w:rsidRPr="005D79EF">
              <w:rPr>
                <w:rFonts w:cstheme="minorHAnsi"/>
                <w:sz w:val="18"/>
                <w:szCs w:val="18"/>
              </w:rPr>
              <w:t>Small wetland inundation: &gt;300-650 ML/d for 30 days minimum</w:t>
            </w:r>
          </w:p>
        </w:tc>
        <w:tc>
          <w:tcPr>
            <w:tcW w:w="451" w:type="pct"/>
            <w:tcBorders>
              <w:top w:val="single" w:sz="12" w:space="0" w:color="auto"/>
            </w:tcBorders>
            <w:shd w:val="clear" w:color="auto" w:fill="auto"/>
            <w:vAlign w:val="center"/>
          </w:tcPr>
          <w:p w14:paraId="7A91BD81" w14:textId="77777777" w:rsidR="005D79EF" w:rsidRPr="005D79EF" w:rsidRDefault="005D79EF" w:rsidP="005D79EF">
            <w:pPr>
              <w:jc w:val="center"/>
              <w:rPr>
                <w:rFonts w:cstheme="minorHAnsi"/>
                <w:sz w:val="18"/>
                <w:szCs w:val="18"/>
              </w:rPr>
            </w:pPr>
            <w:r w:rsidRPr="005D79EF">
              <w:rPr>
                <w:rFonts w:cstheme="minorHAnsi"/>
                <w:sz w:val="18"/>
                <w:szCs w:val="18"/>
              </w:rPr>
              <w:t>7-8 years in 10</w:t>
            </w:r>
          </w:p>
        </w:tc>
        <w:tc>
          <w:tcPr>
            <w:tcW w:w="1064" w:type="pct"/>
            <w:tcBorders>
              <w:top w:val="single" w:sz="12" w:space="0" w:color="auto"/>
            </w:tcBorders>
            <w:shd w:val="clear" w:color="auto" w:fill="auto"/>
            <w:vAlign w:val="center"/>
          </w:tcPr>
          <w:p w14:paraId="441FF0D7" w14:textId="77777777" w:rsidR="005D79EF" w:rsidRPr="005D79EF" w:rsidRDefault="005D79EF" w:rsidP="005D79EF">
            <w:pPr>
              <w:rPr>
                <w:rFonts w:cstheme="minorHAnsi"/>
                <w:sz w:val="18"/>
                <w:szCs w:val="18"/>
              </w:rPr>
            </w:pPr>
            <w:r w:rsidRPr="005D79EF">
              <w:rPr>
                <w:rFonts w:cstheme="minorHAnsi"/>
                <w:sz w:val="18"/>
                <w:szCs w:val="18"/>
              </w:rPr>
              <w:t xml:space="preserve">Wetland inundation targets last achieved in 2016 flood. In 2019-20 some flows were delivered to Murrumbidgil Swamp. </w:t>
            </w:r>
          </w:p>
        </w:tc>
        <w:tc>
          <w:tcPr>
            <w:tcW w:w="451" w:type="pct"/>
            <w:tcBorders>
              <w:top w:val="single" w:sz="12" w:space="0" w:color="auto"/>
            </w:tcBorders>
            <w:shd w:val="clear" w:color="auto" w:fill="FFC000"/>
            <w:vAlign w:val="center"/>
          </w:tcPr>
          <w:p w14:paraId="18674ACA"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c>
          <w:tcPr>
            <w:tcW w:w="968" w:type="pct"/>
            <w:tcBorders>
              <w:top w:val="single" w:sz="12" w:space="0" w:color="auto"/>
            </w:tcBorders>
            <w:shd w:val="clear" w:color="auto" w:fill="B8CCE4" w:themeFill="accent1" w:themeFillTint="66"/>
            <w:vAlign w:val="center"/>
          </w:tcPr>
          <w:p w14:paraId="4DACE353" w14:textId="77777777" w:rsidR="005D79EF" w:rsidRPr="005D79EF" w:rsidRDefault="005D79EF" w:rsidP="005D79EF">
            <w:pPr>
              <w:jc w:val="center"/>
              <w:rPr>
                <w:rFonts w:cstheme="minorHAnsi"/>
                <w:color w:val="auto"/>
                <w:spacing w:val="-1"/>
                <w:sz w:val="18"/>
                <w:szCs w:val="18"/>
              </w:rPr>
            </w:pPr>
            <w:r w:rsidRPr="005D79EF">
              <w:rPr>
                <w:rFonts w:cstheme="minorHAnsi"/>
                <w:color w:val="auto"/>
                <w:spacing w:val="-1"/>
                <w:sz w:val="18"/>
                <w:szCs w:val="18"/>
              </w:rPr>
              <w:t xml:space="preserve">Option to be considered under moderate-high water resource availability. </w:t>
            </w:r>
          </w:p>
        </w:tc>
        <w:tc>
          <w:tcPr>
            <w:tcW w:w="516" w:type="pct"/>
            <w:tcBorders>
              <w:top w:val="single" w:sz="12" w:space="0" w:color="auto"/>
              <w:right w:val="single" w:sz="12" w:space="0" w:color="auto"/>
            </w:tcBorders>
            <w:shd w:val="clear" w:color="auto" w:fill="FFC000"/>
            <w:vAlign w:val="center"/>
          </w:tcPr>
          <w:p w14:paraId="7C99CCFA"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r>
      <w:tr w:rsidR="005D79EF" w:rsidRPr="005D79EF" w14:paraId="6D525DFA" w14:textId="77777777" w:rsidTr="00583873">
        <w:trPr>
          <w:trHeight w:val="1120"/>
        </w:trPr>
        <w:tc>
          <w:tcPr>
            <w:tcW w:w="582" w:type="pct"/>
            <w:vMerge/>
            <w:tcBorders>
              <w:left w:val="single" w:sz="12" w:space="0" w:color="auto"/>
              <w:bottom w:val="single" w:sz="12" w:space="0" w:color="auto"/>
            </w:tcBorders>
            <w:shd w:val="clear" w:color="auto" w:fill="auto"/>
            <w:vAlign w:val="center"/>
          </w:tcPr>
          <w:p w14:paraId="0D8CC8F6" w14:textId="77777777" w:rsidR="005D79EF" w:rsidRPr="005D79EF" w:rsidRDefault="005D79EF" w:rsidP="005D79EF">
            <w:pPr>
              <w:rPr>
                <w:rFonts w:cstheme="minorHAnsi"/>
                <w:bCs/>
                <w:sz w:val="18"/>
                <w:szCs w:val="18"/>
              </w:rPr>
            </w:pPr>
          </w:p>
        </w:tc>
        <w:tc>
          <w:tcPr>
            <w:tcW w:w="968" w:type="pct"/>
            <w:tcBorders>
              <w:bottom w:val="single" w:sz="12" w:space="0" w:color="auto"/>
            </w:tcBorders>
            <w:shd w:val="clear" w:color="auto" w:fill="auto"/>
            <w:vAlign w:val="center"/>
          </w:tcPr>
          <w:p w14:paraId="6D0650BE" w14:textId="77777777" w:rsidR="005D79EF" w:rsidRPr="005D79EF" w:rsidRDefault="005D79EF" w:rsidP="005D79EF">
            <w:pPr>
              <w:jc w:val="center"/>
              <w:rPr>
                <w:rFonts w:cstheme="minorHAnsi"/>
                <w:sz w:val="18"/>
                <w:szCs w:val="18"/>
              </w:rPr>
            </w:pPr>
            <w:r w:rsidRPr="005D79EF">
              <w:rPr>
                <w:rFonts w:cstheme="minorHAnsi"/>
                <w:sz w:val="18"/>
                <w:szCs w:val="18"/>
              </w:rPr>
              <w:t>Large wetland inundation &gt;850 ML/d for 60 days minimum</w:t>
            </w:r>
            <w:r w:rsidRPr="005D79EF" w:rsidDel="00B932ED">
              <w:rPr>
                <w:rFonts w:cstheme="minorHAnsi"/>
                <w:sz w:val="18"/>
                <w:szCs w:val="18"/>
              </w:rPr>
              <w:t xml:space="preserve"> </w:t>
            </w:r>
          </w:p>
        </w:tc>
        <w:tc>
          <w:tcPr>
            <w:tcW w:w="451" w:type="pct"/>
            <w:tcBorders>
              <w:bottom w:val="single" w:sz="12" w:space="0" w:color="auto"/>
            </w:tcBorders>
            <w:shd w:val="clear" w:color="auto" w:fill="auto"/>
            <w:vAlign w:val="center"/>
          </w:tcPr>
          <w:p w14:paraId="26547EE3" w14:textId="77777777" w:rsidR="005D79EF" w:rsidRPr="005D79EF" w:rsidRDefault="005D79EF" w:rsidP="005D79EF">
            <w:pPr>
              <w:jc w:val="center"/>
              <w:rPr>
                <w:rFonts w:cstheme="minorHAnsi"/>
                <w:sz w:val="18"/>
                <w:szCs w:val="18"/>
              </w:rPr>
            </w:pPr>
            <w:r w:rsidRPr="005D79EF">
              <w:rPr>
                <w:rFonts w:cstheme="minorHAnsi"/>
                <w:sz w:val="18"/>
                <w:szCs w:val="18"/>
              </w:rPr>
              <w:t xml:space="preserve">3-5 years in 10 </w:t>
            </w:r>
          </w:p>
        </w:tc>
        <w:tc>
          <w:tcPr>
            <w:tcW w:w="1064" w:type="pct"/>
            <w:tcBorders>
              <w:bottom w:val="single" w:sz="12" w:space="0" w:color="auto"/>
            </w:tcBorders>
            <w:shd w:val="clear" w:color="auto" w:fill="auto"/>
            <w:vAlign w:val="center"/>
          </w:tcPr>
          <w:p w14:paraId="129499AB" w14:textId="77777777" w:rsidR="005D79EF" w:rsidRPr="005D79EF" w:rsidRDefault="005D79EF" w:rsidP="005D79EF">
            <w:pPr>
              <w:rPr>
                <w:rFonts w:cstheme="minorHAnsi"/>
                <w:sz w:val="18"/>
                <w:szCs w:val="18"/>
              </w:rPr>
            </w:pPr>
            <w:r w:rsidRPr="005D79EF">
              <w:rPr>
                <w:rFonts w:cstheme="minorHAnsi"/>
                <w:sz w:val="18"/>
                <w:szCs w:val="18"/>
              </w:rPr>
              <w:t>Wetland inundation targets last achieved in 2016 flood</w:t>
            </w:r>
          </w:p>
        </w:tc>
        <w:tc>
          <w:tcPr>
            <w:tcW w:w="451" w:type="pct"/>
            <w:tcBorders>
              <w:bottom w:val="single" w:sz="12" w:space="0" w:color="auto"/>
            </w:tcBorders>
            <w:shd w:val="clear" w:color="auto" w:fill="FFC000"/>
            <w:vAlign w:val="center"/>
          </w:tcPr>
          <w:p w14:paraId="69D7E85F"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c>
          <w:tcPr>
            <w:tcW w:w="968" w:type="pct"/>
            <w:tcBorders>
              <w:bottom w:val="single" w:sz="12" w:space="0" w:color="auto"/>
            </w:tcBorders>
            <w:shd w:val="clear" w:color="auto" w:fill="B8CCE4" w:themeFill="accent1" w:themeFillTint="66"/>
            <w:vAlign w:val="center"/>
          </w:tcPr>
          <w:p w14:paraId="1AFA67A5" w14:textId="77777777" w:rsidR="005D79EF" w:rsidRPr="005D79EF" w:rsidRDefault="005D79EF" w:rsidP="005D79EF">
            <w:pPr>
              <w:jc w:val="center"/>
              <w:rPr>
                <w:rFonts w:cstheme="minorHAnsi"/>
                <w:color w:val="auto"/>
                <w:spacing w:val="-1"/>
                <w:sz w:val="18"/>
                <w:szCs w:val="18"/>
              </w:rPr>
            </w:pPr>
            <w:r w:rsidRPr="005D79EF">
              <w:rPr>
                <w:rFonts w:cstheme="minorHAnsi"/>
                <w:color w:val="auto"/>
                <w:spacing w:val="-1"/>
                <w:sz w:val="18"/>
                <w:szCs w:val="18"/>
              </w:rPr>
              <w:t xml:space="preserve">Option to be considered under high water resource availability. </w:t>
            </w:r>
          </w:p>
        </w:tc>
        <w:tc>
          <w:tcPr>
            <w:tcW w:w="516" w:type="pct"/>
            <w:tcBorders>
              <w:bottom w:val="single" w:sz="12" w:space="0" w:color="auto"/>
              <w:right w:val="single" w:sz="12" w:space="0" w:color="auto"/>
            </w:tcBorders>
            <w:shd w:val="clear" w:color="auto" w:fill="FFC000"/>
            <w:vAlign w:val="center"/>
          </w:tcPr>
          <w:p w14:paraId="1366E455"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r>
      <w:tr w:rsidR="005D79EF" w:rsidRPr="005D79EF" w14:paraId="3CCC9F28" w14:textId="77777777" w:rsidTr="00583873">
        <w:trPr>
          <w:trHeight w:val="1645"/>
        </w:trPr>
        <w:tc>
          <w:tcPr>
            <w:tcW w:w="582" w:type="pct"/>
            <w:tcBorders>
              <w:top w:val="single" w:sz="12" w:space="0" w:color="auto"/>
              <w:left w:val="single" w:sz="12" w:space="0" w:color="auto"/>
              <w:bottom w:val="single" w:sz="12" w:space="0" w:color="auto"/>
            </w:tcBorders>
            <w:shd w:val="clear" w:color="auto" w:fill="auto"/>
            <w:vAlign w:val="center"/>
          </w:tcPr>
          <w:p w14:paraId="0BEC3C81" w14:textId="77777777" w:rsidR="005D79EF" w:rsidRPr="005D79EF" w:rsidRDefault="005D79EF" w:rsidP="005D79EF">
            <w:pPr>
              <w:rPr>
                <w:rFonts w:cstheme="minorHAnsi"/>
                <w:b/>
                <w:color w:val="auto"/>
                <w:sz w:val="18"/>
                <w:szCs w:val="18"/>
              </w:rPr>
            </w:pPr>
            <w:bookmarkStart w:id="153" w:name="_Hlk39151449"/>
            <w:bookmarkEnd w:id="152"/>
            <w:r w:rsidRPr="005D79EF">
              <w:rPr>
                <w:rFonts w:cstheme="minorHAnsi"/>
                <w:b/>
                <w:color w:val="auto"/>
                <w:sz w:val="18"/>
                <w:szCs w:val="18"/>
              </w:rPr>
              <w:t>Merrimajeel Creek  (PU 13)</w:t>
            </w:r>
          </w:p>
          <w:p w14:paraId="00D9DDEF" w14:textId="77777777" w:rsidR="005D79EF" w:rsidRPr="005D79EF" w:rsidRDefault="005D79EF" w:rsidP="005D79EF">
            <w:pPr>
              <w:rPr>
                <w:rFonts w:cstheme="minorHAnsi"/>
                <w:bCs/>
                <w:sz w:val="18"/>
                <w:szCs w:val="18"/>
              </w:rPr>
            </w:pPr>
            <w:r w:rsidRPr="005D79EF">
              <w:rPr>
                <w:rFonts w:cstheme="minorHAnsi"/>
                <w:color w:val="auto"/>
                <w:sz w:val="18"/>
                <w:szCs w:val="18"/>
              </w:rPr>
              <w:t>Where extensive natural flooding provides foraging areas and habitat for food resources to support a successful breeding event, provide flows to support breeding events once they have established.</w:t>
            </w:r>
          </w:p>
        </w:tc>
        <w:tc>
          <w:tcPr>
            <w:tcW w:w="968" w:type="pct"/>
            <w:tcBorders>
              <w:top w:val="single" w:sz="12" w:space="0" w:color="auto"/>
              <w:bottom w:val="single" w:sz="12" w:space="0" w:color="auto"/>
            </w:tcBorders>
            <w:shd w:val="clear" w:color="auto" w:fill="auto"/>
            <w:vAlign w:val="center"/>
          </w:tcPr>
          <w:p w14:paraId="4123CEB9" w14:textId="77777777" w:rsidR="005D79EF" w:rsidRPr="005D79EF" w:rsidRDefault="005D79EF" w:rsidP="005D79EF">
            <w:pPr>
              <w:jc w:val="center"/>
              <w:rPr>
                <w:rFonts w:cstheme="minorHAnsi"/>
                <w:spacing w:val="-1"/>
                <w:sz w:val="18"/>
                <w:szCs w:val="18"/>
              </w:rPr>
            </w:pPr>
            <w:r w:rsidRPr="005D79EF">
              <w:rPr>
                <w:rFonts w:cstheme="minorHAnsi"/>
                <w:sz w:val="18"/>
                <w:szCs w:val="18"/>
              </w:rPr>
              <w:t>Variable and seeks to provide at least 0.8 metres of depth below nests until chicks have fledged</w:t>
            </w:r>
          </w:p>
        </w:tc>
        <w:tc>
          <w:tcPr>
            <w:tcW w:w="451" w:type="pct"/>
            <w:tcBorders>
              <w:top w:val="single" w:sz="12" w:space="0" w:color="auto"/>
              <w:bottom w:val="single" w:sz="12" w:space="0" w:color="auto"/>
            </w:tcBorders>
            <w:shd w:val="clear" w:color="auto" w:fill="auto"/>
            <w:vAlign w:val="center"/>
          </w:tcPr>
          <w:p w14:paraId="15BE7231" w14:textId="77777777" w:rsidR="005D79EF" w:rsidRPr="005D79EF" w:rsidRDefault="005D79EF" w:rsidP="005D79EF">
            <w:pPr>
              <w:jc w:val="center"/>
              <w:rPr>
                <w:rFonts w:eastAsia="Century Gothic" w:cstheme="minorHAnsi"/>
                <w:spacing w:val="-1"/>
                <w:sz w:val="18"/>
                <w:szCs w:val="18"/>
              </w:rPr>
            </w:pPr>
            <w:r w:rsidRPr="005D79EF">
              <w:rPr>
                <w:rFonts w:cstheme="minorHAnsi"/>
                <w:sz w:val="18"/>
                <w:szCs w:val="18"/>
              </w:rPr>
              <w:t>As required</w:t>
            </w:r>
          </w:p>
        </w:tc>
        <w:tc>
          <w:tcPr>
            <w:tcW w:w="1064" w:type="pct"/>
            <w:tcBorders>
              <w:top w:val="single" w:sz="12" w:space="0" w:color="auto"/>
              <w:bottom w:val="single" w:sz="12" w:space="0" w:color="auto"/>
            </w:tcBorders>
            <w:shd w:val="clear" w:color="auto" w:fill="auto"/>
            <w:vAlign w:val="center"/>
          </w:tcPr>
          <w:p w14:paraId="462F7EB8" w14:textId="77777777" w:rsidR="005D79EF" w:rsidRPr="005D79EF" w:rsidRDefault="005D79EF" w:rsidP="005D79EF">
            <w:pPr>
              <w:rPr>
                <w:rFonts w:cstheme="minorHAnsi"/>
                <w:bCs/>
                <w:sz w:val="18"/>
                <w:szCs w:val="18"/>
              </w:rPr>
            </w:pPr>
            <w:r w:rsidRPr="005D79EF">
              <w:rPr>
                <w:rFonts w:cstheme="minorHAnsi"/>
                <w:sz w:val="18"/>
                <w:szCs w:val="18"/>
              </w:rPr>
              <w:t xml:space="preserve">Water provided during breeding events in 2012, 2015 and 2016. </w:t>
            </w:r>
          </w:p>
        </w:tc>
        <w:tc>
          <w:tcPr>
            <w:tcW w:w="451" w:type="pct"/>
            <w:tcBorders>
              <w:top w:val="single" w:sz="12" w:space="0" w:color="auto"/>
              <w:bottom w:val="single" w:sz="12" w:space="0" w:color="auto"/>
            </w:tcBorders>
            <w:shd w:val="clear" w:color="auto" w:fill="FF0000"/>
            <w:vAlign w:val="center"/>
          </w:tcPr>
          <w:p w14:paraId="271D262C" w14:textId="77777777" w:rsidR="005D79EF" w:rsidRPr="005D79EF" w:rsidRDefault="005D79EF" w:rsidP="005D79EF">
            <w:pPr>
              <w:jc w:val="center"/>
              <w:rPr>
                <w:rFonts w:cstheme="minorHAnsi"/>
                <w:color w:val="auto"/>
                <w:sz w:val="18"/>
                <w:szCs w:val="18"/>
              </w:rPr>
            </w:pPr>
            <w:r w:rsidRPr="005D79EF">
              <w:rPr>
                <w:rFonts w:cstheme="minorHAnsi"/>
                <w:color w:val="auto"/>
                <w:sz w:val="18"/>
                <w:szCs w:val="18"/>
              </w:rPr>
              <w:t>High</w:t>
            </w:r>
          </w:p>
        </w:tc>
        <w:tc>
          <w:tcPr>
            <w:tcW w:w="968" w:type="pct"/>
            <w:tcBorders>
              <w:top w:val="single" w:sz="12" w:space="0" w:color="auto"/>
              <w:bottom w:val="single" w:sz="12" w:space="0" w:color="auto"/>
            </w:tcBorders>
            <w:shd w:val="clear" w:color="auto" w:fill="365F91" w:themeFill="accent1" w:themeFillShade="BF"/>
            <w:vAlign w:val="center"/>
          </w:tcPr>
          <w:p w14:paraId="244E2AD8" w14:textId="77777777" w:rsidR="005D79EF" w:rsidRPr="005D79EF" w:rsidRDefault="005D79EF" w:rsidP="005D79EF">
            <w:pPr>
              <w:jc w:val="center"/>
              <w:rPr>
                <w:rFonts w:cstheme="minorHAnsi"/>
                <w:color w:val="auto"/>
                <w:spacing w:val="-1"/>
                <w:sz w:val="18"/>
                <w:szCs w:val="18"/>
              </w:rPr>
            </w:pPr>
            <w:r w:rsidRPr="005D79EF">
              <w:rPr>
                <w:rFonts w:cstheme="minorHAnsi"/>
                <w:color w:val="auto"/>
                <w:sz w:val="18"/>
                <w:szCs w:val="18"/>
              </w:rPr>
              <w:t>Watering required, if feasible. Option is associated with moderate to high water resource availability (wet conditions).</w:t>
            </w:r>
          </w:p>
        </w:tc>
        <w:tc>
          <w:tcPr>
            <w:tcW w:w="516" w:type="pct"/>
            <w:tcBorders>
              <w:top w:val="single" w:sz="12" w:space="0" w:color="auto"/>
              <w:bottom w:val="single" w:sz="12" w:space="0" w:color="auto"/>
              <w:right w:val="single" w:sz="12" w:space="0" w:color="auto"/>
            </w:tcBorders>
            <w:shd w:val="clear" w:color="auto" w:fill="FF0000"/>
            <w:vAlign w:val="center"/>
          </w:tcPr>
          <w:p w14:paraId="65CE7789" w14:textId="77777777" w:rsidR="005D79EF" w:rsidRPr="005D79EF" w:rsidRDefault="005D79EF" w:rsidP="005D79EF">
            <w:pPr>
              <w:jc w:val="center"/>
              <w:rPr>
                <w:rFonts w:cstheme="minorHAnsi"/>
                <w:color w:val="auto"/>
                <w:sz w:val="18"/>
                <w:szCs w:val="18"/>
              </w:rPr>
            </w:pPr>
            <w:r w:rsidRPr="005D79EF">
              <w:rPr>
                <w:rFonts w:cstheme="minorHAnsi"/>
                <w:color w:val="auto"/>
                <w:sz w:val="18"/>
                <w:szCs w:val="18"/>
              </w:rPr>
              <w:t>High</w:t>
            </w:r>
          </w:p>
        </w:tc>
      </w:tr>
      <w:tr w:rsidR="005D79EF" w:rsidRPr="005D79EF" w14:paraId="09E89504" w14:textId="77777777" w:rsidTr="00583873">
        <w:trPr>
          <w:trHeight w:val="617"/>
        </w:trPr>
        <w:tc>
          <w:tcPr>
            <w:tcW w:w="582" w:type="pct"/>
            <w:tcBorders>
              <w:top w:val="single" w:sz="12" w:space="0" w:color="auto"/>
              <w:left w:val="single" w:sz="12" w:space="0" w:color="auto"/>
              <w:bottom w:val="single" w:sz="12" w:space="0" w:color="auto"/>
            </w:tcBorders>
            <w:shd w:val="clear" w:color="auto" w:fill="auto"/>
            <w:vAlign w:val="center"/>
          </w:tcPr>
          <w:p w14:paraId="110299F3" w14:textId="77777777" w:rsidR="005D79EF" w:rsidRPr="005D79EF" w:rsidRDefault="005D79EF" w:rsidP="005D79EF">
            <w:pPr>
              <w:rPr>
                <w:rFonts w:cstheme="minorHAnsi"/>
                <w:b/>
                <w:color w:val="auto"/>
                <w:sz w:val="18"/>
                <w:szCs w:val="18"/>
              </w:rPr>
            </w:pPr>
            <w:r w:rsidRPr="005D79EF">
              <w:rPr>
                <w:rFonts w:cstheme="minorHAnsi"/>
                <w:b/>
                <w:color w:val="auto"/>
                <w:sz w:val="18"/>
                <w:szCs w:val="18"/>
              </w:rPr>
              <w:t>Muggabah Creek (PU15)</w:t>
            </w:r>
          </w:p>
          <w:p w14:paraId="2BD8BFA4" w14:textId="77777777" w:rsidR="005D79EF" w:rsidRPr="005D79EF" w:rsidRDefault="005D79EF" w:rsidP="005D79EF">
            <w:pPr>
              <w:rPr>
                <w:rFonts w:cstheme="minorHAnsi"/>
                <w:bCs/>
                <w:sz w:val="18"/>
                <w:szCs w:val="18"/>
              </w:rPr>
            </w:pPr>
            <w:r w:rsidRPr="005D79EF">
              <w:rPr>
                <w:rFonts w:cstheme="minorHAnsi"/>
                <w:color w:val="auto"/>
                <w:sz w:val="18"/>
                <w:szCs w:val="18"/>
              </w:rPr>
              <w:t>Where extensive natural flooding provides foraging areas and habitat for food resources to support a successful breeding event, provide flows to support breeding events once they have established.</w:t>
            </w:r>
          </w:p>
        </w:tc>
        <w:tc>
          <w:tcPr>
            <w:tcW w:w="968" w:type="pct"/>
            <w:tcBorders>
              <w:top w:val="single" w:sz="12" w:space="0" w:color="auto"/>
              <w:bottom w:val="single" w:sz="12" w:space="0" w:color="auto"/>
            </w:tcBorders>
            <w:shd w:val="clear" w:color="auto" w:fill="auto"/>
            <w:vAlign w:val="center"/>
          </w:tcPr>
          <w:p w14:paraId="353CD18B" w14:textId="77777777" w:rsidR="005D79EF" w:rsidRPr="005D79EF" w:rsidRDefault="005D79EF" w:rsidP="005D79EF">
            <w:pPr>
              <w:jc w:val="center"/>
              <w:rPr>
                <w:rFonts w:cstheme="minorHAnsi"/>
                <w:spacing w:val="-1"/>
                <w:sz w:val="18"/>
                <w:szCs w:val="18"/>
              </w:rPr>
            </w:pPr>
            <w:r w:rsidRPr="005D79EF">
              <w:rPr>
                <w:rFonts w:cstheme="minorHAnsi"/>
                <w:sz w:val="18"/>
                <w:szCs w:val="18"/>
              </w:rPr>
              <w:t>Variable and seeks to provide at least 0.8 metres of depth below nests until chicks have fledged</w:t>
            </w:r>
          </w:p>
        </w:tc>
        <w:tc>
          <w:tcPr>
            <w:tcW w:w="451" w:type="pct"/>
            <w:tcBorders>
              <w:top w:val="single" w:sz="12" w:space="0" w:color="auto"/>
              <w:bottom w:val="single" w:sz="12" w:space="0" w:color="auto"/>
            </w:tcBorders>
            <w:shd w:val="clear" w:color="auto" w:fill="auto"/>
            <w:vAlign w:val="center"/>
          </w:tcPr>
          <w:p w14:paraId="793F889A" w14:textId="77777777" w:rsidR="005D79EF" w:rsidRPr="005D79EF" w:rsidRDefault="005D79EF" w:rsidP="005D79EF">
            <w:pPr>
              <w:jc w:val="center"/>
              <w:rPr>
                <w:rFonts w:eastAsia="Century Gothic" w:cstheme="minorHAnsi"/>
                <w:spacing w:val="-1"/>
                <w:sz w:val="18"/>
                <w:szCs w:val="18"/>
              </w:rPr>
            </w:pPr>
            <w:r w:rsidRPr="005D79EF">
              <w:rPr>
                <w:rFonts w:cstheme="minorHAnsi"/>
                <w:sz w:val="18"/>
                <w:szCs w:val="18"/>
              </w:rPr>
              <w:t>As required</w:t>
            </w:r>
          </w:p>
        </w:tc>
        <w:tc>
          <w:tcPr>
            <w:tcW w:w="1064" w:type="pct"/>
            <w:tcBorders>
              <w:top w:val="single" w:sz="12" w:space="0" w:color="auto"/>
              <w:bottom w:val="single" w:sz="12" w:space="0" w:color="auto"/>
            </w:tcBorders>
            <w:shd w:val="clear" w:color="auto" w:fill="auto"/>
            <w:vAlign w:val="center"/>
          </w:tcPr>
          <w:p w14:paraId="15686440" w14:textId="77777777" w:rsidR="005D79EF" w:rsidRPr="005D79EF" w:rsidRDefault="005D79EF" w:rsidP="005D79EF">
            <w:pPr>
              <w:rPr>
                <w:rFonts w:cstheme="minorHAnsi"/>
                <w:bCs/>
                <w:sz w:val="18"/>
                <w:szCs w:val="18"/>
              </w:rPr>
            </w:pPr>
            <w:r w:rsidRPr="005D79EF">
              <w:rPr>
                <w:rFonts w:cstheme="minorHAnsi"/>
                <w:sz w:val="18"/>
                <w:szCs w:val="18"/>
              </w:rPr>
              <w:t>Water provided during breeding events in 2012, 2015 and 2016.</w:t>
            </w:r>
          </w:p>
        </w:tc>
        <w:tc>
          <w:tcPr>
            <w:tcW w:w="451" w:type="pct"/>
            <w:tcBorders>
              <w:top w:val="single" w:sz="12" w:space="0" w:color="auto"/>
              <w:bottom w:val="single" w:sz="12" w:space="0" w:color="auto"/>
            </w:tcBorders>
            <w:shd w:val="clear" w:color="auto" w:fill="FF0000"/>
            <w:vAlign w:val="center"/>
          </w:tcPr>
          <w:p w14:paraId="60DA98BB" w14:textId="77777777" w:rsidR="005D79EF" w:rsidRPr="005D79EF" w:rsidRDefault="005D79EF" w:rsidP="005D79EF">
            <w:pPr>
              <w:jc w:val="center"/>
              <w:rPr>
                <w:rFonts w:cstheme="minorHAnsi"/>
                <w:color w:val="auto"/>
                <w:sz w:val="18"/>
                <w:szCs w:val="18"/>
              </w:rPr>
            </w:pPr>
            <w:r w:rsidRPr="005D79EF">
              <w:rPr>
                <w:rFonts w:cstheme="minorHAnsi"/>
                <w:color w:val="auto"/>
                <w:sz w:val="18"/>
                <w:szCs w:val="18"/>
              </w:rPr>
              <w:t>High</w:t>
            </w:r>
          </w:p>
        </w:tc>
        <w:tc>
          <w:tcPr>
            <w:tcW w:w="968" w:type="pct"/>
            <w:tcBorders>
              <w:top w:val="single" w:sz="12" w:space="0" w:color="auto"/>
              <w:bottom w:val="single" w:sz="12" w:space="0" w:color="auto"/>
            </w:tcBorders>
            <w:shd w:val="clear" w:color="auto" w:fill="365F91" w:themeFill="accent1" w:themeFillShade="BF"/>
            <w:vAlign w:val="center"/>
          </w:tcPr>
          <w:p w14:paraId="3D222197" w14:textId="77777777" w:rsidR="005D79EF" w:rsidRPr="005D79EF" w:rsidRDefault="005D79EF" w:rsidP="005D79EF">
            <w:pPr>
              <w:jc w:val="center"/>
              <w:rPr>
                <w:rFonts w:cstheme="minorHAnsi"/>
                <w:color w:val="auto"/>
                <w:spacing w:val="-1"/>
                <w:sz w:val="18"/>
                <w:szCs w:val="18"/>
              </w:rPr>
            </w:pPr>
            <w:r w:rsidRPr="005D79EF">
              <w:rPr>
                <w:rFonts w:cstheme="minorHAnsi"/>
                <w:color w:val="auto"/>
                <w:sz w:val="18"/>
                <w:szCs w:val="18"/>
              </w:rPr>
              <w:t>Watering required, if feasible. Option is associated with moderate to high water resource availability (wet conditions).</w:t>
            </w:r>
          </w:p>
        </w:tc>
        <w:tc>
          <w:tcPr>
            <w:tcW w:w="516" w:type="pct"/>
            <w:tcBorders>
              <w:top w:val="single" w:sz="12" w:space="0" w:color="auto"/>
              <w:bottom w:val="single" w:sz="12" w:space="0" w:color="auto"/>
              <w:right w:val="single" w:sz="12" w:space="0" w:color="auto"/>
            </w:tcBorders>
            <w:shd w:val="clear" w:color="auto" w:fill="FF0000"/>
            <w:vAlign w:val="center"/>
          </w:tcPr>
          <w:p w14:paraId="616F67A8" w14:textId="77777777" w:rsidR="005D79EF" w:rsidRPr="005D79EF" w:rsidRDefault="005D79EF" w:rsidP="005D79EF">
            <w:pPr>
              <w:jc w:val="center"/>
              <w:rPr>
                <w:rFonts w:cstheme="minorHAnsi"/>
                <w:color w:val="auto"/>
                <w:sz w:val="18"/>
                <w:szCs w:val="18"/>
              </w:rPr>
            </w:pPr>
            <w:r w:rsidRPr="005D79EF">
              <w:rPr>
                <w:rFonts w:cstheme="minorHAnsi"/>
                <w:color w:val="auto"/>
                <w:sz w:val="18"/>
                <w:szCs w:val="18"/>
              </w:rPr>
              <w:t>High</w:t>
            </w:r>
          </w:p>
        </w:tc>
      </w:tr>
      <w:bookmarkEnd w:id="153"/>
      <w:tr w:rsidR="005D79EF" w:rsidRPr="005D79EF" w14:paraId="300941BC" w14:textId="77777777" w:rsidTr="00583873">
        <w:trPr>
          <w:trHeight w:val="1068"/>
        </w:trPr>
        <w:tc>
          <w:tcPr>
            <w:tcW w:w="582" w:type="pct"/>
            <w:vMerge w:val="restart"/>
            <w:tcBorders>
              <w:top w:val="single" w:sz="12" w:space="0" w:color="auto"/>
              <w:left w:val="single" w:sz="12" w:space="0" w:color="auto"/>
            </w:tcBorders>
            <w:shd w:val="clear" w:color="auto" w:fill="auto"/>
            <w:vAlign w:val="center"/>
          </w:tcPr>
          <w:p w14:paraId="3AA96D08" w14:textId="77777777" w:rsidR="005D79EF" w:rsidRPr="005D79EF" w:rsidRDefault="005D79EF" w:rsidP="005D79EF">
            <w:pPr>
              <w:rPr>
                <w:rFonts w:cstheme="minorHAnsi"/>
                <w:b/>
                <w:color w:val="auto"/>
                <w:sz w:val="18"/>
                <w:szCs w:val="18"/>
              </w:rPr>
            </w:pPr>
            <w:r w:rsidRPr="005D79EF">
              <w:rPr>
                <w:rFonts w:cstheme="minorHAnsi"/>
                <w:b/>
                <w:color w:val="auto"/>
                <w:sz w:val="18"/>
                <w:szCs w:val="18"/>
              </w:rPr>
              <w:t>Lachlan Swamps (PU 16)</w:t>
            </w:r>
          </w:p>
          <w:p w14:paraId="10C896B0" w14:textId="77777777" w:rsidR="005D79EF" w:rsidRPr="005D79EF" w:rsidRDefault="005D79EF" w:rsidP="005D79EF">
            <w:pPr>
              <w:rPr>
                <w:rFonts w:cstheme="minorHAnsi"/>
                <w:bCs/>
                <w:sz w:val="18"/>
                <w:szCs w:val="18"/>
              </w:rPr>
            </w:pPr>
            <w:r w:rsidRPr="005D79EF">
              <w:rPr>
                <w:rFonts w:cstheme="minorHAnsi"/>
                <w:color w:val="auto"/>
                <w:sz w:val="18"/>
                <w:szCs w:val="18"/>
              </w:rPr>
              <w:t>Provide connectivity to major distributaries, foraging and nesting habitat for waterbirds and maintain wetland vegetation</w:t>
            </w:r>
          </w:p>
        </w:tc>
        <w:tc>
          <w:tcPr>
            <w:tcW w:w="968" w:type="pct"/>
            <w:tcBorders>
              <w:top w:val="single" w:sz="12" w:space="0" w:color="auto"/>
            </w:tcBorders>
            <w:shd w:val="clear" w:color="auto" w:fill="auto"/>
            <w:vAlign w:val="center"/>
          </w:tcPr>
          <w:p w14:paraId="7A499C0D" w14:textId="77777777" w:rsidR="005D79EF" w:rsidRPr="005D79EF" w:rsidRDefault="005D79EF" w:rsidP="005D79EF">
            <w:pPr>
              <w:jc w:val="center"/>
              <w:rPr>
                <w:rFonts w:cstheme="minorHAnsi"/>
                <w:spacing w:val="-1"/>
                <w:sz w:val="18"/>
                <w:szCs w:val="18"/>
              </w:rPr>
            </w:pPr>
            <w:r w:rsidRPr="005D79EF">
              <w:rPr>
                <w:rFonts w:cstheme="minorHAnsi"/>
                <w:sz w:val="18"/>
                <w:szCs w:val="18"/>
              </w:rPr>
              <w:t xml:space="preserve">Small wetland inundation: </w:t>
            </w:r>
          </w:p>
        </w:tc>
        <w:tc>
          <w:tcPr>
            <w:tcW w:w="451" w:type="pct"/>
            <w:tcBorders>
              <w:top w:val="single" w:sz="12" w:space="0" w:color="auto"/>
            </w:tcBorders>
            <w:shd w:val="clear" w:color="auto" w:fill="auto"/>
            <w:vAlign w:val="center"/>
          </w:tcPr>
          <w:p w14:paraId="74F48ED0" w14:textId="77777777" w:rsidR="005D79EF" w:rsidRPr="005D79EF" w:rsidRDefault="005D79EF" w:rsidP="005D79EF">
            <w:pPr>
              <w:jc w:val="center"/>
              <w:rPr>
                <w:rFonts w:eastAsia="Century Gothic" w:cstheme="minorHAnsi"/>
                <w:spacing w:val="-1"/>
                <w:sz w:val="18"/>
                <w:szCs w:val="18"/>
              </w:rPr>
            </w:pPr>
            <w:r w:rsidRPr="005D79EF">
              <w:rPr>
                <w:sz w:val="18"/>
                <w:szCs w:val="18"/>
              </w:rPr>
              <w:t>7-8 years in 10</w:t>
            </w:r>
          </w:p>
        </w:tc>
        <w:tc>
          <w:tcPr>
            <w:tcW w:w="1064" w:type="pct"/>
            <w:tcBorders>
              <w:top w:val="single" w:sz="12" w:space="0" w:color="auto"/>
            </w:tcBorders>
            <w:shd w:val="clear" w:color="auto" w:fill="auto"/>
            <w:vAlign w:val="center"/>
          </w:tcPr>
          <w:p w14:paraId="6517B793" w14:textId="77777777" w:rsidR="005D79EF" w:rsidRPr="005D79EF" w:rsidRDefault="005D79EF" w:rsidP="005D79EF">
            <w:pPr>
              <w:rPr>
                <w:rFonts w:cstheme="minorHAnsi"/>
                <w:bCs/>
                <w:sz w:val="18"/>
                <w:szCs w:val="18"/>
              </w:rPr>
            </w:pPr>
            <w:r w:rsidRPr="005D79EF">
              <w:rPr>
                <w:rFonts w:cstheme="minorHAnsi"/>
                <w:sz w:val="18"/>
                <w:szCs w:val="18"/>
              </w:rPr>
              <w:t>This demand was last met in 2016.</w:t>
            </w:r>
          </w:p>
        </w:tc>
        <w:tc>
          <w:tcPr>
            <w:tcW w:w="451" w:type="pct"/>
            <w:tcBorders>
              <w:top w:val="single" w:sz="12" w:space="0" w:color="auto"/>
            </w:tcBorders>
            <w:shd w:val="clear" w:color="auto" w:fill="FFC000"/>
            <w:vAlign w:val="center"/>
          </w:tcPr>
          <w:p w14:paraId="59EA5F89"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c>
          <w:tcPr>
            <w:tcW w:w="968" w:type="pct"/>
            <w:tcBorders>
              <w:top w:val="single" w:sz="12" w:space="0" w:color="auto"/>
            </w:tcBorders>
            <w:shd w:val="clear" w:color="auto" w:fill="B8CCE4" w:themeFill="accent1" w:themeFillTint="66"/>
            <w:vAlign w:val="center"/>
          </w:tcPr>
          <w:p w14:paraId="0F600282" w14:textId="77777777" w:rsidR="005D79EF" w:rsidRPr="005D79EF" w:rsidRDefault="005D79EF" w:rsidP="005D79EF">
            <w:pPr>
              <w:jc w:val="center"/>
              <w:rPr>
                <w:rFonts w:cstheme="minorHAnsi"/>
                <w:color w:val="auto"/>
                <w:spacing w:val="-1"/>
                <w:sz w:val="18"/>
                <w:szCs w:val="18"/>
              </w:rPr>
            </w:pPr>
            <w:r w:rsidRPr="005D79EF">
              <w:rPr>
                <w:rFonts w:cstheme="minorHAnsi"/>
                <w:color w:val="auto"/>
                <w:spacing w:val="-1"/>
                <w:sz w:val="18"/>
                <w:szCs w:val="18"/>
              </w:rPr>
              <w:t>Option to be considered under moderate- high water resource availability.</w:t>
            </w:r>
          </w:p>
        </w:tc>
        <w:tc>
          <w:tcPr>
            <w:tcW w:w="516" w:type="pct"/>
            <w:tcBorders>
              <w:top w:val="single" w:sz="12" w:space="0" w:color="auto"/>
              <w:right w:val="single" w:sz="12" w:space="0" w:color="auto"/>
            </w:tcBorders>
            <w:shd w:val="clear" w:color="auto" w:fill="FFC000"/>
            <w:vAlign w:val="center"/>
          </w:tcPr>
          <w:p w14:paraId="714CF2BD"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r>
      <w:tr w:rsidR="005D79EF" w:rsidRPr="005D79EF" w14:paraId="1D944942" w14:textId="77777777" w:rsidTr="00583873">
        <w:trPr>
          <w:trHeight w:val="1267"/>
        </w:trPr>
        <w:tc>
          <w:tcPr>
            <w:tcW w:w="582" w:type="pct"/>
            <w:vMerge/>
            <w:tcBorders>
              <w:left w:val="single" w:sz="12" w:space="0" w:color="auto"/>
              <w:bottom w:val="single" w:sz="12" w:space="0" w:color="auto"/>
            </w:tcBorders>
            <w:shd w:val="clear" w:color="auto" w:fill="auto"/>
            <w:vAlign w:val="center"/>
          </w:tcPr>
          <w:p w14:paraId="6E2B938C" w14:textId="77777777" w:rsidR="005D79EF" w:rsidRPr="005D79EF" w:rsidRDefault="005D79EF" w:rsidP="005D79EF">
            <w:pPr>
              <w:rPr>
                <w:rFonts w:cstheme="minorHAnsi"/>
                <w:bCs/>
                <w:sz w:val="18"/>
                <w:szCs w:val="18"/>
              </w:rPr>
            </w:pPr>
          </w:p>
        </w:tc>
        <w:tc>
          <w:tcPr>
            <w:tcW w:w="968" w:type="pct"/>
            <w:tcBorders>
              <w:bottom w:val="single" w:sz="12" w:space="0" w:color="auto"/>
            </w:tcBorders>
            <w:shd w:val="clear" w:color="auto" w:fill="auto"/>
            <w:vAlign w:val="center"/>
          </w:tcPr>
          <w:p w14:paraId="18C8624A" w14:textId="77777777" w:rsidR="005D79EF" w:rsidRPr="005D79EF" w:rsidRDefault="005D79EF" w:rsidP="005D79EF">
            <w:pPr>
              <w:jc w:val="center"/>
              <w:rPr>
                <w:rFonts w:cstheme="minorHAnsi"/>
                <w:spacing w:val="-1"/>
                <w:sz w:val="18"/>
                <w:szCs w:val="18"/>
              </w:rPr>
            </w:pPr>
            <w:r w:rsidRPr="005D79EF">
              <w:rPr>
                <w:rFonts w:cstheme="minorHAnsi"/>
                <w:sz w:val="18"/>
                <w:szCs w:val="18"/>
              </w:rPr>
              <w:t>Large wetland inundation: &gt;1,200 ML/d for 60 days minimum</w:t>
            </w:r>
          </w:p>
        </w:tc>
        <w:tc>
          <w:tcPr>
            <w:tcW w:w="451" w:type="pct"/>
            <w:tcBorders>
              <w:bottom w:val="single" w:sz="12" w:space="0" w:color="auto"/>
            </w:tcBorders>
            <w:shd w:val="clear" w:color="auto" w:fill="auto"/>
            <w:vAlign w:val="center"/>
          </w:tcPr>
          <w:p w14:paraId="5A6F713F" w14:textId="77777777" w:rsidR="005D79EF" w:rsidRPr="005D79EF" w:rsidRDefault="005D79EF" w:rsidP="005D79EF">
            <w:pPr>
              <w:jc w:val="center"/>
              <w:rPr>
                <w:rFonts w:eastAsia="Century Gothic" w:cstheme="minorHAnsi"/>
                <w:spacing w:val="-1"/>
                <w:sz w:val="18"/>
                <w:szCs w:val="18"/>
              </w:rPr>
            </w:pPr>
            <w:r w:rsidRPr="005D79EF">
              <w:rPr>
                <w:sz w:val="18"/>
                <w:szCs w:val="18"/>
              </w:rPr>
              <w:t>3-5 years in 10</w:t>
            </w:r>
          </w:p>
        </w:tc>
        <w:tc>
          <w:tcPr>
            <w:tcW w:w="1064" w:type="pct"/>
            <w:tcBorders>
              <w:bottom w:val="single" w:sz="12" w:space="0" w:color="auto"/>
            </w:tcBorders>
            <w:shd w:val="clear" w:color="auto" w:fill="auto"/>
            <w:vAlign w:val="center"/>
          </w:tcPr>
          <w:p w14:paraId="005858DB" w14:textId="77777777" w:rsidR="005D79EF" w:rsidRPr="005D79EF" w:rsidRDefault="005D79EF" w:rsidP="005D79EF">
            <w:pPr>
              <w:rPr>
                <w:rFonts w:cstheme="minorHAnsi"/>
                <w:bCs/>
                <w:sz w:val="18"/>
                <w:szCs w:val="18"/>
              </w:rPr>
            </w:pPr>
            <w:r w:rsidRPr="005D79EF">
              <w:rPr>
                <w:rFonts w:cstheme="minorHAnsi"/>
                <w:sz w:val="18"/>
                <w:szCs w:val="18"/>
              </w:rPr>
              <w:t>This demand was last met in 2016.</w:t>
            </w:r>
          </w:p>
        </w:tc>
        <w:tc>
          <w:tcPr>
            <w:tcW w:w="451" w:type="pct"/>
            <w:tcBorders>
              <w:bottom w:val="single" w:sz="12" w:space="0" w:color="auto"/>
            </w:tcBorders>
            <w:shd w:val="clear" w:color="auto" w:fill="FFC000"/>
            <w:vAlign w:val="center"/>
          </w:tcPr>
          <w:p w14:paraId="58556A4D"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c>
          <w:tcPr>
            <w:tcW w:w="968" w:type="pct"/>
            <w:tcBorders>
              <w:bottom w:val="single" w:sz="12" w:space="0" w:color="auto"/>
            </w:tcBorders>
            <w:shd w:val="clear" w:color="auto" w:fill="auto"/>
            <w:vAlign w:val="center"/>
          </w:tcPr>
          <w:p w14:paraId="5FDBF446" w14:textId="77777777" w:rsidR="005D79EF" w:rsidRPr="005D79EF" w:rsidRDefault="005D79EF" w:rsidP="005D79EF">
            <w:pPr>
              <w:jc w:val="center"/>
              <w:rPr>
                <w:rFonts w:cstheme="minorHAnsi"/>
                <w:color w:val="auto"/>
                <w:spacing w:val="-1"/>
                <w:sz w:val="18"/>
                <w:szCs w:val="18"/>
              </w:rPr>
            </w:pPr>
            <w:r w:rsidRPr="005D79EF">
              <w:rPr>
                <w:rFonts w:cstheme="minorHAnsi"/>
                <w:color w:val="auto"/>
                <w:spacing w:val="-1"/>
                <w:sz w:val="18"/>
                <w:szCs w:val="18"/>
              </w:rPr>
              <w:t xml:space="preserve">Option to be considered under high water resource availability. </w:t>
            </w:r>
          </w:p>
        </w:tc>
        <w:tc>
          <w:tcPr>
            <w:tcW w:w="516" w:type="pct"/>
            <w:tcBorders>
              <w:bottom w:val="single" w:sz="12" w:space="0" w:color="auto"/>
              <w:right w:val="single" w:sz="12" w:space="0" w:color="auto"/>
            </w:tcBorders>
            <w:shd w:val="clear" w:color="auto" w:fill="FFC000"/>
            <w:vAlign w:val="center"/>
          </w:tcPr>
          <w:p w14:paraId="143703AA"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r>
      <w:tr w:rsidR="005D79EF" w:rsidRPr="005D79EF" w14:paraId="51266CE1" w14:textId="77777777" w:rsidTr="00583873">
        <w:trPr>
          <w:trHeight w:val="1106"/>
        </w:trPr>
        <w:tc>
          <w:tcPr>
            <w:tcW w:w="582" w:type="pct"/>
            <w:vMerge w:val="restart"/>
            <w:tcBorders>
              <w:top w:val="single" w:sz="12" w:space="0" w:color="auto"/>
              <w:left w:val="single" w:sz="12" w:space="0" w:color="auto"/>
              <w:bottom w:val="single" w:sz="12" w:space="0" w:color="auto"/>
            </w:tcBorders>
            <w:shd w:val="clear" w:color="auto" w:fill="auto"/>
            <w:vAlign w:val="center"/>
          </w:tcPr>
          <w:p w14:paraId="5CCB1ACD" w14:textId="77777777" w:rsidR="005D79EF" w:rsidRPr="005D79EF" w:rsidRDefault="005D79EF" w:rsidP="005D79EF">
            <w:pPr>
              <w:rPr>
                <w:rFonts w:cstheme="minorHAnsi"/>
                <w:b/>
                <w:color w:val="auto"/>
                <w:sz w:val="18"/>
                <w:szCs w:val="18"/>
              </w:rPr>
            </w:pPr>
            <w:r w:rsidRPr="005D79EF">
              <w:rPr>
                <w:rFonts w:cstheme="minorHAnsi"/>
                <w:b/>
                <w:color w:val="auto"/>
                <w:sz w:val="18"/>
                <w:szCs w:val="18"/>
              </w:rPr>
              <w:t>Great Cumbung Swamp (PU 16)</w:t>
            </w:r>
          </w:p>
          <w:p w14:paraId="76D022A8" w14:textId="77777777" w:rsidR="005D79EF" w:rsidRPr="005D79EF" w:rsidRDefault="005D79EF" w:rsidP="005D79EF">
            <w:pPr>
              <w:rPr>
                <w:rFonts w:cstheme="minorHAnsi"/>
                <w:bCs/>
                <w:sz w:val="18"/>
                <w:szCs w:val="18"/>
              </w:rPr>
            </w:pPr>
            <w:r w:rsidRPr="005D79EF">
              <w:rPr>
                <w:rFonts w:cstheme="minorHAnsi"/>
                <w:color w:val="auto"/>
                <w:sz w:val="18"/>
                <w:szCs w:val="18"/>
              </w:rPr>
              <w:t>Provide drought refuge, longitudinal connectivity, foraging and nesting habitat for waterbirds and maintain wetland vegetation. Compliments landscape scale outcomes in Murrumbidgee wetlands</w:t>
            </w:r>
          </w:p>
        </w:tc>
        <w:tc>
          <w:tcPr>
            <w:tcW w:w="968" w:type="pct"/>
            <w:tcBorders>
              <w:top w:val="single" w:sz="12" w:space="0" w:color="auto"/>
            </w:tcBorders>
            <w:shd w:val="clear" w:color="auto" w:fill="auto"/>
            <w:vAlign w:val="center"/>
          </w:tcPr>
          <w:p w14:paraId="29CE6E5C" w14:textId="77777777" w:rsidR="005D79EF" w:rsidRPr="005D79EF" w:rsidRDefault="005D79EF" w:rsidP="005D79EF">
            <w:pPr>
              <w:jc w:val="center"/>
              <w:rPr>
                <w:rFonts w:cstheme="minorHAnsi"/>
                <w:spacing w:val="-1"/>
                <w:sz w:val="18"/>
                <w:szCs w:val="18"/>
              </w:rPr>
            </w:pPr>
            <w:r w:rsidRPr="005D79EF">
              <w:rPr>
                <w:rFonts w:cstheme="minorHAnsi"/>
                <w:sz w:val="18"/>
                <w:szCs w:val="18"/>
              </w:rPr>
              <w:t>Small fresh event &gt;150 ML/d for 10 days minimum</w:t>
            </w:r>
          </w:p>
        </w:tc>
        <w:tc>
          <w:tcPr>
            <w:tcW w:w="451" w:type="pct"/>
            <w:tcBorders>
              <w:top w:val="single" w:sz="12" w:space="0" w:color="auto"/>
            </w:tcBorders>
            <w:shd w:val="clear" w:color="auto" w:fill="auto"/>
            <w:vAlign w:val="center"/>
          </w:tcPr>
          <w:p w14:paraId="6F6C857A" w14:textId="77777777" w:rsidR="005D79EF" w:rsidRPr="005D79EF" w:rsidRDefault="005D79EF" w:rsidP="005D79EF">
            <w:pPr>
              <w:jc w:val="center"/>
              <w:rPr>
                <w:rFonts w:eastAsia="Century Gothic" w:cstheme="minorHAnsi"/>
                <w:spacing w:val="-1"/>
                <w:sz w:val="18"/>
                <w:szCs w:val="18"/>
              </w:rPr>
            </w:pPr>
            <w:r w:rsidRPr="005D79EF">
              <w:rPr>
                <w:rFonts w:cstheme="minorHAnsi"/>
                <w:sz w:val="18"/>
                <w:szCs w:val="18"/>
              </w:rPr>
              <w:t>Annual</w:t>
            </w:r>
          </w:p>
        </w:tc>
        <w:tc>
          <w:tcPr>
            <w:tcW w:w="1064" w:type="pct"/>
            <w:tcBorders>
              <w:top w:val="single" w:sz="12" w:space="0" w:color="auto"/>
            </w:tcBorders>
            <w:shd w:val="clear" w:color="auto" w:fill="auto"/>
            <w:vAlign w:val="center"/>
          </w:tcPr>
          <w:p w14:paraId="31499328" w14:textId="77777777" w:rsidR="005D79EF" w:rsidRPr="005D79EF" w:rsidRDefault="005D79EF" w:rsidP="005D79EF">
            <w:pPr>
              <w:rPr>
                <w:rFonts w:cstheme="minorHAnsi"/>
                <w:bCs/>
                <w:sz w:val="18"/>
                <w:szCs w:val="18"/>
              </w:rPr>
            </w:pPr>
            <w:r w:rsidRPr="005D79EF">
              <w:rPr>
                <w:sz w:val="18"/>
                <w:szCs w:val="18"/>
              </w:rPr>
              <w:t>Has been met in 5 of the last 5 years</w:t>
            </w:r>
          </w:p>
        </w:tc>
        <w:tc>
          <w:tcPr>
            <w:tcW w:w="451" w:type="pct"/>
            <w:tcBorders>
              <w:top w:val="single" w:sz="12" w:space="0" w:color="auto"/>
            </w:tcBorders>
            <w:shd w:val="clear" w:color="auto" w:fill="FF0000"/>
            <w:vAlign w:val="center"/>
          </w:tcPr>
          <w:p w14:paraId="6E9F267E" w14:textId="77777777" w:rsidR="005D79EF" w:rsidRPr="005D79EF" w:rsidRDefault="005D79EF" w:rsidP="005D79EF">
            <w:pPr>
              <w:jc w:val="center"/>
              <w:rPr>
                <w:rFonts w:cstheme="minorHAnsi"/>
                <w:color w:val="auto"/>
                <w:sz w:val="18"/>
                <w:szCs w:val="18"/>
              </w:rPr>
            </w:pPr>
            <w:r w:rsidRPr="005D79EF">
              <w:rPr>
                <w:rFonts w:cstheme="minorHAnsi"/>
                <w:color w:val="auto"/>
                <w:sz w:val="18"/>
                <w:szCs w:val="18"/>
              </w:rPr>
              <w:t>High</w:t>
            </w:r>
          </w:p>
        </w:tc>
        <w:tc>
          <w:tcPr>
            <w:tcW w:w="968" w:type="pct"/>
            <w:tcBorders>
              <w:top w:val="single" w:sz="12" w:space="0" w:color="auto"/>
            </w:tcBorders>
            <w:shd w:val="clear" w:color="auto" w:fill="365F91" w:themeFill="accent1" w:themeFillShade="BF"/>
            <w:vAlign w:val="center"/>
          </w:tcPr>
          <w:p w14:paraId="6A949C1E" w14:textId="77777777" w:rsidR="005D79EF" w:rsidRPr="005D79EF" w:rsidRDefault="005D79EF" w:rsidP="005D79EF">
            <w:pPr>
              <w:jc w:val="center"/>
              <w:rPr>
                <w:rFonts w:cstheme="minorHAnsi"/>
                <w:color w:val="auto"/>
                <w:spacing w:val="-1"/>
                <w:sz w:val="18"/>
                <w:szCs w:val="18"/>
              </w:rPr>
            </w:pPr>
            <w:r w:rsidRPr="005D79EF">
              <w:rPr>
                <w:rFonts w:cstheme="minorHAnsi"/>
                <w:color w:val="auto"/>
                <w:sz w:val="18"/>
                <w:szCs w:val="18"/>
              </w:rPr>
              <w:t>High priority for Commonwealth environmental watering (likely to receive water even under low water resource availability)</w:t>
            </w:r>
          </w:p>
        </w:tc>
        <w:tc>
          <w:tcPr>
            <w:tcW w:w="516" w:type="pct"/>
            <w:tcBorders>
              <w:top w:val="single" w:sz="12" w:space="0" w:color="auto"/>
              <w:right w:val="single" w:sz="12" w:space="0" w:color="auto"/>
            </w:tcBorders>
            <w:shd w:val="clear" w:color="auto" w:fill="FF0000"/>
            <w:vAlign w:val="center"/>
          </w:tcPr>
          <w:p w14:paraId="62361DE9" w14:textId="77777777" w:rsidR="005D79EF" w:rsidRPr="005D79EF" w:rsidRDefault="005D79EF" w:rsidP="005D79EF">
            <w:pPr>
              <w:jc w:val="center"/>
              <w:rPr>
                <w:rFonts w:cstheme="minorHAnsi"/>
                <w:color w:val="auto"/>
                <w:sz w:val="18"/>
                <w:szCs w:val="18"/>
              </w:rPr>
            </w:pPr>
            <w:r w:rsidRPr="005D79EF">
              <w:rPr>
                <w:rFonts w:cstheme="minorHAnsi"/>
                <w:color w:val="auto"/>
                <w:sz w:val="18"/>
                <w:szCs w:val="18"/>
              </w:rPr>
              <w:t>High</w:t>
            </w:r>
          </w:p>
        </w:tc>
      </w:tr>
      <w:tr w:rsidR="005D79EF" w:rsidRPr="005D79EF" w14:paraId="2342DD1B" w14:textId="77777777" w:rsidTr="00583873">
        <w:trPr>
          <w:trHeight w:val="1111"/>
        </w:trPr>
        <w:tc>
          <w:tcPr>
            <w:tcW w:w="582" w:type="pct"/>
            <w:vMerge/>
            <w:tcBorders>
              <w:top w:val="single" w:sz="12" w:space="0" w:color="auto"/>
              <w:left w:val="single" w:sz="12" w:space="0" w:color="auto"/>
              <w:bottom w:val="single" w:sz="12" w:space="0" w:color="auto"/>
            </w:tcBorders>
            <w:shd w:val="clear" w:color="auto" w:fill="auto"/>
            <w:vAlign w:val="center"/>
          </w:tcPr>
          <w:p w14:paraId="4A2BC988" w14:textId="77777777" w:rsidR="005D79EF" w:rsidRPr="005D79EF" w:rsidRDefault="005D79EF" w:rsidP="005D79EF">
            <w:pPr>
              <w:rPr>
                <w:rFonts w:cstheme="minorHAnsi"/>
                <w:bCs/>
                <w:sz w:val="18"/>
                <w:szCs w:val="18"/>
              </w:rPr>
            </w:pPr>
          </w:p>
        </w:tc>
        <w:tc>
          <w:tcPr>
            <w:tcW w:w="968" w:type="pct"/>
            <w:shd w:val="clear" w:color="auto" w:fill="auto"/>
            <w:vAlign w:val="center"/>
          </w:tcPr>
          <w:p w14:paraId="0CDF3F6D" w14:textId="77777777" w:rsidR="005D79EF" w:rsidRPr="005D79EF" w:rsidRDefault="005D79EF" w:rsidP="005D79EF">
            <w:pPr>
              <w:jc w:val="center"/>
              <w:rPr>
                <w:rFonts w:cstheme="minorHAnsi"/>
                <w:spacing w:val="-1"/>
                <w:sz w:val="18"/>
                <w:szCs w:val="18"/>
              </w:rPr>
            </w:pPr>
            <w:r w:rsidRPr="005D79EF">
              <w:rPr>
                <w:rFonts w:cstheme="minorHAnsi"/>
                <w:sz w:val="18"/>
                <w:szCs w:val="18"/>
              </w:rPr>
              <w:t>Small wetland inundation: &gt;650 ML/d for 30 days minimum</w:t>
            </w:r>
            <w:r w:rsidRPr="005D79EF" w:rsidDel="006967FC">
              <w:rPr>
                <w:rFonts w:cstheme="minorHAnsi"/>
                <w:sz w:val="18"/>
                <w:szCs w:val="18"/>
              </w:rPr>
              <w:t xml:space="preserve"> </w:t>
            </w:r>
          </w:p>
        </w:tc>
        <w:tc>
          <w:tcPr>
            <w:tcW w:w="451" w:type="pct"/>
            <w:shd w:val="clear" w:color="auto" w:fill="auto"/>
            <w:vAlign w:val="center"/>
          </w:tcPr>
          <w:p w14:paraId="6B90E3FB" w14:textId="77777777" w:rsidR="005D79EF" w:rsidRPr="005D79EF" w:rsidRDefault="005D79EF" w:rsidP="005D79EF">
            <w:pPr>
              <w:jc w:val="center"/>
              <w:rPr>
                <w:rFonts w:eastAsia="Century Gothic" w:cstheme="minorHAnsi"/>
                <w:spacing w:val="-1"/>
                <w:sz w:val="18"/>
                <w:szCs w:val="18"/>
              </w:rPr>
            </w:pPr>
            <w:r w:rsidRPr="005D79EF">
              <w:rPr>
                <w:sz w:val="18"/>
                <w:szCs w:val="18"/>
              </w:rPr>
              <w:t>7-8 years in 10</w:t>
            </w:r>
          </w:p>
        </w:tc>
        <w:tc>
          <w:tcPr>
            <w:tcW w:w="1064" w:type="pct"/>
            <w:shd w:val="clear" w:color="auto" w:fill="auto"/>
            <w:vAlign w:val="center"/>
          </w:tcPr>
          <w:p w14:paraId="3086F48B" w14:textId="77777777" w:rsidR="005D79EF" w:rsidRPr="005D79EF" w:rsidRDefault="005D79EF" w:rsidP="005D79EF">
            <w:pPr>
              <w:rPr>
                <w:rFonts w:cstheme="minorHAnsi"/>
                <w:bCs/>
                <w:sz w:val="18"/>
                <w:szCs w:val="18"/>
              </w:rPr>
            </w:pPr>
            <w:r w:rsidRPr="005D79EF">
              <w:rPr>
                <w:rFonts w:cstheme="minorHAnsi"/>
                <w:sz w:val="18"/>
                <w:szCs w:val="18"/>
              </w:rPr>
              <w:t>This demand was last met in 2016.</w:t>
            </w:r>
          </w:p>
        </w:tc>
        <w:tc>
          <w:tcPr>
            <w:tcW w:w="451" w:type="pct"/>
            <w:shd w:val="clear" w:color="auto" w:fill="FFC000"/>
            <w:vAlign w:val="center"/>
          </w:tcPr>
          <w:p w14:paraId="446042C0"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c>
          <w:tcPr>
            <w:tcW w:w="968" w:type="pct"/>
            <w:shd w:val="clear" w:color="auto" w:fill="B8CCE4" w:themeFill="accent1" w:themeFillTint="66"/>
            <w:vAlign w:val="center"/>
          </w:tcPr>
          <w:p w14:paraId="3BED99D0" w14:textId="77777777" w:rsidR="005D79EF" w:rsidRPr="005D79EF" w:rsidRDefault="005D79EF" w:rsidP="005D79EF">
            <w:pPr>
              <w:jc w:val="center"/>
              <w:rPr>
                <w:rFonts w:cstheme="minorHAnsi"/>
                <w:color w:val="auto"/>
                <w:spacing w:val="-1"/>
                <w:sz w:val="18"/>
                <w:szCs w:val="18"/>
              </w:rPr>
            </w:pPr>
            <w:r w:rsidRPr="005D79EF">
              <w:rPr>
                <w:rFonts w:cstheme="minorHAnsi"/>
                <w:color w:val="auto"/>
                <w:spacing w:val="-1"/>
                <w:sz w:val="18"/>
                <w:szCs w:val="18"/>
              </w:rPr>
              <w:t>Option to be considered under moderate- high water resource availability.</w:t>
            </w:r>
          </w:p>
        </w:tc>
        <w:tc>
          <w:tcPr>
            <w:tcW w:w="516" w:type="pct"/>
            <w:tcBorders>
              <w:right w:val="single" w:sz="12" w:space="0" w:color="auto"/>
            </w:tcBorders>
            <w:shd w:val="clear" w:color="auto" w:fill="FFC000"/>
            <w:vAlign w:val="center"/>
          </w:tcPr>
          <w:p w14:paraId="2532A724"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r>
      <w:tr w:rsidR="005D79EF" w:rsidRPr="005D79EF" w14:paraId="12296988" w14:textId="77777777" w:rsidTr="00583873">
        <w:trPr>
          <w:trHeight w:val="1283"/>
        </w:trPr>
        <w:tc>
          <w:tcPr>
            <w:tcW w:w="582" w:type="pct"/>
            <w:vMerge/>
            <w:tcBorders>
              <w:top w:val="single" w:sz="12" w:space="0" w:color="auto"/>
              <w:left w:val="single" w:sz="12" w:space="0" w:color="auto"/>
              <w:bottom w:val="single" w:sz="12" w:space="0" w:color="auto"/>
            </w:tcBorders>
            <w:shd w:val="clear" w:color="auto" w:fill="auto"/>
            <w:vAlign w:val="center"/>
          </w:tcPr>
          <w:p w14:paraId="57292428" w14:textId="77777777" w:rsidR="005D79EF" w:rsidRPr="005D79EF" w:rsidRDefault="005D79EF" w:rsidP="005D79EF">
            <w:pPr>
              <w:rPr>
                <w:rFonts w:cstheme="minorHAnsi"/>
                <w:bCs/>
                <w:sz w:val="18"/>
                <w:szCs w:val="18"/>
              </w:rPr>
            </w:pPr>
          </w:p>
        </w:tc>
        <w:tc>
          <w:tcPr>
            <w:tcW w:w="968" w:type="pct"/>
            <w:tcBorders>
              <w:bottom w:val="single" w:sz="12" w:space="0" w:color="auto"/>
            </w:tcBorders>
            <w:shd w:val="clear" w:color="auto" w:fill="auto"/>
            <w:vAlign w:val="center"/>
          </w:tcPr>
          <w:p w14:paraId="605CFA15" w14:textId="77777777" w:rsidR="005D79EF" w:rsidRPr="005D79EF" w:rsidRDefault="005D79EF" w:rsidP="005D79EF">
            <w:pPr>
              <w:jc w:val="center"/>
              <w:rPr>
                <w:rFonts w:cstheme="minorHAnsi"/>
                <w:spacing w:val="-1"/>
                <w:sz w:val="18"/>
                <w:szCs w:val="18"/>
              </w:rPr>
            </w:pPr>
            <w:r w:rsidRPr="005D79EF">
              <w:rPr>
                <w:rFonts w:cstheme="minorHAnsi"/>
                <w:sz w:val="18"/>
                <w:szCs w:val="18"/>
              </w:rPr>
              <w:t>Large wetland inundation: &gt;1,200 ML/d for 60 days minimum</w:t>
            </w:r>
          </w:p>
        </w:tc>
        <w:tc>
          <w:tcPr>
            <w:tcW w:w="451" w:type="pct"/>
            <w:tcBorders>
              <w:bottom w:val="single" w:sz="12" w:space="0" w:color="auto"/>
            </w:tcBorders>
            <w:shd w:val="clear" w:color="auto" w:fill="auto"/>
            <w:vAlign w:val="center"/>
          </w:tcPr>
          <w:p w14:paraId="69F2D284" w14:textId="77777777" w:rsidR="005D79EF" w:rsidRPr="005D79EF" w:rsidRDefault="005D79EF" w:rsidP="005D79EF">
            <w:pPr>
              <w:jc w:val="center"/>
              <w:rPr>
                <w:rFonts w:eastAsia="Century Gothic" w:cstheme="minorHAnsi"/>
                <w:spacing w:val="-1"/>
                <w:sz w:val="18"/>
                <w:szCs w:val="18"/>
              </w:rPr>
            </w:pPr>
            <w:r w:rsidRPr="005D79EF">
              <w:rPr>
                <w:sz w:val="18"/>
                <w:szCs w:val="18"/>
              </w:rPr>
              <w:t>3-5 years in 10</w:t>
            </w:r>
          </w:p>
        </w:tc>
        <w:tc>
          <w:tcPr>
            <w:tcW w:w="1064" w:type="pct"/>
            <w:tcBorders>
              <w:bottom w:val="single" w:sz="12" w:space="0" w:color="auto"/>
            </w:tcBorders>
            <w:shd w:val="clear" w:color="auto" w:fill="auto"/>
            <w:vAlign w:val="center"/>
          </w:tcPr>
          <w:p w14:paraId="2382F875" w14:textId="77777777" w:rsidR="005D79EF" w:rsidRPr="005D79EF" w:rsidRDefault="005D79EF" w:rsidP="005D79EF">
            <w:pPr>
              <w:rPr>
                <w:rFonts w:cstheme="minorHAnsi"/>
                <w:bCs/>
                <w:sz w:val="18"/>
                <w:szCs w:val="18"/>
              </w:rPr>
            </w:pPr>
            <w:r w:rsidRPr="005D79EF">
              <w:rPr>
                <w:rFonts w:cstheme="minorHAnsi"/>
                <w:sz w:val="18"/>
                <w:szCs w:val="18"/>
              </w:rPr>
              <w:t>This demand was last met in 2016.</w:t>
            </w:r>
          </w:p>
        </w:tc>
        <w:tc>
          <w:tcPr>
            <w:tcW w:w="451" w:type="pct"/>
            <w:tcBorders>
              <w:bottom w:val="single" w:sz="12" w:space="0" w:color="auto"/>
            </w:tcBorders>
            <w:shd w:val="clear" w:color="auto" w:fill="FFC000"/>
            <w:vAlign w:val="center"/>
          </w:tcPr>
          <w:p w14:paraId="7282668F"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c>
          <w:tcPr>
            <w:tcW w:w="968" w:type="pct"/>
            <w:tcBorders>
              <w:bottom w:val="single" w:sz="12" w:space="0" w:color="auto"/>
            </w:tcBorders>
            <w:shd w:val="clear" w:color="auto" w:fill="auto"/>
            <w:vAlign w:val="center"/>
          </w:tcPr>
          <w:p w14:paraId="0FA575C9" w14:textId="77777777" w:rsidR="005D79EF" w:rsidRPr="005D79EF" w:rsidRDefault="005D79EF" w:rsidP="005D79EF">
            <w:pPr>
              <w:jc w:val="center"/>
              <w:rPr>
                <w:rFonts w:cstheme="minorHAnsi"/>
                <w:color w:val="auto"/>
                <w:spacing w:val="-1"/>
                <w:sz w:val="18"/>
                <w:szCs w:val="18"/>
              </w:rPr>
            </w:pPr>
            <w:r w:rsidRPr="005D79EF">
              <w:rPr>
                <w:rFonts w:cstheme="minorHAnsi"/>
                <w:color w:val="auto"/>
                <w:spacing w:val="-1"/>
                <w:sz w:val="18"/>
                <w:szCs w:val="18"/>
              </w:rPr>
              <w:t xml:space="preserve">Option to be considered under high water resource availability. </w:t>
            </w:r>
          </w:p>
        </w:tc>
        <w:tc>
          <w:tcPr>
            <w:tcW w:w="516" w:type="pct"/>
            <w:tcBorders>
              <w:bottom w:val="single" w:sz="12" w:space="0" w:color="auto"/>
              <w:right w:val="single" w:sz="12" w:space="0" w:color="auto"/>
            </w:tcBorders>
            <w:shd w:val="clear" w:color="auto" w:fill="FFC000"/>
            <w:vAlign w:val="center"/>
          </w:tcPr>
          <w:p w14:paraId="59A460FB" w14:textId="77777777" w:rsidR="005D79EF" w:rsidRPr="005D79EF" w:rsidRDefault="005D79EF" w:rsidP="005D79EF">
            <w:pPr>
              <w:jc w:val="center"/>
              <w:rPr>
                <w:rFonts w:cstheme="minorHAnsi"/>
                <w:color w:val="auto"/>
                <w:sz w:val="18"/>
                <w:szCs w:val="18"/>
              </w:rPr>
            </w:pPr>
            <w:r w:rsidRPr="005D79EF">
              <w:rPr>
                <w:color w:val="auto"/>
                <w:sz w:val="18"/>
                <w:szCs w:val="18"/>
              </w:rPr>
              <w:t>Moderate</w:t>
            </w:r>
          </w:p>
        </w:tc>
      </w:tr>
      <w:tr w:rsidR="005D79EF" w:rsidRPr="005D79EF" w14:paraId="7E51E2C6" w14:textId="77777777" w:rsidTr="00583873">
        <w:trPr>
          <w:trHeight w:val="617"/>
        </w:trPr>
        <w:tc>
          <w:tcPr>
            <w:tcW w:w="582" w:type="pct"/>
            <w:tcBorders>
              <w:top w:val="single" w:sz="12" w:space="0" w:color="auto"/>
              <w:left w:val="single" w:sz="12" w:space="0" w:color="auto"/>
              <w:bottom w:val="single" w:sz="12" w:space="0" w:color="auto"/>
            </w:tcBorders>
            <w:shd w:val="clear" w:color="auto" w:fill="auto"/>
          </w:tcPr>
          <w:p w14:paraId="59C252E8" w14:textId="77777777" w:rsidR="005D79EF" w:rsidRPr="005D79EF" w:rsidRDefault="005D79EF" w:rsidP="005D79EF">
            <w:pPr>
              <w:rPr>
                <w:rFonts w:cstheme="minorHAnsi"/>
                <w:b/>
                <w:color w:val="auto"/>
                <w:sz w:val="18"/>
                <w:szCs w:val="18"/>
              </w:rPr>
            </w:pPr>
            <w:r w:rsidRPr="005D79EF">
              <w:rPr>
                <w:rFonts w:cstheme="minorHAnsi"/>
                <w:b/>
                <w:color w:val="auto"/>
                <w:sz w:val="18"/>
                <w:szCs w:val="18"/>
              </w:rPr>
              <w:lastRenderedPageBreak/>
              <w:t>Lake Cowal (PU 4) and other lake systems within the catchment</w:t>
            </w:r>
          </w:p>
          <w:p w14:paraId="0EF37995" w14:textId="77777777" w:rsidR="005D79EF" w:rsidRPr="005D79EF" w:rsidRDefault="005D79EF" w:rsidP="005D79EF">
            <w:pPr>
              <w:rPr>
                <w:rFonts w:cstheme="minorHAnsi"/>
                <w:bCs/>
                <w:sz w:val="18"/>
                <w:szCs w:val="18"/>
              </w:rPr>
            </w:pPr>
            <w:r w:rsidRPr="005D79EF">
              <w:rPr>
                <w:rFonts w:cstheme="minorHAnsi"/>
                <w:color w:val="auto"/>
                <w:sz w:val="18"/>
                <w:szCs w:val="18"/>
              </w:rPr>
              <w:t>Provide habitat for native fish and colonial nesting waterbirds</w:t>
            </w:r>
          </w:p>
        </w:tc>
        <w:tc>
          <w:tcPr>
            <w:tcW w:w="968" w:type="pct"/>
            <w:tcBorders>
              <w:top w:val="single" w:sz="12" w:space="0" w:color="auto"/>
              <w:bottom w:val="single" w:sz="12" w:space="0" w:color="auto"/>
            </w:tcBorders>
            <w:shd w:val="clear" w:color="auto" w:fill="auto"/>
          </w:tcPr>
          <w:p w14:paraId="2D8C00CD" w14:textId="77777777" w:rsidR="005D79EF" w:rsidRPr="005D79EF" w:rsidRDefault="005D79EF" w:rsidP="005D79EF">
            <w:pPr>
              <w:jc w:val="center"/>
              <w:rPr>
                <w:rFonts w:cstheme="minorHAnsi"/>
                <w:spacing w:val="-1"/>
                <w:sz w:val="18"/>
                <w:szCs w:val="18"/>
              </w:rPr>
            </w:pPr>
            <w:r w:rsidRPr="005D79EF">
              <w:rPr>
                <w:rFonts w:cstheme="minorHAnsi"/>
                <w:sz w:val="18"/>
                <w:szCs w:val="18"/>
              </w:rPr>
              <w:t>Demand yet to be assessed</w:t>
            </w:r>
          </w:p>
        </w:tc>
        <w:tc>
          <w:tcPr>
            <w:tcW w:w="451" w:type="pct"/>
            <w:tcBorders>
              <w:top w:val="single" w:sz="12" w:space="0" w:color="auto"/>
              <w:bottom w:val="single" w:sz="12" w:space="0" w:color="auto"/>
            </w:tcBorders>
            <w:shd w:val="clear" w:color="auto" w:fill="auto"/>
          </w:tcPr>
          <w:p w14:paraId="6F0790BC" w14:textId="77777777" w:rsidR="005D79EF" w:rsidRPr="005D79EF" w:rsidRDefault="005D79EF" w:rsidP="005D79EF">
            <w:pPr>
              <w:jc w:val="center"/>
              <w:rPr>
                <w:rFonts w:eastAsia="Century Gothic" w:cstheme="minorHAnsi"/>
                <w:spacing w:val="-1"/>
                <w:sz w:val="18"/>
                <w:szCs w:val="18"/>
              </w:rPr>
            </w:pPr>
            <w:r w:rsidRPr="005D79EF">
              <w:rPr>
                <w:rFonts w:cstheme="minorHAnsi"/>
                <w:sz w:val="18"/>
                <w:szCs w:val="18"/>
              </w:rPr>
              <w:t>Various and may be linked to delivery of operational flows</w:t>
            </w:r>
          </w:p>
        </w:tc>
        <w:tc>
          <w:tcPr>
            <w:tcW w:w="1064" w:type="pct"/>
            <w:tcBorders>
              <w:top w:val="single" w:sz="12" w:space="0" w:color="auto"/>
              <w:bottom w:val="single" w:sz="12" w:space="0" w:color="auto"/>
            </w:tcBorders>
            <w:shd w:val="clear" w:color="auto" w:fill="auto"/>
          </w:tcPr>
          <w:p w14:paraId="10487B74" w14:textId="77777777" w:rsidR="005D79EF" w:rsidRPr="005D79EF" w:rsidRDefault="005D79EF" w:rsidP="005D79EF">
            <w:pPr>
              <w:rPr>
                <w:rFonts w:cstheme="minorHAnsi"/>
                <w:bCs/>
                <w:sz w:val="18"/>
                <w:szCs w:val="18"/>
              </w:rPr>
            </w:pPr>
            <w:r w:rsidRPr="005D79EF">
              <w:rPr>
                <w:rFonts w:cstheme="minorHAnsi"/>
                <w:sz w:val="18"/>
                <w:szCs w:val="18"/>
              </w:rPr>
              <w:t>Various. Systems may receive natural inflows and be a source of floodwater returning to the Lachlan River.</w:t>
            </w:r>
          </w:p>
        </w:tc>
        <w:tc>
          <w:tcPr>
            <w:tcW w:w="1936" w:type="pct"/>
            <w:gridSpan w:val="3"/>
            <w:tcBorders>
              <w:top w:val="single" w:sz="12" w:space="0" w:color="auto"/>
              <w:bottom w:val="single" w:sz="12" w:space="0" w:color="auto"/>
              <w:right w:val="single" w:sz="12" w:space="0" w:color="auto"/>
            </w:tcBorders>
            <w:shd w:val="clear" w:color="auto" w:fill="auto"/>
            <w:vAlign w:val="center"/>
          </w:tcPr>
          <w:p w14:paraId="47B4CE0F" w14:textId="77777777" w:rsidR="005D79EF" w:rsidRPr="005D79EF" w:rsidRDefault="005D79EF" w:rsidP="005D79EF">
            <w:pPr>
              <w:jc w:val="center"/>
              <w:rPr>
                <w:rFonts w:cstheme="minorHAnsi"/>
                <w:color w:val="auto"/>
                <w:sz w:val="18"/>
                <w:szCs w:val="18"/>
              </w:rPr>
            </w:pPr>
            <w:r w:rsidRPr="005D79EF">
              <w:rPr>
                <w:rFonts w:cstheme="minorHAnsi"/>
                <w:color w:val="auto"/>
                <w:sz w:val="18"/>
                <w:szCs w:val="18"/>
              </w:rPr>
              <w:t>Various - may have limited capacity to deliver Commonwealth environmental water to some assets</w:t>
            </w:r>
          </w:p>
        </w:tc>
      </w:tr>
    </w:tbl>
    <w:p w14:paraId="2675B127" w14:textId="77777777" w:rsidR="005D79EF" w:rsidRPr="005D79EF" w:rsidRDefault="005D79EF" w:rsidP="005D79EF">
      <w:pPr>
        <w:rPr>
          <w:rFonts w:cstheme="minorHAnsi"/>
          <w:color w:val="auto"/>
          <w:sz w:val="18"/>
          <w:szCs w:val="18"/>
        </w:rPr>
      </w:pPr>
      <w:bookmarkStart w:id="154" w:name="_Hlk40278199"/>
      <w:r w:rsidRPr="005D79EF">
        <w:rPr>
          <w:rFonts w:cstheme="minorHAnsi"/>
          <w:color w:val="auto"/>
          <w:sz w:val="18"/>
          <w:szCs w:val="18"/>
        </w:rPr>
        <w:t>Planning Unit (PU) naming as per Lachlan Long Term Water Plan Part B: Lachlan planning units (Draft for exhibition):</w:t>
      </w:r>
    </w:p>
    <w:tbl>
      <w:tblPr>
        <w:tblStyle w:val="TableGrid"/>
        <w:tblW w:w="21272"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gridCol w:w="11066"/>
      </w:tblGrid>
      <w:tr w:rsidR="005D79EF" w:rsidRPr="005D79EF" w14:paraId="52195B61" w14:textId="77777777" w:rsidTr="00583873">
        <w:trPr>
          <w:cnfStyle w:val="100000000000" w:firstRow="1" w:lastRow="0" w:firstColumn="0" w:lastColumn="0" w:oddVBand="0" w:evenVBand="0" w:oddHBand="0" w:evenHBand="0" w:firstRowFirstColumn="0" w:firstRowLastColumn="0" w:lastRowFirstColumn="0" w:lastRowLastColumn="0"/>
          <w:trHeight w:val="340"/>
        </w:trPr>
        <w:tc>
          <w:tcPr>
            <w:tcW w:w="10206" w:type="dxa"/>
          </w:tcPr>
          <w:p w14:paraId="0C19FC50" w14:textId="77777777" w:rsidR="005D79EF" w:rsidRPr="005D79EF" w:rsidRDefault="005D79EF" w:rsidP="005D79EF">
            <w:pPr>
              <w:spacing w:after="0"/>
              <w:rPr>
                <w:rFonts w:cstheme="minorHAnsi"/>
                <w:color w:val="auto"/>
                <w:sz w:val="18"/>
                <w:szCs w:val="18"/>
              </w:rPr>
            </w:pPr>
            <w:r w:rsidRPr="005D79EF">
              <w:rPr>
                <w:rFonts w:cstheme="minorHAnsi"/>
                <w:color w:val="auto"/>
                <w:sz w:val="18"/>
                <w:szCs w:val="18"/>
              </w:rPr>
              <w:t>PU1: Belubula River</w:t>
            </w:r>
          </w:p>
        </w:tc>
        <w:tc>
          <w:tcPr>
            <w:tcW w:w="11066" w:type="dxa"/>
          </w:tcPr>
          <w:p w14:paraId="5BF1460E" w14:textId="77777777" w:rsidR="005D79EF" w:rsidRPr="005D79EF" w:rsidRDefault="005D79EF" w:rsidP="005D79EF">
            <w:pPr>
              <w:spacing w:after="0"/>
              <w:rPr>
                <w:rFonts w:cstheme="minorHAnsi"/>
                <w:color w:val="auto"/>
                <w:sz w:val="18"/>
                <w:szCs w:val="18"/>
              </w:rPr>
            </w:pPr>
            <w:r w:rsidRPr="005D79EF">
              <w:rPr>
                <w:rFonts w:cstheme="minorHAnsi"/>
                <w:color w:val="auto"/>
                <w:sz w:val="18"/>
                <w:szCs w:val="18"/>
              </w:rPr>
              <w:t>PU9: Lake Cargelligo</w:t>
            </w:r>
          </w:p>
        </w:tc>
      </w:tr>
      <w:tr w:rsidR="005D79EF" w:rsidRPr="005D79EF" w14:paraId="4FAD1939" w14:textId="77777777" w:rsidTr="00583873">
        <w:trPr>
          <w:cnfStyle w:val="000000100000" w:firstRow="0" w:lastRow="0" w:firstColumn="0" w:lastColumn="0" w:oddVBand="0" w:evenVBand="0" w:oddHBand="1" w:evenHBand="0" w:firstRowFirstColumn="0" w:firstRowLastColumn="0" w:lastRowFirstColumn="0" w:lastRowLastColumn="0"/>
          <w:trHeight w:val="340"/>
        </w:trPr>
        <w:tc>
          <w:tcPr>
            <w:tcW w:w="10206" w:type="dxa"/>
          </w:tcPr>
          <w:p w14:paraId="31D37F57" w14:textId="77777777" w:rsidR="005D79EF" w:rsidRPr="005D79EF" w:rsidRDefault="005D79EF" w:rsidP="005D79EF">
            <w:pPr>
              <w:spacing w:after="0"/>
              <w:rPr>
                <w:rFonts w:cstheme="minorHAnsi"/>
                <w:color w:val="auto"/>
                <w:sz w:val="18"/>
                <w:szCs w:val="18"/>
              </w:rPr>
            </w:pPr>
            <w:r w:rsidRPr="005D79EF">
              <w:rPr>
                <w:rFonts w:cstheme="minorHAnsi"/>
                <w:color w:val="auto"/>
                <w:sz w:val="18"/>
                <w:szCs w:val="18"/>
              </w:rPr>
              <w:t>PU2: Upper Lachlan River</w:t>
            </w:r>
          </w:p>
        </w:tc>
        <w:tc>
          <w:tcPr>
            <w:tcW w:w="11066" w:type="dxa"/>
          </w:tcPr>
          <w:p w14:paraId="19C9040D" w14:textId="77777777" w:rsidR="005D79EF" w:rsidRPr="005D79EF" w:rsidRDefault="005D79EF" w:rsidP="005D79EF">
            <w:pPr>
              <w:spacing w:after="0"/>
              <w:rPr>
                <w:rFonts w:cstheme="minorHAnsi"/>
                <w:color w:val="auto"/>
                <w:sz w:val="18"/>
                <w:szCs w:val="18"/>
              </w:rPr>
            </w:pPr>
            <w:r w:rsidRPr="005D79EF">
              <w:rPr>
                <w:rFonts w:cstheme="minorHAnsi"/>
                <w:color w:val="auto"/>
                <w:sz w:val="18"/>
                <w:szCs w:val="18"/>
              </w:rPr>
              <w:t>PU10: Lake Brewster</w:t>
            </w:r>
          </w:p>
        </w:tc>
      </w:tr>
      <w:tr w:rsidR="005D79EF" w:rsidRPr="005D79EF" w14:paraId="722F83F5" w14:textId="77777777" w:rsidTr="00583873">
        <w:trPr>
          <w:cnfStyle w:val="000000010000" w:firstRow="0" w:lastRow="0" w:firstColumn="0" w:lastColumn="0" w:oddVBand="0" w:evenVBand="0" w:oddHBand="0" w:evenHBand="1" w:firstRowFirstColumn="0" w:firstRowLastColumn="0" w:lastRowFirstColumn="0" w:lastRowLastColumn="0"/>
          <w:trHeight w:val="340"/>
        </w:trPr>
        <w:tc>
          <w:tcPr>
            <w:tcW w:w="10206" w:type="dxa"/>
          </w:tcPr>
          <w:p w14:paraId="3EAD89E1" w14:textId="77777777" w:rsidR="005D79EF" w:rsidRPr="005D79EF" w:rsidRDefault="005D79EF" w:rsidP="005D79EF">
            <w:pPr>
              <w:spacing w:after="0"/>
              <w:rPr>
                <w:rFonts w:ascii="Century Gothic" w:hAnsi="Century Gothic" w:cs="Times New Roman"/>
                <w:color w:val="auto"/>
                <w:sz w:val="20"/>
                <w:lang w:val="en-US" w:eastAsia="en-US"/>
              </w:rPr>
            </w:pPr>
            <w:r w:rsidRPr="005D79EF">
              <w:rPr>
                <w:rFonts w:cstheme="minorHAnsi"/>
                <w:color w:val="auto"/>
                <w:sz w:val="18"/>
                <w:szCs w:val="18"/>
              </w:rPr>
              <w:t>PU3: Lachlan River - Forbes to Condobolin (Lachlan River, Horseshoe Lagoon, Bumbuggan Creek)</w:t>
            </w:r>
          </w:p>
        </w:tc>
        <w:tc>
          <w:tcPr>
            <w:tcW w:w="11066" w:type="dxa"/>
          </w:tcPr>
          <w:p w14:paraId="228F6557" w14:textId="77777777" w:rsidR="005D79EF" w:rsidRPr="005D79EF" w:rsidRDefault="005D79EF" w:rsidP="005D79EF">
            <w:pPr>
              <w:spacing w:after="0"/>
              <w:rPr>
                <w:rFonts w:cstheme="minorHAnsi"/>
                <w:color w:val="auto"/>
                <w:sz w:val="18"/>
                <w:szCs w:val="18"/>
              </w:rPr>
            </w:pPr>
            <w:r w:rsidRPr="005D79EF">
              <w:rPr>
                <w:rFonts w:cstheme="minorHAnsi"/>
                <w:color w:val="auto"/>
                <w:sz w:val="18"/>
                <w:szCs w:val="18"/>
              </w:rPr>
              <w:t>PU11: Willandra Creek</w:t>
            </w:r>
          </w:p>
        </w:tc>
      </w:tr>
      <w:tr w:rsidR="005D79EF" w:rsidRPr="005D79EF" w14:paraId="197B04F6" w14:textId="77777777" w:rsidTr="00583873">
        <w:trPr>
          <w:cnfStyle w:val="000000100000" w:firstRow="0" w:lastRow="0" w:firstColumn="0" w:lastColumn="0" w:oddVBand="0" w:evenVBand="0" w:oddHBand="1" w:evenHBand="0" w:firstRowFirstColumn="0" w:firstRowLastColumn="0" w:lastRowFirstColumn="0" w:lastRowLastColumn="0"/>
          <w:trHeight w:val="340"/>
        </w:trPr>
        <w:tc>
          <w:tcPr>
            <w:tcW w:w="10206" w:type="dxa"/>
          </w:tcPr>
          <w:p w14:paraId="23E6478A" w14:textId="77777777" w:rsidR="005D79EF" w:rsidRPr="005D79EF" w:rsidRDefault="005D79EF" w:rsidP="005D79EF">
            <w:pPr>
              <w:spacing w:after="0"/>
              <w:rPr>
                <w:rFonts w:ascii="Century Gothic" w:hAnsi="Century Gothic" w:cs="Times New Roman"/>
                <w:color w:val="auto"/>
                <w:sz w:val="20"/>
                <w:lang w:val="en-US" w:eastAsia="en-US"/>
              </w:rPr>
            </w:pPr>
            <w:r w:rsidRPr="005D79EF">
              <w:rPr>
                <w:rFonts w:cstheme="minorHAnsi"/>
                <w:color w:val="auto"/>
                <w:sz w:val="18"/>
                <w:szCs w:val="18"/>
              </w:rPr>
              <w:t>PU4: Upper and Mid Lachlan floodplain (Thurumbidgee Lagoon, Bundaburra Creek, Lake Cowal)</w:t>
            </w:r>
          </w:p>
        </w:tc>
        <w:tc>
          <w:tcPr>
            <w:tcW w:w="11066" w:type="dxa"/>
          </w:tcPr>
          <w:p w14:paraId="54534496" w14:textId="77777777" w:rsidR="005D79EF" w:rsidRPr="005D79EF" w:rsidRDefault="005D79EF" w:rsidP="005D79EF">
            <w:pPr>
              <w:spacing w:after="0"/>
              <w:rPr>
                <w:rFonts w:cstheme="minorHAnsi"/>
                <w:color w:val="auto"/>
                <w:sz w:val="18"/>
                <w:szCs w:val="18"/>
              </w:rPr>
            </w:pPr>
            <w:r w:rsidRPr="005D79EF">
              <w:rPr>
                <w:rFonts w:cstheme="minorHAnsi"/>
                <w:color w:val="auto"/>
                <w:sz w:val="18"/>
                <w:szCs w:val="18"/>
              </w:rPr>
              <w:t>PU12: Merrowie Creek (Cuba Dam, Chillichil swamp, Merrowie Creek wetlands, Box Creek)</w:t>
            </w:r>
          </w:p>
        </w:tc>
      </w:tr>
      <w:tr w:rsidR="005D79EF" w:rsidRPr="005D79EF" w14:paraId="39BBB423" w14:textId="77777777" w:rsidTr="00583873">
        <w:trPr>
          <w:cnfStyle w:val="000000010000" w:firstRow="0" w:lastRow="0" w:firstColumn="0" w:lastColumn="0" w:oddVBand="0" w:evenVBand="0" w:oddHBand="0" w:evenHBand="1" w:firstRowFirstColumn="0" w:firstRowLastColumn="0" w:lastRowFirstColumn="0" w:lastRowLastColumn="0"/>
          <w:trHeight w:val="340"/>
        </w:trPr>
        <w:tc>
          <w:tcPr>
            <w:tcW w:w="10206" w:type="dxa"/>
          </w:tcPr>
          <w:p w14:paraId="1F7A1C5F" w14:textId="77777777" w:rsidR="005D79EF" w:rsidRPr="005D79EF" w:rsidRDefault="005D79EF" w:rsidP="005D79EF">
            <w:pPr>
              <w:spacing w:after="0"/>
              <w:rPr>
                <w:rFonts w:ascii="Century Gothic" w:hAnsi="Century Gothic" w:cs="Times New Roman"/>
                <w:color w:val="auto"/>
                <w:sz w:val="20"/>
                <w:lang w:val="en-US" w:eastAsia="en-US"/>
              </w:rPr>
            </w:pPr>
            <w:r w:rsidRPr="005D79EF">
              <w:rPr>
                <w:rFonts w:cstheme="minorHAnsi"/>
                <w:color w:val="auto"/>
                <w:sz w:val="18"/>
                <w:szCs w:val="18"/>
              </w:rPr>
              <w:t>PU5: Mid Lachlan anabranches (Island, Wallamundry, Wallaroi and Narrathong Creeks)</w:t>
            </w:r>
          </w:p>
        </w:tc>
        <w:tc>
          <w:tcPr>
            <w:tcW w:w="11066" w:type="dxa"/>
          </w:tcPr>
          <w:p w14:paraId="2A9F3B89" w14:textId="77777777" w:rsidR="005D79EF" w:rsidRPr="005D79EF" w:rsidRDefault="005D79EF" w:rsidP="005D79EF">
            <w:pPr>
              <w:spacing w:after="0"/>
              <w:rPr>
                <w:rFonts w:ascii="Century Gothic" w:hAnsi="Century Gothic" w:cs="Times New Roman"/>
                <w:color w:val="auto"/>
                <w:sz w:val="20"/>
                <w:lang w:val="en-US" w:eastAsia="en-US"/>
              </w:rPr>
            </w:pPr>
            <w:r w:rsidRPr="005D79EF">
              <w:rPr>
                <w:rFonts w:cstheme="minorHAnsi"/>
                <w:color w:val="auto"/>
                <w:sz w:val="18"/>
                <w:szCs w:val="18"/>
              </w:rPr>
              <w:t>PU13: Merrimajeel Creek (Merrimajeel Creek, Booligal Wetlands, Lake Merrimajeel, Murrumbidgil Swamp)</w:t>
            </w:r>
          </w:p>
        </w:tc>
      </w:tr>
      <w:tr w:rsidR="005D79EF" w:rsidRPr="005D79EF" w14:paraId="0D1F21AD" w14:textId="77777777" w:rsidTr="00583873">
        <w:trPr>
          <w:cnfStyle w:val="000000100000" w:firstRow="0" w:lastRow="0" w:firstColumn="0" w:lastColumn="0" w:oddVBand="0" w:evenVBand="0" w:oddHBand="1" w:evenHBand="0" w:firstRowFirstColumn="0" w:firstRowLastColumn="0" w:lastRowFirstColumn="0" w:lastRowLastColumn="0"/>
          <w:trHeight w:val="340"/>
        </w:trPr>
        <w:tc>
          <w:tcPr>
            <w:tcW w:w="10206" w:type="dxa"/>
          </w:tcPr>
          <w:p w14:paraId="70FA737C" w14:textId="77777777" w:rsidR="005D79EF" w:rsidRPr="005D79EF" w:rsidRDefault="005D79EF" w:rsidP="005D79EF">
            <w:pPr>
              <w:spacing w:after="0"/>
              <w:rPr>
                <w:rFonts w:ascii="Century Gothic" w:hAnsi="Century Gothic" w:cs="Times New Roman"/>
                <w:color w:val="auto"/>
                <w:sz w:val="20"/>
                <w:lang w:val="en-US" w:eastAsia="en-US"/>
              </w:rPr>
            </w:pPr>
            <w:r w:rsidRPr="005D79EF">
              <w:rPr>
                <w:rFonts w:cstheme="minorHAnsi"/>
                <w:color w:val="auto"/>
                <w:sz w:val="18"/>
                <w:szCs w:val="18"/>
              </w:rPr>
              <w:t>PU6: Lachlan River - Condobolin to Lake Cargelligo (Lachlan River, Borapine &amp; Kiagathur Creeks, Yarnel Lagoon)</w:t>
            </w:r>
          </w:p>
        </w:tc>
        <w:tc>
          <w:tcPr>
            <w:tcW w:w="11066" w:type="dxa"/>
          </w:tcPr>
          <w:p w14:paraId="532D54E8" w14:textId="77777777" w:rsidR="005D79EF" w:rsidRPr="005D79EF" w:rsidRDefault="005D79EF" w:rsidP="005D79EF">
            <w:pPr>
              <w:spacing w:after="0"/>
              <w:rPr>
                <w:rFonts w:ascii="Century Gothic" w:hAnsi="Century Gothic" w:cs="Times New Roman"/>
                <w:color w:val="auto"/>
                <w:sz w:val="20"/>
                <w:lang w:val="en-US" w:eastAsia="en-US"/>
              </w:rPr>
            </w:pPr>
            <w:r w:rsidRPr="005D79EF">
              <w:rPr>
                <w:rFonts w:cstheme="minorHAnsi"/>
                <w:color w:val="auto"/>
                <w:sz w:val="18"/>
                <w:szCs w:val="18"/>
              </w:rPr>
              <w:t>PU14: Lower Lachlan watercourse (Lachlan River, Moon Moon Lake)</w:t>
            </w:r>
          </w:p>
        </w:tc>
      </w:tr>
      <w:tr w:rsidR="005D79EF" w:rsidRPr="005D79EF" w14:paraId="6A343D10" w14:textId="77777777" w:rsidTr="00583873">
        <w:trPr>
          <w:cnfStyle w:val="000000010000" w:firstRow="0" w:lastRow="0" w:firstColumn="0" w:lastColumn="0" w:oddVBand="0" w:evenVBand="0" w:oddHBand="0" w:evenHBand="1" w:firstRowFirstColumn="0" w:firstRowLastColumn="0" w:lastRowFirstColumn="0" w:lastRowLastColumn="0"/>
          <w:trHeight w:val="340"/>
        </w:trPr>
        <w:tc>
          <w:tcPr>
            <w:tcW w:w="10206" w:type="dxa"/>
          </w:tcPr>
          <w:p w14:paraId="7E5B91B5" w14:textId="77777777" w:rsidR="005D79EF" w:rsidRPr="005D79EF" w:rsidRDefault="005D79EF" w:rsidP="005D79EF">
            <w:pPr>
              <w:spacing w:after="0"/>
              <w:rPr>
                <w:rFonts w:ascii="Century Gothic" w:hAnsi="Century Gothic" w:cs="Times New Roman"/>
                <w:color w:val="auto"/>
                <w:sz w:val="20"/>
                <w:lang w:val="en-US" w:eastAsia="en-US"/>
              </w:rPr>
            </w:pPr>
            <w:r w:rsidRPr="005D79EF">
              <w:rPr>
                <w:rFonts w:cstheme="minorHAnsi"/>
                <w:color w:val="auto"/>
                <w:sz w:val="18"/>
                <w:szCs w:val="18"/>
              </w:rPr>
              <w:t>PU7: Booberoi Creek</w:t>
            </w:r>
          </w:p>
        </w:tc>
        <w:tc>
          <w:tcPr>
            <w:tcW w:w="11066" w:type="dxa"/>
          </w:tcPr>
          <w:p w14:paraId="19F1BEDF" w14:textId="77777777" w:rsidR="005D79EF" w:rsidRPr="005D79EF" w:rsidRDefault="005D79EF" w:rsidP="005D79EF">
            <w:pPr>
              <w:spacing w:after="0"/>
              <w:rPr>
                <w:rFonts w:ascii="Century Gothic" w:hAnsi="Century Gothic" w:cs="Times New Roman"/>
                <w:color w:val="auto"/>
                <w:sz w:val="20"/>
                <w:lang w:val="en-US" w:eastAsia="en-US"/>
              </w:rPr>
            </w:pPr>
            <w:r w:rsidRPr="005D79EF">
              <w:rPr>
                <w:rFonts w:cstheme="minorHAnsi"/>
                <w:color w:val="auto"/>
                <w:sz w:val="18"/>
                <w:szCs w:val="18"/>
              </w:rPr>
              <w:t>PU15: Muggabah Creek</w:t>
            </w:r>
          </w:p>
        </w:tc>
      </w:tr>
      <w:tr w:rsidR="005D79EF" w:rsidRPr="005D79EF" w14:paraId="4E815CA0" w14:textId="77777777" w:rsidTr="00583873">
        <w:trPr>
          <w:cnfStyle w:val="000000100000" w:firstRow="0" w:lastRow="0" w:firstColumn="0" w:lastColumn="0" w:oddVBand="0" w:evenVBand="0" w:oddHBand="1" w:evenHBand="0" w:firstRowFirstColumn="0" w:firstRowLastColumn="0" w:lastRowFirstColumn="0" w:lastRowLastColumn="0"/>
          <w:trHeight w:val="340"/>
        </w:trPr>
        <w:tc>
          <w:tcPr>
            <w:tcW w:w="10206" w:type="dxa"/>
          </w:tcPr>
          <w:p w14:paraId="711776A9" w14:textId="77777777" w:rsidR="005D79EF" w:rsidRPr="005D79EF" w:rsidRDefault="005D79EF" w:rsidP="005D79EF">
            <w:pPr>
              <w:spacing w:after="0"/>
              <w:rPr>
                <w:rFonts w:ascii="Century Gothic" w:hAnsi="Century Gothic" w:cs="Times New Roman"/>
                <w:color w:val="auto"/>
                <w:sz w:val="20"/>
                <w:lang w:val="en-US" w:eastAsia="en-US"/>
              </w:rPr>
            </w:pPr>
            <w:r w:rsidRPr="005D79EF">
              <w:rPr>
                <w:rFonts w:cstheme="minorHAnsi"/>
                <w:color w:val="auto"/>
                <w:sz w:val="18"/>
                <w:szCs w:val="18"/>
              </w:rPr>
              <w:t>PU8: Lachlan River - Lake Cargelligo to Willandra Weir (Lachlan River, Box Creek)</w:t>
            </w:r>
          </w:p>
        </w:tc>
        <w:tc>
          <w:tcPr>
            <w:tcW w:w="11066" w:type="dxa"/>
          </w:tcPr>
          <w:p w14:paraId="2C302828" w14:textId="77777777" w:rsidR="005D79EF" w:rsidRPr="005D79EF" w:rsidRDefault="005D79EF" w:rsidP="005D79EF">
            <w:pPr>
              <w:spacing w:after="0"/>
              <w:rPr>
                <w:rFonts w:ascii="Century Gothic" w:hAnsi="Century Gothic" w:cs="Times New Roman"/>
                <w:color w:val="auto"/>
                <w:sz w:val="20"/>
                <w:lang w:val="en-US" w:eastAsia="en-US"/>
              </w:rPr>
            </w:pPr>
            <w:r w:rsidRPr="005D79EF">
              <w:rPr>
                <w:rFonts w:cstheme="minorHAnsi"/>
                <w:color w:val="auto"/>
                <w:sz w:val="18"/>
                <w:szCs w:val="18"/>
              </w:rPr>
              <w:t>PU16: Western Lachlan watercourse including The Great Cumbung Swamp (Lachlan River, Great Cumbung Swamp, Lake Waljeers, Pimpara Creek, Lachlan swamp, Baconian swamp, Lake Ita)</w:t>
            </w:r>
          </w:p>
        </w:tc>
      </w:tr>
      <w:bookmarkEnd w:id="154"/>
    </w:tbl>
    <w:p w14:paraId="53CB34A6" w14:textId="77777777" w:rsidR="005D79EF" w:rsidRPr="005D79EF" w:rsidRDefault="005D79EF" w:rsidP="005D79EF">
      <w:pPr>
        <w:rPr>
          <w:rFonts w:cstheme="minorHAnsi"/>
          <w:color w:val="auto"/>
          <w:sz w:val="18"/>
          <w:szCs w:val="18"/>
        </w:rPr>
      </w:pPr>
    </w:p>
    <w:p w14:paraId="35AFABEE" w14:textId="77777777" w:rsidR="005D79EF" w:rsidRPr="005D79EF" w:rsidRDefault="005D79EF" w:rsidP="005D79EF">
      <w:pPr>
        <w:spacing w:after="0"/>
        <w:ind w:left="180"/>
        <w:rPr>
          <w:rFonts w:cs="Times New Roman"/>
          <w:color w:val="auto"/>
          <w:szCs w:val="22"/>
          <w:lang w:eastAsia="en-US"/>
        </w:rPr>
      </w:pPr>
      <w:r w:rsidRPr="005D79EF">
        <w:rPr>
          <w:rFonts w:ascii="Consolas" w:hAnsi="Consolas" w:cs="Times New Roman"/>
          <w:noProof/>
          <w:color w:val="auto"/>
          <w:sz w:val="21"/>
          <w:szCs w:val="21"/>
          <w:lang w:eastAsia="en-US"/>
        </w:rPr>
        <w:drawing>
          <wp:inline distT="0" distB="0" distL="0" distR="0" wp14:anchorId="33A9F1AE" wp14:editId="19A96137">
            <wp:extent cx="9906000" cy="1942353"/>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10016450" cy="1964010"/>
                    </a:xfrm>
                    <a:prstGeom prst="rect">
                      <a:avLst/>
                    </a:prstGeom>
                  </pic:spPr>
                </pic:pic>
              </a:graphicData>
            </a:graphic>
          </wp:inline>
        </w:drawing>
      </w:r>
    </w:p>
    <w:p w14:paraId="2F63AB52" w14:textId="77777777" w:rsidR="005D79EF" w:rsidRPr="005D79EF" w:rsidRDefault="005D79EF" w:rsidP="005D79EF">
      <w:pPr>
        <w:spacing w:after="240"/>
        <w:rPr>
          <w:rFonts w:ascii="Century Gothic" w:hAnsi="Century Gothic" w:cs="Arial"/>
          <w:noProof/>
          <w:color w:val="0000FF"/>
          <w:u w:val="single"/>
        </w:rPr>
        <w:sectPr w:rsidR="005D79EF" w:rsidRPr="005D79EF" w:rsidSect="00583873">
          <w:footerReference w:type="first" r:id="rId238"/>
          <w:footnotePr>
            <w:numFmt w:val="chicago"/>
          </w:footnotePr>
          <w:pgSz w:w="23814" w:h="16839" w:orient="landscape" w:code="8"/>
          <w:pgMar w:top="993" w:right="821" w:bottom="993" w:left="851" w:header="567" w:footer="397" w:gutter="0"/>
          <w:cols w:space="708"/>
          <w:docGrid w:linePitch="360"/>
        </w:sectPr>
      </w:pPr>
    </w:p>
    <w:p w14:paraId="1DB024CF" w14:textId="77777777" w:rsidR="005D79EF" w:rsidRPr="005D79EF" w:rsidRDefault="005D79EF" w:rsidP="005D79EF">
      <w:pPr>
        <w:pStyle w:val="Heading3"/>
      </w:pPr>
      <w:r w:rsidRPr="005D79EF">
        <w:lastRenderedPageBreak/>
        <w:t>Water delivery in 2020-21</w:t>
      </w:r>
    </w:p>
    <w:p w14:paraId="0980DFA3" w14:textId="77777777" w:rsidR="005D79EF" w:rsidRPr="005D79EF" w:rsidRDefault="005D79EF" w:rsidP="005D79EF">
      <w:r w:rsidRPr="005D79EF">
        <w:t>Based on the demand for water for the environment, water availability (supply), and catchment conditions, the overall purpose for managing Commonwealth water for the environment in the Lachlan catchment in 2020-21 is to avoid damage and protect the health and resilience of aquatic ecosystems and wetland areas.</w:t>
      </w:r>
    </w:p>
    <w:p w14:paraId="301019CD" w14:textId="77777777" w:rsidR="005D79EF" w:rsidRPr="005D79EF" w:rsidRDefault="005D79EF" w:rsidP="005D79EF">
      <w:r w:rsidRPr="005D79EF">
        <w:t>The planning of watering actions is undertaken in partnership with NSW agencies. A range of scenarios, from very dry to very wet conditions, are planned for so that environmental water managers can respond quickly to changing catchment conditions during the year.</w:t>
      </w:r>
    </w:p>
    <w:p w14:paraId="74BAA00A" w14:textId="77777777" w:rsidR="005D79EF" w:rsidRPr="005D79EF" w:rsidRDefault="005D79EF" w:rsidP="005D79EF">
      <w:r w:rsidRPr="005D79EF">
        <w:t>Very low water availability, ongoing dry conditions and related restrictions on water use are likely to limit the ability to delivery environmental flows in the Lachlan River catchment during 2020-21. With the anticipated volumes for the start of 2020-21, Commonwealth environmental water is proposed to be used in a joint watering action with NSW to delivery a flow down Booberoi Creek (Booberoi Weir has been closed since March to allow the Booberoi off-take channel to dry down ahead of de-silting works by WaterNSW). This action will re-start the system after the completion of de-silting works and will provide a flushing pulse in September-October to coincide with fish movement back into the creek once the off-take is reopened, and should provide an end of system return flow.  This actioin will help maintain Booberoi Creek as an important drought refugia site in the Lachlan system.</w:t>
      </w:r>
    </w:p>
    <w:p w14:paraId="369AA648" w14:textId="77777777" w:rsidR="005D79EF" w:rsidRPr="005D79EF" w:rsidRDefault="005D79EF" w:rsidP="005D79EF">
      <w:r w:rsidRPr="005D79EF">
        <w:t xml:space="preserve">Should there be substantial rainfall and a significant increase in water availability during 2020-21, watering actions will be scaled up accordingly. This may enable drought refugia to be consolidated for another year. Alternatively, under very wet conditions, watering actions may seek to compliment other flows in the system to maintain the health of floodplain vegetation, maintain water quality where feasible to do so and/or the need to support waterbird breeding events. </w:t>
      </w:r>
    </w:p>
    <w:p w14:paraId="65E9DB5D" w14:textId="77777777" w:rsidR="005D79EF" w:rsidRPr="005D79EF" w:rsidRDefault="005D79EF" w:rsidP="005D79EF">
      <w:pPr>
        <w:pStyle w:val="Heading3"/>
      </w:pPr>
      <w:r w:rsidRPr="005D79EF">
        <w:t>Monitoring and Lessons Learned</w:t>
      </w:r>
    </w:p>
    <w:p w14:paraId="57917C5D" w14:textId="77777777" w:rsidR="005D79EF" w:rsidRPr="005D79EF" w:rsidRDefault="005D79EF" w:rsidP="005D79EF">
      <w:pPr>
        <w:pStyle w:val="Heading4"/>
      </w:pPr>
      <w:r w:rsidRPr="005D79EF">
        <w:t>Monitoring</w:t>
      </w:r>
    </w:p>
    <w:p w14:paraId="035CE61D" w14:textId="77777777" w:rsidR="005D79EF" w:rsidRPr="005D79EF" w:rsidRDefault="005D79EF" w:rsidP="005D79EF">
      <w:pPr>
        <w:rPr>
          <w:rFonts w:ascii="Calibri" w:hAnsi="Calibri" w:cs="Calibri"/>
          <w:szCs w:val="22"/>
        </w:rPr>
      </w:pPr>
      <w:r w:rsidRPr="005D79EF">
        <w:rPr>
          <w:rFonts w:ascii="Calibri" w:hAnsi="Calibri" w:cs="Calibri"/>
          <w:szCs w:val="22"/>
        </w:rPr>
        <w:t xml:space="preserve">The CEWO </w:t>
      </w:r>
      <w:hyperlink r:id="rId239" w:tooltip="Monitoring Evaluation and Research Program" w:history="1">
        <w:r w:rsidRPr="005D79EF">
          <w:rPr>
            <w:rFonts w:ascii="Calibri" w:hAnsi="Calibri" w:cs="Calibri"/>
            <w:szCs w:val="22"/>
          </w:rPr>
          <w:t>Monitoring, Evaluation and Research (MER) Program</w:t>
        </w:r>
      </w:hyperlink>
      <w:r w:rsidRPr="005D79EF">
        <w:rPr>
          <w:rFonts w:ascii="Calibri" w:hAnsi="Calibri" w:cs="Calibri"/>
          <w:szCs w:val="22"/>
        </w:rPr>
        <w:t xml:space="preserve"> (2019-20 to 2021-22) integrates and replaces monitoring and research activities under the </w:t>
      </w:r>
      <w:hyperlink r:id="rId240" w:tooltip="Long Term Intervention Monitoring Project" w:history="1">
        <w:r w:rsidRPr="005D79EF">
          <w:rPr>
            <w:rFonts w:ascii="Calibri" w:hAnsi="Calibri" w:cs="Calibri"/>
            <w:szCs w:val="22"/>
          </w:rPr>
          <w:t>Long-Term Intervention Monitoring (LTIM)</w:t>
        </w:r>
      </w:hyperlink>
      <w:r w:rsidRPr="005D79EF">
        <w:rPr>
          <w:rFonts w:ascii="Calibri" w:hAnsi="Calibri" w:cs="Calibri"/>
          <w:szCs w:val="22"/>
        </w:rPr>
        <w:t xml:space="preserve"> and </w:t>
      </w:r>
      <w:hyperlink r:id="rId241" w:tooltip="Environmental Water Knowledge and Research" w:history="1">
        <w:r w:rsidRPr="005D79EF">
          <w:rPr>
            <w:rFonts w:ascii="Calibri" w:hAnsi="Calibri" w:cs="Calibri"/>
            <w:szCs w:val="22"/>
          </w:rPr>
          <w:t>Environmental Water Knowledge and Research (EWKR)</w:t>
        </w:r>
      </w:hyperlink>
      <w:r w:rsidRPr="005D79EF">
        <w:rPr>
          <w:rFonts w:ascii="Calibri" w:hAnsi="Calibri" w:cs="Calibri"/>
          <w:szCs w:val="22"/>
        </w:rPr>
        <w:t xml:space="preserve"> projects.</w:t>
      </w:r>
    </w:p>
    <w:p w14:paraId="1DF49059" w14:textId="77777777" w:rsidR="005D79EF" w:rsidRPr="005D79EF" w:rsidRDefault="005D79EF" w:rsidP="005D79EF">
      <w:pPr>
        <w:rPr>
          <w:rFonts w:ascii="Calibri" w:hAnsi="Calibri" w:cs="Calibri"/>
          <w:szCs w:val="22"/>
        </w:rPr>
      </w:pPr>
      <w:r w:rsidRPr="005D79EF">
        <w:rPr>
          <w:rFonts w:ascii="Calibri" w:hAnsi="Calibri" w:cs="Calibri"/>
          <w:szCs w:val="22"/>
        </w:rPr>
        <w:t xml:space="preserve">The University of Canberra is the lead agency, contracted by the CEWO, to undertake the Lachlan MER project. A detailed </w:t>
      </w:r>
      <w:hyperlink r:id="rId242" w:tooltip="Monitoring, Evaluation and Research Program - Lachlan River" w:history="1">
        <w:r w:rsidRPr="005D79EF">
          <w:rPr>
            <w:rFonts w:ascii="Calibri" w:hAnsi="Calibri" w:cs="Calibri"/>
            <w:szCs w:val="22"/>
          </w:rPr>
          <w:t>MER Plan</w:t>
        </w:r>
      </w:hyperlink>
      <w:r w:rsidRPr="005D79EF">
        <w:rPr>
          <w:rFonts w:ascii="Calibri" w:hAnsi="Calibri" w:cs="Calibri"/>
          <w:szCs w:val="22"/>
        </w:rPr>
        <w:t xml:space="preserve"> has been developed by the University of Canberra for the Lachlan River which sets out the schedule of activities to be undertaken to June 2022. Further information about the Lachlan MER project is available from </w:t>
      </w:r>
      <w:hyperlink r:id="rId243" w:history="1">
        <w:r w:rsidRPr="005D79EF">
          <w:rPr>
            <w:rFonts w:ascii="Calibri" w:hAnsi="Calibri" w:cs="Calibri"/>
            <w:color w:val="0000FF"/>
            <w:szCs w:val="22"/>
            <w:u w:val="single"/>
          </w:rPr>
          <w:t>http://www.environment.gov.au/water/cewo/catchment/lachlan/monitoring</w:t>
        </w:r>
      </w:hyperlink>
      <w:r w:rsidRPr="005D79EF">
        <w:rPr>
          <w:rFonts w:ascii="Calibri" w:hAnsi="Calibri" w:cs="Calibri"/>
          <w:color w:val="0000FF"/>
          <w:szCs w:val="22"/>
          <w:u w:val="single"/>
        </w:rPr>
        <w:t>.</w:t>
      </w:r>
      <w:r w:rsidRPr="005D79EF">
        <w:rPr>
          <w:rFonts w:ascii="Calibri" w:hAnsi="Calibri" w:cs="Calibri"/>
          <w:szCs w:val="22"/>
        </w:rPr>
        <w:t xml:space="preserve"> </w:t>
      </w:r>
    </w:p>
    <w:p w14:paraId="4A526772" w14:textId="77777777" w:rsidR="005D79EF" w:rsidRPr="005D79EF" w:rsidRDefault="005D79EF" w:rsidP="005D79EF">
      <w:pPr>
        <w:rPr>
          <w:rFonts w:ascii="Calibri" w:hAnsi="Calibri" w:cs="Calibri"/>
          <w:szCs w:val="22"/>
        </w:rPr>
      </w:pPr>
      <w:r w:rsidRPr="005D79EF">
        <w:rPr>
          <w:rFonts w:ascii="Calibri" w:hAnsi="Calibri" w:cs="Calibri"/>
          <w:szCs w:val="22"/>
        </w:rPr>
        <w:t>Additional monitoring is also undertaken by NSW agencies. Landholders and community members play a critical role in providing real-time, onground advice and observations of conditions in the catchment, including the progress and outcomes from the use of environmental water.</w:t>
      </w:r>
    </w:p>
    <w:p w14:paraId="56575455" w14:textId="77777777" w:rsidR="005D79EF" w:rsidRPr="005D79EF" w:rsidRDefault="005D79EF" w:rsidP="005D79EF">
      <w:pPr>
        <w:pStyle w:val="Heading4"/>
      </w:pPr>
      <w:r w:rsidRPr="005D79EF">
        <w:t>Lessons learned</w:t>
      </w:r>
    </w:p>
    <w:p w14:paraId="6F4B2B80" w14:textId="77777777" w:rsidR="005D79EF" w:rsidRPr="005D79EF" w:rsidRDefault="005D79EF" w:rsidP="005D79EF">
      <w:r w:rsidRPr="005D79EF">
        <w:t>Outcomes from monitoring and lessons learned in previous years are a critical component for the effective and efficient use of Commonwealth water for the environment. These learnings are incorporated into the way environmental water is managed.</w:t>
      </w:r>
    </w:p>
    <w:p w14:paraId="31D0B98C" w14:textId="77777777" w:rsidR="005D79EF" w:rsidRPr="005D79EF" w:rsidRDefault="005D79EF" w:rsidP="005D79EF">
      <w:pPr>
        <w:spacing w:after="0"/>
      </w:pPr>
      <w:r w:rsidRPr="005D79EF">
        <w:br w:type="page"/>
      </w:r>
    </w:p>
    <w:p w14:paraId="2F6B0701" w14:textId="157ECC2F" w:rsidR="005D79EF" w:rsidRPr="005D79EF" w:rsidRDefault="005D79EF" w:rsidP="005D79EF">
      <w:r w:rsidRPr="005D79EF">
        <w:lastRenderedPageBreak/>
        <w:t xml:space="preserve">Key findings in the Lachlan Catchment are summarised in </w:t>
      </w:r>
      <w:r w:rsidRPr="005D79EF">
        <w:fldChar w:fldCharType="begin"/>
      </w:r>
      <w:r w:rsidRPr="005D79EF">
        <w:instrText xml:space="preserve"> REF _Ref43722422 \h  \* MERGEFORMAT </w:instrText>
      </w:r>
      <w:r w:rsidRPr="005D79EF">
        <w:fldChar w:fldCharType="separate"/>
      </w:r>
      <w:r w:rsidR="001B2852" w:rsidRPr="001B2852">
        <w:t xml:space="preserve">Table </w:t>
      </w:r>
      <w:r w:rsidR="001B2852" w:rsidRPr="001B2852">
        <w:rPr>
          <w:noProof/>
        </w:rPr>
        <w:t>36</w:t>
      </w:r>
      <w:r w:rsidRPr="005D79EF">
        <w:fldChar w:fldCharType="end"/>
      </w:r>
      <w:r w:rsidRPr="005D79EF">
        <w:t>.</w:t>
      </w:r>
    </w:p>
    <w:p w14:paraId="37F86E5B" w14:textId="6BA4653F" w:rsidR="005D79EF" w:rsidRPr="005D79EF" w:rsidRDefault="005D79EF" w:rsidP="005D79EF">
      <w:pPr>
        <w:spacing w:before="240"/>
      </w:pPr>
      <w:bookmarkStart w:id="155" w:name="_Ref43722422"/>
      <w:r w:rsidRPr="005D79EF">
        <w:rPr>
          <w:b/>
        </w:rPr>
        <w:t xml:space="preserve">Table </w:t>
      </w:r>
      <w:r w:rsidRPr="005D79EF">
        <w:rPr>
          <w:b/>
        </w:rPr>
        <w:fldChar w:fldCharType="begin"/>
      </w:r>
      <w:r w:rsidRPr="005D79EF">
        <w:rPr>
          <w:b/>
        </w:rPr>
        <w:instrText xml:space="preserve"> SEQ Table \* ARABIC </w:instrText>
      </w:r>
      <w:r w:rsidRPr="005D79EF">
        <w:rPr>
          <w:b/>
        </w:rPr>
        <w:fldChar w:fldCharType="separate"/>
      </w:r>
      <w:r w:rsidR="001B2852">
        <w:rPr>
          <w:b/>
          <w:noProof/>
        </w:rPr>
        <w:t>36</w:t>
      </w:r>
      <w:r w:rsidRPr="005D79EF">
        <w:rPr>
          <w:b/>
        </w:rPr>
        <w:fldChar w:fldCharType="end"/>
      </w:r>
      <w:bookmarkEnd w:id="155"/>
      <w:r w:rsidRPr="005D79EF">
        <w:t>: Key lessons learned in the Lachlan Catchment</w:t>
      </w:r>
    </w:p>
    <w:tbl>
      <w:tblPr>
        <w:tblStyle w:val="TableGrid"/>
        <w:tblW w:w="9639" w:type="dxa"/>
        <w:tblInd w:w="137" w:type="dxa"/>
        <w:tblLook w:val="04A0" w:firstRow="1" w:lastRow="0" w:firstColumn="1" w:lastColumn="0" w:noHBand="0" w:noVBand="1"/>
      </w:tblPr>
      <w:tblGrid>
        <w:gridCol w:w="1696"/>
        <w:gridCol w:w="7943"/>
      </w:tblGrid>
      <w:tr w:rsidR="005D79EF" w:rsidRPr="005D79EF" w14:paraId="50DFF58D" w14:textId="77777777" w:rsidTr="00583873">
        <w:trPr>
          <w:cnfStyle w:val="100000000000" w:firstRow="1" w:lastRow="0" w:firstColumn="0" w:lastColumn="0" w:oddVBand="0" w:evenVBand="0" w:oddHBand="0" w:evenHBand="0" w:firstRowFirstColumn="0" w:firstRowLastColumn="0" w:lastRowFirstColumn="0" w:lastRowLastColumn="0"/>
          <w:tblHeader/>
        </w:trPr>
        <w:tc>
          <w:tcPr>
            <w:tcW w:w="1696" w:type="dxa"/>
            <w:shd w:val="clear" w:color="auto" w:fill="B6DDE8" w:themeFill="accent5" w:themeFillTint="66"/>
          </w:tcPr>
          <w:p w14:paraId="50AE6D5A" w14:textId="77777777" w:rsidR="005D79EF" w:rsidRPr="005D79EF" w:rsidRDefault="005D79EF" w:rsidP="005D79EF">
            <w:pPr>
              <w:rPr>
                <w:b/>
              </w:rPr>
            </w:pPr>
            <w:r w:rsidRPr="005D79EF">
              <w:rPr>
                <w:b/>
              </w:rPr>
              <w:t>Monitoring Indicator</w:t>
            </w:r>
          </w:p>
        </w:tc>
        <w:tc>
          <w:tcPr>
            <w:tcW w:w="7943" w:type="dxa"/>
            <w:shd w:val="clear" w:color="auto" w:fill="B6DDE8" w:themeFill="accent5" w:themeFillTint="66"/>
          </w:tcPr>
          <w:p w14:paraId="4EA5FCCC" w14:textId="77777777" w:rsidR="005D79EF" w:rsidRPr="005D79EF" w:rsidRDefault="005D79EF" w:rsidP="005D79EF">
            <w:pPr>
              <w:rPr>
                <w:b/>
              </w:rPr>
            </w:pPr>
            <w:r w:rsidRPr="005D79EF">
              <w:rPr>
                <w:b/>
              </w:rPr>
              <w:t>Lesson learned</w:t>
            </w:r>
          </w:p>
        </w:tc>
      </w:tr>
      <w:tr w:rsidR="005D79EF" w:rsidRPr="005D79EF" w14:paraId="1DCEAA09" w14:textId="77777777" w:rsidTr="00583873">
        <w:trPr>
          <w:cnfStyle w:val="000000100000" w:firstRow="0" w:lastRow="0" w:firstColumn="0" w:lastColumn="0" w:oddVBand="0" w:evenVBand="0" w:oddHBand="1" w:evenHBand="0" w:firstRowFirstColumn="0" w:firstRowLastColumn="0" w:lastRowFirstColumn="0" w:lastRowLastColumn="0"/>
          <w:trHeight w:val="6800"/>
        </w:trPr>
        <w:tc>
          <w:tcPr>
            <w:tcW w:w="1696" w:type="dxa"/>
            <w:shd w:val="clear" w:color="auto" w:fill="B6DDE8" w:themeFill="accent5" w:themeFillTint="66"/>
          </w:tcPr>
          <w:p w14:paraId="3ADBFB17" w14:textId="77777777" w:rsidR="005D79EF" w:rsidRPr="005D79EF" w:rsidRDefault="005D79EF" w:rsidP="005D79EF">
            <w:r w:rsidRPr="005D79EF">
              <w:t>Hydrology (River)</w:t>
            </w:r>
          </w:p>
        </w:tc>
        <w:tc>
          <w:tcPr>
            <w:tcW w:w="7943" w:type="dxa"/>
          </w:tcPr>
          <w:p w14:paraId="243C652B" w14:textId="77777777" w:rsidR="005D79EF" w:rsidRPr="005D79EF" w:rsidRDefault="005D79EF" w:rsidP="005D79EF">
            <w:pPr>
              <w:pStyle w:val="DotStyle1"/>
            </w:pPr>
            <w:r w:rsidRPr="005D79EF">
              <w:t>The spring pulse from Wyangala (2016-2018) has demonstrated its value in enabling a number of watering actions to be efficiently and effectively delivered as part of a larger flow event (Dyer et al. 2019), including all of the main river channel, Yarrabandai Lagoon, Booberoi Creek, Brewster Weir pool, Noonamah and the Great Cumbung.</w:t>
            </w:r>
          </w:p>
          <w:p w14:paraId="3C01E4DC" w14:textId="77777777" w:rsidR="005D79EF" w:rsidRPr="005D79EF" w:rsidRDefault="005D79EF" w:rsidP="005D79EF">
            <w:pPr>
              <w:pStyle w:val="DotStyle1"/>
            </w:pPr>
            <w:r w:rsidRPr="005D79EF">
              <w:t xml:space="preserve">Dyer et al. (2019) also notes the increasing influence and importance of these watering actions have as they move downstream. For example, in 2018-19 these flows contributed 4 per cent of the flow in the mid-Lachlan (at Forbes). In the lower Lachlan (at Booligal) these flows contributed 24 per cent of the flow, doubled the number of freshes that exceeded 200 ML/day and provided the only fresh to reach 500 ML/day for the watering year. </w:t>
            </w:r>
          </w:p>
          <w:p w14:paraId="2FB59547" w14:textId="77777777" w:rsidR="005D79EF" w:rsidRPr="005D79EF" w:rsidRDefault="005D79EF" w:rsidP="005D79EF">
            <w:pPr>
              <w:pStyle w:val="DotStyle1"/>
            </w:pPr>
            <w:r w:rsidRPr="005D79EF">
              <w:t>Based on Sentinel monitoring, the combination of multiple pulses delivered at Booligal in May-June may achieve a greater spread into the Great Cumbung when compared to a spring pulse. Depending on the objectives to be targeted and catchment conditions, the use of water in autumn-winter, delivered to Booligal, may be a more efficient at watering the Great Cumbung region than delivery during spring. Winter-autumn would take advantage of lower temperatures and possible winter rain. However, spring may remain a preferred time in terms of response from the core reed beds and upstream in-channel outcomes. Proposed research under MER will inform these decisions into the future.</w:t>
            </w:r>
          </w:p>
          <w:p w14:paraId="642C97F6" w14:textId="77777777" w:rsidR="005D79EF" w:rsidRPr="005D79EF" w:rsidRDefault="005D79EF" w:rsidP="005D79EF">
            <w:pPr>
              <w:pStyle w:val="DotStyle1"/>
            </w:pPr>
            <w:r w:rsidRPr="005D79EF">
              <w:t>Consistently reviewing the planned annual hydrograph can enable water saving to be made during the year (e.g. the dispersal pulse as end of fish nesting period may not be required if operational flows can achieve this).</w:t>
            </w:r>
          </w:p>
        </w:tc>
      </w:tr>
      <w:tr w:rsidR="005D79EF" w:rsidRPr="005D79EF" w14:paraId="7B26C356" w14:textId="77777777" w:rsidTr="005D79EF">
        <w:trPr>
          <w:cnfStyle w:val="000000010000" w:firstRow="0" w:lastRow="0" w:firstColumn="0" w:lastColumn="0" w:oddVBand="0" w:evenVBand="0" w:oddHBand="0" w:evenHBand="1" w:firstRowFirstColumn="0" w:firstRowLastColumn="0" w:lastRowFirstColumn="0" w:lastRowLastColumn="0"/>
          <w:trHeight w:val="5697"/>
        </w:trPr>
        <w:tc>
          <w:tcPr>
            <w:tcW w:w="1696" w:type="dxa"/>
            <w:shd w:val="clear" w:color="auto" w:fill="B6DDE8" w:themeFill="accent5" w:themeFillTint="66"/>
          </w:tcPr>
          <w:p w14:paraId="1C5DE3CD" w14:textId="77777777" w:rsidR="005D79EF" w:rsidRPr="005D79EF" w:rsidRDefault="005D79EF" w:rsidP="005D79EF">
            <w:r w:rsidRPr="005D79EF">
              <w:t>Native fish (River Community and Larvae)</w:t>
            </w:r>
          </w:p>
        </w:tc>
        <w:tc>
          <w:tcPr>
            <w:tcW w:w="7943" w:type="dxa"/>
          </w:tcPr>
          <w:p w14:paraId="58F902B7" w14:textId="77777777" w:rsidR="005D79EF" w:rsidRPr="005D79EF" w:rsidRDefault="005D79EF" w:rsidP="005D79EF">
            <w:pPr>
              <w:pStyle w:val="DotStyle1"/>
            </w:pPr>
            <w:r w:rsidRPr="005D79EF">
              <w:t xml:space="preserve">Dyer et al. (2019) notes evidence that a remnant adult population of Murray cod persists in the lower Lachlan below Lake Brewster after the 2016 hypoxic water event. Monitoring has shown this population to be spawning and will be the most likely recovery pathway for this species. It will be important for future water delivery to continue to provide breeding opportunities, by facilitating the movement of pre-spawning fish and maintaining spawning habitat during nesting periods to prevent rapid water level drops and nest abandonment or desiccation. </w:t>
            </w:r>
          </w:p>
          <w:p w14:paraId="63EA1F1D" w14:textId="77777777" w:rsidR="005D79EF" w:rsidRPr="005D79EF" w:rsidRDefault="005D79EF" w:rsidP="005D79EF">
            <w:pPr>
              <w:pStyle w:val="DotStyle1"/>
            </w:pPr>
            <w:r w:rsidRPr="005D79EF">
              <w:t>The provision of a ‘minimum flow’ targets during the spawning season for nesting fish species may also be river reach specific. The decision in 2018-19 to not include a minimum flow target at Hillston (lower Lachlan) appears to have had no impact on cod larvae response in that year. This would suggest that nesting fish species are (a) nesting at sites lower than existing low flow levels, and/or (b) that flows delivered to the upper Lachlan continued to provide benefit to the lower Lachlan in addition to operational base flows. These flows would be better informed/targeted if incorporated with habitat mapping undertaken by NSW and fish movement monitoring (yet to be undertaken in the Lachlan) (Dyer et al. 2019).</w:t>
            </w:r>
          </w:p>
          <w:p w14:paraId="27B8864F" w14:textId="77777777" w:rsidR="005D79EF" w:rsidRPr="005D79EF" w:rsidRDefault="005D79EF" w:rsidP="005D79EF">
            <w:pPr>
              <w:pStyle w:val="DotStyle1"/>
            </w:pPr>
            <w:r w:rsidRPr="005D79EF">
              <w:t xml:space="preserve">Watts et al. (2019) note the learning from the 2015-16 watering action that targeted, but failed to detect, golden perch spawning in the Lachlan River (Dyer et al. 2016). Future watering actions targeting golden perch spawning as an objective, will need to be undertaken in a year of high water availability to be able to provide increasing flows over several days combined with increasing water </w:t>
            </w:r>
            <w:r w:rsidRPr="005D79EF">
              <w:lastRenderedPageBreak/>
              <w:t>temperatures (above 23</w:t>
            </w:r>
            <w:r w:rsidRPr="005D79EF">
              <w:rPr>
                <w:rFonts w:cstheme="minorHAnsi"/>
              </w:rPr>
              <w:t>°</w:t>
            </w:r>
            <w:r w:rsidRPr="005D79EF">
              <w:br w:type="column"/>
              <w:t xml:space="preserve">C). Under such catchment conditions consideration will also have to be given to the likelihood that golden perch may have spawned on earlier high flows (translucent releases or flood flows). </w:t>
            </w:r>
          </w:p>
          <w:p w14:paraId="6D055851" w14:textId="77777777" w:rsidR="005D79EF" w:rsidRPr="005D79EF" w:rsidRDefault="005D79EF" w:rsidP="005D79EF">
            <w:pPr>
              <w:pStyle w:val="DotStyle1"/>
            </w:pPr>
            <w:r w:rsidRPr="005D79EF">
              <w:t>The integration of eDNA metabarcoding in the 2018-19 monitoring efforts resulted in more robust species richness data for the lower Lachlan River through the detection of freshwater catfish and silver perch.</w:t>
            </w:r>
          </w:p>
          <w:p w14:paraId="011A108B" w14:textId="77777777" w:rsidR="005D79EF" w:rsidRPr="005D79EF" w:rsidRDefault="005D79EF" w:rsidP="005D79EF">
            <w:pPr>
              <w:pStyle w:val="DotStyle1"/>
            </w:pPr>
            <w:r w:rsidRPr="005D79EF">
              <w:t>Monitoring coordinated by NSW continues to show the importance of off-channel habitat, such as Booberoi Creek, to a range of native fish including Freshwater catfish. Monitoring has also shown that Olive perchlet are continuing to persist in Brewster Weir pool (McGrath 2020).</w:t>
            </w:r>
          </w:p>
          <w:p w14:paraId="5FF95460" w14:textId="77777777" w:rsidR="005D79EF" w:rsidRPr="005D79EF" w:rsidRDefault="005D79EF" w:rsidP="005D79EF">
            <w:pPr>
              <w:pStyle w:val="DotStyle1"/>
            </w:pPr>
            <w:r w:rsidRPr="005D79EF">
              <w:t>Linked to the theme of stream metabolism below, CEWO (2017) notes the difficulty in the timely provision of water for native fish refuge flows during hypoxic water quality events. Long travel times for the delivery of flows can mean that it is not possible to provide refuge flows in time to prevent or minimise the impacts of fish kills, especially in the lower Lachlan. The recent installation of dissolved oxygen loggers on NSW gauges in the system will help with earlier detection of hypoxic water conditions.</w:t>
            </w:r>
          </w:p>
        </w:tc>
      </w:tr>
      <w:tr w:rsidR="005D79EF" w:rsidRPr="005D79EF" w14:paraId="1A0779D2" w14:textId="77777777" w:rsidTr="005D79EF">
        <w:trPr>
          <w:cnfStyle w:val="000000100000" w:firstRow="0" w:lastRow="0" w:firstColumn="0" w:lastColumn="0" w:oddVBand="0" w:evenVBand="0" w:oddHBand="1" w:evenHBand="0" w:firstRowFirstColumn="0" w:firstRowLastColumn="0" w:lastRowFirstColumn="0" w:lastRowLastColumn="0"/>
          <w:trHeight w:val="4402"/>
        </w:trPr>
        <w:tc>
          <w:tcPr>
            <w:tcW w:w="1696" w:type="dxa"/>
            <w:shd w:val="clear" w:color="auto" w:fill="B6DDE8" w:themeFill="accent5" w:themeFillTint="66"/>
          </w:tcPr>
          <w:p w14:paraId="1920A518" w14:textId="77777777" w:rsidR="005D79EF" w:rsidRPr="005D79EF" w:rsidRDefault="005D79EF" w:rsidP="005D79EF">
            <w:r w:rsidRPr="005D79EF">
              <w:lastRenderedPageBreak/>
              <w:t>Vegetation condition and diversity</w:t>
            </w:r>
          </w:p>
        </w:tc>
        <w:tc>
          <w:tcPr>
            <w:tcW w:w="7943" w:type="dxa"/>
          </w:tcPr>
          <w:p w14:paraId="146A3E19" w14:textId="77777777" w:rsidR="005D79EF" w:rsidRPr="005D79EF" w:rsidRDefault="005D79EF" w:rsidP="005D79EF">
            <w:pPr>
              <w:pStyle w:val="DotStyle1"/>
            </w:pPr>
            <w:r w:rsidRPr="005D79EF">
              <w:t>There is a challenge for environmental water managers in maintaining the health of floodplain vegetation, especially at sites that are easier to provide water to (Higgisson et al. 2019). These sites may be prone to river redgum encroachment. Planning of events for vegetation outcomes must include and trial not only the timing of flow events but also the duration and depth of flows to match what is required for the vegetation outcomes being targeted at individual sites.</w:t>
            </w:r>
          </w:p>
          <w:p w14:paraId="4ADCF749" w14:textId="77777777" w:rsidR="005D79EF" w:rsidRPr="005D79EF" w:rsidRDefault="005D79EF" w:rsidP="005D79EF">
            <w:pPr>
              <w:pStyle w:val="DotStyle1"/>
            </w:pPr>
            <w:r w:rsidRPr="005D79EF">
              <w:t>Dyer et al. (2019) found that frequently watered sites, such as Nooran Lake, have the greatest number of native amphibious species present and can frequently replenish soil seedbanks. Maintaining flows to these sites may help reduce the number of terrestrial plant species that would be able to invade these sites in the absence of regular watering. A comparison of approaches and results with watering similar wetland sites for vegetation outcomes in the Murrumbidgee Catchment (Wassens 2020) may also help inform such an approach in the Lachlan Catchment.</w:t>
            </w:r>
          </w:p>
        </w:tc>
      </w:tr>
      <w:tr w:rsidR="005D79EF" w:rsidRPr="005D79EF" w14:paraId="7F8DE5AF" w14:textId="77777777" w:rsidTr="005D79EF">
        <w:trPr>
          <w:cnfStyle w:val="000000010000" w:firstRow="0" w:lastRow="0" w:firstColumn="0" w:lastColumn="0" w:oddVBand="0" w:evenVBand="0" w:oddHBand="0" w:evenHBand="1" w:firstRowFirstColumn="0" w:firstRowLastColumn="0" w:lastRowFirstColumn="0" w:lastRowLastColumn="0"/>
          <w:trHeight w:val="3516"/>
        </w:trPr>
        <w:tc>
          <w:tcPr>
            <w:tcW w:w="1696" w:type="dxa"/>
            <w:shd w:val="clear" w:color="auto" w:fill="B6DDE8" w:themeFill="accent5" w:themeFillTint="66"/>
          </w:tcPr>
          <w:p w14:paraId="2BD94003" w14:textId="77777777" w:rsidR="005D79EF" w:rsidRPr="005D79EF" w:rsidRDefault="005D79EF" w:rsidP="005D79EF">
            <w:r w:rsidRPr="005D79EF">
              <w:t>Stream metabolism</w:t>
            </w:r>
          </w:p>
        </w:tc>
        <w:tc>
          <w:tcPr>
            <w:tcW w:w="7943" w:type="dxa"/>
          </w:tcPr>
          <w:p w14:paraId="48797AF2" w14:textId="77777777" w:rsidR="005D79EF" w:rsidRPr="005D79EF" w:rsidRDefault="005D79EF" w:rsidP="005D79EF">
            <w:pPr>
              <w:pStyle w:val="DotStyle1"/>
            </w:pPr>
            <w:r w:rsidRPr="005D79EF">
              <w:t>Dyer et al. (2019) suggest that pulses at the warmer time of year may improve the ability of flows to provide a boost in productivity to the river system. Planning of flows for spring-early summer will take the following points into consideration:</w:t>
            </w:r>
          </w:p>
          <w:p w14:paraId="776E772B" w14:textId="77777777" w:rsidR="005D79EF" w:rsidRPr="005D79EF" w:rsidRDefault="005D79EF" w:rsidP="005D79EF">
            <w:pPr>
              <w:pStyle w:val="DotStyle2"/>
            </w:pPr>
            <w:r w:rsidRPr="005D79EF">
              <w:t>the other objectives that may also be targeted with the use of water</w:t>
            </w:r>
          </w:p>
          <w:p w14:paraId="63DEA3FB" w14:textId="77777777" w:rsidR="005D79EF" w:rsidRPr="005D79EF" w:rsidRDefault="005D79EF" w:rsidP="005D79EF">
            <w:pPr>
              <w:pStyle w:val="DotStyle2"/>
            </w:pPr>
            <w:r w:rsidRPr="005D79EF">
              <w:t>where those objectives may be met as the water moves down the river channel</w:t>
            </w:r>
          </w:p>
          <w:p w14:paraId="6F45BBA8" w14:textId="77777777" w:rsidR="005D79EF" w:rsidRPr="005D79EF" w:rsidRDefault="005D79EF" w:rsidP="005D79EF">
            <w:pPr>
              <w:pStyle w:val="DotStyle2"/>
            </w:pPr>
            <w:r w:rsidRPr="005D79EF">
              <w:t>how best to use environmental water with other water, such as the Lachlan Water Quality Allowance, also being delivered in the system, identifying and filling gaps in key component of the hydrograph where required.</w:t>
            </w:r>
          </w:p>
          <w:p w14:paraId="613D1650" w14:textId="77777777" w:rsidR="005D79EF" w:rsidRPr="005D79EF" w:rsidRDefault="005D79EF" w:rsidP="005D79EF">
            <w:pPr>
              <w:pStyle w:val="DotStyle2"/>
            </w:pPr>
            <w:r w:rsidRPr="005D79EF">
              <w:t>minimising the risk of generating hypoxic events by providing pulses into the river when water temperatures begin to exceed 16 degrees C.</w:t>
            </w:r>
          </w:p>
        </w:tc>
      </w:tr>
      <w:tr w:rsidR="005D79EF" w:rsidRPr="005D79EF" w14:paraId="35716DB8" w14:textId="77777777" w:rsidTr="00583873">
        <w:trPr>
          <w:cnfStyle w:val="000000100000" w:firstRow="0" w:lastRow="0" w:firstColumn="0" w:lastColumn="0" w:oddVBand="0" w:evenVBand="0" w:oddHBand="1" w:evenHBand="0" w:firstRowFirstColumn="0" w:firstRowLastColumn="0" w:lastRowFirstColumn="0" w:lastRowLastColumn="0"/>
        </w:trPr>
        <w:tc>
          <w:tcPr>
            <w:tcW w:w="1696" w:type="dxa"/>
            <w:shd w:val="clear" w:color="auto" w:fill="B6DDE8" w:themeFill="accent5" w:themeFillTint="66"/>
          </w:tcPr>
          <w:p w14:paraId="01B156A0" w14:textId="77777777" w:rsidR="005D79EF" w:rsidRPr="005D79EF" w:rsidRDefault="005D79EF" w:rsidP="005D79EF">
            <w:r w:rsidRPr="005D79EF">
              <w:lastRenderedPageBreak/>
              <w:t>Waterbirds</w:t>
            </w:r>
          </w:p>
        </w:tc>
        <w:tc>
          <w:tcPr>
            <w:tcW w:w="7943" w:type="dxa"/>
            <w:shd w:val="clear" w:color="auto" w:fill="auto"/>
          </w:tcPr>
          <w:p w14:paraId="0B54E8E8" w14:textId="77777777" w:rsidR="005D79EF" w:rsidRPr="005D79EF" w:rsidRDefault="005D79EF" w:rsidP="005D79EF">
            <w:pPr>
              <w:pStyle w:val="DotStyle1"/>
            </w:pPr>
            <w:r w:rsidRPr="005D79EF">
              <w:t>Brandis (2016) concluded that even with the provision of flows, the abandonment of Booligal wetland nesting sites by straw necked ibis during June-</w:t>
            </w:r>
            <w:r w:rsidRPr="005D79EF">
              <w:rPr>
                <w:vertAlign w:val="superscript"/>
              </w:rPr>
              <w:t>Oc</w:t>
            </w:r>
            <w:r w:rsidRPr="005D79EF">
              <w:t>tober 2015 was in response to a combination of factors relating to hotter temperatures, declines in flows and water levels, reduction in foraging habitat and better habitat being available in other catchments.</w:t>
            </w:r>
          </w:p>
          <w:p w14:paraId="5377C946" w14:textId="77777777" w:rsidR="005D79EF" w:rsidRPr="005D79EF" w:rsidRDefault="005D79EF" w:rsidP="005D79EF">
            <w:pPr>
              <w:pStyle w:val="DotStyle1"/>
            </w:pPr>
            <w:r w:rsidRPr="005D79EF">
              <w:t>Brandis and Lyons (2016) notes the response of straw necked ibis during the August- November 2016 breeding event where the colony exceeded 200 000 nests at its peak. This work also showed the effectiveness of the use of drones to assist with monitoring waterbird outcomes. Dyer et al. (2017) notes that this response highlights the importance of regional weather patterns, and the value of extensive flooding to provide foraging areas and habitat for food resources to thrive in a successful breeding event. The strategy of using flows to support breeding events once they have established (rather than trying to trigger a breeding event) is therefore sound. The management of water levels at the second waterbird colony site in the Booligal Wetlands in 2016-17 demonstrates the value of this approach.</w:t>
            </w:r>
          </w:p>
        </w:tc>
      </w:tr>
      <w:tr w:rsidR="005D79EF" w:rsidRPr="005D79EF" w14:paraId="4109FE75" w14:textId="77777777" w:rsidTr="00583873">
        <w:trPr>
          <w:cnfStyle w:val="000000010000" w:firstRow="0" w:lastRow="0" w:firstColumn="0" w:lastColumn="0" w:oddVBand="0" w:evenVBand="0" w:oddHBand="0" w:evenHBand="1" w:firstRowFirstColumn="0" w:firstRowLastColumn="0" w:lastRowFirstColumn="0" w:lastRowLastColumn="0"/>
        </w:trPr>
        <w:tc>
          <w:tcPr>
            <w:tcW w:w="1696" w:type="dxa"/>
            <w:shd w:val="clear" w:color="auto" w:fill="B6DDE8" w:themeFill="accent5" w:themeFillTint="66"/>
          </w:tcPr>
          <w:p w14:paraId="5B8AFA98" w14:textId="77777777" w:rsidR="005D79EF" w:rsidRPr="005D79EF" w:rsidRDefault="005D79EF" w:rsidP="005D79EF">
            <w:r w:rsidRPr="005D79EF">
              <w:t>Frogs</w:t>
            </w:r>
          </w:p>
        </w:tc>
        <w:tc>
          <w:tcPr>
            <w:tcW w:w="7943" w:type="dxa"/>
            <w:shd w:val="clear" w:color="auto" w:fill="auto"/>
          </w:tcPr>
          <w:p w14:paraId="7DBC6F62" w14:textId="77777777" w:rsidR="005D79EF" w:rsidRPr="005D79EF" w:rsidRDefault="005D79EF" w:rsidP="005D79EF">
            <w:pPr>
              <w:pStyle w:val="DotStyle1"/>
            </w:pPr>
            <w:r w:rsidRPr="005D79EF">
              <w:t>At sites like the Booligal Wetlands and The Great Cumbung, there is a need for standing water to be present in the landscape to enable summer breeding frog species to be able to complete their life cycle Dyer et al. (2016). The provision of flows during warmer months of the year needs to include consideration of the potential to contribute to the breeding of carp in the same areas where frog outcomes may be sought. Carp exclusion/management activities may be required on a site-by-site basis prior to flows being delivered in summer for frog outcomes.</w:t>
            </w:r>
          </w:p>
        </w:tc>
      </w:tr>
    </w:tbl>
    <w:p w14:paraId="74BB5112" w14:textId="77777777" w:rsidR="005D79EF" w:rsidRDefault="005D79EF">
      <w:pPr>
        <w:spacing w:after="0"/>
        <w:rPr>
          <w:noProof/>
          <w:color w:val="5F497A" w:themeColor="accent4" w:themeShade="BF"/>
          <w:sz w:val="26"/>
          <w:szCs w:val="24"/>
          <w:lang w:val="en-GB"/>
        </w:rPr>
      </w:pPr>
      <w:r>
        <w:br w:type="page"/>
      </w:r>
    </w:p>
    <w:p w14:paraId="3773B216" w14:textId="7E675F62" w:rsidR="005D79EF" w:rsidRPr="005D79EF" w:rsidRDefault="005D79EF" w:rsidP="005D79EF">
      <w:pPr>
        <w:pStyle w:val="Heading3"/>
      </w:pPr>
      <w:r w:rsidRPr="005D79EF">
        <w:lastRenderedPageBreak/>
        <w:t>Bibliography</w:t>
      </w:r>
    </w:p>
    <w:p w14:paraId="145677C2" w14:textId="77777777" w:rsidR="005D79EF" w:rsidRPr="005D79EF" w:rsidRDefault="005D79EF" w:rsidP="005D79EF">
      <w:pPr>
        <w:autoSpaceDE w:val="0"/>
        <w:autoSpaceDN w:val="0"/>
        <w:adjustRightInd w:val="0"/>
        <w:spacing w:after="0"/>
        <w:rPr>
          <w:rFonts w:cstheme="minorHAnsi"/>
          <w:color w:val="auto"/>
          <w:szCs w:val="22"/>
          <w:lang w:eastAsia="zh-CN" w:bidi="th-TH"/>
        </w:rPr>
      </w:pPr>
      <w:r w:rsidRPr="005D79EF">
        <w:rPr>
          <w:rFonts w:cstheme="minorHAnsi"/>
          <w:color w:val="auto"/>
          <w:szCs w:val="22"/>
        </w:rPr>
        <w:t>Brandis, K (2016),</w:t>
      </w:r>
      <w:r w:rsidRPr="005D79EF">
        <w:rPr>
          <w:rFonts w:cstheme="minorHAnsi"/>
          <w:color w:val="auto"/>
          <w:szCs w:val="22"/>
          <w:lang w:eastAsia="zh-CN" w:bidi="th-TH"/>
        </w:rPr>
        <w:t xml:space="preserve"> </w:t>
      </w:r>
      <w:r w:rsidRPr="005D79EF">
        <w:rPr>
          <w:rFonts w:cstheme="minorHAnsi"/>
          <w:i/>
          <w:color w:val="auto"/>
          <w:szCs w:val="22"/>
          <w:lang w:eastAsia="zh-CN" w:bidi="th-TH"/>
        </w:rPr>
        <w:t>Response of straw-necked ibis (Threskiornis spinicollis) to Commonwealth environmental watering in the lower Lachlan, 2015</w:t>
      </w:r>
      <w:r w:rsidRPr="005D79EF">
        <w:rPr>
          <w:rFonts w:cstheme="minorHAnsi"/>
          <w:color w:val="auto"/>
          <w:szCs w:val="22"/>
          <w:lang w:eastAsia="zh-CN" w:bidi="th-TH"/>
        </w:rPr>
        <w:t xml:space="preserve">. Report prepared by the Centre for Ecosystem Science, University of New South Wales for the Commonwealth Environmental Water Office 2016. </w:t>
      </w:r>
      <w:hyperlink r:id="rId244" w:history="1">
        <w:r w:rsidRPr="005D79EF">
          <w:rPr>
            <w:rFonts w:cstheme="minorHAnsi"/>
            <w:color w:val="0000FF"/>
            <w:szCs w:val="22"/>
            <w:u w:val="single"/>
          </w:rPr>
          <w:t>https://www.environment.gov.au/water/cewo/publications/ibis-response-lower-lachlan</w:t>
        </w:r>
      </w:hyperlink>
    </w:p>
    <w:p w14:paraId="543CFFC1" w14:textId="77777777" w:rsidR="005D79EF" w:rsidRPr="005D79EF" w:rsidRDefault="005D79EF" w:rsidP="005D79EF">
      <w:pPr>
        <w:tabs>
          <w:tab w:val="left" w:pos="851"/>
        </w:tabs>
        <w:spacing w:before="120"/>
        <w:rPr>
          <w:rFonts w:cstheme="minorHAnsi"/>
          <w:color w:val="auto"/>
          <w:szCs w:val="22"/>
          <w:lang w:eastAsia="zh-CN" w:bidi="th-TH"/>
        </w:rPr>
      </w:pPr>
      <w:r w:rsidRPr="005D79EF">
        <w:rPr>
          <w:rFonts w:cstheme="minorHAnsi"/>
          <w:color w:val="auto"/>
          <w:szCs w:val="22"/>
          <w:lang w:eastAsia="zh-CN" w:bidi="th-TH"/>
        </w:rPr>
        <w:t xml:space="preserve">Brandis, K and Lyons, M. (2016). </w:t>
      </w:r>
      <w:r w:rsidRPr="005D79EF">
        <w:rPr>
          <w:rFonts w:cstheme="minorHAnsi"/>
          <w:i/>
          <w:iCs/>
          <w:color w:val="auto"/>
          <w:szCs w:val="22"/>
          <w:lang w:eastAsia="zh-CN" w:bidi="th-TH"/>
        </w:rPr>
        <w:t>Colonial Waterbird Monitoring in the Lower Lachlan 2016</w:t>
      </w:r>
      <w:r w:rsidRPr="005D79EF">
        <w:rPr>
          <w:rFonts w:cstheme="minorHAnsi"/>
          <w:color w:val="auto"/>
          <w:szCs w:val="22"/>
          <w:lang w:eastAsia="zh-CN" w:bidi="th-TH"/>
        </w:rPr>
        <w:t xml:space="preserve">. Report prepared by the Centre for Ecosystem Science, University of New South Wales for the Commonwealth Environmental Water Office 2016. </w:t>
      </w:r>
      <w:hyperlink r:id="rId245" w:history="1">
        <w:r w:rsidRPr="005D79EF">
          <w:rPr>
            <w:rFonts w:cstheme="minorHAnsi"/>
            <w:color w:val="0000FF"/>
            <w:szCs w:val="22"/>
            <w:u w:val="single"/>
            <w:lang w:eastAsia="zh-CN" w:bidi="th-TH"/>
          </w:rPr>
          <w:t>https://www.environment.gov.au/system/files/resources/08f6b8dc-c9d6-4481-86bf-bbb3fea76ddf/files/colonial-waterbird-monitoring-lower-lachlan-2016.pdf</w:t>
        </w:r>
      </w:hyperlink>
      <w:r w:rsidRPr="005D79EF">
        <w:rPr>
          <w:rFonts w:cstheme="minorHAnsi"/>
          <w:color w:val="auto"/>
          <w:szCs w:val="22"/>
          <w:lang w:eastAsia="zh-CN" w:bidi="th-TH"/>
        </w:rPr>
        <w:t xml:space="preserve"> </w:t>
      </w:r>
    </w:p>
    <w:p w14:paraId="432C6462" w14:textId="77777777" w:rsidR="005D79EF" w:rsidRPr="005D79EF" w:rsidRDefault="005D79EF" w:rsidP="005D79EF">
      <w:pPr>
        <w:tabs>
          <w:tab w:val="left" w:pos="851"/>
        </w:tabs>
        <w:spacing w:before="120"/>
        <w:rPr>
          <w:rFonts w:cstheme="minorHAnsi"/>
          <w:color w:val="auto"/>
          <w:szCs w:val="22"/>
          <w:lang w:eastAsia="zh-CN" w:bidi="th-TH"/>
        </w:rPr>
      </w:pPr>
      <w:bookmarkStart w:id="156" w:name="_Toc365455044"/>
      <w:bookmarkStart w:id="157" w:name="_Toc365455789"/>
      <w:bookmarkStart w:id="158" w:name="_Toc366742045"/>
      <w:r w:rsidRPr="005D79EF">
        <w:rPr>
          <w:rFonts w:cstheme="minorHAnsi"/>
          <w:color w:val="auto"/>
          <w:szCs w:val="22"/>
          <w:lang w:eastAsia="zh-CN" w:bidi="th-TH"/>
        </w:rPr>
        <w:t xml:space="preserve">Bureau of Meteorology (2020) Climate outlooks – weeks, months and seasons 7 May 2020. </w:t>
      </w:r>
      <w:hyperlink r:id="rId246" w:anchor="/rainfall/median/seasonal/1" w:history="1">
        <w:r w:rsidRPr="005D79EF">
          <w:rPr>
            <w:rFonts w:cstheme="minorHAnsi"/>
            <w:color w:val="0000FF"/>
            <w:szCs w:val="22"/>
            <w:u w:val="single"/>
            <w:lang w:eastAsia="zh-CN" w:bidi="th-TH"/>
          </w:rPr>
          <w:t>http://www.bom.gov.au/climate/outlooks/#/rainfall/median/seasonal/1</w:t>
        </w:r>
      </w:hyperlink>
    </w:p>
    <w:p w14:paraId="1913D234" w14:textId="2A94D5F5" w:rsidR="005D79EF" w:rsidRDefault="005D79EF" w:rsidP="005D79EF">
      <w:pPr>
        <w:tabs>
          <w:tab w:val="left" w:pos="851"/>
        </w:tabs>
        <w:spacing w:before="120"/>
        <w:rPr>
          <w:rFonts w:cstheme="minorHAnsi"/>
          <w:color w:val="auto"/>
          <w:szCs w:val="22"/>
          <w:lang w:eastAsia="zh-CN" w:bidi="th-TH"/>
        </w:rPr>
      </w:pPr>
      <w:r w:rsidRPr="005D79EF">
        <w:rPr>
          <w:rFonts w:cstheme="minorHAnsi"/>
          <w:color w:val="auto"/>
          <w:szCs w:val="22"/>
          <w:lang w:eastAsia="zh-CN" w:bidi="th-TH"/>
        </w:rPr>
        <w:t xml:space="preserve">Commonwealth Environmental Water Office (2017). </w:t>
      </w:r>
      <w:r w:rsidRPr="005D79EF">
        <w:rPr>
          <w:rFonts w:cstheme="minorHAnsi"/>
          <w:i/>
          <w:color w:val="auto"/>
          <w:szCs w:val="22"/>
          <w:lang w:eastAsia="zh-CN" w:bidi="th-TH"/>
        </w:rPr>
        <w:t>Blackwater Review</w:t>
      </w:r>
      <w:r w:rsidRPr="005D79EF">
        <w:rPr>
          <w:rFonts w:cstheme="minorHAnsi"/>
          <w:color w:val="auto"/>
          <w:szCs w:val="22"/>
          <w:lang w:eastAsia="zh-CN" w:bidi="th-TH"/>
        </w:rPr>
        <w:t xml:space="preserve"> - Environmental water used to moderate low dissolved oxygen levels in the southern Murray Darling Basin during 2016/17</w:t>
      </w:r>
      <w:bookmarkEnd w:id="156"/>
      <w:bookmarkEnd w:id="157"/>
      <w:bookmarkEnd w:id="158"/>
      <w:r w:rsidRPr="005D79EF">
        <w:rPr>
          <w:rFonts w:cstheme="minorHAnsi"/>
          <w:color w:val="auto"/>
          <w:szCs w:val="22"/>
          <w:lang w:eastAsia="zh-CN" w:bidi="th-TH"/>
        </w:rPr>
        <w:t xml:space="preserve">. </w:t>
      </w:r>
      <w:hyperlink r:id="rId247" w:history="1">
        <w:r w:rsidRPr="005D79EF">
          <w:rPr>
            <w:rFonts w:cstheme="minorHAnsi"/>
            <w:color w:val="0000FF"/>
            <w:szCs w:val="22"/>
            <w:u w:val="single"/>
            <w:lang w:eastAsia="zh-CN" w:bidi="th-TH"/>
          </w:rPr>
          <w:t>http://www.environment.gov.au/water/cewo/publications/blackwater-review</w:t>
        </w:r>
      </w:hyperlink>
      <w:r w:rsidRPr="005D79EF">
        <w:rPr>
          <w:rFonts w:cstheme="minorHAnsi"/>
          <w:color w:val="auto"/>
          <w:szCs w:val="22"/>
          <w:lang w:eastAsia="zh-CN" w:bidi="th-TH"/>
        </w:rPr>
        <w:t xml:space="preserve"> </w:t>
      </w:r>
    </w:p>
    <w:p w14:paraId="05D4B0AD" w14:textId="77777777" w:rsidR="006B3193" w:rsidRDefault="006B3193" w:rsidP="006B3193">
      <w:pPr>
        <w:pStyle w:val="xmsonormal"/>
        <w:shd w:val="clear" w:color="auto" w:fill="FFFFFF"/>
        <w:spacing w:before="0" w:beforeAutospacing="0" w:after="0" w:afterAutospacing="0"/>
        <w:rPr>
          <w:rFonts w:cs="Times New Roman"/>
          <w:color w:val="000000"/>
        </w:rPr>
      </w:pPr>
      <w:r w:rsidRPr="00D6127D">
        <w:rPr>
          <w:rFonts w:asciiTheme="minorHAnsi" w:hAnsiTheme="minorHAnsi" w:cstheme="minorHAnsi"/>
        </w:rPr>
        <w:t>Driver, P., Chowdhury, S., Hameed, T., Lloyd-Jones, P., Raisin, G., Ribbons, C. and Singh, G., 2003. Reference and modified flows of the Lachlan Valley wetlands. Report for the NHT funded project 'Lachlan Floodplain Wetlands Adaptive Water Management Framework', NSW Government</w:t>
      </w:r>
      <w:r>
        <w:rPr>
          <w:rFonts w:asciiTheme="minorHAnsi" w:hAnsiTheme="minorHAnsi" w:cstheme="minorHAnsi"/>
        </w:rPr>
        <w:t xml:space="preserve">. </w:t>
      </w:r>
    </w:p>
    <w:p w14:paraId="4B8A85FC" w14:textId="77777777" w:rsidR="006B3193" w:rsidRDefault="00030BA8" w:rsidP="006B3193">
      <w:pPr>
        <w:pStyle w:val="xmsonormal"/>
        <w:shd w:val="clear" w:color="auto" w:fill="FFFFFF"/>
        <w:spacing w:before="0" w:beforeAutospacing="0" w:after="0" w:afterAutospacing="0"/>
        <w:rPr>
          <w:rFonts w:cs="Times New Roman"/>
          <w:color w:val="000000"/>
        </w:rPr>
      </w:pPr>
      <w:hyperlink r:id="rId248" w:history="1">
        <w:r w:rsidR="006B3193" w:rsidRPr="00021217">
          <w:rPr>
            <w:rStyle w:val="Hyperlink"/>
          </w:rPr>
          <w:t>https://www.researchgate.net/publication/235726340_Reference_and_modified_flows_of_the_Lachlan_Valley_wetlands_Report_for_the_NHT_funded_project_'Lachlan_Floodplain_Wetlands_Adaptive_Water_Management_Framework</w:t>
        </w:r>
      </w:hyperlink>
      <w:r w:rsidR="006B3193" w:rsidRPr="000F6BA2">
        <w:rPr>
          <w:rFonts w:cs="Times New Roman"/>
          <w:color w:val="000000"/>
        </w:rPr>
        <w:t>'</w:t>
      </w:r>
      <w:r w:rsidR="006B3193">
        <w:rPr>
          <w:rFonts w:cs="Times New Roman"/>
          <w:color w:val="000000"/>
        </w:rPr>
        <w:t xml:space="preserve"> </w:t>
      </w:r>
    </w:p>
    <w:p w14:paraId="2873DD20" w14:textId="77777777" w:rsidR="005D79EF" w:rsidRPr="005D79EF" w:rsidRDefault="005D79EF" w:rsidP="005D79EF">
      <w:pPr>
        <w:tabs>
          <w:tab w:val="left" w:pos="851"/>
        </w:tabs>
        <w:spacing w:before="120"/>
        <w:rPr>
          <w:rFonts w:cstheme="minorHAnsi"/>
          <w:color w:val="0000FF"/>
          <w:szCs w:val="22"/>
          <w:u w:val="single"/>
          <w:lang w:eastAsia="zh-CN" w:bidi="th-TH"/>
        </w:rPr>
      </w:pPr>
      <w:r w:rsidRPr="005D79EF">
        <w:rPr>
          <w:rFonts w:cstheme="minorHAnsi"/>
          <w:szCs w:val="22"/>
          <w:lang w:eastAsia="zh-CN" w:bidi="th-TH"/>
        </w:rPr>
        <w:t xml:space="preserve">Dyer, F., Broadhurst, B., Thiem, J., Thompson, R., Driver, P., Bowen, S., Asmus, M and Lenehan, J. (2015). </w:t>
      </w:r>
      <w:r w:rsidRPr="005D79EF">
        <w:rPr>
          <w:rFonts w:cstheme="minorHAnsi"/>
          <w:i/>
          <w:szCs w:val="22"/>
          <w:lang w:eastAsia="zh-CN" w:bidi="th-TH"/>
        </w:rPr>
        <w:t>Commonwealth Environmental Water Office Long Term Intervention Monitoring Project: Lower Lachlan river system Selected Area 2014-15 Annual Monitoring and Evaluation Report.</w:t>
      </w:r>
      <w:r w:rsidRPr="005D79EF">
        <w:rPr>
          <w:rFonts w:cstheme="minorHAnsi"/>
          <w:szCs w:val="22"/>
          <w:lang w:eastAsia="zh-CN" w:bidi="th-TH"/>
        </w:rPr>
        <w:t xml:space="preserve"> Commonwealth of Australia, 2015. </w:t>
      </w:r>
      <w:hyperlink r:id="rId249" w:history="1">
        <w:r w:rsidRPr="005D79EF">
          <w:rPr>
            <w:rFonts w:cstheme="minorHAnsi"/>
            <w:color w:val="0000FF"/>
            <w:szCs w:val="22"/>
            <w:u w:val="single"/>
            <w:lang w:eastAsia="zh-CN" w:bidi="th-TH"/>
          </w:rPr>
          <w:t>http://www.environment.gov.au/water/cewo/publications/lachlan-ltim-report</w:t>
        </w:r>
      </w:hyperlink>
    </w:p>
    <w:p w14:paraId="7FF6CBFE" w14:textId="77777777" w:rsidR="005D79EF" w:rsidRPr="005D79EF" w:rsidRDefault="005D79EF" w:rsidP="005D79EF">
      <w:pPr>
        <w:tabs>
          <w:tab w:val="left" w:pos="851"/>
        </w:tabs>
        <w:spacing w:before="120" w:after="0"/>
        <w:rPr>
          <w:rFonts w:cstheme="minorHAnsi"/>
          <w:szCs w:val="22"/>
          <w:lang w:eastAsia="zh-CN" w:bidi="th-TH"/>
        </w:rPr>
      </w:pPr>
      <w:r w:rsidRPr="005D79EF">
        <w:rPr>
          <w:rFonts w:cstheme="minorHAnsi"/>
          <w:szCs w:val="22"/>
          <w:lang w:eastAsia="zh-CN" w:bidi="th-TH"/>
        </w:rPr>
        <w:t xml:space="preserve">Dyer, F., Broadhurst, B., Tschierschke, A., Thiem, J., Thompson, R., Driver, P., Bowen, S., Asmus, M, Wassens, S., and Walcott, A. (2016). </w:t>
      </w:r>
      <w:r w:rsidRPr="005D79EF">
        <w:rPr>
          <w:rFonts w:cstheme="minorHAnsi"/>
          <w:i/>
          <w:szCs w:val="22"/>
          <w:lang w:eastAsia="zh-CN" w:bidi="th-TH"/>
        </w:rPr>
        <w:t>Commonwealth Environmental Water Office Long Term Intervention Monitoring Project: Lower Lachlan river system Selected Area 2015-16 Monitoring and Evaluation Synthesis Report</w:t>
      </w:r>
      <w:r w:rsidRPr="005D79EF">
        <w:rPr>
          <w:rFonts w:cstheme="minorHAnsi"/>
          <w:szCs w:val="22"/>
          <w:lang w:eastAsia="zh-CN" w:bidi="th-TH"/>
        </w:rPr>
        <w:t xml:space="preserve">. Commonwealth of Australia, 2016. </w:t>
      </w:r>
      <w:hyperlink r:id="rId250" w:history="1">
        <w:r w:rsidRPr="005D79EF">
          <w:rPr>
            <w:rFonts w:cstheme="minorHAnsi"/>
            <w:color w:val="0000FF"/>
            <w:szCs w:val="22"/>
            <w:u w:val="single"/>
            <w:lang w:eastAsia="zh-CN" w:bidi="th-TH"/>
          </w:rPr>
          <w:t>http://www.environment.gov.au/water/cewo/publications/lachlan-ltim-report-2015-16</w:t>
        </w:r>
      </w:hyperlink>
      <w:r w:rsidRPr="005D79EF">
        <w:rPr>
          <w:rFonts w:cstheme="minorHAnsi"/>
          <w:szCs w:val="22"/>
          <w:lang w:eastAsia="zh-CN" w:bidi="th-TH"/>
        </w:rPr>
        <w:t xml:space="preserve"> </w:t>
      </w:r>
    </w:p>
    <w:p w14:paraId="39FCD865" w14:textId="77777777" w:rsidR="005D79EF" w:rsidRPr="005D79EF" w:rsidRDefault="005D79EF" w:rsidP="005D79EF">
      <w:pPr>
        <w:tabs>
          <w:tab w:val="left" w:pos="851"/>
        </w:tabs>
        <w:spacing w:before="120"/>
        <w:rPr>
          <w:rFonts w:cstheme="minorHAnsi"/>
          <w:szCs w:val="22"/>
          <w:lang w:eastAsia="zh-CN" w:bidi="th-TH"/>
        </w:rPr>
      </w:pPr>
      <w:r w:rsidRPr="005D79EF">
        <w:rPr>
          <w:rFonts w:cstheme="minorHAnsi"/>
          <w:szCs w:val="22"/>
          <w:lang w:eastAsia="zh-CN" w:bidi="th-TH"/>
        </w:rPr>
        <w:t xml:space="preserve">Dyer, F., Broadhurst, B., Tschierschke, A., Thiem, J., Thompson, R., Bowen, S., Asmus, M., Brandis, K., Lyons, M., Spencer, J., Callaghan, D., Driver, P., Lenehan, J. (2017). </w:t>
      </w:r>
      <w:r w:rsidRPr="005D79EF">
        <w:rPr>
          <w:rFonts w:cstheme="minorHAnsi"/>
          <w:i/>
          <w:szCs w:val="22"/>
          <w:lang w:eastAsia="zh-CN" w:bidi="th-TH"/>
        </w:rPr>
        <w:t>Commonwealth Environmental Water Office Long Term Intervention Monitoring Project: Lower Lachlan river system Selected Area 2016-17 Monitoring and Evaluation Report</w:t>
      </w:r>
      <w:r w:rsidRPr="005D79EF">
        <w:rPr>
          <w:rFonts w:cstheme="minorHAnsi"/>
          <w:szCs w:val="22"/>
          <w:lang w:eastAsia="zh-CN" w:bidi="th-TH"/>
        </w:rPr>
        <w:t xml:space="preserve">. Commonwealth of Australia, 2017. </w:t>
      </w:r>
      <w:hyperlink r:id="rId251" w:history="1">
        <w:r w:rsidRPr="005D79EF">
          <w:rPr>
            <w:rFonts w:cstheme="minorHAnsi"/>
            <w:color w:val="0000FF"/>
            <w:szCs w:val="22"/>
            <w:u w:val="single"/>
            <w:lang w:eastAsia="zh-CN" w:bidi="th-TH"/>
          </w:rPr>
          <w:t>http://www.environment.gov.au/water/cewo/publications/ltim-lachlan-annual-report-2016-17</w:t>
        </w:r>
      </w:hyperlink>
    </w:p>
    <w:p w14:paraId="34065DC1" w14:textId="77777777" w:rsidR="005D79EF" w:rsidRPr="005D79EF" w:rsidRDefault="005D79EF" w:rsidP="005D79EF">
      <w:pPr>
        <w:tabs>
          <w:tab w:val="left" w:pos="851"/>
        </w:tabs>
        <w:spacing w:after="0"/>
        <w:rPr>
          <w:rFonts w:cstheme="minorHAnsi"/>
          <w:color w:val="0000FF"/>
          <w:szCs w:val="22"/>
          <w:u w:val="single"/>
          <w:lang w:eastAsia="zh-CN" w:bidi="th-TH"/>
        </w:rPr>
      </w:pPr>
      <w:r w:rsidRPr="005D79EF">
        <w:rPr>
          <w:rFonts w:cstheme="minorHAnsi"/>
          <w:szCs w:val="22"/>
          <w:lang w:eastAsia="zh-CN" w:bidi="th-TH"/>
        </w:rPr>
        <w:t xml:space="preserve">Dyer, F., Broadhurst, B., Tschierschke, A., Thiem, J., Thompson, R., Bowen, S., Driver, P. (2018). </w:t>
      </w:r>
      <w:r w:rsidRPr="005D79EF">
        <w:rPr>
          <w:rFonts w:cstheme="minorHAnsi"/>
          <w:i/>
          <w:szCs w:val="22"/>
          <w:lang w:eastAsia="zh-CN" w:bidi="th-TH"/>
        </w:rPr>
        <w:t>Commonwealth Environmental Water Office Long Term Intervention Monitoring Project: Lower Lachlan river system Selected Area 2017-18 Monitoring and Evaluation Summary Report</w:t>
      </w:r>
      <w:r w:rsidRPr="005D79EF">
        <w:rPr>
          <w:rFonts w:cstheme="minorHAnsi"/>
          <w:szCs w:val="22"/>
          <w:lang w:eastAsia="zh-CN" w:bidi="th-TH"/>
        </w:rPr>
        <w:t>. Commonwealth of Australia, 2018</w:t>
      </w:r>
    </w:p>
    <w:p w14:paraId="73477E64" w14:textId="77777777" w:rsidR="005D79EF" w:rsidRPr="005D79EF" w:rsidRDefault="00030BA8" w:rsidP="005D79EF">
      <w:pPr>
        <w:tabs>
          <w:tab w:val="left" w:pos="851"/>
        </w:tabs>
        <w:spacing w:after="0"/>
        <w:rPr>
          <w:rFonts w:cstheme="minorHAnsi"/>
          <w:color w:val="0000FF"/>
          <w:szCs w:val="22"/>
          <w:u w:val="single"/>
          <w:lang w:eastAsia="zh-CN" w:bidi="th-TH"/>
        </w:rPr>
      </w:pPr>
      <w:hyperlink r:id="rId252" w:history="1">
        <w:r w:rsidR="005D79EF" w:rsidRPr="005D79EF">
          <w:rPr>
            <w:rFonts w:cstheme="minorHAnsi"/>
            <w:color w:val="0000FF"/>
            <w:szCs w:val="22"/>
            <w:u w:val="single"/>
            <w:lang w:eastAsia="zh-CN" w:bidi="th-TH"/>
          </w:rPr>
          <w:t>https://www.environment.gov.au/water/cewo/publications/ltim-lachlan-annual-report-2017-18</w:t>
        </w:r>
      </w:hyperlink>
    </w:p>
    <w:p w14:paraId="18C8B4E5" w14:textId="77777777" w:rsidR="005D79EF" w:rsidRPr="005D79EF" w:rsidRDefault="005D79EF" w:rsidP="005D79EF">
      <w:pPr>
        <w:tabs>
          <w:tab w:val="left" w:pos="851"/>
        </w:tabs>
        <w:spacing w:before="120"/>
        <w:rPr>
          <w:rFonts w:cstheme="minorHAnsi"/>
          <w:szCs w:val="22"/>
          <w:lang w:eastAsia="zh-CN" w:bidi="th-TH"/>
        </w:rPr>
      </w:pPr>
      <w:r w:rsidRPr="005D79EF">
        <w:rPr>
          <w:rFonts w:cstheme="minorHAnsi"/>
          <w:szCs w:val="22"/>
          <w:lang w:eastAsia="zh-CN" w:bidi="th-TH"/>
        </w:rPr>
        <w:t xml:space="preserve">Dyer, F., Broadhurst, B., Tschierschke, A., Higgisson, W., Allan, H., Thiem, J., Wright, D., Thompson, R. (2019). </w:t>
      </w:r>
      <w:r w:rsidRPr="005D79EF">
        <w:rPr>
          <w:rFonts w:cstheme="minorHAnsi"/>
          <w:i/>
          <w:iCs/>
          <w:szCs w:val="22"/>
          <w:lang w:eastAsia="zh-CN" w:bidi="th-TH"/>
        </w:rPr>
        <w:t>Commonwealth Environmental Water Office Long Term Intervention Monitoring Project: Lachlan river system Selected Area 2018-19 Monitoring and Evaluation Technical Report</w:t>
      </w:r>
      <w:r w:rsidRPr="005D79EF">
        <w:rPr>
          <w:rFonts w:cstheme="minorHAnsi"/>
          <w:szCs w:val="22"/>
          <w:lang w:eastAsia="zh-CN" w:bidi="th-TH"/>
        </w:rPr>
        <w:t>. Commonwealth of Australia, 2019.</w:t>
      </w:r>
    </w:p>
    <w:p w14:paraId="66D084B0" w14:textId="34CDAC1C" w:rsidR="005D79EF" w:rsidRDefault="005D79EF" w:rsidP="005D79EF">
      <w:pPr>
        <w:tabs>
          <w:tab w:val="left" w:pos="851"/>
        </w:tabs>
        <w:spacing w:before="120"/>
        <w:rPr>
          <w:rFonts w:cstheme="minorHAnsi"/>
          <w:color w:val="0000FF"/>
          <w:szCs w:val="22"/>
          <w:u w:val="single"/>
          <w:lang w:eastAsia="zh-CN" w:bidi="th-TH"/>
        </w:rPr>
      </w:pPr>
      <w:r w:rsidRPr="005D79EF">
        <w:rPr>
          <w:rFonts w:eastAsiaTheme="minorHAnsi" w:cstheme="minorHAnsi"/>
          <w:color w:val="1C1D1E"/>
          <w:szCs w:val="22"/>
          <w:lang w:val="en" w:eastAsia="zh-CN" w:bidi="th-TH"/>
        </w:rPr>
        <w:t xml:space="preserve">Ellis, I., Cheshire, K., Townsend, A., Copeland, C. Danaher, K. and Webb, L. (2016). </w:t>
      </w:r>
      <w:r w:rsidRPr="005D79EF">
        <w:rPr>
          <w:rFonts w:eastAsiaTheme="minorHAnsi" w:cstheme="minorHAnsi"/>
          <w:i/>
          <w:iCs/>
          <w:color w:val="1C1D1E"/>
          <w:szCs w:val="22"/>
          <w:lang w:val="en" w:eastAsia="zh-CN" w:bidi="th-TH"/>
        </w:rPr>
        <w:t>Fish and Flows in the Murray River Catchment - A review of environmental water requirements for native fish in the Murray River Catchment</w:t>
      </w:r>
      <w:r w:rsidRPr="005D79EF">
        <w:rPr>
          <w:rFonts w:eastAsiaTheme="minorHAnsi" w:cstheme="minorHAnsi"/>
          <w:color w:val="1C1D1E"/>
          <w:szCs w:val="22"/>
          <w:lang w:val="en" w:eastAsia="zh-CN" w:bidi="th-TH"/>
        </w:rPr>
        <w:t xml:space="preserve">. NSW Department of Primary Industries, Queanbeyan. </w:t>
      </w:r>
      <w:hyperlink r:id="rId253" w:history="1">
        <w:r w:rsidRPr="005D79EF">
          <w:rPr>
            <w:rFonts w:cstheme="minorHAnsi"/>
            <w:color w:val="0000FF"/>
            <w:szCs w:val="22"/>
            <w:u w:val="single"/>
            <w:lang w:eastAsia="zh-CN" w:bidi="th-TH"/>
          </w:rPr>
          <w:t>http://www.dpi.nsw.gov.au/__data/assets/pdf_file/0003/664356/fish-and-flows-in-the-murray-river-catchment.pdf</w:t>
        </w:r>
      </w:hyperlink>
    </w:p>
    <w:p w14:paraId="59504A7D" w14:textId="77777777" w:rsidR="006B3193" w:rsidRDefault="006B3193" w:rsidP="006B3193">
      <w:pPr>
        <w:spacing w:after="0"/>
        <w:rPr>
          <w:rFonts w:eastAsiaTheme="minorHAnsi" w:cstheme="minorHAnsi"/>
          <w:color w:val="1C1D1E"/>
          <w:szCs w:val="22"/>
          <w:lang w:val="en" w:eastAsia="zh-CN" w:bidi="th-TH"/>
        </w:rPr>
      </w:pPr>
      <w:r>
        <w:rPr>
          <w:rFonts w:eastAsiaTheme="minorHAnsi" w:cstheme="minorHAnsi"/>
          <w:color w:val="1C1D1E"/>
          <w:szCs w:val="22"/>
          <w:lang w:val="en" w:eastAsia="zh-CN" w:bidi="th-TH"/>
        </w:rPr>
        <w:br w:type="page"/>
      </w:r>
    </w:p>
    <w:p w14:paraId="51507A00" w14:textId="77777777" w:rsidR="006B3193" w:rsidRPr="005D79EF" w:rsidRDefault="006B3193" w:rsidP="005D79EF">
      <w:pPr>
        <w:tabs>
          <w:tab w:val="left" w:pos="851"/>
        </w:tabs>
        <w:spacing w:before="120"/>
        <w:rPr>
          <w:rFonts w:eastAsiaTheme="minorHAnsi" w:cstheme="minorHAnsi"/>
          <w:color w:val="1C1D1E"/>
          <w:szCs w:val="22"/>
          <w:lang w:val="en" w:eastAsia="zh-CN" w:bidi="th-TH"/>
        </w:rPr>
      </w:pPr>
    </w:p>
    <w:p w14:paraId="687F496C" w14:textId="77777777" w:rsidR="005D79EF" w:rsidRPr="005D79EF" w:rsidRDefault="005D79EF" w:rsidP="005D79EF">
      <w:pPr>
        <w:tabs>
          <w:tab w:val="left" w:pos="851"/>
        </w:tabs>
        <w:spacing w:before="120"/>
        <w:rPr>
          <w:rFonts w:cstheme="minorHAnsi"/>
          <w:color w:val="0000FF"/>
          <w:szCs w:val="22"/>
          <w:u w:val="single"/>
          <w:lang w:val="en" w:eastAsia="zh-CN" w:bidi="th-TH"/>
        </w:rPr>
      </w:pPr>
      <w:r w:rsidRPr="005D79EF">
        <w:rPr>
          <w:rFonts w:cstheme="minorHAnsi"/>
          <w:color w:val="1C1D1E"/>
          <w:szCs w:val="22"/>
          <w:lang w:val="en" w:eastAsia="zh-CN" w:bidi="th-TH"/>
        </w:rPr>
        <w:t xml:space="preserve">Higgisson, W, Higgisson, B, Powell, M, Driver, P, Dyer, F. (2019), </w:t>
      </w:r>
      <w:r w:rsidRPr="005D79EF">
        <w:rPr>
          <w:rFonts w:eastAsiaTheme="minorHAnsi" w:cstheme="minorHAnsi"/>
          <w:color w:val="1C1D1E"/>
          <w:szCs w:val="22"/>
          <w:lang w:val="en" w:eastAsia="zh-CN" w:bidi="th-TH"/>
        </w:rPr>
        <w:t>Impacts of water resource development on hydrological connectivity of different floodplain habitats in a highly variable system</w:t>
      </w:r>
      <w:r w:rsidRPr="005D79EF">
        <w:rPr>
          <w:rFonts w:cstheme="minorHAnsi"/>
          <w:color w:val="1C1D1E"/>
          <w:szCs w:val="22"/>
          <w:lang w:val="en" w:eastAsia="zh-CN" w:bidi="th-TH"/>
        </w:rPr>
        <w:t xml:space="preserve">. </w:t>
      </w:r>
      <w:r w:rsidRPr="005D79EF">
        <w:rPr>
          <w:rFonts w:cstheme="minorHAnsi"/>
          <w:i/>
          <w:iCs/>
          <w:color w:val="1C1D1E"/>
          <w:szCs w:val="22"/>
          <w:lang w:val="en" w:eastAsia="zh-CN" w:bidi="th-TH"/>
        </w:rPr>
        <w:t>River Res Applic</w:t>
      </w:r>
      <w:r w:rsidRPr="005D79EF">
        <w:rPr>
          <w:rFonts w:cstheme="minorHAnsi"/>
          <w:color w:val="1C1D1E"/>
          <w:szCs w:val="22"/>
          <w:lang w:val="en" w:eastAsia="zh-CN" w:bidi="th-TH"/>
        </w:rPr>
        <w:t xml:space="preserve">. 2019; </w:t>
      </w:r>
      <w:r w:rsidRPr="005D79EF">
        <w:rPr>
          <w:rFonts w:eastAsiaTheme="minorEastAsia" w:cstheme="minorHAnsi"/>
          <w:color w:val="1C1D1E"/>
          <w:szCs w:val="22"/>
          <w:lang w:val="en" w:eastAsia="zh-CN" w:bidi="th-TH"/>
        </w:rPr>
        <w:t>1</w:t>
      </w:r>
      <w:r w:rsidRPr="005D79EF">
        <w:rPr>
          <w:rFonts w:cstheme="minorHAnsi"/>
          <w:color w:val="1C1D1E"/>
          <w:szCs w:val="22"/>
          <w:lang w:val="en" w:eastAsia="zh-CN" w:bidi="th-TH"/>
        </w:rPr>
        <w:t xml:space="preserve">– 11. </w:t>
      </w:r>
      <w:hyperlink r:id="rId254" w:history="1">
        <w:r w:rsidRPr="005D79EF">
          <w:rPr>
            <w:rFonts w:cstheme="minorHAnsi"/>
            <w:color w:val="0000FF"/>
            <w:szCs w:val="22"/>
            <w:u w:val="single"/>
            <w:lang w:val="en" w:eastAsia="zh-CN" w:bidi="th-TH"/>
          </w:rPr>
          <w:t>https://doi.org/10.1002/rra.3409</w:t>
        </w:r>
      </w:hyperlink>
    </w:p>
    <w:p w14:paraId="0C713376" w14:textId="6EDD70C0" w:rsidR="005D79EF" w:rsidRPr="005D79EF" w:rsidRDefault="005D79EF" w:rsidP="005D79EF">
      <w:pPr>
        <w:tabs>
          <w:tab w:val="left" w:pos="851"/>
        </w:tabs>
        <w:spacing w:before="120"/>
        <w:rPr>
          <w:rFonts w:eastAsiaTheme="minorHAnsi" w:cstheme="minorHAnsi"/>
          <w:color w:val="1C1D1E"/>
          <w:szCs w:val="22"/>
          <w:lang w:val="en" w:eastAsia="zh-CN" w:bidi="th-TH"/>
        </w:rPr>
      </w:pPr>
      <w:r w:rsidRPr="005D79EF">
        <w:rPr>
          <w:rFonts w:eastAsiaTheme="minorHAnsi" w:cstheme="minorHAnsi"/>
          <w:color w:val="1C1D1E"/>
          <w:szCs w:val="22"/>
          <w:lang w:val="en" w:eastAsia="zh-CN" w:bidi="th-TH"/>
        </w:rPr>
        <w:t xml:space="preserve">McGrath, N (2020), </w:t>
      </w:r>
      <w:r w:rsidRPr="005D79EF">
        <w:rPr>
          <w:rFonts w:eastAsiaTheme="minorHAnsi" w:cstheme="minorHAnsi"/>
          <w:i/>
          <w:iCs/>
          <w:color w:val="1C1D1E"/>
          <w:szCs w:val="22"/>
          <w:lang w:val="en" w:eastAsia="zh-CN" w:bidi="th-TH"/>
        </w:rPr>
        <w:t>Brewster Weirpool fish sampling, March 2020</w:t>
      </w:r>
      <w:r w:rsidRPr="005D79EF">
        <w:rPr>
          <w:rFonts w:eastAsiaTheme="minorHAnsi" w:cstheme="minorHAnsi"/>
          <w:color w:val="1C1D1E"/>
          <w:szCs w:val="22"/>
          <w:lang w:val="en" w:eastAsia="zh-CN" w:bidi="th-TH"/>
        </w:rPr>
        <w:t>. Unpublished Report. NSW Department of Planning, Industry and Environment</w:t>
      </w:r>
    </w:p>
    <w:p w14:paraId="6DCFEE10" w14:textId="77777777" w:rsidR="005D79EF" w:rsidRPr="005D79EF" w:rsidRDefault="005D79EF" w:rsidP="005D79EF">
      <w:pPr>
        <w:spacing w:before="120"/>
        <w:rPr>
          <w:rFonts w:eastAsiaTheme="minorHAnsi" w:cstheme="minorHAnsi"/>
          <w:color w:val="auto"/>
          <w:szCs w:val="22"/>
          <w:lang w:eastAsia="en-US"/>
        </w:rPr>
      </w:pPr>
      <w:r w:rsidRPr="005D79EF">
        <w:rPr>
          <w:rFonts w:eastAsiaTheme="minorHAnsi" w:cstheme="minorHAnsi"/>
          <w:color w:val="auto"/>
          <w:szCs w:val="22"/>
          <w:lang w:eastAsia="en-US"/>
        </w:rPr>
        <w:t>Murray Lower Darling Rivers Indigenous Nations (MLDRIN) (2020).</w:t>
      </w:r>
      <w:r w:rsidRPr="005D79EF">
        <w:rPr>
          <w:rFonts w:ascii="Segoe UI" w:eastAsiaTheme="minorHAnsi" w:hAnsi="Segoe UI" w:cstheme="minorBidi"/>
          <w:b/>
          <w:color w:val="auto"/>
          <w:sz w:val="20"/>
          <w:lang w:eastAsia="en-US"/>
        </w:rPr>
        <w:t xml:space="preserve"> </w:t>
      </w:r>
      <w:r w:rsidRPr="005D79EF">
        <w:rPr>
          <w:rFonts w:eastAsiaTheme="minorHAnsi" w:cstheme="minorHAnsi"/>
          <w:i/>
          <w:iCs/>
          <w:color w:val="auto"/>
          <w:szCs w:val="22"/>
          <w:lang w:eastAsia="en-US"/>
        </w:rPr>
        <w:t xml:space="preserve">First Nations Environmental Water Guidance Project. MLDRIN Member Nations 2020‐21 Priorities. </w:t>
      </w:r>
      <w:r w:rsidRPr="005D79EF">
        <w:rPr>
          <w:rFonts w:eastAsiaTheme="minorHAnsi" w:cstheme="minorHAnsi"/>
          <w:color w:val="auto"/>
          <w:szCs w:val="22"/>
          <w:lang w:eastAsia="en-US"/>
        </w:rPr>
        <w:t>Report provided to Commonwealth Environmental Water Office.</w:t>
      </w:r>
    </w:p>
    <w:p w14:paraId="5CECBE7E" w14:textId="77777777" w:rsidR="005D79EF" w:rsidRPr="005D79EF" w:rsidRDefault="005D79EF" w:rsidP="005D79EF">
      <w:pPr>
        <w:spacing w:before="120"/>
        <w:rPr>
          <w:rFonts w:cstheme="minorHAnsi"/>
          <w:i/>
          <w:color w:val="auto"/>
          <w:szCs w:val="22"/>
          <w:lang w:eastAsia="en-US"/>
        </w:rPr>
      </w:pPr>
      <w:r w:rsidRPr="005D79EF">
        <w:rPr>
          <w:rFonts w:cstheme="minorHAnsi"/>
          <w:szCs w:val="22"/>
          <w:lang w:eastAsia="zh-CN" w:bidi="th-TH"/>
        </w:rPr>
        <w:t>New South Wales Department of Environment and Heritage - Lachlan Long Term Water Plan Part A: Lachlan catchment (Draft for exhibition) (2018a).</w:t>
      </w:r>
      <w:r w:rsidRPr="005D79EF">
        <w:rPr>
          <w:rFonts w:cstheme="minorHAnsi"/>
          <w:color w:val="auto"/>
          <w:szCs w:val="22"/>
          <w:lang w:eastAsia="en-US"/>
        </w:rPr>
        <w:t xml:space="preserve"> </w:t>
      </w:r>
      <w:hyperlink r:id="rId255" w:history="1">
        <w:r w:rsidRPr="005D79EF">
          <w:rPr>
            <w:rFonts w:ascii="Calibri" w:hAnsi="Calibri" w:cs="Times New Roman"/>
            <w:color w:val="0000FF"/>
            <w:szCs w:val="22"/>
            <w:u w:val="single"/>
            <w:lang w:val="en-US" w:eastAsia="en-US"/>
          </w:rPr>
          <w:t>https://www.environment.nsw.gov.au/-/media/OEH/Corporate-Site/Documents/Water/Water-for-the-environment/lachlan-long-term-water-plan-part-a-180583.pdf</w:t>
        </w:r>
      </w:hyperlink>
      <w:r w:rsidRPr="005D79EF">
        <w:rPr>
          <w:rFonts w:cstheme="minorHAnsi"/>
          <w:i/>
          <w:color w:val="auto"/>
          <w:szCs w:val="22"/>
          <w:lang w:eastAsia="en-US"/>
        </w:rPr>
        <w:t>.</w:t>
      </w:r>
    </w:p>
    <w:p w14:paraId="0154CA29" w14:textId="77777777" w:rsidR="005D79EF" w:rsidRPr="005D79EF" w:rsidRDefault="005D79EF" w:rsidP="005D79EF">
      <w:pPr>
        <w:tabs>
          <w:tab w:val="left" w:pos="851"/>
        </w:tabs>
        <w:spacing w:before="120"/>
        <w:rPr>
          <w:rFonts w:cstheme="minorHAnsi"/>
          <w:szCs w:val="22"/>
          <w:lang w:eastAsia="zh-CN" w:bidi="th-TH"/>
        </w:rPr>
      </w:pPr>
      <w:r w:rsidRPr="005D79EF">
        <w:rPr>
          <w:rFonts w:cstheme="minorHAnsi"/>
          <w:szCs w:val="22"/>
          <w:lang w:eastAsia="zh-CN" w:bidi="th-TH"/>
        </w:rPr>
        <w:t xml:space="preserve">New South Wales Department of Environment and Heritage - </w:t>
      </w:r>
      <w:r w:rsidRPr="005D79EF">
        <w:rPr>
          <w:rFonts w:cstheme="minorHAnsi"/>
          <w:i/>
          <w:szCs w:val="22"/>
          <w:lang w:eastAsia="zh-CN" w:bidi="th-TH"/>
        </w:rPr>
        <w:t>Lachlan Long Term Water Plan Part B: Lachlan planning units (Draft for exhibition</w:t>
      </w:r>
      <w:r w:rsidRPr="005D79EF">
        <w:rPr>
          <w:rFonts w:cstheme="minorHAnsi"/>
          <w:iCs/>
          <w:szCs w:val="22"/>
          <w:lang w:eastAsia="zh-CN" w:bidi="th-TH"/>
        </w:rPr>
        <w:t xml:space="preserve">) (2018b). </w:t>
      </w:r>
      <w:hyperlink r:id="rId256" w:history="1">
        <w:r w:rsidRPr="005D79EF">
          <w:rPr>
            <w:rFonts w:cstheme="minorHAnsi"/>
            <w:szCs w:val="22"/>
            <w:lang w:eastAsia="zh-CN" w:bidi="th-TH"/>
          </w:rPr>
          <w:t>https://www.environment.nsw.gov.au/-/media/OEH/Corporate-Site/Documents/Water/Water-for-the-environment/lachlan-long-term-water-plan-part-b-180589.pdf</w:t>
        </w:r>
      </w:hyperlink>
      <w:r w:rsidRPr="005D79EF">
        <w:rPr>
          <w:rFonts w:cstheme="minorHAnsi"/>
          <w:i/>
          <w:szCs w:val="22"/>
          <w:lang w:eastAsia="zh-CN" w:bidi="th-TH"/>
        </w:rPr>
        <w:t xml:space="preserve"> </w:t>
      </w:r>
    </w:p>
    <w:p w14:paraId="2CDC26F7" w14:textId="77777777" w:rsidR="005D79EF" w:rsidRPr="005D79EF" w:rsidRDefault="005D79EF" w:rsidP="005D79EF">
      <w:pPr>
        <w:spacing w:after="0"/>
        <w:rPr>
          <w:rFonts w:cstheme="minorHAnsi"/>
          <w:color w:val="0000FF"/>
          <w:szCs w:val="22"/>
          <w:u w:val="single"/>
          <w:lang w:eastAsia="en-US"/>
        </w:rPr>
      </w:pPr>
      <w:r w:rsidRPr="005D79EF">
        <w:rPr>
          <w:rFonts w:cstheme="minorHAnsi"/>
          <w:color w:val="auto"/>
          <w:szCs w:val="22"/>
        </w:rPr>
        <w:t xml:space="preserve">New South Wales Department of Industry (2018). </w:t>
      </w:r>
      <w:r w:rsidRPr="005D79EF">
        <w:rPr>
          <w:rFonts w:cstheme="minorHAnsi"/>
          <w:i/>
          <w:color w:val="auto"/>
          <w:szCs w:val="22"/>
        </w:rPr>
        <w:t>NSW Extreme Events Policy, Policy framework for the management of NSW Murray–Darling Basin water resources during extreme events</w:t>
      </w:r>
      <w:r w:rsidRPr="005D79EF">
        <w:rPr>
          <w:rFonts w:cstheme="minorHAnsi"/>
          <w:color w:val="auto"/>
          <w:szCs w:val="22"/>
        </w:rPr>
        <w:t xml:space="preserve">, </w:t>
      </w:r>
      <w:hyperlink r:id="rId257" w:history="1">
        <w:r w:rsidRPr="005D79EF">
          <w:rPr>
            <w:rFonts w:cstheme="minorHAnsi"/>
            <w:color w:val="0000FF"/>
            <w:szCs w:val="22"/>
            <w:u w:val="single"/>
            <w:lang w:eastAsia="en-US"/>
          </w:rPr>
          <w:t>https://www.industry.nsw.gov.au/__data/assets/pdf_file/0008/187703/Extreme-Events-policy.pdf</w:t>
        </w:r>
      </w:hyperlink>
    </w:p>
    <w:p w14:paraId="14CFA1AF" w14:textId="77777777" w:rsidR="005D79EF" w:rsidRPr="005D79EF" w:rsidRDefault="005D79EF" w:rsidP="005D79EF">
      <w:pPr>
        <w:tabs>
          <w:tab w:val="left" w:pos="851"/>
        </w:tabs>
        <w:spacing w:before="120"/>
        <w:rPr>
          <w:rFonts w:cstheme="minorHAnsi"/>
          <w:color w:val="auto"/>
          <w:szCs w:val="22"/>
          <w:lang w:eastAsia="zh-CN" w:bidi="th-TH"/>
        </w:rPr>
      </w:pPr>
      <w:r w:rsidRPr="005D79EF">
        <w:rPr>
          <w:rFonts w:cstheme="minorHAnsi"/>
          <w:szCs w:val="22"/>
          <w:lang w:eastAsia="zh-CN" w:bidi="th-TH"/>
        </w:rPr>
        <w:t>New South Wales Department of Planning, Industry and Environment</w:t>
      </w:r>
      <w:r w:rsidRPr="005D79EF">
        <w:rPr>
          <w:rFonts w:cstheme="minorHAnsi"/>
          <w:color w:val="auto"/>
          <w:szCs w:val="22"/>
          <w:lang w:eastAsia="zh-CN" w:bidi="th-TH"/>
        </w:rPr>
        <w:t xml:space="preserve"> (2020a). </w:t>
      </w:r>
      <w:r w:rsidRPr="005D79EF">
        <w:rPr>
          <w:rFonts w:cstheme="minorHAnsi"/>
          <w:i/>
          <w:iCs/>
          <w:szCs w:val="22"/>
          <w:lang w:eastAsia="zh-CN" w:bidi="th-TH"/>
        </w:rPr>
        <w:t>Lachlan Regulated River Water Source Water allocation update</w:t>
      </w:r>
      <w:r w:rsidRPr="005D79EF">
        <w:rPr>
          <w:rFonts w:cstheme="minorHAnsi"/>
          <w:szCs w:val="22"/>
          <w:lang w:eastAsia="zh-CN" w:bidi="th-TH"/>
        </w:rPr>
        <w:t xml:space="preserve"> </w:t>
      </w:r>
      <w:r w:rsidRPr="005D79EF">
        <w:rPr>
          <w:rFonts w:cstheme="minorHAnsi"/>
          <w:color w:val="auto"/>
          <w:szCs w:val="22"/>
          <w:lang w:eastAsia="zh-CN" w:bidi="th-TH"/>
        </w:rPr>
        <w:t xml:space="preserve">15 May 2020. </w:t>
      </w:r>
      <w:hyperlink r:id="rId258" w:history="1">
        <w:r w:rsidRPr="005D79EF">
          <w:rPr>
            <w:rFonts w:cstheme="minorHAnsi"/>
            <w:color w:val="0000FF"/>
            <w:szCs w:val="22"/>
            <w:u w:val="single"/>
            <w:lang w:eastAsia="zh-CN" w:bidi="th-TH"/>
          </w:rPr>
          <w:t>https://www.industry.nsw.gov.au/__data/assets/pdf_file/0020/301466/WAS-Lachlan-20200515.pdf</w:t>
        </w:r>
      </w:hyperlink>
      <w:r w:rsidRPr="005D79EF">
        <w:rPr>
          <w:rFonts w:cstheme="minorHAnsi"/>
          <w:color w:val="auto"/>
          <w:szCs w:val="22"/>
          <w:lang w:eastAsia="zh-CN" w:bidi="th-TH"/>
        </w:rPr>
        <w:t xml:space="preserve"> </w:t>
      </w:r>
    </w:p>
    <w:p w14:paraId="7C7A6E48" w14:textId="77777777" w:rsidR="005D79EF" w:rsidRPr="005D79EF" w:rsidRDefault="005D79EF" w:rsidP="005D79EF">
      <w:pPr>
        <w:tabs>
          <w:tab w:val="left" w:pos="851"/>
        </w:tabs>
        <w:spacing w:before="120"/>
        <w:rPr>
          <w:rFonts w:cstheme="minorHAnsi"/>
          <w:color w:val="auto"/>
          <w:szCs w:val="22"/>
          <w:lang w:eastAsia="zh-CN" w:bidi="th-TH"/>
        </w:rPr>
      </w:pPr>
      <w:r w:rsidRPr="005D79EF">
        <w:rPr>
          <w:rFonts w:cstheme="minorHAnsi"/>
          <w:szCs w:val="22"/>
          <w:lang w:eastAsia="zh-CN" w:bidi="th-TH"/>
        </w:rPr>
        <w:t>New South Wales Department of Planning, Industry and Environment</w:t>
      </w:r>
      <w:r w:rsidRPr="005D79EF">
        <w:rPr>
          <w:rFonts w:cstheme="minorHAnsi"/>
          <w:color w:val="auto"/>
          <w:szCs w:val="22"/>
          <w:lang w:eastAsia="zh-CN" w:bidi="th-TH"/>
        </w:rPr>
        <w:t xml:space="preserve"> (NSW DPIE 2020b). </w:t>
      </w:r>
      <w:r w:rsidRPr="005D79EF">
        <w:rPr>
          <w:rFonts w:cstheme="minorHAnsi"/>
          <w:i/>
          <w:iCs/>
          <w:szCs w:val="22"/>
          <w:lang w:eastAsia="zh-CN" w:bidi="th-TH"/>
        </w:rPr>
        <w:t>NSW Regulated River Water Sources – Opening water allocations 2020-21</w:t>
      </w:r>
      <w:r w:rsidRPr="005D79EF">
        <w:rPr>
          <w:rFonts w:cstheme="minorHAnsi"/>
          <w:color w:val="auto"/>
          <w:szCs w:val="22"/>
          <w:lang w:eastAsia="zh-CN" w:bidi="th-TH"/>
        </w:rPr>
        <w:t xml:space="preserve">. </w:t>
      </w:r>
      <w:hyperlink r:id="rId259" w:history="1">
        <w:r w:rsidRPr="005D79EF">
          <w:rPr>
            <w:rFonts w:cstheme="minorHAnsi"/>
            <w:szCs w:val="22"/>
            <w:lang w:eastAsia="zh-CN" w:bidi="th-TH"/>
          </w:rPr>
          <w:t>https://www.industry.nsw.gov.au/__data/assets/pdf_file/0012/313032/WAS-Regulated-Rivers-20200701.pdf</w:t>
        </w:r>
      </w:hyperlink>
    </w:p>
    <w:p w14:paraId="7FE5AF16" w14:textId="77777777" w:rsidR="005D79EF" w:rsidRPr="005D79EF" w:rsidRDefault="005D79EF" w:rsidP="005D79EF">
      <w:r w:rsidRPr="005D79EF">
        <w:t xml:space="preserve">Northern Basin Aboriginal Nations (NBAN) Ltd. (2020) </w:t>
      </w:r>
      <w:r w:rsidRPr="005D79EF">
        <w:rPr>
          <w:i/>
          <w:iCs/>
        </w:rPr>
        <w:t>First Nations Environmental Water Guidance Report</w:t>
      </w:r>
      <w:r w:rsidRPr="005D79EF">
        <w:t>. Provided to the Commonwealth Environmental Water Office.</w:t>
      </w:r>
    </w:p>
    <w:p w14:paraId="297AC904" w14:textId="77777777" w:rsidR="005D79EF" w:rsidRPr="005D79EF" w:rsidRDefault="005D79EF" w:rsidP="005D79EF">
      <w:pPr>
        <w:tabs>
          <w:tab w:val="left" w:pos="851"/>
        </w:tabs>
        <w:spacing w:before="120"/>
        <w:rPr>
          <w:rFonts w:ascii="Century Gothic" w:hAnsi="Century Gothic" w:cs="Angsana New"/>
          <w:color w:val="1C1D1E"/>
          <w:szCs w:val="22"/>
          <w:shd w:val="clear" w:color="auto" w:fill="FFFFFF"/>
          <w:lang w:eastAsia="zh-CN" w:bidi="th-TH"/>
        </w:rPr>
      </w:pPr>
      <w:r w:rsidRPr="005D79EF">
        <w:rPr>
          <w:rFonts w:cstheme="minorHAnsi"/>
          <w:color w:val="1C1D1E"/>
          <w:szCs w:val="22"/>
          <w:shd w:val="clear" w:color="auto" w:fill="FFFFFF"/>
          <w:lang w:eastAsia="zh-CN" w:bidi="th-TH"/>
        </w:rPr>
        <w:t xml:space="preserve">Wassens, S., Michael, D., Spencer, J.,Thiem, J., Thomas, R., Kobayashi, T., Jenkins, K., Wolfenden, B., Hall, A., Bourke, G., Bino, G., Davis, T., Heath, J., Kuo, W., Amos, C. and Brandis, K. (2020) </w:t>
      </w:r>
      <w:r w:rsidRPr="005D79EF">
        <w:rPr>
          <w:rFonts w:cstheme="minorHAnsi"/>
          <w:i/>
          <w:iCs/>
          <w:color w:val="1C1D1E"/>
          <w:szCs w:val="22"/>
          <w:shd w:val="clear" w:color="auto" w:fill="FFFFFF"/>
          <w:lang w:eastAsia="zh-CN" w:bidi="th-TH"/>
        </w:rPr>
        <w:t>Commonwealth Environmental Water Office Long-Term Intervention Monitoring project Murrumbidgee River System Selected Area evaluation. Technical Report, 2014-19</w:t>
      </w:r>
      <w:r w:rsidRPr="005D79EF">
        <w:rPr>
          <w:rFonts w:cstheme="minorHAnsi"/>
          <w:color w:val="1C1D1E"/>
          <w:szCs w:val="22"/>
          <w:shd w:val="clear" w:color="auto" w:fill="FFFFFF"/>
          <w:lang w:eastAsia="zh-CN" w:bidi="th-TH"/>
        </w:rPr>
        <w:t>. Report prepared for the Commonwealth Environmental Water Office</w:t>
      </w:r>
    </w:p>
    <w:p w14:paraId="667E7930" w14:textId="77777777" w:rsidR="005D79EF" w:rsidRPr="005D79EF" w:rsidRDefault="005D79EF" w:rsidP="005D79EF">
      <w:pPr>
        <w:tabs>
          <w:tab w:val="left" w:pos="851"/>
        </w:tabs>
        <w:spacing w:before="120"/>
        <w:rPr>
          <w:rFonts w:cstheme="minorHAnsi"/>
          <w:color w:val="auto"/>
          <w:szCs w:val="22"/>
          <w:lang w:eastAsia="zh-CN" w:bidi="th-TH"/>
        </w:rPr>
      </w:pPr>
      <w:r w:rsidRPr="005D79EF">
        <w:rPr>
          <w:rFonts w:cstheme="minorHAnsi"/>
          <w:color w:val="1C1D1E"/>
          <w:szCs w:val="22"/>
          <w:shd w:val="clear" w:color="auto" w:fill="FFFFFF"/>
          <w:lang w:eastAsia="zh-CN" w:bidi="th-TH"/>
        </w:rPr>
        <w:t xml:space="preserve">Watts, RJ, Dyer, F, Frazier, P, et al. (2019) Learning from concurrent adaptive management in multiple catchments within a large environmental flows program in Australia. </w:t>
      </w:r>
      <w:r w:rsidRPr="005D79EF">
        <w:rPr>
          <w:rFonts w:cstheme="minorHAnsi"/>
          <w:i/>
          <w:iCs/>
          <w:color w:val="1C1D1E"/>
          <w:szCs w:val="22"/>
          <w:shd w:val="clear" w:color="auto" w:fill="FFFFFF"/>
          <w:lang w:eastAsia="zh-CN" w:bidi="th-TH"/>
        </w:rPr>
        <w:t>River Res Applic</w:t>
      </w:r>
      <w:r w:rsidRPr="005D79EF">
        <w:rPr>
          <w:rFonts w:cstheme="minorHAnsi"/>
          <w:color w:val="1C1D1E"/>
          <w:szCs w:val="22"/>
          <w:shd w:val="clear" w:color="auto" w:fill="FFFFFF"/>
          <w:lang w:eastAsia="zh-CN" w:bidi="th-TH"/>
        </w:rPr>
        <w:t xml:space="preserve">. 2020; 36: 668–680. </w:t>
      </w:r>
      <w:hyperlink r:id="rId260" w:history="1">
        <w:r w:rsidRPr="005D79EF">
          <w:rPr>
            <w:rFonts w:cstheme="minorHAnsi"/>
            <w:color w:val="005274"/>
            <w:szCs w:val="22"/>
            <w:u w:val="single"/>
            <w:shd w:val="clear" w:color="auto" w:fill="FFFFFF"/>
            <w:lang w:eastAsia="zh-CN" w:bidi="th-TH"/>
          </w:rPr>
          <w:t>https://doi.org/10.1002/rra.3620</w:t>
        </w:r>
      </w:hyperlink>
    </w:p>
    <w:p w14:paraId="56F7E73A" w14:textId="7604EF7F" w:rsidR="0071217B" w:rsidRDefault="0071217B">
      <w:pPr>
        <w:spacing w:after="0"/>
      </w:pPr>
    </w:p>
    <w:p w14:paraId="7BD5139E" w14:textId="77777777" w:rsidR="005D79EF" w:rsidRDefault="005D79EF">
      <w:pPr>
        <w:spacing w:after="0"/>
      </w:pPr>
      <w:r>
        <w:br w:type="page"/>
      </w:r>
    </w:p>
    <w:p w14:paraId="6DB5B7C2" w14:textId="77777777" w:rsidR="00450436" w:rsidRPr="00A574F2" w:rsidRDefault="00450436" w:rsidP="00450436">
      <w:pPr>
        <w:pStyle w:val="Heading2"/>
        <w:numPr>
          <w:ilvl w:val="1"/>
          <w:numId w:val="46"/>
        </w:numPr>
        <w:rPr>
          <w:rFonts w:ascii="Century Gothic" w:hAnsi="Century Gothic"/>
          <w:noProof/>
        </w:rPr>
      </w:pPr>
      <w:r>
        <w:lastRenderedPageBreak/>
        <w:t>Murrumbidgee River Valley</w:t>
      </w:r>
    </w:p>
    <w:p w14:paraId="6F57873C" w14:textId="77777777" w:rsidR="00450436" w:rsidRDefault="00450436" w:rsidP="00450436">
      <w:pPr>
        <w:pStyle w:val="Heading3"/>
        <w:numPr>
          <w:ilvl w:val="2"/>
          <w:numId w:val="46"/>
        </w:numPr>
        <w:spacing w:after="240"/>
      </w:pPr>
      <w:r>
        <w:t>Region overview</w:t>
      </w:r>
    </w:p>
    <w:p w14:paraId="0BEBE915" w14:textId="77777777" w:rsidR="00450436" w:rsidRPr="00365FE2" w:rsidRDefault="00450436" w:rsidP="00450436">
      <w:pPr>
        <w:pStyle w:val="Heading4"/>
        <w:numPr>
          <w:ilvl w:val="3"/>
          <w:numId w:val="46"/>
        </w:numPr>
        <w:ind w:left="0"/>
      </w:pPr>
      <w:r w:rsidRPr="00365FE2">
        <w:t>River</w:t>
      </w:r>
      <w:r>
        <w:t xml:space="preserve"> valley</w:t>
      </w:r>
    </w:p>
    <w:p w14:paraId="74598DD6" w14:textId="303DA15B" w:rsidR="00450436" w:rsidRPr="00BB3933" w:rsidRDefault="00450436" w:rsidP="00450436">
      <w:r w:rsidRPr="00A41540">
        <w:t xml:space="preserve">The Murrumbidgee </w:t>
      </w:r>
      <w:r>
        <w:t xml:space="preserve">River Valley </w:t>
      </w:r>
      <w:r w:rsidRPr="0077275B">
        <w:t>(</w:t>
      </w:r>
      <w:r w:rsidRPr="0077275B">
        <w:fldChar w:fldCharType="begin"/>
      </w:r>
      <w:r w:rsidRPr="0077275B">
        <w:instrText xml:space="preserve"> REF _Ref475454230 \h  \* MERGEFORMAT </w:instrText>
      </w:r>
      <w:r w:rsidRPr="0077275B">
        <w:fldChar w:fldCharType="separate"/>
      </w:r>
      <w:r w:rsidR="001B2852" w:rsidRPr="001B2852">
        <w:t xml:space="preserve">Figure </w:t>
      </w:r>
      <w:r w:rsidR="001B2852" w:rsidRPr="001B2852">
        <w:rPr>
          <w:noProof/>
        </w:rPr>
        <w:t>5</w:t>
      </w:r>
      <w:r w:rsidRPr="0077275B">
        <w:fldChar w:fldCharType="end"/>
      </w:r>
      <w:r w:rsidRPr="0077275B">
        <w:t>) covers</w:t>
      </w:r>
      <w:r w:rsidRPr="00A41540">
        <w:t xml:space="preserve"> 84 000 square kilometres of southern New South Wales. It is bordered by the Great Dividing Range to the east, the Lachlan </w:t>
      </w:r>
      <w:r>
        <w:t>River Valley</w:t>
      </w:r>
      <w:r w:rsidRPr="00A41540">
        <w:t xml:space="preserve"> to the north and the </w:t>
      </w:r>
      <w:r>
        <w:t xml:space="preserve">River </w:t>
      </w:r>
      <w:r w:rsidRPr="00A41540">
        <w:t xml:space="preserve">Murray </w:t>
      </w:r>
      <w:r>
        <w:t xml:space="preserve">Valley </w:t>
      </w:r>
      <w:r w:rsidRPr="00A41540">
        <w:t xml:space="preserve">to the south </w:t>
      </w:r>
      <w:r w:rsidRPr="00BB3933">
        <w:t>(Green et al</w:t>
      </w:r>
      <w:r>
        <w:t>.</w:t>
      </w:r>
      <w:r w:rsidRPr="00BB3933">
        <w:t xml:space="preserve"> 2011). The river originates in the alpine area of Kosciuszko National Park and flows through the Monaro High Plains and the low-lying plains of the western Riverina, joining the River Murray south of Balranald. </w:t>
      </w:r>
    </w:p>
    <w:p w14:paraId="2AA34853" w14:textId="77777777" w:rsidR="00450436" w:rsidRPr="00A41540" w:rsidRDefault="00450436" w:rsidP="00450436">
      <w:r w:rsidRPr="00BB3933">
        <w:t xml:space="preserve">Most of the flow in the Murrumbidgee River comes from the upper portion of the catchment (gaining stream) and is delivered by the main tributary rivers: Cotter, Yass, Molonglo, Queanbeyan, Bredbo, Numeralla, Goodradigbee and Tumut (Kingsford </w:t>
      </w:r>
      <w:r>
        <w:t>and</w:t>
      </w:r>
      <w:r w:rsidRPr="00BB3933">
        <w:t xml:space="preserve"> Thomas 2001). Several tributaries located immediately downstream of the dams contribute significant inflows, including Adelong, Adjungbilly, Gilmore, Hillas, Tarcutta, Kyeamba, Jugiong, Muttama, Billabong and Houlaghans Creeks, and Goobarragandra River (SKM 2011). The middle and lower portions of the catchment do not contribute significant inflows (losing stream).</w:t>
      </w:r>
    </w:p>
    <w:p w14:paraId="551A5C1D" w14:textId="77777777" w:rsidR="00450436" w:rsidRPr="00365FE2" w:rsidRDefault="00450436" w:rsidP="00450436">
      <w:r w:rsidRPr="00A41540">
        <w:t>Regulated water is provided by two major headwater storages, Burrinjuck Dam on the Murrumbidgee River and Blowering Dam on the Tumut River. Collectively these storages have a capacity of 2</w:t>
      </w:r>
      <w:r>
        <w:t xml:space="preserve"> </w:t>
      </w:r>
      <w:r w:rsidRPr="00A41540">
        <w:t xml:space="preserve">654 </w:t>
      </w:r>
      <w:r>
        <w:t>gigalitres</w:t>
      </w:r>
      <w:r w:rsidRPr="00A41540">
        <w:t>. Blowering Dam and Tantangara Reservoir catchments are also affected by the operation of the Snowy Mountains Hydro Electricity scheme.</w:t>
      </w:r>
    </w:p>
    <w:p w14:paraId="6F4C94B5" w14:textId="77777777" w:rsidR="00450436" w:rsidRPr="00BB3933" w:rsidRDefault="00450436" w:rsidP="00450436">
      <w:pPr>
        <w:pStyle w:val="Heading4"/>
        <w:numPr>
          <w:ilvl w:val="3"/>
          <w:numId w:val="46"/>
        </w:numPr>
        <w:ind w:left="0"/>
      </w:pPr>
      <w:r w:rsidRPr="00BB3933">
        <w:t>Traditional Owners</w:t>
      </w:r>
    </w:p>
    <w:p w14:paraId="67F1CB3A" w14:textId="77777777" w:rsidR="00450436" w:rsidRPr="00BB3933" w:rsidRDefault="00450436" w:rsidP="00450436">
      <w:r w:rsidRPr="00BB3933">
        <w:t>The rivers and wetlands of the Murrumbidgee River Valley hold significant spiritual and cultural importance for Aboriginal people. The Wiradjuri are the largest Aboriginal nation in the Murrumbidgee River valley, with their nation extending from the River Murray</w:t>
      </w:r>
      <w:r>
        <w:t xml:space="preserve"> in the south</w:t>
      </w:r>
      <w:r w:rsidRPr="00BB3933">
        <w:t xml:space="preserve"> to beyond Dubbo in the north, and west to Balranald. At the western end of the catchment are the traditional land of the Barapa Barapa, Muthi Muthi, Nari Nari, Nyeri Nyeri, Wadi Wadi, Wamba Wamba, Weki Weki, and Wolgalu nations. The mountains at the eastern end of the Murrumbidgee River Valley are the country of the Ngunawal and Ngarigo nations. (MDBA 2019).</w:t>
      </w:r>
    </w:p>
    <w:p w14:paraId="420E6A6E" w14:textId="77777777" w:rsidR="00450436" w:rsidRPr="00BB3933" w:rsidRDefault="00450436" w:rsidP="00450436">
      <w:pPr>
        <w:pStyle w:val="Heading4"/>
        <w:numPr>
          <w:ilvl w:val="3"/>
          <w:numId w:val="46"/>
        </w:numPr>
        <w:ind w:left="0"/>
      </w:pPr>
      <w:r w:rsidRPr="00BB3933">
        <w:t>Important sites and values</w:t>
      </w:r>
    </w:p>
    <w:p w14:paraId="3E15C930" w14:textId="77777777" w:rsidR="00450436" w:rsidRPr="00BB3933" w:rsidRDefault="00450436" w:rsidP="00450436">
      <w:r w:rsidRPr="00BB3933">
        <w:t xml:space="preserve">Supporting a complex range of natural ecosystems, the Murrumbidgee River Valley contains many significant in-channel and wetland habitats which provide important habitat for a range of aquatic and terrestrial species including frogs, fish and waterbirds. </w:t>
      </w:r>
    </w:p>
    <w:p w14:paraId="64D41E5C" w14:textId="77777777" w:rsidR="00450436" w:rsidRPr="00BB3933" w:rsidRDefault="00450436" w:rsidP="00450436">
      <w:r w:rsidRPr="00BB3933">
        <w:t xml:space="preserve">Commonwealth water for the environment is delivered to a number of important regions in the Murrumbidgee River Valley, including but not limited to the mid-Murrumbidgee wetlands, Yanco Creek system, Lowbidgee floodplain and Murrumbidgee River. These regions provide critical habitat for a range of water dependent animals, including internationally listed migratory waterbirds and a range of threatened species including the southern bell frog, Australasian bittern, trout cod, Murray cod, silver perch, native catfish, fishing bat; and freckled and blue-billed ducks. </w:t>
      </w:r>
    </w:p>
    <w:p w14:paraId="389DAD27" w14:textId="77777777" w:rsidR="00450436" w:rsidRPr="00BB3933" w:rsidRDefault="00450436" w:rsidP="00450436">
      <w:pPr>
        <w:pStyle w:val="Heading5"/>
      </w:pPr>
      <w:r w:rsidRPr="00BB3933">
        <w:t>Murrumbidgee River</w:t>
      </w:r>
    </w:p>
    <w:p w14:paraId="14088311" w14:textId="77777777" w:rsidR="00450436" w:rsidRPr="00BB3933" w:rsidRDefault="00450436" w:rsidP="00450436">
      <w:r w:rsidRPr="00BB3933">
        <w:t>The Murrumbidgee River spans approximately 1</w:t>
      </w:r>
      <w:r>
        <w:t xml:space="preserve"> </w:t>
      </w:r>
      <w:r w:rsidRPr="00BB3933">
        <w:t>600 km (Frazier et al. 2005) and is heavily regulated with 26</w:t>
      </w:r>
      <w:r>
        <w:t> </w:t>
      </w:r>
      <w:r w:rsidRPr="00BB3933">
        <w:t>dams, weirs and irrigation channels (SKM 2011). The lowland section of River between Gandagai and Balranald consists of meandering channels and wide floodplains, providing a range of aquatic habitats (Green</w:t>
      </w:r>
      <w:r>
        <w:t> </w:t>
      </w:r>
      <w:r w:rsidRPr="00BB3933">
        <w:t xml:space="preserve">et al. 2011) which play a critical role in the life cycles of a variety of species (MDBA 2012). </w:t>
      </w:r>
    </w:p>
    <w:p w14:paraId="1B6FF74B" w14:textId="77777777" w:rsidR="00450436" w:rsidRDefault="00450436">
      <w:pPr>
        <w:spacing w:after="0"/>
      </w:pPr>
      <w:r>
        <w:br w:type="page"/>
      </w:r>
    </w:p>
    <w:p w14:paraId="2598EB1C" w14:textId="03C0EDD0" w:rsidR="00450436" w:rsidRPr="00BB3933" w:rsidRDefault="00450436" w:rsidP="00450436">
      <w:r w:rsidRPr="00BB3933">
        <w:lastRenderedPageBreak/>
        <w:t>River regulation has affected the frequency and duration of floodplain inundation, with the magnitude of small to medium floods on the Murrumbidgee River having significantly reduced (Frazier et al. 1995). This has had a significant impact on the river system and the plants and animals that depend on it. It has also altered the natural seasonal flow patterns, with higher flows now occurring in summer and early autumn to meet irrigation demand and lower flows occurring during winter and spring when inflows are captured in the dam (CSIRO 2008</w:t>
      </w:r>
      <w:r>
        <w:t>,</w:t>
      </w:r>
      <w:r w:rsidRPr="00BB3933">
        <w:t xml:space="preserve"> Frazier et al. 2005). River regulation has significantly contributed to native fish declines in the Murrumbidgee, with the native riverine fish communities remaining in poor condition (Wassens et al. 2020a</w:t>
      </w:r>
      <w:r>
        <w:t>,</w:t>
      </w:r>
      <w:r w:rsidRPr="00BB3933">
        <w:t xml:space="preserve"> Davies et al. 2008), as part of the Sustainable Rivers Audit, found the overall condition and ecosystem health of the Murrumbidgee Valley to be very poor. </w:t>
      </w:r>
    </w:p>
    <w:p w14:paraId="76805308" w14:textId="77777777" w:rsidR="00450436" w:rsidRPr="00A574F2" w:rsidRDefault="00450436" w:rsidP="00450436">
      <w:pPr>
        <w:pStyle w:val="Heading5"/>
      </w:pPr>
      <w:r w:rsidRPr="00A574F2">
        <w:t>Mid-Murrumbidgee Wetlands</w:t>
      </w:r>
    </w:p>
    <w:p w14:paraId="33FE4D26" w14:textId="77777777" w:rsidR="00450436" w:rsidRPr="00BB3933" w:rsidRDefault="00450436" w:rsidP="00450436">
      <w:r w:rsidRPr="00BB3933">
        <w:t xml:space="preserve">The mid-Murrumbidgee wetlands are located on the Murrumbidgee River floodplain between Wagga Wagga and Carrathool and consist of hundreds of lagoons and billabongs (MDBA 2012a), with several listed as nationally significant in the Directory of Important Wetlands of Australia (EA 2001). The mid-Murrumbidgee wetlands are also part of the Natural Drainage System of the Lower </w:t>
      </w:r>
      <w:r>
        <w:t xml:space="preserve">Murray </w:t>
      </w:r>
      <w:r w:rsidRPr="00BB3933">
        <w:t xml:space="preserve">River Management Catchment aquatic endangered ecological community listed under the NSW </w:t>
      </w:r>
      <w:r w:rsidRPr="00BB3933">
        <w:rPr>
          <w:i/>
          <w:iCs/>
        </w:rPr>
        <w:t>Fisheries Management Act 1994</w:t>
      </w:r>
      <w:r w:rsidRPr="00BB3933">
        <w:t xml:space="preserve">. </w:t>
      </w:r>
    </w:p>
    <w:p w14:paraId="3DE26C5E" w14:textId="77777777" w:rsidR="00450436" w:rsidRPr="00BB3933" w:rsidRDefault="00450436" w:rsidP="00450436">
      <w:r w:rsidRPr="00BB3933">
        <w:t xml:space="preserve">The mid-Murrumbidgee wetlands system is characterised by river red gum forests with marginal black box woodlands, and open water habitat of permanent to semi-permanent wetlands with aquatic plants such as spike rush, garland lily and spike rush (NSW </w:t>
      </w:r>
      <w:r>
        <w:t>OEH 2019a,</w:t>
      </w:r>
      <w:r w:rsidRPr="00BB3933">
        <w:t xml:space="preserve"> MDBA 2012a</w:t>
      </w:r>
      <w:r>
        <w:t>,</w:t>
      </w:r>
      <w:r w:rsidRPr="00BB3933">
        <w:t xml:space="preserve"> CSIRO 2008). Many of these wetlands rely on higher flows in the Murrumbidgee River to fill (Murray 2008). However, due to river regulation, inundation frequency and duration has significantly reduced, resulting in the overall poor condition of the mid-Murrumbidgee wetlands. Whilst the use of pumping infrastructure to deliver water for the environment has helped to improve or maintain the condition of a small number of wetlands in the mid-Murrumbidgee, it is not as ecologically effective as filling wetlands with a reconnecting river flow. As such, a high priority for environmental watering is reconnecting these wetlands to help the recovery of aquatic vegetation and improve the health of the river by enabling nutrients and animals to flow back to the river.</w:t>
      </w:r>
    </w:p>
    <w:p w14:paraId="32642984" w14:textId="77777777" w:rsidR="00450436" w:rsidRPr="00A574F2" w:rsidRDefault="00450436" w:rsidP="00450436">
      <w:pPr>
        <w:pStyle w:val="Heading5"/>
      </w:pPr>
      <w:r w:rsidRPr="00A574F2">
        <w:t>Murrumbidgee Irrigation Area wetlands</w:t>
      </w:r>
    </w:p>
    <w:p w14:paraId="47997EDA" w14:textId="77777777" w:rsidR="00450436" w:rsidRPr="00BB3933" w:rsidRDefault="00450436" w:rsidP="00450436">
      <w:r w:rsidRPr="00BB3933">
        <w:t xml:space="preserve">A number of significant wetlands occur in the Murrumbidgee Irrigation Area and require the use of irrigation infrastructure to receive environmental water. This includes Fivebough and Tuckerbil Swamps which are listed as wetlands of international importance under the Ramsar Convention. Both of these wetlands support a high abundance and diversity of waterbirds, including migratory waterbirds listed under international agreements (JAMBA, ROKAMBA, CAMBA, Bonn Convention) and threatened species, including the endangered Australasian bittern and Australian painted snipe (EPBC Act). They also provide significant breeding habitat for waterbirds including egrets and brolgas (White 2011).  </w:t>
      </w:r>
    </w:p>
    <w:p w14:paraId="66A43920" w14:textId="77777777" w:rsidR="00450436" w:rsidRPr="00A574F2" w:rsidRDefault="00450436" w:rsidP="00450436">
      <w:pPr>
        <w:pStyle w:val="Heading5"/>
      </w:pPr>
      <w:r w:rsidRPr="00A574F2">
        <w:t>Yanco Creek System</w:t>
      </w:r>
    </w:p>
    <w:p w14:paraId="453068DA" w14:textId="77777777" w:rsidR="00450436" w:rsidRPr="00BB3933" w:rsidRDefault="00450436" w:rsidP="00450436">
      <w:r w:rsidRPr="00BB3933">
        <w:t xml:space="preserve">The Yanco Creek system consists of four major creeks, the Yanco, Billabong, Colombo and Forest creeks, and receives a majority of infows from the Murrumbidgee River but also catchment inflows from the unregulated Billabong Creek. The system discharges into the Edward River which is an effluent of the River Murray (Alluvium 2013). This system is known to provide important native fish habitat, including for the threatened trout cod and freshwater (eel-tailed) catfish (Alluvium 2013). Floodplain wetlands occur throughout the Yanco Creek system providing important habitat for a range of species, this includes Wanganella Swamp which is a significant waterbird breeding site located in the Forest Creek system. </w:t>
      </w:r>
    </w:p>
    <w:p w14:paraId="7D938BD1" w14:textId="77777777" w:rsidR="00450436" w:rsidRDefault="00450436">
      <w:pPr>
        <w:spacing w:after="0"/>
        <w:rPr>
          <w:rFonts w:ascii="Calibri" w:hAnsi="Calibri" w:cs="Calibri"/>
          <w:i/>
          <w:color w:val="5F497A" w:themeColor="accent4" w:themeShade="BF"/>
          <w:szCs w:val="22"/>
          <w:lang w:val="en-GB" w:eastAsia="en-US"/>
        </w:rPr>
      </w:pPr>
      <w:r>
        <w:br w:type="page"/>
      </w:r>
    </w:p>
    <w:p w14:paraId="6D334012" w14:textId="316EAA99" w:rsidR="00450436" w:rsidRPr="00A574F2" w:rsidRDefault="00450436" w:rsidP="00450436">
      <w:pPr>
        <w:pStyle w:val="Heading5"/>
      </w:pPr>
      <w:r w:rsidRPr="00A574F2">
        <w:lastRenderedPageBreak/>
        <w:t>Lower Murrumbidgee (Lowbidgee) Floodplain</w:t>
      </w:r>
    </w:p>
    <w:p w14:paraId="622DDA50" w14:textId="77777777" w:rsidR="00450436" w:rsidRPr="00BB3933" w:rsidRDefault="00450436" w:rsidP="00450436">
      <w:r w:rsidRPr="00BB3933">
        <w:t xml:space="preserve">The Lowbidgee floodplain is located between upstream of Maude and Balranald and is listed on the Directory of Important Wetlands in Australia (EA 2001) and forms part of the Natural Drainage System of the Lower Murray River Catchment aquatic endangered ecological community listed under the </w:t>
      </w:r>
      <w:r w:rsidRPr="00BB3933">
        <w:rPr>
          <w:i/>
          <w:iCs/>
        </w:rPr>
        <w:t>NSW Fisheries Management Act 1994</w:t>
      </w:r>
      <w:r w:rsidRPr="00BB3933">
        <w:t>. The Lowbidgee floodplain contains the third largest river red gum forest in Australia (Murrumbidgee CMA 2009), some of the largest lignum wetlands in New South Wales (CSIRO 2008) and also has significant black box and reed bed communities (Murrumbidgee CMA 2009). Some of the Murray-Darling Basin’s largest breeding sites for colonial nesting waterbirds and migratory waterbird species listed under bilateral agreements occur on the Lowbidgee floodplain (Wassens et al</w:t>
      </w:r>
      <w:r>
        <w:t>.</w:t>
      </w:r>
      <w:r w:rsidRPr="00BB3933">
        <w:t xml:space="preserve"> 2019a). </w:t>
      </w:r>
    </w:p>
    <w:p w14:paraId="141D1EEF" w14:textId="77777777" w:rsidR="00450436" w:rsidRPr="00BB3933" w:rsidRDefault="00450436" w:rsidP="00450436">
      <w:r w:rsidRPr="00BB3933">
        <w:t>The Lowbidgee floodplain can be inundated through controlled diversions from Maude and Redbank weirs or via overbank flooding from the river. The Lowbidgee floodplain can be divided into three wetland systems based on distinctive hydrological and ecological characteristics and are Gayini Nimmie-Caira, Fiddlers-Uara and Redbank systems. Gayini Nimmie-Caira supports extensive areas of lignum shrubland that provides important waterbird breeding habitat and important habitat for the threatened southern bell frog. Fiddlers-Uara creeks are the most upstream major distributaries on the Lowbidgee and support black box woodlands with lignum, nitre goosefoot and river cooba understory (MDBA 2012b</w:t>
      </w:r>
      <w:r>
        <w:t>,</w:t>
      </w:r>
      <w:r w:rsidRPr="00BB3933">
        <w:t xml:space="preserve"> SKM 2011</w:t>
      </w:r>
      <w:r>
        <w:t>,</w:t>
      </w:r>
      <w:r w:rsidRPr="00BB3933">
        <w:t xml:space="preserve"> </w:t>
      </w:r>
      <w:r>
        <w:t>NSW OEH 2019a</w:t>
      </w:r>
      <w:r w:rsidRPr="00BB3933">
        <w:t>). The Redbank system consists of North and South (Yanga National Park) Redbank and is dominated by river red gum forests and woodlands with marginal black box woodlands (CSIRO 2008), and a high proportion of open water and semi-permanent wetland communities, including aquatic herbs and spike rush sedgelands (MDBA 2012b</w:t>
      </w:r>
      <w:r>
        <w:t>,</w:t>
      </w:r>
      <w:r w:rsidRPr="00BB3933">
        <w:t xml:space="preserve"> </w:t>
      </w:r>
      <w:r>
        <w:t>NSW OEH 2019a</w:t>
      </w:r>
      <w:r w:rsidRPr="00BB3933">
        <w:t>). This area also provides important waterbird breeding habitat.</w:t>
      </w:r>
    </w:p>
    <w:p w14:paraId="3C387192" w14:textId="77777777" w:rsidR="00450436" w:rsidRPr="00BB3933" w:rsidRDefault="00450436" w:rsidP="00450436">
      <w:r w:rsidRPr="00BB3933">
        <w:t>At the western edge of the Lowbidgee is the Western Lakes, which is a complex of ephemeral lakes, wetlands and connecting waterways. The Western Lakes were disconnected from the Murrumbidgee River in the early 1900’s due to the construction diversion structures on the floodplain (Kingsford and Thomas 2001</w:t>
      </w:r>
      <w:r>
        <w:t>,</w:t>
      </w:r>
      <w:r w:rsidRPr="00BB3933">
        <w:t xml:space="preserve"> NSW OEH</w:t>
      </w:r>
      <w:r>
        <w:t> </w:t>
      </w:r>
      <w:r w:rsidRPr="00BB3933">
        <w:t>2012) and remained isolated until flow diversion works enabled the delivery of water for the environment in 2011 (NSW OEH 2012). This area provides habitat for a diverse range of waterbirds.</w:t>
      </w:r>
    </w:p>
    <w:p w14:paraId="5C69B119" w14:textId="77777777" w:rsidR="00450436" w:rsidRPr="00A574F2" w:rsidRDefault="00450436" w:rsidP="00450436">
      <w:pPr>
        <w:pStyle w:val="Heading5"/>
      </w:pPr>
      <w:r w:rsidRPr="00A574F2">
        <w:t>Junction Wetlands</w:t>
      </w:r>
    </w:p>
    <w:p w14:paraId="5DBBFBB9" w14:textId="77777777" w:rsidR="00450436" w:rsidRPr="00BB3933" w:rsidRDefault="00450436" w:rsidP="00450436">
      <w:r w:rsidRPr="00BB3933">
        <w:t>The Junction Wetlands lie between Balranald and the confluence of the Murrumbidgee and Murray rivers. This area consists of a number of creeks, lagoons and areas of river red gum forest, black box and mallee (SKM 2011).</w:t>
      </w:r>
    </w:p>
    <w:p w14:paraId="0FB4DAC7" w14:textId="77777777" w:rsidR="00450436" w:rsidRPr="00BB3933" w:rsidRDefault="00450436" w:rsidP="00450436">
      <w:pPr>
        <w:pStyle w:val="Heading4"/>
        <w:numPr>
          <w:ilvl w:val="3"/>
          <w:numId w:val="46"/>
        </w:numPr>
        <w:ind w:left="0"/>
      </w:pPr>
      <w:r w:rsidRPr="00BB3933">
        <w:t>Stakeholder engagement</w:t>
      </w:r>
    </w:p>
    <w:p w14:paraId="2839AD5B" w14:textId="77777777" w:rsidR="00450436" w:rsidRPr="00BB3933" w:rsidRDefault="00450436" w:rsidP="00450436">
      <w:r w:rsidRPr="00BB3933">
        <w:t xml:space="preserve">In the Murrumbidgee </w:t>
      </w:r>
      <w:r>
        <w:t>River Valley</w:t>
      </w:r>
      <w:r w:rsidRPr="00BB3933">
        <w:t>, the planning, management and delivery of Commonwealth water for the environment is undertaken in conjunction with a range of partners and stakeholder groups. Key stakeholders include the New South Wales Department of Planning, Industry and Environment (DPIE) – Biodiversity and Conservation, NSW Department of Primary Industries (DPI) - Fisheries, WaterNSW, Nari Nari Tribal Council, scientists from Charles Sturt University engaged in monitoring the outcomes of Commonwealth environmental water use, Murray-Darling Wetlands Working Group, The Nature Conservancy and the Murrumbidgee Environmental Water Advisory Group (EWAG).</w:t>
      </w:r>
    </w:p>
    <w:p w14:paraId="47BC4437" w14:textId="77777777" w:rsidR="00450436" w:rsidRPr="00BB3933" w:rsidRDefault="00450436" w:rsidP="00450436">
      <w:pPr>
        <w:rPr>
          <w:color w:val="auto"/>
        </w:rPr>
      </w:pPr>
    </w:p>
    <w:p w14:paraId="1C91C8C0" w14:textId="77777777" w:rsidR="00450436" w:rsidRPr="00BB3933" w:rsidRDefault="00450436" w:rsidP="00450436">
      <w:pPr>
        <w:rPr>
          <w:color w:val="auto"/>
        </w:rPr>
        <w:sectPr w:rsidR="00450436" w:rsidRPr="00BB3933" w:rsidSect="00583873">
          <w:headerReference w:type="default" r:id="rId261"/>
          <w:footerReference w:type="default" r:id="rId262"/>
          <w:footerReference w:type="first" r:id="rId263"/>
          <w:pgSz w:w="11906" w:h="16838"/>
          <w:pgMar w:top="993" w:right="1133" w:bottom="1135" w:left="993" w:header="567" w:footer="397" w:gutter="0"/>
          <w:cols w:space="708"/>
          <w:docGrid w:linePitch="360"/>
        </w:sectPr>
      </w:pPr>
    </w:p>
    <w:p w14:paraId="1FCF2E44" w14:textId="77777777" w:rsidR="00450436" w:rsidRPr="00BB3933" w:rsidRDefault="00450436" w:rsidP="00450436">
      <w:r w:rsidRPr="00BB3933">
        <w:rPr>
          <w:noProof/>
        </w:rPr>
        <w:lastRenderedPageBreak/>
        <w:drawing>
          <wp:inline distT="0" distB="0" distL="0" distR="0" wp14:anchorId="16DF3BDD" wp14:editId="0D084B08">
            <wp:extent cx="8830800" cy="5821200"/>
            <wp:effectExtent l="0" t="0" r="8890" b="8255"/>
            <wp:docPr id="54" name="Picture 1" descr="Figure 1 (map)&#10;&#10;A map of the Murrumbidgee River Valley. The map shows the Murrumbidgee River system, including major towns and water storages. The Murrumbidgee River originates in the Snowy Mountains in the east and flows in a westerly direction to its confluence with the Murray River downstream of Balranald. The map includes the location of several key environmental assets including the mid-Murrumbidgee Wetlands (located between Wagga Wagga and Carrathool) and the Lower Murrumbidgee Floodplain (located downstream of Hay). Yanco Creek, a major distributary, leaves the river in the middle reach of the river and flows southwest to eventually join the Murray Riv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map of the Murrumbidgee River Catchment. The map shows the Murrumbidgee River system, including major towns, water storages. The Murrumbidgee River originates in the Snowy Mountains in the east and flows in a westerly direction to its confluence with the Murray River downstream of Balranald. The map includes the location of several key environmental assets including the mid-Murrumbidgee Wetlands (located between Wagga Wagga and Carrathool) and the Lower Murrumbidgee Floodplain (located downstream of Hay). Yanco Creek, a major distributary, leaves the river in the middle reach of the river and flow southwest to eventually join the Murray River system."/>
                    <pic:cNvPicPr>
                      <a:picLocks noChangeAspect="1" noChangeArrowheads="1"/>
                    </pic:cNvPicPr>
                  </pic:nvPicPr>
                  <pic:blipFill>
                    <a:blip r:embed="rId264"/>
                    <a:srcRect/>
                    <a:stretch>
                      <a:fillRect/>
                    </a:stretch>
                  </pic:blipFill>
                  <pic:spPr bwMode="auto">
                    <a:xfrm>
                      <a:off x="0" y="0"/>
                      <a:ext cx="8830800" cy="5821200"/>
                    </a:xfrm>
                    <a:prstGeom prst="rect">
                      <a:avLst/>
                    </a:prstGeom>
                    <a:noFill/>
                    <a:ln w="9525">
                      <a:noFill/>
                      <a:miter lim="800000"/>
                      <a:headEnd/>
                      <a:tailEnd/>
                    </a:ln>
                  </pic:spPr>
                </pic:pic>
              </a:graphicData>
            </a:graphic>
          </wp:inline>
        </w:drawing>
      </w:r>
    </w:p>
    <w:p w14:paraId="6A2EA93D" w14:textId="7372CB6E" w:rsidR="00450436" w:rsidRPr="00BB3933" w:rsidRDefault="00450436" w:rsidP="00450436">
      <w:r w:rsidRPr="00BB3933">
        <w:rPr>
          <w:b/>
        </w:rPr>
        <w:t xml:space="preserve">Figure </w:t>
      </w:r>
      <w:r w:rsidRPr="00BB3933">
        <w:rPr>
          <w:b/>
        </w:rPr>
        <w:fldChar w:fldCharType="begin"/>
      </w:r>
      <w:r w:rsidRPr="00BB3933">
        <w:rPr>
          <w:b/>
        </w:rPr>
        <w:instrText xml:space="preserve"> SEQ Figure \* ARABIC </w:instrText>
      </w:r>
      <w:r w:rsidRPr="00BB3933">
        <w:rPr>
          <w:b/>
        </w:rPr>
        <w:fldChar w:fldCharType="separate"/>
      </w:r>
      <w:r w:rsidR="001B2852">
        <w:rPr>
          <w:b/>
          <w:noProof/>
        </w:rPr>
        <w:t>16</w:t>
      </w:r>
      <w:r w:rsidRPr="00BB3933">
        <w:rPr>
          <w:b/>
        </w:rPr>
        <w:fldChar w:fldCharType="end"/>
      </w:r>
      <w:r w:rsidRPr="00BB3933">
        <w:t>: Map of the Murrumbidgee catchment including major towns and headwater storage (courtesy of the Murray-Darling Basin Authority).</w:t>
      </w:r>
    </w:p>
    <w:p w14:paraId="1B1F6E64" w14:textId="77777777" w:rsidR="00450436" w:rsidRPr="00BB3933" w:rsidRDefault="00450436" w:rsidP="00450436">
      <w:pPr>
        <w:sectPr w:rsidR="00450436" w:rsidRPr="00BB3933" w:rsidSect="00583873">
          <w:pgSz w:w="16838" w:h="11906" w:orient="landscape"/>
          <w:pgMar w:top="851" w:right="992" w:bottom="567" w:left="1440" w:header="567" w:footer="397" w:gutter="0"/>
          <w:cols w:space="708"/>
          <w:docGrid w:linePitch="360"/>
        </w:sectPr>
      </w:pPr>
    </w:p>
    <w:p w14:paraId="1FDAB504" w14:textId="77777777" w:rsidR="00450436" w:rsidRPr="00BB3933" w:rsidRDefault="00450436" w:rsidP="00450436">
      <w:pPr>
        <w:pStyle w:val="Heading3"/>
        <w:numPr>
          <w:ilvl w:val="2"/>
          <w:numId w:val="46"/>
        </w:numPr>
        <w:spacing w:after="240"/>
      </w:pPr>
      <w:r w:rsidRPr="00BB3933">
        <w:lastRenderedPageBreak/>
        <w:t>Environmental objectives</w:t>
      </w:r>
    </w:p>
    <w:p w14:paraId="245F2742" w14:textId="77777777" w:rsidR="00450436" w:rsidRPr="00BB3933" w:rsidRDefault="00450436" w:rsidP="00450436">
      <w:r w:rsidRPr="00BB3933">
        <w:t xml:space="preserve">Objectives for environmental water delivery in the Murrumbidgee River Valley are based on long-term environmental objectives in the Basin Plan, </w:t>
      </w:r>
      <w:r>
        <w:t xml:space="preserve">draft </w:t>
      </w:r>
      <w:r w:rsidRPr="00BB3933">
        <w:t>state long-term watering plans, the Ramsar site ecological character description for Fivebough and Tuckerbil swamps and best available ecological knowledge.</w:t>
      </w:r>
    </w:p>
    <w:p w14:paraId="7171C96B" w14:textId="77777777" w:rsidR="00450436" w:rsidRPr="00BB3933" w:rsidRDefault="00450436" w:rsidP="00450436">
      <w:r w:rsidRPr="00BB3933">
        <w:t>The objectives that are targeted in a particular year may vary, depending on available water, catchment conditions, operational feasibility, and demand for environmental water. These objectives will continue to be revised as part of the Commonwealth Environmental Water Office’s</w:t>
      </w:r>
      <w:r>
        <w:t xml:space="preserve"> (CEWO)</w:t>
      </w:r>
      <w:r w:rsidRPr="00BB3933">
        <w:t xml:space="preserve"> commitment to adaptive management.</w:t>
      </w:r>
    </w:p>
    <w:p w14:paraId="354901C9" w14:textId="77777777" w:rsidR="00450436" w:rsidRPr="00BB3933" w:rsidRDefault="00450436" w:rsidP="00450436">
      <w:r w:rsidRPr="00BB3933">
        <w:rPr>
          <w:b/>
          <w:bCs/>
        </w:rPr>
        <w:t>Vegetation:</w:t>
      </w:r>
      <w:r w:rsidRPr="00BB3933">
        <w:t xml:space="preserve"> Maintain or improve the condition, and maintain or increase the extent, of native riparian, in-channel, floodplain and wetland vegetation.</w:t>
      </w:r>
    </w:p>
    <w:p w14:paraId="4CD655DC" w14:textId="77777777" w:rsidR="00450436" w:rsidRPr="00BB3933" w:rsidRDefault="00450436" w:rsidP="00450436">
      <w:r w:rsidRPr="00BB3933">
        <w:rPr>
          <w:b/>
          <w:bCs/>
        </w:rPr>
        <w:t>Waterbirds:</w:t>
      </w:r>
      <w:r w:rsidRPr="00BB3933">
        <w:t xml:space="preserve"> Increase waterbird abundance and maintain species diversity by supporting naturally triggered breeding events, and maintaining suitable refuge, feeding and breeding habitat. </w:t>
      </w:r>
    </w:p>
    <w:p w14:paraId="55A8AA98" w14:textId="77777777" w:rsidR="00450436" w:rsidRPr="00BB3933" w:rsidRDefault="00450436" w:rsidP="00450436">
      <w:r w:rsidRPr="00BB3933">
        <w:rPr>
          <w:b/>
          <w:bCs/>
        </w:rPr>
        <w:t>Native fish:</w:t>
      </w:r>
      <w:r w:rsidRPr="00BB3933">
        <w:t xml:space="preserve"> Prevent loss of native fish species and improve population structure, distribution, and species abundance by supporting opportunities for movement, dispersal, reproduction, and recruitment.</w:t>
      </w:r>
    </w:p>
    <w:p w14:paraId="42A5629C" w14:textId="77777777" w:rsidR="00450436" w:rsidRPr="00BB3933" w:rsidRDefault="00450436" w:rsidP="00450436">
      <w:r w:rsidRPr="00BB3933">
        <w:rPr>
          <w:b/>
          <w:bCs/>
        </w:rPr>
        <w:t>Other vertebrates:</w:t>
      </w:r>
      <w:r w:rsidRPr="00BB3933">
        <w:t xml:space="preserve"> Provide habitat to support survival of other native aquatic species, including frogs and turtles; and support opportunities for reproduction and recruitment. </w:t>
      </w:r>
    </w:p>
    <w:p w14:paraId="5DC4C8E5" w14:textId="77777777" w:rsidR="00450436" w:rsidRPr="00BB3933" w:rsidRDefault="00450436" w:rsidP="00450436">
      <w:r w:rsidRPr="00BB3933">
        <w:rPr>
          <w:b/>
          <w:bCs/>
        </w:rPr>
        <w:t>Invertebrates:</w:t>
      </w:r>
      <w:r w:rsidRPr="00BB3933">
        <w:t xml:space="preserve"> Provide habitat to support increased microinvertebrate and invertebrate survival, diversity, abundance and condition.</w:t>
      </w:r>
    </w:p>
    <w:p w14:paraId="615BEB4E" w14:textId="77777777" w:rsidR="00450436" w:rsidRPr="00BB3933" w:rsidRDefault="00450436" w:rsidP="00450436">
      <w:r w:rsidRPr="00BB3933">
        <w:rPr>
          <w:b/>
          <w:bCs/>
        </w:rPr>
        <w:t>Connectivity:</w:t>
      </w:r>
      <w:r w:rsidRPr="00BB3933">
        <w:t xml:space="preserve"> Support longitudinal connectivity, including with the Murray River, and lateral connectivity (within constraints) between the river and floodplain and wetlands. </w:t>
      </w:r>
    </w:p>
    <w:p w14:paraId="1E5F01AE" w14:textId="77777777" w:rsidR="00450436" w:rsidRDefault="00450436" w:rsidP="00450436">
      <w:r w:rsidRPr="00BB3933">
        <w:rPr>
          <w:b/>
          <w:bCs/>
        </w:rPr>
        <w:t>Processes/water quality/resilience:</w:t>
      </w:r>
      <w:r w:rsidRPr="00BB3933">
        <w:t xml:space="preserve"> Support in-stream and floodplain productivity; support nutrient, carbon and sediment transport; provide movement and dispersal opportunities for biota; create quality instream, floodplain and wetland habitat (i.e. including supporting water quality); and maintain or provide a diversity of drought refuge habitat across the landscape.</w:t>
      </w:r>
      <w:r w:rsidRPr="00A41540">
        <w:t xml:space="preserve"> </w:t>
      </w:r>
    </w:p>
    <w:p w14:paraId="3DD02ABB" w14:textId="77777777" w:rsidR="00450436" w:rsidRPr="00A41540" w:rsidRDefault="00450436" w:rsidP="00450436">
      <w:pPr>
        <w:pStyle w:val="Heading3"/>
        <w:numPr>
          <w:ilvl w:val="2"/>
          <w:numId w:val="46"/>
        </w:numPr>
        <w:spacing w:after="240"/>
      </w:pPr>
      <w:r>
        <w:t>First Nations Environmental Objectives</w:t>
      </w:r>
    </w:p>
    <w:p w14:paraId="76041C73" w14:textId="77777777" w:rsidR="00450436" w:rsidRPr="00970718" w:rsidRDefault="00450436" w:rsidP="00450436">
      <w:pPr>
        <w:rPr>
          <w:rFonts w:ascii="Segoe UI" w:hAnsi="Segoe UI" w:cs="Segoe UI"/>
          <w:lang w:val="en-US"/>
        </w:rPr>
      </w:pPr>
      <w:r w:rsidRPr="00970718">
        <w:rPr>
          <w:lang w:val="en-US"/>
        </w:rPr>
        <w:t xml:space="preserve">Advice on environmental water objectives in the Murrumbidgee catchment has been provided by the Murray Lower Darling Rivers Indigenous Nations (MLDRIN) through the First Nations Environmental Water Guidance project. </w:t>
      </w:r>
      <w:r>
        <w:rPr>
          <w:lang w:val="en-US"/>
        </w:rPr>
        <w:t xml:space="preserve">Table 1 </w:t>
      </w:r>
      <w:r w:rsidRPr="0093659D">
        <w:rPr>
          <w:lang w:val="en-US"/>
        </w:rPr>
        <w:t>incl</w:t>
      </w:r>
      <w:r w:rsidRPr="00970718">
        <w:rPr>
          <w:lang w:val="en-US"/>
        </w:rPr>
        <w:t>udes just some of the common objectives for the Murrumbidgee catchment selected as they were raised by 2 or more participating Nations for the region. It is important to note these objectives do not represent the detail, depth and complexity of Nations’ localised water-related objectives.</w:t>
      </w:r>
    </w:p>
    <w:p w14:paraId="16C463C9" w14:textId="77777777" w:rsidR="00450436" w:rsidRDefault="00450436" w:rsidP="00450436">
      <w:pPr>
        <w:rPr>
          <w:lang w:val="en-US"/>
        </w:rPr>
      </w:pPr>
      <w:r w:rsidRPr="00970718">
        <w:rPr>
          <w:lang w:val="en-US"/>
        </w:rPr>
        <w:t>Some of these objectives sit outside the scope of water for the environment to influence, while for others, the link between water for the environment and the site or issues is not well understood.  Environmental flows will aim to contribute to identified objectives, where possible.  The Commonwealth Environmental Water Holder is committed to continuing to strengthen engagement with all Southern Basin First Nations to support those Nations to articulate objectives for water management</w:t>
      </w:r>
      <w:r>
        <w:rPr>
          <w:lang w:val="en-US"/>
        </w:rPr>
        <w:t>.</w:t>
      </w:r>
    </w:p>
    <w:p w14:paraId="0734E12D" w14:textId="1A5DEFEE" w:rsidR="00450436" w:rsidRDefault="00450436" w:rsidP="00450436">
      <w:pPr>
        <w:spacing w:before="240"/>
      </w:pPr>
      <w:bookmarkStart w:id="159" w:name="_Ref43390351"/>
      <w:r w:rsidRPr="0077275B">
        <w:rPr>
          <w:b/>
        </w:rPr>
        <w:t xml:space="preserve">Table </w:t>
      </w:r>
      <w:r w:rsidRPr="0077275B">
        <w:rPr>
          <w:b/>
        </w:rPr>
        <w:fldChar w:fldCharType="begin"/>
      </w:r>
      <w:r w:rsidRPr="0077275B">
        <w:rPr>
          <w:b/>
        </w:rPr>
        <w:instrText xml:space="preserve"> SEQ Table \* ARABIC </w:instrText>
      </w:r>
      <w:r w:rsidRPr="0077275B">
        <w:rPr>
          <w:b/>
        </w:rPr>
        <w:fldChar w:fldCharType="separate"/>
      </w:r>
      <w:r w:rsidR="001B2852">
        <w:rPr>
          <w:b/>
          <w:noProof/>
        </w:rPr>
        <w:t>37</w:t>
      </w:r>
      <w:r w:rsidRPr="0077275B">
        <w:rPr>
          <w:b/>
        </w:rPr>
        <w:fldChar w:fldCharType="end"/>
      </w:r>
      <w:r>
        <w:t xml:space="preserve">: </w:t>
      </w:r>
      <w:bookmarkEnd w:id="159"/>
      <w:r w:rsidRPr="00970718">
        <w:t xml:space="preserve">First Nations </w:t>
      </w:r>
      <w:r>
        <w:t>e</w:t>
      </w:r>
      <w:r w:rsidRPr="00970718">
        <w:t xml:space="preserve">nvironmental </w:t>
      </w:r>
      <w:r>
        <w:t>water o</w:t>
      </w:r>
      <w:r w:rsidRPr="00970718">
        <w:t xml:space="preserve">bjectives for the Murrumbidgee </w:t>
      </w:r>
      <w:r>
        <w:t xml:space="preserve">system for 2020-21 (MLDRIN 2020). </w:t>
      </w:r>
    </w:p>
    <w:tbl>
      <w:tblPr>
        <w:tblStyle w:val="TableGrid"/>
        <w:tblW w:w="9776" w:type="dxa"/>
        <w:tblLook w:val="04A0" w:firstRow="1" w:lastRow="0" w:firstColumn="1" w:lastColumn="0" w:noHBand="0" w:noVBand="1"/>
      </w:tblPr>
      <w:tblGrid>
        <w:gridCol w:w="9776"/>
      </w:tblGrid>
      <w:tr w:rsidR="00450436" w:rsidRPr="0093659D" w14:paraId="66B53A09" w14:textId="77777777" w:rsidTr="00583873">
        <w:trPr>
          <w:cnfStyle w:val="100000000000" w:firstRow="1" w:lastRow="0" w:firstColumn="0" w:lastColumn="0" w:oddVBand="0" w:evenVBand="0" w:oddHBand="0" w:evenHBand="0" w:firstRowFirstColumn="0" w:firstRowLastColumn="0" w:lastRowFirstColumn="0" w:lastRowLastColumn="0"/>
        </w:trPr>
        <w:tc>
          <w:tcPr>
            <w:tcW w:w="9776" w:type="dxa"/>
            <w:tcBorders>
              <w:bottom w:val="nil"/>
            </w:tcBorders>
            <w:shd w:val="clear" w:color="auto" w:fill="B6DDE8" w:themeFill="accent5" w:themeFillTint="66"/>
          </w:tcPr>
          <w:p w14:paraId="12AF35F2" w14:textId="77777777" w:rsidR="00450436" w:rsidRPr="0093659D" w:rsidRDefault="00450436" w:rsidP="00583873">
            <w:pPr>
              <w:rPr>
                <w:b/>
                <w:szCs w:val="22"/>
              </w:rPr>
            </w:pPr>
            <w:bookmarkStart w:id="160" w:name="_Hlk43299768"/>
            <w:r w:rsidRPr="0093659D">
              <w:rPr>
                <w:b/>
                <w:szCs w:val="22"/>
              </w:rPr>
              <w:t>Waterways and Places in Need of watering</w:t>
            </w:r>
          </w:p>
        </w:tc>
      </w:tr>
      <w:tr w:rsidR="00450436" w:rsidRPr="0093659D" w14:paraId="4568C0FC"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51806327" w14:textId="77777777" w:rsidR="00450436" w:rsidRPr="0093659D" w:rsidRDefault="00450436" w:rsidP="00583873">
            <w:pPr>
              <w:rPr>
                <w:szCs w:val="22"/>
              </w:rPr>
            </w:pPr>
            <w:r w:rsidRPr="0093659D">
              <w:rPr>
                <w:szCs w:val="22"/>
              </w:rPr>
              <w:t>Murrumbidgee, Dry Lake, Yanga Lake, Billabong Creek, Baaka (Darling), Wetlands, Billabongs, Floodplains, Creeks, Other places – parks, forests, islands, Major rivers, Tributaries, Ramsar-listed wetlands.</w:t>
            </w:r>
          </w:p>
        </w:tc>
      </w:tr>
      <w:tr w:rsidR="00450436" w:rsidRPr="0093659D" w14:paraId="144A1676"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5EC05A03" w14:textId="77777777" w:rsidR="00450436" w:rsidRPr="0093659D" w:rsidRDefault="00450436" w:rsidP="00583873">
            <w:pPr>
              <w:rPr>
                <w:b/>
                <w:szCs w:val="22"/>
              </w:rPr>
            </w:pPr>
            <w:r w:rsidRPr="0093659D">
              <w:rPr>
                <w:b/>
                <w:szCs w:val="22"/>
              </w:rPr>
              <w:t>River Flows and Connectivity</w:t>
            </w:r>
          </w:p>
        </w:tc>
      </w:tr>
      <w:tr w:rsidR="00450436" w:rsidRPr="0093659D" w14:paraId="01134D6A"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794C5985" w14:textId="77777777" w:rsidR="00450436" w:rsidRPr="0093659D" w:rsidRDefault="00450436" w:rsidP="00583873">
            <w:pPr>
              <w:rPr>
                <w:szCs w:val="22"/>
              </w:rPr>
            </w:pPr>
            <w:r w:rsidRPr="0093659D">
              <w:rPr>
                <w:szCs w:val="22"/>
              </w:rPr>
              <w:t>Improve water quality, Improve timing and seasonality of flows, Restore flows in degraded rivers, Remove barriers and constraints, Improve flows and quantity (rivers and general), Restore wetland hydrology, Improve river and or floodplain connectivity, Improve tributary flows</w:t>
            </w:r>
          </w:p>
        </w:tc>
      </w:tr>
      <w:tr w:rsidR="00450436" w:rsidRPr="0093659D" w14:paraId="3C5A3ABD"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5C8D85FE" w14:textId="77777777" w:rsidR="00450436" w:rsidRPr="0093659D" w:rsidRDefault="00450436" w:rsidP="00583873">
            <w:pPr>
              <w:rPr>
                <w:szCs w:val="22"/>
              </w:rPr>
            </w:pPr>
            <w:r w:rsidRPr="0093659D">
              <w:rPr>
                <w:b/>
                <w:szCs w:val="22"/>
              </w:rPr>
              <w:lastRenderedPageBreak/>
              <w:t>Vegetation</w:t>
            </w:r>
          </w:p>
        </w:tc>
      </w:tr>
      <w:tr w:rsidR="00450436" w:rsidRPr="0093659D" w14:paraId="5C4C1A67"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6C8C4551" w14:textId="77777777" w:rsidR="00450436" w:rsidRPr="0093659D" w:rsidRDefault="00450436" w:rsidP="00583873">
            <w:pPr>
              <w:rPr>
                <w:szCs w:val="22"/>
              </w:rPr>
            </w:pPr>
            <w:r w:rsidRPr="0093659D">
              <w:rPr>
                <w:szCs w:val="22"/>
              </w:rPr>
              <w:t>Old Man Weed, Cumbungi, Black Box, Lignum, River Red Gum, Grasses</w:t>
            </w:r>
          </w:p>
        </w:tc>
      </w:tr>
      <w:tr w:rsidR="00450436" w:rsidRPr="0093659D" w14:paraId="3561D66C"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6E9DC37F" w14:textId="77777777" w:rsidR="00450436" w:rsidRPr="0093659D" w:rsidRDefault="00450436" w:rsidP="00583873">
            <w:pPr>
              <w:rPr>
                <w:szCs w:val="22"/>
              </w:rPr>
            </w:pPr>
            <w:r w:rsidRPr="0093659D">
              <w:rPr>
                <w:b/>
                <w:szCs w:val="22"/>
              </w:rPr>
              <w:t>Fish</w:t>
            </w:r>
          </w:p>
        </w:tc>
      </w:tr>
      <w:tr w:rsidR="00450436" w:rsidRPr="0093659D" w14:paraId="13BDEA32"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056BCDAC" w14:textId="77777777" w:rsidR="00450436" w:rsidRPr="0093659D" w:rsidRDefault="00450436" w:rsidP="00583873">
            <w:pPr>
              <w:rPr>
                <w:szCs w:val="22"/>
              </w:rPr>
            </w:pPr>
            <w:r w:rsidRPr="0093659D">
              <w:rPr>
                <w:szCs w:val="22"/>
              </w:rPr>
              <w:t xml:space="preserve">Murray Cod, Yellowbelly, Catfish, Native fish </w:t>
            </w:r>
          </w:p>
        </w:tc>
      </w:tr>
      <w:tr w:rsidR="00450436" w:rsidRPr="0093659D" w14:paraId="3FB388D1"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77CE482B" w14:textId="77777777" w:rsidR="00450436" w:rsidRPr="0093659D" w:rsidRDefault="00450436" w:rsidP="00583873">
            <w:pPr>
              <w:rPr>
                <w:szCs w:val="22"/>
              </w:rPr>
            </w:pPr>
            <w:r w:rsidRPr="0093659D">
              <w:rPr>
                <w:b/>
                <w:szCs w:val="22"/>
              </w:rPr>
              <w:t>Waterbirds</w:t>
            </w:r>
          </w:p>
        </w:tc>
      </w:tr>
      <w:tr w:rsidR="00450436" w:rsidRPr="0093659D" w14:paraId="0D66355D"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659482AE" w14:textId="77777777" w:rsidR="00450436" w:rsidRPr="0093659D" w:rsidRDefault="00450436" w:rsidP="00583873">
            <w:pPr>
              <w:rPr>
                <w:szCs w:val="22"/>
              </w:rPr>
            </w:pPr>
            <w:r w:rsidRPr="0093659D">
              <w:rPr>
                <w:szCs w:val="22"/>
              </w:rPr>
              <w:t>Swan, Pelican, Ducks, Eastern Bittern, Sea eagle</w:t>
            </w:r>
            <w:r w:rsidRPr="0093659D">
              <w:rPr>
                <w:szCs w:val="22"/>
                <w:vertAlign w:val="superscript"/>
              </w:rPr>
              <w:t xml:space="preserve"> i</w:t>
            </w:r>
            <w:r w:rsidRPr="0093659D">
              <w:rPr>
                <w:szCs w:val="22"/>
              </w:rPr>
              <w:t>, Black Swan.</w:t>
            </w:r>
          </w:p>
        </w:tc>
      </w:tr>
      <w:tr w:rsidR="00450436" w:rsidRPr="0093659D" w14:paraId="7019D032"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2519F6B2" w14:textId="77777777" w:rsidR="00450436" w:rsidRPr="0093659D" w:rsidRDefault="00450436" w:rsidP="00583873">
            <w:pPr>
              <w:rPr>
                <w:b/>
                <w:szCs w:val="22"/>
              </w:rPr>
            </w:pPr>
            <w:r w:rsidRPr="0093659D">
              <w:rPr>
                <w:b/>
                <w:szCs w:val="22"/>
              </w:rPr>
              <w:t>Other species</w:t>
            </w:r>
          </w:p>
        </w:tc>
      </w:tr>
      <w:tr w:rsidR="00450436" w:rsidRPr="0093659D" w14:paraId="3C911ADD"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tcBorders>
          </w:tcPr>
          <w:p w14:paraId="2954FD96" w14:textId="77777777" w:rsidR="00450436" w:rsidRPr="0093659D" w:rsidRDefault="00450436" w:rsidP="00583873">
            <w:pPr>
              <w:rPr>
                <w:szCs w:val="22"/>
              </w:rPr>
            </w:pPr>
            <w:r w:rsidRPr="0093659D">
              <w:rPr>
                <w:szCs w:val="22"/>
              </w:rPr>
              <w:t>Turtles, Frogs, Murray Cray, Shrimp, Mussels, Platypus, Yabbies, Water Rat (Rakali), Macroinvertebrates, Emu</w:t>
            </w:r>
            <w:r w:rsidRPr="0093659D">
              <w:rPr>
                <w:szCs w:val="22"/>
                <w:vertAlign w:val="superscript"/>
              </w:rPr>
              <w:t xml:space="preserve"> i</w:t>
            </w:r>
            <w:r w:rsidRPr="0093659D">
              <w:rPr>
                <w:szCs w:val="22"/>
              </w:rPr>
              <w:t>, Kangaroo</w:t>
            </w:r>
            <w:r w:rsidRPr="0093659D">
              <w:rPr>
                <w:szCs w:val="22"/>
                <w:vertAlign w:val="superscript"/>
              </w:rPr>
              <w:t xml:space="preserve"> i</w:t>
            </w:r>
            <w:r w:rsidRPr="0093659D">
              <w:rPr>
                <w:szCs w:val="22"/>
              </w:rPr>
              <w:t>, Birds.</w:t>
            </w:r>
          </w:p>
        </w:tc>
      </w:tr>
    </w:tbl>
    <w:bookmarkEnd w:id="160"/>
    <w:p w14:paraId="25C0730B" w14:textId="77777777" w:rsidR="00450436" w:rsidRDefault="00450436" w:rsidP="00450436">
      <w:pPr>
        <w:spacing w:after="0"/>
        <w:rPr>
          <w:sz w:val="20"/>
        </w:rPr>
      </w:pPr>
      <w:r w:rsidRPr="001E6073">
        <w:rPr>
          <w:sz w:val="20"/>
        </w:rPr>
        <w:t xml:space="preserve">  </w:t>
      </w:r>
      <w:r w:rsidRPr="00B95704">
        <w:rPr>
          <w:vertAlign w:val="superscript"/>
        </w:rPr>
        <w:t>i</w:t>
      </w:r>
      <w:r w:rsidRPr="001E6073">
        <w:rPr>
          <w:sz w:val="20"/>
          <w:lang w:val="en-GB"/>
        </w:rPr>
        <w:t xml:space="preserve"> </w:t>
      </w:r>
      <w:r w:rsidRPr="001E6073">
        <w:rPr>
          <w:sz w:val="20"/>
        </w:rPr>
        <w:t>Water for the environment targeting</w:t>
      </w:r>
      <w:r>
        <w:rPr>
          <w:sz w:val="20"/>
        </w:rPr>
        <w:t xml:space="preserve"> other</w:t>
      </w:r>
      <w:r w:rsidRPr="001E6073">
        <w:rPr>
          <w:sz w:val="20"/>
        </w:rPr>
        <w:t xml:space="preserve"> environmental outcomes may</w:t>
      </w:r>
      <w:r>
        <w:rPr>
          <w:sz w:val="20"/>
        </w:rPr>
        <w:t xml:space="preserve"> influence this species or objective</w:t>
      </w:r>
    </w:p>
    <w:p w14:paraId="630A2FE8" w14:textId="77777777" w:rsidR="00450436" w:rsidRPr="00365FE2" w:rsidRDefault="00450436" w:rsidP="00450436">
      <w:pPr>
        <w:pStyle w:val="Heading3"/>
        <w:numPr>
          <w:ilvl w:val="2"/>
          <w:numId w:val="46"/>
        </w:numPr>
        <w:spacing w:after="240"/>
      </w:pPr>
      <w:r w:rsidRPr="00365FE2">
        <w:t>Recent conditions and seasonal outlook</w:t>
      </w:r>
    </w:p>
    <w:p w14:paraId="18DCB8FE" w14:textId="77777777" w:rsidR="00450436" w:rsidRPr="00365FE2" w:rsidRDefault="00450436" w:rsidP="00450436">
      <w:pPr>
        <w:pStyle w:val="Heading4"/>
        <w:numPr>
          <w:ilvl w:val="3"/>
          <w:numId w:val="46"/>
        </w:numPr>
        <w:ind w:left="0"/>
      </w:pPr>
      <w:r w:rsidRPr="00365FE2">
        <w:t xml:space="preserve">Recent conditions </w:t>
      </w:r>
      <w:r w:rsidRPr="00237831">
        <w:t>and environmental water use</w:t>
      </w:r>
    </w:p>
    <w:p w14:paraId="66B1965A" w14:textId="77777777" w:rsidR="00450436" w:rsidRPr="00BB3933" w:rsidRDefault="00450436" w:rsidP="00450436">
      <w:r w:rsidRPr="00BB3933">
        <w:t>The Murrumbidgee Valley has experienced dry conditions from early 2017 up until early 2020 when wetter conditions prevailed, contributing to the dry conditions easing (BOM 2020). However, by March 2020 inflows into catchment dams and the Murrumbidgee River had been limited owing to the severity of the dry conditions experienced over the previous three years. Further rainfall in late April 2020 did contribute to an improvement to water resources in Murrumbidgee valley storages, resulting in an increase to general security allocation (</w:t>
      </w:r>
      <w:r w:rsidRPr="00E027F3">
        <w:t>NSW DPIE 2020a</w:t>
      </w:r>
      <w:r w:rsidRPr="00BB3933">
        <w:t xml:space="preserve">). </w:t>
      </w:r>
    </w:p>
    <w:p w14:paraId="45E1EFBC" w14:textId="77777777" w:rsidR="00450436" w:rsidRPr="00BB3933" w:rsidRDefault="00450436" w:rsidP="00450436">
      <w:r w:rsidRPr="00BB3933">
        <w:t>The NSW Department of Planning, Industry and Environment reported in their mid-May 2020 water allocation statement that the Murrumbidgee Valley has averaged 95th percentile conditions in 201</w:t>
      </w:r>
      <w:r>
        <w:t>9</w:t>
      </w:r>
      <w:r w:rsidRPr="00BB3933">
        <w:t>-</w:t>
      </w:r>
      <w:r>
        <w:t>20</w:t>
      </w:r>
      <w:r w:rsidRPr="00BB3933">
        <w:t xml:space="preserve">, which means only five years out of 100 years of historical record experience drier conditions. </w:t>
      </w:r>
    </w:p>
    <w:p w14:paraId="07B6CE80" w14:textId="77777777" w:rsidR="00450436" w:rsidRPr="00BB3933" w:rsidRDefault="00450436" w:rsidP="00450436">
      <w:r w:rsidRPr="00BB3933">
        <w:t xml:space="preserve">In 2019-20, given the hot, dry conditions and low water resource availability in the Valley, the primary focus of Commonwealth environmental watering was to deliver flows to maintain critical refuge habitats at sites throughout the Murrumbidgee catchment, including: </w:t>
      </w:r>
    </w:p>
    <w:p w14:paraId="0B1CB7C1" w14:textId="77777777" w:rsidR="00450436" w:rsidRPr="00BB3933" w:rsidRDefault="00450436" w:rsidP="00450436">
      <w:pPr>
        <w:pStyle w:val="DotStyle1"/>
      </w:pPr>
      <w:r w:rsidRPr="00BB3933">
        <w:t xml:space="preserve">Gayini Nimmie-Caira </w:t>
      </w:r>
    </w:p>
    <w:p w14:paraId="67C223E1" w14:textId="77777777" w:rsidR="00450436" w:rsidRPr="00BB3933" w:rsidRDefault="00450436" w:rsidP="00450436">
      <w:pPr>
        <w:pStyle w:val="DotStyle1"/>
      </w:pPr>
      <w:r w:rsidRPr="00BB3933">
        <w:t>North Redbank</w:t>
      </w:r>
    </w:p>
    <w:p w14:paraId="1DE7547E" w14:textId="77777777" w:rsidR="00450436" w:rsidRPr="00BB3933" w:rsidRDefault="00450436" w:rsidP="00450436">
      <w:pPr>
        <w:pStyle w:val="DotStyle1"/>
      </w:pPr>
      <w:r w:rsidRPr="00BB3933">
        <w:t>Yanga National Park</w:t>
      </w:r>
    </w:p>
    <w:p w14:paraId="4EA132E0" w14:textId="77777777" w:rsidR="00450436" w:rsidRPr="00BB3933" w:rsidRDefault="00450436" w:rsidP="00450436">
      <w:pPr>
        <w:pStyle w:val="DotStyle1"/>
      </w:pPr>
      <w:r w:rsidRPr="00BB3933">
        <w:t>Toogimbie Indigenous Protected Area</w:t>
      </w:r>
    </w:p>
    <w:p w14:paraId="192991B2" w14:textId="77777777" w:rsidR="00450436" w:rsidRPr="00BB3933" w:rsidRDefault="00450436" w:rsidP="00450436">
      <w:pPr>
        <w:pStyle w:val="DotStyle1"/>
      </w:pPr>
      <w:r w:rsidRPr="00BB3933">
        <w:t xml:space="preserve">Murrumbidgee Irrigation Area, including Ramsar listed Tuckerbil </w:t>
      </w:r>
      <w:r>
        <w:t>S</w:t>
      </w:r>
      <w:r w:rsidRPr="00BB3933">
        <w:t>wamp</w:t>
      </w:r>
    </w:p>
    <w:p w14:paraId="6AC716BA" w14:textId="77777777" w:rsidR="00450436" w:rsidRPr="00BB3933" w:rsidRDefault="00450436" w:rsidP="00450436">
      <w:pPr>
        <w:pStyle w:val="DotStyle1"/>
      </w:pPr>
      <w:r w:rsidRPr="00BB3933">
        <w:t xml:space="preserve">selected mid-Murrumbidgee and Junction wetlands via pumping. </w:t>
      </w:r>
    </w:p>
    <w:p w14:paraId="72BFDF32" w14:textId="77777777" w:rsidR="00450436" w:rsidRPr="00BB3933" w:rsidRDefault="00450436" w:rsidP="00450436">
      <w:r w:rsidRPr="00BB3933">
        <w:t>Delivery of Commonwealth and NSW water for the environment successfully maintained refuge habitat which supported:</w:t>
      </w:r>
    </w:p>
    <w:p w14:paraId="45E2644B" w14:textId="77777777" w:rsidR="00450436" w:rsidRPr="00BB3933" w:rsidRDefault="00450436" w:rsidP="00450436">
      <w:pPr>
        <w:pStyle w:val="DotStyle1"/>
      </w:pPr>
      <w:r w:rsidRPr="00BB3933">
        <w:t xml:space="preserve">native vegetation communities, including growth of aquatic plant species such as spike rush, spiny mud grass, cumbungi and nardoo </w:t>
      </w:r>
    </w:p>
    <w:p w14:paraId="192E7714" w14:textId="77777777" w:rsidR="00450436" w:rsidRPr="00BB3933" w:rsidRDefault="00450436" w:rsidP="00450436">
      <w:pPr>
        <w:pStyle w:val="DotStyle1"/>
      </w:pPr>
      <w:r w:rsidRPr="00BB3933">
        <w:t xml:space="preserve">a high diversity of native fish, including carp gudgeon, Australian smelt, Murray-Darling rainbow fish, flathead gudgeon, golden perch, bony bream and Murray cod </w:t>
      </w:r>
    </w:p>
    <w:p w14:paraId="269AE7F9" w14:textId="77777777" w:rsidR="00450436" w:rsidRPr="00BB3933" w:rsidRDefault="00450436" w:rsidP="00450436">
      <w:pPr>
        <w:pStyle w:val="DotStyle1"/>
      </w:pPr>
      <w:r w:rsidRPr="00BB3933">
        <w:t xml:space="preserve">all three Murrumbidgee turtle species (broad shelled, eastern long-necked and Macquarie River turtles) </w:t>
      </w:r>
    </w:p>
    <w:p w14:paraId="1FC20DA8" w14:textId="77777777" w:rsidR="00450436" w:rsidRPr="00BB3933" w:rsidRDefault="00450436" w:rsidP="00450436">
      <w:pPr>
        <w:pStyle w:val="DotStyle1"/>
      </w:pPr>
      <w:r w:rsidRPr="00BB3933">
        <w:t>six species of frogs (barking and spotted marsh frogs, Peron’s tree frog, plains froglet, inland banjo frog and the threatened southern bell frog)</w:t>
      </w:r>
    </w:p>
    <w:p w14:paraId="7292A378" w14:textId="77777777" w:rsidR="00450436" w:rsidRPr="00BB3933" w:rsidRDefault="00450436" w:rsidP="00450436">
      <w:pPr>
        <w:pStyle w:val="DotStyle1"/>
      </w:pPr>
      <w:r w:rsidRPr="00BB3933">
        <w:lastRenderedPageBreak/>
        <w:t>a diverse range of waterbirds including threatened species (such as Australasian bittern, blue-billed and freckled ducks) and migratory shorebirds (such as wood sandpiper, sharp-tailed sandpipers, mash sandpiper, curlew sandpiper and long-toed stint) (CSU 2020; Bourke et al. 2019)</w:t>
      </w:r>
    </w:p>
    <w:p w14:paraId="7E9630B2" w14:textId="77777777" w:rsidR="00450436" w:rsidRPr="00BB3933" w:rsidRDefault="00450436" w:rsidP="00450436">
      <w:pPr>
        <w:pStyle w:val="DotStyle1"/>
      </w:pPr>
      <w:r w:rsidRPr="00BB3933">
        <w:t xml:space="preserve">breeding of frogs, including the threatened southern bell frog; and waterbirds, including royal spoonbills, darters, cormorants, white ibis, nankeen night heron and potentially Australasian bitterns (which were heard calling (James Maguire, NSW DPIE, pers. comms 11 March 2020)). </w:t>
      </w:r>
    </w:p>
    <w:p w14:paraId="62D7117A" w14:textId="77777777" w:rsidR="00450436" w:rsidRPr="00BB3933" w:rsidRDefault="00450436" w:rsidP="00450436">
      <w:r w:rsidRPr="00BB3933">
        <w:t xml:space="preserve">Flows targeting the northern section of Yanga National Park, however, were suspended part way through delivery due to meter failure at the offtake regulator, resulting in less area inundated than planned. Whilst not achieving inundation of all targeted areas in the northern section of the Yanga National Park, inundated areas supported growth of wetland vegetation and provided habitat for native fish, frogs (including tadpoles), turtles and waterbirds (CSU 2020). The meter at the offtake regulator was repaired in early 2020 and therefore is not anticipated to affect planned delivery of water for the environment into Yanga National Park in 2020-21.  </w:t>
      </w:r>
    </w:p>
    <w:p w14:paraId="6FC6560D" w14:textId="77777777" w:rsidR="00450436" w:rsidRPr="00BB3933" w:rsidRDefault="00450436" w:rsidP="00450436">
      <w:r w:rsidRPr="00BB3933">
        <w:t xml:space="preserve">A key environmental water objective of the refuge habitat maintenance flow in Gayini Nimmie-Caira through to Tala Lake and associated creek systems in Yanga National Park was to top up Tala Lake and Tala and Talpee creeks, to support golden perch following the successful spawning and recruitment of this species in 2017-18 and 2018-19. These flows provided refuge habitat throughout Gayini-Nimmie Caira, however, due to flow rates through new Gayini-Nimmie-Caira infrastructure works being lower than expected, flows topped up Talpee Creek but did not reach Tala Lake and Creek in Yanga National Park as planned. Top-up flows of Tala Lake and associated deep creek systems will remain a priority for Commonwealth water for the environment in 2020-21. The identification of this restricted flow rate has been taken into consideration during the planning process to mitigate the risk of flows not reaching these sites. </w:t>
      </w:r>
    </w:p>
    <w:p w14:paraId="26E01DAC" w14:textId="77777777" w:rsidR="00450436" w:rsidRPr="00BB3933" w:rsidRDefault="00450436" w:rsidP="00450436">
      <w:r w:rsidRPr="00BB3933">
        <w:t>Commonwealth water for the environment was also delivered to specifically target breeding of southern bell frogs at key sites in Gayini-Nimmie Caira, such as Eulimbah Swamp, where populations had declined and were at risk of local extinction. Commonwealth, in conjunction with NSW water for the environment, successfully supported southern bell frog breeding, with tadpoles followed by metamoprhs and juveniles having been observed (CSU 2020). The 2019-20 watering, coupled with future watering, will contribute to maintaining these populations in Gayini-Nimmie Caira.</w:t>
      </w:r>
    </w:p>
    <w:p w14:paraId="7EDF0727" w14:textId="77777777" w:rsidR="00450436" w:rsidRPr="00BB3933" w:rsidRDefault="00450436" w:rsidP="00450436">
      <w:r w:rsidRPr="00BB3933">
        <w:t>Commonwealth water for the environment was delivered for the first time using pumping infrastructure to Wanganella Swamp in the Yanco Creek System and to Sunshower Lagoon in the mid-Murrumbidgee</w:t>
      </w:r>
      <w:r w:rsidRPr="00BB3933" w:rsidDel="00820058">
        <w:t xml:space="preserve"> </w:t>
      </w:r>
      <w:r w:rsidRPr="00BB3933">
        <w:t>to prevent loss of aquatic vegetation from the lack of higher natural flows and to provide habitat for water dependent animals. Monitoring at Sunshower Lagoon provided evidence of a significant increase in aquatic vegetation species diversity compared to previous years (CSU 2020; Bruni, J. et al. 2020) and recorded five species of frogs, including the threatened southern bell frog, tadpoles, eastern long-necked turtles and waterbirds (CSU 2020</w:t>
      </w:r>
      <w:r>
        <w:t>,</w:t>
      </w:r>
      <w:r w:rsidRPr="00BB3933">
        <w:t xml:space="preserve"> Bourke et al. 2020). In response to environmental watering at Wanganella Swamp, NSW DPIE staff, Yanco Creek and Tributaries Advisory Council Environmental Manager and local field naturalists reported sighting the re-establishment of aquatic vegetation, including with significant cumbungi and culturally significant nardoo, turtles, frogs and over 25 species of waterbirds including brolga, red-necked avocet (the first observed in the district since 2010), red-kneed dotterel, white-necked heron, freckled duck, sharp-tailed sandpiper and Latham’s</w:t>
      </w:r>
      <w:r>
        <w:t xml:space="preserve"> snipe</w:t>
      </w:r>
      <w:r w:rsidRPr="00BB3933">
        <w:t>.</w:t>
      </w:r>
    </w:p>
    <w:p w14:paraId="4D2261CC" w14:textId="77777777" w:rsidR="00450436" w:rsidRPr="00BB3933" w:rsidRDefault="00450436" w:rsidP="00450436">
      <w:r w:rsidRPr="00BB3933">
        <w:t xml:space="preserve">Details of previous Commonwealth environmental use in the Murrumbidgee River Valley are available at: </w:t>
      </w:r>
      <w:hyperlink r:id="rId265" w:history="1">
        <w:r w:rsidRPr="00BB3933">
          <w:rPr>
            <w:rStyle w:val="Hyperlink"/>
          </w:rPr>
          <w:t>https://www.environment.gov.au/water/cewo/catchment/murrumbidgee/history</w:t>
        </w:r>
      </w:hyperlink>
      <w:r w:rsidRPr="00BB3933">
        <w:t>.</w:t>
      </w:r>
    </w:p>
    <w:p w14:paraId="3B0EA80D" w14:textId="77777777" w:rsidR="00450436" w:rsidRDefault="00450436" w:rsidP="00450436">
      <w:pPr>
        <w:spacing w:after="0"/>
        <w:rPr>
          <w:rFonts w:cs="Arial"/>
          <w:i/>
          <w:color w:val="5F497A" w:themeColor="accent4" w:themeShade="BF"/>
          <w:sz w:val="26"/>
          <w:szCs w:val="24"/>
          <w:lang w:val="en-GB"/>
        </w:rPr>
      </w:pPr>
      <w:r>
        <w:br w:type="page"/>
      </w:r>
    </w:p>
    <w:p w14:paraId="3C51C580" w14:textId="77777777" w:rsidR="00450436" w:rsidRPr="00BB3933" w:rsidRDefault="00450436" w:rsidP="00450436">
      <w:pPr>
        <w:pStyle w:val="Heading4"/>
        <w:numPr>
          <w:ilvl w:val="3"/>
          <w:numId w:val="46"/>
        </w:numPr>
        <w:ind w:left="0"/>
      </w:pPr>
      <w:r w:rsidRPr="00BB3933">
        <w:lastRenderedPageBreak/>
        <w:t>Seasonal outlook</w:t>
      </w:r>
    </w:p>
    <w:p w14:paraId="2812A3FB" w14:textId="77777777" w:rsidR="00450436" w:rsidRPr="00BB3933" w:rsidRDefault="00450436" w:rsidP="00450436">
      <w:r w:rsidRPr="00BB3933">
        <w:t xml:space="preserve">According to the Bureau of Meteorology outlook, across the Murrumbidgee </w:t>
      </w:r>
      <w:r>
        <w:t>River Valley</w:t>
      </w:r>
      <w:r w:rsidRPr="00BB3933">
        <w:t xml:space="preserve"> there is a greater than 80 per cent chance of above median rainfall for the periods of June to August and July to September 2020 (BOM 2020). Additionally, the chance of exceeding maximum temperatures over the coming months is variable across the Murrumbidgee River Valley, ranging from high in the eastern end of the valley reducing to low at the western end of the valley (BOM 2020). </w:t>
      </w:r>
    </w:p>
    <w:p w14:paraId="6E299DE9" w14:textId="77777777" w:rsidR="00450436" w:rsidRPr="00BB3933" w:rsidRDefault="00450436" w:rsidP="00450436">
      <w:r w:rsidRPr="00BB3933">
        <w:t xml:space="preserve">While this forecast indicates that the dry conditions are likely to ease, several months of above average rainfall are needed to see a recovery from the current long-term drought. </w:t>
      </w:r>
    </w:p>
    <w:p w14:paraId="4D9BE9A8" w14:textId="77777777" w:rsidR="00450436" w:rsidRPr="00BB3933" w:rsidRDefault="00450436" w:rsidP="00450436">
      <w:pPr>
        <w:pStyle w:val="Heading4"/>
        <w:numPr>
          <w:ilvl w:val="3"/>
          <w:numId w:val="46"/>
        </w:numPr>
        <w:ind w:left="0"/>
      </w:pPr>
      <w:r w:rsidRPr="00BB3933">
        <w:t>Water availability</w:t>
      </w:r>
    </w:p>
    <w:p w14:paraId="715FAF2A" w14:textId="77777777" w:rsidR="00450436" w:rsidRPr="00BB3933" w:rsidRDefault="00450436" w:rsidP="00450436">
      <w:r w:rsidRPr="00BB3933">
        <w:t xml:space="preserve">The volume of Commonwealth environmental water carried over in Murrumbidgee </w:t>
      </w:r>
      <w:r>
        <w:t>River Valley</w:t>
      </w:r>
      <w:r w:rsidRPr="00BB3933">
        <w:t xml:space="preserve"> for use in 2020-21 is 6</w:t>
      </w:r>
      <w:r>
        <w:t>2</w:t>
      </w:r>
      <w:r w:rsidRPr="00BB3933">
        <w:t xml:space="preserve"> </w:t>
      </w:r>
      <w:r>
        <w:t>gigalitres</w:t>
      </w:r>
      <w:r w:rsidRPr="00BB3933">
        <w:t xml:space="preserve">. </w:t>
      </w:r>
    </w:p>
    <w:p w14:paraId="7ECFD5FD" w14:textId="77777777" w:rsidR="00450436" w:rsidRPr="00BB3933" w:rsidRDefault="00450436" w:rsidP="00450436">
      <w:pPr>
        <w:spacing w:after="0"/>
      </w:pPr>
      <w:r w:rsidRPr="00BB3933">
        <w:t xml:space="preserve">Allocations against Commonwealth water entitlements in the Murrumbidgee </w:t>
      </w:r>
      <w:r>
        <w:t>River Valley</w:t>
      </w:r>
      <w:r w:rsidRPr="00BB3933">
        <w:t xml:space="preserve"> are determined by state governments and will vary depending on inflows.</w:t>
      </w:r>
      <w:r>
        <w:t xml:space="preserve"> On 1 July 2020, the NSW Department of Planning, Industry and Environment (2020b) announced full opening allocations to high security (i.e. 95 per cent allocation) and conveyance entitlements as per the valley’s water sharing plan, and 10 per cent allocation to general security entitlements. Based on this, approximately 137 GL of Commonwealth environmental water is available for use in the Murrumbidgee River Valley as at 1 July 2020. </w:t>
      </w:r>
      <w:r w:rsidRPr="00BB3933">
        <w:t xml:space="preserve"> </w:t>
      </w:r>
    </w:p>
    <w:p w14:paraId="0651554E" w14:textId="77777777" w:rsidR="00450436" w:rsidRPr="00BB3933" w:rsidRDefault="00450436" w:rsidP="00450436">
      <w:pPr>
        <w:spacing w:after="0"/>
        <w:rPr>
          <w:rFonts w:ascii="Calibri" w:hAnsi="Calibri" w:cs="Calibri"/>
          <w:color w:val="auto"/>
        </w:rPr>
      </w:pPr>
    </w:p>
    <w:p w14:paraId="794257B1" w14:textId="77777777" w:rsidR="00450436" w:rsidRPr="00A41540" w:rsidRDefault="00450436" w:rsidP="00450436">
      <w:r w:rsidRPr="00BB3933">
        <w:t xml:space="preserve">Based on the expected available volume of water held by the Commonwealth and other water holders (including carryover and forecast allocations), as well as recent and forecast catchment conditions, it is expected that the overall resource availability will be low to moderate in 2020–21. High to very high resource scenarios are only possible if conditions become </w:t>
      </w:r>
      <w:r>
        <w:t xml:space="preserve">substantially </w:t>
      </w:r>
      <w:r w:rsidRPr="00BB3933">
        <w:t>wetter.</w:t>
      </w:r>
    </w:p>
    <w:p w14:paraId="012B10A6" w14:textId="77777777" w:rsidR="00450436" w:rsidRPr="00365FE2" w:rsidRDefault="00450436" w:rsidP="00450436">
      <w:pPr>
        <w:pStyle w:val="Heading4"/>
        <w:numPr>
          <w:ilvl w:val="3"/>
          <w:numId w:val="46"/>
        </w:numPr>
        <w:ind w:left="0"/>
      </w:pPr>
      <w:r w:rsidRPr="00365FE2">
        <w:t>Environmental demands</w:t>
      </w:r>
    </w:p>
    <w:p w14:paraId="6C2A60C8" w14:textId="6CAB6584" w:rsidR="00450436" w:rsidRPr="00365FE2" w:rsidRDefault="00450436" w:rsidP="00450436">
      <w:r w:rsidRPr="00365FE2">
        <w:t xml:space="preserve">The environmental water demands for assets in the </w:t>
      </w:r>
      <w:r w:rsidRPr="005D223E">
        <w:t>Murrumbidgee River Valley</w:t>
      </w:r>
      <w:r w:rsidRPr="00365FE2">
        <w:t xml:space="preserve"> in 2020–21 are represented </w:t>
      </w:r>
      <w:r w:rsidRPr="0077275B">
        <w:t xml:space="preserve">in </w:t>
      </w:r>
      <w:r w:rsidRPr="0077275B">
        <w:fldChar w:fldCharType="begin"/>
      </w:r>
      <w:r w:rsidRPr="0077275B">
        <w:instrText xml:space="preserve"> REF _Ref439688367 \h  \* MERGEFORMAT </w:instrText>
      </w:r>
      <w:r w:rsidRPr="0077275B">
        <w:fldChar w:fldCharType="separate"/>
      </w:r>
      <w:r w:rsidR="001B2852" w:rsidRPr="001B2852">
        <w:t xml:space="preserve">Table </w:t>
      </w:r>
      <w:r w:rsidR="001B2852" w:rsidRPr="001B2852">
        <w:rPr>
          <w:noProof/>
        </w:rPr>
        <w:t>38</w:t>
      </w:r>
      <w:r w:rsidRPr="0077275B">
        <w:fldChar w:fldCharType="end"/>
      </w:r>
      <w:r w:rsidRPr="0077275B">
        <w:t>. The</w:t>
      </w:r>
      <w:r w:rsidRPr="00365FE2">
        <w:t xml:space="preserve"> capacity to contribute to </w:t>
      </w:r>
      <w:r>
        <w:t xml:space="preserve">some of </w:t>
      </w:r>
      <w:r w:rsidRPr="00365FE2">
        <w:t xml:space="preserve">these environmental demands </w:t>
      </w:r>
      <w:r>
        <w:t>are</w:t>
      </w:r>
      <w:r w:rsidRPr="00365FE2">
        <w:t xml:space="preserve"> contingent on a substantial improvement in water availability in the catchment.</w:t>
      </w:r>
      <w:r w:rsidRPr="00A41540">
        <w:t xml:space="preserve"> For example, a low</w:t>
      </w:r>
      <w:r>
        <w:t>-</w:t>
      </w:r>
      <w:r w:rsidRPr="00A41540">
        <w:t>level mid-Murrumbidgee reconnection is a high priority under all water resource scenarios</w:t>
      </w:r>
      <w:r>
        <w:t>,</w:t>
      </w:r>
      <w:r w:rsidRPr="00A41540">
        <w:t xml:space="preserve"> however</w:t>
      </w:r>
      <w:r>
        <w:t>,</w:t>
      </w:r>
      <w:r w:rsidRPr="00A41540">
        <w:t xml:space="preserve"> under a low water resource availability, there would be insufficient environmental water for this action to proceed.</w:t>
      </w:r>
    </w:p>
    <w:p w14:paraId="30CFC681" w14:textId="77777777" w:rsidR="00450436" w:rsidRPr="000F4C60" w:rsidRDefault="00450436" w:rsidP="00450436">
      <w:pPr>
        <w:pStyle w:val="NormalWeb"/>
        <w:spacing w:after="240"/>
        <w:rPr>
          <w:rFonts w:ascii="Century Gothic" w:hAnsi="Century Gothic"/>
        </w:rPr>
        <w:sectPr w:rsidR="00450436" w:rsidRPr="000F4C60" w:rsidSect="00583873">
          <w:pgSz w:w="11906" w:h="16838"/>
          <w:pgMar w:top="993" w:right="1133" w:bottom="1135" w:left="993" w:header="567" w:footer="397" w:gutter="0"/>
          <w:cols w:space="708"/>
          <w:docGrid w:linePitch="360"/>
        </w:sectPr>
      </w:pPr>
    </w:p>
    <w:p w14:paraId="2DFF0CD2" w14:textId="3EEBE1E8" w:rsidR="00450436" w:rsidRPr="00322EA3" w:rsidRDefault="00450436" w:rsidP="00450436">
      <w:pPr>
        <w:rPr>
          <w:b/>
        </w:rPr>
      </w:pPr>
      <w:bookmarkStart w:id="161" w:name="_Ref439688367"/>
      <w:r w:rsidRPr="0077275B">
        <w:rPr>
          <w:b/>
        </w:rPr>
        <w:lastRenderedPageBreak/>
        <w:t xml:space="preserve">Table </w:t>
      </w:r>
      <w:r w:rsidRPr="0077275B">
        <w:rPr>
          <w:b/>
        </w:rPr>
        <w:fldChar w:fldCharType="begin"/>
      </w:r>
      <w:r w:rsidRPr="0077275B">
        <w:rPr>
          <w:b/>
        </w:rPr>
        <w:instrText xml:space="preserve"> SEQ Table \* ARABIC </w:instrText>
      </w:r>
      <w:r w:rsidRPr="0077275B">
        <w:rPr>
          <w:b/>
        </w:rPr>
        <w:fldChar w:fldCharType="separate"/>
      </w:r>
      <w:r w:rsidR="001B2852">
        <w:rPr>
          <w:b/>
          <w:noProof/>
        </w:rPr>
        <w:t>38</w:t>
      </w:r>
      <w:r w:rsidRPr="0077275B">
        <w:rPr>
          <w:b/>
        </w:rPr>
        <w:fldChar w:fldCharType="end"/>
      </w:r>
      <w:bookmarkEnd w:id="161"/>
      <w:r w:rsidRPr="00322EA3">
        <w:t>: Environmental demands, priority for watering in 20</w:t>
      </w:r>
      <w:r>
        <w:t xml:space="preserve">20-21 </w:t>
      </w:r>
      <w:r w:rsidRPr="00322EA3">
        <w:t xml:space="preserve">and outlook for coming year in the Murrumbidgee </w:t>
      </w:r>
      <w:r>
        <w:t>River Valley</w:t>
      </w:r>
      <w:r w:rsidRPr="00322EA3">
        <w:t>.</w:t>
      </w:r>
    </w:p>
    <w:tbl>
      <w:tblPr>
        <w:tblW w:w="21967" w:type="dxa"/>
        <w:tblLayout w:type="fixed"/>
        <w:tblLook w:val="04A0" w:firstRow="1" w:lastRow="0" w:firstColumn="1" w:lastColumn="0" w:noHBand="0" w:noVBand="1"/>
      </w:tblPr>
      <w:tblGrid>
        <w:gridCol w:w="2547"/>
        <w:gridCol w:w="4111"/>
        <w:gridCol w:w="2041"/>
        <w:gridCol w:w="4763"/>
        <w:gridCol w:w="1984"/>
        <w:gridCol w:w="4253"/>
        <w:gridCol w:w="2268"/>
      </w:tblGrid>
      <w:tr w:rsidR="00450436" w:rsidRPr="00453AB8" w14:paraId="5D63F514" w14:textId="77777777" w:rsidTr="00583873">
        <w:trPr>
          <w:trHeight w:val="307"/>
          <w:tblHeader/>
        </w:trPr>
        <w:tc>
          <w:tcPr>
            <w:tcW w:w="2547" w:type="dxa"/>
            <w:vMerge w:val="restart"/>
            <w:tcBorders>
              <w:top w:val="single" w:sz="12" w:space="0" w:color="auto"/>
              <w:left w:val="single" w:sz="12" w:space="0" w:color="auto"/>
              <w:bottom w:val="single" w:sz="4" w:space="0" w:color="auto"/>
              <w:right w:val="single" w:sz="4" w:space="0" w:color="auto"/>
            </w:tcBorders>
            <w:shd w:val="clear" w:color="auto" w:fill="B6DDE8" w:themeFill="accent5" w:themeFillTint="66"/>
            <w:vAlign w:val="center"/>
            <w:hideMark/>
          </w:tcPr>
          <w:p w14:paraId="2C9B927B" w14:textId="77777777" w:rsidR="00450436" w:rsidRPr="0077275B" w:rsidRDefault="00450436" w:rsidP="00583873">
            <w:pPr>
              <w:jc w:val="center"/>
              <w:rPr>
                <w:rFonts w:cstheme="minorHAnsi"/>
                <w:b/>
                <w:sz w:val="18"/>
                <w:szCs w:val="18"/>
              </w:rPr>
            </w:pPr>
            <w:r w:rsidRPr="0077275B">
              <w:rPr>
                <w:rFonts w:cstheme="minorHAnsi"/>
                <w:b/>
                <w:sz w:val="18"/>
                <w:szCs w:val="18"/>
              </w:rPr>
              <w:t>Environmental assets and Long</w:t>
            </w:r>
            <w:r>
              <w:rPr>
                <w:rFonts w:cstheme="minorHAnsi"/>
                <w:b/>
                <w:sz w:val="18"/>
                <w:szCs w:val="18"/>
              </w:rPr>
              <w:t> </w:t>
            </w:r>
            <w:r w:rsidRPr="0077275B">
              <w:rPr>
                <w:rFonts w:cstheme="minorHAnsi"/>
                <w:b/>
                <w:sz w:val="18"/>
                <w:szCs w:val="18"/>
              </w:rPr>
              <w:t>Term Water Plan planning units (PU) (see description at bottom of table)</w:t>
            </w:r>
          </w:p>
        </w:tc>
        <w:tc>
          <w:tcPr>
            <w:tcW w:w="6152" w:type="dxa"/>
            <w:gridSpan w:val="2"/>
            <w:tcBorders>
              <w:top w:val="single" w:sz="12" w:space="0" w:color="auto"/>
              <w:left w:val="nil"/>
              <w:bottom w:val="single" w:sz="4" w:space="0" w:color="auto"/>
              <w:right w:val="single" w:sz="4" w:space="0" w:color="auto"/>
            </w:tcBorders>
            <w:shd w:val="clear" w:color="auto" w:fill="B6DDE8" w:themeFill="accent5" w:themeFillTint="66"/>
            <w:vAlign w:val="center"/>
            <w:hideMark/>
          </w:tcPr>
          <w:p w14:paraId="674F4961" w14:textId="77777777" w:rsidR="00450436" w:rsidRPr="0077275B" w:rsidRDefault="00450436" w:rsidP="00583873">
            <w:pPr>
              <w:jc w:val="center"/>
              <w:rPr>
                <w:rFonts w:cstheme="minorHAnsi"/>
                <w:b/>
                <w:sz w:val="18"/>
                <w:szCs w:val="18"/>
              </w:rPr>
            </w:pPr>
            <w:r w:rsidRPr="0077275B">
              <w:rPr>
                <w:rFonts w:cstheme="minorHAnsi"/>
                <w:b/>
                <w:sz w:val="18"/>
                <w:szCs w:val="18"/>
              </w:rPr>
              <w:t xml:space="preserve">Indicative demand (for </w:t>
            </w:r>
            <w:r w:rsidRPr="0077275B">
              <w:rPr>
                <w:rFonts w:cstheme="minorHAnsi"/>
                <w:b/>
                <w:sz w:val="18"/>
                <w:szCs w:val="18"/>
                <w:u w:val="single"/>
              </w:rPr>
              <w:t>all sources of water</w:t>
            </w:r>
            <w:r w:rsidRPr="0077275B">
              <w:rPr>
                <w:rFonts w:cstheme="minorHAnsi"/>
                <w:b/>
                <w:sz w:val="18"/>
                <w:szCs w:val="18"/>
              </w:rPr>
              <w:t xml:space="preserve"> in the system)</w:t>
            </w:r>
            <w:r w:rsidRPr="0077275B">
              <w:rPr>
                <w:rFonts w:cstheme="minorHAnsi"/>
                <w:b/>
                <w:sz w:val="18"/>
                <w:szCs w:val="18"/>
                <w:vertAlign w:val="superscript"/>
              </w:rPr>
              <w:footnoteReference w:id="38"/>
            </w:r>
          </w:p>
        </w:tc>
        <w:tc>
          <w:tcPr>
            <w:tcW w:w="4763" w:type="dxa"/>
            <w:tcBorders>
              <w:top w:val="single" w:sz="12" w:space="0" w:color="auto"/>
              <w:left w:val="nil"/>
              <w:bottom w:val="single" w:sz="4" w:space="0" w:color="auto"/>
              <w:right w:val="single" w:sz="4" w:space="0" w:color="auto"/>
            </w:tcBorders>
            <w:shd w:val="clear" w:color="auto" w:fill="B6DDE8" w:themeFill="accent5" w:themeFillTint="66"/>
            <w:vAlign w:val="center"/>
            <w:hideMark/>
          </w:tcPr>
          <w:p w14:paraId="67BF0021" w14:textId="77777777" w:rsidR="00450436" w:rsidRPr="0077275B" w:rsidRDefault="00450436" w:rsidP="00583873">
            <w:pPr>
              <w:jc w:val="center"/>
              <w:rPr>
                <w:rFonts w:cstheme="minorHAnsi"/>
                <w:b/>
                <w:sz w:val="18"/>
                <w:szCs w:val="18"/>
              </w:rPr>
            </w:pPr>
            <w:r w:rsidRPr="0077275B">
              <w:rPr>
                <w:rFonts w:cstheme="minorHAnsi"/>
                <w:b/>
                <w:sz w:val="18"/>
                <w:szCs w:val="18"/>
              </w:rPr>
              <w:t>Watering history</w:t>
            </w:r>
          </w:p>
        </w:tc>
        <w:tc>
          <w:tcPr>
            <w:tcW w:w="6237" w:type="dxa"/>
            <w:gridSpan w:val="2"/>
            <w:tcBorders>
              <w:top w:val="single" w:sz="12" w:space="0" w:color="auto"/>
              <w:left w:val="nil"/>
              <w:bottom w:val="single" w:sz="4" w:space="0" w:color="auto"/>
              <w:right w:val="single" w:sz="4" w:space="0" w:color="auto"/>
            </w:tcBorders>
            <w:shd w:val="clear" w:color="auto" w:fill="B6DDE8" w:themeFill="accent5" w:themeFillTint="66"/>
            <w:vAlign w:val="center"/>
            <w:hideMark/>
          </w:tcPr>
          <w:p w14:paraId="2574CF6D" w14:textId="77777777" w:rsidR="00450436" w:rsidRPr="00453AB8" w:rsidRDefault="00450436" w:rsidP="00583873">
            <w:pPr>
              <w:jc w:val="center"/>
              <w:rPr>
                <w:rFonts w:cstheme="minorHAnsi"/>
                <w:b/>
                <w:color w:val="auto"/>
                <w:sz w:val="18"/>
                <w:szCs w:val="18"/>
              </w:rPr>
            </w:pPr>
            <w:r w:rsidRPr="00453AB8">
              <w:rPr>
                <w:rFonts w:cstheme="minorHAnsi"/>
                <w:b/>
                <w:color w:val="auto"/>
                <w:sz w:val="18"/>
                <w:szCs w:val="18"/>
              </w:rPr>
              <w:t>2020-21</w:t>
            </w:r>
          </w:p>
        </w:tc>
        <w:tc>
          <w:tcPr>
            <w:tcW w:w="2268" w:type="dxa"/>
            <w:tcBorders>
              <w:top w:val="single" w:sz="12" w:space="0" w:color="auto"/>
              <w:left w:val="nil"/>
              <w:bottom w:val="single" w:sz="4" w:space="0" w:color="auto"/>
              <w:right w:val="single" w:sz="12" w:space="0" w:color="auto"/>
            </w:tcBorders>
            <w:shd w:val="clear" w:color="auto" w:fill="B6DDE8" w:themeFill="accent5" w:themeFillTint="66"/>
            <w:vAlign w:val="center"/>
            <w:hideMark/>
          </w:tcPr>
          <w:p w14:paraId="0D464F7C" w14:textId="77777777" w:rsidR="00450436" w:rsidRPr="00453AB8" w:rsidRDefault="00450436" w:rsidP="00583873">
            <w:pPr>
              <w:jc w:val="center"/>
              <w:rPr>
                <w:rFonts w:cstheme="minorHAnsi"/>
                <w:b/>
                <w:color w:val="auto"/>
                <w:sz w:val="18"/>
                <w:szCs w:val="18"/>
              </w:rPr>
            </w:pPr>
            <w:r w:rsidRPr="00453AB8">
              <w:rPr>
                <w:rFonts w:cstheme="minorHAnsi"/>
                <w:b/>
                <w:color w:val="auto"/>
                <w:sz w:val="18"/>
                <w:szCs w:val="18"/>
              </w:rPr>
              <w:t>Implications for future demands</w:t>
            </w:r>
          </w:p>
        </w:tc>
      </w:tr>
      <w:tr w:rsidR="00450436" w:rsidRPr="00453AB8" w14:paraId="0285D117" w14:textId="77777777" w:rsidTr="00583873">
        <w:trPr>
          <w:trHeight w:val="862"/>
        </w:trPr>
        <w:tc>
          <w:tcPr>
            <w:tcW w:w="2547" w:type="dxa"/>
            <w:vMerge/>
            <w:tcBorders>
              <w:top w:val="single" w:sz="4" w:space="0" w:color="auto"/>
              <w:left w:val="single" w:sz="12" w:space="0" w:color="auto"/>
              <w:bottom w:val="single" w:sz="12" w:space="0" w:color="auto"/>
              <w:right w:val="single" w:sz="4" w:space="0" w:color="auto"/>
            </w:tcBorders>
            <w:shd w:val="clear" w:color="auto" w:fill="B6DDE8" w:themeFill="accent5" w:themeFillTint="66"/>
            <w:vAlign w:val="center"/>
            <w:hideMark/>
          </w:tcPr>
          <w:p w14:paraId="5EBDE079" w14:textId="77777777" w:rsidR="00450436" w:rsidRPr="0077275B" w:rsidRDefault="00450436" w:rsidP="00583873">
            <w:pPr>
              <w:jc w:val="center"/>
              <w:rPr>
                <w:rFonts w:cstheme="minorHAnsi"/>
                <w:b/>
                <w:sz w:val="18"/>
                <w:szCs w:val="18"/>
              </w:rPr>
            </w:pPr>
          </w:p>
        </w:tc>
        <w:tc>
          <w:tcPr>
            <w:tcW w:w="4111" w:type="dxa"/>
            <w:tcBorders>
              <w:top w:val="single" w:sz="4" w:space="0" w:color="auto"/>
              <w:left w:val="single" w:sz="4" w:space="0" w:color="auto"/>
              <w:bottom w:val="single" w:sz="12" w:space="0" w:color="auto"/>
              <w:right w:val="single" w:sz="4" w:space="0" w:color="auto"/>
            </w:tcBorders>
            <w:shd w:val="clear" w:color="auto" w:fill="B6DDE8" w:themeFill="accent5" w:themeFillTint="66"/>
            <w:vAlign w:val="center"/>
            <w:hideMark/>
          </w:tcPr>
          <w:p w14:paraId="3559647D" w14:textId="77777777" w:rsidR="00450436" w:rsidRPr="0077275B" w:rsidRDefault="00450436" w:rsidP="00583873">
            <w:pPr>
              <w:jc w:val="center"/>
              <w:rPr>
                <w:rFonts w:cstheme="minorHAnsi"/>
                <w:b/>
                <w:sz w:val="18"/>
                <w:szCs w:val="18"/>
              </w:rPr>
            </w:pPr>
            <w:r w:rsidRPr="0077275B">
              <w:rPr>
                <w:rFonts w:cstheme="minorHAnsi"/>
                <w:b/>
                <w:sz w:val="18"/>
                <w:szCs w:val="18"/>
              </w:rPr>
              <w:t>Flow/Volume</w:t>
            </w:r>
          </w:p>
        </w:tc>
        <w:tc>
          <w:tcPr>
            <w:tcW w:w="2041" w:type="dxa"/>
            <w:tcBorders>
              <w:top w:val="single" w:sz="4" w:space="0" w:color="auto"/>
              <w:left w:val="single" w:sz="4" w:space="0" w:color="auto"/>
              <w:bottom w:val="single" w:sz="12" w:space="0" w:color="auto"/>
              <w:right w:val="single" w:sz="4" w:space="0" w:color="auto"/>
            </w:tcBorders>
            <w:shd w:val="clear" w:color="auto" w:fill="B6DDE8" w:themeFill="accent5" w:themeFillTint="66"/>
            <w:vAlign w:val="center"/>
            <w:hideMark/>
          </w:tcPr>
          <w:p w14:paraId="4170E3C8" w14:textId="77777777" w:rsidR="00450436" w:rsidRPr="0077275B" w:rsidRDefault="00450436" w:rsidP="00583873">
            <w:pPr>
              <w:jc w:val="center"/>
              <w:rPr>
                <w:rFonts w:cstheme="minorHAnsi"/>
                <w:b/>
                <w:sz w:val="18"/>
                <w:szCs w:val="18"/>
              </w:rPr>
            </w:pPr>
            <w:r w:rsidRPr="0077275B">
              <w:rPr>
                <w:rFonts w:cstheme="minorHAnsi"/>
                <w:b/>
                <w:sz w:val="18"/>
                <w:szCs w:val="18"/>
              </w:rPr>
              <w:t>Required frequency (maximum dry interval)</w:t>
            </w:r>
          </w:p>
        </w:tc>
        <w:tc>
          <w:tcPr>
            <w:tcW w:w="4763" w:type="dxa"/>
            <w:tcBorders>
              <w:top w:val="single" w:sz="4" w:space="0" w:color="auto"/>
              <w:left w:val="single" w:sz="4" w:space="0" w:color="auto"/>
              <w:bottom w:val="single" w:sz="12" w:space="0" w:color="auto"/>
              <w:right w:val="single" w:sz="4" w:space="0" w:color="auto"/>
            </w:tcBorders>
            <w:shd w:val="clear" w:color="auto" w:fill="B6DDE8" w:themeFill="accent5" w:themeFillTint="66"/>
            <w:vAlign w:val="center"/>
            <w:hideMark/>
          </w:tcPr>
          <w:p w14:paraId="22DF375D" w14:textId="77777777" w:rsidR="00450436" w:rsidRPr="0077275B" w:rsidRDefault="00450436" w:rsidP="00583873">
            <w:pPr>
              <w:jc w:val="center"/>
              <w:rPr>
                <w:rFonts w:cstheme="minorHAnsi"/>
                <w:b/>
                <w:sz w:val="18"/>
                <w:szCs w:val="18"/>
              </w:rPr>
            </w:pPr>
            <w:r w:rsidRPr="0077275B">
              <w:rPr>
                <w:rFonts w:cstheme="minorHAnsi"/>
                <w:b/>
                <w:sz w:val="18"/>
                <w:szCs w:val="18"/>
              </w:rPr>
              <w:t>(from all sources of water)</w:t>
            </w:r>
          </w:p>
        </w:tc>
        <w:tc>
          <w:tcPr>
            <w:tcW w:w="1984" w:type="dxa"/>
            <w:tcBorders>
              <w:top w:val="single" w:sz="4" w:space="0" w:color="auto"/>
              <w:left w:val="single" w:sz="4" w:space="0" w:color="auto"/>
              <w:bottom w:val="single" w:sz="12" w:space="0" w:color="auto"/>
              <w:right w:val="single" w:sz="4" w:space="0" w:color="auto"/>
            </w:tcBorders>
            <w:shd w:val="clear" w:color="auto" w:fill="B6DDE8" w:themeFill="accent5" w:themeFillTint="66"/>
            <w:vAlign w:val="center"/>
            <w:hideMark/>
          </w:tcPr>
          <w:p w14:paraId="685BBE1A" w14:textId="77777777" w:rsidR="00450436" w:rsidRPr="00453AB8" w:rsidRDefault="00450436" w:rsidP="00583873">
            <w:pPr>
              <w:jc w:val="center"/>
              <w:rPr>
                <w:rFonts w:cstheme="minorHAnsi"/>
                <w:b/>
                <w:color w:val="auto"/>
                <w:sz w:val="18"/>
                <w:szCs w:val="18"/>
              </w:rPr>
            </w:pPr>
            <w:r w:rsidRPr="00453AB8">
              <w:rPr>
                <w:rFonts w:cstheme="minorHAnsi"/>
                <w:b/>
                <w:color w:val="auto"/>
                <w:sz w:val="18"/>
                <w:szCs w:val="18"/>
              </w:rPr>
              <w:t>Environmental demands for water (all sources)</w:t>
            </w:r>
          </w:p>
        </w:tc>
        <w:tc>
          <w:tcPr>
            <w:tcW w:w="4253" w:type="dxa"/>
            <w:tcBorders>
              <w:top w:val="single" w:sz="4" w:space="0" w:color="auto"/>
              <w:left w:val="single" w:sz="4" w:space="0" w:color="auto"/>
              <w:bottom w:val="single" w:sz="12" w:space="0" w:color="auto"/>
              <w:right w:val="single" w:sz="4" w:space="0" w:color="auto"/>
            </w:tcBorders>
            <w:shd w:val="clear" w:color="auto" w:fill="B6DDE8" w:themeFill="accent5" w:themeFillTint="66"/>
            <w:vAlign w:val="center"/>
            <w:hideMark/>
          </w:tcPr>
          <w:p w14:paraId="2298EB0D" w14:textId="77777777" w:rsidR="00450436" w:rsidRPr="00453AB8" w:rsidRDefault="00450436" w:rsidP="00583873">
            <w:pPr>
              <w:jc w:val="center"/>
              <w:rPr>
                <w:rFonts w:cstheme="minorHAnsi"/>
                <w:b/>
                <w:color w:val="auto"/>
                <w:sz w:val="18"/>
                <w:szCs w:val="18"/>
              </w:rPr>
            </w:pPr>
            <w:r w:rsidRPr="00453AB8">
              <w:rPr>
                <w:rFonts w:cstheme="minorHAnsi"/>
                <w:b/>
                <w:color w:val="auto"/>
                <w:sz w:val="18"/>
                <w:szCs w:val="18"/>
              </w:rPr>
              <w:t>Potential Commonwealth environmental water contribution?</w:t>
            </w:r>
          </w:p>
        </w:tc>
        <w:tc>
          <w:tcPr>
            <w:tcW w:w="2268" w:type="dxa"/>
            <w:tcBorders>
              <w:top w:val="single" w:sz="4" w:space="0" w:color="auto"/>
              <w:left w:val="single" w:sz="4" w:space="0" w:color="auto"/>
              <w:bottom w:val="single" w:sz="12" w:space="0" w:color="auto"/>
              <w:right w:val="single" w:sz="12" w:space="0" w:color="auto"/>
            </w:tcBorders>
            <w:shd w:val="clear" w:color="auto" w:fill="B6DDE8" w:themeFill="accent5" w:themeFillTint="66"/>
            <w:vAlign w:val="center"/>
            <w:hideMark/>
          </w:tcPr>
          <w:p w14:paraId="5F7E1202" w14:textId="77777777" w:rsidR="00450436" w:rsidRPr="00453AB8" w:rsidRDefault="00450436" w:rsidP="00583873">
            <w:pPr>
              <w:jc w:val="center"/>
              <w:rPr>
                <w:rFonts w:cstheme="minorHAnsi"/>
                <w:b/>
                <w:color w:val="auto"/>
                <w:sz w:val="18"/>
                <w:szCs w:val="18"/>
              </w:rPr>
            </w:pPr>
            <w:r w:rsidRPr="00453AB8">
              <w:rPr>
                <w:rFonts w:cstheme="minorHAnsi"/>
                <w:b/>
                <w:color w:val="auto"/>
                <w:sz w:val="18"/>
                <w:szCs w:val="18"/>
              </w:rPr>
              <w:t>Likely urgency of demand in 2021–22 if watering occurred as planned in 2020-2021</w:t>
            </w:r>
          </w:p>
        </w:tc>
      </w:tr>
      <w:tr w:rsidR="00450436" w:rsidRPr="00453AB8" w14:paraId="304A0742" w14:textId="77777777" w:rsidTr="00583873">
        <w:trPr>
          <w:trHeight w:val="1545"/>
        </w:trPr>
        <w:tc>
          <w:tcPr>
            <w:tcW w:w="2547" w:type="dxa"/>
            <w:vMerge w:val="restart"/>
            <w:tcBorders>
              <w:top w:val="single" w:sz="12" w:space="0" w:color="auto"/>
              <w:left w:val="single" w:sz="12" w:space="0" w:color="auto"/>
              <w:bottom w:val="single" w:sz="4" w:space="0" w:color="auto"/>
              <w:right w:val="single" w:sz="4" w:space="0" w:color="auto"/>
            </w:tcBorders>
            <w:shd w:val="clear" w:color="auto" w:fill="auto"/>
          </w:tcPr>
          <w:p w14:paraId="62B30438" w14:textId="77777777" w:rsidR="00450436" w:rsidRPr="0077275B" w:rsidRDefault="00450436" w:rsidP="00583873">
            <w:pPr>
              <w:rPr>
                <w:rFonts w:cstheme="minorHAnsi"/>
                <w:color w:val="auto"/>
                <w:sz w:val="18"/>
                <w:szCs w:val="18"/>
              </w:rPr>
            </w:pPr>
            <w:r w:rsidRPr="0077275B">
              <w:rPr>
                <w:rFonts w:cstheme="minorHAnsi"/>
                <w:color w:val="auto"/>
                <w:sz w:val="18"/>
                <w:szCs w:val="18"/>
              </w:rPr>
              <w:t>Mid-Murrumbidgee Wetlands</w:t>
            </w:r>
            <w:r w:rsidRPr="0077275B">
              <w:rPr>
                <w:rFonts w:cstheme="minorHAnsi"/>
                <w:color w:val="auto"/>
                <w:sz w:val="18"/>
                <w:szCs w:val="18"/>
                <w:vertAlign w:val="superscript"/>
              </w:rPr>
              <w:footnoteReference w:id="39"/>
            </w:r>
            <w:r w:rsidRPr="0077275B">
              <w:rPr>
                <w:rFonts w:cstheme="minorHAnsi"/>
                <w:color w:val="auto"/>
                <w:sz w:val="18"/>
                <w:szCs w:val="18"/>
              </w:rPr>
              <w:t xml:space="preserve"> (includes pumping to Toogimbie Indigenous Protected Area) (PU 4, 5, 6, 9 and may also contribute flows in PU 7, 8, 10, 11, 12, 13)</w:t>
            </w:r>
          </w:p>
        </w:tc>
        <w:tc>
          <w:tcPr>
            <w:tcW w:w="4111" w:type="dxa"/>
            <w:tcBorders>
              <w:top w:val="single" w:sz="12" w:space="0" w:color="auto"/>
              <w:left w:val="single" w:sz="4" w:space="0" w:color="auto"/>
              <w:bottom w:val="single" w:sz="4" w:space="0" w:color="auto"/>
              <w:right w:val="single" w:sz="4" w:space="0" w:color="auto"/>
            </w:tcBorders>
            <w:shd w:val="clear" w:color="auto" w:fill="auto"/>
            <w:vAlign w:val="center"/>
          </w:tcPr>
          <w:p w14:paraId="08B5C046" w14:textId="77777777" w:rsidR="00450436" w:rsidRPr="0077275B" w:rsidRDefault="00450436" w:rsidP="00583873">
            <w:pPr>
              <w:rPr>
                <w:rFonts w:cstheme="minorHAnsi"/>
                <w:color w:val="auto"/>
                <w:sz w:val="18"/>
                <w:szCs w:val="18"/>
              </w:rPr>
            </w:pPr>
            <w:r w:rsidRPr="0077275B">
              <w:rPr>
                <w:rFonts w:cstheme="minorHAnsi"/>
                <w:color w:val="auto"/>
                <w:sz w:val="18"/>
                <w:szCs w:val="18"/>
              </w:rPr>
              <w:t>Infrastructure assisted delivery to individual high priority wetland assets targeting provision of refuge</w:t>
            </w:r>
            <w:r>
              <w:rPr>
                <w:rFonts w:cstheme="minorHAnsi"/>
                <w:color w:val="auto"/>
                <w:sz w:val="18"/>
                <w:szCs w:val="18"/>
              </w:rPr>
              <w:t> </w:t>
            </w:r>
            <w:r w:rsidRPr="0077275B">
              <w:rPr>
                <w:rFonts w:cstheme="minorHAnsi"/>
                <w:color w:val="auto"/>
                <w:sz w:val="18"/>
                <w:szCs w:val="18"/>
              </w:rPr>
              <w:t>habitat and maintenance of wetland vegetation (minimum of 4 GL required under a very low inflow scenario to support critical refuge requirements) (PU</w:t>
            </w:r>
            <w:r>
              <w:rPr>
                <w:rFonts w:cstheme="minorHAnsi"/>
                <w:color w:val="auto"/>
                <w:sz w:val="18"/>
                <w:szCs w:val="18"/>
              </w:rPr>
              <w:t> </w:t>
            </w:r>
            <w:r w:rsidRPr="0077275B">
              <w:rPr>
                <w:rFonts w:cstheme="minorHAnsi"/>
                <w:color w:val="auto"/>
                <w:sz w:val="18"/>
                <w:szCs w:val="18"/>
              </w:rPr>
              <w:t>6)</w:t>
            </w:r>
          </w:p>
        </w:tc>
        <w:tc>
          <w:tcPr>
            <w:tcW w:w="2041" w:type="dxa"/>
            <w:tcBorders>
              <w:top w:val="single" w:sz="12" w:space="0" w:color="auto"/>
              <w:left w:val="single" w:sz="4" w:space="0" w:color="auto"/>
              <w:bottom w:val="single" w:sz="4" w:space="0" w:color="auto"/>
              <w:right w:val="single" w:sz="4" w:space="0" w:color="auto"/>
            </w:tcBorders>
            <w:shd w:val="clear" w:color="auto" w:fill="auto"/>
            <w:vAlign w:val="center"/>
          </w:tcPr>
          <w:p w14:paraId="3F9E0570"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8 in every 10 years – annual</w:t>
            </w:r>
          </w:p>
          <w:p w14:paraId="2C436285"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(2 years)</w:t>
            </w:r>
          </w:p>
        </w:tc>
        <w:tc>
          <w:tcPr>
            <w:tcW w:w="4763" w:type="dxa"/>
            <w:tcBorders>
              <w:top w:val="single" w:sz="12" w:space="0" w:color="auto"/>
              <w:left w:val="single" w:sz="4" w:space="0" w:color="auto"/>
              <w:bottom w:val="single" w:sz="4" w:space="0" w:color="auto"/>
              <w:right w:val="single" w:sz="4" w:space="0" w:color="auto"/>
            </w:tcBorders>
            <w:shd w:val="clear" w:color="auto" w:fill="auto"/>
            <w:vAlign w:val="center"/>
          </w:tcPr>
          <w:p w14:paraId="30275113"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Demand met or partially met over the last 5 years</w:t>
            </w:r>
          </w:p>
        </w:tc>
        <w:tc>
          <w:tcPr>
            <w:tcW w:w="1984" w:type="dxa"/>
            <w:tcBorders>
              <w:top w:val="single" w:sz="12" w:space="0" w:color="auto"/>
              <w:left w:val="single" w:sz="4" w:space="0" w:color="auto"/>
              <w:bottom w:val="single" w:sz="4" w:space="0" w:color="auto"/>
              <w:right w:val="single" w:sz="4" w:space="0" w:color="auto"/>
            </w:tcBorders>
            <w:shd w:val="clear" w:color="auto" w:fill="C00000"/>
            <w:vAlign w:val="center"/>
          </w:tcPr>
          <w:p w14:paraId="6F5E07B0"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 to CRITICAL</w:t>
            </w:r>
          </w:p>
          <w:p w14:paraId="0559D736"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To provide refuge habitat for aquatic animals and maintain established aquatic habitat.</w:t>
            </w:r>
            <w:r w:rsidRPr="00453AB8">
              <w:rPr>
                <w:rFonts w:cstheme="minorHAnsi"/>
                <w:color w:val="auto"/>
                <w:sz w:val="18"/>
                <w:szCs w:val="18"/>
              </w:rPr>
              <w:br/>
              <w:t>However overbank connection is preferred</w:t>
            </w:r>
          </w:p>
        </w:tc>
        <w:tc>
          <w:tcPr>
            <w:tcW w:w="4253" w:type="dxa"/>
            <w:tcBorders>
              <w:top w:val="single" w:sz="12" w:space="0" w:color="auto"/>
              <w:left w:val="single" w:sz="4" w:space="0" w:color="auto"/>
              <w:bottom w:val="single" w:sz="4" w:space="0" w:color="auto"/>
              <w:right w:val="single" w:sz="4" w:space="0" w:color="auto"/>
            </w:tcBorders>
            <w:shd w:val="clear" w:color="auto" w:fill="365F91" w:themeFill="accent1" w:themeFillShade="BF"/>
            <w:vAlign w:val="center"/>
          </w:tcPr>
          <w:p w14:paraId="62A1F839" w14:textId="77777777" w:rsidR="00450436" w:rsidRPr="00453AB8" w:rsidRDefault="00450436" w:rsidP="00583873">
            <w:pPr>
              <w:jc w:val="center"/>
              <w:rPr>
                <w:rFonts w:cstheme="minorHAnsi"/>
                <w:color w:val="auto"/>
                <w:sz w:val="18"/>
                <w:szCs w:val="18"/>
              </w:rPr>
            </w:pPr>
            <w:bookmarkStart w:id="162" w:name="_Hlk40358205"/>
            <w:r w:rsidRPr="00453AB8">
              <w:rPr>
                <w:rFonts w:cstheme="minorHAnsi"/>
                <w:color w:val="auto"/>
                <w:sz w:val="18"/>
                <w:szCs w:val="18"/>
              </w:rPr>
              <w:t>High Potential for water use under Very Low to Moderate inflow scenarios</w:t>
            </w:r>
            <w:r w:rsidRPr="00453AB8">
              <w:rPr>
                <w:rFonts w:cstheme="minorHAnsi"/>
                <w:color w:val="auto"/>
                <w:sz w:val="18"/>
                <w:szCs w:val="18"/>
              </w:rPr>
              <w:br/>
              <w:t>Up to 16 GL (volume contributed will be dependent on resource availability/antecedent conditions, with a minimum of 4.5 GL required under a Very Low inflow scenario)</w:t>
            </w:r>
            <w:bookmarkEnd w:id="162"/>
          </w:p>
        </w:tc>
        <w:tc>
          <w:tcPr>
            <w:tcW w:w="2268" w:type="dxa"/>
            <w:tcBorders>
              <w:top w:val="single" w:sz="12" w:space="0" w:color="auto"/>
              <w:left w:val="single" w:sz="4" w:space="0" w:color="auto"/>
              <w:bottom w:val="single" w:sz="4" w:space="0" w:color="auto"/>
              <w:right w:val="single" w:sz="12" w:space="0" w:color="auto"/>
            </w:tcBorders>
            <w:shd w:val="clear" w:color="auto" w:fill="C00000"/>
            <w:vAlign w:val="center"/>
          </w:tcPr>
          <w:p w14:paraId="7ABC9917"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 TO CRITICAL</w:t>
            </w:r>
          </w:p>
        </w:tc>
      </w:tr>
      <w:tr w:rsidR="00450436" w:rsidRPr="00453AB8" w14:paraId="1513A166" w14:textId="77777777" w:rsidTr="00583873">
        <w:trPr>
          <w:trHeight w:val="1527"/>
        </w:trPr>
        <w:tc>
          <w:tcPr>
            <w:tcW w:w="2547" w:type="dxa"/>
            <w:vMerge/>
            <w:tcBorders>
              <w:top w:val="single" w:sz="4" w:space="0" w:color="auto"/>
              <w:left w:val="single" w:sz="12" w:space="0" w:color="auto"/>
              <w:bottom w:val="single" w:sz="4" w:space="0" w:color="auto"/>
              <w:right w:val="single" w:sz="4" w:space="0" w:color="auto"/>
            </w:tcBorders>
            <w:shd w:val="clear" w:color="auto" w:fill="auto"/>
          </w:tcPr>
          <w:p w14:paraId="23054B37" w14:textId="77777777" w:rsidR="00450436" w:rsidRPr="0077275B" w:rsidRDefault="00450436" w:rsidP="00583873">
            <w:pPr>
              <w:rPr>
                <w:rFonts w:cstheme="minorHAnsi"/>
                <w:color w:val="auto"/>
                <w:sz w:val="18"/>
                <w:szCs w:val="18"/>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1D234776" w14:textId="77777777" w:rsidR="00450436" w:rsidRPr="0077275B" w:rsidRDefault="00450436" w:rsidP="00583873">
            <w:pPr>
              <w:rPr>
                <w:rFonts w:cstheme="minorHAnsi"/>
                <w:color w:val="auto"/>
                <w:sz w:val="18"/>
                <w:szCs w:val="18"/>
              </w:rPr>
            </w:pPr>
            <w:r w:rsidRPr="0077275B">
              <w:rPr>
                <w:rFonts w:cstheme="minorHAnsi"/>
                <w:color w:val="auto"/>
                <w:sz w:val="18"/>
                <w:szCs w:val="18"/>
              </w:rPr>
              <w:t>Tombullen storage releases to augment flows over 13 GL/day at Darlington Point (PU 6, 7, 8)</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6D794278"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7–8 in every 10 years (2 years)</w:t>
            </w:r>
          </w:p>
        </w:tc>
        <w:tc>
          <w:tcPr>
            <w:tcW w:w="4763" w:type="dxa"/>
            <w:tcBorders>
              <w:top w:val="single" w:sz="4" w:space="0" w:color="auto"/>
              <w:left w:val="single" w:sz="4" w:space="0" w:color="auto"/>
              <w:bottom w:val="single" w:sz="4" w:space="0" w:color="auto"/>
              <w:right w:val="single" w:sz="4" w:space="0" w:color="auto"/>
            </w:tcBorders>
            <w:shd w:val="clear" w:color="auto" w:fill="auto"/>
            <w:vAlign w:val="center"/>
          </w:tcPr>
          <w:p w14:paraId="5FF7F62B"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Demand partially met over the last 3 years</w:t>
            </w:r>
          </w:p>
        </w:tc>
        <w:tc>
          <w:tcPr>
            <w:tcW w:w="1984" w:type="dxa"/>
            <w:tcBorders>
              <w:top w:val="single" w:sz="4" w:space="0" w:color="auto"/>
              <w:left w:val="single" w:sz="4" w:space="0" w:color="auto"/>
              <w:bottom w:val="single" w:sz="4" w:space="0" w:color="auto"/>
              <w:right w:val="single" w:sz="4" w:space="0" w:color="auto"/>
            </w:tcBorders>
            <w:shd w:val="clear" w:color="auto" w:fill="FF0000"/>
            <w:vAlign w:val="center"/>
          </w:tcPr>
          <w:p w14:paraId="46ABC422"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w:t>
            </w:r>
          </w:p>
          <w:p w14:paraId="46903780"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The condition of the mid-Murrumbidgee wetlands is generally poor due to a lack of inundation.</w:t>
            </w:r>
          </w:p>
        </w:tc>
        <w:tc>
          <w:tcPr>
            <w:tcW w:w="4253"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14:paraId="25ADF99A"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 Potential for water use under Moderate to High inflow scenarios subject to natural flow event triggers</w:t>
            </w:r>
            <w:r w:rsidRPr="00453AB8">
              <w:rPr>
                <w:rFonts w:cstheme="minorHAnsi"/>
                <w:color w:val="auto"/>
                <w:sz w:val="18"/>
                <w:szCs w:val="18"/>
              </w:rPr>
              <w:br/>
              <w:t>Up to 10 GL per event</w:t>
            </w:r>
          </w:p>
        </w:tc>
        <w:tc>
          <w:tcPr>
            <w:tcW w:w="2268" w:type="dxa"/>
            <w:tcBorders>
              <w:top w:val="single" w:sz="4" w:space="0" w:color="auto"/>
              <w:left w:val="single" w:sz="4" w:space="0" w:color="auto"/>
              <w:bottom w:val="single" w:sz="4" w:space="0" w:color="auto"/>
              <w:right w:val="single" w:sz="12" w:space="0" w:color="auto"/>
            </w:tcBorders>
            <w:shd w:val="clear" w:color="auto" w:fill="FF0000"/>
            <w:vAlign w:val="center"/>
          </w:tcPr>
          <w:p w14:paraId="1E4D4318"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w:t>
            </w:r>
          </w:p>
        </w:tc>
      </w:tr>
      <w:tr w:rsidR="00450436" w:rsidRPr="00453AB8" w14:paraId="4FA588AE" w14:textId="77777777" w:rsidTr="00583873">
        <w:trPr>
          <w:trHeight w:val="1527"/>
        </w:trPr>
        <w:tc>
          <w:tcPr>
            <w:tcW w:w="2547" w:type="dxa"/>
            <w:vMerge/>
            <w:tcBorders>
              <w:top w:val="single" w:sz="4" w:space="0" w:color="auto"/>
              <w:left w:val="single" w:sz="12" w:space="0" w:color="auto"/>
              <w:bottom w:val="single" w:sz="12" w:space="0" w:color="auto"/>
              <w:right w:val="single" w:sz="4" w:space="0" w:color="auto"/>
            </w:tcBorders>
            <w:shd w:val="clear" w:color="auto" w:fill="auto"/>
          </w:tcPr>
          <w:p w14:paraId="2D2389F1" w14:textId="77777777" w:rsidR="00450436" w:rsidRPr="0077275B" w:rsidRDefault="00450436" w:rsidP="00583873">
            <w:pPr>
              <w:rPr>
                <w:rFonts w:cstheme="minorHAnsi"/>
                <w:color w:val="auto"/>
                <w:sz w:val="18"/>
                <w:szCs w:val="18"/>
              </w:rPr>
            </w:pPr>
          </w:p>
        </w:tc>
        <w:tc>
          <w:tcPr>
            <w:tcW w:w="4111" w:type="dxa"/>
            <w:tcBorders>
              <w:top w:val="single" w:sz="4" w:space="0" w:color="auto"/>
              <w:left w:val="single" w:sz="4" w:space="0" w:color="auto"/>
              <w:bottom w:val="single" w:sz="12" w:space="0" w:color="auto"/>
              <w:right w:val="single" w:sz="4" w:space="0" w:color="auto"/>
            </w:tcBorders>
            <w:shd w:val="clear" w:color="auto" w:fill="auto"/>
            <w:vAlign w:val="center"/>
          </w:tcPr>
          <w:p w14:paraId="476FABC1" w14:textId="77777777" w:rsidR="00450436" w:rsidRPr="0077275B" w:rsidRDefault="00450436" w:rsidP="00583873">
            <w:pPr>
              <w:rPr>
                <w:rFonts w:cstheme="minorHAnsi"/>
                <w:color w:val="auto"/>
                <w:sz w:val="18"/>
                <w:szCs w:val="18"/>
              </w:rPr>
            </w:pPr>
            <w:r w:rsidRPr="0077275B">
              <w:rPr>
                <w:rFonts w:cstheme="minorHAnsi"/>
                <w:color w:val="auto"/>
                <w:sz w:val="18"/>
                <w:szCs w:val="18"/>
              </w:rPr>
              <w:t>Minimum of 15.5 GL/day @ Darlington Point for up to 6 days plus a gradual recession targeting low-lying wetland vegetation and aquatic habitat up to 180 GL (multiple PU’s)</w:t>
            </w:r>
          </w:p>
        </w:tc>
        <w:tc>
          <w:tcPr>
            <w:tcW w:w="2041" w:type="dxa"/>
            <w:tcBorders>
              <w:top w:val="single" w:sz="4" w:space="0" w:color="auto"/>
              <w:left w:val="single" w:sz="4" w:space="0" w:color="auto"/>
              <w:bottom w:val="single" w:sz="12" w:space="0" w:color="auto"/>
              <w:right w:val="single" w:sz="4" w:space="0" w:color="auto"/>
            </w:tcBorders>
            <w:shd w:val="clear" w:color="auto" w:fill="auto"/>
            <w:vAlign w:val="center"/>
          </w:tcPr>
          <w:p w14:paraId="221CF6B6"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7–8 in every 10 years (2 years)</w:t>
            </w:r>
          </w:p>
        </w:tc>
        <w:tc>
          <w:tcPr>
            <w:tcW w:w="4763" w:type="dxa"/>
            <w:tcBorders>
              <w:top w:val="single" w:sz="4" w:space="0" w:color="auto"/>
              <w:left w:val="single" w:sz="4" w:space="0" w:color="auto"/>
              <w:bottom w:val="single" w:sz="12" w:space="0" w:color="auto"/>
              <w:right w:val="single" w:sz="4" w:space="0" w:color="auto"/>
            </w:tcBorders>
            <w:shd w:val="clear" w:color="auto" w:fill="auto"/>
            <w:vAlign w:val="center"/>
          </w:tcPr>
          <w:p w14:paraId="4C3177A9"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Demand met 2 out of the last 5 years, last met 2017-18.</w:t>
            </w:r>
          </w:p>
        </w:tc>
        <w:tc>
          <w:tcPr>
            <w:tcW w:w="1984" w:type="dxa"/>
            <w:tcBorders>
              <w:top w:val="single" w:sz="4" w:space="0" w:color="auto"/>
              <w:left w:val="single" w:sz="4" w:space="0" w:color="auto"/>
              <w:bottom w:val="single" w:sz="12" w:space="0" w:color="auto"/>
              <w:right w:val="single" w:sz="4" w:space="0" w:color="auto"/>
            </w:tcBorders>
            <w:shd w:val="clear" w:color="auto" w:fill="FF0000"/>
            <w:vAlign w:val="center"/>
          </w:tcPr>
          <w:p w14:paraId="20C87C8B"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w:t>
            </w:r>
          </w:p>
          <w:p w14:paraId="465E946C"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The condition of the mid-Murrumbidgee wetlands is generally poor due to a lack of inundation.</w:t>
            </w:r>
          </w:p>
        </w:tc>
        <w:tc>
          <w:tcPr>
            <w:tcW w:w="4253" w:type="dxa"/>
            <w:tcBorders>
              <w:top w:val="single" w:sz="4" w:space="0" w:color="auto"/>
              <w:left w:val="single" w:sz="4" w:space="0" w:color="auto"/>
              <w:bottom w:val="single" w:sz="12" w:space="0" w:color="auto"/>
              <w:right w:val="single" w:sz="4" w:space="0" w:color="auto"/>
            </w:tcBorders>
            <w:shd w:val="clear" w:color="auto" w:fill="365F91" w:themeFill="accent1" w:themeFillShade="BF"/>
            <w:vAlign w:val="center"/>
          </w:tcPr>
          <w:p w14:paraId="3570C85B"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Up to 150 GL under Moderate to High inflow scenarios planned for autumn/winter 2021 subject to available allocations</w:t>
            </w:r>
          </w:p>
        </w:tc>
        <w:tc>
          <w:tcPr>
            <w:tcW w:w="2268" w:type="dxa"/>
            <w:tcBorders>
              <w:top w:val="single" w:sz="4" w:space="0" w:color="auto"/>
              <w:left w:val="single" w:sz="4" w:space="0" w:color="auto"/>
              <w:bottom w:val="single" w:sz="12" w:space="0" w:color="auto"/>
              <w:right w:val="single" w:sz="12" w:space="0" w:color="auto"/>
            </w:tcBorders>
            <w:shd w:val="clear" w:color="auto" w:fill="FF0000"/>
            <w:vAlign w:val="center"/>
          </w:tcPr>
          <w:p w14:paraId="42C30BB9"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w:t>
            </w:r>
          </w:p>
        </w:tc>
      </w:tr>
      <w:tr w:rsidR="00450436" w:rsidRPr="00453AB8" w14:paraId="2E43563F" w14:textId="77777777" w:rsidTr="00583873">
        <w:trPr>
          <w:trHeight w:val="765"/>
        </w:trPr>
        <w:tc>
          <w:tcPr>
            <w:tcW w:w="2547"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14:paraId="1C795833" w14:textId="77777777" w:rsidR="00450436" w:rsidRPr="0077275B" w:rsidRDefault="00450436" w:rsidP="00583873">
            <w:pPr>
              <w:rPr>
                <w:rFonts w:cstheme="minorHAnsi"/>
                <w:color w:val="auto"/>
                <w:sz w:val="18"/>
                <w:szCs w:val="18"/>
              </w:rPr>
            </w:pPr>
            <w:r w:rsidRPr="0077275B">
              <w:rPr>
                <w:rFonts w:cstheme="minorHAnsi"/>
                <w:color w:val="auto"/>
                <w:sz w:val="18"/>
                <w:szCs w:val="18"/>
              </w:rPr>
              <w:t>Murrumbidgee Irrigation (MI) Area Ramsar sites (Fivebough and Tuckerbil wetlands) and includes other important wetlands in MI Area (PU 14)</w:t>
            </w:r>
          </w:p>
        </w:tc>
        <w:tc>
          <w:tcPr>
            <w:tcW w:w="4111"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76395FF6" w14:textId="77777777" w:rsidR="00450436" w:rsidRPr="0077275B" w:rsidRDefault="00450436" w:rsidP="00583873">
            <w:pPr>
              <w:rPr>
                <w:rFonts w:cstheme="minorHAnsi"/>
                <w:color w:val="auto"/>
                <w:sz w:val="18"/>
                <w:szCs w:val="18"/>
              </w:rPr>
            </w:pPr>
            <w:r w:rsidRPr="0077275B">
              <w:rPr>
                <w:rFonts w:cstheme="minorHAnsi"/>
                <w:color w:val="auto"/>
                <w:sz w:val="18"/>
                <w:szCs w:val="18"/>
              </w:rPr>
              <w:t>Fivebough 500</w:t>
            </w:r>
            <w:r>
              <w:rPr>
                <w:rFonts w:cstheme="minorHAnsi"/>
                <w:color w:val="auto"/>
                <w:sz w:val="18"/>
                <w:szCs w:val="18"/>
              </w:rPr>
              <w:t xml:space="preserve"> </w:t>
            </w:r>
            <w:r w:rsidRPr="0077275B">
              <w:rPr>
                <w:rFonts w:cstheme="minorHAnsi"/>
                <w:color w:val="auto"/>
                <w:sz w:val="18"/>
                <w:szCs w:val="18"/>
              </w:rPr>
              <w:t>ML to inundate 60% of wetland.</w:t>
            </w:r>
          </w:p>
          <w:p w14:paraId="12234C7E" w14:textId="77777777" w:rsidR="00450436" w:rsidRPr="0077275B" w:rsidRDefault="00450436" w:rsidP="00583873">
            <w:pPr>
              <w:rPr>
                <w:rFonts w:cstheme="minorHAnsi"/>
                <w:color w:val="auto"/>
                <w:sz w:val="18"/>
                <w:szCs w:val="18"/>
              </w:rPr>
            </w:pPr>
          </w:p>
          <w:p w14:paraId="6F3A3571" w14:textId="77777777" w:rsidR="00450436" w:rsidRPr="0077275B" w:rsidRDefault="00450436" w:rsidP="00583873">
            <w:pPr>
              <w:rPr>
                <w:rFonts w:cstheme="minorHAnsi"/>
                <w:color w:val="auto"/>
                <w:sz w:val="18"/>
                <w:szCs w:val="18"/>
              </w:rPr>
            </w:pPr>
            <w:r w:rsidRPr="0077275B">
              <w:rPr>
                <w:rFonts w:cstheme="minorHAnsi"/>
                <w:color w:val="auto"/>
                <w:sz w:val="18"/>
                <w:szCs w:val="18"/>
              </w:rPr>
              <w:t>Tuckerbil 500 ML to fill</w:t>
            </w:r>
          </w:p>
        </w:tc>
        <w:tc>
          <w:tcPr>
            <w:tcW w:w="2041"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27212EAE"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Fivebough: Shallow water 9 in every 10 years.</w:t>
            </w:r>
          </w:p>
          <w:p w14:paraId="3F08A227" w14:textId="77777777" w:rsidR="00450436" w:rsidRPr="0077275B" w:rsidRDefault="00450436" w:rsidP="00583873">
            <w:pPr>
              <w:jc w:val="center"/>
              <w:rPr>
                <w:rFonts w:cstheme="minorHAnsi"/>
                <w:color w:val="auto"/>
                <w:sz w:val="18"/>
                <w:szCs w:val="18"/>
              </w:rPr>
            </w:pPr>
          </w:p>
          <w:p w14:paraId="49417CF2"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Fill Tuckerbil 4 of every 10 years</w:t>
            </w:r>
          </w:p>
        </w:tc>
        <w:tc>
          <w:tcPr>
            <w:tcW w:w="4763"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14:paraId="70633464"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Fivebough: Required frequency met over the last 6 years</w:t>
            </w:r>
          </w:p>
          <w:p w14:paraId="28DDD06C" w14:textId="77777777" w:rsidR="00450436" w:rsidRPr="0077275B" w:rsidRDefault="00450436" w:rsidP="00583873">
            <w:pPr>
              <w:jc w:val="center"/>
              <w:rPr>
                <w:rFonts w:cstheme="minorHAnsi"/>
                <w:color w:val="auto"/>
                <w:sz w:val="18"/>
                <w:szCs w:val="18"/>
              </w:rPr>
            </w:pPr>
          </w:p>
          <w:p w14:paraId="60918EE2" w14:textId="77777777" w:rsidR="00450436" w:rsidRPr="0077275B" w:rsidRDefault="00450436" w:rsidP="00583873">
            <w:pPr>
              <w:jc w:val="center"/>
              <w:rPr>
                <w:rFonts w:cstheme="minorHAnsi"/>
                <w:color w:val="auto"/>
                <w:sz w:val="18"/>
                <w:szCs w:val="18"/>
                <w:highlight w:val="magenta"/>
              </w:rPr>
            </w:pPr>
            <w:r w:rsidRPr="0077275B">
              <w:rPr>
                <w:rFonts w:cstheme="minorHAnsi"/>
                <w:color w:val="auto"/>
                <w:sz w:val="18"/>
                <w:szCs w:val="18"/>
              </w:rPr>
              <w:t>Tuckerbil:  Required frequency met over last 5 years.</w:t>
            </w:r>
          </w:p>
        </w:tc>
        <w:tc>
          <w:tcPr>
            <w:tcW w:w="1984" w:type="dxa"/>
            <w:vMerge w:val="restart"/>
            <w:tcBorders>
              <w:top w:val="single" w:sz="12" w:space="0" w:color="auto"/>
              <w:left w:val="single" w:sz="4" w:space="0" w:color="auto"/>
              <w:bottom w:val="single" w:sz="4" w:space="0" w:color="auto"/>
              <w:right w:val="single" w:sz="4" w:space="0" w:color="auto"/>
            </w:tcBorders>
            <w:shd w:val="clear" w:color="auto" w:fill="FF0000"/>
            <w:vAlign w:val="center"/>
          </w:tcPr>
          <w:p w14:paraId="4B23512A"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w:t>
            </w:r>
          </w:p>
          <w:p w14:paraId="24ED82AA" w14:textId="77777777" w:rsidR="00450436" w:rsidRPr="00453AB8" w:rsidRDefault="00450436" w:rsidP="00583873">
            <w:pPr>
              <w:jc w:val="center"/>
              <w:rPr>
                <w:rFonts w:cstheme="minorHAnsi"/>
                <w:color w:val="auto"/>
                <w:sz w:val="18"/>
                <w:szCs w:val="18"/>
                <w:highlight w:val="magenta"/>
              </w:rPr>
            </w:pPr>
            <w:r w:rsidRPr="00453AB8">
              <w:rPr>
                <w:rFonts w:cstheme="minorHAnsi"/>
                <w:color w:val="auto"/>
                <w:sz w:val="18"/>
                <w:szCs w:val="18"/>
              </w:rPr>
              <w:t>Required to maintain ecological character under Ramsar</w:t>
            </w:r>
          </w:p>
        </w:tc>
        <w:tc>
          <w:tcPr>
            <w:tcW w:w="4253" w:type="dxa"/>
            <w:tcBorders>
              <w:top w:val="single" w:sz="12" w:space="0" w:color="auto"/>
              <w:left w:val="single" w:sz="4" w:space="0" w:color="auto"/>
              <w:bottom w:val="single" w:sz="4" w:space="0" w:color="auto"/>
              <w:right w:val="single" w:sz="4" w:space="0" w:color="auto"/>
            </w:tcBorders>
            <w:shd w:val="clear" w:color="auto" w:fill="365F91" w:themeFill="accent1" w:themeFillShade="BF"/>
            <w:vAlign w:val="center"/>
          </w:tcPr>
          <w:p w14:paraId="46BA7565"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 Potential for water use</w:t>
            </w:r>
          </w:p>
          <w:p w14:paraId="7A368206" w14:textId="77777777" w:rsidR="00450436" w:rsidRPr="00453AB8" w:rsidRDefault="00450436" w:rsidP="00583873">
            <w:pPr>
              <w:jc w:val="center"/>
              <w:rPr>
                <w:rFonts w:cstheme="minorHAnsi"/>
                <w:color w:val="auto"/>
                <w:sz w:val="18"/>
                <w:szCs w:val="18"/>
                <w:highlight w:val="magenta"/>
              </w:rPr>
            </w:pPr>
            <w:r w:rsidRPr="00453AB8">
              <w:rPr>
                <w:rFonts w:cstheme="minorHAnsi"/>
                <w:color w:val="auto"/>
                <w:sz w:val="18"/>
                <w:szCs w:val="18"/>
              </w:rPr>
              <w:t>minimum of 2 GL under a Very Low inflow scenario</w:t>
            </w:r>
          </w:p>
        </w:tc>
        <w:tc>
          <w:tcPr>
            <w:tcW w:w="2268" w:type="dxa"/>
            <w:vMerge w:val="restart"/>
            <w:tcBorders>
              <w:top w:val="single" w:sz="12" w:space="0" w:color="auto"/>
              <w:left w:val="single" w:sz="4" w:space="0" w:color="auto"/>
              <w:bottom w:val="single" w:sz="4" w:space="0" w:color="auto"/>
              <w:right w:val="single" w:sz="12" w:space="0" w:color="auto"/>
            </w:tcBorders>
            <w:shd w:val="clear" w:color="auto" w:fill="FF0000"/>
            <w:vAlign w:val="center"/>
          </w:tcPr>
          <w:p w14:paraId="18271452"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w:t>
            </w:r>
          </w:p>
        </w:tc>
      </w:tr>
      <w:tr w:rsidR="00450436" w:rsidRPr="00453AB8" w14:paraId="510937FE" w14:textId="77777777" w:rsidTr="00583873">
        <w:trPr>
          <w:trHeight w:val="765"/>
        </w:trPr>
        <w:tc>
          <w:tcPr>
            <w:tcW w:w="2547" w:type="dxa"/>
            <w:vMerge/>
            <w:tcBorders>
              <w:top w:val="single" w:sz="4" w:space="0" w:color="auto"/>
              <w:left w:val="single" w:sz="12" w:space="0" w:color="auto"/>
              <w:bottom w:val="single" w:sz="12" w:space="0" w:color="auto"/>
              <w:right w:val="single" w:sz="4" w:space="0" w:color="auto"/>
            </w:tcBorders>
            <w:shd w:val="clear" w:color="auto" w:fill="auto"/>
            <w:vAlign w:val="center"/>
          </w:tcPr>
          <w:p w14:paraId="68507B29" w14:textId="77777777" w:rsidR="00450436" w:rsidRPr="0077275B" w:rsidRDefault="00450436" w:rsidP="00583873">
            <w:pPr>
              <w:rPr>
                <w:rFonts w:cstheme="minorHAnsi"/>
                <w:color w:val="auto"/>
                <w:sz w:val="18"/>
                <w:szCs w:val="18"/>
              </w:rPr>
            </w:pPr>
          </w:p>
        </w:tc>
        <w:tc>
          <w:tcPr>
            <w:tcW w:w="4111" w:type="dxa"/>
            <w:vMerge/>
            <w:tcBorders>
              <w:top w:val="single" w:sz="4" w:space="0" w:color="auto"/>
              <w:left w:val="single" w:sz="4" w:space="0" w:color="auto"/>
              <w:bottom w:val="single" w:sz="12" w:space="0" w:color="auto"/>
              <w:right w:val="single" w:sz="4" w:space="0" w:color="auto"/>
            </w:tcBorders>
            <w:shd w:val="clear" w:color="auto" w:fill="auto"/>
            <w:vAlign w:val="center"/>
          </w:tcPr>
          <w:p w14:paraId="7291D0A6" w14:textId="77777777" w:rsidR="00450436" w:rsidRPr="0077275B" w:rsidRDefault="00450436" w:rsidP="00583873">
            <w:pPr>
              <w:rPr>
                <w:rFonts w:cstheme="minorHAnsi"/>
                <w:color w:val="auto"/>
                <w:sz w:val="18"/>
                <w:szCs w:val="18"/>
              </w:rPr>
            </w:pPr>
          </w:p>
        </w:tc>
        <w:tc>
          <w:tcPr>
            <w:tcW w:w="2041" w:type="dxa"/>
            <w:vMerge/>
            <w:tcBorders>
              <w:top w:val="single" w:sz="4" w:space="0" w:color="auto"/>
              <w:left w:val="single" w:sz="4" w:space="0" w:color="auto"/>
              <w:bottom w:val="single" w:sz="12" w:space="0" w:color="auto"/>
              <w:right w:val="single" w:sz="4" w:space="0" w:color="auto"/>
            </w:tcBorders>
            <w:shd w:val="clear" w:color="auto" w:fill="auto"/>
            <w:vAlign w:val="center"/>
          </w:tcPr>
          <w:p w14:paraId="5EFE5AB4" w14:textId="77777777" w:rsidR="00450436" w:rsidRPr="0077275B" w:rsidRDefault="00450436" w:rsidP="00583873">
            <w:pPr>
              <w:jc w:val="center"/>
              <w:rPr>
                <w:rFonts w:cstheme="minorHAnsi"/>
                <w:color w:val="auto"/>
                <w:sz w:val="18"/>
                <w:szCs w:val="18"/>
              </w:rPr>
            </w:pPr>
          </w:p>
        </w:tc>
        <w:tc>
          <w:tcPr>
            <w:tcW w:w="4763" w:type="dxa"/>
            <w:vMerge/>
            <w:tcBorders>
              <w:top w:val="single" w:sz="4" w:space="0" w:color="auto"/>
              <w:left w:val="single" w:sz="4" w:space="0" w:color="auto"/>
              <w:bottom w:val="single" w:sz="12" w:space="0" w:color="auto"/>
              <w:right w:val="single" w:sz="4" w:space="0" w:color="auto"/>
            </w:tcBorders>
            <w:shd w:val="clear" w:color="auto" w:fill="auto"/>
            <w:vAlign w:val="center"/>
          </w:tcPr>
          <w:p w14:paraId="5EEA8288" w14:textId="77777777" w:rsidR="00450436" w:rsidRPr="0077275B" w:rsidRDefault="00450436" w:rsidP="00583873">
            <w:pPr>
              <w:jc w:val="center"/>
              <w:rPr>
                <w:rFonts w:cstheme="minorHAnsi"/>
                <w:color w:val="auto"/>
                <w:sz w:val="18"/>
                <w:szCs w:val="18"/>
              </w:rPr>
            </w:pPr>
          </w:p>
        </w:tc>
        <w:tc>
          <w:tcPr>
            <w:tcW w:w="1984" w:type="dxa"/>
            <w:vMerge/>
            <w:tcBorders>
              <w:top w:val="single" w:sz="4" w:space="0" w:color="auto"/>
              <w:left w:val="single" w:sz="4" w:space="0" w:color="auto"/>
              <w:bottom w:val="single" w:sz="12" w:space="0" w:color="auto"/>
              <w:right w:val="single" w:sz="4" w:space="0" w:color="auto"/>
            </w:tcBorders>
            <w:shd w:val="clear" w:color="auto" w:fill="FF0000"/>
            <w:vAlign w:val="center"/>
          </w:tcPr>
          <w:p w14:paraId="659E7EC2" w14:textId="77777777" w:rsidR="00450436" w:rsidRPr="00453AB8" w:rsidRDefault="00450436" w:rsidP="00583873">
            <w:pPr>
              <w:jc w:val="center"/>
              <w:rPr>
                <w:rFonts w:cstheme="minorHAnsi"/>
                <w:color w:val="auto"/>
                <w:sz w:val="18"/>
                <w:szCs w:val="18"/>
              </w:rPr>
            </w:pPr>
          </w:p>
        </w:tc>
        <w:tc>
          <w:tcPr>
            <w:tcW w:w="4253" w:type="dxa"/>
            <w:tcBorders>
              <w:top w:val="single" w:sz="4" w:space="0" w:color="auto"/>
              <w:left w:val="single" w:sz="4" w:space="0" w:color="auto"/>
              <w:bottom w:val="single" w:sz="12" w:space="0" w:color="auto"/>
              <w:right w:val="single" w:sz="4" w:space="0" w:color="auto"/>
            </w:tcBorders>
            <w:shd w:val="clear" w:color="auto" w:fill="95B3D7" w:themeFill="accent1" w:themeFillTint="99"/>
            <w:vAlign w:val="center"/>
          </w:tcPr>
          <w:p w14:paraId="0C71D323"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 to High Potential for water use.</w:t>
            </w:r>
          </w:p>
          <w:p w14:paraId="05BDA675" w14:textId="77777777" w:rsidR="00450436" w:rsidRPr="00453AB8" w:rsidRDefault="00450436" w:rsidP="00583873">
            <w:pPr>
              <w:jc w:val="center"/>
              <w:rPr>
                <w:rFonts w:cstheme="minorHAnsi"/>
                <w:i/>
                <w:iCs/>
                <w:color w:val="auto"/>
                <w:sz w:val="18"/>
                <w:szCs w:val="18"/>
              </w:rPr>
            </w:pPr>
            <w:r w:rsidRPr="00453AB8">
              <w:rPr>
                <w:rFonts w:cstheme="minorHAnsi"/>
                <w:color w:val="auto"/>
                <w:sz w:val="18"/>
                <w:szCs w:val="18"/>
              </w:rPr>
              <w:t>Up to 4 GL under Low inflow scenario</w:t>
            </w:r>
          </w:p>
        </w:tc>
        <w:tc>
          <w:tcPr>
            <w:tcW w:w="2268" w:type="dxa"/>
            <w:vMerge/>
            <w:tcBorders>
              <w:top w:val="single" w:sz="4" w:space="0" w:color="auto"/>
              <w:left w:val="single" w:sz="4" w:space="0" w:color="auto"/>
              <w:bottom w:val="single" w:sz="12" w:space="0" w:color="auto"/>
              <w:right w:val="single" w:sz="12" w:space="0" w:color="auto"/>
            </w:tcBorders>
            <w:shd w:val="clear" w:color="auto" w:fill="FF0000"/>
            <w:vAlign w:val="center"/>
          </w:tcPr>
          <w:p w14:paraId="57A78795" w14:textId="77777777" w:rsidR="00450436" w:rsidRPr="00453AB8" w:rsidRDefault="00450436" w:rsidP="00583873">
            <w:pPr>
              <w:jc w:val="center"/>
              <w:rPr>
                <w:rFonts w:cstheme="minorHAnsi"/>
                <w:color w:val="auto"/>
                <w:sz w:val="18"/>
                <w:szCs w:val="18"/>
              </w:rPr>
            </w:pPr>
          </w:p>
        </w:tc>
      </w:tr>
      <w:tr w:rsidR="00450436" w:rsidRPr="00453AB8" w14:paraId="78238B79" w14:textId="77777777" w:rsidTr="00583873">
        <w:trPr>
          <w:trHeight w:val="1535"/>
        </w:trPr>
        <w:tc>
          <w:tcPr>
            <w:tcW w:w="2547" w:type="dxa"/>
            <w:tcBorders>
              <w:top w:val="single" w:sz="12" w:space="0" w:color="auto"/>
              <w:left w:val="single" w:sz="12" w:space="0" w:color="auto"/>
              <w:bottom w:val="single" w:sz="12" w:space="0" w:color="auto"/>
              <w:right w:val="single" w:sz="4" w:space="0" w:color="auto"/>
            </w:tcBorders>
            <w:shd w:val="clear" w:color="auto" w:fill="auto"/>
            <w:vAlign w:val="center"/>
          </w:tcPr>
          <w:p w14:paraId="69B5F572" w14:textId="77777777" w:rsidR="00450436" w:rsidRPr="0077275B" w:rsidRDefault="00450436" w:rsidP="00583873">
            <w:pPr>
              <w:rPr>
                <w:rFonts w:cstheme="minorHAnsi"/>
                <w:color w:val="auto"/>
                <w:sz w:val="18"/>
                <w:szCs w:val="18"/>
              </w:rPr>
            </w:pPr>
            <w:r w:rsidRPr="0077275B">
              <w:rPr>
                <w:rFonts w:cstheme="minorHAnsi"/>
                <w:color w:val="auto"/>
                <w:sz w:val="18"/>
                <w:szCs w:val="18"/>
              </w:rPr>
              <w:t>Yanco Creek System (PU 12)</w:t>
            </w:r>
          </w:p>
        </w:tc>
        <w:tc>
          <w:tcPr>
            <w:tcW w:w="4111" w:type="dxa"/>
            <w:tcBorders>
              <w:top w:val="single" w:sz="12" w:space="0" w:color="auto"/>
              <w:left w:val="single" w:sz="4" w:space="0" w:color="auto"/>
              <w:bottom w:val="single" w:sz="12" w:space="0" w:color="auto"/>
              <w:right w:val="single" w:sz="4" w:space="0" w:color="auto"/>
            </w:tcBorders>
            <w:shd w:val="clear" w:color="auto" w:fill="auto"/>
            <w:vAlign w:val="center"/>
          </w:tcPr>
          <w:p w14:paraId="0495FF05" w14:textId="77777777" w:rsidR="00450436" w:rsidRPr="0077275B" w:rsidRDefault="00450436" w:rsidP="00583873">
            <w:pPr>
              <w:rPr>
                <w:rFonts w:cstheme="minorHAnsi"/>
                <w:color w:val="auto"/>
                <w:sz w:val="18"/>
                <w:szCs w:val="18"/>
              </w:rPr>
            </w:pPr>
            <w:r w:rsidRPr="0077275B">
              <w:rPr>
                <w:rFonts w:cstheme="minorHAnsi"/>
                <w:color w:val="auto"/>
                <w:sz w:val="18"/>
                <w:szCs w:val="18"/>
              </w:rPr>
              <w:t>Up to 20 GL, targeting up to 1</w:t>
            </w:r>
            <w:r>
              <w:rPr>
                <w:rFonts w:cstheme="minorHAnsi"/>
                <w:color w:val="auto"/>
                <w:sz w:val="18"/>
                <w:szCs w:val="18"/>
              </w:rPr>
              <w:t xml:space="preserve"> </w:t>
            </w:r>
            <w:r w:rsidRPr="0077275B">
              <w:rPr>
                <w:rFonts w:cstheme="minorHAnsi"/>
                <w:color w:val="auto"/>
                <w:sz w:val="18"/>
                <w:szCs w:val="18"/>
              </w:rPr>
              <w:t>400 ML/day @ Yanco Creek off-take targeting low-lying wetland vegetation and aquatic habitat and native fish</w:t>
            </w:r>
          </w:p>
        </w:tc>
        <w:tc>
          <w:tcPr>
            <w:tcW w:w="2041" w:type="dxa"/>
            <w:tcBorders>
              <w:top w:val="single" w:sz="12" w:space="0" w:color="auto"/>
              <w:left w:val="single" w:sz="4" w:space="0" w:color="auto"/>
              <w:bottom w:val="single" w:sz="12" w:space="0" w:color="auto"/>
              <w:right w:val="single" w:sz="4" w:space="0" w:color="auto"/>
            </w:tcBorders>
            <w:shd w:val="clear" w:color="auto" w:fill="auto"/>
            <w:vAlign w:val="center"/>
          </w:tcPr>
          <w:p w14:paraId="096505D0"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3 in every 10 years (3 years)</w:t>
            </w:r>
          </w:p>
        </w:tc>
        <w:tc>
          <w:tcPr>
            <w:tcW w:w="4763" w:type="dxa"/>
            <w:tcBorders>
              <w:top w:val="single" w:sz="12" w:space="0" w:color="auto"/>
              <w:left w:val="single" w:sz="4" w:space="0" w:color="auto"/>
              <w:bottom w:val="single" w:sz="12" w:space="0" w:color="auto"/>
              <w:right w:val="single" w:sz="4" w:space="0" w:color="auto"/>
            </w:tcBorders>
            <w:shd w:val="clear" w:color="auto" w:fill="auto"/>
            <w:vAlign w:val="center"/>
          </w:tcPr>
          <w:p w14:paraId="039CA960" w14:textId="77777777" w:rsidR="00450436" w:rsidRPr="0077275B" w:rsidRDefault="00450436" w:rsidP="00583873">
            <w:pPr>
              <w:jc w:val="center"/>
              <w:rPr>
                <w:rFonts w:cstheme="minorHAnsi"/>
                <w:color w:val="auto"/>
                <w:sz w:val="18"/>
                <w:szCs w:val="18"/>
                <w:highlight w:val="cyan"/>
              </w:rPr>
            </w:pPr>
            <w:r w:rsidRPr="0077275B">
              <w:rPr>
                <w:rFonts w:cstheme="minorHAnsi"/>
                <w:color w:val="auto"/>
                <w:sz w:val="18"/>
                <w:szCs w:val="18"/>
              </w:rPr>
              <w:t>Demand met or partially met in 2 of the last 5 years, however watering required to maintain condition of wetland-floodplain vegetation</w:t>
            </w:r>
          </w:p>
        </w:tc>
        <w:tc>
          <w:tcPr>
            <w:tcW w:w="1984" w:type="dxa"/>
            <w:tcBorders>
              <w:top w:val="single" w:sz="12" w:space="0" w:color="auto"/>
              <w:left w:val="single" w:sz="4" w:space="0" w:color="auto"/>
              <w:bottom w:val="single" w:sz="12" w:space="0" w:color="auto"/>
              <w:right w:val="single" w:sz="4" w:space="0" w:color="auto"/>
            </w:tcBorders>
            <w:shd w:val="clear" w:color="auto" w:fill="FFC000"/>
            <w:vAlign w:val="center"/>
          </w:tcPr>
          <w:p w14:paraId="2C1A6CD1"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w:t>
            </w:r>
          </w:p>
          <w:p w14:paraId="0CCD5676"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Watering, required to maintain the good condition of wetland-floodplain vegetation</w:t>
            </w:r>
          </w:p>
        </w:tc>
        <w:tc>
          <w:tcPr>
            <w:tcW w:w="4253" w:type="dxa"/>
            <w:tcBorders>
              <w:top w:val="single" w:sz="12" w:space="0" w:color="auto"/>
              <w:left w:val="single" w:sz="4" w:space="0" w:color="auto"/>
              <w:bottom w:val="single" w:sz="12" w:space="0" w:color="auto"/>
              <w:right w:val="single" w:sz="4" w:space="0" w:color="auto"/>
            </w:tcBorders>
            <w:shd w:val="clear" w:color="auto" w:fill="95B3D7" w:themeFill="accent1" w:themeFillTint="99"/>
            <w:vAlign w:val="center"/>
          </w:tcPr>
          <w:p w14:paraId="3C7A99C0"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Low to Moderate Potential for water use</w:t>
            </w:r>
          </w:p>
          <w:p w14:paraId="46692D05"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Up to 10 GL under Moderate to High inflow scenarios. Supplementary use prioritised if available.</w:t>
            </w:r>
          </w:p>
        </w:tc>
        <w:tc>
          <w:tcPr>
            <w:tcW w:w="2268" w:type="dxa"/>
            <w:tcBorders>
              <w:top w:val="single" w:sz="12" w:space="0" w:color="auto"/>
              <w:left w:val="single" w:sz="4" w:space="0" w:color="auto"/>
              <w:bottom w:val="single" w:sz="12" w:space="0" w:color="auto"/>
              <w:right w:val="single" w:sz="12" w:space="0" w:color="auto"/>
            </w:tcBorders>
            <w:shd w:val="clear" w:color="auto" w:fill="FFC000"/>
            <w:vAlign w:val="center"/>
          </w:tcPr>
          <w:p w14:paraId="4BF10397"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 subject to natural cues</w:t>
            </w:r>
          </w:p>
        </w:tc>
      </w:tr>
      <w:tr w:rsidR="00450436" w:rsidRPr="00453AB8" w14:paraId="3939D3E4" w14:textId="77777777" w:rsidTr="00583873">
        <w:trPr>
          <w:trHeight w:val="1535"/>
        </w:trPr>
        <w:tc>
          <w:tcPr>
            <w:tcW w:w="2547" w:type="dxa"/>
            <w:tcBorders>
              <w:top w:val="single" w:sz="12" w:space="0" w:color="auto"/>
              <w:left w:val="single" w:sz="12" w:space="0" w:color="auto"/>
              <w:bottom w:val="single" w:sz="12" w:space="0" w:color="auto"/>
              <w:right w:val="single" w:sz="4" w:space="0" w:color="auto"/>
            </w:tcBorders>
            <w:shd w:val="clear" w:color="auto" w:fill="auto"/>
            <w:vAlign w:val="center"/>
          </w:tcPr>
          <w:p w14:paraId="06AA9613" w14:textId="77777777" w:rsidR="00450436" w:rsidRPr="0077275B" w:rsidRDefault="00450436" w:rsidP="00583873">
            <w:pPr>
              <w:rPr>
                <w:rFonts w:cstheme="minorHAnsi"/>
                <w:color w:val="auto"/>
                <w:sz w:val="18"/>
                <w:szCs w:val="18"/>
              </w:rPr>
            </w:pPr>
            <w:r w:rsidRPr="0077275B">
              <w:rPr>
                <w:rFonts w:cstheme="minorHAnsi"/>
                <w:color w:val="auto"/>
                <w:sz w:val="18"/>
                <w:szCs w:val="18"/>
              </w:rPr>
              <w:t xml:space="preserve">Yanco Creek System – Wanganella Swamp (PU13) </w:t>
            </w:r>
          </w:p>
        </w:tc>
        <w:tc>
          <w:tcPr>
            <w:tcW w:w="4111" w:type="dxa"/>
            <w:tcBorders>
              <w:top w:val="single" w:sz="12" w:space="0" w:color="auto"/>
              <w:left w:val="single" w:sz="4" w:space="0" w:color="auto"/>
              <w:bottom w:val="single" w:sz="12" w:space="0" w:color="auto"/>
              <w:right w:val="single" w:sz="4" w:space="0" w:color="auto"/>
            </w:tcBorders>
            <w:shd w:val="clear" w:color="auto" w:fill="auto"/>
            <w:vAlign w:val="center"/>
          </w:tcPr>
          <w:p w14:paraId="594C06C8" w14:textId="77777777" w:rsidR="00450436" w:rsidRPr="0077275B" w:rsidRDefault="00450436" w:rsidP="00583873">
            <w:pPr>
              <w:rPr>
                <w:rFonts w:cstheme="minorHAnsi"/>
                <w:color w:val="auto"/>
                <w:sz w:val="18"/>
                <w:szCs w:val="18"/>
              </w:rPr>
            </w:pPr>
            <w:r w:rsidRPr="0077275B">
              <w:rPr>
                <w:rFonts w:cstheme="minorHAnsi"/>
                <w:color w:val="auto"/>
                <w:sz w:val="18"/>
                <w:szCs w:val="18"/>
              </w:rPr>
              <w:t>Pumping of 1.5 GL to prevent loss of aquatic vegetation species</w:t>
            </w:r>
          </w:p>
        </w:tc>
        <w:tc>
          <w:tcPr>
            <w:tcW w:w="2041" w:type="dxa"/>
            <w:tcBorders>
              <w:top w:val="single" w:sz="12" w:space="0" w:color="auto"/>
              <w:left w:val="single" w:sz="4" w:space="0" w:color="auto"/>
              <w:bottom w:val="single" w:sz="12" w:space="0" w:color="auto"/>
              <w:right w:val="single" w:sz="4" w:space="0" w:color="auto"/>
            </w:tcBorders>
            <w:shd w:val="clear" w:color="auto" w:fill="auto"/>
            <w:vAlign w:val="center"/>
          </w:tcPr>
          <w:p w14:paraId="54AD031E"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7–8 in every 10 years (2 years)</w:t>
            </w:r>
          </w:p>
        </w:tc>
        <w:tc>
          <w:tcPr>
            <w:tcW w:w="4763" w:type="dxa"/>
            <w:tcBorders>
              <w:top w:val="single" w:sz="12" w:space="0" w:color="auto"/>
              <w:left w:val="single" w:sz="4" w:space="0" w:color="auto"/>
              <w:bottom w:val="single" w:sz="12" w:space="0" w:color="auto"/>
              <w:right w:val="single" w:sz="4" w:space="0" w:color="auto"/>
            </w:tcBorders>
            <w:shd w:val="clear" w:color="auto" w:fill="auto"/>
            <w:vAlign w:val="center"/>
          </w:tcPr>
          <w:p w14:paraId="0C5D7549" w14:textId="77777777" w:rsidR="00450436" w:rsidRPr="0077275B" w:rsidRDefault="00450436" w:rsidP="00583873">
            <w:pPr>
              <w:jc w:val="center"/>
              <w:rPr>
                <w:rFonts w:cstheme="minorHAnsi"/>
                <w:color w:val="17365D"/>
                <w:sz w:val="18"/>
                <w:szCs w:val="18"/>
              </w:rPr>
            </w:pPr>
            <w:r w:rsidRPr="0077275B">
              <w:rPr>
                <w:rFonts w:cstheme="minorHAnsi"/>
                <w:color w:val="auto"/>
                <w:sz w:val="18"/>
                <w:szCs w:val="18"/>
              </w:rPr>
              <w:t>Demand met 2 out of the last 5 years</w:t>
            </w:r>
          </w:p>
        </w:tc>
        <w:tc>
          <w:tcPr>
            <w:tcW w:w="1984" w:type="dxa"/>
            <w:tcBorders>
              <w:top w:val="single" w:sz="12" w:space="0" w:color="auto"/>
              <w:left w:val="single" w:sz="4" w:space="0" w:color="auto"/>
              <w:bottom w:val="single" w:sz="12" w:space="0" w:color="auto"/>
              <w:right w:val="single" w:sz="4" w:space="0" w:color="auto"/>
            </w:tcBorders>
            <w:shd w:val="clear" w:color="auto" w:fill="C00000"/>
            <w:vAlign w:val="center"/>
          </w:tcPr>
          <w:p w14:paraId="78692DC2" w14:textId="77777777" w:rsidR="00450436" w:rsidRPr="00453AB8" w:rsidRDefault="00450436" w:rsidP="00583873">
            <w:pPr>
              <w:jc w:val="center"/>
              <w:rPr>
                <w:rFonts w:cstheme="minorHAnsi"/>
                <w:color w:val="auto"/>
                <w:sz w:val="18"/>
                <w:szCs w:val="18"/>
                <w:shd w:val="clear" w:color="auto" w:fill="92D050"/>
              </w:rPr>
            </w:pPr>
            <w:r w:rsidRPr="00453AB8">
              <w:rPr>
                <w:rFonts w:cstheme="minorHAnsi"/>
                <w:color w:val="auto"/>
                <w:sz w:val="18"/>
                <w:szCs w:val="18"/>
              </w:rPr>
              <w:t>CRITICAL to prevent loss of aquatic vegetation species (cumbungi rhizomes)</w:t>
            </w:r>
          </w:p>
        </w:tc>
        <w:tc>
          <w:tcPr>
            <w:tcW w:w="4253" w:type="dxa"/>
            <w:tcBorders>
              <w:top w:val="single" w:sz="12" w:space="0" w:color="auto"/>
              <w:left w:val="single" w:sz="4" w:space="0" w:color="auto"/>
              <w:bottom w:val="single" w:sz="12" w:space="0" w:color="auto"/>
              <w:right w:val="single" w:sz="4" w:space="0" w:color="auto"/>
            </w:tcBorders>
            <w:shd w:val="clear" w:color="auto" w:fill="365F91" w:themeFill="accent1" w:themeFillShade="BF"/>
            <w:vAlign w:val="center"/>
          </w:tcPr>
          <w:p w14:paraId="760D6D2D"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 Potential for water use</w:t>
            </w:r>
          </w:p>
          <w:p w14:paraId="7C22415E"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Up to 1.5 GL under Very Low to Moderate inflow scenarios</w:t>
            </w:r>
          </w:p>
        </w:tc>
        <w:tc>
          <w:tcPr>
            <w:tcW w:w="2268" w:type="dxa"/>
            <w:tcBorders>
              <w:top w:val="single" w:sz="12" w:space="0" w:color="auto"/>
              <w:left w:val="single" w:sz="4" w:space="0" w:color="auto"/>
              <w:bottom w:val="single" w:sz="12" w:space="0" w:color="auto"/>
              <w:right w:val="single" w:sz="12" w:space="0" w:color="auto"/>
            </w:tcBorders>
            <w:shd w:val="clear" w:color="auto" w:fill="FF0000"/>
            <w:vAlign w:val="center"/>
          </w:tcPr>
          <w:p w14:paraId="4932B440"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w:t>
            </w:r>
          </w:p>
        </w:tc>
      </w:tr>
      <w:tr w:rsidR="00450436" w:rsidRPr="00453AB8" w14:paraId="0DC3EFA7" w14:textId="77777777" w:rsidTr="00583873">
        <w:trPr>
          <w:trHeight w:val="1535"/>
        </w:trPr>
        <w:tc>
          <w:tcPr>
            <w:tcW w:w="2547" w:type="dxa"/>
            <w:tcBorders>
              <w:top w:val="single" w:sz="12" w:space="0" w:color="auto"/>
              <w:left w:val="single" w:sz="12" w:space="0" w:color="auto"/>
              <w:bottom w:val="single" w:sz="12" w:space="0" w:color="auto"/>
              <w:right w:val="single" w:sz="4" w:space="0" w:color="auto"/>
            </w:tcBorders>
            <w:shd w:val="clear" w:color="auto" w:fill="auto"/>
            <w:vAlign w:val="center"/>
          </w:tcPr>
          <w:p w14:paraId="7A82A718" w14:textId="77777777" w:rsidR="00450436" w:rsidRPr="0077275B" w:rsidRDefault="00450436" w:rsidP="00583873">
            <w:pPr>
              <w:rPr>
                <w:rFonts w:cstheme="minorHAnsi"/>
                <w:color w:val="auto"/>
                <w:sz w:val="18"/>
                <w:szCs w:val="18"/>
              </w:rPr>
            </w:pPr>
            <w:r w:rsidRPr="0077275B">
              <w:rPr>
                <w:rFonts w:cstheme="minorHAnsi"/>
                <w:color w:val="auto"/>
                <w:sz w:val="18"/>
                <w:szCs w:val="18"/>
              </w:rPr>
              <w:t>Yanco Creek System – Wanganella Swamp and Forest Creek (PU13)</w:t>
            </w:r>
          </w:p>
        </w:tc>
        <w:tc>
          <w:tcPr>
            <w:tcW w:w="4111" w:type="dxa"/>
            <w:tcBorders>
              <w:top w:val="single" w:sz="12" w:space="0" w:color="auto"/>
              <w:left w:val="single" w:sz="4" w:space="0" w:color="auto"/>
              <w:bottom w:val="single" w:sz="12" w:space="0" w:color="auto"/>
              <w:right w:val="single" w:sz="4" w:space="0" w:color="auto"/>
            </w:tcBorders>
            <w:shd w:val="clear" w:color="auto" w:fill="auto"/>
            <w:vAlign w:val="center"/>
          </w:tcPr>
          <w:p w14:paraId="015138B0" w14:textId="77777777" w:rsidR="00450436" w:rsidRPr="0077275B" w:rsidRDefault="00450436" w:rsidP="00583873">
            <w:pPr>
              <w:rPr>
                <w:rFonts w:cstheme="minorHAnsi"/>
                <w:color w:val="auto"/>
                <w:sz w:val="18"/>
                <w:szCs w:val="18"/>
              </w:rPr>
            </w:pPr>
            <w:r w:rsidRPr="0077275B">
              <w:rPr>
                <w:rFonts w:cstheme="minorHAnsi"/>
                <w:color w:val="auto"/>
                <w:sz w:val="18"/>
                <w:szCs w:val="18"/>
              </w:rPr>
              <w:t xml:space="preserve">Up to 6 GL targeting wetland and black box vegetation communities </w:t>
            </w:r>
          </w:p>
        </w:tc>
        <w:tc>
          <w:tcPr>
            <w:tcW w:w="2041" w:type="dxa"/>
            <w:tcBorders>
              <w:top w:val="single" w:sz="12" w:space="0" w:color="auto"/>
              <w:left w:val="single" w:sz="4" w:space="0" w:color="auto"/>
              <w:bottom w:val="single" w:sz="12" w:space="0" w:color="auto"/>
              <w:right w:val="single" w:sz="4" w:space="0" w:color="auto"/>
            </w:tcBorders>
            <w:shd w:val="clear" w:color="auto" w:fill="auto"/>
            <w:vAlign w:val="center"/>
          </w:tcPr>
          <w:p w14:paraId="23F859E2"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3 in every 10 years (3 years)</w:t>
            </w:r>
          </w:p>
        </w:tc>
        <w:tc>
          <w:tcPr>
            <w:tcW w:w="4763" w:type="dxa"/>
            <w:tcBorders>
              <w:top w:val="single" w:sz="12" w:space="0" w:color="auto"/>
              <w:left w:val="single" w:sz="4" w:space="0" w:color="auto"/>
              <w:bottom w:val="single" w:sz="12" w:space="0" w:color="auto"/>
              <w:right w:val="single" w:sz="4" w:space="0" w:color="auto"/>
            </w:tcBorders>
            <w:shd w:val="clear" w:color="auto" w:fill="auto"/>
            <w:vAlign w:val="center"/>
          </w:tcPr>
          <w:p w14:paraId="099CF172" w14:textId="77777777" w:rsidR="00450436" w:rsidRPr="0077275B" w:rsidRDefault="00450436" w:rsidP="00583873">
            <w:pPr>
              <w:jc w:val="center"/>
              <w:rPr>
                <w:rFonts w:cstheme="minorHAnsi"/>
                <w:i/>
                <w:iCs/>
                <w:color w:val="auto"/>
                <w:sz w:val="18"/>
                <w:szCs w:val="18"/>
              </w:rPr>
            </w:pPr>
            <w:r w:rsidRPr="0077275B">
              <w:rPr>
                <w:rFonts w:cstheme="minorHAnsi"/>
                <w:color w:val="auto"/>
                <w:sz w:val="18"/>
                <w:szCs w:val="18"/>
              </w:rPr>
              <w:t>Demand met or partially met in 2 of the last 5 years</w:t>
            </w:r>
          </w:p>
        </w:tc>
        <w:tc>
          <w:tcPr>
            <w:tcW w:w="1984" w:type="dxa"/>
            <w:tcBorders>
              <w:top w:val="single" w:sz="12" w:space="0" w:color="auto"/>
              <w:left w:val="single" w:sz="4" w:space="0" w:color="auto"/>
              <w:bottom w:val="single" w:sz="12" w:space="0" w:color="auto"/>
              <w:right w:val="single" w:sz="4" w:space="0" w:color="auto"/>
            </w:tcBorders>
            <w:shd w:val="clear" w:color="auto" w:fill="FFC000"/>
            <w:vAlign w:val="center"/>
          </w:tcPr>
          <w:p w14:paraId="64E7662F"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w:t>
            </w:r>
          </w:p>
          <w:p w14:paraId="1C481160"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Watering following natural cues to maintain condition of wetland-floodplain vegetation</w:t>
            </w:r>
          </w:p>
        </w:tc>
        <w:tc>
          <w:tcPr>
            <w:tcW w:w="4253" w:type="dxa"/>
            <w:tcBorders>
              <w:top w:val="single" w:sz="12" w:space="0" w:color="auto"/>
              <w:left w:val="single" w:sz="4" w:space="0" w:color="auto"/>
              <w:bottom w:val="single" w:sz="12" w:space="0" w:color="auto"/>
              <w:right w:val="single" w:sz="4" w:space="0" w:color="auto"/>
            </w:tcBorders>
            <w:shd w:val="clear" w:color="auto" w:fill="95B3D7" w:themeFill="accent1" w:themeFillTint="99"/>
            <w:vAlign w:val="center"/>
          </w:tcPr>
          <w:p w14:paraId="13CF4813"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 Potential for water use up to 3 GL if natural flow event triggers an opportunity under Moderate to High inflow scenario. Supplementary use prioritised if available.</w:t>
            </w:r>
          </w:p>
        </w:tc>
        <w:tc>
          <w:tcPr>
            <w:tcW w:w="2268" w:type="dxa"/>
            <w:tcBorders>
              <w:top w:val="single" w:sz="12" w:space="0" w:color="auto"/>
              <w:left w:val="single" w:sz="4" w:space="0" w:color="auto"/>
              <w:bottom w:val="single" w:sz="12" w:space="0" w:color="auto"/>
              <w:right w:val="single" w:sz="12" w:space="0" w:color="auto"/>
            </w:tcBorders>
            <w:shd w:val="clear" w:color="auto" w:fill="92D050"/>
            <w:vAlign w:val="center"/>
          </w:tcPr>
          <w:p w14:paraId="120CBD39"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LOW, subject to natural cues</w:t>
            </w:r>
          </w:p>
        </w:tc>
      </w:tr>
      <w:tr w:rsidR="00450436" w:rsidRPr="00453AB8" w14:paraId="2BB01383" w14:textId="77777777" w:rsidTr="00583873">
        <w:trPr>
          <w:trHeight w:val="1685"/>
        </w:trPr>
        <w:tc>
          <w:tcPr>
            <w:tcW w:w="2547" w:type="dxa"/>
            <w:tcBorders>
              <w:top w:val="single" w:sz="12" w:space="0" w:color="auto"/>
              <w:left w:val="single" w:sz="12" w:space="0" w:color="auto"/>
              <w:bottom w:val="single" w:sz="12" w:space="0" w:color="auto"/>
              <w:right w:val="single" w:sz="4" w:space="0" w:color="auto"/>
            </w:tcBorders>
            <w:shd w:val="clear" w:color="auto" w:fill="auto"/>
            <w:vAlign w:val="center"/>
          </w:tcPr>
          <w:p w14:paraId="30CD9922" w14:textId="77777777" w:rsidR="00450436" w:rsidRPr="0077275B" w:rsidRDefault="00450436" w:rsidP="00583873">
            <w:pPr>
              <w:rPr>
                <w:rFonts w:cstheme="minorHAnsi"/>
                <w:color w:val="auto"/>
                <w:sz w:val="18"/>
                <w:szCs w:val="18"/>
                <w:highlight w:val="cyan"/>
              </w:rPr>
            </w:pPr>
            <w:bookmarkStart w:id="163" w:name="_Hlk40362358"/>
            <w:r w:rsidRPr="0077275B">
              <w:rPr>
                <w:rFonts w:cstheme="minorHAnsi"/>
                <w:color w:val="auto"/>
                <w:sz w:val="18"/>
                <w:szCs w:val="18"/>
              </w:rPr>
              <w:lastRenderedPageBreak/>
              <w:t>Lowbidgee - Core refuge and permanent aquatic habitat sites (PU7)</w:t>
            </w:r>
          </w:p>
        </w:tc>
        <w:tc>
          <w:tcPr>
            <w:tcW w:w="4111" w:type="dxa"/>
            <w:tcBorders>
              <w:top w:val="single" w:sz="12" w:space="0" w:color="auto"/>
              <w:left w:val="single" w:sz="4" w:space="0" w:color="auto"/>
              <w:bottom w:val="single" w:sz="12" w:space="0" w:color="auto"/>
              <w:right w:val="single" w:sz="4" w:space="0" w:color="auto"/>
            </w:tcBorders>
            <w:shd w:val="clear" w:color="auto" w:fill="auto"/>
            <w:vAlign w:val="center"/>
          </w:tcPr>
          <w:p w14:paraId="5A78816B" w14:textId="77777777" w:rsidR="00450436" w:rsidRPr="0077275B" w:rsidRDefault="00450436" w:rsidP="00583873">
            <w:pPr>
              <w:rPr>
                <w:rFonts w:cstheme="minorHAnsi"/>
                <w:color w:val="auto"/>
                <w:sz w:val="18"/>
                <w:szCs w:val="18"/>
              </w:rPr>
            </w:pPr>
            <w:r w:rsidRPr="0077275B">
              <w:rPr>
                <w:rFonts w:cstheme="minorHAnsi"/>
                <w:color w:val="auto"/>
                <w:sz w:val="18"/>
                <w:szCs w:val="18"/>
              </w:rPr>
              <w:t>Up to 74 GL targeting critical refuge habitat requirements (minimum of 8.5 GL is required under a Very Low inflow scenario to meet these needs)</w:t>
            </w:r>
          </w:p>
        </w:tc>
        <w:tc>
          <w:tcPr>
            <w:tcW w:w="2041" w:type="dxa"/>
            <w:tcBorders>
              <w:top w:val="single" w:sz="12" w:space="0" w:color="auto"/>
              <w:left w:val="single" w:sz="4" w:space="0" w:color="auto"/>
              <w:bottom w:val="single" w:sz="12" w:space="0" w:color="auto"/>
              <w:right w:val="single" w:sz="4" w:space="0" w:color="auto"/>
            </w:tcBorders>
            <w:shd w:val="clear" w:color="auto" w:fill="auto"/>
            <w:vAlign w:val="center"/>
          </w:tcPr>
          <w:p w14:paraId="5C09DE6E"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Annual</w:t>
            </w:r>
          </w:p>
        </w:tc>
        <w:tc>
          <w:tcPr>
            <w:tcW w:w="4763" w:type="dxa"/>
            <w:tcBorders>
              <w:top w:val="single" w:sz="12" w:space="0" w:color="auto"/>
              <w:left w:val="single" w:sz="4" w:space="0" w:color="auto"/>
              <w:bottom w:val="single" w:sz="12" w:space="0" w:color="auto"/>
              <w:right w:val="single" w:sz="4" w:space="0" w:color="auto"/>
            </w:tcBorders>
            <w:shd w:val="clear" w:color="auto" w:fill="auto"/>
            <w:vAlign w:val="center"/>
          </w:tcPr>
          <w:p w14:paraId="01A705C5"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Demand met over the last 5 years</w:t>
            </w:r>
          </w:p>
        </w:tc>
        <w:tc>
          <w:tcPr>
            <w:tcW w:w="1984" w:type="dxa"/>
            <w:tcBorders>
              <w:top w:val="single" w:sz="12" w:space="0" w:color="auto"/>
              <w:left w:val="single" w:sz="4" w:space="0" w:color="auto"/>
              <w:bottom w:val="single" w:sz="12" w:space="0" w:color="auto"/>
              <w:right w:val="single" w:sz="4" w:space="0" w:color="auto"/>
            </w:tcBorders>
            <w:shd w:val="clear" w:color="auto" w:fill="C00000"/>
            <w:vAlign w:val="center"/>
          </w:tcPr>
          <w:p w14:paraId="7F9507F1"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 to CRITICAL</w:t>
            </w:r>
            <w:r w:rsidRPr="00453AB8">
              <w:rPr>
                <w:rFonts w:cstheme="minorHAnsi"/>
                <w:color w:val="auto"/>
                <w:sz w:val="18"/>
                <w:szCs w:val="18"/>
              </w:rPr>
              <w:br/>
              <w:t>Annual watering required for critical habitat requirements</w:t>
            </w:r>
          </w:p>
        </w:tc>
        <w:tc>
          <w:tcPr>
            <w:tcW w:w="4253" w:type="dxa"/>
            <w:tcBorders>
              <w:top w:val="single" w:sz="12" w:space="0" w:color="auto"/>
              <w:left w:val="single" w:sz="4" w:space="0" w:color="auto"/>
              <w:bottom w:val="single" w:sz="12" w:space="0" w:color="auto"/>
              <w:right w:val="single" w:sz="4" w:space="0" w:color="auto"/>
            </w:tcBorders>
            <w:shd w:val="clear" w:color="auto" w:fill="365F91" w:themeFill="accent1" w:themeFillShade="BF"/>
            <w:vAlign w:val="center"/>
          </w:tcPr>
          <w:p w14:paraId="135E9D4B"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 Potential for critical/permanent habitats.</w:t>
            </w:r>
          </w:p>
          <w:p w14:paraId="2FC5051D"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Volume contributed will be dependent on resource availability/antecedent conditions, with a minimum of 4.5 GL required under a Very Low inflow scenario increasing to 41 GL under Moderate inflow scenarios</w:t>
            </w:r>
          </w:p>
        </w:tc>
        <w:tc>
          <w:tcPr>
            <w:tcW w:w="2268" w:type="dxa"/>
            <w:tcBorders>
              <w:top w:val="single" w:sz="12" w:space="0" w:color="auto"/>
              <w:left w:val="single" w:sz="4" w:space="0" w:color="auto"/>
              <w:bottom w:val="single" w:sz="12" w:space="0" w:color="auto"/>
              <w:right w:val="single" w:sz="12" w:space="0" w:color="auto"/>
            </w:tcBorders>
            <w:shd w:val="clear" w:color="auto" w:fill="C00000"/>
            <w:vAlign w:val="center"/>
          </w:tcPr>
          <w:p w14:paraId="3461EC39"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 to CRITICAL</w:t>
            </w:r>
          </w:p>
        </w:tc>
      </w:tr>
      <w:bookmarkEnd w:id="163"/>
      <w:tr w:rsidR="00450436" w:rsidRPr="00453AB8" w14:paraId="3C197BDA" w14:textId="77777777" w:rsidTr="00583873">
        <w:trPr>
          <w:trHeight w:val="1823"/>
        </w:trPr>
        <w:tc>
          <w:tcPr>
            <w:tcW w:w="2547" w:type="dxa"/>
            <w:tcBorders>
              <w:top w:val="single" w:sz="12" w:space="0" w:color="auto"/>
              <w:left w:val="single" w:sz="12" w:space="0" w:color="auto"/>
              <w:bottom w:val="single" w:sz="12" w:space="0" w:color="auto"/>
              <w:right w:val="single" w:sz="4" w:space="0" w:color="auto"/>
            </w:tcBorders>
            <w:shd w:val="clear" w:color="auto" w:fill="auto"/>
            <w:vAlign w:val="center"/>
          </w:tcPr>
          <w:p w14:paraId="1CE94309" w14:textId="77777777" w:rsidR="00450436" w:rsidRPr="0077275B" w:rsidRDefault="00450436" w:rsidP="00583873">
            <w:pPr>
              <w:rPr>
                <w:rFonts w:cstheme="minorHAnsi"/>
                <w:color w:val="auto"/>
                <w:sz w:val="18"/>
                <w:szCs w:val="18"/>
              </w:rPr>
            </w:pPr>
            <w:r w:rsidRPr="0077275B">
              <w:rPr>
                <w:rFonts w:cstheme="minorHAnsi"/>
                <w:color w:val="auto"/>
                <w:sz w:val="18"/>
                <w:szCs w:val="18"/>
              </w:rPr>
              <w:t>Lowbidgee – Rookery sites (PU7)</w:t>
            </w:r>
          </w:p>
        </w:tc>
        <w:tc>
          <w:tcPr>
            <w:tcW w:w="4111" w:type="dxa"/>
            <w:tcBorders>
              <w:top w:val="single" w:sz="12" w:space="0" w:color="auto"/>
              <w:left w:val="single" w:sz="4" w:space="0" w:color="auto"/>
              <w:bottom w:val="single" w:sz="12" w:space="0" w:color="auto"/>
              <w:right w:val="single" w:sz="4" w:space="0" w:color="auto"/>
            </w:tcBorders>
            <w:shd w:val="clear" w:color="auto" w:fill="auto"/>
            <w:vAlign w:val="center"/>
          </w:tcPr>
          <w:p w14:paraId="3BBD7DD2" w14:textId="77777777" w:rsidR="00450436" w:rsidRPr="0077275B" w:rsidRDefault="00450436" w:rsidP="00583873">
            <w:pPr>
              <w:rPr>
                <w:rFonts w:cstheme="minorHAnsi"/>
                <w:color w:val="auto"/>
                <w:sz w:val="18"/>
                <w:szCs w:val="18"/>
              </w:rPr>
            </w:pPr>
            <w:r w:rsidRPr="0077275B">
              <w:rPr>
                <w:rFonts w:cstheme="minorHAnsi"/>
                <w:color w:val="auto"/>
                <w:sz w:val="18"/>
                <w:szCs w:val="18"/>
              </w:rPr>
              <w:t>Up to 30 GL in the event of naturally triggered colonial waterbird breeding</w:t>
            </w:r>
          </w:p>
        </w:tc>
        <w:tc>
          <w:tcPr>
            <w:tcW w:w="2041" w:type="dxa"/>
            <w:tcBorders>
              <w:top w:val="single" w:sz="12" w:space="0" w:color="auto"/>
              <w:left w:val="single" w:sz="4" w:space="0" w:color="auto"/>
              <w:bottom w:val="single" w:sz="12" w:space="0" w:color="auto"/>
              <w:right w:val="single" w:sz="4" w:space="0" w:color="auto"/>
            </w:tcBorders>
            <w:shd w:val="clear" w:color="auto" w:fill="auto"/>
            <w:vAlign w:val="center"/>
          </w:tcPr>
          <w:p w14:paraId="6F90BB0D"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As required in response to naturally triggered colonial bird breeding event</w:t>
            </w:r>
          </w:p>
        </w:tc>
        <w:tc>
          <w:tcPr>
            <w:tcW w:w="4763" w:type="dxa"/>
            <w:tcBorders>
              <w:top w:val="single" w:sz="12" w:space="0" w:color="auto"/>
              <w:left w:val="single" w:sz="4" w:space="0" w:color="auto"/>
              <w:bottom w:val="single" w:sz="12" w:space="0" w:color="auto"/>
              <w:right w:val="single" w:sz="4" w:space="0" w:color="auto"/>
            </w:tcBorders>
            <w:shd w:val="clear" w:color="auto" w:fill="auto"/>
            <w:vAlign w:val="center"/>
          </w:tcPr>
          <w:p w14:paraId="1E64D2CB"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As required</w:t>
            </w:r>
          </w:p>
        </w:tc>
        <w:tc>
          <w:tcPr>
            <w:tcW w:w="1984" w:type="dxa"/>
            <w:tcBorders>
              <w:top w:val="single" w:sz="12" w:space="0" w:color="auto"/>
              <w:left w:val="single" w:sz="4" w:space="0" w:color="auto"/>
              <w:bottom w:val="single" w:sz="12" w:space="0" w:color="auto"/>
              <w:right w:val="single" w:sz="4" w:space="0" w:color="auto"/>
            </w:tcBorders>
            <w:shd w:val="clear" w:color="auto" w:fill="C00000"/>
            <w:vAlign w:val="center"/>
          </w:tcPr>
          <w:p w14:paraId="1CF76CF9"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 to CRITICAL to support successful completion of waterbird breeding events</w:t>
            </w:r>
          </w:p>
        </w:tc>
        <w:tc>
          <w:tcPr>
            <w:tcW w:w="4253" w:type="dxa"/>
            <w:tcBorders>
              <w:top w:val="single" w:sz="12" w:space="0" w:color="auto"/>
              <w:left w:val="single" w:sz="4" w:space="0" w:color="auto"/>
              <w:bottom w:val="single" w:sz="12" w:space="0" w:color="auto"/>
              <w:right w:val="single" w:sz="4" w:space="0" w:color="auto"/>
            </w:tcBorders>
            <w:shd w:val="clear" w:color="auto" w:fill="auto"/>
            <w:vAlign w:val="center"/>
          </w:tcPr>
          <w:p w14:paraId="5B1C3AE9"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Low Potential, unless colonial waterbird breeding is naturally triggered under Moderate to Very High inflow scenario</w:t>
            </w:r>
          </w:p>
        </w:tc>
        <w:tc>
          <w:tcPr>
            <w:tcW w:w="2268" w:type="dxa"/>
            <w:tcBorders>
              <w:top w:val="single" w:sz="12" w:space="0" w:color="auto"/>
              <w:left w:val="single" w:sz="4" w:space="0" w:color="auto"/>
              <w:bottom w:val="single" w:sz="12" w:space="0" w:color="auto"/>
              <w:right w:val="single" w:sz="12" w:space="0" w:color="auto"/>
            </w:tcBorders>
            <w:shd w:val="clear" w:color="auto" w:fill="C00000"/>
            <w:vAlign w:val="center"/>
          </w:tcPr>
          <w:p w14:paraId="650CEE29"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 to CRITICAL</w:t>
            </w:r>
          </w:p>
        </w:tc>
      </w:tr>
      <w:tr w:rsidR="00450436" w:rsidRPr="00453AB8" w14:paraId="5B121457" w14:textId="77777777" w:rsidTr="00583873">
        <w:trPr>
          <w:trHeight w:val="1976"/>
        </w:trPr>
        <w:tc>
          <w:tcPr>
            <w:tcW w:w="2547" w:type="dxa"/>
            <w:tcBorders>
              <w:top w:val="single" w:sz="12" w:space="0" w:color="auto"/>
              <w:left w:val="single" w:sz="12" w:space="0" w:color="auto"/>
              <w:bottom w:val="single" w:sz="12" w:space="0" w:color="auto"/>
              <w:right w:val="single" w:sz="4" w:space="0" w:color="auto"/>
            </w:tcBorders>
            <w:shd w:val="clear" w:color="auto" w:fill="auto"/>
            <w:vAlign w:val="center"/>
          </w:tcPr>
          <w:p w14:paraId="38B135AF" w14:textId="77777777" w:rsidR="00450436" w:rsidRPr="0077275B" w:rsidRDefault="00450436" w:rsidP="00583873">
            <w:pPr>
              <w:rPr>
                <w:rFonts w:cstheme="minorHAnsi"/>
                <w:color w:val="auto"/>
                <w:sz w:val="18"/>
                <w:szCs w:val="18"/>
              </w:rPr>
            </w:pPr>
            <w:r w:rsidRPr="0077275B">
              <w:rPr>
                <w:rFonts w:cstheme="minorHAnsi"/>
                <w:color w:val="auto"/>
                <w:sz w:val="18"/>
                <w:szCs w:val="18"/>
              </w:rPr>
              <w:t xml:space="preserve">Lowbidgee - </w:t>
            </w:r>
          </w:p>
          <w:p w14:paraId="01654C1A" w14:textId="77777777" w:rsidR="00450436" w:rsidRPr="0077275B" w:rsidRDefault="00450436" w:rsidP="00583873">
            <w:pPr>
              <w:rPr>
                <w:rFonts w:cstheme="minorHAnsi"/>
                <w:color w:val="auto"/>
                <w:sz w:val="18"/>
                <w:szCs w:val="18"/>
              </w:rPr>
            </w:pPr>
            <w:r w:rsidRPr="0077275B">
              <w:rPr>
                <w:rFonts w:cstheme="minorHAnsi"/>
                <w:color w:val="auto"/>
                <w:sz w:val="18"/>
                <w:szCs w:val="18"/>
              </w:rPr>
              <w:t>North Redbank (PU7)</w:t>
            </w:r>
          </w:p>
        </w:tc>
        <w:tc>
          <w:tcPr>
            <w:tcW w:w="4111" w:type="dxa"/>
            <w:tcBorders>
              <w:top w:val="single" w:sz="12" w:space="0" w:color="auto"/>
              <w:left w:val="single" w:sz="4" w:space="0" w:color="auto"/>
              <w:bottom w:val="single" w:sz="12" w:space="0" w:color="auto"/>
              <w:right w:val="single" w:sz="4" w:space="0" w:color="auto"/>
            </w:tcBorders>
            <w:shd w:val="clear" w:color="auto" w:fill="auto"/>
            <w:vAlign w:val="center"/>
          </w:tcPr>
          <w:p w14:paraId="26252689" w14:textId="77777777" w:rsidR="00450436" w:rsidRPr="0077275B" w:rsidRDefault="00450436" w:rsidP="00583873">
            <w:pPr>
              <w:rPr>
                <w:rFonts w:cstheme="minorHAnsi"/>
                <w:color w:val="auto"/>
                <w:sz w:val="18"/>
                <w:szCs w:val="18"/>
              </w:rPr>
            </w:pPr>
            <w:r w:rsidRPr="0077275B">
              <w:rPr>
                <w:rFonts w:cstheme="minorHAnsi"/>
                <w:color w:val="auto"/>
                <w:sz w:val="18"/>
                <w:szCs w:val="18"/>
              </w:rPr>
              <w:t>Up to 40 GL</w:t>
            </w:r>
            <w:r w:rsidRPr="0077275B">
              <w:rPr>
                <w:rFonts w:cstheme="minorHAnsi"/>
                <w:color w:val="auto"/>
                <w:sz w:val="18"/>
                <w:szCs w:val="18"/>
                <w:vertAlign w:val="superscript"/>
              </w:rPr>
              <w:footnoteReference w:id="40"/>
            </w:r>
            <w:r w:rsidRPr="0077275B">
              <w:rPr>
                <w:rFonts w:cstheme="minorHAnsi"/>
                <w:color w:val="auto"/>
                <w:sz w:val="18"/>
                <w:szCs w:val="18"/>
              </w:rPr>
              <w:t xml:space="preserve"> targeting wetland vegetation and habitat for native fish, frogs, turtles and waterbirds</w:t>
            </w:r>
          </w:p>
        </w:tc>
        <w:tc>
          <w:tcPr>
            <w:tcW w:w="2041" w:type="dxa"/>
            <w:tcBorders>
              <w:top w:val="single" w:sz="12" w:space="0" w:color="auto"/>
              <w:left w:val="single" w:sz="4" w:space="0" w:color="auto"/>
              <w:bottom w:val="single" w:sz="12" w:space="0" w:color="auto"/>
              <w:right w:val="single" w:sz="4" w:space="0" w:color="auto"/>
            </w:tcBorders>
            <w:shd w:val="clear" w:color="auto" w:fill="auto"/>
            <w:vAlign w:val="center"/>
          </w:tcPr>
          <w:p w14:paraId="7A442C3C"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River red gum forest and spike rush wetlands</w:t>
            </w:r>
          </w:p>
          <w:p w14:paraId="2461F6AB"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1-3 years (3 years)</w:t>
            </w:r>
          </w:p>
        </w:tc>
        <w:tc>
          <w:tcPr>
            <w:tcW w:w="4763" w:type="dxa"/>
            <w:tcBorders>
              <w:top w:val="single" w:sz="12" w:space="0" w:color="auto"/>
              <w:left w:val="single" w:sz="4" w:space="0" w:color="auto"/>
              <w:bottom w:val="single" w:sz="12" w:space="0" w:color="auto"/>
              <w:right w:val="single" w:sz="4" w:space="0" w:color="auto"/>
            </w:tcBorders>
            <w:shd w:val="clear" w:color="auto" w:fill="auto"/>
            <w:vAlign w:val="center"/>
          </w:tcPr>
          <w:p w14:paraId="5D40B98A"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Met or partially met over the last 5 years</w:t>
            </w:r>
          </w:p>
        </w:tc>
        <w:tc>
          <w:tcPr>
            <w:tcW w:w="1984" w:type="dxa"/>
            <w:tcBorders>
              <w:top w:val="single" w:sz="12" w:space="0" w:color="auto"/>
              <w:left w:val="single" w:sz="4" w:space="0" w:color="auto"/>
              <w:bottom w:val="single" w:sz="12" w:space="0" w:color="auto"/>
              <w:right w:val="single" w:sz="4" w:space="0" w:color="auto"/>
            </w:tcBorders>
            <w:shd w:val="clear" w:color="auto" w:fill="FFC000"/>
            <w:vAlign w:val="center"/>
          </w:tcPr>
          <w:p w14:paraId="171ABE8C"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w:t>
            </w:r>
          </w:p>
          <w:p w14:paraId="780CCB69"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Watering following natural cues, to maintain the good condition of wetland-floodplain vegetation</w:t>
            </w:r>
          </w:p>
        </w:tc>
        <w:tc>
          <w:tcPr>
            <w:tcW w:w="4253" w:type="dxa"/>
            <w:tcBorders>
              <w:top w:val="single" w:sz="12" w:space="0" w:color="auto"/>
              <w:left w:val="single" w:sz="4" w:space="0" w:color="auto"/>
              <w:bottom w:val="single" w:sz="12" w:space="0" w:color="auto"/>
              <w:right w:val="single" w:sz="4" w:space="0" w:color="auto"/>
            </w:tcBorders>
            <w:shd w:val="clear" w:color="auto" w:fill="95B3D7" w:themeFill="accent1" w:themeFillTint="99"/>
            <w:vAlign w:val="center"/>
          </w:tcPr>
          <w:p w14:paraId="1DE47116"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 Potential for wetland inundation</w:t>
            </w:r>
          </w:p>
          <w:p w14:paraId="5FD308DF"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Up to 20 GL under Moderate to High inflow scenarios</w:t>
            </w:r>
          </w:p>
        </w:tc>
        <w:tc>
          <w:tcPr>
            <w:tcW w:w="2268" w:type="dxa"/>
            <w:tcBorders>
              <w:top w:val="single" w:sz="12" w:space="0" w:color="auto"/>
              <w:left w:val="single" w:sz="4" w:space="0" w:color="auto"/>
              <w:bottom w:val="single" w:sz="12" w:space="0" w:color="auto"/>
              <w:right w:val="single" w:sz="12" w:space="0" w:color="auto"/>
            </w:tcBorders>
            <w:shd w:val="clear" w:color="auto" w:fill="92D050"/>
            <w:vAlign w:val="center"/>
          </w:tcPr>
          <w:p w14:paraId="3E082F79"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LOW, subject to natural cues</w:t>
            </w:r>
          </w:p>
        </w:tc>
      </w:tr>
      <w:tr w:rsidR="00450436" w:rsidRPr="00453AB8" w14:paraId="443C1C78" w14:textId="77777777" w:rsidTr="00583873">
        <w:trPr>
          <w:trHeight w:val="1976"/>
        </w:trPr>
        <w:tc>
          <w:tcPr>
            <w:tcW w:w="2547" w:type="dxa"/>
            <w:tcBorders>
              <w:top w:val="single" w:sz="12" w:space="0" w:color="auto"/>
              <w:left w:val="single" w:sz="12" w:space="0" w:color="auto"/>
              <w:bottom w:val="single" w:sz="12" w:space="0" w:color="auto"/>
              <w:right w:val="single" w:sz="4" w:space="0" w:color="auto"/>
            </w:tcBorders>
            <w:shd w:val="clear" w:color="auto" w:fill="auto"/>
            <w:vAlign w:val="center"/>
          </w:tcPr>
          <w:p w14:paraId="5FA33036" w14:textId="77777777" w:rsidR="00450436" w:rsidRPr="0077275B" w:rsidRDefault="00450436" w:rsidP="00583873">
            <w:pPr>
              <w:rPr>
                <w:rFonts w:cstheme="minorHAnsi"/>
                <w:color w:val="auto"/>
                <w:sz w:val="18"/>
                <w:szCs w:val="18"/>
              </w:rPr>
            </w:pPr>
            <w:r w:rsidRPr="0077275B">
              <w:rPr>
                <w:rFonts w:cstheme="minorHAnsi"/>
                <w:color w:val="auto"/>
                <w:sz w:val="18"/>
                <w:szCs w:val="18"/>
              </w:rPr>
              <w:t>Lowbidgee - Yanga National Park (PU7)</w:t>
            </w:r>
          </w:p>
        </w:tc>
        <w:tc>
          <w:tcPr>
            <w:tcW w:w="4111" w:type="dxa"/>
            <w:tcBorders>
              <w:top w:val="single" w:sz="12" w:space="0" w:color="auto"/>
              <w:left w:val="single" w:sz="4" w:space="0" w:color="auto"/>
              <w:bottom w:val="single" w:sz="12" w:space="0" w:color="auto"/>
              <w:right w:val="single" w:sz="4" w:space="0" w:color="auto"/>
            </w:tcBorders>
            <w:shd w:val="clear" w:color="auto" w:fill="auto"/>
            <w:vAlign w:val="center"/>
          </w:tcPr>
          <w:p w14:paraId="127D62F5" w14:textId="77777777" w:rsidR="00450436" w:rsidRPr="0077275B" w:rsidRDefault="00450436" w:rsidP="00583873">
            <w:pPr>
              <w:rPr>
                <w:rFonts w:cstheme="minorHAnsi"/>
                <w:color w:val="auto"/>
                <w:sz w:val="18"/>
                <w:szCs w:val="18"/>
              </w:rPr>
            </w:pPr>
            <w:r w:rsidRPr="0077275B">
              <w:rPr>
                <w:rFonts w:cstheme="minorHAnsi"/>
                <w:color w:val="auto"/>
                <w:sz w:val="18"/>
                <w:szCs w:val="18"/>
              </w:rPr>
              <w:t>Up to 50 GL</w:t>
            </w:r>
            <w:r w:rsidRPr="0077275B">
              <w:rPr>
                <w:rFonts w:cstheme="minorHAnsi"/>
                <w:color w:val="auto"/>
                <w:sz w:val="18"/>
                <w:szCs w:val="18"/>
                <w:vertAlign w:val="superscript"/>
              </w:rPr>
              <w:t>‡</w:t>
            </w:r>
            <w:r w:rsidRPr="0077275B">
              <w:rPr>
                <w:rFonts w:cstheme="minorHAnsi"/>
                <w:color w:val="auto"/>
                <w:sz w:val="18"/>
                <w:szCs w:val="18"/>
              </w:rPr>
              <w:t xml:space="preserve"> targeting wetland vegetation and habitat for native fish, frogs, turtles and waterbirds</w:t>
            </w:r>
          </w:p>
        </w:tc>
        <w:tc>
          <w:tcPr>
            <w:tcW w:w="2041" w:type="dxa"/>
            <w:tcBorders>
              <w:top w:val="single" w:sz="12" w:space="0" w:color="auto"/>
              <w:left w:val="single" w:sz="4" w:space="0" w:color="auto"/>
              <w:bottom w:val="single" w:sz="12" w:space="0" w:color="auto"/>
              <w:right w:val="single" w:sz="4" w:space="0" w:color="auto"/>
            </w:tcBorders>
            <w:shd w:val="clear" w:color="auto" w:fill="auto"/>
            <w:vAlign w:val="center"/>
          </w:tcPr>
          <w:p w14:paraId="6F4A1496"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River red gum forest and spike rush wetlands</w:t>
            </w:r>
          </w:p>
          <w:p w14:paraId="0804B88E"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1-3 years (3 years)</w:t>
            </w:r>
          </w:p>
        </w:tc>
        <w:tc>
          <w:tcPr>
            <w:tcW w:w="4763" w:type="dxa"/>
            <w:tcBorders>
              <w:top w:val="single" w:sz="12" w:space="0" w:color="auto"/>
              <w:left w:val="single" w:sz="4" w:space="0" w:color="auto"/>
              <w:bottom w:val="single" w:sz="12" w:space="0" w:color="auto"/>
              <w:right w:val="single" w:sz="4" w:space="0" w:color="auto"/>
            </w:tcBorders>
            <w:shd w:val="clear" w:color="auto" w:fill="auto"/>
            <w:vAlign w:val="center"/>
          </w:tcPr>
          <w:p w14:paraId="3828CF04"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Met or partially met over the last 5 years</w:t>
            </w:r>
          </w:p>
        </w:tc>
        <w:tc>
          <w:tcPr>
            <w:tcW w:w="1984" w:type="dxa"/>
            <w:tcBorders>
              <w:top w:val="single" w:sz="12" w:space="0" w:color="auto"/>
              <w:left w:val="single" w:sz="4" w:space="0" w:color="auto"/>
              <w:bottom w:val="single" w:sz="12" w:space="0" w:color="auto"/>
              <w:right w:val="single" w:sz="4" w:space="0" w:color="auto"/>
            </w:tcBorders>
            <w:shd w:val="clear" w:color="auto" w:fill="FF0000"/>
            <w:vAlign w:val="center"/>
          </w:tcPr>
          <w:p w14:paraId="109AA579"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w:t>
            </w:r>
          </w:p>
          <w:p w14:paraId="17CABE58"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Watering required to maintain deep creek fish refuges and condition of wetland-floodplain vegetation</w:t>
            </w:r>
          </w:p>
        </w:tc>
        <w:tc>
          <w:tcPr>
            <w:tcW w:w="4253" w:type="dxa"/>
            <w:tcBorders>
              <w:top w:val="single" w:sz="12" w:space="0" w:color="auto"/>
              <w:left w:val="single" w:sz="4" w:space="0" w:color="auto"/>
              <w:bottom w:val="single" w:sz="12" w:space="0" w:color="auto"/>
              <w:right w:val="single" w:sz="4" w:space="0" w:color="auto"/>
            </w:tcBorders>
            <w:shd w:val="clear" w:color="auto" w:fill="365F91" w:themeFill="accent1" w:themeFillShade="BF"/>
            <w:vAlign w:val="center"/>
          </w:tcPr>
          <w:p w14:paraId="57F4EFF6"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 Potential for wetland inundation</w:t>
            </w:r>
          </w:p>
          <w:p w14:paraId="6AA6A0D5"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Up to 25 GL under Moderate to High inflow scenarios</w:t>
            </w:r>
          </w:p>
        </w:tc>
        <w:tc>
          <w:tcPr>
            <w:tcW w:w="2268" w:type="dxa"/>
            <w:tcBorders>
              <w:top w:val="single" w:sz="12" w:space="0" w:color="auto"/>
              <w:left w:val="single" w:sz="4" w:space="0" w:color="auto"/>
              <w:bottom w:val="single" w:sz="12" w:space="0" w:color="auto"/>
              <w:right w:val="single" w:sz="12" w:space="0" w:color="auto"/>
            </w:tcBorders>
            <w:shd w:val="clear" w:color="auto" w:fill="FFC000"/>
            <w:vAlign w:val="center"/>
          </w:tcPr>
          <w:p w14:paraId="1574FDDF"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 subject to natural cues</w:t>
            </w:r>
          </w:p>
        </w:tc>
      </w:tr>
      <w:tr w:rsidR="00450436" w:rsidRPr="00453AB8" w14:paraId="203696F9" w14:textId="77777777" w:rsidTr="00583873">
        <w:trPr>
          <w:trHeight w:val="2118"/>
        </w:trPr>
        <w:tc>
          <w:tcPr>
            <w:tcW w:w="2547" w:type="dxa"/>
            <w:tcBorders>
              <w:top w:val="single" w:sz="12" w:space="0" w:color="auto"/>
              <w:left w:val="single" w:sz="12" w:space="0" w:color="auto"/>
              <w:bottom w:val="single" w:sz="12" w:space="0" w:color="auto"/>
              <w:right w:val="single" w:sz="4" w:space="0" w:color="auto"/>
            </w:tcBorders>
            <w:shd w:val="clear" w:color="auto" w:fill="auto"/>
            <w:vAlign w:val="center"/>
          </w:tcPr>
          <w:p w14:paraId="511CF3DF" w14:textId="77777777" w:rsidR="00450436" w:rsidRPr="0077275B" w:rsidRDefault="00450436" w:rsidP="00583873">
            <w:pPr>
              <w:rPr>
                <w:rFonts w:cstheme="minorHAnsi"/>
                <w:color w:val="auto"/>
                <w:sz w:val="18"/>
                <w:szCs w:val="18"/>
              </w:rPr>
            </w:pPr>
            <w:r w:rsidRPr="0077275B">
              <w:rPr>
                <w:rFonts w:cstheme="minorHAnsi"/>
                <w:color w:val="auto"/>
                <w:sz w:val="18"/>
                <w:szCs w:val="18"/>
              </w:rPr>
              <w:t>Lowbidgee - Gayini Nimmie-Caira (PU7)</w:t>
            </w:r>
          </w:p>
        </w:tc>
        <w:tc>
          <w:tcPr>
            <w:tcW w:w="4111" w:type="dxa"/>
            <w:tcBorders>
              <w:top w:val="single" w:sz="12" w:space="0" w:color="auto"/>
              <w:left w:val="single" w:sz="4" w:space="0" w:color="auto"/>
              <w:bottom w:val="single" w:sz="12" w:space="0" w:color="auto"/>
              <w:right w:val="single" w:sz="4" w:space="0" w:color="auto"/>
            </w:tcBorders>
            <w:shd w:val="clear" w:color="auto" w:fill="auto"/>
            <w:vAlign w:val="center"/>
          </w:tcPr>
          <w:p w14:paraId="5EC48867" w14:textId="77777777" w:rsidR="00450436" w:rsidRPr="0077275B" w:rsidRDefault="00450436" w:rsidP="00583873">
            <w:pPr>
              <w:rPr>
                <w:rFonts w:cstheme="minorHAnsi"/>
                <w:color w:val="auto"/>
                <w:sz w:val="18"/>
                <w:szCs w:val="18"/>
              </w:rPr>
            </w:pPr>
            <w:r w:rsidRPr="0077275B">
              <w:rPr>
                <w:rFonts w:cstheme="minorHAnsi"/>
                <w:color w:val="auto"/>
                <w:sz w:val="18"/>
                <w:szCs w:val="18"/>
              </w:rPr>
              <w:t>Up to 50 GL</w:t>
            </w:r>
            <w:r w:rsidRPr="0077275B">
              <w:rPr>
                <w:rFonts w:cstheme="minorHAnsi"/>
                <w:color w:val="auto"/>
                <w:sz w:val="18"/>
                <w:szCs w:val="18"/>
                <w:vertAlign w:val="superscript"/>
              </w:rPr>
              <w:footnoteReference w:id="41"/>
            </w:r>
            <w:r w:rsidRPr="0077275B">
              <w:rPr>
                <w:rFonts w:cstheme="minorHAnsi"/>
                <w:color w:val="auto"/>
                <w:sz w:val="18"/>
                <w:szCs w:val="18"/>
              </w:rPr>
              <w:t xml:space="preserve">  targeting wetland vegetation and habitat for native fish, frogs, turtles and waterbirds</w:t>
            </w:r>
          </w:p>
        </w:tc>
        <w:tc>
          <w:tcPr>
            <w:tcW w:w="2041" w:type="dxa"/>
            <w:tcBorders>
              <w:top w:val="single" w:sz="12" w:space="0" w:color="auto"/>
              <w:left w:val="single" w:sz="4" w:space="0" w:color="auto"/>
              <w:bottom w:val="single" w:sz="12" w:space="0" w:color="auto"/>
              <w:right w:val="single" w:sz="4" w:space="0" w:color="auto"/>
            </w:tcBorders>
            <w:shd w:val="clear" w:color="auto" w:fill="auto"/>
            <w:vAlign w:val="center"/>
          </w:tcPr>
          <w:p w14:paraId="34B1C1D1"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Refuge habitat annual</w:t>
            </w:r>
          </w:p>
          <w:p w14:paraId="22654612"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Lignum dominated wetlands</w:t>
            </w:r>
          </w:p>
          <w:p w14:paraId="223DDD88"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1 to 5 years, with duration of up to 7 months</w:t>
            </w:r>
          </w:p>
        </w:tc>
        <w:tc>
          <w:tcPr>
            <w:tcW w:w="4763" w:type="dxa"/>
            <w:tcBorders>
              <w:top w:val="single" w:sz="12" w:space="0" w:color="auto"/>
              <w:left w:val="single" w:sz="4" w:space="0" w:color="auto"/>
              <w:bottom w:val="single" w:sz="12" w:space="0" w:color="auto"/>
              <w:right w:val="single" w:sz="4" w:space="0" w:color="auto"/>
            </w:tcBorders>
            <w:shd w:val="clear" w:color="auto" w:fill="auto"/>
            <w:vAlign w:val="center"/>
          </w:tcPr>
          <w:p w14:paraId="3A687EB4"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Met or partially met over the last 5 years</w:t>
            </w:r>
          </w:p>
        </w:tc>
        <w:tc>
          <w:tcPr>
            <w:tcW w:w="1984" w:type="dxa"/>
            <w:tcBorders>
              <w:top w:val="single" w:sz="12" w:space="0" w:color="auto"/>
              <w:left w:val="single" w:sz="4" w:space="0" w:color="auto"/>
              <w:bottom w:val="single" w:sz="12" w:space="0" w:color="auto"/>
              <w:right w:val="single" w:sz="4" w:space="0" w:color="auto"/>
            </w:tcBorders>
            <w:shd w:val="clear" w:color="auto" w:fill="FF0000"/>
            <w:vAlign w:val="center"/>
          </w:tcPr>
          <w:p w14:paraId="55D18021"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w:t>
            </w:r>
          </w:p>
          <w:p w14:paraId="612D496E"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Watering following natural cues to maintain the good condition of wetland-floodplain vegetation</w:t>
            </w:r>
          </w:p>
        </w:tc>
        <w:tc>
          <w:tcPr>
            <w:tcW w:w="4253" w:type="dxa"/>
            <w:tcBorders>
              <w:top w:val="single" w:sz="12" w:space="0" w:color="auto"/>
              <w:left w:val="single" w:sz="4" w:space="0" w:color="auto"/>
              <w:bottom w:val="single" w:sz="12" w:space="0" w:color="auto"/>
              <w:right w:val="single" w:sz="4" w:space="0" w:color="auto"/>
            </w:tcBorders>
            <w:shd w:val="clear" w:color="auto" w:fill="365F91" w:themeFill="accent1" w:themeFillShade="BF"/>
            <w:vAlign w:val="center"/>
          </w:tcPr>
          <w:p w14:paraId="2166D9D4"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 Potential for wetland inundation</w:t>
            </w:r>
          </w:p>
          <w:p w14:paraId="01BF5DD4"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Up to 25 GL under Moderate to High inflow scenarios</w:t>
            </w:r>
          </w:p>
        </w:tc>
        <w:tc>
          <w:tcPr>
            <w:tcW w:w="2268" w:type="dxa"/>
            <w:tcBorders>
              <w:top w:val="single" w:sz="12" w:space="0" w:color="auto"/>
              <w:left w:val="single" w:sz="4" w:space="0" w:color="auto"/>
              <w:bottom w:val="single" w:sz="12" w:space="0" w:color="auto"/>
              <w:right w:val="single" w:sz="12" w:space="0" w:color="auto"/>
            </w:tcBorders>
            <w:shd w:val="clear" w:color="auto" w:fill="FFC000"/>
            <w:vAlign w:val="center"/>
          </w:tcPr>
          <w:p w14:paraId="257F5041"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 subject to natural cues</w:t>
            </w:r>
          </w:p>
        </w:tc>
      </w:tr>
      <w:tr w:rsidR="00450436" w:rsidRPr="00453AB8" w14:paraId="186B8E2C" w14:textId="77777777" w:rsidTr="00583873">
        <w:trPr>
          <w:trHeight w:val="1826"/>
        </w:trPr>
        <w:tc>
          <w:tcPr>
            <w:tcW w:w="2547" w:type="dxa"/>
            <w:tcBorders>
              <w:top w:val="single" w:sz="12" w:space="0" w:color="auto"/>
              <w:left w:val="single" w:sz="12" w:space="0" w:color="auto"/>
              <w:bottom w:val="single" w:sz="12" w:space="0" w:color="auto"/>
              <w:right w:val="single" w:sz="4" w:space="0" w:color="auto"/>
            </w:tcBorders>
            <w:shd w:val="clear" w:color="auto" w:fill="auto"/>
            <w:vAlign w:val="center"/>
          </w:tcPr>
          <w:p w14:paraId="694A9244" w14:textId="77777777" w:rsidR="00450436" w:rsidRPr="0077275B" w:rsidRDefault="00450436" w:rsidP="00583873">
            <w:pPr>
              <w:rPr>
                <w:rFonts w:cstheme="minorHAnsi"/>
                <w:color w:val="auto"/>
                <w:sz w:val="18"/>
                <w:szCs w:val="18"/>
              </w:rPr>
            </w:pPr>
            <w:r w:rsidRPr="0077275B">
              <w:rPr>
                <w:rFonts w:cstheme="minorHAnsi"/>
                <w:color w:val="auto"/>
                <w:sz w:val="18"/>
                <w:szCs w:val="18"/>
              </w:rPr>
              <w:t>Lowbidgee - Fiddlers-Uara (PU7)</w:t>
            </w:r>
          </w:p>
        </w:tc>
        <w:tc>
          <w:tcPr>
            <w:tcW w:w="4111" w:type="dxa"/>
            <w:tcBorders>
              <w:top w:val="single" w:sz="12" w:space="0" w:color="auto"/>
              <w:left w:val="single" w:sz="4" w:space="0" w:color="auto"/>
              <w:bottom w:val="single" w:sz="12" w:space="0" w:color="auto"/>
              <w:right w:val="single" w:sz="4" w:space="0" w:color="auto"/>
            </w:tcBorders>
            <w:shd w:val="clear" w:color="auto" w:fill="auto"/>
            <w:vAlign w:val="center"/>
          </w:tcPr>
          <w:p w14:paraId="6CDA234D" w14:textId="77777777" w:rsidR="00450436" w:rsidRPr="0077275B" w:rsidRDefault="00450436" w:rsidP="00583873">
            <w:pPr>
              <w:rPr>
                <w:rFonts w:cstheme="minorHAnsi"/>
                <w:color w:val="auto"/>
                <w:sz w:val="18"/>
                <w:szCs w:val="18"/>
              </w:rPr>
            </w:pPr>
            <w:r w:rsidRPr="0077275B">
              <w:rPr>
                <w:rFonts w:cstheme="minorHAnsi"/>
                <w:color w:val="auto"/>
                <w:sz w:val="18"/>
                <w:szCs w:val="18"/>
              </w:rPr>
              <w:t>Up to 20 GL targeting wetland vegetation and habitat for native fish, frogs, turtles and waterbirds</w:t>
            </w:r>
          </w:p>
        </w:tc>
        <w:tc>
          <w:tcPr>
            <w:tcW w:w="2041" w:type="dxa"/>
            <w:tcBorders>
              <w:top w:val="single" w:sz="12" w:space="0" w:color="auto"/>
              <w:left w:val="single" w:sz="4" w:space="0" w:color="auto"/>
              <w:bottom w:val="single" w:sz="12" w:space="0" w:color="auto"/>
              <w:right w:val="single" w:sz="4" w:space="0" w:color="auto"/>
            </w:tcBorders>
            <w:shd w:val="clear" w:color="auto" w:fill="auto"/>
            <w:vAlign w:val="center"/>
          </w:tcPr>
          <w:p w14:paraId="078930B2"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Black box and lignum wetlands every 3 to 7 years</w:t>
            </w:r>
          </w:p>
        </w:tc>
        <w:tc>
          <w:tcPr>
            <w:tcW w:w="4763" w:type="dxa"/>
            <w:tcBorders>
              <w:top w:val="single" w:sz="12" w:space="0" w:color="auto"/>
              <w:left w:val="single" w:sz="4" w:space="0" w:color="auto"/>
              <w:bottom w:val="single" w:sz="12" w:space="0" w:color="auto"/>
              <w:right w:val="single" w:sz="4" w:space="0" w:color="auto"/>
            </w:tcBorders>
            <w:shd w:val="clear" w:color="auto" w:fill="auto"/>
            <w:vAlign w:val="center"/>
          </w:tcPr>
          <w:p w14:paraId="351DC98C"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Met 2 out of the last 6 years</w:t>
            </w:r>
          </w:p>
        </w:tc>
        <w:tc>
          <w:tcPr>
            <w:tcW w:w="1984" w:type="dxa"/>
            <w:tcBorders>
              <w:top w:val="single" w:sz="12" w:space="0" w:color="auto"/>
              <w:left w:val="single" w:sz="4" w:space="0" w:color="auto"/>
              <w:bottom w:val="single" w:sz="12" w:space="0" w:color="auto"/>
              <w:right w:val="single" w:sz="4" w:space="0" w:color="auto"/>
            </w:tcBorders>
            <w:shd w:val="clear" w:color="auto" w:fill="92D050"/>
            <w:vAlign w:val="center"/>
          </w:tcPr>
          <w:p w14:paraId="52C9D221"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LOW</w:t>
            </w:r>
          </w:p>
          <w:p w14:paraId="238F26C3"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Watering following natural cues to maintain the good condition of wetland-floodplain vegetation</w:t>
            </w:r>
          </w:p>
        </w:tc>
        <w:tc>
          <w:tcPr>
            <w:tcW w:w="4253" w:type="dxa"/>
            <w:tcBorders>
              <w:top w:val="single" w:sz="12" w:space="0" w:color="auto"/>
              <w:left w:val="single" w:sz="4" w:space="0" w:color="auto"/>
              <w:bottom w:val="single" w:sz="12" w:space="0" w:color="auto"/>
              <w:right w:val="single" w:sz="4" w:space="0" w:color="auto"/>
            </w:tcBorders>
            <w:shd w:val="clear" w:color="auto" w:fill="auto"/>
            <w:vAlign w:val="center"/>
          </w:tcPr>
          <w:p w14:paraId="45CEDA76"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Low Potential for wetland inundation</w:t>
            </w:r>
          </w:p>
          <w:p w14:paraId="2B9FAF9E" w14:textId="77777777" w:rsidR="00450436" w:rsidRPr="00453AB8" w:rsidRDefault="00450436" w:rsidP="00583873">
            <w:pPr>
              <w:jc w:val="center"/>
              <w:rPr>
                <w:rFonts w:cstheme="minorHAnsi"/>
                <w:i/>
                <w:iCs/>
                <w:color w:val="auto"/>
                <w:sz w:val="18"/>
                <w:szCs w:val="18"/>
              </w:rPr>
            </w:pPr>
            <w:r w:rsidRPr="00453AB8">
              <w:rPr>
                <w:rFonts w:cstheme="minorHAnsi"/>
                <w:color w:val="auto"/>
                <w:sz w:val="18"/>
                <w:szCs w:val="18"/>
              </w:rPr>
              <w:t>Up to 10 GL under High inflow scenarios</w:t>
            </w:r>
          </w:p>
        </w:tc>
        <w:tc>
          <w:tcPr>
            <w:tcW w:w="2268" w:type="dxa"/>
            <w:tcBorders>
              <w:top w:val="single" w:sz="12" w:space="0" w:color="auto"/>
              <w:left w:val="single" w:sz="4" w:space="0" w:color="auto"/>
              <w:bottom w:val="single" w:sz="12" w:space="0" w:color="auto"/>
              <w:right w:val="single" w:sz="12" w:space="0" w:color="auto"/>
            </w:tcBorders>
            <w:shd w:val="clear" w:color="auto" w:fill="92D050"/>
            <w:vAlign w:val="center"/>
          </w:tcPr>
          <w:p w14:paraId="28211691"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LOW, subject to natural cues</w:t>
            </w:r>
          </w:p>
        </w:tc>
      </w:tr>
      <w:tr w:rsidR="00450436" w:rsidRPr="00453AB8" w14:paraId="40A8F149" w14:textId="77777777" w:rsidTr="00583873">
        <w:trPr>
          <w:trHeight w:val="972"/>
        </w:trPr>
        <w:tc>
          <w:tcPr>
            <w:tcW w:w="2547" w:type="dxa"/>
            <w:tcBorders>
              <w:top w:val="single" w:sz="12" w:space="0" w:color="auto"/>
              <w:left w:val="single" w:sz="12" w:space="0" w:color="auto"/>
              <w:bottom w:val="single" w:sz="12" w:space="0" w:color="auto"/>
              <w:right w:val="single" w:sz="4" w:space="0" w:color="auto"/>
            </w:tcBorders>
            <w:shd w:val="clear" w:color="auto" w:fill="auto"/>
            <w:vAlign w:val="center"/>
          </w:tcPr>
          <w:p w14:paraId="7139EB20" w14:textId="77777777" w:rsidR="00450436" w:rsidRPr="0077275B" w:rsidRDefault="00450436" w:rsidP="00583873">
            <w:pPr>
              <w:rPr>
                <w:rFonts w:cstheme="minorHAnsi"/>
                <w:color w:val="auto"/>
                <w:sz w:val="18"/>
                <w:szCs w:val="18"/>
              </w:rPr>
            </w:pPr>
            <w:r w:rsidRPr="0077275B">
              <w:rPr>
                <w:rFonts w:cstheme="minorHAnsi"/>
                <w:color w:val="auto"/>
                <w:sz w:val="18"/>
                <w:szCs w:val="18"/>
              </w:rPr>
              <w:lastRenderedPageBreak/>
              <w:t>Lowbidgee - Western Lakes (PU7)</w:t>
            </w:r>
          </w:p>
        </w:tc>
        <w:tc>
          <w:tcPr>
            <w:tcW w:w="4111" w:type="dxa"/>
            <w:tcBorders>
              <w:top w:val="single" w:sz="12" w:space="0" w:color="auto"/>
              <w:left w:val="single" w:sz="4" w:space="0" w:color="auto"/>
              <w:bottom w:val="single" w:sz="12" w:space="0" w:color="auto"/>
              <w:right w:val="single" w:sz="4" w:space="0" w:color="auto"/>
            </w:tcBorders>
            <w:shd w:val="clear" w:color="auto" w:fill="auto"/>
            <w:vAlign w:val="center"/>
          </w:tcPr>
          <w:p w14:paraId="55FE0CDB" w14:textId="77777777" w:rsidR="00450436" w:rsidRPr="0077275B" w:rsidRDefault="00450436" w:rsidP="00583873">
            <w:pPr>
              <w:rPr>
                <w:rFonts w:cstheme="minorHAnsi"/>
                <w:color w:val="auto"/>
                <w:sz w:val="18"/>
                <w:szCs w:val="18"/>
              </w:rPr>
            </w:pPr>
            <w:r w:rsidRPr="0077275B">
              <w:rPr>
                <w:rFonts w:cstheme="minorHAnsi"/>
                <w:color w:val="auto"/>
                <w:sz w:val="18"/>
                <w:szCs w:val="18"/>
              </w:rPr>
              <w:t>Up to 30 GL to maintain open water habitats and floodplain vegetation</w:t>
            </w:r>
          </w:p>
        </w:tc>
        <w:tc>
          <w:tcPr>
            <w:tcW w:w="2041" w:type="dxa"/>
            <w:tcBorders>
              <w:top w:val="single" w:sz="12" w:space="0" w:color="auto"/>
              <w:left w:val="single" w:sz="4" w:space="0" w:color="auto"/>
              <w:bottom w:val="single" w:sz="12" w:space="0" w:color="auto"/>
              <w:right w:val="single" w:sz="4" w:space="0" w:color="auto"/>
            </w:tcBorders>
            <w:shd w:val="clear" w:color="auto" w:fill="auto"/>
            <w:vAlign w:val="center"/>
          </w:tcPr>
          <w:p w14:paraId="0E400C7F"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Wetland habitats and open water, black box and lignum wetlands every 3 to 7 years</w:t>
            </w:r>
          </w:p>
        </w:tc>
        <w:tc>
          <w:tcPr>
            <w:tcW w:w="4763" w:type="dxa"/>
            <w:tcBorders>
              <w:top w:val="single" w:sz="12" w:space="0" w:color="auto"/>
              <w:left w:val="single" w:sz="4" w:space="0" w:color="auto"/>
              <w:bottom w:val="single" w:sz="12" w:space="0" w:color="auto"/>
              <w:right w:val="single" w:sz="4" w:space="0" w:color="auto"/>
            </w:tcBorders>
            <w:shd w:val="clear" w:color="auto" w:fill="auto"/>
            <w:vAlign w:val="center"/>
          </w:tcPr>
          <w:p w14:paraId="4A2C1CEF"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Met or partially met over the last 5 years</w:t>
            </w:r>
          </w:p>
        </w:tc>
        <w:tc>
          <w:tcPr>
            <w:tcW w:w="1984" w:type="dxa"/>
            <w:tcBorders>
              <w:top w:val="single" w:sz="12" w:space="0" w:color="auto"/>
              <w:left w:val="single" w:sz="4" w:space="0" w:color="auto"/>
              <w:bottom w:val="single" w:sz="12" w:space="0" w:color="auto"/>
              <w:right w:val="single" w:sz="4" w:space="0" w:color="auto"/>
            </w:tcBorders>
            <w:shd w:val="clear" w:color="auto" w:fill="FFC000"/>
            <w:vAlign w:val="center"/>
          </w:tcPr>
          <w:p w14:paraId="195ECA87"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w:t>
            </w:r>
          </w:p>
          <w:p w14:paraId="648C5E61"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Watering following natural cues, to maintain open water bodies and good condition of wetland-floodplain vegetation</w:t>
            </w:r>
          </w:p>
        </w:tc>
        <w:tc>
          <w:tcPr>
            <w:tcW w:w="4253" w:type="dxa"/>
            <w:tcBorders>
              <w:top w:val="single" w:sz="12" w:space="0" w:color="auto"/>
              <w:left w:val="single" w:sz="4" w:space="0" w:color="auto"/>
              <w:bottom w:val="single" w:sz="12" w:space="0" w:color="auto"/>
              <w:right w:val="single" w:sz="4" w:space="0" w:color="auto"/>
            </w:tcBorders>
            <w:shd w:val="clear" w:color="auto" w:fill="95B3D7" w:themeFill="accent1" w:themeFillTint="99"/>
            <w:vAlign w:val="center"/>
          </w:tcPr>
          <w:p w14:paraId="780D980F"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 Potential</w:t>
            </w:r>
          </w:p>
          <w:p w14:paraId="3C8F7C13"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Up to 15 GL under Moderate to High inflow scenario</w:t>
            </w:r>
          </w:p>
        </w:tc>
        <w:tc>
          <w:tcPr>
            <w:tcW w:w="2268" w:type="dxa"/>
            <w:tcBorders>
              <w:top w:val="single" w:sz="12" w:space="0" w:color="auto"/>
              <w:left w:val="single" w:sz="4" w:space="0" w:color="auto"/>
              <w:bottom w:val="single" w:sz="12" w:space="0" w:color="auto"/>
              <w:right w:val="single" w:sz="12" w:space="0" w:color="auto"/>
            </w:tcBorders>
            <w:shd w:val="clear" w:color="auto" w:fill="92D050"/>
            <w:vAlign w:val="center"/>
          </w:tcPr>
          <w:p w14:paraId="6797ABDB"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LOW</w:t>
            </w:r>
          </w:p>
        </w:tc>
      </w:tr>
      <w:tr w:rsidR="00450436" w:rsidRPr="00453AB8" w14:paraId="29AC529A" w14:textId="77777777" w:rsidTr="00583873">
        <w:trPr>
          <w:trHeight w:val="972"/>
        </w:trPr>
        <w:tc>
          <w:tcPr>
            <w:tcW w:w="2547" w:type="dxa"/>
            <w:tcBorders>
              <w:top w:val="single" w:sz="12" w:space="0" w:color="auto"/>
              <w:left w:val="single" w:sz="12" w:space="0" w:color="auto"/>
              <w:bottom w:val="single" w:sz="12" w:space="0" w:color="auto"/>
              <w:right w:val="single" w:sz="4" w:space="0" w:color="auto"/>
            </w:tcBorders>
            <w:shd w:val="clear" w:color="auto" w:fill="auto"/>
            <w:vAlign w:val="center"/>
          </w:tcPr>
          <w:p w14:paraId="2C3D599C" w14:textId="77777777" w:rsidR="00450436" w:rsidRPr="0077275B" w:rsidRDefault="00450436" w:rsidP="00583873">
            <w:pPr>
              <w:rPr>
                <w:rFonts w:cstheme="minorHAnsi"/>
                <w:color w:val="auto"/>
                <w:sz w:val="18"/>
                <w:szCs w:val="18"/>
              </w:rPr>
            </w:pPr>
            <w:r w:rsidRPr="0077275B">
              <w:rPr>
                <w:rFonts w:cstheme="minorHAnsi"/>
                <w:color w:val="auto"/>
                <w:sz w:val="18"/>
                <w:szCs w:val="18"/>
              </w:rPr>
              <w:t>Lowbidgee full system watering (PU7)</w:t>
            </w:r>
          </w:p>
        </w:tc>
        <w:tc>
          <w:tcPr>
            <w:tcW w:w="4111" w:type="dxa"/>
            <w:tcBorders>
              <w:top w:val="single" w:sz="12" w:space="0" w:color="auto"/>
              <w:left w:val="single" w:sz="4" w:space="0" w:color="auto"/>
              <w:bottom w:val="single" w:sz="12" w:space="0" w:color="auto"/>
              <w:right w:val="single" w:sz="4" w:space="0" w:color="auto"/>
            </w:tcBorders>
            <w:shd w:val="clear" w:color="auto" w:fill="auto"/>
            <w:vAlign w:val="center"/>
          </w:tcPr>
          <w:p w14:paraId="48A37237" w14:textId="77777777" w:rsidR="00450436" w:rsidRPr="0077275B" w:rsidRDefault="00450436" w:rsidP="00583873">
            <w:pPr>
              <w:rPr>
                <w:rFonts w:cstheme="minorHAnsi"/>
                <w:color w:val="auto"/>
                <w:sz w:val="18"/>
                <w:szCs w:val="18"/>
              </w:rPr>
            </w:pPr>
            <w:r w:rsidRPr="0077275B">
              <w:rPr>
                <w:rFonts w:cstheme="minorHAnsi"/>
                <w:color w:val="auto"/>
                <w:sz w:val="18"/>
                <w:szCs w:val="18"/>
              </w:rPr>
              <w:t>Up to 180 GL</w:t>
            </w:r>
            <w:r w:rsidRPr="0077275B">
              <w:rPr>
                <w:rFonts w:cstheme="minorHAnsi"/>
                <w:color w:val="auto"/>
                <w:sz w:val="18"/>
                <w:szCs w:val="18"/>
                <w:vertAlign w:val="superscript"/>
              </w:rPr>
              <w:footnoteReference w:id="42"/>
            </w:r>
            <w:r w:rsidRPr="0077275B">
              <w:rPr>
                <w:rFonts w:cstheme="minorHAnsi"/>
                <w:color w:val="auto"/>
                <w:sz w:val="18"/>
                <w:szCs w:val="18"/>
              </w:rPr>
              <w:t xml:space="preserve"> for Basin-wide waterbird habitat and future population recovery. Improve overall condition of the floodplain. Prioritise use of up to 393 GL of Lowbidgee supplementary allocations if made available.</w:t>
            </w:r>
          </w:p>
        </w:tc>
        <w:tc>
          <w:tcPr>
            <w:tcW w:w="2041" w:type="dxa"/>
            <w:tcBorders>
              <w:top w:val="single" w:sz="12" w:space="0" w:color="auto"/>
              <w:left w:val="single" w:sz="4" w:space="0" w:color="auto"/>
              <w:bottom w:val="single" w:sz="12" w:space="0" w:color="auto"/>
              <w:right w:val="single" w:sz="4" w:space="0" w:color="auto"/>
            </w:tcBorders>
            <w:shd w:val="clear" w:color="auto" w:fill="auto"/>
            <w:vAlign w:val="center"/>
          </w:tcPr>
          <w:p w14:paraId="416178D4"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Opportunistic based on natural occurring rain and flow events</w:t>
            </w:r>
          </w:p>
        </w:tc>
        <w:tc>
          <w:tcPr>
            <w:tcW w:w="4763" w:type="dxa"/>
            <w:tcBorders>
              <w:top w:val="single" w:sz="12" w:space="0" w:color="auto"/>
              <w:left w:val="single" w:sz="4" w:space="0" w:color="auto"/>
              <w:bottom w:val="single" w:sz="12" w:space="0" w:color="auto"/>
              <w:right w:val="single" w:sz="4" w:space="0" w:color="auto"/>
            </w:tcBorders>
            <w:shd w:val="clear" w:color="auto" w:fill="auto"/>
            <w:vAlign w:val="center"/>
          </w:tcPr>
          <w:p w14:paraId="5365367B" w14:textId="77777777" w:rsidR="00450436" w:rsidRPr="0077275B" w:rsidRDefault="00450436" w:rsidP="00583873">
            <w:pPr>
              <w:jc w:val="center"/>
              <w:rPr>
                <w:rFonts w:cstheme="minorHAnsi"/>
                <w:color w:val="auto"/>
                <w:sz w:val="18"/>
                <w:szCs w:val="18"/>
                <w:highlight w:val="lightGray"/>
              </w:rPr>
            </w:pPr>
            <w:r w:rsidRPr="0077275B">
              <w:rPr>
                <w:rFonts w:cstheme="minorHAnsi"/>
                <w:color w:val="auto"/>
                <w:sz w:val="18"/>
                <w:szCs w:val="18"/>
              </w:rPr>
              <w:t>Met or partially met over the last 5 year</w:t>
            </w:r>
          </w:p>
        </w:tc>
        <w:tc>
          <w:tcPr>
            <w:tcW w:w="1984" w:type="dxa"/>
            <w:tcBorders>
              <w:top w:val="single" w:sz="12" w:space="0" w:color="auto"/>
              <w:left w:val="single" w:sz="4" w:space="0" w:color="auto"/>
              <w:bottom w:val="single" w:sz="12" w:space="0" w:color="auto"/>
              <w:right w:val="single" w:sz="4" w:space="0" w:color="auto"/>
            </w:tcBorders>
            <w:shd w:val="clear" w:color="auto" w:fill="FF0000"/>
            <w:vAlign w:val="center"/>
          </w:tcPr>
          <w:p w14:paraId="6CE7E1E0"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w:t>
            </w:r>
          </w:p>
          <w:p w14:paraId="16D13C5F"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Improve the complexity and health of priority waterbird habitat to maintain species richness and aid future population recovery</w:t>
            </w:r>
          </w:p>
        </w:tc>
        <w:tc>
          <w:tcPr>
            <w:tcW w:w="4253" w:type="dxa"/>
            <w:tcBorders>
              <w:top w:val="single" w:sz="12" w:space="0" w:color="auto"/>
              <w:left w:val="single" w:sz="4" w:space="0" w:color="auto"/>
              <w:bottom w:val="single" w:sz="12" w:space="0" w:color="auto"/>
              <w:right w:val="single" w:sz="4" w:space="0" w:color="auto"/>
            </w:tcBorders>
            <w:shd w:val="clear" w:color="auto" w:fill="auto"/>
            <w:vAlign w:val="center"/>
          </w:tcPr>
          <w:p w14:paraId="7405D4DC"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Low Potential</w:t>
            </w:r>
          </w:p>
          <w:p w14:paraId="1EC3FFA6"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Up to 90 GL under High inflow scenario. Up to 393 GL of Lowbidgee supplementary allocations will be prioritised if made available under High to Very High inflow scenarios.</w:t>
            </w:r>
          </w:p>
        </w:tc>
        <w:tc>
          <w:tcPr>
            <w:tcW w:w="2268" w:type="dxa"/>
            <w:tcBorders>
              <w:top w:val="single" w:sz="12" w:space="0" w:color="auto"/>
              <w:left w:val="single" w:sz="4" w:space="0" w:color="auto"/>
              <w:bottom w:val="single" w:sz="12" w:space="0" w:color="auto"/>
              <w:right w:val="single" w:sz="12" w:space="0" w:color="auto"/>
            </w:tcBorders>
            <w:shd w:val="clear" w:color="auto" w:fill="FF0000"/>
            <w:vAlign w:val="center"/>
          </w:tcPr>
          <w:p w14:paraId="6033435E"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w:t>
            </w:r>
          </w:p>
        </w:tc>
      </w:tr>
      <w:tr w:rsidR="00450436" w:rsidRPr="00453AB8" w14:paraId="341233B7" w14:textId="77777777" w:rsidTr="00583873">
        <w:trPr>
          <w:trHeight w:val="1697"/>
        </w:trPr>
        <w:tc>
          <w:tcPr>
            <w:tcW w:w="2547"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14:paraId="52E9B589" w14:textId="77777777" w:rsidR="00450436" w:rsidRPr="0077275B" w:rsidRDefault="00450436" w:rsidP="00583873">
            <w:pPr>
              <w:rPr>
                <w:rFonts w:cstheme="minorHAnsi"/>
                <w:color w:val="auto"/>
                <w:sz w:val="18"/>
                <w:szCs w:val="18"/>
              </w:rPr>
            </w:pPr>
            <w:r w:rsidRPr="0077275B">
              <w:rPr>
                <w:rFonts w:cstheme="minorHAnsi"/>
                <w:color w:val="auto"/>
                <w:sz w:val="18"/>
                <w:szCs w:val="18"/>
              </w:rPr>
              <w:t>Murrumbidgee River channel, distributaries and anabranches (PU 6, 7, 8, 9, 10, 11, 12, 13)</w:t>
            </w:r>
          </w:p>
        </w:tc>
        <w:tc>
          <w:tcPr>
            <w:tcW w:w="4111" w:type="dxa"/>
            <w:tcBorders>
              <w:top w:val="single" w:sz="12" w:space="0" w:color="auto"/>
              <w:left w:val="single" w:sz="4" w:space="0" w:color="auto"/>
              <w:bottom w:val="single" w:sz="4" w:space="0" w:color="auto"/>
              <w:right w:val="single" w:sz="4" w:space="0" w:color="auto"/>
            </w:tcBorders>
            <w:shd w:val="clear" w:color="auto" w:fill="auto"/>
            <w:vAlign w:val="center"/>
          </w:tcPr>
          <w:p w14:paraId="6AE62F92" w14:textId="77777777" w:rsidR="00450436" w:rsidRPr="0077275B" w:rsidRDefault="00450436" w:rsidP="00583873">
            <w:pPr>
              <w:rPr>
                <w:rFonts w:cstheme="minorHAnsi"/>
                <w:color w:val="auto"/>
                <w:sz w:val="18"/>
                <w:szCs w:val="18"/>
              </w:rPr>
            </w:pPr>
            <w:r w:rsidRPr="0077275B">
              <w:rPr>
                <w:rFonts w:cstheme="minorHAnsi"/>
                <w:color w:val="auto"/>
                <w:sz w:val="18"/>
                <w:szCs w:val="18"/>
              </w:rPr>
              <w:t>Contribute up to 10 GL from Tombullen storage to higher river flows (freshes) in spring-summer to support native fish spawning, recruitment, movement and dispersal.</w:t>
            </w:r>
          </w:p>
        </w:tc>
        <w:tc>
          <w:tcPr>
            <w:tcW w:w="2041" w:type="dxa"/>
            <w:tcBorders>
              <w:top w:val="single" w:sz="12" w:space="0" w:color="auto"/>
              <w:left w:val="single" w:sz="4" w:space="0" w:color="auto"/>
              <w:bottom w:val="single" w:sz="4" w:space="0" w:color="auto"/>
              <w:right w:val="single" w:sz="4" w:space="0" w:color="auto"/>
            </w:tcBorders>
            <w:shd w:val="clear" w:color="auto" w:fill="auto"/>
            <w:vAlign w:val="center"/>
          </w:tcPr>
          <w:p w14:paraId="1BBBD5F9"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7 in every 10 years</w:t>
            </w:r>
          </w:p>
        </w:tc>
        <w:tc>
          <w:tcPr>
            <w:tcW w:w="4763" w:type="dxa"/>
            <w:tcBorders>
              <w:top w:val="single" w:sz="12" w:space="0" w:color="auto"/>
              <w:left w:val="single" w:sz="4" w:space="0" w:color="auto"/>
              <w:bottom w:val="single" w:sz="4" w:space="0" w:color="auto"/>
              <w:right w:val="single" w:sz="4" w:space="0" w:color="auto"/>
            </w:tcBorders>
            <w:shd w:val="clear" w:color="auto" w:fill="auto"/>
            <w:vAlign w:val="center"/>
          </w:tcPr>
          <w:p w14:paraId="100C7485"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Met 2 out of the last 6 years</w:t>
            </w:r>
          </w:p>
        </w:tc>
        <w:tc>
          <w:tcPr>
            <w:tcW w:w="1984" w:type="dxa"/>
            <w:tcBorders>
              <w:top w:val="single" w:sz="12" w:space="0" w:color="auto"/>
              <w:left w:val="single" w:sz="4" w:space="0" w:color="auto"/>
              <w:bottom w:val="single" w:sz="4" w:space="0" w:color="auto"/>
              <w:right w:val="single" w:sz="4" w:space="0" w:color="auto"/>
            </w:tcBorders>
            <w:shd w:val="clear" w:color="auto" w:fill="FFC000"/>
            <w:vAlign w:val="center"/>
          </w:tcPr>
          <w:p w14:paraId="48DEDB99"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w:t>
            </w:r>
          </w:p>
          <w:p w14:paraId="289B48C9"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Watering following natural cues, required to continue recovery of native fish populations.</w:t>
            </w:r>
          </w:p>
        </w:tc>
        <w:tc>
          <w:tcPr>
            <w:tcW w:w="4253" w:type="dxa"/>
            <w:tcBorders>
              <w:top w:val="single" w:sz="12" w:space="0" w:color="auto"/>
              <w:left w:val="single" w:sz="4" w:space="0" w:color="auto"/>
              <w:bottom w:val="single" w:sz="4" w:space="0" w:color="auto"/>
              <w:right w:val="single" w:sz="4" w:space="0" w:color="auto"/>
            </w:tcBorders>
            <w:shd w:val="clear" w:color="auto" w:fill="95B3D7" w:themeFill="accent1" w:themeFillTint="99"/>
            <w:vAlign w:val="center"/>
          </w:tcPr>
          <w:p w14:paraId="68441671"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 Potential</w:t>
            </w:r>
          </w:p>
          <w:p w14:paraId="171DDB93"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Up to 5 GL if natural flow event triggers an opportunity under Moderate to High inflow scenario.</w:t>
            </w:r>
          </w:p>
        </w:tc>
        <w:tc>
          <w:tcPr>
            <w:tcW w:w="2268" w:type="dxa"/>
            <w:tcBorders>
              <w:top w:val="single" w:sz="12" w:space="0" w:color="auto"/>
              <w:left w:val="single" w:sz="4" w:space="0" w:color="auto"/>
              <w:bottom w:val="single" w:sz="4" w:space="0" w:color="auto"/>
              <w:right w:val="single" w:sz="12" w:space="0" w:color="auto"/>
            </w:tcBorders>
            <w:shd w:val="clear" w:color="auto" w:fill="92D050"/>
            <w:vAlign w:val="center"/>
          </w:tcPr>
          <w:p w14:paraId="6F7D46CE"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LOW</w:t>
            </w:r>
          </w:p>
        </w:tc>
      </w:tr>
      <w:tr w:rsidR="00450436" w:rsidRPr="00453AB8" w14:paraId="5D45AA56" w14:textId="77777777" w:rsidTr="00583873">
        <w:trPr>
          <w:trHeight w:val="1668"/>
        </w:trPr>
        <w:tc>
          <w:tcPr>
            <w:tcW w:w="2547" w:type="dxa"/>
            <w:vMerge/>
            <w:tcBorders>
              <w:top w:val="single" w:sz="4" w:space="0" w:color="auto"/>
              <w:left w:val="single" w:sz="12" w:space="0" w:color="auto"/>
              <w:bottom w:val="single" w:sz="4" w:space="0" w:color="auto"/>
              <w:right w:val="single" w:sz="4" w:space="0" w:color="auto"/>
            </w:tcBorders>
            <w:shd w:val="clear" w:color="auto" w:fill="auto"/>
          </w:tcPr>
          <w:p w14:paraId="3956B618" w14:textId="77777777" w:rsidR="00450436" w:rsidRPr="0077275B" w:rsidRDefault="00450436" w:rsidP="00583873">
            <w:pPr>
              <w:rPr>
                <w:rFonts w:cstheme="minorHAnsi"/>
                <w:color w:val="auto"/>
                <w:sz w:val="18"/>
                <w:szCs w:val="18"/>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4E947C8D" w14:textId="77777777" w:rsidR="00450436" w:rsidRPr="0077275B" w:rsidRDefault="00450436" w:rsidP="00583873">
            <w:pPr>
              <w:rPr>
                <w:rFonts w:cstheme="minorHAnsi"/>
                <w:color w:val="auto"/>
                <w:sz w:val="18"/>
                <w:szCs w:val="18"/>
              </w:rPr>
            </w:pPr>
            <w:r w:rsidRPr="0077275B">
              <w:rPr>
                <w:rFonts w:cstheme="minorHAnsi"/>
                <w:color w:val="auto"/>
                <w:sz w:val="18"/>
                <w:szCs w:val="18"/>
              </w:rPr>
              <w:t>Moderate in-channel pulse targeting native fish movement and recruitment, productivity and in-stream vegetation (flows &gt;3</w:t>
            </w:r>
            <w:r>
              <w:rPr>
                <w:rFonts w:cstheme="minorHAnsi"/>
                <w:color w:val="auto"/>
                <w:sz w:val="18"/>
                <w:szCs w:val="18"/>
              </w:rPr>
              <w:t xml:space="preserve"> </w:t>
            </w:r>
            <w:r w:rsidRPr="0077275B">
              <w:rPr>
                <w:rFonts w:cstheme="minorHAnsi"/>
                <w:color w:val="auto"/>
                <w:sz w:val="18"/>
                <w:szCs w:val="18"/>
              </w:rPr>
              <w:t>500 ML/day at Balranald) up to 50 GL</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317B1227"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7 in every 10 years</w:t>
            </w:r>
          </w:p>
        </w:tc>
        <w:tc>
          <w:tcPr>
            <w:tcW w:w="4763" w:type="dxa"/>
            <w:tcBorders>
              <w:top w:val="single" w:sz="4" w:space="0" w:color="auto"/>
              <w:left w:val="single" w:sz="4" w:space="0" w:color="auto"/>
              <w:bottom w:val="single" w:sz="4" w:space="0" w:color="auto"/>
              <w:right w:val="single" w:sz="4" w:space="0" w:color="auto"/>
            </w:tcBorders>
            <w:shd w:val="clear" w:color="auto" w:fill="auto"/>
            <w:vAlign w:val="center"/>
          </w:tcPr>
          <w:p w14:paraId="59742F58"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Met 2 out of the last 5 years</w:t>
            </w:r>
          </w:p>
        </w:tc>
        <w:tc>
          <w:tcPr>
            <w:tcW w:w="1984" w:type="dxa"/>
            <w:tcBorders>
              <w:top w:val="single" w:sz="4" w:space="0" w:color="auto"/>
              <w:left w:val="single" w:sz="4" w:space="0" w:color="auto"/>
              <w:bottom w:val="single" w:sz="4" w:space="0" w:color="auto"/>
              <w:right w:val="single" w:sz="4" w:space="0" w:color="auto"/>
            </w:tcBorders>
            <w:shd w:val="clear" w:color="auto" w:fill="FFC000"/>
            <w:vAlign w:val="center"/>
          </w:tcPr>
          <w:p w14:paraId="59492041"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w:t>
            </w:r>
          </w:p>
          <w:p w14:paraId="65673CEC"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Native fish populations in the lower Murrumbidgee River are in poor condition. Water required for improved fish passage and connectivity, aquatic habitat and riverine productivity</w:t>
            </w:r>
          </w:p>
        </w:tc>
        <w:tc>
          <w:tcPr>
            <w:tcW w:w="4253"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14:paraId="4499055F"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 Potential</w:t>
            </w:r>
          </w:p>
          <w:p w14:paraId="3D6FECF9"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Up to 25 GL under Moderate to High inflow scenarios</w:t>
            </w:r>
          </w:p>
        </w:tc>
        <w:tc>
          <w:tcPr>
            <w:tcW w:w="2268" w:type="dxa"/>
            <w:tcBorders>
              <w:top w:val="single" w:sz="4" w:space="0" w:color="auto"/>
              <w:left w:val="single" w:sz="4" w:space="0" w:color="auto"/>
              <w:bottom w:val="single" w:sz="4" w:space="0" w:color="auto"/>
              <w:right w:val="single" w:sz="12" w:space="0" w:color="auto"/>
            </w:tcBorders>
            <w:shd w:val="clear" w:color="auto" w:fill="FFC000"/>
            <w:vAlign w:val="center"/>
          </w:tcPr>
          <w:p w14:paraId="09E2CFAC"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w:t>
            </w:r>
          </w:p>
        </w:tc>
      </w:tr>
      <w:tr w:rsidR="00450436" w:rsidRPr="00453AB8" w14:paraId="3611AFB9" w14:textId="77777777" w:rsidTr="00583873">
        <w:trPr>
          <w:trHeight w:val="1523"/>
        </w:trPr>
        <w:tc>
          <w:tcPr>
            <w:tcW w:w="2547" w:type="dxa"/>
            <w:vMerge/>
            <w:tcBorders>
              <w:top w:val="single" w:sz="4" w:space="0" w:color="auto"/>
              <w:left w:val="single" w:sz="12" w:space="0" w:color="auto"/>
              <w:bottom w:val="single" w:sz="4" w:space="0" w:color="auto"/>
              <w:right w:val="single" w:sz="4" w:space="0" w:color="auto"/>
            </w:tcBorders>
            <w:shd w:val="clear" w:color="auto" w:fill="auto"/>
          </w:tcPr>
          <w:p w14:paraId="54A48F91" w14:textId="77777777" w:rsidR="00450436" w:rsidRPr="0077275B" w:rsidRDefault="00450436" w:rsidP="00583873">
            <w:pPr>
              <w:rPr>
                <w:rFonts w:cstheme="minorHAnsi"/>
                <w:color w:val="auto"/>
                <w:sz w:val="18"/>
                <w:szCs w:val="18"/>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48247DD9" w14:textId="77777777" w:rsidR="00450436" w:rsidRPr="0077275B" w:rsidRDefault="00450436" w:rsidP="00583873">
            <w:pPr>
              <w:rPr>
                <w:rFonts w:cstheme="minorHAnsi"/>
                <w:color w:val="auto"/>
                <w:sz w:val="18"/>
                <w:szCs w:val="18"/>
              </w:rPr>
            </w:pPr>
            <w:r w:rsidRPr="0077275B">
              <w:rPr>
                <w:rFonts w:cstheme="minorHAnsi"/>
                <w:color w:val="auto"/>
                <w:sz w:val="18"/>
                <w:szCs w:val="18"/>
              </w:rPr>
              <w:t>Distributary and anabranch freshes to restore flow components most impacted by river regulation and support native fish up to 15 GL</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3AFCD54F"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7 in every 10 years to annual</w:t>
            </w:r>
          </w:p>
        </w:tc>
        <w:tc>
          <w:tcPr>
            <w:tcW w:w="4763" w:type="dxa"/>
            <w:tcBorders>
              <w:top w:val="single" w:sz="4" w:space="0" w:color="auto"/>
              <w:left w:val="single" w:sz="4" w:space="0" w:color="auto"/>
              <w:bottom w:val="single" w:sz="4" w:space="0" w:color="auto"/>
              <w:right w:val="single" w:sz="4" w:space="0" w:color="auto"/>
            </w:tcBorders>
            <w:shd w:val="clear" w:color="auto" w:fill="auto"/>
            <w:vAlign w:val="center"/>
          </w:tcPr>
          <w:p w14:paraId="10900B9F" w14:textId="77777777" w:rsidR="00450436" w:rsidRPr="0077275B" w:rsidRDefault="00450436" w:rsidP="00583873">
            <w:pPr>
              <w:jc w:val="center"/>
              <w:rPr>
                <w:rFonts w:cstheme="minorHAnsi"/>
                <w:color w:val="FF0000"/>
                <w:sz w:val="18"/>
                <w:szCs w:val="18"/>
              </w:rPr>
            </w:pPr>
            <w:r w:rsidRPr="0077275B">
              <w:rPr>
                <w:rFonts w:cstheme="minorHAnsi"/>
                <w:color w:val="auto"/>
                <w:sz w:val="18"/>
                <w:szCs w:val="18"/>
              </w:rPr>
              <w:t>Demand met 2 out of the last 5 years</w:t>
            </w:r>
          </w:p>
        </w:tc>
        <w:tc>
          <w:tcPr>
            <w:tcW w:w="1984" w:type="dxa"/>
            <w:tcBorders>
              <w:top w:val="single" w:sz="4" w:space="0" w:color="auto"/>
              <w:left w:val="single" w:sz="4" w:space="0" w:color="auto"/>
              <w:bottom w:val="single" w:sz="4" w:space="0" w:color="auto"/>
              <w:right w:val="single" w:sz="4" w:space="0" w:color="auto"/>
            </w:tcBorders>
            <w:shd w:val="clear" w:color="auto" w:fill="FFC000"/>
            <w:vAlign w:val="center"/>
          </w:tcPr>
          <w:p w14:paraId="011A9707"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w:t>
            </w:r>
          </w:p>
          <w:p w14:paraId="742086DC"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Watering following natural cues to maintain the good condition of wetland-floodplain vegetation</w:t>
            </w:r>
          </w:p>
        </w:tc>
        <w:tc>
          <w:tcPr>
            <w:tcW w:w="4253"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14:paraId="1EE2A348"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 Potential subject to natural cues</w:t>
            </w:r>
          </w:p>
          <w:p w14:paraId="779EBBD2"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up to 7.5 GL</w:t>
            </w:r>
          </w:p>
        </w:tc>
        <w:tc>
          <w:tcPr>
            <w:tcW w:w="2268" w:type="dxa"/>
            <w:tcBorders>
              <w:top w:val="single" w:sz="4" w:space="0" w:color="auto"/>
              <w:left w:val="single" w:sz="4" w:space="0" w:color="auto"/>
              <w:bottom w:val="single" w:sz="4" w:space="0" w:color="auto"/>
              <w:right w:val="single" w:sz="12" w:space="0" w:color="auto"/>
            </w:tcBorders>
            <w:shd w:val="clear" w:color="auto" w:fill="FFC000"/>
            <w:vAlign w:val="center"/>
          </w:tcPr>
          <w:p w14:paraId="1F98701C"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MODERATE, subject to natural cues</w:t>
            </w:r>
          </w:p>
        </w:tc>
      </w:tr>
      <w:tr w:rsidR="00450436" w:rsidRPr="00453AB8" w14:paraId="1684EACD" w14:textId="77777777" w:rsidTr="00583873">
        <w:trPr>
          <w:trHeight w:val="1673"/>
        </w:trPr>
        <w:tc>
          <w:tcPr>
            <w:tcW w:w="2547" w:type="dxa"/>
            <w:vMerge/>
            <w:tcBorders>
              <w:top w:val="single" w:sz="4" w:space="0" w:color="auto"/>
              <w:left w:val="single" w:sz="12" w:space="0" w:color="auto"/>
              <w:bottom w:val="single" w:sz="12" w:space="0" w:color="auto"/>
              <w:right w:val="single" w:sz="4" w:space="0" w:color="auto"/>
            </w:tcBorders>
            <w:shd w:val="clear" w:color="auto" w:fill="auto"/>
          </w:tcPr>
          <w:p w14:paraId="5F8F25F8" w14:textId="77777777" w:rsidR="00450436" w:rsidRPr="0077275B" w:rsidRDefault="00450436" w:rsidP="00583873">
            <w:pPr>
              <w:rPr>
                <w:rFonts w:cstheme="minorHAnsi"/>
                <w:color w:val="auto"/>
                <w:sz w:val="18"/>
                <w:szCs w:val="18"/>
              </w:rPr>
            </w:pPr>
          </w:p>
        </w:tc>
        <w:tc>
          <w:tcPr>
            <w:tcW w:w="4111" w:type="dxa"/>
            <w:tcBorders>
              <w:top w:val="single" w:sz="4" w:space="0" w:color="auto"/>
              <w:left w:val="single" w:sz="4" w:space="0" w:color="auto"/>
              <w:bottom w:val="single" w:sz="12" w:space="0" w:color="auto"/>
              <w:right w:val="single" w:sz="4" w:space="0" w:color="auto"/>
            </w:tcBorders>
            <w:shd w:val="clear" w:color="auto" w:fill="auto"/>
            <w:vAlign w:val="center"/>
          </w:tcPr>
          <w:p w14:paraId="11B08C2A" w14:textId="77777777" w:rsidR="00450436" w:rsidRPr="0077275B" w:rsidRDefault="00450436" w:rsidP="00583873">
            <w:pPr>
              <w:rPr>
                <w:rFonts w:cstheme="minorHAnsi"/>
                <w:color w:val="auto"/>
                <w:sz w:val="18"/>
                <w:szCs w:val="18"/>
              </w:rPr>
            </w:pPr>
            <w:r w:rsidRPr="0077275B">
              <w:rPr>
                <w:rFonts w:cstheme="minorHAnsi"/>
                <w:color w:val="auto"/>
                <w:sz w:val="18"/>
                <w:szCs w:val="18"/>
              </w:rPr>
              <w:t>Contribute to managing water quality issues within in-stream and wetland environments across the Murrumbidgee Catchment</w:t>
            </w:r>
          </w:p>
        </w:tc>
        <w:tc>
          <w:tcPr>
            <w:tcW w:w="2041" w:type="dxa"/>
            <w:tcBorders>
              <w:top w:val="single" w:sz="4" w:space="0" w:color="auto"/>
              <w:left w:val="single" w:sz="4" w:space="0" w:color="auto"/>
              <w:bottom w:val="single" w:sz="12" w:space="0" w:color="auto"/>
              <w:right w:val="single" w:sz="4" w:space="0" w:color="auto"/>
            </w:tcBorders>
            <w:shd w:val="clear" w:color="auto" w:fill="auto"/>
            <w:vAlign w:val="center"/>
          </w:tcPr>
          <w:p w14:paraId="3CFDDE68"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Contingency in response to poor water quality</w:t>
            </w:r>
          </w:p>
        </w:tc>
        <w:tc>
          <w:tcPr>
            <w:tcW w:w="4763" w:type="dxa"/>
            <w:tcBorders>
              <w:top w:val="single" w:sz="4" w:space="0" w:color="auto"/>
              <w:left w:val="single" w:sz="4" w:space="0" w:color="auto"/>
              <w:bottom w:val="single" w:sz="12" w:space="0" w:color="auto"/>
              <w:right w:val="single" w:sz="4" w:space="0" w:color="auto"/>
            </w:tcBorders>
            <w:shd w:val="clear" w:color="auto" w:fill="auto"/>
            <w:vAlign w:val="center"/>
          </w:tcPr>
          <w:p w14:paraId="724A09A1" w14:textId="77777777" w:rsidR="00450436" w:rsidRPr="0077275B" w:rsidRDefault="00450436" w:rsidP="00583873">
            <w:pPr>
              <w:jc w:val="center"/>
              <w:rPr>
                <w:rFonts w:cstheme="minorHAnsi"/>
                <w:color w:val="FF0000"/>
                <w:sz w:val="18"/>
                <w:szCs w:val="18"/>
              </w:rPr>
            </w:pPr>
            <w:r w:rsidRPr="0077275B">
              <w:rPr>
                <w:rFonts w:cstheme="minorHAnsi"/>
                <w:color w:val="auto"/>
                <w:sz w:val="18"/>
                <w:szCs w:val="18"/>
              </w:rPr>
              <w:t>As required</w:t>
            </w:r>
          </w:p>
        </w:tc>
        <w:tc>
          <w:tcPr>
            <w:tcW w:w="1984" w:type="dxa"/>
            <w:tcBorders>
              <w:top w:val="single" w:sz="4" w:space="0" w:color="auto"/>
              <w:left w:val="single" w:sz="4" w:space="0" w:color="auto"/>
              <w:bottom w:val="single" w:sz="12" w:space="0" w:color="auto"/>
              <w:right w:val="single" w:sz="4" w:space="0" w:color="auto"/>
            </w:tcBorders>
            <w:shd w:val="clear" w:color="auto" w:fill="C00000"/>
            <w:vAlign w:val="center"/>
          </w:tcPr>
          <w:p w14:paraId="1D605B21"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CRITICAL</w:t>
            </w:r>
          </w:p>
          <w:p w14:paraId="1494BB5C"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Provide refuge habitat for aquatic animals due to poor water quality, including potential hypoxic conditions.</w:t>
            </w:r>
          </w:p>
        </w:tc>
        <w:tc>
          <w:tcPr>
            <w:tcW w:w="4253" w:type="dxa"/>
            <w:tcBorders>
              <w:top w:val="single" w:sz="4" w:space="0" w:color="auto"/>
              <w:left w:val="single" w:sz="4" w:space="0" w:color="auto"/>
              <w:bottom w:val="single" w:sz="12" w:space="0" w:color="auto"/>
              <w:right w:val="single" w:sz="4" w:space="0" w:color="auto"/>
            </w:tcBorders>
            <w:shd w:val="clear" w:color="auto" w:fill="auto"/>
            <w:vAlign w:val="center"/>
          </w:tcPr>
          <w:p w14:paraId="28E47F02"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Contingency in response to poor water quality/aquatic habitat availability.</w:t>
            </w:r>
          </w:p>
          <w:p w14:paraId="60E9273F"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This may include up to 15 GL contingency under very low to low inflows, in the absence of IVT (Lower Murrumbidgee weir pool stratification, high risk fish kills).</w:t>
            </w:r>
          </w:p>
        </w:tc>
        <w:tc>
          <w:tcPr>
            <w:tcW w:w="2268" w:type="dxa"/>
            <w:tcBorders>
              <w:top w:val="single" w:sz="4" w:space="0" w:color="auto"/>
              <w:left w:val="single" w:sz="4" w:space="0" w:color="auto"/>
              <w:bottom w:val="single" w:sz="12" w:space="0" w:color="auto"/>
              <w:right w:val="single" w:sz="12" w:space="0" w:color="auto"/>
            </w:tcBorders>
            <w:shd w:val="clear" w:color="auto" w:fill="C00000"/>
            <w:vAlign w:val="center"/>
          </w:tcPr>
          <w:p w14:paraId="6B938C94"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CRITICAL (Contingency)</w:t>
            </w:r>
          </w:p>
        </w:tc>
      </w:tr>
      <w:tr w:rsidR="00450436" w:rsidRPr="00453AB8" w14:paraId="1DD812CD" w14:textId="77777777" w:rsidTr="00583873">
        <w:trPr>
          <w:trHeight w:val="1954"/>
        </w:trPr>
        <w:tc>
          <w:tcPr>
            <w:tcW w:w="2547"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14:paraId="043076A5" w14:textId="77777777" w:rsidR="00450436" w:rsidRPr="0077275B" w:rsidRDefault="00450436" w:rsidP="00583873">
            <w:pPr>
              <w:rPr>
                <w:rFonts w:cstheme="minorHAnsi"/>
                <w:color w:val="auto"/>
                <w:sz w:val="18"/>
                <w:szCs w:val="18"/>
              </w:rPr>
            </w:pPr>
            <w:r w:rsidRPr="0077275B">
              <w:rPr>
                <w:rFonts w:cstheme="minorHAnsi"/>
                <w:color w:val="auto"/>
                <w:sz w:val="18"/>
                <w:szCs w:val="18"/>
              </w:rPr>
              <w:lastRenderedPageBreak/>
              <w:t>Junction Wetlands (PU8)</w:t>
            </w:r>
          </w:p>
        </w:tc>
        <w:tc>
          <w:tcPr>
            <w:tcW w:w="4111" w:type="dxa"/>
            <w:tcBorders>
              <w:top w:val="single" w:sz="12" w:space="0" w:color="auto"/>
              <w:left w:val="single" w:sz="4" w:space="0" w:color="auto"/>
              <w:bottom w:val="single" w:sz="4" w:space="0" w:color="auto"/>
              <w:right w:val="single" w:sz="4" w:space="0" w:color="auto"/>
            </w:tcBorders>
            <w:shd w:val="clear" w:color="auto" w:fill="auto"/>
            <w:vAlign w:val="center"/>
          </w:tcPr>
          <w:p w14:paraId="524445F2" w14:textId="77777777" w:rsidR="00450436" w:rsidRPr="0077275B" w:rsidRDefault="00450436" w:rsidP="00583873">
            <w:pPr>
              <w:rPr>
                <w:rFonts w:cstheme="minorHAnsi"/>
                <w:color w:val="auto"/>
                <w:sz w:val="18"/>
                <w:szCs w:val="18"/>
              </w:rPr>
            </w:pPr>
            <w:r w:rsidRPr="0077275B">
              <w:rPr>
                <w:rFonts w:cstheme="minorHAnsi"/>
                <w:color w:val="auto"/>
                <w:sz w:val="18"/>
                <w:szCs w:val="18"/>
              </w:rPr>
              <w:t>Flows greater than 5 GL/day @ d/s Balranald Weir and &gt;10 GL/day on the Murray@ Murrumbidgee confluence targeting wetland vegetation and habitat for native fish, frogs, turtles and waterbirds</w:t>
            </w:r>
          </w:p>
        </w:tc>
        <w:tc>
          <w:tcPr>
            <w:tcW w:w="2041" w:type="dxa"/>
            <w:tcBorders>
              <w:top w:val="single" w:sz="12" w:space="0" w:color="auto"/>
              <w:left w:val="single" w:sz="4" w:space="0" w:color="auto"/>
              <w:bottom w:val="single" w:sz="4" w:space="0" w:color="auto"/>
              <w:right w:val="single" w:sz="4" w:space="0" w:color="auto"/>
            </w:tcBorders>
            <w:shd w:val="clear" w:color="auto" w:fill="auto"/>
            <w:vAlign w:val="center"/>
          </w:tcPr>
          <w:p w14:paraId="203C42FC"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5 in every 10 years</w:t>
            </w:r>
          </w:p>
        </w:tc>
        <w:tc>
          <w:tcPr>
            <w:tcW w:w="4763" w:type="dxa"/>
            <w:tcBorders>
              <w:top w:val="single" w:sz="12" w:space="0" w:color="auto"/>
              <w:left w:val="single" w:sz="4" w:space="0" w:color="auto"/>
              <w:bottom w:val="single" w:sz="4" w:space="0" w:color="auto"/>
              <w:right w:val="single" w:sz="4" w:space="0" w:color="auto"/>
            </w:tcBorders>
            <w:shd w:val="clear" w:color="auto" w:fill="auto"/>
            <w:vAlign w:val="center"/>
          </w:tcPr>
          <w:p w14:paraId="42E290DE"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Demand met in 2 of the last 5 years</w:t>
            </w:r>
          </w:p>
        </w:tc>
        <w:tc>
          <w:tcPr>
            <w:tcW w:w="1984" w:type="dxa"/>
            <w:tcBorders>
              <w:top w:val="single" w:sz="12" w:space="0" w:color="auto"/>
              <w:left w:val="single" w:sz="4" w:space="0" w:color="auto"/>
              <w:bottom w:val="single" w:sz="4" w:space="0" w:color="auto"/>
              <w:right w:val="single" w:sz="4" w:space="0" w:color="auto"/>
            </w:tcBorders>
            <w:shd w:val="clear" w:color="auto" w:fill="FF0000"/>
            <w:vAlign w:val="center"/>
          </w:tcPr>
          <w:p w14:paraId="08DC6DE4"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w:t>
            </w:r>
          </w:p>
          <w:p w14:paraId="0B70841F"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The condition of the Junction Wetland is generally poor due to a lack of inundation</w:t>
            </w:r>
          </w:p>
        </w:tc>
        <w:tc>
          <w:tcPr>
            <w:tcW w:w="4253" w:type="dxa"/>
            <w:tcBorders>
              <w:top w:val="single" w:sz="12" w:space="0" w:color="auto"/>
              <w:left w:val="single" w:sz="4" w:space="0" w:color="auto"/>
              <w:bottom w:val="single" w:sz="4" w:space="0" w:color="auto"/>
              <w:right w:val="single" w:sz="4" w:space="0" w:color="auto"/>
            </w:tcBorders>
            <w:shd w:val="clear" w:color="auto" w:fill="auto"/>
            <w:vAlign w:val="center"/>
          </w:tcPr>
          <w:p w14:paraId="768946E4" w14:textId="77777777" w:rsidR="00450436" w:rsidRPr="00453AB8" w:rsidRDefault="00450436" w:rsidP="00583873">
            <w:pPr>
              <w:jc w:val="center"/>
              <w:rPr>
                <w:rFonts w:cstheme="minorHAnsi"/>
                <w:i/>
                <w:iCs/>
                <w:color w:val="auto"/>
                <w:sz w:val="18"/>
                <w:szCs w:val="18"/>
              </w:rPr>
            </w:pPr>
            <w:r w:rsidRPr="00453AB8">
              <w:rPr>
                <w:rFonts w:cstheme="minorHAnsi"/>
                <w:color w:val="auto"/>
                <w:sz w:val="18"/>
                <w:szCs w:val="18"/>
              </w:rPr>
              <w:t>Low Potential under low inflows. Likely to be achieved by other environmental watering actions and also through Lowbidgee Supplementary allocations under Moderate to High inflow scenarios</w:t>
            </w:r>
          </w:p>
        </w:tc>
        <w:tc>
          <w:tcPr>
            <w:tcW w:w="2268" w:type="dxa"/>
            <w:tcBorders>
              <w:top w:val="single" w:sz="12" w:space="0" w:color="auto"/>
              <w:left w:val="single" w:sz="4" w:space="0" w:color="auto"/>
              <w:bottom w:val="single" w:sz="4" w:space="0" w:color="auto"/>
              <w:right w:val="single" w:sz="12" w:space="0" w:color="auto"/>
            </w:tcBorders>
            <w:shd w:val="clear" w:color="auto" w:fill="FF0000"/>
            <w:vAlign w:val="center"/>
          </w:tcPr>
          <w:p w14:paraId="0B718A6C"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w:t>
            </w:r>
          </w:p>
        </w:tc>
      </w:tr>
      <w:tr w:rsidR="00450436" w:rsidRPr="00453AB8" w14:paraId="1B20DAEC" w14:textId="77777777" w:rsidTr="00583873">
        <w:trPr>
          <w:trHeight w:val="1698"/>
        </w:trPr>
        <w:tc>
          <w:tcPr>
            <w:tcW w:w="2547" w:type="dxa"/>
            <w:vMerge/>
            <w:tcBorders>
              <w:top w:val="single" w:sz="4" w:space="0" w:color="auto"/>
              <w:left w:val="single" w:sz="12" w:space="0" w:color="auto"/>
              <w:bottom w:val="single" w:sz="4" w:space="0" w:color="auto"/>
              <w:right w:val="single" w:sz="4" w:space="0" w:color="auto"/>
            </w:tcBorders>
            <w:shd w:val="clear" w:color="auto" w:fill="auto"/>
            <w:vAlign w:val="center"/>
          </w:tcPr>
          <w:p w14:paraId="0555F37B" w14:textId="77777777" w:rsidR="00450436" w:rsidRPr="0077275B" w:rsidRDefault="00450436" w:rsidP="00583873">
            <w:pPr>
              <w:rPr>
                <w:rFonts w:cstheme="minorHAnsi"/>
                <w:color w:val="auto"/>
                <w:sz w:val="18"/>
                <w:szCs w:val="18"/>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4D6A6137" w14:textId="77777777" w:rsidR="00450436" w:rsidRPr="0077275B" w:rsidRDefault="00450436" w:rsidP="00583873">
            <w:pPr>
              <w:rPr>
                <w:rFonts w:cstheme="minorHAnsi"/>
                <w:color w:val="auto"/>
                <w:sz w:val="18"/>
                <w:szCs w:val="18"/>
              </w:rPr>
            </w:pPr>
            <w:r w:rsidRPr="0077275B">
              <w:rPr>
                <w:rFonts w:cstheme="minorHAnsi"/>
                <w:color w:val="auto"/>
                <w:sz w:val="18"/>
                <w:szCs w:val="18"/>
              </w:rPr>
              <w:t>Flows greater than 7 GL/day @ d/s Balranald Weir targeting wetland vegetation and habitat for native fish, frogs, turtles and waterbirds</w:t>
            </w:r>
          </w:p>
        </w:tc>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05206947"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5 in every 10 years</w:t>
            </w:r>
          </w:p>
        </w:tc>
        <w:tc>
          <w:tcPr>
            <w:tcW w:w="4763" w:type="dxa"/>
            <w:tcBorders>
              <w:top w:val="single" w:sz="4" w:space="0" w:color="auto"/>
              <w:left w:val="single" w:sz="4" w:space="0" w:color="auto"/>
              <w:bottom w:val="single" w:sz="4" w:space="0" w:color="auto"/>
              <w:right w:val="single" w:sz="4" w:space="0" w:color="auto"/>
            </w:tcBorders>
            <w:shd w:val="clear" w:color="auto" w:fill="auto"/>
            <w:vAlign w:val="center"/>
          </w:tcPr>
          <w:p w14:paraId="47738AA8"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Demand met in 1 of the last 5 years</w:t>
            </w:r>
          </w:p>
        </w:tc>
        <w:tc>
          <w:tcPr>
            <w:tcW w:w="1984" w:type="dxa"/>
            <w:tcBorders>
              <w:top w:val="single" w:sz="4" w:space="0" w:color="auto"/>
              <w:left w:val="single" w:sz="4" w:space="0" w:color="auto"/>
              <w:bottom w:val="single" w:sz="4" w:space="0" w:color="auto"/>
              <w:right w:val="single" w:sz="4" w:space="0" w:color="auto"/>
            </w:tcBorders>
            <w:shd w:val="clear" w:color="auto" w:fill="FF0000"/>
            <w:vAlign w:val="center"/>
          </w:tcPr>
          <w:p w14:paraId="369B1BE9"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w:t>
            </w:r>
          </w:p>
          <w:p w14:paraId="778A7B0E"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The condition of the Junction Wetland is generally poor due to a lack of inundation</w:t>
            </w:r>
          </w:p>
        </w:tc>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14:paraId="169FB7E2"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Low Potential under low inflows. Likely to be achieved by other environmental watering actions and also through Lowbidgee Supplementary allocations under Moderate to High inflow scenarios</w:t>
            </w:r>
          </w:p>
        </w:tc>
        <w:tc>
          <w:tcPr>
            <w:tcW w:w="2268" w:type="dxa"/>
            <w:tcBorders>
              <w:top w:val="single" w:sz="4" w:space="0" w:color="auto"/>
              <w:left w:val="single" w:sz="4" w:space="0" w:color="auto"/>
              <w:bottom w:val="single" w:sz="4" w:space="0" w:color="auto"/>
              <w:right w:val="single" w:sz="12" w:space="0" w:color="auto"/>
            </w:tcBorders>
            <w:shd w:val="clear" w:color="auto" w:fill="FF0000"/>
            <w:vAlign w:val="center"/>
          </w:tcPr>
          <w:p w14:paraId="085E0CE1"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w:t>
            </w:r>
          </w:p>
        </w:tc>
      </w:tr>
      <w:tr w:rsidR="00450436" w:rsidRPr="00453AB8" w14:paraId="7520A3C4" w14:textId="77777777" w:rsidTr="00583873">
        <w:trPr>
          <w:trHeight w:val="1552"/>
        </w:trPr>
        <w:tc>
          <w:tcPr>
            <w:tcW w:w="2547" w:type="dxa"/>
            <w:vMerge/>
            <w:tcBorders>
              <w:top w:val="single" w:sz="4" w:space="0" w:color="auto"/>
              <w:left w:val="single" w:sz="12" w:space="0" w:color="auto"/>
              <w:bottom w:val="single" w:sz="12" w:space="0" w:color="auto"/>
              <w:right w:val="single" w:sz="4" w:space="0" w:color="auto"/>
            </w:tcBorders>
            <w:shd w:val="clear" w:color="auto" w:fill="auto"/>
            <w:vAlign w:val="center"/>
          </w:tcPr>
          <w:p w14:paraId="567B58A3" w14:textId="77777777" w:rsidR="00450436" w:rsidRPr="0077275B" w:rsidRDefault="00450436" w:rsidP="00583873">
            <w:pPr>
              <w:rPr>
                <w:rFonts w:cstheme="minorHAnsi"/>
                <w:color w:val="auto"/>
                <w:sz w:val="18"/>
                <w:szCs w:val="18"/>
              </w:rPr>
            </w:pPr>
          </w:p>
        </w:tc>
        <w:tc>
          <w:tcPr>
            <w:tcW w:w="4111" w:type="dxa"/>
            <w:tcBorders>
              <w:top w:val="single" w:sz="4" w:space="0" w:color="auto"/>
              <w:left w:val="single" w:sz="4" w:space="0" w:color="auto"/>
              <w:bottom w:val="single" w:sz="12" w:space="0" w:color="auto"/>
              <w:right w:val="single" w:sz="4" w:space="0" w:color="auto"/>
            </w:tcBorders>
            <w:shd w:val="clear" w:color="auto" w:fill="auto"/>
            <w:vAlign w:val="center"/>
          </w:tcPr>
          <w:p w14:paraId="55045B4D" w14:textId="77777777" w:rsidR="00450436" w:rsidRPr="0077275B" w:rsidRDefault="00450436" w:rsidP="00583873">
            <w:pPr>
              <w:rPr>
                <w:rFonts w:cstheme="minorHAnsi"/>
                <w:color w:val="auto"/>
                <w:sz w:val="18"/>
                <w:szCs w:val="18"/>
              </w:rPr>
            </w:pPr>
            <w:r w:rsidRPr="0077275B">
              <w:rPr>
                <w:rFonts w:cstheme="minorHAnsi"/>
                <w:color w:val="auto"/>
                <w:sz w:val="18"/>
                <w:szCs w:val="18"/>
              </w:rPr>
              <w:t>Pumping to individual high priority wetland assets targeting wetland vegetation and refuge habitat for native fish, frogs, turtles and waterbirds</w:t>
            </w:r>
          </w:p>
        </w:tc>
        <w:tc>
          <w:tcPr>
            <w:tcW w:w="2041" w:type="dxa"/>
            <w:tcBorders>
              <w:top w:val="single" w:sz="4" w:space="0" w:color="auto"/>
              <w:left w:val="single" w:sz="4" w:space="0" w:color="auto"/>
              <w:bottom w:val="single" w:sz="12" w:space="0" w:color="auto"/>
              <w:right w:val="single" w:sz="4" w:space="0" w:color="auto"/>
            </w:tcBorders>
            <w:shd w:val="clear" w:color="auto" w:fill="auto"/>
            <w:vAlign w:val="center"/>
          </w:tcPr>
          <w:p w14:paraId="232F7D01"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7–8 in every 10 years (2 years)</w:t>
            </w:r>
          </w:p>
        </w:tc>
        <w:tc>
          <w:tcPr>
            <w:tcW w:w="4763" w:type="dxa"/>
            <w:tcBorders>
              <w:top w:val="single" w:sz="4" w:space="0" w:color="auto"/>
              <w:left w:val="single" w:sz="4" w:space="0" w:color="auto"/>
              <w:bottom w:val="single" w:sz="12" w:space="0" w:color="auto"/>
              <w:right w:val="single" w:sz="4" w:space="0" w:color="auto"/>
            </w:tcBorders>
            <w:shd w:val="clear" w:color="auto" w:fill="auto"/>
            <w:vAlign w:val="center"/>
          </w:tcPr>
          <w:p w14:paraId="6FDB55A5" w14:textId="77777777" w:rsidR="00450436" w:rsidRPr="0077275B" w:rsidRDefault="00450436" w:rsidP="00583873">
            <w:pPr>
              <w:jc w:val="center"/>
              <w:rPr>
                <w:rFonts w:cstheme="minorHAnsi"/>
                <w:color w:val="auto"/>
                <w:sz w:val="18"/>
                <w:szCs w:val="18"/>
              </w:rPr>
            </w:pPr>
            <w:r w:rsidRPr="0077275B">
              <w:rPr>
                <w:rFonts w:cstheme="minorHAnsi"/>
                <w:color w:val="auto"/>
                <w:sz w:val="18"/>
                <w:szCs w:val="18"/>
              </w:rPr>
              <w:t>Demand met in 4 of the last 5 years</w:t>
            </w:r>
          </w:p>
        </w:tc>
        <w:tc>
          <w:tcPr>
            <w:tcW w:w="1984" w:type="dxa"/>
            <w:tcBorders>
              <w:top w:val="single" w:sz="4" w:space="0" w:color="auto"/>
              <w:left w:val="single" w:sz="4" w:space="0" w:color="auto"/>
              <w:bottom w:val="single" w:sz="12" w:space="0" w:color="auto"/>
              <w:right w:val="single" w:sz="4" w:space="0" w:color="auto"/>
            </w:tcBorders>
            <w:shd w:val="clear" w:color="auto" w:fill="C00000"/>
            <w:vAlign w:val="center"/>
          </w:tcPr>
          <w:p w14:paraId="4C718351"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 TO CRITICAL</w:t>
            </w:r>
          </w:p>
          <w:p w14:paraId="39C79551"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To support continued recovery of wetland vegetation and provide refuge habitat</w:t>
            </w:r>
          </w:p>
        </w:tc>
        <w:tc>
          <w:tcPr>
            <w:tcW w:w="4253" w:type="dxa"/>
            <w:tcBorders>
              <w:top w:val="single" w:sz="4" w:space="0" w:color="auto"/>
              <w:left w:val="single" w:sz="4" w:space="0" w:color="auto"/>
              <w:bottom w:val="single" w:sz="12" w:space="0" w:color="auto"/>
              <w:right w:val="single" w:sz="4" w:space="0" w:color="auto"/>
            </w:tcBorders>
            <w:shd w:val="clear" w:color="auto" w:fill="365F91" w:themeFill="accent1" w:themeFillShade="BF"/>
            <w:vAlign w:val="center"/>
          </w:tcPr>
          <w:p w14:paraId="38B80491" w14:textId="77777777" w:rsidR="00450436" w:rsidRPr="00453AB8" w:rsidRDefault="00450436" w:rsidP="00583873">
            <w:pPr>
              <w:jc w:val="center"/>
              <w:rPr>
                <w:rFonts w:cstheme="minorHAnsi"/>
                <w:i/>
                <w:iCs/>
                <w:color w:val="auto"/>
                <w:sz w:val="18"/>
                <w:szCs w:val="18"/>
              </w:rPr>
            </w:pPr>
            <w:r w:rsidRPr="00453AB8">
              <w:rPr>
                <w:rFonts w:cstheme="minorHAnsi"/>
                <w:color w:val="auto"/>
                <w:sz w:val="18"/>
                <w:szCs w:val="18"/>
              </w:rPr>
              <w:t>HIGH Potential for water use up to 4 GL under Very Low to Moderate inflow scenarios (volume contributed will be dependent on resource availability/antecedent conditions, with a minimum of 1.5 GL required under a Very Low inflow scenario)</w:t>
            </w:r>
          </w:p>
        </w:tc>
        <w:tc>
          <w:tcPr>
            <w:tcW w:w="2268" w:type="dxa"/>
            <w:tcBorders>
              <w:top w:val="single" w:sz="4" w:space="0" w:color="auto"/>
              <w:left w:val="single" w:sz="4" w:space="0" w:color="auto"/>
              <w:bottom w:val="single" w:sz="12" w:space="0" w:color="auto"/>
              <w:right w:val="single" w:sz="12" w:space="0" w:color="auto"/>
            </w:tcBorders>
            <w:shd w:val="clear" w:color="auto" w:fill="FF0000"/>
            <w:vAlign w:val="center"/>
          </w:tcPr>
          <w:p w14:paraId="0693F4BD" w14:textId="77777777" w:rsidR="00450436" w:rsidRPr="00453AB8" w:rsidRDefault="00450436" w:rsidP="00583873">
            <w:pPr>
              <w:jc w:val="center"/>
              <w:rPr>
                <w:rFonts w:cstheme="minorHAnsi"/>
                <w:color w:val="auto"/>
                <w:sz w:val="18"/>
                <w:szCs w:val="18"/>
              </w:rPr>
            </w:pPr>
            <w:r w:rsidRPr="00453AB8">
              <w:rPr>
                <w:rFonts w:cstheme="minorHAnsi"/>
                <w:color w:val="auto"/>
                <w:sz w:val="18"/>
                <w:szCs w:val="18"/>
              </w:rPr>
              <w:t>HIGH</w:t>
            </w:r>
          </w:p>
        </w:tc>
      </w:tr>
    </w:tbl>
    <w:p w14:paraId="00377D62" w14:textId="77777777" w:rsidR="00450436" w:rsidRPr="00F80502" w:rsidRDefault="00450436" w:rsidP="00450436">
      <w:pPr>
        <w:spacing w:after="240"/>
        <w:rPr>
          <w:noProof/>
          <w:sz w:val="20"/>
        </w:rPr>
      </w:pPr>
      <w:r>
        <w:rPr>
          <w:b/>
          <w:bCs/>
          <w:noProof/>
          <w:sz w:val="20"/>
        </w:rPr>
        <w:t xml:space="preserve">  </w:t>
      </w:r>
      <w:r w:rsidRPr="00F80502">
        <w:rPr>
          <w:b/>
          <w:bCs/>
          <w:noProof/>
          <w:sz w:val="20"/>
        </w:rPr>
        <w:t>Planning Units (PU) 4 – 14</w:t>
      </w:r>
      <w:r>
        <w:rPr>
          <w:b/>
          <w:bCs/>
          <w:noProof/>
          <w:sz w:val="20"/>
        </w:rPr>
        <w:t>.</w:t>
      </w:r>
      <w:r>
        <w:rPr>
          <w:noProof/>
          <w:sz w:val="20"/>
        </w:rPr>
        <w:t xml:space="preserve"> Identified in the</w:t>
      </w:r>
      <w:r w:rsidRPr="00F80502">
        <w:rPr>
          <w:noProof/>
          <w:sz w:val="20"/>
        </w:rPr>
        <w:t xml:space="preserve"> Murrumbidgee Long Term Water Plan Part B</w:t>
      </w:r>
      <w:r>
        <w:rPr>
          <w:noProof/>
          <w:sz w:val="20"/>
        </w:rPr>
        <w:t>:</w:t>
      </w:r>
      <w:r w:rsidRPr="00F80502">
        <w:rPr>
          <w:noProof/>
          <w:sz w:val="20"/>
        </w:rPr>
        <w:t xml:space="preserve"> Murrumbidgee planning units</w:t>
      </w:r>
      <w:r>
        <w:rPr>
          <w:noProof/>
          <w:sz w:val="20"/>
        </w:rPr>
        <w:t xml:space="preserve"> (draft for exhibition)</w:t>
      </w:r>
      <w:r w:rsidRPr="00F80502">
        <w:rPr>
          <w:noProof/>
          <w:sz w:val="20"/>
        </w:rPr>
        <w:t xml:space="preserve"> (</w:t>
      </w:r>
      <w:r>
        <w:rPr>
          <w:noProof/>
          <w:sz w:val="20"/>
        </w:rPr>
        <w:t>NSW OEH 2019b</w:t>
      </w:r>
      <w:r w:rsidRPr="00F80502">
        <w:rPr>
          <w:noProof/>
          <w:sz w:val="20"/>
        </w:rPr>
        <w:t xml:space="preserve">). </w:t>
      </w:r>
    </w:p>
    <w:tbl>
      <w:tblPr>
        <w:tblW w:w="13440" w:type="dxa"/>
        <w:tblLook w:val="04A0" w:firstRow="1" w:lastRow="0" w:firstColumn="1" w:lastColumn="0" w:noHBand="0" w:noVBand="1"/>
      </w:tblPr>
      <w:tblGrid>
        <w:gridCol w:w="6516"/>
        <w:gridCol w:w="222"/>
        <w:gridCol w:w="222"/>
        <w:gridCol w:w="222"/>
        <w:gridCol w:w="960"/>
        <w:gridCol w:w="960"/>
        <w:gridCol w:w="960"/>
        <w:gridCol w:w="960"/>
        <w:gridCol w:w="960"/>
        <w:gridCol w:w="1920"/>
      </w:tblGrid>
      <w:tr w:rsidR="00450436" w:rsidRPr="00A81660" w14:paraId="4BD52BCE" w14:textId="77777777" w:rsidTr="00583873">
        <w:trPr>
          <w:gridAfter w:val="2"/>
          <w:wAfter w:w="2880" w:type="dxa"/>
          <w:trHeight w:val="300"/>
        </w:trPr>
        <w:tc>
          <w:tcPr>
            <w:tcW w:w="6720" w:type="dxa"/>
            <w:gridSpan w:val="4"/>
            <w:tcBorders>
              <w:top w:val="nil"/>
              <w:left w:val="nil"/>
              <w:bottom w:val="nil"/>
              <w:right w:val="nil"/>
            </w:tcBorders>
            <w:shd w:val="clear" w:color="auto" w:fill="auto"/>
            <w:noWrap/>
            <w:vAlign w:val="bottom"/>
            <w:hideMark/>
          </w:tcPr>
          <w:p w14:paraId="6BD1D0B8" w14:textId="77777777" w:rsidR="00450436" w:rsidRPr="00A81660" w:rsidRDefault="00450436" w:rsidP="00583873">
            <w:pPr>
              <w:spacing w:after="0"/>
              <w:rPr>
                <w:rFonts w:ascii="Calibri" w:hAnsi="Calibri" w:cs="Calibri"/>
                <w:sz w:val="20"/>
              </w:rPr>
            </w:pPr>
            <w:r w:rsidRPr="00A81660">
              <w:rPr>
                <w:rFonts w:ascii="Calibri" w:hAnsi="Calibri" w:cs="Calibri"/>
                <w:sz w:val="20"/>
              </w:rPr>
              <w:t>PU4: Murrumbidgee River – Tumut River Junction to Berembed Weir</w:t>
            </w:r>
          </w:p>
        </w:tc>
        <w:tc>
          <w:tcPr>
            <w:tcW w:w="2880" w:type="dxa"/>
            <w:gridSpan w:val="3"/>
            <w:tcBorders>
              <w:top w:val="nil"/>
              <w:left w:val="nil"/>
              <w:bottom w:val="nil"/>
              <w:right w:val="nil"/>
            </w:tcBorders>
            <w:shd w:val="clear" w:color="auto" w:fill="auto"/>
            <w:noWrap/>
            <w:vAlign w:val="bottom"/>
            <w:hideMark/>
          </w:tcPr>
          <w:p w14:paraId="6B4124EB" w14:textId="77777777" w:rsidR="00450436" w:rsidRPr="00A81660" w:rsidRDefault="00450436" w:rsidP="00583873">
            <w:pPr>
              <w:spacing w:after="0"/>
              <w:rPr>
                <w:rFonts w:ascii="Calibri" w:hAnsi="Calibri" w:cs="Calibri"/>
                <w:sz w:val="20"/>
              </w:rPr>
            </w:pPr>
            <w:r w:rsidRPr="00A81660">
              <w:rPr>
                <w:rFonts w:ascii="Calibri" w:hAnsi="Calibri" w:cs="Calibri"/>
                <w:sz w:val="20"/>
              </w:rPr>
              <w:t>PU10: Upper Yanco Creek</w:t>
            </w:r>
          </w:p>
        </w:tc>
        <w:tc>
          <w:tcPr>
            <w:tcW w:w="960" w:type="dxa"/>
            <w:tcBorders>
              <w:top w:val="nil"/>
              <w:left w:val="nil"/>
              <w:bottom w:val="nil"/>
              <w:right w:val="nil"/>
            </w:tcBorders>
            <w:shd w:val="clear" w:color="auto" w:fill="auto"/>
            <w:noWrap/>
            <w:vAlign w:val="bottom"/>
            <w:hideMark/>
          </w:tcPr>
          <w:p w14:paraId="3D32402F" w14:textId="77777777" w:rsidR="00450436" w:rsidRPr="00A81660" w:rsidRDefault="00450436" w:rsidP="00583873">
            <w:pPr>
              <w:spacing w:after="0"/>
              <w:rPr>
                <w:rFonts w:ascii="Calibri" w:hAnsi="Calibri" w:cs="Calibri"/>
                <w:sz w:val="20"/>
              </w:rPr>
            </w:pPr>
          </w:p>
        </w:tc>
      </w:tr>
      <w:tr w:rsidR="00450436" w:rsidRPr="00A81660" w14:paraId="6A7896D3" w14:textId="77777777" w:rsidTr="00583873">
        <w:trPr>
          <w:gridAfter w:val="2"/>
          <w:wAfter w:w="2880" w:type="dxa"/>
          <w:trHeight w:val="300"/>
        </w:trPr>
        <w:tc>
          <w:tcPr>
            <w:tcW w:w="6720" w:type="dxa"/>
            <w:gridSpan w:val="4"/>
            <w:tcBorders>
              <w:top w:val="nil"/>
              <w:left w:val="nil"/>
              <w:bottom w:val="nil"/>
              <w:right w:val="nil"/>
            </w:tcBorders>
            <w:shd w:val="clear" w:color="auto" w:fill="auto"/>
            <w:noWrap/>
            <w:vAlign w:val="bottom"/>
            <w:hideMark/>
          </w:tcPr>
          <w:p w14:paraId="4BFE6AC8" w14:textId="77777777" w:rsidR="00450436" w:rsidRPr="00A81660" w:rsidRDefault="00450436" w:rsidP="00583873">
            <w:pPr>
              <w:spacing w:after="0"/>
              <w:rPr>
                <w:rFonts w:ascii="Calibri" w:hAnsi="Calibri" w:cs="Calibri"/>
                <w:sz w:val="20"/>
              </w:rPr>
            </w:pPr>
            <w:r w:rsidRPr="00A81660">
              <w:rPr>
                <w:rFonts w:ascii="Calibri" w:hAnsi="Calibri" w:cs="Calibri"/>
                <w:sz w:val="20"/>
              </w:rPr>
              <w:t>PU5: Murrumbidgee River – Berembed Weir to Gogeldrie Weir</w:t>
            </w:r>
          </w:p>
        </w:tc>
        <w:tc>
          <w:tcPr>
            <w:tcW w:w="3840" w:type="dxa"/>
            <w:gridSpan w:val="4"/>
            <w:tcBorders>
              <w:top w:val="nil"/>
              <w:left w:val="nil"/>
              <w:bottom w:val="nil"/>
              <w:right w:val="nil"/>
            </w:tcBorders>
            <w:shd w:val="clear" w:color="auto" w:fill="auto"/>
            <w:noWrap/>
            <w:vAlign w:val="bottom"/>
            <w:hideMark/>
          </w:tcPr>
          <w:p w14:paraId="7A53588A" w14:textId="77777777" w:rsidR="00450436" w:rsidRPr="00A81660" w:rsidRDefault="00450436" w:rsidP="00583873">
            <w:pPr>
              <w:spacing w:after="0"/>
              <w:rPr>
                <w:rFonts w:ascii="Calibri" w:hAnsi="Calibri" w:cs="Calibri"/>
                <w:sz w:val="20"/>
              </w:rPr>
            </w:pPr>
            <w:r w:rsidRPr="00A81660">
              <w:rPr>
                <w:rFonts w:ascii="Calibri" w:hAnsi="Calibri" w:cs="Calibri"/>
                <w:sz w:val="20"/>
              </w:rPr>
              <w:t>PU11: Colombo &amp; Billabong Creeks</w:t>
            </w:r>
          </w:p>
        </w:tc>
      </w:tr>
      <w:tr w:rsidR="00450436" w:rsidRPr="00A81660" w14:paraId="41728F87" w14:textId="77777777" w:rsidTr="00583873">
        <w:trPr>
          <w:gridAfter w:val="1"/>
          <w:wAfter w:w="1920" w:type="dxa"/>
          <w:trHeight w:val="300"/>
        </w:trPr>
        <w:tc>
          <w:tcPr>
            <w:tcW w:w="6652" w:type="dxa"/>
            <w:gridSpan w:val="3"/>
            <w:tcBorders>
              <w:top w:val="nil"/>
              <w:left w:val="nil"/>
              <w:bottom w:val="nil"/>
              <w:right w:val="nil"/>
            </w:tcBorders>
            <w:shd w:val="clear" w:color="auto" w:fill="auto"/>
            <w:noWrap/>
            <w:vAlign w:val="bottom"/>
            <w:hideMark/>
          </w:tcPr>
          <w:p w14:paraId="2F3EFDB0" w14:textId="77777777" w:rsidR="00450436" w:rsidRPr="00A81660" w:rsidRDefault="00450436" w:rsidP="00583873">
            <w:pPr>
              <w:spacing w:after="0"/>
              <w:rPr>
                <w:rFonts w:ascii="Calibri" w:hAnsi="Calibri" w:cs="Calibri"/>
                <w:sz w:val="20"/>
              </w:rPr>
            </w:pPr>
            <w:r w:rsidRPr="00A81660">
              <w:rPr>
                <w:rFonts w:ascii="Calibri" w:hAnsi="Calibri" w:cs="Calibri"/>
                <w:sz w:val="20"/>
              </w:rPr>
              <w:t>PU6: Murrumbidgee River – Gogeldrie Weir to Maude Weir</w:t>
            </w:r>
          </w:p>
        </w:tc>
        <w:tc>
          <w:tcPr>
            <w:tcW w:w="68" w:type="dxa"/>
            <w:tcBorders>
              <w:top w:val="nil"/>
              <w:left w:val="nil"/>
              <w:bottom w:val="nil"/>
              <w:right w:val="nil"/>
            </w:tcBorders>
            <w:shd w:val="clear" w:color="auto" w:fill="auto"/>
            <w:noWrap/>
            <w:vAlign w:val="bottom"/>
            <w:hideMark/>
          </w:tcPr>
          <w:p w14:paraId="1E970508" w14:textId="77777777" w:rsidR="00450436" w:rsidRPr="00A81660" w:rsidRDefault="00450436" w:rsidP="00583873">
            <w:pPr>
              <w:spacing w:after="0"/>
              <w:rPr>
                <w:rFonts w:ascii="Calibri" w:hAnsi="Calibri" w:cs="Calibri"/>
                <w:sz w:val="20"/>
              </w:rPr>
            </w:pPr>
          </w:p>
        </w:tc>
        <w:tc>
          <w:tcPr>
            <w:tcW w:w="4800" w:type="dxa"/>
            <w:gridSpan w:val="5"/>
            <w:tcBorders>
              <w:top w:val="nil"/>
              <w:left w:val="nil"/>
              <w:bottom w:val="nil"/>
              <w:right w:val="nil"/>
            </w:tcBorders>
            <w:shd w:val="clear" w:color="auto" w:fill="auto"/>
            <w:noWrap/>
            <w:vAlign w:val="bottom"/>
            <w:hideMark/>
          </w:tcPr>
          <w:p w14:paraId="22A8D14F" w14:textId="77777777" w:rsidR="00450436" w:rsidRPr="00A81660" w:rsidRDefault="00450436" w:rsidP="00583873">
            <w:pPr>
              <w:spacing w:after="0"/>
              <w:rPr>
                <w:rFonts w:ascii="Calibri" w:hAnsi="Calibri" w:cs="Calibri"/>
                <w:sz w:val="20"/>
              </w:rPr>
            </w:pPr>
            <w:r w:rsidRPr="00A81660">
              <w:rPr>
                <w:rFonts w:ascii="Calibri" w:hAnsi="Calibri" w:cs="Calibri"/>
                <w:sz w:val="20"/>
              </w:rPr>
              <w:t>PU12: Lower Yanco Creek to Lower Billabong Creek</w:t>
            </w:r>
          </w:p>
        </w:tc>
      </w:tr>
      <w:tr w:rsidR="00450436" w:rsidRPr="00A81660" w14:paraId="188E2DD7" w14:textId="77777777" w:rsidTr="00583873">
        <w:trPr>
          <w:gridAfter w:val="1"/>
          <w:wAfter w:w="1920" w:type="dxa"/>
          <w:trHeight w:val="300"/>
        </w:trPr>
        <w:tc>
          <w:tcPr>
            <w:tcW w:w="6516" w:type="dxa"/>
            <w:tcBorders>
              <w:top w:val="nil"/>
              <w:left w:val="nil"/>
              <w:bottom w:val="nil"/>
              <w:right w:val="nil"/>
            </w:tcBorders>
            <w:shd w:val="clear" w:color="auto" w:fill="auto"/>
            <w:noWrap/>
            <w:vAlign w:val="bottom"/>
            <w:hideMark/>
          </w:tcPr>
          <w:p w14:paraId="62F900FD" w14:textId="77777777" w:rsidR="00450436" w:rsidRPr="00A81660" w:rsidRDefault="00450436" w:rsidP="00583873">
            <w:pPr>
              <w:spacing w:after="0"/>
              <w:rPr>
                <w:rFonts w:ascii="Calibri" w:hAnsi="Calibri" w:cs="Calibri"/>
                <w:sz w:val="20"/>
              </w:rPr>
            </w:pPr>
            <w:r w:rsidRPr="00A81660">
              <w:rPr>
                <w:rFonts w:ascii="Calibri" w:hAnsi="Calibri" w:cs="Calibri"/>
                <w:sz w:val="20"/>
              </w:rPr>
              <w:t>PU7: Lower Murrumbidgee Floodplain</w:t>
            </w:r>
          </w:p>
        </w:tc>
        <w:tc>
          <w:tcPr>
            <w:tcW w:w="68" w:type="dxa"/>
            <w:tcBorders>
              <w:top w:val="nil"/>
              <w:left w:val="nil"/>
              <w:bottom w:val="nil"/>
              <w:right w:val="nil"/>
            </w:tcBorders>
            <w:shd w:val="clear" w:color="auto" w:fill="auto"/>
            <w:noWrap/>
            <w:vAlign w:val="bottom"/>
            <w:hideMark/>
          </w:tcPr>
          <w:p w14:paraId="05A7C6AD" w14:textId="77777777" w:rsidR="00450436" w:rsidRPr="00A81660" w:rsidRDefault="00450436" w:rsidP="00583873">
            <w:pPr>
              <w:spacing w:after="0"/>
              <w:rPr>
                <w:rFonts w:ascii="Calibri" w:hAnsi="Calibri" w:cs="Calibri"/>
                <w:sz w:val="20"/>
              </w:rPr>
            </w:pPr>
          </w:p>
        </w:tc>
        <w:tc>
          <w:tcPr>
            <w:tcW w:w="68" w:type="dxa"/>
            <w:tcBorders>
              <w:top w:val="nil"/>
              <w:left w:val="nil"/>
              <w:bottom w:val="nil"/>
              <w:right w:val="nil"/>
            </w:tcBorders>
            <w:shd w:val="clear" w:color="auto" w:fill="auto"/>
            <w:noWrap/>
            <w:vAlign w:val="bottom"/>
            <w:hideMark/>
          </w:tcPr>
          <w:p w14:paraId="107D8962" w14:textId="77777777" w:rsidR="00450436" w:rsidRPr="00A81660" w:rsidRDefault="00450436" w:rsidP="00583873">
            <w:pPr>
              <w:spacing w:after="0"/>
              <w:rPr>
                <w:rFonts w:ascii="Times New Roman" w:hAnsi="Times New Roman" w:cs="Times New Roman"/>
                <w:sz w:val="20"/>
              </w:rPr>
            </w:pPr>
          </w:p>
        </w:tc>
        <w:tc>
          <w:tcPr>
            <w:tcW w:w="68" w:type="dxa"/>
            <w:tcBorders>
              <w:top w:val="nil"/>
              <w:left w:val="nil"/>
              <w:bottom w:val="nil"/>
              <w:right w:val="nil"/>
            </w:tcBorders>
            <w:shd w:val="clear" w:color="auto" w:fill="auto"/>
            <w:noWrap/>
            <w:vAlign w:val="bottom"/>
            <w:hideMark/>
          </w:tcPr>
          <w:p w14:paraId="3B0C205C" w14:textId="77777777" w:rsidR="00450436" w:rsidRPr="00A81660" w:rsidRDefault="00450436" w:rsidP="00583873">
            <w:pPr>
              <w:spacing w:after="0"/>
              <w:rPr>
                <w:rFonts w:ascii="Times New Roman" w:hAnsi="Times New Roman" w:cs="Times New Roman"/>
                <w:sz w:val="20"/>
              </w:rPr>
            </w:pPr>
          </w:p>
        </w:tc>
        <w:tc>
          <w:tcPr>
            <w:tcW w:w="4800" w:type="dxa"/>
            <w:gridSpan w:val="5"/>
            <w:tcBorders>
              <w:top w:val="nil"/>
              <w:left w:val="nil"/>
              <w:bottom w:val="nil"/>
              <w:right w:val="nil"/>
            </w:tcBorders>
            <w:shd w:val="clear" w:color="auto" w:fill="auto"/>
            <w:noWrap/>
            <w:vAlign w:val="bottom"/>
            <w:hideMark/>
          </w:tcPr>
          <w:p w14:paraId="5B424642" w14:textId="77777777" w:rsidR="00450436" w:rsidRPr="00A81660" w:rsidRDefault="00450436" w:rsidP="00583873">
            <w:pPr>
              <w:spacing w:after="0"/>
              <w:rPr>
                <w:rFonts w:ascii="Calibri" w:hAnsi="Calibri" w:cs="Calibri"/>
                <w:sz w:val="20"/>
              </w:rPr>
            </w:pPr>
            <w:r w:rsidRPr="00A81660">
              <w:rPr>
                <w:rFonts w:ascii="Calibri" w:hAnsi="Calibri" w:cs="Calibri"/>
                <w:sz w:val="20"/>
              </w:rPr>
              <w:t>PU13: Lower Billabong and Intersecting Streams</w:t>
            </w:r>
          </w:p>
        </w:tc>
      </w:tr>
      <w:tr w:rsidR="00450436" w:rsidRPr="00A81660" w14:paraId="7D01EFD6" w14:textId="77777777" w:rsidTr="00583873">
        <w:trPr>
          <w:trHeight w:val="300"/>
        </w:trPr>
        <w:tc>
          <w:tcPr>
            <w:tcW w:w="6584" w:type="dxa"/>
            <w:gridSpan w:val="2"/>
            <w:tcBorders>
              <w:top w:val="nil"/>
              <w:left w:val="nil"/>
              <w:bottom w:val="nil"/>
              <w:right w:val="nil"/>
            </w:tcBorders>
            <w:shd w:val="clear" w:color="auto" w:fill="auto"/>
            <w:noWrap/>
            <w:vAlign w:val="bottom"/>
            <w:hideMark/>
          </w:tcPr>
          <w:p w14:paraId="21815F1C" w14:textId="77777777" w:rsidR="00450436" w:rsidRPr="00A81660" w:rsidRDefault="00450436" w:rsidP="00583873">
            <w:pPr>
              <w:spacing w:after="0"/>
              <w:rPr>
                <w:rFonts w:ascii="Calibri" w:hAnsi="Calibri" w:cs="Calibri"/>
                <w:sz w:val="20"/>
              </w:rPr>
            </w:pPr>
            <w:r w:rsidRPr="00A81660">
              <w:rPr>
                <w:rFonts w:ascii="Calibri" w:hAnsi="Calibri" w:cs="Calibri"/>
                <w:sz w:val="20"/>
              </w:rPr>
              <w:t>PU8: Murrumbidgee River – Balranald to Murray</w:t>
            </w:r>
          </w:p>
        </w:tc>
        <w:tc>
          <w:tcPr>
            <w:tcW w:w="68" w:type="dxa"/>
            <w:tcBorders>
              <w:top w:val="nil"/>
              <w:left w:val="nil"/>
              <w:bottom w:val="nil"/>
              <w:right w:val="nil"/>
            </w:tcBorders>
            <w:shd w:val="clear" w:color="auto" w:fill="auto"/>
            <w:noWrap/>
            <w:vAlign w:val="bottom"/>
            <w:hideMark/>
          </w:tcPr>
          <w:p w14:paraId="7B2A6C04" w14:textId="77777777" w:rsidR="00450436" w:rsidRPr="00A81660" w:rsidRDefault="00450436" w:rsidP="00583873">
            <w:pPr>
              <w:spacing w:after="0"/>
              <w:rPr>
                <w:rFonts w:ascii="Calibri" w:hAnsi="Calibri" w:cs="Calibri"/>
                <w:sz w:val="20"/>
              </w:rPr>
            </w:pPr>
          </w:p>
        </w:tc>
        <w:tc>
          <w:tcPr>
            <w:tcW w:w="68" w:type="dxa"/>
            <w:tcBorders>
              <w:top w:val="nil"/>
              <w:left w:val="nil"/>
              <w:bottom w:val="nil"/>
              <w:right w:val="nil"/>
            </w:tcBorders>
            <w:shd w:val="clear" w:color="auto" w:fill="auto"/>
            <w:noWrap/>
            <w:vAlign w:val="bottom"/>
            <w:hideMark/>
          </w:tcPr>
          <w:p w14:paraId="257ED429" w14:textId="77777777" w:rsidR="00450436" w:rsidRPr="00A81660" w:rsidRDefault="00450436" w:rsidP="00583873">
            <w:pPr>
              <w:spacing w:after="0"/>
              <w:rPr>
                <w:rFonts w:ascii="Times New Roman" w:hAnsi="Times New Roman" w:cs="Times New Roman"/>
                <w:sz w:val="20"/>
              </w:rPr>
            </w:pPr>
          </w:p>
        </w:tc>
        <w:tc>
          <w:tcPr>
            <w:tcW w:w="6720" w:type="dxa"/>
            <w:gridSpan w:val="6"/>
            <w:tcBorders>
              <w:top w:val="nil"/>
              <w:left w:val="nil"/>
              <w:bottom w:val="nil"/>
              <w:right w:val="nil"/>
            </w:tcBorders>
            <w:shd w:val="clear" w:color="auto" w:fill="auto"/>
            <w:noWrap/>
            <w:vAlign w:val="bottom"/>
            <w:hideMark/>
          </w:tcPr>
          <w:p w14:paraId="0D9DE25E" w14:textId="77777777" w:rsidR="00450436" w:rsidRPr="00A81660" w:rsidRDefault="00450436" w:rsidP="00583873">
            <w:pPr>
              <w:spacing w:after="0"/>
              <w:rPr>
                <w:rFonts w:ascii="Calibri" w:hAnsi="Calibri" w:cs="Calibri"/>
                <w:sz w:val="20"/>
              </w:rPr>
            </w:pPr>
            <w:r w:rsidRPr="00A81660">
              <w:rPr>
                <w:rFonts w:ascii="Calibri" w:hAnsi="Calibri" w:cs="Calibri"/>
                <w:sz w:val="20"/>
              </w:rPr>
              <w:t>PU14: Murrumbidgee Infrastructure Dependent Floodplain Wetlands</w:t>
            </w:r>
          </w:p>
        </w:tc>
      </w:tr>
      <w:tr w:rsidR="00450436" w:rsidRPr="00A81660" w14:paraId="7A42035D" w14:textId="77777777" w:rsidTr="00583873">
        <w:trPr>
          <w:gridAfter w:val="2"/>
          <w:wAfter w:w="2880" w:type="dxa"/>
          <w:trHeight w:val="300"/>
        </w:trPr>
        <w:tc>
          <w:tcPr>
            <w:tcW w:w="6516" w:type="dxa"/>
            <w:tcBorders>
              <w:top w:val="nil"/>
              <w:left w:val="nil"/>
              <w:bottom w:val="nil"/>
              <w:right w:val="nil"/>
            </w:tcBorders>
            <w:shd w:val="clear" w:color="auto" w:fill="auto"/>
            <w:noWrap/>
            <w:vAlign w:val="bottom"/>
            <w:hideMark/>
          </w:tcPr>
          <w:p w14:paraId="4E5ACDB7" w14:textId="77777777" w:rsidR="00450436" w:rsidRPr="00A81660" w:rsidRDefault="00450436" w:rsidP="00583873">
            <w:pPr>
              <w:spacing w:after="0"/>
              <w:rPr>
                <w:rFonts w:ascii="Calibri" w:hAnsi="Calibri" w:cs="Calibri"/>
                <w:sz w:val="20"/>
              </w:rPr>
            </w:pPr>
            <w:r w:rsidRPr="00A81660">
              <w:rPr>
                <w:rFonts w:ascii="Calibri" w:hAnsi="Calibri" w:cs="Calibri"/>
                <w:sz w:val="20"/>
              </w:rPr>
              <w:t>PU9: Beavers and Old Man’s Creek</w:t>
            </w:r>
          </w:p>
        </w:tc>
        <w:tc>
          <w:tcPr>
            <w:tcW w:w="68" w:type="dxa"/>
            <w:tcBorders>
              <w:top w:val="nil"/>
              <w:left w:val="nil"/>
              <w:bottom w:val="nil"/>
              <w:right w:val="nil"/>
            </w:tcBorders>
            <w:shd w:val="clear" w:color="auto" w:fill="auto"/>
            <w:noWrap/>
            <w:vAlign w:val="bottom"/>
            <w:hideMark/>
          </w:tcPr>
          <w:p w14:paraId="0C92D1C1" w14:textId="77777777" w:rsidR="00450436" w:rsidRPr="00A81660" w:rsidRDefault="00450436" w:rsidP="00583873">
            <w:pPr>
              <w:spacing w:after="0"/>
              <w:rPr>
                <w:rFonts w:ascii="Calibri" w:hAnsi="Calibri" w:cs="Calibri"/>
                <w:sz w:val="20"/>
              </w:rPr>
            </w:pPr>
          </w:p>
        </w:tc>
        <w:tc>
          <w:tcPr>
            <w:tcW w:w="68" w:type="dxa"/>
            <w:tcBorders>
              <w:top w:val="nil"/>
              <w:left w:val="nil"/>
              <w:bottom w:val="nil"/>
              <w:right w:val="nil"/>
            </w:tcBorders>
            <w:shd w:val="clear" w:color="auto" w:fill="auto"/>
            <w:noWrap/>
            <w:vAlign w:val="bottom"/>
            <w:hideMark/>
          </w:tcPr>
          <w:p w14:paraId="77859EA5" w14:textId="77777777" w:rsidR="00450436" w:rsidRPr="00A81660" w:rsidRDefault="00450436" w:rsidP="00583873">
            <w:pPr>
              <w:spacing w:after="0"/>
              <w:rPr>
                <w:rFonts w:ascii="Times New Roman" w:hAnsi="Times New Roman" w:cs="Times New Roman"/>
                <w:sz w:val="20"/>
              </w:rPr>
            </w:pPr>
          </w:p>
        </w:tc>
        <w:tc>
          <w:tcPr>
            <w:tcW w:w="68" w:type="dxa"/>
            <w:tcBorders>
              <w:top w:val="nil"/>
              <w:left w:val="nil"/>
              <w:bottom w:val="nil"/>
              <w:right w:val="nil"/>
            </w:tcBorders>
            <w:shd w:val="clear" w:color="auto" w:fill="auto"/>
            <w:noWrap/>
            <w:vAlign w:val="bottom"/>
            <w:hideMark/>
          </w:tcPr>
          <w:p w14:paraId="5C240F5C" w14:textId="77777777" w:rsidR="00450436" w:rsidRPr="00A81660" w:rsidRDefault="00450436" w:rsidP="00583873">
            <w:pPr>
              <w:spacing w:after="0"/>
              <w:rPr>
                <w:rFonts w:ascii="Times New Roman" w:hAnsi="Times New Roman" w:cs="Times New Roman"/>
                <w:sz w:val="20"/>
              </w:rPr>
            </w:pPr>
          </w:p>
        </w:tc>
        <w:tc>
          <w:tcPr>
            <w:tcW w:w="960" w:type="dxa"/>
            <w:tcBorders>
              <w:top w:val="nil"/>
              <w:left w:val="nil"/>
              <w:bottom w:val="nil"/>
              <w:right w:val="nil"/>
            </w:tcBorders>
            <w:shd w:val="clear" w:color="auto" w:fill="auto"/>
            <w:noWrap/>
            <w:vAlign w:val="bottom"/>
            <w:hideMark/>
          </w:tcPr>
          <w:p w14:paraId="6E6E1A28" w14:textId="77777777" w:rsidR="00450436" w:rsidRPr="00A81660" w:rsidRDefault="00450436" w:rsidP="00583873">
            <w:pPr>
              <w:spacing w:after="0"/>
              <w:rPr>
                <w:rFonts w:ascii="Times New Roman" w:hAnsi="Times New Roman" w:cs="Times New Roman"/>
                <w:sz w:val="20"/>
              </w:rPr>
            </w:pPr>
          </w:p>
        </w:tc>
        <w:tc>
          <w:tcPr>
            <w:tcW w:w="960" w:type="dxa"/>
            <w:tcBorders>
              <w:top w:val="nil"/>
              <w:left w:val="nil"/>
              <w:bottom w:val="nil"/>
              <w:right w:val="nil"/>
            </w:tcBorders>
            <w:shd w:val="clear" w:color="auto" w:fill="auto"/>
            <w:noWrap/>
            <w:vAlign w:val="bottom"/>
            <w:hideMark/>
          </w:tcPr>
          <w:p w14:paraId="10EE534A" w14:textId="77777777" w:rsidR="00450436" w:rsidRPr="00A81660" w:rsidRDefault="00450436" w:rsidP="00583873">
            <w:pPr>
              <w:spacing w:after="0"/>
              <w:rPr>
                <w:rFonts w:ascii="Times New Roman" w:hAnsi="Times New Roman" w:cs="Times New Roman"/>
                <w:sz w:val="20"/>
              </w:rPr>
            </w:pPr>
          </w:p>
        </w:tc>
        <w:tc>
          <w:tcPr>
            <w:tcW w:w="960" w:type="dxa"/>
            <w:tcBorders>
              <w:top w:val="nil"/>
              <w:left w:val="nil"/>
              <w:bottom w:val="nil"/>
              <w:right w:val="nil"/>
            </w:tcBorders>
            <w:shd w:val="clear" w:color="auto" w:fill="auto"/>
            <w:noWrap/>
            <w:vAlign w:val="bottom"/>
            <w:hideMark/>
          </w:tcPr>
          <w:p w14:paraId="21FE00F2" w14:textId="77777777" w:rsidR="00450436" w:rsidRPr="00A81660" w:rsidRDefault="00450436" w:rsidP="00583873">
            <w:pPr>
              <w:spacing w:after="0"/>
              <w:rPr>
                <w:rFonts w:ascii="Times New Roman" w:hAnsi="Times New Roman" w:cs="Times New Roman"/>
                <w:sz w:val="20"/>
              </w:rPr>
            </w:pPr>
          </w:p>
        </w:tc>
        <w:tc>
          <w:tcPr>
            <w:tcW w:w="960" w:type="dxa"/>
            <w:tcBorders>
              <w:top w:val="nil"/>
              <w:left w:val="nil"/>
              <w:bottom w:val="nil"/>
              <w:right w:val="nil"/>
            </w:tcBorders>
            <w:shd w:val="clear" w:color="auto" w:fill="auto"/>
            <w:noWrap/>
            <w:vAlign w:val="bottom"/>
            <w:hideMark/>
          </w:tcPr>
          <w:p w14:paraId="28770D32" w14:textId="77777777" w:rsidR="00450436" w:rsidRPr="00A81660" w:rsidRDefault="00450436" w:rsidP="00583873">
            <w:pPr>
              <w:spacing w:after="0"/>
              <w:rPr>
                <w:rFonts w:ascii="Times New Roman" w:hAnsi="Times New Roman" w:cs="Times New Roman"/>
                <w:sz w:val="20"/>
              </w:rPr>
            </w:pPr>
          </w:p>
        </w:tc>
      </w:tr>
    </w:tbl>
    <w:p w14:paraId="5187FC92" w14:textId="77777777" w:rsidR="00450436" w:rsidRDefault="00450436" w:rsidP="00450436">
      <w:pPr>
        <w:spacing w:after="240"/>
        <w:rPr>
          <w:noProof/>
        </w:rPr>
      </w:pPr>
    </w:p>
    <w:p w14:paraId="68F15B8E" w14:textId="77777777" w:rsidR="00450436" w:rsidRDefault="00450436" w:rsidP="00450436">
      <w:pPr>
        <w:spacing w:after="240"/>
        <w:rPr>
          <w:noProof/>
        </w:rPr>
      </w:pPr>
      <w:r>
        <w:rPr>
          <w:noProof/>
        </w:rPr>
        <w:drawing>
          <wp:inline distT="0" distB="0" distL="0" distR="0" wp14:anchorId="123318CC" wp14:editId="4D4B0800">
            <wp:extent cx="9958388" cy="1952625"/>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9969807" cy="1954864"/>
                    </a:xfrm>
                    <a:prstGeom prst="rect">
                      <a:avLst/>
                    </a:prstGeom>
                  </pic:spPr>
                </pic:pic>
              </a:graphicData>
            </a:graphic>
          </wp:inline>
        </w:drawing>
      </w:r>
    </w:p>
    <w:p w14:paraId="0E5253B8" w14:textId="77777777" w:rsidR="00450436" w:rsidRDefault="00450436" w:rsidP="00450436">
      <w:pPr>
        <w:spacing w:after="240"/>
        <w:rPr>
          <w:rStyle w:val="Hyperlink"/>
          <w:rFonts w:ascii="Century Gothic" w:hAnsi="Century Gothic" w:cs="Arial"/>
          <w:noProof/>
        </w:rPr>
        <w:sectPr w:rsidR="00450436" w:rsidSect="00583873">
          <w:footerReference w:type="first" r:id="rId266"/>
          <w:footnotePr>
            <w:numFmt w:val="chicago"/>
            <w:numRestart w:val="eachSect"/>
          </w:footnotePr>
          <w:pgSz w:w="23814" w:h="16839" w:orient="landscape" w:code="8"/>
          <w:pgMar w:top="993" w:right="992" w:bottom="993" w:left="851" w:header="567" w:footer="397" w:gutter="0"/>
          <w:cols w:space="708"/>
          <w:docGrid w:linePitch="360"/>
        </w:sectPr>
      </w:pPr>
    </w:p>
    <w:p w14:paraId="07627A5C" w14:textId="77777777" w:rsidR="00450436" w:rsidRDefault="00450436" w:rsidP="00450436">
      <w:pPr>
        <w:pStyle w:val="Heading3"/>
        <w:numPr>
          <w:ilvl w:val="2"/>
          <w:numId w:val="46"/>
        </w:numPr>
        <w:spacing w:after="240"/>
      </w:pPr>
      <w:r>
        <w:lastRenderedPageBreak/>
        <w:t>Water delivery in 2020–21</w:t>
      </w:r>
    </w:p>
    <w:p w14:paraId="67FCDDF5" w14:textId="77777777" w:rsidR="00450436" w:rsidRDefault="00450436" w:rsidP="00450436">
      <w:r w:rsidRPr="00365FE2">
        <w:t>Based on the demand for water for the environment, water</w:t>
      </w:r>
      <w:r>
        <w:t xml:space="preserve"> </w:t>
      </w:r>
      <w:r w:rsidRPr="00365FE2">
        <w:t>availability (supply), and catchment conditions, the overall purpose for managing Commonwealth water for the environment in the M</w:t>
      </w:r>
      <w:r>
        <w:t>urrumbidgee</w:t>
      </w:r>
      <w:r w:rsidRPr="00365FE2">
        <w:t xml:space="preserve"> River Valley in 2020</w:t>
      </w:r>
      <w:r>
        <w:t>-</w:t>
      </w:r>
      <w:r w:rsidRPr="00365FE2">
        <w:t xml:space="preserve">21 is to </w:t>
      </w:r>
      <w:r w:rsidRPr="006430C0">
        <w:t>maintain</w:t>
      </w:r>
      <w:r>
        <w:t>, and where possible improve</w:t>
      </w:r>
      <w:r w:rsidRPr="006430C0">
        <w:t xml:space="preserve"> the health and resilience of aquatic ecosystems</w:t>
      </w:r>
      <w:r>
        <w:t xml:space="preserve"> including </w:t>
      </w:r>
      <w:r w:rsidRPr="00DC47CE">
        <w:t>to restore ecologically significant flow components impacted by river regulation</w:t>
      </w:r>
      <w:r>
        <w:t xml:space="preserve"> under wetter scenarios</w:t>
      </w:r>
      <w:r w:rsidRPr="006430C0">
        <w:t xml:space="preserve">. </w:t>
      </w:r>
      <w:r>
        <w:t>Specifically, f</w:t>
      </w:r>
      <w:r w:rsidRPr="006430C0">
        <w:t xml:space="preserve">or the mid-Murrumbidgee wetlands the purpose is to </w:t>
      </w:r>
      <w:r>
        <w:t>maintain</w:t>
      </w:r>
      <w:r w:rsidRPr="00DC47CE">
        <w:t xml:space="preserve"> and ensure their ecological capacity for recovery</w:t>
      </w:r>
      <w:r>
        <w:t xml:space="preserve"> </w:t>
      </w:r>
      <w:r w:rsidRPr="006430C0">
        <w:t>and remains</w:t>
      </w:r>
      <w:r>
        <w:t xml:space="preserve"> a priority under all resource scenarios subject to available allocations. </w:t>
      </w:r>
    </w:p>
    <w:p w14:paraId="6ADBE53B" w14:textId="77777777" w:rsidR="00450436" w:rsidRDefault="00450436" w:rsidP="00450436">
      <w:r>
        <w:t xml:space="preserve">Planning for water delivery in the </w:t>
      </w:r>
      <w:r w:rsidRPr="00A41540">
        <w:t xml:space="preserve">Murrumbidgee </w:t>
      </w:r>
      <w:r>
        <w:t>River Valley consid</w:t>
      </w:r>
      <w:r w:rsidRPr="00A41540">
        <w:t xml:space="preserve">ers all water resource availability scenarios from extreme dry to wet, thereby enabling water managers to efficiently and effectively respond to changing conditions. </w:t>
      </w:r>
      <w:r>
        <w:t>Delivery of water for the environment to</w:t>
      </w:r>
      <w:r w:rsidDel="00DC47CE">
        <w:t xml:space="preserve"> </w:t>
      </w:r>
      <w:r>
        <w:t>many sites and landscapes in the Murrumbidgee River Valley is scalable (i.e. increase the area, volume delivered, and number sites inundated on the floodplain), depending on the volume of water available and catchment conditions. For instance, should climatic conditions and water availability improve there may be opportunities to increase the number of sites inundated on a floodplain, including sites that require substantial volumes of water to fill.</w:t>
      </w:r>
    </w:p>
    <w:p w14:paraId="10F5F17C" w14:textId="77777777" w:rsidR="00450436" w:rsidRDefault="00450436" w:rsidP="00450436">
      <w:r>
        <w:t>In the Murrumbidgee Valley, the availability of water for the environment forecast at the beginning of 2020</w:t>
      </w:r>
      <w:r>
        <w:noBreakHyphen/>
        <w:t>21 will enable water managers to undertake environmental watering actions planned under all dry resource scenarios, including</w:t>
      </w:r>
      <w:r w:rsidDel="00DC47CE">
        <w:t xml:space="preserve"> </w:t>
      </w:r>
      <w:r>
        <w:t>very high priority action identified under a moderate resource scenario. Most of these managed environmental watering actions will initially focus on</w:t>
      </w:r>
      <w:r w:rsidDel="00DC47CE">
        <w:t xml:space="preserve"> </w:t>
      </w:r>
      <w:r>
        <w:t xml:space="preserve">maintaining key refuge habitats for waterbirds, native fish, frogs, turtles and other water dependent animals and viability of wetland vegetation in the mid-Murrumbidgee, Murrumbidgee Irrigation Area, Lowbidgee, Junction wetlands and Yanco Creek system. </w:t>
      </w:r>
      <w:r w:rsidRPr="00E738D2">
        <w:t>This includes delivery of water to Ramsar listed Fivebough and Tuckerbil Wetlands in the</w:t>
      </w:r>
      <w:r>
        <w:t xml:space="preserve"> Murrumbidgee Irrigation Area</w:t>
      </w:r>
      <w:r w:rsidRPr="00E738D2">
        <w:t xml:space="preserve"> to maintain habitat condition to support threatened waterbird species and waterbirds listed under international migratory agreements.</w:t>
      </w:r>
      <w:r>
        <w:t xml:space="preserve"> Maintaining refuge habitat with water for the environment, particularly in dry conditions, is critical for the survival of</w:t>
      </w:r>
      <w:r w:rsidRPr="00E54152">
        <w:t xml:space="preserve"> waterbirds, native fish, frogs and turtles (Wassens et al. 2019</w:t>
      </w:r>
      <w:r>
        <w:t>b</w:t>
      </w:r>
      <w:r w:rsidRPr="00E54152">
        <w:t>)</w:t>
      </w:r>
      <w:r>
        <w:t>. These actions also aim to maintain and prevent loss of threatened southern bell frog populations by supporting breeding and recruitment of these short-lived species.</w:t>
      </w:r>
    </w:p>
    <w:p w14:paraId="463DEF00" w14:textId="77777777" w:rsidR="00450436" w:rsidRDefault="00450436" w:rsidP="00450436">
      <w:r>
        <w:t>Other important wetland habitats on the Lowbidgee floodplain, such as the southern section of North Redbank, Paika Lake (Western Lakes) and Kia Lake and Swamp (Gayini Nimmie-Caira) which have not received water for the environment since a managed reconnection in 2017 or large scale natural flooding in 2016, are also targeted to maintain or improve the ecological</w:t>
      </w:r>
      <w:r w:rsidDel="00C471E5">
        <w:t xml:space="preserve"> </w:t>
      </w:r>
      <w:r>
        <w:t xml:space="preserve">condition of native vegetation communities, and provide habitat for water dependent animals. </w:t>
      </w:r>
    </w:p>
    <w:p w14:paraId="51069B61" w14:textId="77777777" w:rsidR="00450436" w:rsidRDefault="00450436" w:rsidP="00450436">
      <w:r>
        <w:t xml:space="preserve">The volume of environmental water expected to be available for use in early 2020-21 will also enable water managers to undertake a full system watering of the northern section of South Yanga (moderate resource scenario action). The primary objective of this action is to top-up Tala Creek and Lake to maintain refuge for golden perch and other native fish, including those recruited on the floodplain in 2017-18 and 2018-19 (Kopf et al. 2019; Bourke et al. 2019). It will also maintain or improve the condition of native vegetation communities and provide habitat and recruitment opportunities for water dependent animals. </w:t>
      </w:r>
    </w:p>
    <w:p w14:paraId="0583C3EA" w14:textId="77777777" w:rsidR="00450436" w:rsidRDefault="00450436" w:rsidP="00450436">
      <w:r>
        <w:t>Under moderate and wet conditions, further l</w:t>
      </w:r>
      <w:r w:rsidRPr="00AA1BAA">
        <w:t>arger scale wetland and floodplain inundation including river-floodplain connection will be targeted</w:t>
      </w:r>
      <w:r>
        <w:t xml:space="preserve"> to restore </w:t>
      </w:r>
      <w:r w:rsidRPr="00AA1BAA">
        <w:t>components of natural flow regime</w:t>
      </w:r>
      <w:r>
        <w:t xml:space="preserve">. These flows aim to disperse essential nutrients, plants and animals, and support reproduction and improve condition of native plants, waterbirds, native fish, frogs, turtles and other water dependent animals. These broader scale watering actions will help to improve the condition and resilience of important sites in the Murrumbidgee River Valley. Building resilience into the system to help sites to maintain condition and function in dry years, and to help cope with climate change. </w:t>
      </w:r>
      <w:r w:rsidRPr="00AA1BAA">
        <w:t xml:space="preserve">The scale of watering will be informed by prevailing climatic conditions and subject to water availability. River-floodplain connectivity in the lower Murrumbidgee may </w:t>
      </w:r>
      <w:r>
        <w:t xml:space="preserve">also </w:t>
      </w:r>
      <w:r w:rsidRPr="00AA1BAA">
        <w:t>be supported by in-channel flows targeting native fish movement and recruitment and in-channel productivity.</w:t>
      </w:r>
      <w:r>
        <w:t xml:space="preserve"> </w:t>
      </w:r>
    </w:p>
    <w:p w14:paraId="2AFF9C29" w14:textId="77777777" w:rsidR="00450436" w:rsidRDefault="00450436" w:rsidP="00450436">
      <w:r>
        <w:t xml:space="preserve">Note that under wet conditions, unregulated flows are likely to meet many of the Murrumbidgee River Valley’s environmental demands. However, water for the environment may be used to extend the duration </w:t>
      </w:r>
      <w:r>
        <w:lastRenderedPageBreak/>
        <w:t xml:space="preserve">of unregulated flows or undertake follow-up watering to achieve environmental watering objectives, subject to constraints and third-party impacts. </w:t>
      </w:r>
    </w:p>
    <w:p w14:paraId="2B16948E" w14:textId="77777777" w:rsidR="00450436" w:rsidRDefault="00450436" w:rsidP="00450436">
      <w:r>
        <w:t>If a</w:t>
      </w:r>
      <w:r w:rsidRPr="001D03C1">
        <w:t xml:space="preserve"> decline in water quality </w:t>
      </w:r>
      <w:r>
        <w:t xml:space="preserve">of </w:t>
      </w:r>
      <w:r w:rsidRPr="001D03C1">
        <w:t>in-stream or wetland environments across the Murrumbidgee catchment</w:t>
      </w:r>
      <w:r w:rsidRPr="006D043D">
        <w:t xml:space="preserve"> </w:t>
      </w:r>
      <w:r>
        <w:t>occurs due to</w:t>
      </w:r>
      <w:r w:rsidRPr="00AA1BAA">
        <w:t xml:space="preserve"> low inflows and dry conditions, or very wet conditions, wate</w:t>
      </w:r>
      <w:r>
        <w:t xml:space="preserve">r for the </w:t>
      </w:r>
      <w:r w:rsidRPr="00AA1BAA">
        <w:t>environment will target</w:t>
      </w:r>
      <w:r>
        <w:t xml:space="preserve"> protecting</w:t>
      </w:r>
      <w:r w:rsidRPr="00AA1BAA">
        <w:t xml:space="preserve"> refuge habitat for aquatic animals, including </w:t>
      </w:r>
      <w:r>
        <w:t xml:space="preserve">for </w:t>
      </w:r>
      <w:r w:rsidRPr="00AA1BAA">
        <w:t xml:space="preserve">native fish, subject to available allocations.   </w:t>
      </w:r>
    </w:p>
    <w:p w14:paraId="1C4DE640" w14:textId="77777777" w:rsidR="00450436" w:rsidRDefault="00450436" w:rsidP="00450436">
      <w:r w:rsidRPr="00AA1BAA">
        <w:t>A key priority for Commonwealth environmental water remains a</w:t>
      </w:r>
      <w:r>
        <w:t xml:space="preserve"> managed</w:t>
      </w:r>
      <w:r w:rsidRPr="00AA1BAA">
        <w:t xml:space="preserve"> low-level mid-Murrumbidgee wetlands reconnection action, </w:t>
      </w:r>
      <w:r>
        <w:t>which is generally in poor condition due to lack of repeated inundation</w:t>
      </w:r>
      <w:r w:rsidRPr="00AA1BAA">
        <w:t>.</w:t>
      </w:r>
      <w:r>
        <w:t xml:space="preserve"> Ideally, a low-level wetlands reconnection with the Murrumbidgee River is required annually to enable the recovery of wetland vegetation. Low-level wetlands were last inundated by the Murrumbidgee River through a managed reconnection in winter 2017. </w:t>
      </w:r>
      <w:r w:rsidRPr="00AA1BAA">
        <w:t>Based on the forecast water resource availability for 2020-21 there is insufficient environmental water holdings for this action to proceed in winter 2020. Should conditions become wetter and environmental water availability improve throughout 2020-21, a</w:t>
      </w:r>
      <w:r>
        <w:t xml:space="preserve"> managed</w:t>
      </w:r>
      <w:r w:rsidRPr="00AA1BAA">
        <w:t xml:space="preserve"> low-level reconnection may be possible in autumn-winter 202</w:t>
      </w:r>
      <w:r>
        <w:t>1 (if this priority is not met, by natural, unregulated flows)</w:t>
      </w:r>
      <w:r w:rsidRPr="00AA1BAA">
        <w:t>. The aim is to contribute to river flows and inundation of fringing wetlands to continue improvement and promote recovery of wetland vegetation communities, as well as maintain habitat and provide movement opportunities for waterbirds and native aquatic species (including fish, turtles, frogs and invertebrates). The action is subject to water availability, dam release capacities and assessment of potential third</w:t>
      </w:r>
      <w:r>
        <w:t>-</w:t>
      </w:r>
      <w:r w:rsidRPr="00AA1BAA">
        <w:t xml:space="preserve">party impacts. The watering action would also contribute to downstream demands, including Yanco Creek, the Lowbidgee </w:t>
      </w:r>
      <w:r>
        <w:t>f</w:t>
      </w:r>
      <w:r w:rsidRPr="00AA1BAA">
        <w:t>loodplain including the Junction Wetlands and potentially the lower Murray. The refinement of arrangements to provide for return flows of environmental water from the Murrumbidgee to the Murray (a “pre-requisite policy measure” in place from 1 July 2019 under the Basin Plan) will enable Commonwealth environmental water used in the Murrumbidgee River to be credited for further environmental use downstream in the River Murray.</w:t>
      </w:r>
      <w:r w:rsidRPr="006E06BD">
        <w:t xml:space="preserve"> </w:t>
      </w:r>
    </w:p>
    <w:p w14:paraId="7386F6D8" w14:textId="77777777" w:rsidR="00450436" w:rsidRPr="002638A6" w:rsidRDefault="00450436" w:rsidP="00450436">
      <w:r>
        <w:t>Should a managed reconnection not be able to proceed or if mid-Murrumbidgee wetlands are inundated by unregulated flows during 2020-21, maximising carryover volume into 2021-22 is likely to be targeted for a potential managed low-level mid-Murrumbidgee reconnection action in 2021-22.</w:t>
      </w:r>
    </w:p>
    <w:p w14:paraId="1BB8B541" w14:textId="77777777" w:rsidR="00450436" w:rsidRPr="00A41540" w:rsidRDefault="00450436" w:rsidP="00450436">
      <w:r>
        <w:t xml:space="preserve">Additional environmental demands </w:t>
      </w:r>
      <w:r w:rsidRPr="00A41540">
        <w:t>may also be identified during the water year as new information becomes available. Note, under certain levels of water availability, watering actions may not be pursued for a variety of reasons. For example</w:t>
      </w:r>
      <w:r>
        <w:t>,</w:t>
      </w:r>
      <w:r w:rsidRPr="00A41540">
        <w:t xml:space="preserve"> this may be due to the environmental demand being met by unregulated flows or the ability to deliver environmental water may be limited by constraints or infrastructure works and/or risks.</w:t>
      </w:r>
    </w:p>
    <w:p w14:paraId="180E50F6" w14:textId="77777777" w:rsidR="00450436" w:rsidRPr="00365FE2" w:rsidRDefault="00450436" w:rsidP="00450436">
      <w:r>
        <w:t>A</w:t>
      </w:r>
      <w:r w:rsidRPr="00A41540">
        <w:t>s in previous years, the use of Commonwealth</w:t>
      </w:r>
      <w:r>
        <w:t xml:space="preserve"> and NSW</w:t>
      </w:r>
      <w:r w:rsidRPr="00A41540">
        <w:t xml:space="preserve"> water for the environment </w:t>
      </w:r>
      <w:r>
        <w:t xml:space="preserve">in the Murrumbidgee River Valley </w:t>
      </w:r>
      <w:r w:rsidRPr="00A41540">
        <w:t>will be adaptively managed throughout 2020-21 in response to changing water availability, and environmental conditions and demands.</w:t>
      </w:r>
    </w:p>
    <w:p w14:paraId="7844B8BE" w14:textId="77777777" w:rsidR="00450436" w:rsidRPr="000B4649" w:rsidRDefault="00450436" w:rsidP="00450436">
      <w:pPr>
        <w:pStyle w:val="Heading3"/>
        <w:numPr>
          <w:ilvl w:val="2"/>
          <w:numId w:val="46"/>
        </w:numPr>
        <w:spacing w:after="240"/>
      </w:pPr>
      <w:r w:rsidRPr="000B4649">
        <w:t>Monitoring and Lessons learn</w:t>
      </w:r>
      <w:r>
        <w:t>ed</w:t>
      </w:r>
    </w:p>
    <w:p w14:paraId="7F7046E2" w14:textId="77777777" w:rsidR="00450436" w:rsidRPr="00A75F68" w:rsidRDefault="00450436" w:rsidP="00AF3532">
      <w:pPr>
        <w:pStyle w:val="Heading4"/>
        <w:numPr>
          <w:ilvl w:val="3"/>
          <w:numId w:val="46"/>
        </w:numPr>
        <w:spacing w:after="120"/>
        <w:ind w:left="0"/>
      </w:pPr>
      <w:r w:rsidRPr="00A75F68">
        <w:t>Monitoring</w:t>
      </w:r>
    </w:p>
    <w:p w14:paraId="115C41AB" w14:textId="77777777" w:rsidR="00450436" w:rsidRPr="00A41540" w:rsidRDefault="00450436" w:rsidP="00450436">
      <w:r w:rsidRPr="00A41540">
        <w:t xml:space="preserve">Operational monitoring is undertaken for all Commonwealth environmental watering actions and involves collecting on-ground data with regard to environmental water delivery such as volumes delivered, impact on the river systems hydrograph, area of inundation and river levels. It can also include observations of environmental outcomes. </w:t>
      </w:r>
    </w:p>
    <w:p w14:paraId="1B4FF073" w14:textId="77777777" w:rsidR="00450436" w:rsidRPr="00A41540" w:rsidRDefault="00450436" w:rsidP="00450436">
      <w:r w:rsidRPr="00A41540">
        <w:t>The Monitoring, Evaluation and Research (MER) Program (previously the Long</w:t>
      </w:r>
      <w:r>
        <w:t>-</w:t>
      </w:r>
      <w:r w:rsidRPr="00A41540">
        <w:t xml:space="preserve">Term Intervention Monitoring Project 2014-2019) has sites in the mid-Murrumbidgee Wetlands, Lowbidgee Floodplain and Murrumbidgee River as focus areas. It aims to understand the environmental response from Commonwealth environmental watering with respect to the targeted objectives by carrying out monitoring of site condition over many years. </w:t>
      </w:r>
    </w:p>
    <w:p w14:paraId="64C82F83" w14:textId="77777777" w:rsidR="00450436" w:rsidRPr="00A41540" w:rsidRDefault="00450436" w:rsidP="00450436">
      <w:r w:rsidRPr="00A41540">
        <w:t xml:space="preserve">Details of monitoring activities funded by the </w:t>
      </w:r>
      <w:r>
        <w:t>CEWO</w:t>
      </w:r>
      <w:r w:rsidRPr="00A41540">
        <w:t xml:space="preserve"> in the Murrumbidgee River Valley can be found at: </w:t>
      </w:r>
      <w:hyperlink r:id="rId267" w:history="1">
        <w:r w:rsidRPr="00A41540">
          <w:rPr>
            <w:rStyle w:val="Hyperlink"/>
          </w:rPr>
          <w:t>https://www.environment.gov.au/water/cewo/catchment/murrumbidgee/monitoring</w:t>
        </w:r>
      </w:hyperlink>
      <w:r w:rsidRPr="00A41540">
        <w:t>.</w:t>
      </w:r>
    </w:p>
    <w:p w14:paraId="6ED39638" w14:textId="77777777" w:rsidR="00450436" w:rsidRPr="00A41540" w:rsidRDefault="00450436" w:rsidP="00450436">
      <w:r w:rsidRPr="00A41540">
        <w:t xml:space="preserve">Monitoring information is also provided by state governments and The Living Murray program.  </w:t>
      </w:r>
    </w:p>
    <w:p w14:paraId="4636D62F" w14:textId="77777777" w:rsidR="00450436" w:rsidRPr="00F24369" w:rsidRDefault="00450436" w:rsidP="00450436">
      <w:pPr>
        <w:pStyle w:val="Heading4"/>
        <w:numPr>
          <w:ilvl w:val="3"/>
          <w:numId w:val="46"/>
        </w:numPr>
        <w:ind w:left="0"/>
      </w:pPr>
      <w:r w:rsidRPr="00F24369">
        <w:lastRenderedPageBreak/>
        <w:t>Lessons learn</w:t>
      </w:r>
      <w:r>
        <w:t>ed</w:t>
      </w:r>
    </w:p>
    <w:p w14:paraId="40C39C05" w14:textId="77777777" w:rsidR="00450436" w:rsidRPr="00D1079D" w:rsidRDefault="00450436" w:rsidP="00450436">
      <w:r w:rsidRPr="00D1079D">
        <w:t>Outcomes from monitoring and lessons learned in previous years are a critical component for the effective and efficient use of Commonwealth water for the environment. These learnings are incorporated into the way environmental water is managed.</w:t>
      </w:r>
    </w:p>
    <w:p w14:paraId="2B454894" w14:textId="3CCE8446" w:rsidR="00450436" w:rsidRPr="00BB3933" w:rsidRDefault="00450436" w:rsidP="00450436">
      <w:r w:rsidRPr="00D1079D">
        <w:t>Key findings</w:t>
      </w:r>
      <w:r>
        <w:t xml:space="preserve"> and recommendations from short term intervention monitoring </w:t>
      </w:r>
      <w:r w:rsidRPr="00BB3933">
        <w:t>projects (Baldwin 2019) and the five year (2014-19) Long-term intervention monitoring (Wassens et al</w:t>
      </w:r>
      <w:r>
        <w:t>.</w:t>
      </w:r>
      <w:r w:rsidRPr="00BB3933">
        <w:t xml:space="preserve"> 2020 a</w:t>
      </w:r>
      <w:r>
        <w:t xml:space="preserve"> and</w:t>
      </w:r>
      <w:r w:rsidRPr="00BB3933">
        <w:t xml:space="preserve"> b</w:t>
      </w:r>
      <w:r>
        <w:t>,</w:t>
      </w:r>
      <w:r w:rsidRPr="00BB3933">
        <w:t xml:space="preserve"> Kopf et al. 2019</w:t>
      </w:r>
      <w:r>
        <w:t>,</w:t>
      </w:r>
      <w:r w:rsidRPr="00BB3933">
        <w:t xml:space="preserve"> Wassens et al. 2019 b</w:t>
      </w:r>
      <w:r>
        <w:t xml:space="preserve"> and</w:t>
      </w:r>
      <w:r w:rsidRPr="00BB3933">
        <w:t xml:space="preserve"> c) in the Murrumbidgee River Valley is </w:t>
      </w:r>
      <w:r w:rsidRPr="00E85518">
        <w:t xml:space="preserve">summarised in </w:t>
      </w:r>
      <w:r w:rsidRPr="00E85518">
        <w:fldChar w:fldCharType="begin"/>
      </w:r>
      <w:r w:rsidRPr="00E85518">
        <w:instrText xml:space="preserve"> REF _Ref43908896 \h  \* MERGEFORMAT </w:instrText>
      </w:r>
      <w:r w:rsidRPr="00E85518">
        <w:fldChar w:fldCharType="separate"/>
      </w:r>
      <w:r w:rsidR="001B2852" w:rsidRPr="001B2852">
        <w:t xml:space="preserve">Table </w:t>
      </w:r>
      <w:r w:rsidR="001B2852" w:rsidRPr="001B2852">
        <w:rPr>
          <w:noProof/>
        </w:rPr>
        <w:t>39</w:t>
      </w:r>
      <w:r w:rsidRPr="00E85518">
        <w:fldChar w:fldCharType="end"/>
      </w:r>
      <w:r w:rsidRPr="00BB3933">
        <w:t>.</w:t>
      </w:r>
    </w:p>
    <w:p w14:paraId="1BFE2AA9" w14:textId="01CAB7E1" w:rsidR="00450436" w:rsidRPr="00D1079D" w:rsidRDefault="00450436" w:rsidP="00450436">
      <w:pPr>
        <w:spacing w:before="240"/>
      </w:pPr>
      <w:bookmarkStart w:id="164" w:name="_Ref43908896"/>
      <w:r w:rsidRPr="00E85518">
        <w:rPr>
          <w:b/>
        </w:rPr>
        <w:t xml:space="preserve">Table </w:t>
      </w:r>
      <w:r w:rsidRPr="00E85518">
        <w:rPr>
          <w:b/>
        </w:rPr>
        <w:fldChar w:fldCharType="begin"/>
      </w:r>
      <w:r w:rsidRPr="00E85518">
        <w:rPr>
          <w:b/>
        </w:rPr>
        <w:instrText xml:space="preserve"> SEQ Table \* ARABIC </w:instrText>
      </w:r>
      <w:r w:rsidRPr="00E85518">
        <w:rPr>
          <w:b/>
        </w:rPr>
        <w:fldChar w:fldCharType="separate"/>
      </w:r>
      <w:r w:rsidR="001B2852">
        <w:rPr>
          <w:b/>
          <w:noProof/>
        </w:rPr>
        <w:t>39</w:t>
      </w:r>
      <w:r w:rsidRPr="00E85518">
        <w:rPr>
          <w:b/>
        </w:rPr>
        <w:fldChar w:fldCharType="end"/>
      </w:r>
      <w:bookmarkEnd w:id="164"/>
      <w:r>
        <w:t xml:space="preserve">: </w:t>
      </w:r>
      <w:r w:rsidRPr="00BB3933">
        <w:t>Key lessons learned in the Murrumbidgee River Valley</w:t>
      </w:r>
    </w:p>
    <w:tbl>
      <w:tblPr>
        <w:tblStyle w:val="TableGrid"/>
        <w:tblW w:w="0" w:type="auto"/>
        <w:tblLook w:val="04A0" w:firstRow="1" w:lastRow="0" w:firstColumn="1" w:lastColumn="0" w:noHBand="0" w:noVBand="1"/>
      </w:tblPr>
      <w:tblGrid>
        <w:gridCol w:w="2122"/>
        <w:gridCol w:w="7648"/>
      </w:tblGrid>
      <w:tr w:rsidR="00450436" w:rsidRPr="00D1079D" w14:paraId="1E699440" w14:textId="77777777" w:rsidTr="00583873">
        <w:trPr>
          <w:cnfStyle w:val="100000000000" w:firstRow="1" w:lastRow="0" w:firstColumn="0" w:lastColumn="0" w:oddVBand="0" w:evenVBand="0" w:oddHBand="0" w:evenHBand="0" w:firstRowFirstColumn="0" w:firstRowLastColumn="0" w:lastRowFirstColumn="0" w:lastRowLastColumn="0"/>
          <w:tblHeader/>
        </w:trPr>
        <w:tc>
          <w:tcPr>
            <w:tcW w:w="2122" w:type="dxa"/>
            <w:shd w:val="clear" w:color="auto" w:fill="B6DDE8" w:themeFill="accent5" w:themeFillTint="66"/>
          </w:tcPr>
          <w:p w14:paraId="00B76785" w14:textId="77777777" w:rsidR="00450436" w:rsidRPr="009835DA" w:rsidRDefault="00450436" w:rsidP="00583873">
            <w:pPr>
              <w:rPr>
                <w:b/>
              </w:rPr>
            </w:pPr>
            <w:r w:rsidRPr="009835DA">
              <w:rPr>
                <w:b/>
              </w:rPr>
              <w:t>Theme</w:t>
            </w:r>
          </w:p>
        </w:tc>
        <w:tc>
          <w:tcPr>
            <w:tcW w:w="7648" w:type="dxa"/>
            <w:shd w:val="clear" w:color="auto" w:fill="B6DDE8" w:themeFill="accent5" w:themeFillTint="66"/>
          </w:tcPr>
          <w:p w14:paraId="170B0FCB" w14:textId="77777777" w:rsidR="00450436" w:rsidRPr="009835DA" w:rsidRDefault="00450436" w:rsidP="00583873">
            <w:pPr>
              <w:rPr>
                <w:b/>
              </w:rPr>
            </w:pPr>
            <w:r w:rsidRPr="009835DA">
              <w:rPr>
                <w:b/>
              </w:rPr>
              <w:t>Lesson learned</w:t>
            </w:r>
          </w:p>
        </w:tc>
      </w:tr>
      <w:tr w:rsidR="00450436" w:rsidRPr="00D1079D" w14:paraId="77BE9C95" w14:textId="77777777" w:rsidTr="00450436">
        <w:trPr>
          <w:cnfStyle w:val="000000100000" w:firstRow="0" w:lastRow="0" w:firstColumn="0" w:lastColumn="0" w:oddVBand="0" w:evenVBand="0" w:oddHBand="1" w:evenHBand="0" w:firstRowFirstColumn="0" w:firstRowLastColumn="0" w:lastRowFirstColumn="0" w:lastRowLastColumn="0"/>
          <w:trHeight w:val="9858"/>
        </w:trPr>
        <w:tc>
          <w:tcPr>
            <w:tcW w:w="2122" w:type="dxa"/>
            <w:shd w:val="clear" w:color="auto" w:fill="B6DDE8" w:themeFill="accent5" w:themeFillTint="66"/>
          </w:tcPr>
          <w:p w14:paraId="53690E63" w14:textId="77777777" w:rsidR="00450436" w:rsidRPr="00A24B3E" w:rsidRDefault="00450436" w:rsidP="00583873">
            <w:r w:rsidRPr="00A24B3E">
              <w:t>Native fish</w:t>
            </w:r>
          </w:p>
        </w:tc>
        <w:tc>
          <w:tcPr>
            <w:tcW w:w="7648" w:type="dxa"/>
          </w:tcPr>
          <w:p w14:paraId="0059D7D4" w14:textId="77777777" w:rsidR="00450436" w:rsidRDefault="00450436" w:rsidP="00583873">
            <w:pPr>
              <w:pStyle w:val="DotStyle1"/>
            </w:pPr>
            <w:r>
              <w:t>Spawning and recruitment of native fish species, such as golden perch, can occur from within the floodplain system. Spawning of golden perch on the floodplain can be triggered using environmental flows, as demonstrated by monitoring in 2018.</w:t>
            </w:r>
          </w:p>
          <w:p w14:paraId="11B9925F" w14:textId="77777777" w:rsidR="00450436" w:rsidRDefault="00450436" w:rsidP="00583873">
            <w:pPr>
              <w:pStyle w:val="DotStyle1"/>
            </w:pPr>
            <w:r>
              <w:rPr>
                <w:rFonts w:cs="Arial"/>
              </w:rPr>
              <w:t>Floodplain habitats may be critical for golden perch spawning, growth and recruitment,</w:t>
            </w:r>
            <w:r w:rsidRPr="00F1097C">
              <w:rPr>
                <w:rFonts w:cs="Arial"/>
              </w:rPr>
              <w:t xml:space="preserve"> </w:t>
            </w:r>
            <w:r>
              <w:rPr>
                <w:rFonts w:cs="Arial"/>
              </w:rPr>
              <w:t>and importantly provide rare refuges of high-quality habitat and productivity</w:t>
            </w:r>
            <w:r w:rsidRPr="00F1097C">
              <w:rPr>
                <w:rFonts w:cs="Arial"/>
              </w:rPr>
              <w:t xml:space="preserve"> </w:t>
            </w:r>
            <w:r>
              <w:rPr>
                <w:rFonts w:cs="Arial"/>
              </w:rPr>
              <w:t>during extreme drought conditions. Management decisions to deliver environmental water to inundate and maintain Lowbidgee floodplain habitats during spring and summer are important to maintain viable native fish populations, and to provide food and habitat for resident populations of fish, frogs and a diverse assemblage of waterbirds.</w:t>
            </w:r>
          </w:p>
          <w:p w14:paraId="1730FC64" w14:textId="77777777" w:rsidR="00450436" w:rsidRPr="006D636B" w:rsidRDefault="00450436" w:rsidP="00583873">
            <w:pPr>
              <w:pStyle w:val="DotStyle1"/>
            </w:pPr>
            <w:r>
              <w:rPr>
                <w:rFonts w:cs="Arial"/>
              </w:rPr>
              <w:t>Spawning of golden or silver perch in the Murrumbidgee River does not appear to be translating to recruitment for either of these species. As stocking of silver perch does not occur in the Murrumbidgee and golden perch stocking is thought to contribute to ~14 per cent of the golden perch population the Narrandera zone, it can be assumed that the population is comprised of wild adults that spawned and recruited locally. Poor young of year recruitment response has also been exhibited by Murray cod, with abundance of juveniles being considerably lower in 2018-19 compared with 2014-15 and 2015-16, but similar to those recorded in 2016-17. The drivers of successful recruitment, the key locations which support juveniles and the causes for the recent failures in recruitment remain unknown.</w:t>
            </w:r>
          </w:p>
          <w:p w14:paraId="4D4F3AD0" w14:textId="77777777" w:rsidR="00450436" w:rsidRDefault="00450436" w:rsidP="00583873">
            <w:pPr>
              <w:pStyle w:val="DotStyle1"/>
              <w:rPr>
                <w:rFonts w:cs="Arial"/>
              </w:rPr>
            </w:pPr>
            <w:r>
              <w:rPr>
                <w:rFonts w:cs="Arial"/>
              </w:rPr>
              <w:t xml:space="preserve">Since monitoring commenced in 2014, there has been little evidence to suggest that managing discrete flow peaks within the monitored reaches of the mid-Murrumbidgee influenced native fish spawning.  </w:t>
            </w:r>
            <w:r w:rsidRPr="00EF3C18">
              <w:rPr>
                <w:rFonts w:cs="Arial"/>
              </w:rPr>
              <w:t>This might be in part due to the already higher water flows occurring in the mid-Murrumbidgee compared to other parts of the river, with irrigation deliveries creating conditions suitable for spawning throughout the breeding season.</w:t>
            </w:r>
          </w:p>
          <w:p w14:paraId="73900938" w14:textId="77777777" w:rsidR="00450436" w:rsidRPr="007A06E7" w:rsidRDefault="00450436" w:rsidP="00583873">
            <w:pPr>
              <w:pStyle w:val="DotStyle1"/>
              <w:rPr>
                <w:rFonts w:cs="Arial"/>
              </w:rPr>
            </w:pPr>
            <w:r>
              <w:rPr>
                <w:rFonts w:cs="Arial"/>
              </w:rPr>
              <w:t>Wetland native fish species diversity was highest in wetlands that have an area of permanent water, including Avalon swamp, Telephone Creek and Waugorah Lagoon.</w:t>
            </w:r>
          </w:p>
        </w:tc>
      </w:tr>
      <w:tr w:rsidR="00450436" w:rsidRPr="00D1079D" w14:paraId="2AE18D75" w14:textId="77777777" w:rsidTr="00583873">
        <w:trPr>
          <w:cnfStyle w:val="000000010000" w:firstRow="0" w:lastRow="0" w:firstColumn="0" w:lastColumn="0" w:oddVBand="0" w:evenVBand="0" w:oddHBand="0" w:evenHBand="1" w:firstRowFirstColumn="0" w:firstRowLastColumn="0" w:lastRowFirstColumn="0" w:lastRowLastColumn="0"/>
        </w:trPr>
        <w:tc>
          <w:tcPr>
            <w:tcW w:w="2122" w:type="dxa"/>
            <w:shd w:val="clear" w:color="auto" w:fill="B6DDE8" w:themeFill="accent5" w:themeFillTint="66"/>
          </w:tcPr>
          <w:p w14:paraId="6689E80D" w14:textId="77777777" w:rsidR="00450436" w:rsidRPr="00A24B3E" w:rsidRDefault="00450436" w:rsidP="00583873">
            <w:r w:rsidRPr="00A24B3E">
              <w:t>Frogs</w:t>
            </w:r>
          </w:p>
        </w:tc>
        <w:tc>
          <w:tcPr>
            <w:tcW w:w="7648" w:type="dxa"/>
          </w:tcPr>
          <w:p w14:paraId="53983887" w14:textId="77777777" w:rsidR="00450436" w:rsidRPr="006D636B" w:rsidRDefault="00450436" w:rsidP="00583873">
            <w:pPr>
              <w:pStyle w:val="DotStyle1"/>
            </w:pPr>
            <w:r>
              <w:t xml:space="preserve">Breeding of many frog species, including the southern bell frog (EPBC Act vulnerable), is triggered by rising water levels in wetlands during October and November. </w:t>
            </w:r>
            <w:r w:rsidRPr="006D636B">
              <w:rPr>
                <w:rFonts w:cs="Arial"/>
              </w:rPr>
              <w:t>Therefore, watering actions in early spring are important to enhance frog breeding activity and recruitment.</w:t>
            </w:r>
          </w:p>
          <w:p w14:paraId="11BD6BE9" w14:textId="77777777" w:rsidR="00450436" w:rsidRPr="00D1079D" w:rsidRDefault="00450436" w:rsidP="00583873">
            <w:pPr>
              <w:pStyle w:val="DotStyle1"/>
            </w:pPr>
            <w:r>
              <w:rPr>
                <w:rFonts w:cs="Arial"/>
              </w:rPr>
              <w:lastRenderedPageBreak/>
              <w:t>Southern bell frog numbers, particularly in the Lowbidgee wetlands, have increased steadily in response to environmental water actions over the Murrumbidgee Selected Area since monitoring commenced.</w:t>
            </w:r>
            <w:r w:rsidRPr="00CD7B29">
              <w:rPr>
                <w:rFonts w:cs="Arial"/>
              </w:rPr>
              <w:t xml:space="preserve"> </w:t>
            </w:r>
            <w:r>
              <w:rPr>
                <w:rFonts w:cs="Arial"/>
              </w:rPr>
              <w:t>Nap Nap and Eulimbah swamps are key refuge habitats for the threatened southern bell frog and maintaining these sites is important for the long-term recovery of this species.</w:t>
            </w:r>
          </w:p>
        </w:tc>
      </w:tr>
      <w:tr w:rsidR="00450436" w:rsidRPr="00D1079D" w14:paraId="39DE3169" w14:textId="77777777" w:rsidTr="00583873">
        <w:trPr>
          <w:cnfStyle w:val="000000100000" w:firstRow="0" w:lastRow="0" w:firstColumn="0" w:lastColumn="0" w:oddVBand="0" w:evenVBand="0" w:oddHBand="1" w:evenHBand="0" w:firstRowFirstColumn="0" w:firstRowLastColumn="0" w:lastRowFirstColumn="0" w:lastRowLastColumn="0"/>
        </w:trPr>
        <w:tc>
          <w:tcPr>
            <w:tcW w:w="2122" w:type="dxa"/>
            <w:shd w:val="clear" w:color="auto" w:fill="B6DDE8" w:themeFill="accent5" w:themeFillTint="66"/>
          </w:tcPr>
          <w:p w14:paraId="29FC83BE" w14:textId="77777777" w:rsidR="00450436" w:rsidRPr="00A24B3E" w:rsidRDefault="00450436" w:rsidP="00583873">
            <w:r w:rsidRPr="00A24B3E">
              <w:lastRenderedPageBreak/>
              <w:t>Turtles</w:t>
            </w:r>
          </w:p>
        </w:tc>
        <w:tc>
          <w:tcPr>
            <w:tcW w:w="7648" w:type="dxa"/>
          </w:tcPr>
          <w:p w14:paraId="5756D961" w14:textId="77777777" w:rsidR="00450436" w:rsidRDefault="00450436" w:rsidP="00583873">
            <w:pPr>
              <w:pStyle w:val="DotStyle1"/>
            </w:pPr>
            <w:r>
              <w:rPr>
                <w:rFonts w:cs="Arial"/>
              </w:rPr>
              <w:t>Maintaining</w:t>
            </w:r>
            <w:r w:rsidRPr="00E54EEC">
              <w:rPr>
                <w:rFonts w:cs="Arial"/>
              </w:rPr>
              <w:t xml:space="preserve"> the availability of permanent water holes</w:t>
            </w:r>
            <w:r>
              <w:rPr>
                <w:rFonts w:cs="Arial"/>
              </w:rPr>
              <w:t xml:space="preserve">, particularly </w:t>
            </w:r>
            <w:r w:rsidRPr="00E54EEC">
              <w:rPr>
                <w:rFonts w:cs="Arial"/>
              </w:rPr>
              <w:t>at Telephone Creek and Wagourah Lagoon, is important</w:t>
            </w:r>
            <w:r w:rsidRPr="00E54EEC" w:rsidDel="00001F37">
              <w:rPr>
                <w:rFonts w:cs="Arial"/>
              </w:rPr>
              <w:t xml:space="preserve"> </w:t>
            </w:r>
            <w:r>
              <w:rPr>
                <w:rFonts w:cs="Arial"/>
              </w:rPr>
              <w:t>to</w:t>
            </w:r>
            <w:r w:rsidRPr="00E54EEC">
              <w:rPr>
                <w:rFonts w:cs="Arial"/>
              </w:rPr>
              <w:t xml:space="preserve"> support high turtle</w:t>
            </w:r>
            <w:r>
              <w:rPr>
                <w:rFonts w:cs="Arial"/>
              </w:rPr>
              <w:t xml:space="preserve"> numbers</w:t>
            </w:r>
            <w:r w:rsidRPr="00E54EEC">
              <w:rPr>
                <w:rFonts w:cs="Arial"/>
              </w:rPr>
              <w:t>.</w:t>
            </w:r>
          </w:p>
        </w:tc>
      </w:tr>
      <w:tr w:rsidR="00450436" w:rsidRPr="00D1079D" w14:paraId="44C504FF" w14:textId="77777777" w:rsidTr="00583873">
        <w:trPr>
          <w:cnfStyle w:val="000000010000" w:firstRow="0" w:lastRow="0" w:firstColumn="0" w:lastColumn="0" w:oddVBand="0" w:evenVBand="0" w:oddHBand="0" w:evenHBand="1" w:firstRowFirstColumn="0" w:firstRowLastColumn="0" w:lastRowFirstColumn="0" w:lastRowLastColumn="0"/>
        </w:trPr>
        <w:tc>
          <w:tcPr>
            <w:tcW w:w="2122" w:type="dxa"/>
            <w:shd w:val="clear" w:color="auto" w:fill="B6DDE8" w:themeFill="accent5" w:themeFillTint="66"/>
          </w:tcPr>
          <w:p w14:paraId="1C1A5473" w14:textId="77777777" w:rsidR="00450436" w:rsidRPr="00A24B3E" w:rsidRDefault="00450436" w:rsidP="00583873">
            <w:r w:rsidRPr="00A24B3E">
              <w:t>Waterbirds</w:t>
            </w:r>
          </w:p>
        </w:tc>
        <w:tc>
          <w:tcPr>
            <w:tcW w:w="7648" w:type="dxa"/>
          </w:tcPr>
          <w:p w14:paraId="3926884F" w14:textId="77777777" w:rsidR="00450436" w:rsidRPr="00A24B3E" w:rsidRDefault="00450436" w:rsidP="00583873">
            <w:pPr>
              <w:pStyle w:val="DotStyle1"/>
            </w:pPr>
            <w:r>
              <w:rPr>
                <w:rFonts w:cs="Arial"/>
              </w:rPr>
              <w:t>H</w:t>
            </w:r>
            <w:r w:rsidRPr="00E9480F">
              <w:rPr>
                <w:rFonts w:cs="Arial"/>
              </w:rPr>
              <w:t xml:space="preserve">igher waterbird species richness and abundance </w:t>
            </w:r>
            <w:r>
              <w:rPr>
                <w:rFonts w:cs="Arial"/>
              </w:rPr>
              <w:t>has been</w:t>
            </w:r>
            <w:r w:rsidRPr="00E9480F">
              <w:rPr>
                <w:rFonts w:cs="Arial"/>
              </w:rPr>
              <w:t xml:space="preserve"> observed </w:t>
            </w:r>
            <w:r>
              <w:rPr>
                <w:rFonts w:cs="Arial"/>
              </w:rPr>
              <w:t xml:space="preserve">at </w:t>
            </w:r>
            <w:r w:rsidRPr="00E9480F">
              <w:rPr>
                <w:rFonts w:cs="Arial"/>
              </w:rPr>
              <w:t xml:space="preserve">sites that were inundated </w:t>
            </w:r>
            <w:r>
              <w:rPr>
                <w:rFonts w:cs="Arial"/>
              </w:rPr>
              <w:t xml:space="preserve">by water for the environment </w:t>
            </w:r>
            <w:r w:rsidRPr="00E9480F">
              <w:rPr>
                <w:rFonts w:cs="Arial"/>
              </w:rPr>
              <w:t>in the</w:t>
            </w:r>
            <w:r>
              <w:rPr>
                <w:rFonts w:cs="Arial"/>
              </w:rPr>
              <w:t xml:space="preserve"> last</w:t>
            </w:r>
            <w:r w:rsidRPr="00E9480F">
              <w:rPr>
                <w:rFonts w:cs="Arial"/>
              </w:rPr>
              <w:t xml:space="preserve"> five years compared to wetlands that were dry for extended periods.</w:t>
            </w:r>
          </w:p>
          <w:p w14:paraId="164811F3" w14:textId="77777777" w:rsidR="00450436" w:rsidRDefault="00450436" w:rsidP="00583873">
            <w:pPr>
              <w:pStyle w:val="DotStyle1"/>
            </w:pPr>
            <w:r>
              <w:t xml:space="preserve">Where possible, Commonwealth environmental water should be prioritised to provide annual seasonally-inundated habitat (spring-summer) for waterbirds in the Lowbidgee floodplain and mid-Murrumbidgee wetlands. </w:t>
            </w:r>
          </w:p>
          <w:p w14:paraId="65E5432F" w14:textId="77777777" w:rsidR="00450436" w:rsidRDefault="00450436" w:rsidP="00583873">
            <w:pPr>
              <w:pStyle w:val="DotStyle1"/>
            </w:pPr>
            <w:r>
              <w:t xml:space="preserve">Most waterbirds commence breeding in spring, however, the stimuli for breeding is usually a combination of season, rainfall and flooding. </w:t>
            </w:r>
          </w:p>
          <w:p w14:paraId="274F4CD9" w14:textId="77777777" w:rsidR="00450436" w:rsidRDefault="00450436" w:rsidP="00583873">
            <w:pPr>
              <w:pStyle w:val="DotStyle1"/>
            </w:pPr>
            <w:r>
              <w:t>When breeding occurs, water levels in active sites need to be maintained into summer months to ensure the successful fledging of young birds.</w:t>
            </w:r>
          </w:p>
          <w:p w14:paraId="2843F474" w14:textId="77777777" w:rsidR="00450436" w:rsidRDefault="00450436" w:rsidP="00583873">
            <w:pPr>
              <w:pStyle w:val="DotStyle1"/>
            </w:pPr>
            <w:r>
              <w:t>In the years following large-sale flooding events, provision of environmental water is likely to be extremely important in creating feeding habitat to support survival of young birds.</w:t>
            </w:r>
          </w:p>
          <w:p w14:paraId="5205D4E4" w14:textId="77777777" w:rsidR="00450436" w:rsidRPr="00D1079D" w:rsidRDefault="00450436" w:rsidP="00583873">
            <w:pPr>
              <w:pStyle w:val="DotStyle1"/>
            </w:pPr>
            <w:r>
              <w:t>When there is limited natural overbank flooding, inundating floodplain habitat to create foraging habitat would benefit waterbird populations in the Murray-Darling Basin by promoting the survival of juvenile and adult waterbirds.</w:t>
            </w:r>
          </w:p>
        </w:tc>
      </w:tr>
      <w:tr w:rsidR="00450436" w:rsidRPr="00D1079D" w14:paraId="39C3F64C" w14:textId="77777777" w:rsidTr="00583873">
        <w:trPr>
          <w:cnfStyle w:val="000000100000" w:firstRow="0" w:lastRow="0" w:firstColumn="0" w:lastColumn="0" w:oddVBand="0" w:evenVBand="0" w:oddHBand="1" w:evenHBand="0" w:firstRowFirstColumn="0" w:firstRowLastColumn="0" w:lastRowFirstColumn="0" w:lastRowLastColumn="0"/>
        </w:trPr>
        <w:tc>
          <w:tcPr>
            <w:tcW w:w="2122" w:type="dxa"/>
            <w:shd w:val="clear" w:color="auto" w:fill="B6DDE8" w:themeFill="accent5" w:themeFillTint="66"/>
          </w:tcPr>
          <w:p w14:paraId="555D8021" w14:textId="77777777" w:rsidR="00450436" w:rsidRPr="00A24B3E" w:rsidRDefault="00450436" w:rsidP="00583873">
            <w:r w:rsidRPr="00A24B3E">
              <w:t>Vegetation</w:t>
            </w:r>
          </w:p>
        </w:tc>
        <w:tc>
          <w:tcPr>
            <w:tcW w:w="7648" w:type="dxa"/>
          </w:tcPr>
          <w:p w14:paraId="7F09557D" w14:textId="77777777" w:rsidR="00450436" w:rsidRDefault="00450436" w:rsidP="00583873">
            <w:pPr>
              <w:pStyle w:val="DotStyle1"/>
            </w:pPr>
            <w:r w:rsidRPr="00FA6574">
              <w:t>Despite the wide range of hydrological regimes and geomorphologies of wetlands in the Murrumbidgee, there is a clear trend that wetlands which have received environmental water more frequently over the past five years support higher species richness of water dependent vegetation species and lower numbers of exotic species.</w:t>
            </w:r>
          </w:p>
          <w:p w14:paraId="2421A502" w14:textId="77777777" w:rsidR="00450436" w:rsidRPr="00D1079D" w:rsidRDefault="00450436" w:rsidP="00583873">
            <w:pPr>
              <w:pStyle w:val="DotStyle1"/>
            </w:pPr>
            <w:r w:rsidRPr="006D636B">
              <w:t xml:space="preserve">River red gum encroachment remains a concern in the mid-Murrumbidgee wetlands, particularly at McKennas Lagoon. Given the current level of river red gum at this and other wetlands, mechanical removal coupled with repeat inundation over several years may be required for restoration. </w:t>
            </w:r>
          </w:p>
        </w:tc>
      </w:tr>
      <w:tr w:rsidR="00450436" w:rsidRPr="00D1079D" w14:paraId="02915B3F" w14:textId="77777777" w:rsidTr="00583873">
        <w:trPr>
          <w:cnfStyle w:val="000000010000" w:firstRow="0" w:lastRow="0" w:firstColumn="0" w:lastColumn="0" w:oddVBand="0" w:evenVBand="0" w:oddHBand="0" w:evenHBand="1" w:firstRowFirstColumn="0" w:firstRowLastColumn="0" w:lastRowFirstColumn="0" w:lastRowLastColumn="0"/>
        </w:trPr>
        <w:tc>
          <w:tcPr>
            <w:tcW w:w="2122" w:type="dxa"/>
            <w:shd w:val="clear" w:color="auto" w:fill="B6DDE8" w:themeFill="accent5" w:themeFillTint="66"/>
          </w:tcPr>
          <w:p w14:paraId="2DCCA0C5" w14:textId="77777777" w:rsidR="00450436" w:rsidRPr="00A24B3E" w:rsidRDefault="00450436" w:rsidP="00583873">
            <w:r w:rsidRPr="00A24B3E">
              <w:t>Micr</w:t>
            </w:r>
            <w:r>
              <w:t>o</w:t>
            </w:r>
            <w:r w:rsidRPr="00A24B3E">
              <w:t>invertebrate</w:t>
            </w:r>
            <w:r>
              <w:t>s</w:t>
            </w:r>
          </w:p>
        </w:tc>
        <w:tc>
          <w:tcPr>
            <w:tcW w:w="7648" w:type="dxa"/>
          </w:tcPr>
          <w:p w14:paraId="1E407345" w14:textId="77777777" w:rsidR="00450436" w:rsidRDefault="00450436" w:rsidP="00583873">
            <w:pPr>
              <w:pStyle w:val="DotStyle1"/>
              <w:rPr>
                <w:rFonts w:cs="Arial"/>
              </w:rPr>
            </w:pPr>
            <w:r>
              <w:rPr>
                <w:rFonts w:cs="Arial"/>
              </w:rPr>
              <w:t>Higher river levels and cooler temperatures in the Narrandera zone may impact the development of a productive and diverse microinvertebrate community. Environmental flows that inundate dried sediments without creating stable high flows or colder water temperature may be important for maintaining high levels or riverine microinvertebrate density.</w:t>
            </w:r>
          </w:p>
          <w:p w14:paraId="2992DF68" w14:textId="77777777" w:rsidR="00450436" w:rsidRPr="007A06E7" w:rsidRDefault="00450436" w:rsidP="00583873">
            <w:pPr>
              <w:pStyle w:val="DotStyle1"/>
              <w:rPr>
                <w:rFonts w:cs="Arial"/>
              </w:rPr>
            </w:pPr>
            <w:r w:rsidRPr="00BB16CB">
              <w:rPr>
                <w:rFonts w:cs="Arial"/>
              </w:rPr>
              <w:t>Watering actions that allow key wetlands to drawn down and temporarily dry out will contribute to maintaining microinvertebrate densities.</w:t>
            </w:r>
          </w:p>
        </w:tc>
      </w:tr>
      <w:tr w:rsidR="00450436" w:rsidRPr="00D1079D" w14:paraId="571427C6" w14:textId="77777777" w:rsidTr="00583873">
        <w:trPr>
          <w:cnfStyle w:val="000000100000" w:firstRow="0" w:lastRow="0" w:firstColumn="0" w:lastColumn="0" w:oddVBand="0" w:evenVBand="0" w:oddHBand="1" w:evenHBand="0" w:firstRowFirstColumn="0" w:firstRowLastColumn="0" w:lastRowFirstColumn="0" w:lastRowLastColumn="0"/>
        </w:trPr>
        <w:tc>
          <w:tcPr>
            <w:tcW w:w="2122" w:type="dxa"/>
            <w:shd w:val="clear" w:color="auto" w:fill="B6DDE8" w:themeFill="accent5" w:themeFillTint="66"/>
          </w:tcPr>
          <w:p w14:paraId="1D6637C9" w14:textId="77777777" w:rsidR="00450436" w:rsidRDefault="00450436" w:rsidP="00583873">
            <w:r>
              <w:t>Processes</w:t>
            </w:r>
          </w:p>
          <w:p w14:paraId="7576E0D4" w14:textId="77777777" w:rsidR="00450436" w:rsidRPr="00A24B3E" w:rsidRDefault="00450436" w:rsidP="00583873">
            <w:r w:rsidRPr="00A24B3E">
              <w:t>Connectivity</w:t>
            </w:r>
          </w:p>
        </w:tc>
        <w:tc>
          <w:tcPr>
            <w:tcW w:w="7648" w:type="dxa"/>
          </w:tcPr>
          <w:p w14:paraId="6C9C0871" w14:textId="77777777" w:rsidR="00450436" w:rsidRDefault="00450436" w:rsidP="00583873">
            <w:pPr>
              <w:pStyle w:val="DotStyle1"/>
              <w:rPr>
                <w:rFonts w:cs="Arial"/>
              </w:rPr>
            </w:pPr>
            <w:r>
              <w:rPr>
                <w:rFonts w:cs="Arial"/>
              </w:rPr>
              <w:t xml:space="preserve">Rates of metabolism have remained relatively stable over the past five years despite considerable variability in flow volume. There seems to be little capacity for Commonwealth environmental water to have a significant influence on the rates of stream metabolism and nutrient availability via manipulation of water levels in the Murrumbidgee River within existing </w:t>
            </w:r>
            <w:r>
              <w:rPr>
                <w:rFonts w:cs="Arial"/>
              </w:rPr>
              <w:lastRenderedPageBreak/>
              <w:t>capacity constraints under normal flow conditions. However, previous work has shown that managed return flows do have the capacity to influence riverine nutrient availability at local scales, as was the case of the Redbank return flows undertaken in 2014-15.</w:t>
            </w:r>
          </w:p>
          <w:p w14:paraId="38FCD8C1" w14:textId="77777777" w:rsidR="00450436" w:rsidRDefault="00450436" w:rsidP="00583873">
            <w:pPr>
              <w:pStyle w:val="DotStyle1"/>
              <w:rPr>
                <w:rFonts w:cs="Arial"/>
              </w:rPr>
            </w:pPr>
            <w:r>
              <w:t>Broad-scale wetland reconnections and periods of low flow are necessary to promote resources for river food webs. Future planning of watering actions that allow for wetland reconnections either via managed return flows or by generating peaks in river height may assist with the mobilisation of carbon and nutrients from the floodplain to the river.</w:t>
            </w:r>
          </w:p>
        </w:tc>
      </w:tr>
      <w:tr w:rsidR="00450436" w:rsidRPr="00D1079D" w14:paraId="6EE9275A" w14:textId="77777777" w:rsidTr="00583873">
        <w:trPr>
          <w:cnfStyle w:val="000000010000" w:firstRow="0" w:lastRow="0" w:firstColumn="0" w:lastColumn="0" w:oddVBand="0" w:evenVBand="0" w:oddHBand="0" w:evenHBand="1" w:firstRowFirstColumn="0" w:firstRowLastColumn="0" w:lastRowFirstColumn="0" w:lastRowLastColumn="0"/>
        </w:trPr>
        <w:tc>
          <w:tcPr>
            <w:tcW w:w="2122" w:type="dxa"/>
            <w:shd w:val="clear" w:color="auto" w:fill="B6DDE8" w:themeFill="accent5" w:themeFillTint="66"/>
          </w:tcPr>
          <w:p w14:paraId="3B46B198" w14:textId="77777777" w:rsidR="00450436" w:rsidRPr="00A24B3E" w:rsidRDefault="00450436" w:rsidP="00583873">
            <w:r w:rsidRPr="00A24B3E">
              <w:lastRenderedPageBreak/>
              <w:t>Water Quality</w:t>
            </w:r>
          </w:p>
        </w:tc>
        <w:tc>
          <w:tcPr>
            <w:tcW w:w="7648" w:type="dxa"/>
          </w:tcPr>
          <w:p w14:paraId="2217E5D1" w14:textId="77777777" w:rsidR="00450436" w:rsidRPr="00A24B3E" w:rsidRDefault="00450436" w:rsidP="00583873">
            <w:pPr>
              <w:pStyle w:val="DotStyle1"/>
              <w:rPr>
                <w:rFonts w:cs="Arial"/>
              </w:rPr>
            </w:pPr>
            <w:r>
              <w:t xml:space="preserve">Monitoring of weir pool stratification (the establishment of a thermocline, with warmer, oxygenated water above and cooler, low dissolved oxygen below) and hypoxic water management in the Lower Murrumbidgee River in 2019 showed that high temperatures and low flow conditions have the potential to adversely affect water quality. Mixing of the hypoxic bottom water with oxygenated surface water can result in low dissolved oxygen concentrations throughout the water column thereby potentially causing fish kills. </w:t>
            </w:r>
            <w:r w:rsidRPr="0005421C">
              <w:rPr>
                <w:rFonts w:cs="Arial"/>
              </w:rPr>
              <w:t xml:space="preserve">Water quality can be improved and fish kills mitigated against by: </w:t>
            </w:r>
          </w:p>
          <w:p w14:paraId="09D8555A" w14:textId="77777777" w:rsidR="00450436" w:rsidRPr="0005421C" w:rsidRDefault="00450436" w:rsidP="00583873">
            <w:pPr>
              <w:pStyle w:val="DotStyle2"/>
            </w:pPr>
            <w:r w:rsidRPr="0005421C">
              <w:t xml:space="preserve">steadily increasing in-channel flows and gradually releasing hypoxic water from weirs, and </w:t>
            </w:r>
          </w:p>
          <w:p w14:paraId="4B4F09AE" w14:textId="77777777" w:rsidR="00450436" w:rsidRDefault="00450436" w:rsidP="00583873">
            <w:pPr>
              <w:pStyle w:val="DotStyle2"/>
            </w:pPr>
            <w:r w:rsidRPr="0005421C">
              <w:t>exporting hypoxic water from weirs onto the floodplain using existing regulators</w:t>
            </w:r>
            <w:r>
              <w:t>.</w:t>
            </w:r>
          </w:p>
          <w:p w14:paraId="32332397" w14:textId="77777777" w:rsidR="00450436" w:rsidRDefault="00450436" w:rsidP="00583873">
            <w:pPr>
              <w:pStyle w:val="DotStyle1"/>
            </w:pPr>
            <w:r>
              <w:t xml:space="preserve">In the absence of Inter Valley Transfers during Summer, target end-of-system flow rates </w:t>
            </w:r>
            <w:r w:rsidRPr="005038B2">
              <w:t xml:space="preserve">alone </w:t>
            </w:r>
            <w:r>
              <w:t>(under the Murrumbidgee Water Sharing Plan) are inadequate to maintain acceptable water quality thresholds for aquatic biota under extreme climatic conditions</w:t>
            </w:r>
          </w:p>
        </w:tc>
      </w:tr>
      <w:tr w:rsidR="00450436" w:rsidRPr="00D1079D" w14:paraId="36210819" w14:textId="77777777" w:rsidTr="00583873">
        <w:trPr>
          <w:cnfStyle w:val="000000100000" w:firstRow="0" w:lastRow="0" w:firstColumn="0" w:lastColumn="0" w:oddVBand="0" w:evenVBand="0" w:oddHBand="1" w:evenHBand="0" w:firstRowFirstColumn="0" w:firstRowLastColumn="0" w:lastRowFirstColumn="0" w:lastRowLastColumn="0"/>
        </w:trPr>
        <w:tc>
          <w:tcPr>
            <w:tcW w:w="2122" w:type="dxa"/>
            <w:shd w:val="clear" w:color="auto" w:fill="B6DDE8" w:themeFill="accent5" w:themeFillTint="66"/>
          </w:tcPr>
          <w:p w14:paraId="01979D30" w14:textId="77777777" w:rsidR="00450436" w:rsidRPr="00A24B3E" w:rsidRDefault="00450436" w:rsidP="00583873">
            <w:r>
              <w:t>Hydrology</w:t>
            </w:r>
          </w:p>
        </w:tc>
        <w:tc>
          <w:tcPr>
            <w:tcW w:w="7648" w:type="dxa"/>
          </w:tcPr>
          <w:p w14:paraId="3075E6B9" w14:textId="77777777" w:rsidR="00450436" w:rsidRDefault="00450436" w:rsidP="00583873">
            <w:pPr>
              <w:pStyle w:val="DotStyle1"/>
            </w:pPr>
            <w:r>
              <w:t>Water for the environment</w:t>
            </w:r>
            <w:r w:rsidRPr="00BB16CB">
              <w:t xml:space="preserve"> is the primary driver of ecological responses for water dependent species in the mid and lower Murrumbidgee floodplains. Maintaining core permanent refuge habitats and providing foraging opportunities for resident species should be a priority in all water years</w:t>
            </w:r>
            <w:r>
              <w:t>. In years of moderate and high water availability, inundation</w:t>
            </w:r>
            <w:r w:rsidRPr="00BB16CB">
              <w:t xml:space="preserve"> of larger</w:t>
            </w:r>
            <w:r>
              <w:t>,</w:t>
            </w:r>
            <w:r w:rsidRPr="00BB16CB">
              <w:t xml:space="preserve"> continuous areas of floodplain habitats that support breeding opportunities should continue to be a priority</w:t>
            </w:r>
            <w:r>
              <w:t>.</w:t>
            </w:r>
          </w:p>
        </w:tc>
      </w:tr>
      <w:tr w:rsidR="00450436" w:rsidRPr="00D1079D" w14:paraId="3F5943B1" w14:textId="77777777" w:rsidTr="00583873">
        <w:trPr>
          <w:cnfStyle w:val="000000010000" w:firstRow="0" w:lastRow="0" w:firstColumn="0" w:lastColumn="0" w:oddVBand="0" w:evenVBand="0" w:oddHBand="0" w:evenHBand="1" w:firstRowFirstColumn="0" w:firstRowLastColumn="0" w:lastRowFirstColumn="0" w:lastRowLastColumn="0"/>
        </w:trPr>
        <w:tc>
          <w:tcPr>
            <w:tcW w:w="2122" w:type="dxa"/>
            <w:shd w:val="clear" w:color="auto" w:fill="B6DDE8" w:themeFill="accent5" w:themeFillTint="66"/>
          </w:tcPr>
          <w:p w14:paraId="2C40719A" w14:textId="77777777" w:rsidR="00450436" w:rsidRPr="00A24B3E" w:rsidRDefault="00450436" w:rsidP="00583873">
            <w:r w:rsidRPr="00A24B3E">
              <w:t>Operational</w:t>
            </w:r>
          </w:p>
        </w:tc>
        <w:tc>
          <w:tcPr>
            <w:tcW w:w="7648" w:type="dxa"/>
          </w:tcPr>
          <w:p w14:paraId="3F52D9E4" w14:textId="77777777" w:rsidR="00450436" w:rsidRDefault="00450436" w:rsidP="00583873">
            <w:pPr>
              <w:pStyle w:val="DotStyle1"/>
            </w:pPr>
            <w:r>
              <w:t xml:space="preserve">During the delivery of water for the environment in Gayini Nimmie-Caira in 2019-20, it was identified that a section of the newly constructed water delivery infrastructure was unable to deliver flows at the expected rate modelled. As a result, the duration of flows needs to be extended (due to lower flow rates) to reach and inundate targeted sites downstream of this point. This will be considered when planning future deliveries using this infrastructure. </w:t>
            </w:r>
          </w:p>
          <w:p w14:paraId="687DDB77" w14:textId="77777777" w:rsidR="00450436" w:rsidRDefault="00450436" w:rsidP="00583873">
            <w:pPr>
              <w:pStyle w:val="DotStyle1"/>
            </w:pPr>
            <w:r>
              <w:t xml:space="preserve">Removal of carp from a wetland prior to pumping, </w:t>
            </w:r>
            <w:r>
              <w:rPr>
                <w:rFonts w:cs="Arial"/>
              </w:rPr>
              <w:t>either through physical removal and/or short-term drying of the wetland, have shown to have positive benefits for frogs and vegetation. It is recommended that this management intervention be implemented when carp numbers increase and declines in vegetation and tadpole diversity become apparent.</w:t>
            </w:r>
          </w:p>
        </w:tc>
      </w:tr>
    </w:tbl>
    <w:p w14:paraId="6DC898CE" w14:textId="77777777" w:rsidR="00450436" w:rsidRDefault="00450436" w:rsidP="00450436">
      <w:pPr>
        <w:spacing w:after="0"/>
        <w:rPr>
          <w:rFonts w:ascii="Century Gothic" w:hAnsi="Century Gothic" w:cs="Times New Roman"/>
          <w:color w:val="auto"/>
          <w:sz w:val="20"/>
          <w:lang w:val="en-US" w:eastAsia="en-US"/>
        </w:rPr>
      </w:pPr>
      <w:r>
        <w:rPr>
          <w:rFonts w:ascii="Century Gothic" w:hAnsi="Century Gothic"/>
        </w:rPr>
        <w:br w:type="page"/>
      </w:r>
    </w:p>
    <w:p w14:paraId="439B0129" w14:textId="77777777" w:rsidR="00450436" w:rsidRPr="00764C2A" w:rsidRDefault="00450436" w:rsidP="00450436">
      <w:pPr>
        <w:pStyle w:val="Heading3"/>
        <w:numPr>
          <w:ilvl w:val="2"/>
          <w:numId w:val="46"/>
        </w:numPr>
        <w:spacing w:after="240"/>
      </w:pPr>
      <w:r w:rsidRPr="00D1079D">
        <w:lastRenderedPageBreak/>
        <w:t>Bibliography</w:t>
      </w:r>
    </w:p>
    <w:p w14:paraId="2C885225" w14:textId="77777777" w:rsidR="00450436" w:rsidRDefault="00450436" w:rsidP="00450436">
      <w:r>
        <w:t xml:space="preserve">Alluvium (2013). </w:t>
      </w:r>
      <w:r w:rsidRPr="008F49E7">
        <w:rPr>
          <w:i/>
          <w:iCs/>
        </w:rPr>
        <w:t>Yanco Creek system environmental flow study (final report)</w:t>
      </w:r>
      <w:r>
        <w:t>, report prepared by Alluvium Consulting Australia for State Water, Leeton NSW.</w:t>
      </w:r>
    </w:p>
    <w:p w14:paraId="04C41D87" w14:textId="77777777" w:rsidR="00450436" w:rsidRDefault="00450436" w:rsidP="00450436">
      <w:r>
        <w:t xml:space="preserve">Bureau of Meterology (BOM) (2020) Climate and Past Weather [online] available: </w:t>
      </w:r>
      <w:hyperlink r:id="rId268" w:history="1">
        <w:r>
          <w:rPr>
            <w:rStyle w:val="Hyperlink"/>
          </w:rPr>
          <w:t>http://www.bom.gov.au/climate/</w:t>
        </w:r>
      </w:hyperlink>
      <w:r>
        <w:t xml:space="preserve"> Accessed 15 May 2020.</w:t>
      </w:r>
    </w:p>
    <w:p w14:paraId="72AD6D7A" w14:textId="77777777" w:rsidR="00450436" w:rsidRDefault="00450436" w:rsidP="00450436">
      <w:r>
        <w:t xml:space="preserve">Baldwin, DS (2019). </w:t>
      </w:r>
      <w:r w:rsidRPr="008B54EB">
        <w:rPr>
          <w:i/>
          <w:iCs/>
        </w:rPr>
        <w:t>Weir stratification and hypoxic water management - Murrumbidgee River 2019</w:t>
      </w:r>
      <w:r>
        <w:t>. A report prepared for the Commonwealth Environmental Water Office and the Murray-Darling Basin Authority. 45 pp.</w:t>
      </w:r>
    </w:p>
    <w:p w14:paraId="024DCC52" w14:textId="77777777" w:rsidR="00450436" w:rsidRDefault="00450436" w:rsidP="00450436">
      <w:r>
        <w:t>Bourke, G., Wassen, S. and Michael, D. (2019).</w:t>
      </w:r>
      <w:r w:rsidRPr="001E227B">
        <w:t xml:space="preserve"> </w:t>
      </w:r>
      <w:r w:rsidRPr="008F49E7">
        <w:rPr>
          <w:i/>
          <w:iCs/>
        </w:rPr>
        <w:t>Murrumbidgee Monitoring Evaluation and Research Program, ecological responses to Commonwealth environmental water, Field report. Number 2, December 2019</w:t>
      </w:r>
      <w:r w:rsidRPr="00D67863">
        <w:t>. Charles Sturt University, Institute for Land, Water and Society. Prepared for the Commonwealth Environmental Water Office.</w:t>
      </w:r>
    </w:p>
    <w:p w14:paraId="7DA427F3" w14:textId="77777777" w:rsidR="00450436" w:rsidRDefault="00450436" w:rsidP="00450436">
      <w:r w:rsidRPr="00D67863">
        <w:t xml:space="preserve">Bourke, G., </w:t>
      </w:r>
      <w:r>
        <w:t>Wassens, S. and Bruni, J. (2020</w:t>
      </w:r>
      <w:r w:rsidRPr="00D67863">
        <w:t xml:space="preserve">). </w:t>
      </w:r>
      <w:r w:rsidRPr="008F49E7">
        <w:rPr>
          <w:i/>
          <w:iCs/>
        </w:rPr>
        <w:t>Murrumbidgee Monitoring Evaluation and Research Program, ecological responses to Commonwealth environmental water, Field report. Number 3, January 2020</w:t>
      </w:r>
      <w:r w:rsidRPr="00D67863">
        <w:t xml:space="preserve">. Charles Sturt University, Institute for Land, Water and Society. Prepared for the Commonwealth Environmental Water Office. </w:t>
      </w:r>
    </w:p>
    <w:p w14:paraId="1D9D7E08" w14:textId="77777777" w:rsidR="00450436" w:rsidRPr="00D67863" w:rsidRDefault="00450436" w:rsidP="00450436">
      <w:r>
        <w:t>Bruni, J., Bourke, G. and</w:t>
      </w:r>
      <w:r w:rsidRPr="00D67863">
        <w:t xml:space="preserve"> </w:t>
      </w:r>
      <w:r>
        <w:t>Wassens, S. (2020</w:t>
      </w:r>
      <w:r w:rsidRPr="00D67863">
        <w:t xml:space="preserve">). </w:t>
      </w:r>
      <w:r w:rsidRPr="008F49E7">
        <w:rPr>
          <w:i/>
          <w:iCs/>
        </w:rPr>
        <w:t>Murrumbidgee Monitoring Evaluation and Research Program, ecological responses to Commonwealth environmental water, Field report. Number 4, March 2020</w:t>
      </w:r>
      <w:r w:rsidRPr="00D67863">
        <w:t xml:space="preserve">. Charles Sturt University, Institute for Land, Water and Society. Prepared for the Commonwealth Environmental Water Office. </w:t>
      </w:r>
    </w:p>
    <w:p w14:paraId="3DF8C0EA" w14:textId="77777777" w:rsidR="00450436" w:rsidRDefault="00450436" w:rsidP="00450436">
      <w:r>
        <w:t xml:space="preserve">Charles Sturt University (CSU) (2020). </w:t>
      </w:r>
      <w:r w:rsidRPr="008F49E7">
        <w:rPr>
          <w:i/>
          <w:iCs/>
        </w:rPr>
        <w:t>The Bidgee Bulletin, Qua</w:t>
      </w:r>
      <w:r>
        <w:rPr>
          <w:i/>
          <w:iCs/>
        </w:rPr>
        <w:t>r</w:t>
      </w:r>
      <w:r w:rsidRPr="008F49E7">
        <w:rPr>
          <w:i/>
          <w:iCs/>
        </w:rPr>
        <w:t>terly Newsletter of the Murrumbidgee Monitoring Program, March 2020, Issue 3</w:t>
      </w:r>
      <w:r>
        <w:t xml:space="preserve">. </w:t>
      </w:r>
      <w:r w:rsidRPr="00D67863">
        <w:t>Charles Sturt University, Institute for Land, Water and Society. Prepared for the Commonwealth Environmental Water Office.</w:t>
      </w:r>
    </w:p>
    <w:p w14:paraId="0B0D99D7" w14:textId="77777777" w:rsidR="00450436" w:rsidRDefault="00450436" w:rsidP="00450436">
      <w:r>
        <w:t xml:space="preserve">CSIRO (2008). </w:t>
      </w:r>
      <w:r w:rsidRPr="008F49E7">
        <w:rPr>
          <w:i/>
          <w:iCs/>
        </w:rPr>
        <w:t>Water availability in the Murrumbidgee. A report to the Australian Government from the CSIRO Murray-Darling Basin Sustainable Yields Project</w:t>
      </w:r>
      <w:r>
        <w:t>. CSIRO, Australia.</w:t>
      </w:r>
    </w:p>
    <w:p w14:paraId="23D395DD" w14:textId="77777777" w:rsidR="00450436" w:rsidRDefault="00450436" w:rsidP="00450436">
      <w:r>
        <w:t>CSIRO, Canberra (2020). Waterbird breeding and movements: Knowledge for water managers [online]. https://research.csiro.au/ewkrwaterbirds/. Accessed 19 May 2020</w:t>
      </w:r>
    </w:p>
    <w:p w14:paraId="07290113" w14:textId="77777777" w:rsidR="00450436" w:rsidRDefault="00450436" w:rsidP="00450436">
      <w:r>
        <w:t>Davies PE, Harris</w:t>
      </w:r>
      <w:r w:rsidRPr="00761204">
        <w:t xml:space="preserve"> </w:t>
      </w:r>
      <w:r>
        <w:t xml:space="preserve">JH, Hillman TJ and Walker KF (2008). </w:t>
      </w:r>
      <w:r w:rsidRPr="00761204">
        <w:rPr>
          <w:i/>
          <w:iCs/>
        </w:rPr>
        <w:t>SRA Report 1: A Report on the Ecological Health of Rivers in the Murray–Darling Basin, 2004–2007</w:t>
      </w:r>
      <w:r>
        <w:t>. Prepared by the Independent Sustainable Rivers Audit Group for the Murray– Darling Basin Ministerial Council.</w:t>
      </w:r>
    </w:p>
    <w:p w14:paraId="4B1AFBCF" w14:textId="77777777" w:rsidR="00450436" w:rsidRDefault="00450436" w:rsidP="00450436">
      <w:r>
        <w:t xml:space="preserve">Environment Australia (2001). </w:t>
      </w:r>
      <w:r w:rsidRPr="008F49E7">
        <w:rPr>
          <w:i/>
          <w:iCs/>
        </w:rPr>
        <w:t>A directory of important wetlands in Australia</w:t>
      </w:r>
      <w:r>
        <w:t>, 3</w:t>
      </w:r>
      <w:r w:rsidRPr="008E471F">
        <w:rPr>
          <w:vertAlign w:val="superscript"/>
        </w:rPr>
        <w:t>rd</w:t>
      </w:r>
      <w:r>
        <w:t xml:space="preserve"> edition. Environment Australia, Canberra.</w:t>
      </w:r>
    </w:p>
    <w:p w14:paraId="653B2018" w14:textId="77777777" w:rsidR="00450436" w:rsidRDefault="00450436" w:rsidP="00450436">
      <w:r>
        <w:t xml:space="preserve">Frazier, P., Page, K., and Read, A. (2005) </w:t>
      </w:r>
      <w:r w:rsidRPr="00D86C58">
        <w:rPr>
          <w:i/>
          <w:iCs/>
        </w:rPr>
        <w:t>Effects of flow regulation in flow regime on the Murrumbidgee River, South Eastern Australia: an assessment using a daily estimation hydrological model</w:t>
      </w:r>
      <w:r>
        <w:t>. Australian Geographer 36(3), 301-314.</w:t>
      </w:r>
    </w:p>
    <w:p w14:paraId="284B2824" w14:textId="77777777" w:rsidR="00450436" w:rsidRDefault="00450436" w:rsidP="00450436">
      <w:r w:rsidRPr="00534D34">
        <w:t>Green D</w:t>
      </w:r>
      <w:r>
        <w:t>.</w:t>
      </w:r>
      <w:r w:rsidRPr="00534D34">
        <w:t>, Petrovic J</w:t>
      </w:r>
      <w:r>
        <w:t>.</w:t>
      </w:r>
      <w:r w:rsidRPr="00534D34">
        <w:t>, Moss P</w:t>
      </w:r>
      <w:r>
        <w:t>.</w:t>
      </w:r>
      <w:r w:rsidRPr="00534D34">
        <w:t>, Burrell M</w:t>
      </w:r>
      <w:r>
        <w:t>.</w:t>
      </w:r>
      <w:r w:rsidRPr="00534D34">
        <w:t xml:space="preserve"> (2011). </w:t>
      </w:r>
      <w:r w:rsidRPr="008F49E7">
        <w:rPr>
          <w:i/>
          <w:iCs/>
        </w:rPr>
        <w:t>Water resources and management overview: Murrumbidgee catchment</w:t>
      </w:r>
      <w:r w:rsidRPr="00534D34">
        <w:t>, NSW Office of Water, Sydney</w:t>
      </w:r>
    </w:p>
    <w:p w14:paraId="664FA460" w14:textId="77777777" w:rsidR="00450436" w:rsidRDefault="00450436" w:rsidP="00450436">
      <w:r>
        <w:t xml:space="preserve">Hardwick L and Maguire J (2012). </w:t>
      </w:r>
      <w:r w:rsidRPr="00C62FDD">
        <w:rPr>
          <w:i/>
          <w:iCs/>
        </w:rPr>
        <w:t>Environmental water needs of the Lower Murrumbidgee (Lowbidgee) floodplain</w:t>
      </w:r>
      <w:r>
        <w:t xml:space="preserve">: </w:t>
      </w:r>
      <w:r w:rsidRPr="00777407">
        <w:rPr>
          <w:i/>
          <w:iCs/>
        </w:rPr>
        <w:t>Discussion Paper 1 – Approach and ecological considerations</w:t>
      </w:r>
      <w:r>
        <w:t>. NSW Department of Primary Industries.</w:t>
      </w:r>
    </w:p>
    <w:p w14:paraId="1861D2AA" w14:textId="77777777" w:rsidR="00450436" w:rsidRDefault="00450436" w:rsidP="00450436">
      <w:r w:rsidRPr="00534D34">
        <w:t xml:space="preserve">Kingsford R T and Thomas R F (2001). </w:t>
      </w:r>
      <w:r w:rsidRPr="008F49E7">
        <w:rPr>
          <w:i/>
          <w:iCs/>
        </w:rPr>
        <w:t>Changing water regimes and wetland habitat on the Lower Murrumbidgee floodplain of the Murrumbidgee River in arid Australia</w:t>
      </w:r>
      <w:r w:rsidRPr="00534D34">
        <w:t>. Report to Environment Australia, April 2001.</w:t>
      </w:r>
    </w:p>
    <w:p w14:paraId="7BDB8AC9" w14:textId="77777777" w:rsidR="00450436" w:rsidRDefault="00450436" w:rsidP="00450436">
      <w:r w:rsidRPr="008B54EB">
        <w:t>Kopf R.K., Wassens S., McPhan L., Dyer J., Maguire J., Spencer J., Amos C., Kopf S., Whiterod N.</w:t>
      </w:r>
      <w:r>
        <w:t xml:space="preserve"> </w:t>
      </w:r>
      <w:r w:rsidRPr="008B54EB">
        <w:t>(2019).</w:t>
      </w:r>
      <w:r>
        <w:rPr>
          <w:rFonts w:ascii="Arial" w:hAnsi="Arial" w:cs="Arial"/>
          <w:color w:val="333333"/>
          <w:sz w:val="18"/>
          <w:szCs w:val="18"/>
        </w:rPr>
        <w:t xml:space="preserve"> </w:t>
      </w:r>
      <w:r w:rsidRPr="008B54EB">
        <w:rPr>
          <w:i/>
          <w:iCs/>
        </w:rPr>
        <w:t>Native and invasive fish dispersal, spawning and trophic dynamics during a managed river floodplain connection</w:t>
      </w:r>
      <w:r>
        <w:t>. Report prepared for the Commonwealth Environmental Water Office. Murrumbidgee Selected Area Final report, pp 1-49.</w:t>
      </w:r>
    </w:p>
    <w:p w14:paraId="306848B7" w14:textId="77777777" w:rsidR="00450436" w:rsidRDefault="00450436" w:rsidP="00450436">
      <w:r w:rsidRPr="0052444A">
        <w:lastRenderedPageBreak/>
        <w:t xml:space="preserve">Murray-Darling Basin Authority (MDBA) (2012a). </w:t>
      </w:r>
      <w:r w:rsidRPr="008F49E7">
        <w:rPr>
          <w:i/>
          <w:iCs/>
        </w:rPr>
        <w:t>Assessment of environmental water requirements for the proposed Basin Plan: Mid-Murrumbidgee River Wetlands</w:t>
      </w:r>
      <w:r>
        <w:t xml:space="preserve">. Murray-Darling Basin Authority. Online available: </w:t>
      </w:r>
      <w:hyperlink r:id="rId269" w:history="1">
        <w:r w:rsidRPr="004F3CF1">
          <w:rPr>
            <w:rStyle w:val="Hyperlink"/>
          </w:rPr>
          <w:t>https://www.mdba.gov.au/sites/default/files/archived/proposed/EWR-Mid-Murrumbidgee-River-Wetlands-v2.pdf</w:t>
        </w:r>
      </w:hyperlink>
      <w:r w:rsidRPr="0052444A">
        <w:t xml:space="preserve"> </w:t>
      </w:r>
    </w:p>
    <w:p w14:paraId="2BBA6C86" w14:textId="77777777" w:rsidR="00450436" w:rsidRDefault="00450436" w:rsidP="00450436">
      <w:r w:rsidRPr="0052444A">
        <w:t xml:space="preserve">Murray-Darling Basin Authority (MDBA) (2012b). </w:t>
      </w:r>
      <w:r w:rsidRPr="008F49E7">
        <w:rPr>
          <w:i/>
          <w:iCs/>
        </w:rPr>
        <w:t>Assessment of environmental water requirements for the proposed Basin Plan: Lower Murrumbidgee River Floodplain</w:t>
      </w:r>
      <w:r>
        <w:t xml:space="preserve">. Murray-Darling Basin Authority. Online available:  </w:t>
      </w:r>
      <w:hyperlink r:id="rId270" w:history="1">
        <w:r w:rsidRPr="004F3CF1">
          <w:rPr>
            <w:rStyle w:val="Hyperlink"/>
          </w:rPr>
          <w:t>https://www.mdba.gov.au/sites/default/files/archived/proposed/EWR-Lower-Murrumbidgee-River-Floodplain.pdf</w:t>
        </w:r>
      </w:hyperlink>
    </w:p>
    <w:p w14:paraId="29E21491" w14:textId="77777777" w:rsidR="00450436" w:rsidRDefault="00450436" w:rsidP="00450436">
      <w:r w:rsidRPr="0052444A">
        <w:t>Murray-Darling Basin Authority (MDBA) (2019). People, industry and water use [online] available:</w:t>
      </w:r>
      <w:r>
        <w:t xml:space="preserve"> </w:t>
      </w:r>
      <w:hyperlink r:id="rId271" w:history="1">
        <w:r w:rsidRPr="006437A6">
          <w:rPr>
            <w:rStyle w:val="Hyperlink"/>
          </w:rPr>
          <w:t>https://www.mdba.gov.au/discover-basin/catchments/murrumbidgee</w:t>
        </w:r>
      </w:hyperlink>
      <w:r>
        <w:t>.  Accessed 15 May 2020.</w:t>
      </w:r>
    </w:p>
    <w:p w14:paraId="613BC7E1" w14:textId="77777777" w:rsidR="00450436" w:rsidRPr="00AE1276" w:rsidRDefault="00450436" w:rsidP="00450436">
      <w:pPr>
        <w:rPr>
          <w:rFonts w:cstheme="minorHAnsi"/>
          <w:bCs/>
          <w:szCs w:val="22"/>
        </w:rPr>
      </w:pPr>
      <w:r w:rsidRPr="00AE1276">
        <w:rPr>
          <w:rFonts w:cstheme="minorHAnsi"/>
          <w:bCs/>
          <w:szCs w:val="22"/>
        </w:rPr>
        <w:t>Murray Lower Darling Rivers Indigenous Nations (MLDRIN) (2020).</w:t>
      </w:r>
      <w:r w:rsidRPr="00AE1276">
        <w:rPr>
          <w:bCs/>
        </w:rPr>
        <w:t xml:space="preserve"> </w:t>
      </w:r>
      <w:r w:rsidRPr="00AE1276">
        <w:rPr>
          <w:rFonts w:cstheme="minorHAnsi"/>
          <w:bCs/>
          <w:i/>
          <w:iCs/>
          <w:szCs w:val="22"/>
        </w:rPr>
        <w:t xml:space="preserve">First Nations Environmental Water Guidance Project. MLDRIN Member Nations 2020‐21 Priorities. </w:t>
      </w:r>
      <w:r w:rsidRPr="00AE1276">
        <w:rPr>
          <w:rFonts w:cstheme="minorHAnsi"/>
          <w:bCs/>
          <w:szCs w:val="22"/>
        </w:rPr>
        <w:t>Report provided to Commonwealth Environmental Water Office.</w:t>
      </w:r>
    </w:p>
    <w:p w14:paraId="4D6FEE56" w14:textId="77777777" w:rsidR="00450436" w:rsidRDefault="00450436" w:rsidP="00450436">
      <w:r>
        <w:t xml:space="preserve">Murray, Patricia A (2008). </w:t>
      </w:r>
      <w:r w:rsidRPr="008F49E7">
        <w:rPr>
          <w:i/>
          <w:iCs/>
        </w:rPr>
        <w:t>Murrumbidgee wetlands Resource Book</w:t>
      </w:r>
      <w:r>
        <w:t>. Murrumbidgee Catchment Management Authority, State of New South Wales.</w:t>
      </w:r>
    </w:p>
    <w:p w14:paraId="5A172CC9" w14:textId="77777777" w:rsidR="00450436" w:rsidRDefault="00450436" w:rsidP="00450436">
      <w:r>
        <w:t xml:space="preserve">Murrumbidgee Catchment Management Authority (CMA) (2008). </w:t>
      </w:r>
      <w:r w:rsidRPr="008F49E7">
        <w:rPr>
          <w:i/>
          <w:iCs/>
        </w:rPr>
        <w:t>Lower Murrumbidgee Floodplain Natural Resource Management Plan</w:t>
      </w:r>
      <w:r>
        <w:t>. Murrumbidgee Catchment Management Authority. State of New South Wales.</w:t>
      </w:r>
    </w:p>
    <w:p w14:paraId="461E092A" w14:textId="77777777" w:rsidR="00450436" w:rsidRDefault="00450436" w:rsidP="00450436">
      <w:r>
        <w:t xml:space="preserve">NSW Department of Planning, Industry and Environment (DPIE) (2020a). </w:t>
      </w:r>
      <w:r w:rsidRPr="000E1159">
        <w:rPr>
          <w:i/>
          <w:iCs/>
        </w:rPr>
        <w:t>Water Allocation Statement – Murrumbidgee Valley</w:t>
      </w:r>
      <w:r w:rsidRPr="007779F0">
        <w:t>. [online] available:</w:t>
      </w:r>
      <w:r>
        <w:t xml:space="preserve"> </w:t>
      </w:r>
      <w:hyperlink r:id="rId272" w:history="1">
        <w:r w:rsidRPr="000D4A9C">
          <w:rPr>
            <w:rStyle w:val="Hyperlink"/>
          </w:rPr>
          <w:t xml:space="preserve">https://www.industry.nsw.gov.au/__data/assets/pdf_file/0018/301392/WAS-Murrumbidgee-202000515.pdf </w:t>
        </w:r>
      </w:hyperlink>
    </w:p>
    <w:p w14:paraId="09526A8D" w14:textId="77777777" w:rsidR="00450436" w:rsidRPr="000E1159" w:rsidRDefault="00450436" w:rsidP="00450436">
      <w:pPr>
        <w:rPr>
          <w:rFonts w:cs="Times New Roman"/>
          <w:color w:val="0000FF"/>
          <w:u w:val="single"/>
        </w:rPr>
      </w:pPr>
      <w:r>
        <w:t xml:space="preserve">NSW Department of Planning, Industry and Environment (DPIE) (2020b). </w:t>
      </w:r>
      <w:r w:rsidRPr="000E1159">
        <w:rPr>
          <w:i/>
          <w:iCs/>
        </w:rPr>
        <w:t>Water Allocation Statement – NSW Regulated River Water Sources</w:t>
      </w:r>
      <w:r>
        <w:rPr>
          <w:i/>
          <w:iCs/>
        </w:rPr>
        <w:t>, Opening water allocations 2020-21</w:t>
      </w:r>
      <w:r w:rsidRPr="007779F0">
        <w:t>. [online] available:</w:t>
      </w:r>
      <w:r>
        <w:t xml:space="preserve"> </w:t>
      </w:r>
      <w:hyperlink r:id="rId273" w:history="1">
        <w:r>
          <w:rPr>
            <w:rStyle w:val="Hyperlink"/>
          </w:rPr>
          <w:t>https://www.industry.nsw.gov.au/__data/assets/pdf_file/0012/313032/WAS-Regulated-Rivers-20200701.pdf</w:t>
        </w:r>
      </w:hyperlink>
      <w:r>
        <w:rPr>
          <w:rStyle w:val="Hyperlink"/>
        </w:rPr>
        <w:t xml:space="preserve"> </w:t>
      </w:r>
    </w:p>
    <w:p w14:paraId="39CE51FB" w14:textId="77777777" w:rsidR="00450436" w:rsidRDefault="00450436" w:rsidP="00450436">
      <w:r>
        <w:t xml:space="preserve">NSW Office of Environment and Heritage (OEH) (2019a). </w:t>
      </w:r>
      <w:r w:rsidRPr="008F49E7">
        <w:rPr>
          <w:i/>
          <w:iCs/>
        </w:rPr>
        <w:t>Murrumbidgee Long Term Water Plan Part A: Murrumbidgee catchment</w:t>
      </w:r>
      <w:r>
        <w:t xml:space="preserve">. </w:t>
      </w:r>
      <w:r w:rsidRPr="00EE1874">
        <w:rPr>
          <w:i/>
          <w:iCs/>
        </w:rPr>
        <w:t>Draft for Exhibition</w:t>
      </w:r>
      <w:r>
        <w:t xml:space="preserve">. </w:t>
      </w:r>
      <w:hyperlink r:id="rId274" w:history="1">
        <w:r w:rsidRPr="00FB2EB2">
          <w:rPr>
            <w:rStyle w:val="Hyperlink"/>
          </w:rPr>
          <w:t>https://www.environment.nsw.gov.au/-/media/OEH/Corporate-Site/Documents/Water/Water-for-the-environment/murrumbidgee-long-term-water-plan-part-a-190152.pdf</w:t>
        </w:r>
      </w:hyperlink>
    </w:p>
    <w:p w14:paraId="3B2BCAD9" w14:textId="77777777" w:rsidR="00450436" w:rsidRDefault="00450436" w:rsidP="00450436">
      <w:r>
        <w:t xml:space="preserve">NSW Office of Environment and Heritage (OEH) (2019b). </w:t>
      </w:r>
      <w:r w:rsidRPr="008F49E7">
        <w:rPr>
          <w:i/>
          <w:iCs/>
        </w:rPr>
        <w:t xml:space="preserve">Murrumbidgee Long Term Water Plan Part </w:t>
      </w:r>
      <w:r>
        <w:rPr>
          <w:i/>
          <w:iCs/>
        </w:rPr>
        <w:t>B</w:t>
      </w:r>
      <w:r w:rsidRPr="008F49E7">
        <w:rPr>
          <w:i/>
          <w:iCs/>
        </w:rPr>
        <w:t xml:space="preserve">: Murrumbidgee </w:t>
      </w:r>
      <w:r>
        <w:rPr>
          <w:i/>
          <w:iCs/>
        </w:rPr>
        <w:t>planning units</w:t>
      </w:r>
      <w:r>
        <w:t xml:space="preserve">. </w:t>
      </w:r>
      <w:r w:rsidRPr="00EE1874">
        <w:rPr>
          <w:i/>
          <w:iCs/>
        </w:rPr>
        <w:t>Draft for Exhibition</w:t>
      </w:r>
      <w:r>
        <w:t xml:space="preserve">. </w:t>
      </w:r>
      <w:hyperlink r:id="rId275" w:history="1">
        <w:r w:rsidRPr="00FB2EB2">
          <w:rPr>
            <w:rStyle w:val="Hyperlink"/>
          </w:rPr>
          <w:t>https://www.environment.nsw.gov.au/-/media/OEH/Corporate-Site/Documents/Water/Water-for-the-environment/murrumbidgee-long-term-water-plan-part-b-190218.pdf</w:t>
        </w:r>
      </w:hyperlink>
    </w:p>
    <w:p w14:paraId="1A11B74F" w14:textId="77777777" w:rsidR="00450436" w:rsidRDefault="00450436" w:rsidP="00450436">
      <w:r>
        <w:t xml:space="preserve">NSW Office of Environment and Heritage (OEH) (2012). </w:t>
      </w:r>
      <w:r w:rsidRPr="008F49E7">
        <w:rPr>
          <w:i/>
          <w:iCs/>
        </w:rPr>
        <w:t>Murrumbidgee River Valley Annual Environmental Watering Plan 2012-13</w:t>
      </w:r>
      <w:r>
        <w:t>. NSW Office of Environment and Heritage, Sydney.</w:t>
      </w:r>
    </w:p>
    <w:p w14:paraId="34B20853" w14:textId="77777777" w:rsidR="00450436" w:rsidRDefault="00450436" w:rsidP="00450436">
      <w:r>
        <w:t xml:space="preserve">Roberts J and Marston F (2011). </w:t>
      </w:r>
      <w:r w:rsidRPr="00C62FDD">
        <w:rPr>
          <w:i/>
          <w:iCs/>
        </w:rPr>
        <w:t>Water regime for wetlands and floodplain plants: A source book for the Murray-Darling Basin</w:t>
      </w:r>
      <w:r>
        <w:t>. National Water Commission, Canberra.</w:t>
      </w:r>
    </w:p>
    <w:p w14:paraId="2CF61B97" w14:textId="77777777" w:rsidR="00450436" w:rsidRDefault="00450436" w:rsidP="00450436">
      <w:r w:rsidRPr="00534D34">
        <w:t>Sinclair Knight Merz</w:t>
      </w:r>
      <w:r>
        <w:t xml:space="preserve"> (SKM)</w:t>
      </w:r>
      <w:r w:rsidRPr="00534D34">
        <w:t xml:space="preserve"> (2011). </w:t>
      </w:r>
      <w:r w:rsidRPr="008F49E7">
        <w:rPr>
          <w:i/>
          <w:iCs/>
        </w:rPr>
        <w:t>Environmental Water Delivery: Murrumbidgee Valley</w:t>
      </w:r>
      <w:r w:rsidRPr="00534D34">
        <w:t>. Prepared for Commonwealth Department of the Environment, Canberra.</w:t>
      </w:r>
      <w:r>
        <w:t xml:space="preserve"> </w:t>
      </w:r>
      <w:hyperlink r:id="rId276" w:history="1">
        <w:r w:rsidRPr="004F3CF1">
          <w:rPr>
            <w:rStyle w:val="Hyperlink"/>
          </w:rPr>
          <w:t>http://www.environment.gov.au/resource/environmental-water-delivery-murrumbidgee-valley</w:t>
        </w:r>
      </w:hyperlink>
    </w:p>
    <w:p w14:paraId="788D359C" w14:textId="77777777" w:rsidR="00450436" w:rsidRDefault="00450436" w:rsidP="00450436">
      <w:pPr>
        <w:rPr>
          <w:bCs/>
        </w:rPr>
      </w:pPr>
      <w:r w:rsidRPr="00F05D00">
        <w:rPr>
          <w:bCs/>
        </w:rPr>
        <w:t xml:space="preserve">Wassens, S., Michael, D., Spencer, J., Thiem, J., Thomas, R., Kobayashi, T, Jenkins, K., Wolfenden, B., Hall, A., </w:t>
      </w:r>
      <w:r>
        <w:rPr>
          <w:bCs/>
        </w:rPr>
        <w:t>Bourke, G.</w:t>
      </w:r>
      <w:r w:rsidRPr="00F05D00">
        <w:rPr>
          <w:bCs/>
        </w:rPr>
        <w:t>, Bino, G., Davis, T., Heath, J.,</w:t>
      </w:r>
      <w:r w:rsidRPr="00F05D00">
        <w:t xml:space="preserve"> Kuo, W.</w:t>
      </w:r>
      <w:r>
        <w:t xml:space="preserve">, </w:t>
      </w:r>
      <w:r w:rsidRPr="00F05D00">
        <w:t>Amos, C.</w:t>
      </w:r>
      <w:r w:rsidRPr="00F05D00">
        <w:rPr>
          <w:bCs/>
          <w:vertAlign w:val="superscript"/>
        </w:rPr>
        <w:t xml:space="preserve"> </w:t>
      </w:r>
      <w:r>
        <w:rPr>
          <w:bCs/>
        </w:rPr>
        <w:t>and Brandis, K. (2020a).</w:t>
      </w:r>
      <w:bookmarkStart w:id="165" w:name="_Toc353887378"/>
      <w:bookmarkStart w:id="166" w:name="_Toc370738692"/>
      <w:r w:rsidRPr="00CD71E2">
        <w:rPr>
          <w:b/>
        </w:rPr>
        <w:t xml:space="preserve"> </w:t>
      </w:r>
      <w:r w:rsidRPr="008F49E7">
        <w:rPr>
          <w:bCs/>
          <w:i/>
          <w:iCs/>
        </w:rPr>
        <w:t xml:space="preserve">Commonwealth Environmental Water Office Long-Term Intervention Monitoring project Murrumbidgee River system Selected Area Technical </w:t>
      </w:r>
      <w:r>
        <w:rPr>
          <w:bCs/>
          <w:i/>
          <w:iCs/>
        </w:rPr>
        <w:t>R</w:t>
      </w:r>
      <w:r w:rsidRPr="008F49E7">
        <w:rPr>
          <w:bCs/>
          <w:i/>
          <w:iCs/>
        </w:rPr>
        <w:t>eport, 2014-1</w:t>
      </w:r>
      <w:bookmarkEnd w:id="165"/>
      <w:bookmarkEnd w:id="166"/>
      <w:r w:rsidRPr="008F49E7">
        <w:rPr>
          <w:bCs/>
          <w:i/>
          <w:iCs/>
        </w:rPr>
        <w:t>9</w:t>
      </w:r>
      <w:r>
        <w:rPr>
          <w:bCs/>
        </w:rPr>
        <w:t>, Commonwealth of Australia 2020</w:t>
      </w:r>
      <w:r w:rsidRPr="00CD71E2">
        <w:rPr>
          <w:bCs/>
        </w:rPr>
        <w:t>.</w:t>
      </w:r>
    </w:p>
    <w:p w14:paraId="5C4EA5FE" w14:textId="77777777" w:rsidR="00450436" w:rsidRDefault="00450436" w:rsidP="00450436">
      <w:pPr>
        <w:rPr>
          <w:bCs/>
        </w:rPr>
      </w:pPr>
      <w:r w:rsidRPr="00D83777">
        <w:rPr>
          <w:bCs/>
        </w:rPr>
        <w:t>Wassens, S., Michael, D , Spencer, J., Thiem, J., Thomas, R., Kobayashi, T, Wolfenden, B., Jenkins, K., Amos, C.,  Hall, A., Bourke, G., Bino, G., Davis, T., Heath and J., Kuo, W. (2020b)</w:t>
      </w:r>
      <w:r>
        <w:rPr>
          <w:bCs/>
        </w:rPr>
        <w:t>.</w:t>
      </w:r>
      <w:r>
        <w:rPr>
          <w:sz w:val="20"/>
        </w:rPr>
        <w:t xml:space="preserve"> </w:t>
      </w:r>
      <w:r w:rsidRPr="008B54EB">
        <w:rPr>
          <w:bCs/>
          <w:i/>
          <w:iCs/>
        </w:rPr>
        <w:t>Commonwealth Environmental Water Office Long-Term Intervention Monitoring Project Murrumbidgee River System Selected Area Summary Report 2014-19.</w:t>
      </w:r>
      <w:r w:rsidRPr="008B54EB">
        <w:rPr>
          <w:bCs/>
        </w:rPr>
        <w:t xml:space="preserve"> </w:t>
      </w:r>
      <w:r>
        <w:rPr>
          <w:bCs/>
        </w:rPr>
        <w:t>Commonwealth of Australia 2020</w:t>
      </w:r>
    </w:p>
    <w:p w14:paraId="5042F915" w14:textId="77777777" w:rsidR="00450436" w:rsidRDefault="00450436" w:rsidP="00450436">
      <w:r>
        <w:lastRenderedPageBreak/>
        <w:t xml:space="preserve">Wassens, S., Michael, D.R., Spencer, J., Thiem, J., Kobayashi, T., Bino, G., Thomas, R., Brandis, K., Hall, A and Amos, C. (2019a). </w:t>
      </w:r>
      <w:r w:rsidRPr="0080522E">
        <w:rPr>
          <w:i/>
          <w:iCs/>
        </w:rPr>
        <w:t>Murrumbidgee</w:t>
      </w:r>
      <w:r>
        <w:rPr>
          <w:i/>
          <w:iCs/>
        </w:rPr>
        <w:t xml:space="preserve"> Selected Area</w:t>
      </w:r>
      <w:r w:rsidRPr="0080522E">
        <w:rPr>
          <w:i/>
          <w:iCs/>
        </w:rPr>
        <w:t xml:space="preserve"> Monitoring, Evaluation and Research Plan</w:t>
      </w:r>
      <w:r>
        <w:t>. Commonwealth of Australia, 2019.</w:t>
      </w:r>
    </w:p>
    <w:p w14:paraId="345A857A" w14:textId="77777777" w:rsidR="00450436" w:rsidRDefault="00450436" w:rsidP="00450436">
      <w:r>
        <w:t xml:space="preserve">Wassens S, Spencer J, Wolfenden B, Thiem J, Thomas R, Jenkins K, Hall A, Ocock J, Kobayashi T, Bino G, Davis T, Heath J, Kuo W, Amos C and Michael D (2019b). </w:t>
      </w:r>
      <w:r w:rsidRPr="008F49E7">
        <w:rPr>
          <w:i/>
          <w:iCs/>
        </w:rPr>
        <w:t>Commonwealth Environmental Water Office Long-term Intervention Monitoring Project Murrumbidgee River System Selected Area Summary Report 2014-18</w:t>
      </w:r>
      <w:r>
        <w:t xml:space="preserve">, Commonwealth of Australia, 2019. </w:t>
      </w:r>
    </w:p>
    <w:p w14:paraId="0FBF73E9" w14:textId="77777777" w:rsidR="00450436" w:rsidRDefault="00450436" w:rsidP="00450436">
      <w:pPr>
        <w:rPr>
          <w:bCs/>
        </w:rPr>
      </w:pPr>
      <w:r>
        <w:t xml:space="preserve">Wassens S, Spencer J, Wolfenden B, Thiem J, Thomas R, Jenkins K, Hall A, Ocock J, Kobayashi T, Bino G, Davis T, Heath J, Kuo W, Amos C and Michael D (2019c). </w:t>
      </w:r>
      <w:r w:rsidRPr="008F49E7">
        <w:rPr>
          <w:i/>
          <w:iCs/>
        </w:rPr>
        <w:t>Commonwealth Environmental Water Office Long-term Intervention Monitoring Project Murrumbidgee River System Se</w:t>
      </w:r>
      <w:r>
        <w:rPr>
          <w:i/>
          <w:iCs/>
        </w:rPr>
        <w:t>le</w:t>
      </w:r>
      <w:r w:rsidRPr="008F49E7">
        <w:rPr>
          <w:i/>
          <w:iCs/>
        </w:rPr>
        <w:t>cted Area Technical Report 2014-18</w:t>
      </w:r>
      <w:r>
        <w:t>, Commonwealth of Australia, 2019.</w:t>
      </w:r>
    </w:p>
    <w:p w14:paraId="3ECE7C46" w14:textId="77777777" w:rsidR="00450436" w:rsidRDefault="00450436" w:rsidP="00450436">
      <w:r w:rsidRPr="0052444A">
        <w:t xml:space="preserve">White L (2011). </w:t>
      </w:r>
      <w:r w:rsidRPr="008F49E7">
        <w:rPr>
          <w:i/>
          <w:iCs/>
        </w:rPr>
        <w:t>Ecological Character Description for Fivebough and Tuckerbil Wetlands</w:t>
      </w:r>
      <w:r w:rsidRPr="0052444A">
        <w:t>. Report prepared for Australian Government Department of the Environment. WetlandCare Australia, Ballina, NSW</w:t>
      </w:r>
      <w:r>
        <w:t>.</w:t>
      </w:r>
    </w:p>
    <w:p w14:paraId="12825FFA" w14:textId="77777777" w:rsidR="00450436" w:rsidRPr="00534D34" w:rsidRDefault="00450436" w:rsidP="00450436"/>
    <w:p w14:paraId="2EA8A56E" w14:textId="77777777" w:rsidR="00450436" w:rsidRPr="00A91371" w:rsidRDefault="00450436" w:rsidP="00450436"/>
    <w:p w14:paraId="1C61C455" w14:textId="77777777" w:rsidR="00450436" w:rsidRPr="006821CB" w:rsidRDefault="00450436" w:rsidP="0071217B">
      <w:pPr>
        <w:ind w:firstLine="142"/>
      </w:pPr>
    </w:p>
    <w:p w14:paraId="4E9F5B6F" w14:textId="77777777" w:rsidR="0071217B" w:rsidRDefault="0071217B">
      <w:pPr>
        <w:spacing w:after="0"/>
      </w:pPr>
      <w:r>
        <w:br w:type="page"/>
      </w:r>
    </w:p>
    <w:p w14:paraId="7A05C3C6" w14:textId="77777777" w:rsidR="0024331D" w:rsidRPr="0024331D" w:rsidRDefault="0024331D" w:rsidP="0024331D">
      <w:pPr>
        <w:pStyle w:val="Heading2"/>
        <w:rPr>
          <w:rFonts w:ascii="Century Gothic" w:hAnsi="Century Gothic"/>
          <w:noProof/>
        </w:rPr>
      </w:pPr>
      <w:r w:rsidRPr="0024331D">
        <w:lastRenderedPageBreak/>
        <w:t>Victorian Rivers</w:t>
      </w:r>
    </w:p>
    <w:p w14:paraId="4A347F16" w14:textId="77777777" w:rsidR="0024331D" w:rsidRPr="0024331D" w:rsidRDefault="0024331D" w:rsidP="0024331D">
      <w:pPr>
        <w:pStyle w:val="Heading3"/>
      </w:pPr>
      <w:r w:rsidRPr="0024331D">
        <w:t>Region overview</w:t>
      </w:r>
    </w:p>
    <w:p w14:paraId="5AFC4815" w14:textId="77777777" w:rsidR="0024331D" w:rsidRPr="0024331D" w:rsidRDefault="0024331D" w:rsidP="0024331D">
      <w:pPr>
        <w:pStyle w:val="Heading4"/>
      </w:pPr>
      <w:r w:rsidRPr="0024331D">
        <w:t>River system</w:t>
      </w:r>
    </w:p>
    <w:p w14:paraId="1B662659" w14:textId="596B26F8" w:rsidR="0024331D" w:rsidRPr="0024331D" w:rsidRDefault="0024331D" w:rsidP="0024331D">
      <w:r w:rsidRPr="0024331D">
        <w:t>The Victorian rivers in the Murray-Darling Basin include the Goulburn-Broken, Campaspe, Loddon, Ovens and Wimmera catchments (</w:t>
      </w:r>
      <w:r w:rsidRPr="0024331D">
        <w:rPr>
          <w:bCs/>
        </w:rPr>
        <w:fldChar w:fldCharType="begin"/>
      </w:r>
      <w:r w:rsidRPr="0024331D">
        <w:rPr>
          <w:bCs/>
        </w:rPr>
        <w:instrText xml:space="preserve"> REF _Ref475454230 \h  \* MERGEFORMAT </w:instrText>
      </w:r>
      <w:r w:rsidRPr="0024331D">
        <w:rPr>
          <w:bCs/>
        </w:rPr>
      </w:r>
      <w:r w:rsidRPr="0024331D">
        <w:rPr>
          <w:bCs/>
        </w:rPr>
        <w:fldChar w:fldCharType="separate"/>
      </w:r>
      <w:r w:rsidR="001B2852" w:rsidRPr="001B2852">
        <w:rPr>
          <w:bCs/>
        </w:rPr>
        <w:t>Figure</w:t>
      </w:r>
      <w:r w:rsidR="001B2852" w:rsidRPr="00CD6F25">
        <w:rPr>
          <w:b/>
        </w:rPr>
        <w:t xml:space="preserve"> </w:t>
      </w:r>
      <w:r w:rsidR="001B2852" w:rsidRPr="001B2852">
        <w:rPr>
          <w:bCs/>
          <w:noProof/>
        </w:rPr>
        <w:t>5</w:t>
      </w:r>
      <w:r w:rsidRPr="0024331D">
        <w:fldChar w:fldCharType="end"/>
      </w:r>
      <w:r w:rsidRPr="0024331D">
        <w:t xml:space="preserve"> and </w:t>
      </w:r>
      <w:r w:rsidRPr="0024331D">
        <w:fldChar w:fldCharType="begin"/>
      </w:r>
      <w:r w:rsidRPr="0024331D">
        <w:instrText xml:space="preserve"> REF _Ref42784297 \h  \* MERGEFORMAT </w:instrText>
      </w:r>
      <w:r w:rsidRPr="0024331D">
        <w:fldChar w:fldCharType="separate"/>
      </w:r>
      <w:r w:rsidR="001B2852" w:rsidRPr="001B2852">
        <w:t xml:space="preserve">Figure </w:t>
      </w:r>
      <w:r w:rsidR="001B2852" w:rsidRPr="001B2852">
        <w:rPr>
          <w:noProof/>
        </w:rPr>
        <w:t>18</w:t>
      </w:r>
      <w:r w:rsidRPr="0024331D">
        <w:fldChar w:fldCharType="end"/>
      </w:r>
      <w:r w:rsidRPr="0024331D">
        <w:t>). The northern Victorian rivers, particularly the Ovens and Goulburn-Broken, contribute significantly to the water resources of the River Murray, and 11.5 per cent of the Basin’s stream flow originates in the Goulburn-Broken. Lake Eildon on the Goulburn River is one of the Basin’s major water storages. The Wimmera River in central-west Victoria flows into a series of terminal lakes, including Hindmarsh and Albacutya and does not connect to the River Murray. The Victorian rivers region has a highly developed agricultural sector and a population of almost half a million people (DEPI 2015).</w:t>
      </w:r>
    </w:p>
    <w:p w14:paraId="38D9DA35" w14:textId="77777777" w:rsidR="0024331D" w:rsidRPr="0024331D" w:rsidRDefault="0024331D" w:rsidP="0024331D">
      <w:pPr>
        <w:pStyle w:val="Heading4"/>
      </w:pPr>
      <w:r w:rsidRPr="0024331D">
        <w:t>Traditional Owners</w:t>
      </w:r>
    </w:p>
    <w:p w14:paraId="1894EDBC" w14:textId="77777777" w:rsidR="0024331D" w:rsidRPr="0024331D" w:rsidRDefault="0024331D" w:rsidP="0024331D">
      <w:r w:rsidRPr="0024331D">
        <w:t xml:space="preserve">Aboriginal people have had a long association with the river valleys of northern and central Victoria (MDBA 2020): </w:t>
      </w:r>
    </w:p>
    <w:p w14:paraId="24710DE8" w14:textId="77777777" w:rsidR="0024331D" w:rsidRPr="0024331D" w:rsidRDefault="0024331D" w:rsidP="0024331D">
      <w:pPr>
        <w:pStyle w:val="DotStyle1"/>
      </w:pPr>
      <w:r w:rsidRPr="0024331D">
        <w:t>The Ovens River catchment falls in the traditional lands of the Bangerang nation and neighbouring Taungurung and Yorta Yorta nations, to the south and west, respectively. The Waywurru nation is also located within the Ovens River valley.</w:t>
      </w:r>
    </w:p>
    <w:p w14:paraId="202F3122" w14:textId="77777777" w:rsidR="0024331D" w:rsidRPr="0024331D" w:rsidRDefault="0024331D" w:rsidP="0024331D">
      <w:pPr>
        <w:pStyle w:val="DotStyle1"/>
      </w:pPr>
      <w:r w:rsidRPr="0024331D">
        <w:t>The Aboriginal people of the northern plains of the Goulburn and Broken catchments are the Yorta Yorta and Bangerang Nations. The Taungurung is the main Nation of people in the Broken River Valley and upper Goulburn Valley.</w:t>
      </w:r>
    </w:p>
    <w:p w14:paraId="4D7CB380" w14:textId="77777777" w:rsidR="0024331D" w:rsidRPr="0024331D" w:rsidRDefault="0024331D" w:rsidP="0024331D">
      <w:pPr>
        <w:pStyle w:val="DotStyle1"/>
      </w:pPr>
      <w:r w:rsidRPr="0024331D">
        <w:t>West of the Campaspe River is the traditional land of the Dja Dja Wurrung Nation and east is the land of the Taungurung Nation. On the plains north of Rochester, the area is the traditional land of the Yorta Yorta and Bangerang Nations.</w:t>
      </w:r>
    </w:p>
    <w:p w14:paraId="43FF20A6" w14:textId="77777777" w:rsidR="0024331D" w:rsidRPr="0024331D" w:rsidRDefault="0024331D" w:rsidP="0024331D">
      <w:pPr>
        <w:pStyle w:val="DotStyle1"/>
      </w:pPr>
      <w:r w:rsidRPr="0024331D">
        <w:t>Most of the Loddon catchment and the Avoca catchment is the traditional land of the Dja Dja Wurrung Aboriginal nation. On the floodplains, around Kerang and Kow Swamp, is the traditional land of the Barapa Barapa nation.</w:t>
      </w:r>
    </w:p>
    <w:p w14:paraId="2D945068" w14:textId="77777777" w:rsidR="0024331D" w:rsidRPr="0024331D" w:rsidRDefault="0024331D" w:rsidP="0024331D">
      <w:pPr>
        <w:pStyle w:val="DotStyle1"/>
      </w:pPr>
      <w:r w:rsidRPr="0024331D">
        <w:t xml:space="preserve">The Wimmera catchment is large and diverse, and covers the traditional country of several Aboriginal Nations, including the Dja Dja Wurrung, Wotjobaluk and Wergaia in the mid and lower catchment. The north of the catchment, towards the River Murray, is the traditional lands of the Latji Latji, Tatti Tatti and Wamba Wamba Nations. </w:t>
      </w:r>
    </w:p>
    <w:p w14:paraId="2DDD5FED" w14:textId="77777777" w:rsidR="0024331D" w:rsidRPr="0024331D" w:rsidRDefault="0024331D" w:rsidP="0024331D">
      <w:pPr>
        <w:pStyle w:val="Heading4"/>
      </w:pPr>
      <w:r w:rsidRPr="0024331D">
        <w:t>Important sites and values</w:t>
      </w:r>
    </w:p>
    <w:p w14:paraId="20B5DF24" w14:textId="77777777" w:rsidR="0024331D" w:rsidRPr="0024331D" w:rsidRDefault="0024331D" w:rsidP="0024331D">
      <w:pPr>
        <w:ind w:right="-1"/>
      </w:pPr>
      <w:r w:rsidRPr="0024331D">
        <w:t xml:space="preserve">The northern Victorian Rivers are identified in the Basin-wide environmental watering strategy (MDBA 2019) as being important Basin environmental assets for native fish, including supporting threatened native fish species, high fish diversity, and as a fish refuge during dry periods. They create key native fish movement corridors and are recognised as priority sites for improving the core range of silver perch. </w:t>
      </w:r>
    </w:p>
    <w:p w14:paraId="7C3E2BF6" w14:textId="77777777" w:rsidR="0024331D" w:rsidRPr="0024331D" w:rsidRDefault="0024331D" w:rsidP="0024331D">
      <w:pPr>
        <w:ind w:right="-1"/>
      </w:pPr>
      <w:r w:rsidRPr="0024331D">
        <w:t xml:space="preserve">These rivers also support species and communities listed under the </w:t>
      </w:r>
      <w:r w:rsidRPr="0024331D">
        <w:rPr>
          <w:i/>
          <w:iCs/>
        </w:rPr>
        <w:t>Environment Protection and Biodiversity Conservation Act 1999</w:t>
      </w:r>
      <w:r w:rsidRPr="0024331D">
        <w:t>. Faunal species include Murray cod, Macquarie perch, trout cod, silver perch</w:t>
      </w:r>
      <w:r w:rsidRPr="0024331D">
        <w:rPr>
          <w:i/>
          <w:iCs/>
        </w:rPr>
        <w:t xml:space="preserve">, </w:t>
      </w:r>
      <w:r w:rsidRPr="0024331D">
        <w:t>Australasian bittern, swift parrot</w:t>
      </w:r>
      <w:r w:rsidRPr="0024331D">
        <w:rPr>
          <w:i/>
          <w:iCs/>
        </w:rPr>
        <w:t xml:space="preserve"> </w:t>
      </w:r>
      <w:r w:rsidRPr="0024331D">
        <w:rPr>
          <w:iCs/>
        </w:rPr>
        <w:t>and the growling grass frog</w:t>
      </w:r>
      <w:r w:rsidRPr="0024331D">
        <w:rPr>
          <w:i/>
          <w:iCs/>
        </w:rPr>
        <w:t xml:space="preserve">; </w:t>
      </w:r>
      <w:r w:rsidRPr="0024331D">
        <w:t>vegetation includes rigid water milfoil and box-dominated grassy woodland communities</w:t>
      </w:r>
      <w:r w:rsidRPr="0024331D">
        <w:rPr>
          <w:i/>
        </w:rPr>
        <w:t>.</w:t>
      </w:r>
    </w:p>
    <w:p w14:paraId="78296BEF" w14:textId="77777777" w:rsidR="0024331D" w:rsidRPr="0024331D" w:rsidRDefault="0024331D" w:rsidP="0024331D">
      <w:pPr>
        <w:ind w:right="-1"/>
        <w:rPr>
          <w:i/>
          <w:iCs/>
        </w:rPr>
      </w:pPr>
      <w:r w:rsidRPr="0024331D">
        <w:t>The river system also supports bird species listed under international migratory species agreements (such as those agreements with Japan, China and the Republic of Korea, and the Bonn Convention), including the Caspian tern</w:t>
      </w:r>
      <w:r w:rsidRPr="0024331D">
        <w:rPr>
          <w:i/>
          <w:iCs/>
          <w:lang w:val="en"/>
        </w:rPr>
        <w:t>,</w:t>
      </w:r>
      <w:r w:rsidRPr="0024331D">
        <w:rPr>
          <w:iCs/>
          <w:lang w:val="en"/>
        </w:rPr>
        <w:t xml:space="preserve"> glossy ibis</w:t>
      </w:r>
      <w:r w:rsidRPr="0024331D">
        <w:rPr>
          <w:i/>
          <w:iCs/>
        </w:rPr>
        <w:t xml:space="preserve"> </w:t>
      </w:r>
      <w:r w:rsidRPr="0024331D">
        <w:t>and Latham’s snipe</w:t>
      </w:r>
      <w:r w:rsidRPr="0024331D">
        <w:rPr>
          <w:i/>
          <w:iCs/>
        </w:rPr>
        <w:t>.</w:t>
      </w:r>
    </w:p>
    <w:p w14:paraId="681E9B7E" w14:textId="77777777" w:rsidR="0024331D" w:rsidRPr="0024331D" w:rsidRDefault="0024331D" w:rsidP="0024331D">
      <w:pPr>
        <w:ind w:right="-1"/>
      </w:pPr>
      <w:r w:rsidRPr="0024331D">
        <w:lastRenderedPageBreak/>
        <w:t>Located at the terminus of the Wimmera system, Lake Albacutya Ramsar wetland</w:t>
      </w:r>
      <w:r w:rsidRPr="0024331D" w:rsidDel="00D50BDE">
        <w:t xml:space="preserve"> </w:t>
      </w:r>
      <w:r w:rsidRPr="0024331D">
        <w:t xml:space="preserve">represents the only internationally listed wetland along the northern Victorian river reaches, but only receives water in exceptionally wet years. Further, the Kerang Wetlands Ramsar site is located at the junction of three major floodplains associated with the Avoca, Loddon and Murray rivers, and is hydrologically linked to the Loddon River. Several sites are listed in the Directory of Important Wetlands in Australia including the Broken River, Upper Broken Creek, Lower Ovens River, Wimmera River, Lake Hindmarsh and Moodie Swamp.  </w:t>
      </w:r>
    </w:p>
    <w:p w14:paraId="794031B9" w14:textId="77777777" w:rsidR="0024331D" w:rsidRPr="0024331D" w:rsidRDefault="0024331D" w:rsidP="0024331D">
      <w:pPr>
        <w:ind w:right="-1"/>
      </w:pPr>
      <w:r w:rsidRPr="0024331D">
        <w:t xml:space="preserve">The delivery of environmental water to the northern Victorian rivers also supports ecological values and outcomes in the River Murray valley. This can include Ramsar-listed wetlands such as Barmah Forest, Gunbower Forest, Hattah Lakes, and the Coorong, Lower Lakes and Murray Mouth. </w:t>
      </w:r>
    </w:p>
    <w:p w14:paraId="2EC07733" w14:textId="77777777" w:rsidR="0024331D" w:rsidRPr="0024331D" w:rsidRDefault="0024331D" w:rsidP="0024331D">
      <w:pPr>
        <w:pStyle w:val="Heading4"/>
      </w:pPr>
      <w:r w:rsidRPr="0024331D">
        <w:t>Partners and Stakeholder engagement</w:t>
      </w:r>
    </w:p>
    <w:p w14:paraId="28A9B612" w14:textId="77777777" w:rsidR="0024331D" w:rsidRPr="0024331D" w:rsidRDefault="0024331D" w:rsidP="0024331D">
      <w:r w:rsidRPr="0024331D">
        <w:t>The planning, management and delivery of Commonwealth water for the environment throughout the northern Victorian valleys is undertaken in collaboration with a range of partners and stakeholder groups.</w:t>
      </w:r>
    </w:p>
    <w:p w14:paraId="11BAA284" w14:textId="77777777" w:rsidR="0024331D" w:rsidRPr="0024331D" w:rsidRDefault="0024331D" w:rsidP="0024331D">
      <w:r w:rsidRPr="0024331D">
        <w:t xml:space="preserve">The implementation of watering actions within the Victorian rivers is coordinated by the Victorian Environmental Water Holder (VEWH) and managed by regional waterway managers including the Goulburn-Broken Catchment Management Authority (GBCMA), North Central Catchment Management Authority (NCCMA), North East Catchment Management Authority (NECMA) and Wimmera Catchment Management Authority (WCMA). Goulburn Murray Water (GMW) is the principal storage and water supply manager in northern Victorian catchments and is responsible for the day to day delivery of water (including environmental water) throughout its river systems and irrigation supply network. Grampians Wimmera Mallee Water (GWMW) is the storage and water supply manager for the Wimmera catchment. </w:t>
      </w:r>
    </w:p>
    <w:p w14:paraId="3FF94A7D" w14:textId="77777777" w:rsidR="0024331D" w:rsidRPr="0024331D" w:rsidRDefault="0024331D" w:rsidP="0024331D">
      <w:r w:rsidRPr="0024331D">
        <w:t xml:space="preserve">Early input to the potential watering actions for 2020–21 was received via the Environmental Watering Advisory Group meetings organised and chaired by the North Central and Goulburn Broken Catchment Management Authorities. In addition to relevant government agencies, membership includes local land holders, irrigators and community members. The Yorta Yorta, Taungurung and Dja Dja Wurrung Nations are invited to contribute to the development of these actions, to embed cultural values and Traditional Owners ecological knowledge into environmental water management. Delivery partners and the Catchment Management Authorities attended workshops to review the 2019–20 watering events, including to identify any risks that arose, and discuss mitigating actions going into 2020–21. Feedback on draft versions of the plan was provided by the Victorian Environmental Water Holder and the Catchment Management Authorities and incorporated into the final version. </w:t>
      </w:r>
    </w:p>
    <w:p w14:paraId="59AB8183" w14:textId="77777777" w:rsidR="0024331D" w:rsidRPr="0024331D" w:rsidRDefault="0024331D" w:rsidP="0024331D">
      <w:pPr>
        <w:rPr>
          <w:color w:val="auto"/>
        </w:rPr>
        <w:sectPr w:rsidR="0024331D" w:rsidRPr="0024331D" w:rsidSect="00583873">
          <w:headerReference w:type="default" r:id="rId277"/>
          <w:footerReference w:type="default" r:id="rId278"/>
          <w:footerReference w:type="first" r:id="rId279"/>
          <w:pgSz w:w="11906" w:h="16838"/>
          <w:pgMar w:top="1134" w:right="1133" w:bottom="1135" w:left="993" w:header="567" w:footer="397" w:gutter="0"/>
          <w:cols w:space="708"/>
          <w:docGrid w:linePitch="360"/>
        </w:sectPr>
      </w:pPr>
    </w:p>
    <w:p w14:paraId="23947235" w14:textId="77777777" w:rsidR="0024331D" w:rsidRPr="0024331D" w:rsidRDefault="0024331D" w:rsidP="0024331D">
      <w:pPr>
        <w:rPr>
          <w:color w:val="auto"/>
        </w:rPr>
      </w:pPr>
    </w:p>
    <w:p w14:paraId="10EE1926" w14:textId="77777777" w:rsidR="0024331D" w:rsidRPr="0024331D" w:rsidRDefault="0024331D" w:rsidP="0024331D">
      <w:pPr>
        <w:jc w:val="center"/>
        <w:rPr>
          <w:color w:val="auto"/>
        </w:rPr>
      </w:pPr>
      <w:r w:rsidRPr="0024331D">
        <w:rPr>
          <w:noProof/>
        </w:rPr>
        <w:drawing>
          <wp:inline distT="0" distB="0" distL="0" distR="0" wp14:anchorId="442ADFD1" wp14:editId="3BD93882">
            <wp:extent cx="8647885" cy="5981700"/>
            <wp:effectExtent l="19050" t="19050" r="20320" b="19050"/>
            <wp:docPr id="56" name="Picture 56" descr="Figure 1 (map): A map of the northern Victorian Rivers in the Murray–Darling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669689" cy="5996782"/>
                    </a:xfrm>
                    <a:prstGeom prst="rect">
                      <a:avLst/>
                    </a:prstGeom>
                    <a:noFill/>
                    <a:ln>
                      <a:solidFill>
                        <a:srgbClr val="4F81BD"/>
                      </a:solidFill>
                    </a:ln>
                  </pic:spPr>
                </pic:pic>
              </a:graphicData>
            </a:graphic>
          </wp:inline>
        </w:drawing>
      </w:r>
    </w:p>
    <w:p w14:paraId="19477BA2" w14:textId="049D699F" w:rsidR="0024331D" w:rsidRPr="0024331D" w:rsidRDefault="0024331D" w:rsidP="0024331D">
      <w:pPr>
        <w:ind w:left="720"/>
        <w:sectPr w:rsidR="0024331D" w:rsidRPr="0024331D" w:rsidSect="00583873">
          <w:pgSz w:w="16838" w:h="11906" w:orient="landscape"/>
          <w:pgMar w:top="851" w:right="851" w:bottom="566" w:left="1135" w:header="567" w:footer="397" w:gutter="0"/>
          <w:cols w:space="708"/>
          <w:docGrid w:linePitch="360"/>
        </w:sectPr>
      </w:pPr>
      <w:r w:rsidRPr="0024331D">
        <w:rPr>
          <w:b/>
          <w:szCs w:val="22"/>
        </w:rPr>
        <w:t xml:space="preserve">Figure </w:t>
      </w:r>
      <w:r w:rsidRPr="0024331D">
        <w:rPr>
          <w:b/>
          <w:szCs w:val="22"/>
        </w:rPr>
        <w:fldChar w:fldCharType="begin"/>
      </w:r>
      <w:r w:rsidRPr="0024331D">
        <w:rPr>
          <w:b/>
          <w:szCs w:val="22"/>
        </w:rPr>
        <w:instrText xml:space="preserve"> SEQ Figure \* ARABIC </w:instrText>
      </w:r>
      <w:r w:rsidRPr="0024331D">
        <w:rPr>
          <w:b/>
          <w:szCs w:val="22"/>
        </w:rPr>
        <w:fldChar w:fldCharType="separate"/>
      </w:r>
      <w:r w:rsidR="001B2852">
        <w:rPr>
          <w:b/>
          <w:noProof/>
          <w:szCs w:val="22"/>
        </w:rPr>
        <w:t>17</w:t>
      </w:r>
      <w:r w:rsidRPr="0024331D">
        <w:rPr>
          <w:b/>
          <w:szCs w:val="22"/>
        </w:rPr>
        <w:fldChar w:fldCharType="end"/>
      </w:r>
      <w:r w:rsidRPr="0024331D">
        <w:t>: Map of the northern Victorian rivers described in this plan that flow to the River Murray.</w:t>
      </w:r>
    </w:p>
    <w:p w14:paraId="665EAB80" w14:textId="77777777" w:rsidR="0024331D" w:rsidRPr="0024331D" w:rsidRDefault="0024331D" w:rsidP="0024331D">
      <w:r w:rsidRPr="0024331D">
        <w:rPr>
          <w:noProof/>
        </w:rPr>
        <w:lastRenderedPageBreak/>
        <w:drawing>
          <wp:anchor distT="0" distB="0" distL="114300" distR="114300" simplePos="0" relativeHeight="251673610" behindDoc="1" locked="0" layoutInCell="1" allowOverlap="1" wp14:anchorId="17599611" wp14:editId="62DEBE8D">
            <wp:simplePos x="0" y="0"/>
            <wp:positionH relativeFrom="margin">
              <wp:posOffset>17145</wp:posOffset>
            </wp:positionH>
            <wp:positionV relativeFrom="paragraph">
              <wp:posOffset>283845</wp:posOffset>
            </wp:positionV>
            <wp:extent cx="5995670" cy="8475980"/>
            <wp:effectExtent l="0" t="0" r="5080" b="1270"/>
            <wp:wrapSquare wrapText="bothSides"/>
            <wp:docPr id="57" name="Picture 57" descr="Figure 2 (map): A map of the Wimmera system in wester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extLst>
                        <a:ext uri="{28A0092B-C50C-407E-A947-70E740481C1C}">
                          <a14:useLocalDpi xmlns:a14="http://schemas.microsoft.com/office/drawing/2010/main" val="0"/>
                        </a:ext>
                      </a:extLst>
                    </a:blip>
                    <a:stretch>
                      <a:fillRect/>
                    </a:stretch>
                  </pic:blipFill>
                  <pic:spPr>
                    <a:xfrm>
                      <a:off x="0" y="0"/>
                      <a:ext cx="5995670" cy="8475980"/>
                    </a:xfrm>
                    <a:prstGeom prst="rect">
                      <a:avLst/>
                    </a:prstGeom>
                  </pic:spPr>
                </pic:pic>
              </a:graphicData>
            </a:graphic>
            <wp14:sizeRelH relativeFrom="margin">
              <wp14:pctWidth>0</wp14:pctWidth>
            </wp14:sizeRelH>
            <wp14:sizeRelV relativeFrom="margin">
              <wp14:pctHeight>0</wp14:pctHeight>
            </wp14:sizeRelV>
          </wp:anchor>
        </w:drawing>
      </w:r>
    </w:p>
    <w:p w14:paraId="58E62970" w14:textId="43AA72AD" w:rsidR="0024331D" w:rsidRPr="0024331D" w:rsidRDefault="0024331D" w:rsidP="0024331D">
      <w:pPr>
        <w:jc w:val="both"/>
        <w:rPr>
          <w:rFonts w:ascii="Calibri" w:hAnsi="Calibri" w:cs="Times New Roman"/>
          <w:color w:val="auto"/>
          <w:szCs w:val="22"/>
        </w:rPr>
      </w:pPr>
      <w:bookmarkStart w:id="167" w:name="_Ref42784297"/>
      <w:bookmarkStart w:id="168" w:name="_Ref42784163"/>
      <w:r w:rsidRPr="0024331D">
        <w:rPr>
          <w:rFonts w:ascii="Calibri" w:hAnsi="Calibri" w:cs="Times New Roman"/>
          <w:b/>
          <w:bCs/>
          <w:color w:val="auto"/>
          <w:szCs w:val="22"/>
        </w:rPr>
        <w:t xml:space="preserve">Figure </w:t>
      </w:r>
      <w:r w:rsidRPr="0024331D">
        <w:rPr>
          <w:rFonts w:ascii="Calibri" w:hAnsi="Calibri" w:cs="Times New Roman"/>
          <w:b/>
          <w:bCs/>
          <w:color w:val="auto"/>
          <w:szCs w:val="22"/>
        </w:rPr>
        <w:fldChar w:fldCharType="begin"/>
      </w:r>
      <w:r w:rsidRPr="0024331D">
        <w:rPr>
          <w:rFonts w:ascii="Calibri" w:hAnsi="Calibri" w:cs="Times New Roman"/>
          <w:b/>
          <w:bCs/>
          <w:color w:val="auto"/>
          <w:szCs w:val="22"/>
        </w:rPr>
        <w:instrText xml:space="preserve"> SEQ Figure \* ARABIC </w:instrText>
      </w:r>
      <w:r w:rsidRPr="0024331D">
        <w:rPr>
          <w:rFonts w:ascii="Calibri" w:hAnsi="Calibri" w:cs="Times New Roman"/>
          <w:b/>
          <w:bCs/>
          <w:color w:val="auto"/>
          <w:szCs w:val="22"/>
        </w:rPr>
        <w:fldChar w:fldCharType="separate"/>
      </w:r>
      <w:r w:rsidR="001B2852">
        <w:rPr>
          <w:rFonts w:ascii="Calibri" w:hAnsi="Calibri" w:cs="Times New Roman"/>
          <w:b/>
          <w:bCs/>
          <w:noProof/>
          <w:color w:val="auto"/>
          <w:szCs w:val="22"/>
        </w:rPr>
        <w:t>18</w:t>
      </w:r>
      <w:r w:rsidRPr="0024331D">
        <w:rPr>
          <w:rFonts w:ascii="Calibri" w:hAnsi="Calibri" w:cs="Times New Roman"/>
          <w:b/>
          <w:bCs/>
          <w:noProof/>
          <w:color w:val="auto"/>
          <w:szCs w:val="22"/>
        </w:rPr>
        <w:fldChar w:fldCharType="end"/>
      </w:r>
      <w:bookmarkEnd w:id="167"/>
      <w:r w:rsidRPr="0024331D">
        <w:rPr>
          <w:rFonts w:ascii="Calibri" w:hAnsi="Calibri" w:cs="Times New Roman"/>
          <w:color w:val="auto"/>
          <w:szCs w:val="22"/>
        </w:rPr>
        <w:t>: Map of the Victorian Wimmera System</w:t>
      </w:r>
      <w:bookmarkEnd w:id="168"/>
    </w:p>
    <w:p w14:paraId="10D082A9" w14:textId="77777777" w:rsidR="0024331D" w:rsidRPr="0024331D" w:rsidRDefault="0024331D" w:rsidP="0024331D">
      <w:pPr>
        <w:tabs>
          <w:tab w:val="left" w:pos="1470"/>
        </w:tabs>
        <w:sectPr w:rsidR="0024331D" w:rsidRPr="0024331D" w:rsidSect="00583873">
          <w:pgSz w:w="11906" w:h="16838"/>
          <w:pgMar w:top="992" w:right="1133" w:bottom="1440" w:left="993" w:header="567" w:footer="397" w:gutter="0"/>
          <w:cols w:space="708"/>
          <w:docGrid w:linePitch="360"/>
        </w:sectPr>
      </w:pPr>
    </w:p>
    <w:p w14:paraId="2A31401F" w14:textId="77777777" w:rsidR="0024331D" w:rsidRPr="0024331D" w:rsidRDefault="0024331D" w:rsidP="0024331D">
      <w:pPr>
        <w:pStyle w:val="Heading3"/>
      </w:pPr>
      <w:r w:rsidRPr="0024331D">
        <w:lastRenderedPageBreak/>
        <w:t>Environmental objectives</w:t>
      </w:r>
    </w:p>
    <w:p w14:paraId="3E75BDFA" w14:textId="3164A9D6" w:rsidR="0024331D" w:rsidRPr="0024331D" w:rsidRDefault="0024331D" w:rsidP="0024331D">
      <w:r w:rsidRPr="0024331D">
        <w:t xml:space="preserve">The following objectives in </w:t>
      </w:r>
      <w:r w:rsidRPr="0024331D">
        <w:fldChar w:fldCharType="begin"/>
      </w:r>
      <w:r w:rsidRPr="0024331D">
        <w:instrText xml:space="preserve"> REF _Ref10031796 \h  \* MERGEFORMAT </w:instrText>
      </w:r>
      <w:r w:rsidRPr="0024331D">
        <w:fldChar w:fldCharType="separate"/>
      </w:r>
      <w:r w:rsidR="001B2852" w:rsidRPr="001B2852">
        <w:t xml:space="preserve">Table </w:t>
      </w:r>
      <w:r w:rsidR="001B2852" w:rsidRPr="001B2852">
        <w:rPr>
          <w:noProof/>
        </w:rPr>
        <w:t>40</w:t>
      </w:r>
      <w:r w:rsidRPr="0024331D">
        <w:fldChar w:fldCharType="end"/>
      </w:r>
      <w:r w:rsidRPr="0024331D">
        <w:t xml:space="preserve"> are relevant for environmental watering in Victorian Rivers. They are based on long-term environmental objectives in the Basin Plan, Victorian state government long-term watering plans for northern Victorian catchments, site management plans, and best available knowledge.</w:t>
      </w:r>
    </w:p>
    <w:p w14:paraId="4605FC0F" w14:textId="77777777" w:rsidR="0024331D" w:rsidRPr="0024331D" w:rsidRDefault="0024331D" w:rsidP="0024331D">
      <w:r w:rsidRPr="0024331D">
        <w:t>The objectives that are targeted in a particular year may vary, depending on available water, catchment conditions, operational feasibility, and demand for environmental water. These objectives will continue to be revised as part of the Commonwealth Environmental Water Office’s (CEWO) commitment to adaptive management.</w:t>
      </w:r>
    </w:p>
    <w:p w14:paraId="6EA395ED" w14:textId="7BA1485D" w:rsidR="0024331D" w:rsidRPr="0024331D" w:rsidRDefault="0024331D" w:rsidP="0024331D">
      <w:pPr>
        <w:spacing w:before="240"/>
      </w:pPr>
      <w:bookmarkStart w:id="169" w:name="_Ref10031796"/>
      <w:r w:rsidRPr="0024331D">
        <w:rPr>
          <w:b/>
        </w:rPr>
        <w:t xml:space="preserve">Table </w:t>
      </w:r>
      <w:r w:rsidRPr="0024331D">
        <w:rPr>
          <w:b/>
        </w:rPr>
        <w:fldChar w:fldCharType="begin"/>
      </w:r>
      <w:r w:rsidRPr="0024331D">
        <w:rPr>
          <w:b/>
        </w:rPr>
        <w:instrText xml:space="preserve"> SEQ Table \* ARABIC </w:instrText>
      </w:r>
      <w:r w:rsidRPr="0024331D">
        <w:rPr>
          <w:b/>
        </w:rPr>
        <w:fldChar w:fldCharType="separate"/>
      </w:r>
      <w:r w:rsidR="001B2852">
        <w:rPr>
          <w:b/>
          <w:noProof/>
        </w:rPr>
        <w:t>40</w:t>
      </w:r>
      <w:r w:rsidRPr="0024331D">
        <w:rPr>
          <w:b/>
        </w:rPr>
        <w:fldChar w:fldCharType="end"/>
      </w:r>
      <w:bookmarkEnd w:id="169"/>
      <w:r w:rsidRPr="0024331D">
        <w:t>: Summary of objectives being targeted by environmental watering in the Victorian rivers</w:t>
      </w:r>
    </w:p>
    <w:tbl>
      <w:tblPr>
        <w:tblStyle w:val="TableGrid"/>
        <w:tblW w:w="9781" w:type="dxa"/>
        <w:tblInd w:w="-5" w:type="dxa"/>
        <w:tblLook w:val="04A0" w:firstRow="1" w:lastRow="0" w:firstColumn="1" w:lastColumn="0" w:noHBand="0" w:noVBand="1"/>
      </w:tblPr>
      <w:tblGrid>
        <w:gridCol w:w="1701"/>
        <w:gridCol w:w="4040"/>
        <w:gridCol w:w="4040"/>
      </w:tblGrid>
      <w:tr w:rsidR="0024331D" w:rsidRPr="0024331D" w14:paraId="3E8F442E" w14:textId="77777777" w:rsidTr="00583873">
        <w:trPr>
          <w:cnfStyle w:val="100000000000" w:firstRow="1" w:lastRow="0" w:firstColumn="0" w:lastColumn="0" w:oddVBand="0" w:evenVBand="0" w:oddHBand="0" w:evenHBand="0" w:firstRowFirstColumn="0" w:firstRowLastColumn="0" w:lastRowFirstColumn="0" w:lastRowLastColumn="0"/>
          <w:trHeight w:val="1531"/>
          <w:tblHeader/>
        </w:trPr>
        <w:tc>
          <w:tcPr>
            <w:tcW w:w="1701" w:type="dxa"/>
            <w:shd w:val="clear" w:color="auto" w:fill="B6DDE8" w:themeFill="accent5" w:themeFillTint="66"/>
            <w:vAlign w:val="center"/>
          </w:tcPr>
          <w:p w14:paraId="14BB9412" w14:textId="77777777" w:rsidR="0024331D" w:rsidRPr="0024331D" w:rsidRDefault="0024331D" w:rsidP="0024331D">
            <w:pPr>
              <w:rPr>
                <w:b/>
                <w:color w:val="auto"/>
                <w:szCs w:val="22"/>
              </w:rPr>
            </w:pPr>
            <w:r w:rsidRPr="0024331D">
              <w:rPr>
                <w:b/>
                <w:color w:val="auto"/>
                <w:szCs w:val="22"/>
              </w:rPr>
              <w:t>Basin-wide Matters</w:t>
            </w:r>
          </w:p>
        </w:tc>
        <w:tc>
          <w:tcPr>
            <w:tcW w:w="4040" w:type="dxa"/>
            <w:shd w:val="clear" w:color="auto" w:fill="B6DDE8" w:themeFill="accent5" w:themeFillTint="66"/>
          </w:tcPr>
          <w:p w14:paraId="7B2C2A76" w14:textId="77777777" w:rsidR="0024331D" w:rsidRPr="0024331D" w:rsidRDefault="0024331D" w:rsidP="0024331D">
            <w:pPr>
              <w:jc w:val="center"/>
              <w:rPr>
                <w:b/>
                <w:szCs w:val="22"/>
              </w:rPr>
            </w:pPr>
            <w:r w:rsidRPr="0024331D">
              <w:rPr>
                <w:b/>
                <w:szCs w:val="22"/>
              </w:rPr>
              <w:t>In-Channel Assets</w:t>
            </w:r>
          </w:p>
          <w:p w14:paraId="6865EC59" w14:textId="77777777" w:rsidR="0024331D" w:rsidRPr="0024331D" w:rsidRDefault="0024331D" w:rsidP="0024331D">
            <w:pPr>
              <w:jc w:val="center"/>
              <w:rPr>
                <w:szCs w:val="22"/>
              </w:rPr>
            </w:pPr>
            <w:r w:rsidRPr="0024331D">
              <w:rPr>
                <w:sz w:val="20"/>
                <w:szCs w:val="22"/>
              </w:rPr>
              <w:t>Goulburn (lower and middle reaches), Broken, Campaspe, Loddon, Ovens and Wimmera rivers; Upper and lower Broken Creek</w:t>
            </w:r>
          </w:p>
        </w:tc>
        <w:tc>
          <w:tcPr>
            <w:tcW w:w="4040" w:type="dxa"/>
            <w:shd w:val="clear" w:color="auto" w:fill="B6DDE8" w:themeFill="accent5" w:themeFillTint="66"/>
          </w:tcPr>
          <w:p w14:paraId="2928F95C" w14:textId="77777777" w:rsidR="0024331D" w:rsidRPr="0024331D" w:rsidRDefault="0024331D" w:rsidP="0024331D">
            <w:pPr>
              <w:jc w:val="center"/>
              <w:rPr>
                <w:b/>
                <w:szCs w:val="22"/>
              </w:rPr>
            </w:pPr>
            <w:r w:rsidRPr="0024331D">
              <w:rPr>
                <w:b/>
                <w:szCs w:val="22"/>
              </w:rPr>
              <w:t>Off-Channel Assets</w:t>
            </w:r>
          </w:p>
          <w:p w14:paraId="23F30EE6" w14:textId="77777777" w:rsidR="0024331D" w:rsidRPr="0024331D" w:rsidRDefault="0024331D" w:rsidP="0024331D">
            <w:pPr>
              <w:jc w:val="center"/>
              <w:rPr>
                <w:rFonts w:eastAsia="Calibri"/>
                <w:szCs w:val="22"/>
                <w:lang w:eastAsia="en-US"/>
              </w:rPr>
            </w:pPr>
            <w:r w:rsidRPr="0024331D">
              <w:rPr>
                <w:sz w:val="20"/>
                <w:szCs w:val="22"/>
              </w:rPr>
              <w:t>Goulburn River wetlands; Lower Broken wetlands; Upper Broken Creek wetlands (Moodie Swamp); Ovens wetlands (Mullinmur Billabong)</w:t>
            </w:r>
          </w:p>
        </w:tc>
      </w:tr>
      <w:tr w:rsidR="0024331D" w:rsidRPr="0024331D" w14:paraId="63C61C2A" w14:textId="77777777" w:rsidTr="00583873">
        <w:trPr>
          <w:cnfStyle w:val="000000100000" w:firstRow="0" w:lastRow="0" w:firstColumn="0" w:lastColumn="0" w:oddVBand="0" w:evenVBand="0" w:oddHBand="1" w:evenHBand="0" w:firstRowFirstColumn="0" w:firstRowLastColumn="0" w:lastRowFirstColumn="0" w:lastRowLastColumn="0"/>
          <w:trHeight w:val="2608"/>
        </w:trPr>
        <w:tc>
          <w:tcPr>
            <w:tcW w:w="1701" w:type="dxa"/>
            <w:shd w:val="clear" w:color="auto" w:fill="B6DDE8" w:themeFill="accent5" w:themeFillTint="66"/>
            <w:vAlign w:val="center"/>
          </w:tcPr>
          <w:p w14:paraId="19375C26" w14:textId="77777777" w:rsidR="0024331D" w:rsidRPr="0024331D" w:rsidRDefault="0024331D" w:rsidP="0024331D">
            <w:pPr>
              <w:rPr>
                <w:b/>
                <w:color w:val="auto"/>
                <w:szCs w:val="22"/>
              </w:rPr>
            </w:pPr>
            <w:r w:rsidRPr="0024331D">
              <w:rPr>
                <w:b/>
                <w:color w:val="auto"/>
                <w:szCs w:val="22"/>
              </w:rPr>
              <w:t>Vegetation</w:t>
            </w:r>
          </w:p>
        </w:tc>
        <w:tc>
          <w:tcPr>
            <w:tcW w:w="4040" w:type="dxa"/>
          </w:tcPr>
          <w:p w14:paraId="7BD6E38F" w14:textId="77777777" w:rsidR="0024331D" w:rsidRPr="0024331D" w:rsidRDefault="0024331D" w:rsidP="0024331D">
            <w:pPr>
              <w:ind w:left="360" w:hanging="360"/>
              <w:rPr>
                <w:lang w:val="en-GB"/>
              </w:rPr>
            </w:pPr>
            <w:r w:rsidRPr="0024331D">
              <w:rPr>
                <w:lang w:val="en-GB"/>
              </w:rPr>
              <w:t>Maintain and improve riparian and in-channel vegetation cover, extent, condition and diversity.</w:t>
            </w:r>
          </w:p>
          <w:p w14:paraId="7DE4E945" w14:textId="77777777" w:rsidR="0024331D" w:rsidRPr="0024331D" w:rsidRDefault="0024331D" w:rsidP="0024331D">
            <w:pPr>
              <w:ind w:left="360" w:hanging="360"/>
              <w:rPr>
                <w:rFonts w:eastAsia="Calibri"/>
                <w:lang w:val="en-GB" w:eastAsia="en-US"/>
              </w:rPr>
            </w:pPr>
            <w:r w:rsidRPr="0024331D">
              <w:rPr>
                <w:rFonts w:eastAsia="Calibri"/>
                <w:lang w:val="en-GB" w:eastAsia="en-US"/>
              </w:rPr>
              <w:t>Increase periods of growth for inundation tolerant vegetation communities that closely fringe or occur within river channels.</w:t>
            </w:r>
          </w:p>
        </w:tc>
        <w:tc>
          <w:tcPr>
            <w:tcW w:w="4040" w:type="dxa"/>
          </w:tcPr>
          <w:p w14:paraId="51D5F3E0" w14:textId="77777777" w:rsidR="0024331D" w:rsidRPr="0024331D" w:rsidRDefault="0024331D" w:rsidP="0024331D">
            <w:pPr>
              <w:ind w:left="360" w:hanging="360"/>
              <w:rPr>
                <w:rFonts w:eastAsia="Calibri"/>
                <w:lang w:val="en-GB" w:eastAsia="en-US"/>
              </w:rPr>
            </w:pPr>
            <w:r w:rsidRPr="0024331D">
              <w:rPr>
                <w:rFonts w:eastAsia="Calibri"/>
                <w:lang w:val="en-GB" w:eastAsia="en-US"/>
              </w:rPr>
              <w:t>Maintain the current extent, condition and diversity of water-dependent vegetation.</w:t>
            </w:r>
          </w:p>
          <w:p w14:paraId="17F9C34D" w14:textId="77777777" w:rsidR="0024331D" w:rsidRPr="0024331D" w:rsidRDefault="0024331D" w:rsidP="0024331D">
            <w:pPr>
              <w:ind w:left="360" w:hanging="360"/>
              <w:rPr>
                <w:rFonts w:eastAsia="Calibri"/>
                <w:lang w:val="en-GB" w:eastAsia="en-US"/>
              </w:rPr>
            </w:pPr>
            <w:r w:rsidRPr="0024331D">
              <w:rPr>
                <w:rFonts w:eastAsia="Calibri"/>
                <w:lang w:val="en-GB" w:eastAsia="en-US"/>
              </w:rPr>
              <w:t>Improve condition of black box, river red gum and lignum shrublands. Improve recruitment of trees within black box and river red gum communities.</w:t>
            </w:r>
          </w:p>
        </w:tc>
      </w:tr>
      <w:tr w:rsidR="0024331D" w:rsidRPr="0024331D" w14:paraId="1B82BEBC" w14:textId="77777777" w:rsidTr="00583873">
        <w:trPr>
          <w:cnfStyle w:val="000000010000" w:firstRow="0" w:lastRow="0" w:firstColumn="0" w:lastColumn="0" w:oddVBand="0" w:evenVBand="0" w:oddHBand="0" w:evenHBand="1" w:firstRowFirstColumn="0" w:firstRowLastColumn="0" w:lastRowFirstColumn="0" w:lastRowLastColumn="0"/>
          <w:trHeight w:val="850"/>
        </w:trPr>
        <w:tc>
          <w:tcPr>
            <w:tcW w:w="1701" w:type="dxa"/>
            <w:vMerge w:val="restart"/>
            <w:shd w:val="clear" w:color="auto" w:fill="B6DDE8" w:themeFill="accent5" w:themeFillTint="66"/>
            <w:vAlign w:val="center"/>
          </w:tcPr>
          <w:p w14:paraId="42336421" w14:textId="77777777" w:rsidR="0024331D" w:rsidRPr="0024331D" w:rsidRDefault="0024331D" w:rsidP="0024331D">
            <w:pPr>
              <w:rPr>
                <w:b/>
                <w:color w:val="auto"/>
                <w:szCs w:val="22"/>
                <w:highlight w:val="yellow"/>
              </w:rPr>
            </w:pPr>
            <w:r w:rsidRPr="0024331D">
              <w:rPr>
                <w:b/>
                <w:color w:val="auto"/>
                <w:szCs w:val="22"/>
              </w:rPr>
              <w:t>Waterbirds</w:t>
            </w:r>
          </w:p>
        </w:tc>
        <w:tc>
          <w:tcPr>
            <w:tcW w:w="8080" w:type="dxa"/>
            <w:gridSpan w:val="2"/>
            <w:shd w:val="clear" w:color="auto" w:fill="FFFFFF" w:themeFill="background1"/>
          </w:tcPr>
          <w:p w14:paraId="48951CE8" w14:textId="77777777" w:rsidR="0024331D" w:rsidRPr="0024331D" w:rsidRDefault="0024331D" w:rsidP="0024331D">
            <w:pPr>
              <w:ind w:left="360" w:hanging="360"/>
              <w:rPr>
                <w:lang w:val="en-GB"/>
              </w:rPr>
            </w:pPr>
            <w:r w:rsidRPr="0024331D">
              <w:rPr>
                <w:lang w:val="en-GB"/>
              </w:rPr>
              <w:t>Provide habitat and food sources to support waterbird breeding, survival and recruitment, and maintain condition and current species diversity.</w:t>
            </w:r>
          </w:p>
        </w:tc>
      </w:tr>
      <w:tr w:rsidR="0024331D" w:rsidRPr="0024331D" w14:paraId="014E0200" w14:textId="77777777" w:rsidTr="00583873">
        <w:trPr>
          <w:cnfStyle w:val="000000100000" w:firstRow="0" w:lastRow="0" w:firstColumn="0" w:lastColumn="0" w:oddVBand="0" w:evenVBand="0" w:oddHBand="1" w:evenHBand="0" w:firstRowFirstColumn="0" w:firstRowLastColumn="0" w:lastRowFirstColumn="0" w:lastRowLastColumn="0"/>
          <w:trHeight w:val="907"/>
        </w:trPr>
        <w:tc>
          <w:tcPr>
            <w:tcW w:w="1701" w:type="dxa"/>
            <w:vMerge/>
            <w:shd w:val="clear" w:color="auto" w:fill="B6DDE8" w:themeFill="accent5" w:themeFillTint="66"/>
            <w:vAlign w:val="center"/>
          </w:tcPr>
          <w:p w14:paraId="01DBEC98" w14:textId="77777777" w:rsidR="0024331D" w:rsidRPr="0024331D" w:rsidRDefault="0024331D" w:rsidP="0024331D">
            <w:pPr>
              <w:rPr>
                <w:b/>
                <w:color w:val="auto"/>
                <w:szCs w:val="22"/>
              </w:rPr>
            </w:pPr>
          </w:p>
        </w:tc>
        <w:tc>
          <w:tcPr>
            <w:tcW w:w="4040" w:type="dxa"/>
            <w:shd w:val="clear" w:color="auto" w:fill="D9D9D9" w:themeFill="background1" w:themeFillShade="D9"/>
          </w:tcPr>
          <w:p w14:paraId="6D1042D5" w14:textId="77777777" w:rsidR="0024331D" w:rsidRPr="0024331D" w:rsidRDefault="0024331D" w:rsidP="0024331D">
            <w:pPr>
              <w:ind w:left="360"/>
              <w:rPr>
                <w:lang w:val="en-GB"/>
              </w:rPr>
            </w:pPr>
          </w:p>
        </w:tc>
        <w:tc>
          <w:tcPr>
            <w:tcW w:w="4040" w:type="dxa"/>
            <w:shd w:val="clear" w:color="auto" w:fill="FFFFFF" w:themeFill="background1"/>
          </w:tcPr>
          <w:p w14:paraId="23E0C764" w14:textId="77777777" w:rsidR="0024331D" w:rsidRPr="0024331D" w:rsidRDefault="0024331D" w:rsidP="0024331D">
            <w:pPr>
              <w:ind w:left="360" w:hanging="360"/>
              <w:rPr>
                <w:lang w:val="en-GB"/>
              </w:rPr>
            </w:pPr>
            <w:r w:rsidRPr="0024331D">
              <w:rPr>
                <w:lang w:val="en-GB"/>
              </w:rPr>
              <w:t>Support waterbird breeding, including brolga in Moodie Swamp</w:t>
            </w:r>
          </w:p>
        </w:tc>
      </w:tr>
      <w:tr w:rsidR="0024331D" w:rsidRPr="0024331D" w14:paraId="366B4143" w14:textId="77777777" w:rsidTr="00583873">
        <w:trPr>
          <w:cnfStyle w:val="000000010000" w:firstRow="0" w:lastRow="0" w:firstColumn="0" w:lastColumn="0" w:oddVBand="0" w:evenVBand="0" w:oddHBand="0" w:evenHBand="1" w:firstRowFirstColumn="0" w:firstRowLastColumn="0" w:lastRowFirstColumn="0" w:lastRowLastColumn="0"/>
          <w:trHeight w:val="2721"/>
        </w:trPr>
        <w:tc>
          <w:tcPr>
            <w:tcW w:w="1701" w:type="dxa"/>
            <w:shd w:val="clear" w:color="auto" w:fill="B6DDE8" w:themeFill="accent5" w:themeFillTint="66"/>
            <w:vAlign w:val="center"/>
          </w:tcPr>
          <w:p w14:paraId="28AF7618" w14:textId="77777777" w:rsidR="0024331D" w:rsidRPr="0024331D" w:rsidRDefault="0024331D" w:rsidP="0024331D">
            <w:pPr>
              <w:rPr>
                <w:b/>
                <w:color w:val="auto"/>
                <w:szCs w:val="22"/>
              </w:rPr>
            </w:pPr>
            <w:r w:rsidRPr="0024331D">
              <w:rPr>
                <w:b/>
                <w:color w:val="auto"/>
                <w:szCs w:val="22"/>
              </w:rPr>
              <w:t>Fish</w:t>
            </w:r>
          </w:p>
        </w:tc>
        <w:tc>
          <w:tcPr>
            <w:tcW w:w="4040" w:type="dxa"/>
          </w:tcPr>
          <w:p w14:paraId="6E52441E" w14:textId="77777777" w:rsidR="0024331D" w:rsidRPr="0024331D" w:rsidRDefault="0024331D" w:rsidP="0024331D">
            <w:pPr>
              <w:ind w:left="360" w:hanging="360"/>
              <w:rPr>
                <w:lang w:val="en-GB" w:eastAsia="en-US"/>
              </w:rPr>
            </w:pPr>
            <w:r w:rsidRPr="0024331D">
              <w:rPr>
                <w:rFonts w:eastAsia="Calibri"/>
                <w:lang w:val="en-GB" w:eastAsia="en-US"/>
              </w:rPr>
              <w:t xml:space="preserve">Provide flows to support </w:t>
            </w:r>
            <w:r w:rsidRPr="0024331D">
              <w:rPr>
                <w:lang w:val="en-GB" w:eastAsia="en-US"/>
              </w:rPr>
              <w:t>habitat and food sources to promote increased movement, breeding, recruitment and survival of native fish.</w:t>
            </w:r>
          </w:p>
          <w:p w14:paraId="650C3097" w14:textId="77777777" w:rsidR="0024331D" w:rsidRPr="0024331D" w:rsidRDefault="0024331D" w:rsidP="0024331D">
            <w:pPr>
              <w:ind w:left="360" w:hanging="360"/>
              <w:rPr>
                <w:lang w:val="en-GB" w:eastAsia="en-US"/>
              </w:rPr>
            </w:pPr>
            <w:r w:rsidRPr="0024331D">
              <w:rPr>
                <w:lang w:val="en-GB" w:eastAsia="en-US"/>
              </w:rPr>
              <w:t>Improve abundance and maintain species richness.</w:t>
            </w:r>
          </w:p>
          <w:p w14:paraId="1FB0F27D" w14:textId="77777777" w:rsidR="0024331D" w:rsidRPr="0024331D" w:rsidRDefault="0024331D" w:rsidP="0024331D">
            <w:pPr>
              <w:ind w:left="360" w:hanging="360"/>
              <w:rPr>
                <w:lang w:val="en-GB" w:eastAsia="en-US"/>
              </w:rPr>
            </w:pPr>
            <w:r w:rsidRPr="0024331D">
              <w:rPr>
                <w:lang w:val="en-GB" w:eastAsia="en-US"/>
              </w:rPr>
              <w:t>Provide native fish passage through fishways.</w:t>
            </w:r>
          </w:p>
        </w:tc>
        <w:tc>
          <w:tcPr>
            <w:tcW w:w="4040" w:type="dxa"/>
          </w:tcPr>
          <w:p w14:paraId="625372E2" w14:textId="77777777" w:rsidR="0024331D" w:rsidRPr="0024331D" w:rsidRDefault="0024331D" w:rsidP="0024331D">
            <w:pPr>
              <w:ind w:left="360" w:hanging="360"/>
              <w:rPr>
                <w:rFonts w:eastAsia="Calibri"/>
                <w:lang w:val="en-GB" w:eastAsia="en-US"/>
              </w:rPr>
            </w:pPr>
            <w:r w:rsidRPr="0024331D">
              <w:rPr>
                <w:rFonts w:eastAsia="Calibri"/>
                <w:lang w:val="en-GB" w:eastAsia="en-US"/>
              </w:rPr>
              <w:t xml:space="preserve">Provide flow cues to support </w:t>
            </w:r>
            <w:r w:rsidRPr="0024331D">
              <w:rPr>
                <w:lang w:val="en-GB" w:eastAsia="en-US"/>
              </w:rPr>
              <w:t>habitat and food sources and promote increased movement, recruitment and survival of native fish (particularly for floodplain specialists).</w:t>
            </w:r>
          </w:p>
        </w:tc>
      </w:tr>
      <w:tr w:rsidR="0024331D" w:rsidRPr="0024331D" w14:paraId="41072210" w14:textId="77777777" w:rsidTr="0024331D">
        <w:trPr>
          <w:cnfStyle w:val="000000100000" w:firstRow="0" w:lastRow="0" w:firstColumn="0" w:lastColumn="0" w:oddVBand="0" w:evenVBand="0" w:oddHBand="1" w:evenHBand="0" w:firstRowFirstColumn="0" w:firstRowLastColumn="0" w:lastRowFirstColumn="0" w:lastRowLastColumn="0"/>
          <w:trHeight w:val="1054"/>
        </w:trPr>
        <w:tc>
          <w:tcPr>
            <w:tcW w:w="1701" w:type="dxa"/>
            <w:shd w:val="clear" w:color="auto" w:fill="B6DDE8" w:themeFill="accent5" w:themeFillTint="66"/>
            <w:vAlign w:val="center"/>
          </w:tcPr>
          <w:p w14:paraId="4BB3762A" w14:textId="77777777" w:rsidR="0024331D" w:rsidRPr="0024331D" w:rsidRDefault="0024331D" w:rsidP="0024331D">
            <w:pPr>
              <w:rPr>
                <w:b/>
                <w:color w:val="auto"/>
                <w:szCs w:val="22"/>
              </w:rPr>
            </w:pPr>
            <w:r w:rsidRPr="0024331D">
              <w:rPr>
                <w:b/>
                <w:color w:val="auto"/>
                <w:szCs w:val="22"/>
              </w:rPr>
              <w:t>Invertebrates</w:t>
            </w:r>
          </w:p>
        </w:tc>
        <w:tc>
          <w:tcPr>
            <w:tcW w:w="8080" w:type="dxa"/>
            <w:gridSpan w:val="2"/>
          </w:tcPr>
          <w:p w14:paraId="3EC90665" w14:textId="77777777" w:rsidR="0024331D" w:rsidRPr="0024331D" w:rsidRDefault="0024331D" w:rsidP="0024331D">
            <w:pPr>
              <w:ind w:left="360" w:hanging="360"/>
              <w:rPr>
                <w:lang w:val="en-GB"/>
              </w:rPr>
            </w:pPr>
            <w:r w:rsidRPr="0024331D">
              <w:rPr>
                <w:lang w:val="en-GB"/>
              </w:rPr>
              <w:t>Provide habitat to support increased microinvertebrate and macroinvertebrate survival, diversity, abundance and condition.</w:t>
            </w:r>
          </w:p>
        </w:tc>
      </w:tr>
      <w:tr w:rsidR="0024331D" w:rsidRPr="0024331D" w14:paraId="2DF3E958" w14:textId="77777777" w:rsidTr="00583873">
        <w:trPr>
          <w:cnfStyle w:val="000000010000" w:firstRow="0" w:lastRow="0" w:firstColumn="0" w:lastColumn="0" w:oddVBand="0" w:evenVBand="0" w:oddHBand="0" w:evenHBand="1" w:firstRowFirstColumn="0" w:firstRowLastColumn="0" w:lastRowFirstColumn="0" w:lastRowLastColumn="0"/>
          <w:trHeight w:val="1247"/>
        </w:trPr>
        <w:tc>
          <w:tcPr>
            <w:tcW w:w="1701" w:type="dxa"/>
            <w:shd w:val="clear" w:color="auto" w:fill="B6DDE8" w:themeFill="accent5" w:themeFillTint="66"/>
            <w:vAlign w:val="center"/>
          </w:tcPr>
          <w:p w14:paraId="49B2A3B1" w14:textId="77777777" w:rsidR="0024331D" w:rsidRPr="0024331D" w:rsidRDefault="0024331D" w:rsidP="0024331D">
            <w:pPr>
              <w:rPr>
                <w:b/>
                <w:color w:val="auto"/>
                <w:szCs w:val="22"/>
              </w:rPr>
            </w:pPr>
            <w:r w:rsidRPr="0024331D">
              <w:rPr>
                <w:b/>
                <w:color w:val="auto"/>
                <w:szCs w:val="22"/>
              </w:rPr>
              <w:t>Other Vertebrates</w:t>
            </w:r>
          </w:p>
        </w:tc>
        <w:tc>
          <w:tcPr>
            <w:tcW w:w="8080" w:type="dxa"/>
            <w:gridSpan w:val="2"/>
          </w:tcPr>
          <w:p w14:paraId="653E9C02" w14:textId="77777777" w:rsidR="0024331D" w:rsidRPr="0024331D" w:rsidRDefault="0024331D" w:rsidP="0024331D">
            <w:pPr>
              <w:ind w:left="360" w:hanging="360"/>
              <w:rPr>
                <w:lang w:val="en-GB"/>
              </w:rPr>
            </w:pPr>
            <w:r w:rsidRPr="0024331D">
              <w:rPr>
                <w:lang w:val="en-GB"/>
              </w:rPr>
              <w:t>Provide habitat and food sources to support survival, maintain condition and provide recruitment opportunities for frogs, turtles, platypus and native water rats (Rakali).</w:t>
            </w:r>
          </w:p>
        </w:tc>
      </w:tr>
      <w:tr w:rsidR="0024331D" w:rsidRPr="0024331D" w14:paraId="616DA103" w14:textId="77777777" w:rsidTr="00583873">
        <w:trPr>
          <w:cnfStyle w:val="000000100000" w:firstRow="0" w:lastRow="0" w:firstColumn="0" w:lastColumn="0" w:oddVBand="0" w:evenVBand="0" w:oddHBand="1" w:evenHBand="0" w:firstRowFirstColumn="0" w:firstRowLastColumn="0" w:lastRowFirstColumn="0" w:lastRowLastColumn="0"/>
          <w:trHeight w:val="420"/>
        </w:trPr>
        <w:tc>
          <w:tcPr>
            <w:tcW w:w="1701" w:type="dxa"/>
            <w:shd w:val="clear" w:color="auto" w:fill="B6DDE8" w:themeFill="accent5" w:themeFillTint="66"/>
            <w:vAlign w:val="center"/>
          </w:tcPr>
          <w:p w14:paraId="014BAF09" w14:textId="77777777" w:rsidR="0024331D" w:rsidRPr="0024331D" w:rsidRDefault="0024331D" w:rsidP="0024331D">
            <w:pPr>
              <w:rPr>
                <w:b/>
                <w:color w:val="auto"/>
                <w:szCs w:val="22"/>
              </w:rPr>
            </w:pPr>
            <w:r w:rsidRPr="0024331D">
              <w:rPr>
                <w:b/>
                <w:color w:val="auto"/>
                <w:szCs w:val="22"/>
              </w:rPr>
              <w:lastRenderedPageBreak/>
              <w:t>Connectivity</w:t>
            </w:r>
          </w:p>
        </w:tc>
        <w:tc>
          <w:tcPr>
            <w:tcW w:w="4040" w:type="dxa"/>
          </w:tcPr>
          <w:p w14:paraId="4F86AC7C" w14:textId="77777777" w:rsidR="0024331D" w:rsidRPr="0024331D" w:rsidRDefault="0024331D" w:rsidP="0024331D">
            <w:pPr>
              <w:ind w:left="360" w:hanging="360"/>
              <w:rPr>
                <w:rFonts w:eastAsia="Calibri"/>
                <w:lang w:val="en-GB" w:eastAsia="en-US"/>
              </w:rPr>
            </w:pPr>
            <w:r w:rsidRPr="0024331D">
              <w:rPr>
                <w:rFonts w:eastAsia="Calibri"/>
                <w:lang w:val="en-GB" w:eastAsia="en-US"/>
              </w:rPr>
              <w:t xml:space="preserve">Support longitudinal connectivity along Victorian rivers and to the River Murray for environmental functions such as nutrient and sediment transport, organism dispersal and water quality. </w:t>
            </w:r>
          </w:p>
          <w:p w14:paraId="7C93DE12" w14:textId="77777777" w:rsidR="0024331D" w:rsidRPr="0024331D" w:rsidRDefault="0024331D" w:rsidP="0024331D">
            <w:pPr>
              <w:ind w:left="360" w:hanging="360"/>
              <w:rPr>
                <w:lang w:val="en-GB" w:eastAsia="en-US"/>
              </w:rPr>
            </w:pPr>
            <w:r w:rsidRPr="0024331D">
              <w:rPr>
                <w:lang w:val="en-GB" w:eastAsia="en-US"/>
              </w:rPr>
              <w:t xml:space="preserve">Support lateral connectivity to low-lying wetlands and anabranches adjacent to river channel by increasing the frequency of freshes. </w:t>
            </w:r>
          </w:p>
        </w:tc>
        <w:tc>
          <w:tcPr>
            <w:tcW w:w="4040" w:type="dxa"/>
          </w:tcPr>
          <w:p w14:paraId="4FBB59B7" w14:textId="77777777" w:rsidR="0024331D" w:rsidRPr="0024331D" w:rsidRDefault="0024331D" w:rsidP="0024331D">
            <w:pPr>
              <w:ind w:left="360" w:hanging="360"/>
              <w:rPr>
                <w:lang w:val="en-GB"/>
              </w:rPr>
            </w:pPr>
            <w:r w:rsidRPr="0024331D">
              <w:rPr>
                <w:lang w:val="en-GB"/>
              </w:rPr>
              <w:t>Support lateral connectivity (within operational limits) to wetlands and floodplains by contributing to an increase in the frequency of lowland floodplain flows.</w:t>
            </w:r>
          </w:p>
        </w:tc>
      </w:tr>
      <w:tr w:rsidR="0024331D" w:rsidRPr="0024331D" w14:paraId="35E7239D" w14:textId="77777777" w:rsidTr="00583873">
        <w:trPr>
          <w:cnfStyle w:val="000000010000" w:firstRow="0" w:lastRow="0" w:firstColumn="0" w:lastColumn="0" w:oddVBand="0" w:evenVBand="0" w:oddHBand="0" w:evenHBand="1" w:firstRowFirstColumn="0" w:firstRowLastColumn="0" w:lastRowFirstColumn="0" w:lastRowLastColumn="0"/>
          <w:trHeight w:val="352"/>
        </w:trPr>
        <w:tc>
          <w:tcPr>
            <w:tcW w:w="1701" w:type="dxa"/>
            <w:shd w:val="clear" w:color="auto" w:fill="B6DDE8" w:themeFill="accent5" w:themeFillTint="66"/>
            <w:vAlign w:val="center"/>
          </w:tcPr>
          <w:p w14:paraId="45C6E0A2" w14:textId="77777777" w:rsidR="0024331D" w:rsidRPr="0024331D" w:rsidRDefault="0024331D" w:rsidP="0024331D">
            <w:pPr>
              <w:rPr>
                <w:b/>
                <w:color w:val="auto"/>
                <w:szCs w:val="22"/>
              </w:rPr>
            </w:pPr>
            <w:r w:rsidRPr="0024331D">
              <w:rPr>
                <w:b/>
                <w:color w:val="auto"/>
                <w:szCs w:val="22"/>
              </w:rPr>
              <w:t>Processes</w:t>
            </w:r>
          </w:p>
        </w:tc>
        <w:tc>
          <w:tcPr>
            <w:tcW w:w="8080" w:type="dxa"/>
            <w:gridSpan w:val="2"/>
          </w:tcPr>
          <w:p w14:paraId="79A479F2" w14:textId="77777777" w:rsidR="0024331D" w:rsidRPr="0024331D" w:rsidRDefault="0024331D" w:rsidP="0024331D">
            <w:pPr>
              <w:ind w:left="360" w:hanging="360"/>
              <w:rPr>
                <w:lang w:val="en-GB"/>
              </w:rPr>
            </w:pPr>
            <w:r w:rsidRPr="0024331D">
              <w:rPr>
                <w:lang w:val="en-GB"/>
              </w:rPr>
              <w:t>Support primary productivity, sediment, nutrient and carbon transport and cycling; biotic dispersal/movement; and channel maintenance.</w:t>
            </w:r>
          </w:p>
        </w:tc>
      </w:tr>
      <w:tr w:rsidR="0024331D" w:rsidRPr="0024331D" w14:paraId="3E894F1B" w14:textId="77777777" w:rsidTr="00583873">
        <w:trPr>
          <w:cnfStyle w:val="000000100000" w:firstRow="0" w:lastRow="0" w:firstColumn="0" w:lastColumn="0" w:oddVBand="0" w:evenVBand="0" w:oddHBand="1" w:evenHBand="0" w:firstRowFirstColumn="0" w:firstRowLastColumn="0" w:lastRowFirstColumn="0" w:lastRowLastColumn="0"/>
          <w:trHeight w:val="281"/>
        </w:trPr>
        <w:tc>
          <w:tcPr>
            <w:tcW w:w="1701" w:type="dxa"/>
            <w:shd w:val="clear" w:color="auto" w:fill="B6DDE8" w:themeFill="accent5" w:themeFillTint="66"/>
            <w:vAlign w:val="center"/>
          </w:tcPr>
          <w:p w14:paraId="7F4E0AAF" w14:textId="77777777" w:rsidR="0024331D" w:rsidRPr="0024331D" w:rsidRDefault="0024331D" w:rsidP="0024331D">
            <w:pPr>
              <w:rPr>
                <w:b/>
                <w:color w:val="auto"/>
                <w:szCs w:val="22"/>
              </w:rPr>
            </w:pPr>
            <w:r w:rsidRPr="0024331D">
              <w:rPr>
                <w:b/>
                <w:color w:val="auto"/>
                <w:szCs w:val="22"/>
              </w:rPr>
              <w:t>Water Quality</w:t>
            </w:r>
          </w:p>
        </w:tc>
        <w:tc>
          <w:tcPr>
            <w:tcW w:w="4040" w:type="dxa"/>
          </w:tcPr>
          <w:p w14:paraId="6FFCD4CE" w14:textId="77777777" w:rsidR="0024331D" w:rsidRPr="0024331D" w:rsidRDefault="0024331D" w:rsidP="0024331D">
            <w:pPr>
              <w:ind w:left="360" w:hanging="360"/>
              <w:rPr>
                <w:lang w:val="en-GB"/>
              </w:rPr>
            </w:pPr>
            <w:r w:rsidRPr="0024331D">
              <w:rPr>
                <w:lang w:val="en-GB"/>
              </w:rPr>
              <w:t xml:space="preserve">Maintain water quality and provide refuge habitat from adverse water quality events (e.g. low dissolved oxygen, hypoxic blackwater and hypersalinity), including minimising accumulation of Azolla (aquatic plant) in lower Broken Creek to help maintain DO levels. </w:t>
            </w:r>
          </w:p>
        </w:tc>
        <w:tc>
          <w:tcPr>
            <w:tcW w:w="4040" w:type="dxa"/>
            <w:shd w:val="clear" w:color="auto" w:fill="FFFFFF" w:themeFill="background1"/>
          </w:tcPr>
          <w:p w14:paraId="517CDF24" w14:textId="77777777" w:rsidR="0024331D" w:rsidRPr="0024331D" w:rsidRDefault="0024331D" w:rsidP="0024331D">
            <w:pPr>
              <w:ind w:left="360" w:hanging="360"/>
              <w:rPr>
                <w:lang w:val="en-GB"/>
              </w:rPr>
            </w:pPr>
            <w:r w:rsidRPr="0024331D">
              <w:rPr>
                <w:lang w:val="en-GB"/>
              </w:rPr>
              <w:t>Support the transport of nutrients and carbon off the floodplain and into the river channel and downstream.</w:t>
            </w:r>
          </w:p>
        </w:tc>
      </w:tr>
      <w:tr w:rsidR="0024331D" w:rsidRPr="0024331D" w14:paraId="678340E0" w14:textId="77777777" w:rsidTr="00583873">
        <w:trPr>
          <w:cnfStyle w:val="000000010000" w:firstRow="0" w:lastRow="0" w:firstColumn="0" w:lastColumn="0" w:oddVBand="0" w:evenVBand="0" w:oddHBand="0" w:evenHBand="1" w:firstRowFirstColumn="0" w:firstRowLastColumn="0" w:lastRowFirstColumn="0" w:lastRowLastColumn="0"/>
          <w:trHeight w:val="334"/>
        </w:trPr>
        <w:tc>
          <w:tcPr>
            <w:tcW w:w="1701" w:type="dxa"/>
            <w:shd w:val="clear" w:color="auto" w:fill="B6DDE8" w:themeFill="accent5" w:themeFillTint="66"/>
            <w:vAlign w:val="center"/>
          </w:tcPr>
          <w:p w14:paraId="34AC8F48" w14:textId="77777777" w:rsidR="0024331D" w:rsidRPr="0024331D" w:rsidRDefault="0024331D" w:rsidP="0024331D">
            <w:pPr>
              <w:rPr>
                <w:b/>
                <w:color w:val="auto"/>
                <w:szCs w:val="22"/>
              </w:rPr>
            </w:pPr>
            <w:r w:rsidRPr="0024331D">
              <w:rPr>
                <w:b/>
                <w:color w:val="auto"/>
                <w:szCs w:val="22"/>
              </w:rPr>
              <w:t>Resilience</w:t>
            </w:r>
          </w:p>
        </w:tc>
        <w:tc>
          <w:tcPr>
            <w:tcW w:w="8080" w:type="dxa"/>
            <w:gridSpan w:val="2"/>
          </w:tcPr>
          <w:p w14:paraId="5B019A24" w14:textId="77777777" w:rsidR="0024331D" w:rsidRPr="0024331D" w:rsidRDefault="0024331D" w:rsidP="0024331D">
            <w:pPr>
              <w:ind w:left="360" w:hanging="360"/>
              <w:rPr>
                <w:lang w:val="en-GB"/>
              </w:rPr>
            </w:pPr>
            <w:r w:rsidRPr="0024331D">
              <w:rPr>
                <w:lang w:val="en-GB"/>
              </w:rPr>
              <w:t>Provide drought refuge habitat.</w:t>
            </w:r>
          </w:p>
        </w:tc>
      </w:tr>
    </w:tbl>
    <w:p w14:paraId="315CBD7F" w14:textId="77777777" w:rsidR="0024331D" w:rsidRPr="0024331D" w:rsidRDefault="0024331D" w:rsidP="0024331D">
      <w:pPr>
        <w:pStyle w:val="Heading3"/>
      </w:pPr>
      <w:r w:rsidRPr="0024331D">
        <w:t>First Nations Environmental Objectives</w:t>
      </w:r>
    </w:p>
    <w:p w14:paraId="5856EF9B" w14:textId="77777777" w:rsidR="001B2852" w:rsidRPr="001B2852" w:rsidRDefault="0024331D" w:rsidP="001B2852">
      <w:pPr>
        <w:rPr>
          <w:rFonts w:cs="Times New Roman"/>
          <w:bCs/>
        </w:rPr>
      </w:pPr>
      <w:bookmarkStart w:id="170" w:name="_Ref42002266"/>
      <w:r w:rsidRPr="0024331D">
        <w:t xml:space="preserve">Advice on environmental water objectives in the Victorian Rivers has been provided by the Murray Lower Darling Rivers Indigenous Nations (MLDRIN) through the First Nations Environmental Water Guidance project. </w:t>
      </w:r>
      <w:r w:rsidRPr="0024331D">
        <w:fldChar w:fldCharType="begin"/>
      </w:r>
      <w:r w:rsidRPr="0024331D">
        <w:instrText xml:space="preserve"> REF _Ref42188348 \h  \* MERGEFORMAT </w:instrText>
      </w:r>
      <w:r w:rsidRPr="0024331D">
        <w:fldChar w:fldCharType="separate"/>
      </w:r>
      <w:r w:rsidR="001B2852" w:rsidRPr="001B2852">
        <w:rPr>
          <w:rFonts w:cs="Times New Roman"/>
          <w:bCs/>
        </w:rPr>
        <w:br w:type="page"/>
      </w:r>
    </w:p>
    <w:p w14:paraId="4DDE8F19" w14:textId="30C8ACB9" w:rsidR="0024331D" w:rsidRPr="0024331D" w:rsidRDefault="001B2852" w:rsidP="0024331D">
      <w:r w:rsidRPr="001B2852">
        <w:rPr>
          <w:rFonts w:cs="Times New Roman"/>
          <w:bCs/>
          <w:noProof/>
        </w:rPr>
        <w:lastRenderedPageBreak/>
        <w:t>Table</w:t>
      </w:r>
      <w:r w:rsidRPr="0024331D">
        <w:rPr>
          <w:rFonts w:cs="Times New Roman"/>
          <w:b/>
          <w:bCs/>
        </w:rPr>
        <w:t xml:space="preserve"> </w:t>
      </w:r>
      <w:r>
        <w:rPr>
          <w:rFonts w:cs="Times New Roman"/>
          <w:b/>
          <w:bCs/>
          <w:noProof/>
        </w:rPr>
        <w:t>41</w:t>
      </w:r>
      <w:r w:rsidR="0024331D" w:rsidRPr="0024331D">
        <w:fldChar w:fldCharType="end"/>
      </w:r>
      <w:r w:rsidR="0024331D" w:rsidRPr="0024331D">
        <w:t xml:space="preserve"> includes just some of the common objectives for the Victorian River catchments, selected as they were raised by two or more participating Nations for the region. It is important to note these objectives do not represent the detail, depth and complexity of Nations’ localised water-related objectives.</w:t>
      </w:r>
    </w:p>
    <w:p w14:paraId="6E248360" w14:textId="77777777" w:rsidR="0024331D" w:rsidRPr="0024331D" w:rsidRDefault="0024331D" w:rsidP="0024331D">
      <w:r w:rsidRPr="0024331D">
        <w:t>Some of these objectives sit outside the scope of water for the environment to influence, while for others, the link between water for the environment and the site or issues is not well understood.  Environmental flows will aim to contribute to identified objectives, where possible.  The Commonwealth Environmental Water Office is committed to continuing to strengthen engagement with all Southern Basin First Nations to support those Nations to articulate objectives for water management.</w:t>
      </w:r>
    </w:p>
    <w:p w14:paraId="09D0FD27" w14:textId="77777777" w:rsidR="0024331D" w:rsidRPr="0024331D" w:rsidRDefault="0024331D" w:rsidP="0024331D">
      <w:pPr>
        <w:spacing w:after="0"/>
        <w:rPr>
          <w:rFonts w:cs="Times New Roman"/>
          <w:b/>
          <w:bCs/>
        </w:rPr>
      </w:pPr>
      <w:bookmarkStart w:id="171" w:name="_Ref42188348"/>
      <w:r w:rsidRPr="0024331D">
        <w:rPr>
          <w:rFonts w:cs="Times New Roman"/>
          <w:b/>
          <w:bCs/>
        </w:rPr>
        <w:br w:type="page"/>
      </w:r>
    </w:p>
    <w:p w14:paraId="318C7DA3" w14:textId="026340C3" w:rsidR="0024331D" w:rsidRPr="0024331D" w:rsidRDefault="0024331D" w:rsidP="0024331D">
      <w:pPr>
        <w:spacing w:before="240"/>
        <w:jc w:val="both"/>
        <w:rPr>
          <w:rFonts w:cs="Times New Roman"/>
        </w:rPr>
      </w:pPr>
      <w:r w:rsidRPr="0024331D">
        <w:rPr>
          <w:rFonts w:cs="Times New Roman"/>
          <w:b/>
          <w:bCs/>
        </w:rPr>
        <w:lastRenderedPageBreak/>
        <w:t xml:space="preserve">Table </w:t>
      </w:r>
      <w:r w:rsidRPr="0024331D">
        <w:rPr>
          <w:rFonts w:cs="Times New Roman"/>
          <w:b/>
          <w:bCs/>
        </w:rPr>
        <w:fldChar w:fldCharType="begin"/>
      </w:r>
      <w:r w:rsidRPr="0024331D">
        <w:rPr>
          <w:rFonts w:cs="Times New Roman"/>
          <w:b/>
          <w:bCs/>
        </w:rPr>
        <w:instrText xml:space="preserve"> SEQ Table \* ARABIC </w:instrText>
      </w:r>
      <w:r w:rsidRPr="0024331D">
        <w:rPr>
          <w:rFonts w:cs="Times New Roman"/>
          <w:b/>
          <w:bCs/>
        </w:rPr>
        <w:fldChar w:fldCharType="separate"/>
      </w:r>
      <w:r w:rsidR="001B2852">
        <w:rPr>
          <w:rFonts w:cs="Times New Roman"/>
          <w:b/>
          <w:bCs/>
          <w:noProof/>
        </w:rPr>
        <w:t>41</w:t>
      </w:r>
      <w:r w:rsidRPr="0024331D">
        <w:rPr>
          <w:rFonts w:cs="Times New Roman"/>
          <w:b/>
          <w:bCs/>
        </w:rPr>
        <w:fldChar w:fldCharType="end"/>
      </w:r>
      <w:bookmarkEnd w:id="170"/>
      <w:bookmarkEnd w:id="171"/>
      <w:r w:rsidRPr="0024331D">
        <w:rPr>
          <w:rFonts w:cs="Times New Roman"/>
          <w:b/>
          <w:bCs/>
        </w:rPr>
        <w:t xml:space="preserve">: </w:t>
      </w:r>
      <w:r w:rsidRPr="0024331D">
        <w:rPr>
          <w:rFonts w:cs="Times New Roman"/>
        </w:rPr>
        <w:t>First Nations environmental water objectives for Victorian Rivers for 2020-21 (MLDRIN 2020)</w:t>
      </w:r>
    </w:p>
    <w:tbl>
      <w:tblPr>
        <w:tblStyle w:val="TableGrid"/>
        <w:tblW w:w="9776" w:type="dxa"/>
        <w:tblLook w:val="04A0" w:firstRow="1" w:lastRow="0" w:firstColumn="1" w:lastColumn="0" w:noHBand="0" w:noVBand="1"/>
      </w:tblPr>
      <w:tblGrid>
        <w:gridCol w:w="9776"/>
      </w:tblGrid>
      <w:tr w:rsidR="0024331D" w:rsidRPr="0024331D" w14:paraId="6056964D" w14:textId="77777777" w:rsidTr="00583873">
        <w:trPr>
          <w:cnfStyle w:val="100000000000" w:firstRow="1" w:lastRow="0" w:firstColumn="0" w:lastColumn="0" w:oddVBand="0" w:evenVBand="0" w:oddHBand="0" w:evenHBand="0" w:firstRowFirstColumn="0" w:firstRowLastColumn="0" w:lastRowFirstColumn="0" w:lastRowLastColumn="0"/>
        </w:trPr>
        <w:tc>
          <w:tcPr>
            <w:tcW w:w="9776" w:type="dxa"/>
            <w:tcBorders>
              <w:bottom w:val="nil"/>
            </w:tcBorders>
            <w:shd w:val="clear" w:color="auto" w:fill="B6DDE8" w:themeFill="accent5" w:themeFillTint="66"/>
          </w:tcPr>
          <w:p w14:paraId="75BCA017" w14:textId="77777777" w:rsidR="0024331D" w:rsidRPr="0024331D" w:rsidRDefault="0024331D" w:rsidP="0024331D">
            <w:pPr>
              <w:rPr>
                <w:b/>
                <w:szCs w:val="22"/>
              </w:rPr>
            </w:pPr>
            <w:r w:rsidRPr="0024331D">
              <w:rPr>
                <w:b/>
                <w:szCs w:val="22"/>
              </w:rPr>
              <w:t>Waterways and Places in Need of watering</w:t>
            </w:r>
          </w:p>
        </w:tc>
      </w:tr>
      <w:tr w:rsidR="0024331D" w:rsidRPr="0024331D" w14:paraId="1175C08F"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74D1033A" w14:textId="77777777" w:rsidR="0024331D" w:rsidRPr="0024331D" w:rsidRDefault="0024331D" w:rsidP="0024331D">
            <w:pPr>
              <w:rPr>
                <w:szCs w:val="22"/>
              </w:rPr>
            </w:pPr>
            <w:r w:rsidRPr="0024331D">
              <w:rPr>
                <w:szCs w:val="22"/>
              </w:rPr>
              <w:t>Wetlands, Billabongs, Floodplains, Creeks, Major rivers, Campaspe River, Ramsar-listed wetlands, Baaka, Murray.</w:t>
            </w:r>
          </w:p>
        </w:tc>
      </w:tr>
      <w:tr w:rsidR="0024331D" w:rsidRPr="0024331D" w14:paraId="6C0FDF18"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6D68E46B" w14:textId="77777777" w:rsidR="0024331D" w:rsidRPr="0024331D" w:rsidRDefault="0024331D" w:rsidP="0024331D">
            <w:pPr>
              <w:rPr>
                <w:b/>
                <w:szCs w:val="22"/>
              </w:rPr>
            </w:pPr>
            <w:r w:rsidRPr="0024331D">
              <w:rPr>
                <w:b/>
                <w:szCs w:val="22"/>
              </w:rPr>
              <w:t>River Flows and Connectivity</w:t>
            </w:r>
          </w:p>
        </w:tc>
      </w:tr>
      <w:tr w:rsidR="0024331D" w:rsidRPr="0024331D" w14:paraId="562012A8"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37EE903C" w14:textId="77777777" w:rsidR="0024331D" w:rsidRPr="0024331D" w:rsidRDefault="0024331D" w:rsidP="0024331D">
            <w:pPr>
              <w:rPr>
                <w:szCs w:val="22"/>
              </w:rPr>
            </w:pPr>
            <w:r w:rsidRPr="0024331D">
              <w:rPr>
                <w:szCs w:val="22"/>
              </w:rPr>
              <w:t>Improve water quality, improve timing and seasonality of flows, Restore wetland hydrology, Improve river and or floodplain connectivity, Improve flows and quantity (rivers and general), Remove barriers and constraints, Improve tributary flows, Restore flows in degraded rivers.</w:t>
            </w:r>
          </w:p>
        </w:tc>
      </w:tr>
      <w:tr w:rsidR="0024331D" w:rsidRPr="0024331D" w14:paraId="56F03178"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27788E1A" w14:textId="77777777" w:rsidR="0024331D" w:rsidRPr="0024331D" w:rsidRDefault="0024331D" w:rsidP="0024331D">
            <w:pPr>
              <w:rPr>
                <w:szCs w:val="22"/>
              </w:rPr>
            </w:pPr>
            <w:r w:rsidRPr="0024331D">
              <w:rPr>
                <w:b/>
                <w:szCs w:val="22"/>
              </w:rPr>
              <w:t>Vegetation</w:t>
            </w:r>
          </w:p>
        </w:tc>
      </w:tr>
      <w:tr w:rsidR="0024331D" w:rsidRPr="0024331D" w14:paraId="2E7BB074"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57A6A102" w14:textId="77777777" w:rsidR="0024331D" w:rsidRPr="0024331D" w:rsidRDefault="0024331D" w:rsidP="0024331D">
            <w:pPr>
              <w:rPr>
                <w:szCs w:val="22"/>
              </w:rPr>
            </w:pPr>
            <w:r w:rsidRPr="0024331D">
              <w:rPr>
                <w:szCs w:val="22"/>
              </w:rPr>
              <w:t>Cumbungi, Medicinal plants (general)</w:t>
            </w:r>
            <w:r w:rsidRPr="0024331D">
              <w:rPr>
                <w:szCs w:val="22"/>
                <w:vertAlign w:val="superscript"/>
              </w:rPr>
              <w:t xml:space="preserve"> i</w:t>
            </w:r>
            <w:r w:rsidRPr="0024331D">
              <w:rPr>
                <w:szCs w:val="22"/>
              </w:rPr>
              <w:t>, Old Man Weed, River Red Gum, Black Box, Black Wattle</w:t>
            </w:r>
            <w:r w:rsidRPr="0024331D">
              <w:rPr>
                <w:szCs w:val="22"/>
                <w:vertAlign w:val="superscript"/>
              </w:rPr>
              <w:t xml:space="preserve"> i</w:t>
            </w:r>
          </w:p>
        </w:tc>
      </w:tr>
      <w:tr w:rsidR="0024331D" w:rsidRPr="0024331D" w14:paraId="12282BEB"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5A2D2D1A" w14:textId="77777777" w:rsidR="0024331D" w:rsidRPr="0024331D" w:rsidRDefault="0024331D" w:rsidP="0024331D">
            <w:pPr>
              <w:rPr>
                <w:szCs w:val="22"/>
              </w:rPr>
            </w:pPr>
            <w:r w:rsidRPr="0024331D">
              <w:rPr>
                <w:b/>
                <w:szCs w:val="22"/>
              </w:rPr>
              <w:t>Fish</w:t>
            </w:r>
          </w:p>
        </w:tc>
      </w:tr>
      <w:tr w:rsidR="0024331D" w:rsidRPr="0024331D" w14:paraId="18C4E28C"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2A29984F" w14:textId="77777777" w:rsidR="0024331D" w:rsidRPr="0024331D" w:rsidRDefault="0024331D" w:rsidP="0024331D">
            <w:pPr>
              <w:rPr>
                <w:szCs w:val="22"/>
              </w:rPr>
            </w:pPr>
            <w:r w:rsidRPr="0024331D">
              <w:rPr>
                <w:szCs w:val="22"/>
              </w:rPr>
              <w:t>Native fish (all), Murray Cod, Catfish, Yellowbelly, Blackfish, Macquarie Perch, Silver perch</w:t>
            </w:r>
          </w:p>
        </w:tc>
      </w:tr>
      <w:tr w:rsidR="0024331D" w:rsidRPr="0024331D" w14:paraId="6311EBF8"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5433D226" w14:textId="77777777" w:rsidR="0024331D" w:rsidRPr="0024331D" w:rsidRDefault="0024331D" w:rsidP="0024331D">
            <w:pPr>
              <w:rPr>
                <w:szCs w:val="22"/>
              </w:rPr>
            </w:pPr>
            <w:r w:rsidRPr="0024331D">
              <w:rPr>
                <w:b/>
                <w:szCs w:val="22"/>
              </w:rPr>
              <w:t>Waterbirds</w:t>
            </w:r>
          </w:p>
        </w:tc>
      </w:tr>
      <w:tr w:rsidR="0024331D" w:rsidRPr="0024331D" w14:paraId="46A25FD8"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bottom w:val="single" w:sz="4" w:space="0" w:color="auto"/>
            </w:tcBorders>
          </w:tcPr>
          <w:p w14:paraId="41968613" w14:textId="77777777" w:rsidR="0024331D" w:rsidRPr="0024331D" w:rsidRDefault="0024331D" w:rsidP="0024331D">
            <w:pPr>
              <w:rPr>
                <w:szCs w:val="22"/>
              </w:rPr>
            </w:pPr>
            <w:r w:rsidRPr="0024331D">
              <w:rPr>
                <w:szCs w:val="22"/>
              </w:rPr>
              <w:t>Brolga, Birds, Pelican</w:t>
            </w:r>
          </w:p>
        </w:tc>
      </w:tr>
      <w:tr w:rsidR="0024331D" w:rsidRPr="0024331D" w14:paraId="6533D15D" w14:textId="77777777" w:rsidTr="00583873">
        <w:trPr>
          <w:cnfStyle w:val="000000010000" w:firstRow="0" w:lastRow="0" w:firstColumn="0" w:lastColumn="0" w:oddVBand="0" w:evenVBand="0" w:oddHBand="0" w:evenHBand="1" w:firstRowFirstColumn="0" w:firstRowLastColumn="0" w:lastRowFirstColumn="0" w:lastRowLastColumn="0"/>
        </w:trPr>
        <w:tc>
          <w:tcPr>
            <w:tcW w:w="9776" w:type="dxa"/>
            <w:tcBorders>
              <w:bottom w:val="nil"/>
            </w:tcBorders>
            <w:shd w:val="clear" w:color="auto" w:fill="B6DDE8" w:themeFill="accent5" w:themeFillTint="66"/>
          </w:tcPr>
          <w:p w14:paraId="5E43AC3F" w14:textId="77777777" w:rsidR="0024331D" w:rsidRPr="0024331D" w:rsidRDefault="0024331D" w:rsidP="0024331D">
            <w:pPr>
              <w:rPr>
                <w:b/>
                <w:szCs w:val="22"/>
              </w:rPr>
            </w:pPr>
            <w:r w:rsidRPr="0024331D">
              <w:rPr>
                <w:b/>
                <w:szCs w:val="22"/>
              </w:rPr>
              <w:t>Other species</w:t>
            </w:r>
          </w:p>
        </w:tc>
      </w:tr>
      <w:tr w:rsidR="0024331D" w:rsidRPr="0024331D" w14:paraId="1707A364" w14:textId="77777777" w:rsidTr="00583873">
        <w:trPr>
          <w:cnfStyle w:val="000000100000" w:firstRow="0" w:lastRow="0" w:firstColumn="0" w:lastColumn="0" w:oddVBand="0" w:evenVBand="0" w:oddHBand="1" w:evenHBand="0" w:firstRowFirstColumn="0" w:firstRowLastColumn="0" w:lastRowFirstColumn="0" w:lastRowLastColumn="0"/>
        </w:trPr>
        <w:tc>
          <w:tcPr>
            <w:tcW w:w="9776" w:type="dxa"/>
            <w:tcBorders>
              <w:top w:val="nil"/>
            </w:tcBorders>
          </w:tcPr>
          <w:p w14:paraId="0FF3CCE2" w14:textId="77777777" w:rsidR="0024331D" w:rsidRPr="0024331D" w:rsidRDefault="0024331D" w:rsidP="0024331D">
            <w:pPr>
              <w:rPr>
                <w:szCs w:val="22"/>
              </w:rPr>
            </w:pPr>
            <w:r w:rsidRPr="0024331D">
              <w:rPr>
                <w:szCs w:val="22"/>
              </w:rPr>
              <w:t>Turtles, Yabbies, Frogs (general), Platypus, Water Rat (Rakali), Murray Cray, Shrimp, Emu</w:t>
            </w:r>
            <w:r w:rsidRPr="0024331D">
              <w:rPr>
                <w:szCs w:val="22"/>
                <w:vertAlign w:val="superscript"/>
              </w:rPr>
              <w:t xml:space="preserve"> i</w:t>
            </w:r>
            <w:r w:rsidRPr="0024331D">
              <w:rPr>
                <w:szCs w:val="22"/>
              </w:rPr>
              <w:t>, Macroinvertebrates.</w:t>
            </w:r>
          </w:p>
        </w:tc>
      </w:tr>
    </w:tbl>
    <w:p w14:paraId="1B13EA07" w14:textId="77777777" w:rsidR="0024331D" w:rsidRPr="0024331D" w:rsidRDefault="0024331D" w:rsidP="0024331D">
      <w:pPr>
        <w:rPr>
          <w:b/>
          <w:bCs/>
          <w:lang w:val="en-GB"/>
        </w:rPr>
      </w:pPr>
      <w:r w:rsidRPr="0024331D">
        <w:rPr>
          <w:sz w:val="20"/>
        </w:rPr>
        <w:t xml:space="preserve">  </w:t>
      </w:r>
      <w:r w:rsidRPr="0024331D">
        <w:rPr>
          <w:vertAlign w:val="superscript"/>
        </w:rPr>
        <w:t>i</w:t>
      </w:r>
      <w:r w:rsidRPr="0024331D">
        <w:rPr>
          <w:sz w:val="20"/>
          <w:lang w:val="en-GB"/>
        </w:rPr>
        <w:t xml:space="preserve"> </w:t>
      </w:r>
      <w:r w:rsidRPr="0024331D">
        <w:rPr>
          <w:sz w:val="20"/>
        </w:rPr>
        <w:t>Water for the environment targeting other environmental outcomes may influence this species or objective</w:t>
      </w:r>
    </w:p>
    <w:p w14:paraId="6605D8F2" w14:textId="77777777" w:rsidR="0024331D" w:rsidRPr="0024331D" w:rsidRDefault="0024331D" w:rsidP="0024331D">
      <w:pPr>
        <w:pStyle w:val="Heading3"/>
      </w:pPr>
      <w:r w:rsidRPr="0024331D">
        <w:t>Recent conditions and seasonal outlook</w:t>
      </w:r>
    </w:p>
    <w:p w14:paraId="0960A3EB" w14:textId="77777777" w:rsidR="0024331D" w:rsidRPr="0024331D" w:rsidRDefault="0024331D" w:rsidP="0024331D">
      <w:pPr>
        <w:pStyle w:val="Heading4"/>
      </w:pPr>
      <w:r w:rsidRPr="0024331D">
        <w:t>Recent conditions and environmental water use</w:t>
      </w:r>
    </w:p>
    <w:p w14:paraId="5B7D2657" w14:textId="77777777" w:rsidR="0024331D" w:rsidRPr="0024331D" w:rsidRDefault="0024331D" w:rsidP="0024331D">
      <w:bookmarkStart w:id="172" w:name="_Toc9882684"/>
      <w:r w:rsidRPr="0024331D">
        <w:rPr>
          <w:color w:val="auto"/>
        </w:rPr>
        <w:t xml:space="preserve">The health of the Victorian rivers in the Murray-Darling Basin reflect the climate conditions of the past 20 years. During this period there was prolonged drought conditions between 1997 and 2010. </w:t>
      </w:r>
      <w:r w:rsidRPr="0024331D">
        <w:t>Since the Millennium Drought, three natural high river flow events have occurred (2010-11, 2012-13 and 2016-17) which provided overbank flooding and large flow volumes for many northern Victorian catchments. The years between the floods, and since the 2016 flood, have been moderate or dry. E</w:t>
      </w:r>
      <w:r w:rsidRPr="0024331D">
        <w:rPr>
          <w:color w:val="auto"/>
        </w:rPr>
        <w:t xml:space="preserve">nvironmental watering in northern Victoria has focused on supporting year-round baseflows along with higher in-channel flows (such as freshes) in </w:t>
      </w:r>
      <w:r w:rsidRPr="0024331D">
        <w:t xml:space="preserve">winter and spring. This has contributed to positive ecological outcomes such as maintaining vegetation condition along riverbanks and riparian zones, improved water quality and providing habitat for water bugs and native fish. </w:t>
      </w:r>
      <w:r w:rsidRPr="0024331D">
        <w:rPr>
          <w:color w:val="auto"/>
        </w:rPr>
        <w:t xml:space="preserve">However, in the last three years large volumes of operational </w:t>
      </w:r>
      <w:r w:rsidRPr="0024331D">
        <w:t xml:space="preserve">water have been delivered over the summer months in the Campaspe and Goulburn Rivers to meet the need of downstream users (known as inter-valley transfers). This has caused some erosion and damage to vegetation on the lower parts of the riverbanks in these catchments. </w:t>
      </w:r>
    </w:p>
    <w:p w14:paraId="6B34CBBE" w14:textId="05DB9E9A" w:rsidR="0024331D" w:rsidRPr="0024331D" w:rsidRDefault="0024331D" w:rsidP="0024331D">
      <w:pPr>
        <w:rPr>
          <w:color w:val="auto"/>
        </w:rPr>
      </w:pPr>
      <w:r w:rsidRPr="0024331D">
        <w:t xml:space="preserve">Ongoing </w:t>
      </w:r>
      <w:r w:rsidRPr="0024331D">
        <w:rPr>
          <w:color w:val="auto"/>
        </w:rPr>
        <w:t xml:space="preserve">dry conditions across the northern Victorian catchments mean that many of the sites continue to require water for the environment to maintain the ecological health of the waterways and have high demand, as outlined in </w:t>
      </w:r>
      <w:r w:rsidRPr="0024331D">
        <w:rPr>
          <w:color w:val="auto"/>
        </w:rPr>
        <w:fldChar w:fldCharType="begin"/>
      </w:r>
      <w:r w:rsidRPr="0024331D">
        <w:rPr>
          <w:color w:val="auto"/>
        </w:rPr>
        <w:instrText xml:space="preserve"> REF _Ref42188414 \h  \* MERGEFORMAT </w:instrText>
      </w:r>
      <w:r w:rsidRPr="0024331D">
        <w:rPr>
          <w:color w:val="auto"/>
        </w:rPr>
      </w:r>
      <w:r w:rsidRPr="0024331D">
        <w:rPr>
          <w:color w:val="auto"/>
        </w:rPr>
        <w:fldChar w:fldCharType="separate"/>
      </w:r>
      <w:r w:rsidR="001B2852" w:rsidRPr="001B2852">
        <w:rPr>
          <w:rFonts w:cstheme="minorHAnsi"/>
          <w:szCs w:val="22"/>
        </w:rPr>
        <w:t xml:space="preserve">Table </w:t>
      </w:r>
      <w:r w:rsidR="001B2852" w:rsidRPr="001B2852">
        <w:rPr>
          <w:rFonts w:cstheme="minorHAnsi"/>
          <w:noProof/>
          <w:szCs w:val="22"/>
        </w:rPr>
        <w:t>42</w:t>
      </w:r>
      <w:r w:rsidRPr="0024331D">
        <w:rPr>
          <w:color w:val="auto"/>
        </w:rPr>
        <w:fldChar w:fldCharType="end"/>
      </w:r>
      <w:r w:rsidRPr="0024331D">
        <w:rPr>
          <w:color w:val="auto"/>
        </w:rPr>
        <w:t>.</w:t>
      </w:r>
      <w:bookmarkEnd w:id="172"/>
    </w:p>
    <w:p w14:paraId="637926B1" w14:textId="77777777" w:rsidR="0024331D" w:rsidRPr="0024331D" w:rsidRDefault="0024331D" w:rsidP="0024331D">
      <w:r w:rsidRPr="0024331D">
        <w:t xml:space="preserve">Details of previous Commonwealth environmental use in Victorian Rivers are available at: </w:t>
      </w:r>
      <w:hyperlink r:id="rId282" w:history="1">
        <w:r w:rsidRPr="0024331D">
          <w:rPr>
            <w:rFonts w:cs="Times New Roman"/>
            <w:color w:val="0000FF"/>
            <w:u w:val="single"/>
          </w:rPr>
          <w:t>http://www.environment.gov.au/water/cewo/catchment/northern-victorian-rivers/history</w:t>
        </w:r>
      </w:hyperlink>
      <w:r w:rsidRPr="0024331D">
        <w:t xml:space="preserve">. </w:t>
      </w:r>
    </w:p>
    <w:p w14:paraId="39CE3914" w14:textId="77777777" w:rsidR="0024331D" w:rsidRPr="0024331D" w:rsidRDefault="0024331D" w:rsidP="0024331D">
      <w:pPr>
        <w:spacing w:after="0"/>
        <w:rPr>
          <w:rFonts w:cs="Arial"/>
          <w:i/>
          <w:color w:val="5F497A" w:themeColor="accent4" w:themeShade="BF"/>
          <w:sz w:val="26"/>
          <w:szCs w:val="24"/>
          <w:lang w:val="en-GB"/>
        </w:rPr>
      </w:pPr>
      <w:r w:rsidRPr="0024331D">
        <w:br w:type="page"/>
      </w:r>
    </w:p>
    <w:p w14:paraId="377099DF" w14:textId="77777777" w:rsidR="0024331D" w:rsidRPr="0024331D" w:rsidRDefault="0024331D" w:rsidP="0024331D">
      <w:pPr>
        <w:pStyle w:val="Heading4"/>
      </w:pPr>
      <w:r w:rsidRPr="0024331D">
        <w:lastRenderedPageBreak/>
        <w:t>Seasonal outlook</w:t>
      </w:r>
    </w:p>
    <w:p w14:paraId="75CBBF2C" w14:textId="77777777" w:rsidR="0024331D" w:rsidRPr="0024331D" w:rsidRDefault="0024331D" w:rsidP="0024331D">
      <w:r w:rsidRPr="0024331D">
        <w:t>According to the Bureau of Meteorology outlook (BoM 2020), across northern Victoria there is largely a 60</w:t>
      </w:r>
      <w:r w:rsidRPr="0024331D">
        <w:noBreakHyphen/>
        <w:t>80 per cent chance of above median rainfall from June to August 2020.</w:t>
      </w:r>
    </w:p>
    <w:p w14:paraId="2471FFE9" w14:textId="77777777" w:rsidR="0024331D" w:rsidRPr="0024331D" w:rsidRDefault="0024331D" w:rsidP="0024331D">
      <w:r w:rsidRPr="0024331D">
        <w:t>While this forecast indicates that the severe dry conditions may ease somewhat, several months of above average rainfall are needed to see a recovery from the current long-term drought. Additionally, maximum temperatures are likely to remain slightly below average from June to August.</w:t>
      </w:r>
    </w:p>
    <w:p w14:paraId="44734A1D" w14:textId="77777777" w:rsidR="0024331D" w:rsidRPr="0024331D" w:rsidRDefault="0024331D" w:rsidP="0024331D">
      <w:pPr>
        <w:pStyle w:val="Heading4"/>
      </w:pPr>
      <w:r w:rsidRPr="0024331D">
        <w:t>Water availability</w:t>
      </w:r>
    </w:p>
    <w:p w14:paraId="15EF046B" w14:textId="5BBD8357" w:rsidR="0024331D" w:rsidRPr="0024331D" w:rsidRDefault="0024331D" w:rsidP="0024331D">
      <w:r w:rsidRPr="0024331D">
        <w:t xml:space="preserve">Allocations against Commonwealth water entitlements in the Victorian rivers are determined by the Victorian Government and will vary depending on inflows. The following forecasts in </w:t>
      </w:r>
      <w:r w:rsidRPr="0024331D">
        <w:fldChar w:fldCharType="begin"/>
      </w:r>
      <w:r w:rsidRPr="0024331D">
        <w:instrText xml:space="preserve"> REF _Ref42188414 \h  \* MERGEFORMAT </w:instrText>
      </w:r>
      <w:r w:rsidRPr="0024331D">
        <w:fldChar w:fldCharType="separate"/>
      </w:r>
      <w:r w:rsidR="001B2852" w:rsidRPr="001B2852">
        <w:t xml:space="preserve">Table </w:t>
      </w:r>
      <w:r w:rsidR="001B2852" w:rsidRPr="001B2852">
        <w:rPr>
          <w:noProof/>
        </w:rPr>
        <w:t>42</w:t>
      </w:r>
      <w:r w:rsidRPr="0024331D">
        <w:fldChar w:fldCharType="end"/>
      </w:r>
      <w:r w:rsidRPr="0024331D">
        <w:t xml:space="preserve"> are based on the best available information including state forecasts and historical inflow scenarios.</w:t>
      </w:r>
    </w:p>
    <w:p w14:paraId="0D893419" w14:textId="23FB9360" w:rsidR="0024331D" w:rsidRPr="0024331D" w:rsidRDefault="0024331D" w:rsidP="0024331D">
      <w:pPr>
        <w:spacing w:before="240"/>
        <w:rPr>
          <w:rFonts w:cstheme="minorHAnsi"/>
          <w:b/>
          <w:i/>
          <w:color w:val="auto"/>
          <w:szCs w:val="22"/>
          <w:lang w:val="en-US" w:eastAsia="en-US"/>
        </w:rPr>
      </w:pPr>
      <w:bookmarkStart w:id="173" w:name="_Ref42188414"/>
      <w:r w:rsidRPr="0024331D">
        <w:rPr>
          <w:rFonts w:cstheme="minorHAnsi"/>
          <w:b/>
          <w:color w:val="auto"/>
          <w:szCs w:val="22"/>
          <w:lang w:val="en-US" w:eastAsia="en-US"/>
        </w:rPr>
        <w:t xml:space="preserve">Table </w:t>
      </w:r>
      <w:r w:rsidRPr="0024331D">
        <w:rPr>
          <w:rFonts w:ascii="Calibri" w:hAnsi="Calibri" w:cs="Times New Roman"/>
          <w:color w:val="auto"/>
          <w:sz w:val="20"/>
          <w:lang w:val="en-US" w:eastAsia="en-US"/>
        </w:rPr>
        <w:fldChar w:fldCharType="begin"/>
      </w:r>
      <w:r w:rsidRPr="0024331D">
        <w:rPr>
          <w:rFonts w:cstheme="minorHAnsi"/>
          <w:b/>
          <w:color w:val="auto"/>
          <w:szCs w:val="22"/>
          <w:lang w:val="en-US" w:eastAsia="en-US"/>
        </w:rPr>
        <w:instrText xml:space="preserve"> SEQ Table \* ARABIC </w:instrText>
      </w:r>
      <w:r w:rsidRPr="0024331D">
        <w:rPr>
          <w:rFonts w:ascii="Calibri" w:hAnsi="Calibri" w:cs="Times New Roman"/>
          <w:color w:val="auto"/>
          <w:sz w:val="20"/>
          <w:lang w:val="en-US" w:eastAsia="en-US"/>
        </w:rPr>
        <w:fldChar w:fldCharType="separate"/>
      </w:r>
      <w:r w:rsidR="001B2852">
        <w:rPr>
          <w:rFonts w:cstheme="minorHAnsi"/>
          <w:b/>
          <w:noProof/>
          <w:color w:val="auto"/>
          <w:szCs w:val="22"/>
          <w:lang w:val="en-US" w:eastAsia="en-US"/>
        </w:rPr>
        <w:t>42</w:t>
      </w:r>
      <w:r w:rsidRPr="0024331D">
        <w:rPr>
          <w:rFonts w:ascii="Calibri" w:hAnsi="Calibri" w:cs="Times New Roman"/>
          <w:color w:val="auto"/>
          <w:sz w:val="20"/>
          <w:lang w:val="en-US" w:eastAsia="en-US"/>
        </w:rPr>
        <w:fldChar w:fldCharType="end"/>
      </w:r>
      <w:bookmarkEnd w:id="173"/>
      <w:r w:rsidRPr="0024331D">
        <w:rPr>
          <w:rFonts w:cstheme="minorHAnsi"/>
          <w:b/>
          <w:color w:val="auto"/>
          <w:szCs w:val="22"/>
          <w:lang w:val="en-US" w:eastAsia="en-US"/>
        </w:rPr>
        <w:t xml:space="preserve">:  </w:t>
      </w:r>
      <w:r w:rsidRPr="0024331D">
        <w:rPr>
          <w:rFonts w:cstheme="minorHAnsi"/>
          <w:color w:val="auto"/>
          <w:szCs w:val="22"/>
          <w:lang w:val="en-US" w:eastAsia="en-US"/>
        </w:rPr>
        <w:t>C</w:t>
      </w:r>
      <w:r w:rsidRPr="0024331D">
        <w:rPr>
          <w:rFonts w:ascii="Calibri" w:hAnsi="Calibri" w:cs="Times New Roman"/>
          <w:color w:val="auto"/>
          <w:szCs w:val="22"/>
          <w:lang w:val="en-US" w:eastAsia="en-US"/>
        </w:rPr>
        <w:t>arryover and forecast allocation of Commonwealth environmental water for Victorian rivers in 2020</w:t>
      </w:r>
      <w:r w:rsidRPr="0024331D">
        <w:rPr>
          <w:rFonts w:ascii="Calibri" w:hAnsi="Calibri" w:cs="Times New Roman"/>
          <w:color w:val="auto"/>
          <w:szCs w:val="22"/>
          <w:lang w:val="en-US" w:eastAsia="en-US"/>
        </w:rPr>
        <w:noBreakHyphen/>
        <w:t>21</w:t>
      </w:r>
    </w:p>
    <w:tbl>
      <w:tblPr>
        <w:tblStyle w:val="TableGrid"/>
        <w:tblW w:w="9356" w:type="dxa"/>
        <w:tblInd w:w="-34" w:type="dxa"/>
        <w:tblLook w:val="04A0" w:firstRow="1" w:lastRow="0" w:firstColumn="1" w:lastColumn="0" w:noHBand="0" w:noVBand="1"/>
      </w:tblPr>
      <w:tblGrid>
        <w:gridCol w:w="3686"/>
        <w:gridCol w:w="1559"/>
        <w:gridCol w:w="2055"/>
        <w:gridCol w:w="2056"/>
      </w:tblGrid>
      <w:tr w:rsidR="0024331D" w:rsidRPr="0024331D" w14:paraId="3E5624CC" w14:textId="77777777" w:rsidTr="00583873">
        <w:trPr>
          <w:cnfStyle w:val="100000000000" w:firstRow="1" w:lastRow="0" w:firstColumn="0" w:lastColumn="0" w:oddVBand="0" w:evenVBand="0" w:oddHBand="0" w:evenHBand="0" w:firstRowFirstColumn="0" w:firstRowLastColumn="0" w:lastRowFirstColumn="0" w:lastRowLastColumn="0"/>
          <w:trHeight w:val="655"/>
        </w:trPr>
        <w:tc>
          <w:tcPr>
            <w:tcW w:w="3686"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3A05189" w14:textId="77777777" w:rsidR="0024331D" w:rsidRPr="0024331D" w:rsidRDefault="0024331D" w:rsidP="0024331D">
            <w:pPr>
              <w:jc w:val="center"/>
              <w:rPr>
                <w:rFonts w:cstheme="minorHAnsi"/>
                <w:b/>
              </w:rPr>
            </w:pPr>
            <w:r w:rsidRPr="0024331D">
              <w:rPr>
                <w:rFonts w:cstheme="minorHAnsi"/>
                <w:b/>
              </w:rPr>
              <w:t>Valley</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1864E64A" w14:textId="77777777" w:rsidR="0024331D" w:rsidRPr="0024331D" w:rsidRDefault="0024331D" w:rsidP="0024331D">
            <w:pPr>
              <w:spacing w:after="0"/>
              <w:jc w:val="center"/>
              <w:rPr>
                <w:rFonts w:cstheme="minorHAnsi"/>
                <w:b/>
              </w:rPr>
            </w:pPr>
            <w:r w:rsidRPr="0024331D">
              <w:rPr>
                <w:rFonts w:cstheme="minorHAnsi"/>
                <w:b/>
              </w:rPr>
              <w:t>Carryover from 2019-20 (GL)</w:t>
            </w:r>
          </w:p>
        </w:tc>
        <w:tc>
          <w:tcPr>
            <w:tcW w:w="4111" w:type="dxa"/>
            <w:gridSpan w:val="2"/>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1E35F79" w14:textId="77777777" w:rsidR="0024331D" w:rsidRPr="0024331D" w:rsidRDefault="0024331D" w:rsidP="0024331D">
            <w:pPr>
              <w:spacing w:after="0"/>
              <w:jc w:val="center"/>
              <w:rPr>
                <w:rFonts w:cstheme="minorHAnsi"/>
                <w:b/>
              </w:rPr>
            </w:pPr>
            <w:r w:rsidRPr="0024331D">
              <w:rPr>
                <w:rFonts w:cstheme="minorHAnsi"/>
                <w:b/>
              </w:rPr>
              <w:t>Forecasts of Commonwealth water allocations</w:t>
            </w:r>
          </w:p>
          <w:p w14:paraId="3AD2A6CF" w14:textId="77777777" w:rsidR="0024331D" w:rsidRPr="0024331D" w:rsidRDefault="0024331D" w:rsidP="0024331D">
            <w:pPr>
              <w:jc w:val="center"/>
              <w:rPr>
                <w:rFonts w:cstheme="minorHAnsi"/>
                <w:b/>
              </w:rPr>
            </w:pPr>
            <w:r w:rsidRPr="0024331D">
              <w:rPr>
                <w:rFonts w:cstheme="minorHAnsi"/>
                <w:b/>
              </w:rPr>
              <w:t>(including carryover) in 2020–21 (GL)</w:t>
            </w:r>
          </w:p>
        </w:tc>
      </w:tr>
      <w:tr w:rsidR="0024331D" w:rsidRPr="0024331D" w14:paraId="67123F8D" w14:textId="77777777" w:rsidTr="00583873">
        <w:trPr>
          <w:cnfStyle w:val="000000100000" w:firstRow="0" w:lastRow="0" w:firstColumn="0" w:lastColumn="0" w:oddVBand="0" w:evenVBand="0" w:oddHBand="1" w:evenHBand="0" w:firstRowFirstColumn="0" w:firstRowLastColumn="0" w:lastRowFirstColumn="0" w:lastRowLastColumn="0"/>
          <w:trHeight w:val="24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CE7889" w14:textId="77777777" w:rsidR="0024331D" w:rsidRPr="0024331D" w:rsidRDefault="0024331D" w:rsidP="0024331D">
            <w:pPr>
              <w:spacing w:after="0"/>
              <w:rPr>
                <w:rFonts w:cstheme="minorHAnsi"/>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F2CBC0" w14:textId="77777777" w:rsidR="0024331D" w:rsidRPr="0024331D" w:rsidRDefault="0024331D" w:rsidP="0024331D">
            <w:pPr>
              <w:spacing w:after="0"/>
              <w:rPr>
                <w:rFonts w:cstheme="minorHAnsi"/>
                <w:b/>
              </w:rPr>
            </w:pPr>
          </w:p>
        </w:tc>
        <w:tc>
          <w:tcPr>
            <w:tcW w:w="2055"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D7F767F" w14:textId="77777777" w:rsidR="0024331D" w:rsidRPr="0024331D" w:rsidRDefault="0024331D" w:rsidP="0024331D">
            <w:pPr>
              <w:jc w:val="center"/>
              <w:rPr>
                <w:rFonts w:cstheme="minorHAnsi"/>
                <w:b/>
              </w:rPr>
            </w:pPr>
            <w:r w:rsidRPr="0024331D">
              <w:rPr>
                <w:rFonts w:cstheme="minorHAnsi"/>
                <w:b/>
              </w:rPr>
              <w:t xml:space="preserve">Very dry </w:t>
            </w:r>
          </w:p>
        </w:tc>
        <w:tc>
          <w:tcPr>
            <w:tcW w:w="2056"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6DF18F45" w14:textId="77777777" w:rsidR="0024331D" w:rsidRPr="0024331D" w:rsidRDefault="0024331D" w:rsidP="0024331D">
            <w:pPr>
              <w:jc w:val="center"/>
              <w:rPr>
                <w:rFonts w:cstheme="minorHAnsi"/>
                <w:b/>
              </w:rPr>
            </w:pPr>
            <w:r w:rsidRPr="0024331D">
              <w:rPr>
                <w:rFonts w:cstheme="minorHAnsi"/>
                <w:b/>
              </w:rPr>
              <w:t>Very wet</w:t>
            </w:r>
          </w:p>
        </w:tc>
      </w:tr>
      <w:tr w:rsidR="0024331D" w:rsidRPr="0024331D" w14:paraId="469EE322" w14:textId="77777777" w:rsidTr="00583873">
        <w:trPr>
          <w:cnfStyle w:val="000000010000" w:firstRow="0" w:lastRow="0" w:firstColumn="0" w:lastColumn="0" w:oddVBand="0" w:evenVBand="0" w:oddHBand="0" w:evenHBand="1" w:firstRowFirstColumn="0" w:firstRowLastColumn="0" w:lastRowFirstColumn="0" w:lastRowLastColumn="0"/>
          <w:trHeight w:val="340"/>
        </w:trPr>
        <w:tc>
          <w:tcPr>
            <w:tcW w:w="3686" w:type="dxa"/>
            <w:tcBorders>
              <w:top w:val="single" w:sz="4" w:space="0" w:color="auto"/>
              <w:left w:val="single" w:sz="4" w:space="0" w:color="auto"/>
              <w:bottom w:val="single" w:sz="4" w:space="0" w:color="auto"/>
              <w:right w:val="single" w:sz="4" w:space="0" w:color="auto"/>
            </w:tcBorders>
            <w:vAlign w:val="center"/>
            <w:hideMark/>
          </w:tcPr>
          <w:p w14:paraId="421CFD3B" w14:textId="77777777" w:rsidR="0024331D" w:rsidRPr="0024331D" w:rsidRDefault="0024331D" w:rsidP="0024331D">
            <w:pPr>
              <w:spacing w:after="40"/>
              <w:rPr>
                <w:rFonts w:cstheme="minorHAnsi"/>
              </w:rPr>
            </w:pPr>
            <w:r w:rsidRPr="0024331D">
              <w:rPr>
                <w:rFonts w:cstheme="minorHAnsi"/>
              </w:rPr>
              <w:t xml:space="preserve">Goulburn </w:t>
            </w:r>
          </w:p>
        </w:tc>
        <w:tc>
          <w:tcPr>
            <w:tcW w:w="1559" w:type="dxa"/>
            <w:tcBorders>
              <w:top w:val="single" w:sz="4" w:space="0" w:color="auto"/>
              <w:left w:val="single" w:sz="4" w:space="0" w:color="auto"/>
              <w:bottom w:val="single" w:sz="4" w:space="0" w:color="auto"/>
              <w:right w:val="single" w:sz="4" w:space="0" w:color="auto"/>
            </w:tcBorders>
            <w:vAlign w:val="center"/>
          </w:tcPr>
          <w:p w14:paraId="6D2BA7AF" w14:textId="77777777" w:rsidR="0024331D" w:rsidRPr="0024331D" w:rsidRDefault="0024331D" w:rsidP="0024331D">
            <w:pPr>
              <w:spacing w:after="40"/>
              <w:jc w:val="center"/>
              <w:rPr>
                <w:rFonts w:cstheme="minorHAnsi"/>
              </w:rPr>
            </w:pPr>
            <w:r w:rsidRPr="0024331D">
              <w:rPr>
                <w:rFonts w:cstheme="minorHAnsi"/>
              </w:rPr>
              <w:t>55.2</w:t>
            </w:r>
          </w:p>
        </w:tc>
        <w:tc>
          <w:tcPr>
            <w:tcW w:w="2055" w:type="dxa"/>
            <w:tcBorders>
              <w:top w:val="single" w:sz="4" w:space="0" w:color="auto"/>
              <w:left w:val="single" w:sz="4" w:space="0" w:color="auto"/>
              <w:bottom w:val="single" w:sz="4" w:space="0" w:color="auto"/>
              <w:right w:val="single" w:sz="4" w:space="0" w:color="auto"/>
            </w:tcBorders>
            <w:vAlign w:val="center"/>
          </w:tcPr>
          <w:p w14:paraId="3ECCC9F4" w14:textId="77777777" w:rsidR="0024331D" w:rsidRPr="0024331D" w:rsidRDefault="0024331D" w:rsidP="0024331D">
            <w:pPr>
              <w:spacing w:after="40"/>
              <w:jc w:val="center"/>
              <w:rPr>
                <w:rFonts w:cstheme="minorHAnsi"/>
              </w:rPr>
            </w:pPr>
            <w:r w:rsidRPr="0024331D">
              <w:rPr>
                <w:rFonts w:cstheme="minorHAnsi"/>
              </w:rPr>
              <w:t>198.8</w:t>
            </w:r>
          </w:p>
        </w:tc>
        <w:tc>
          <w:tcPr>
            <w:tcW w:w="2056" w:type="dxa"/>
            <w:tcBorders>
              <w:top w:val="single" w:sz="4" w:space="0" w:color="auto"/>
              <w:left w:val="single" w:sz="4" w:space="0" w:color="auto"/>
              <w:bottom w:val="single" w:sz="4" w:space="0" w:color="auto"/>
              <w:right w:val="single" w:sz="4" w:space="0" w:color="auto"/>
            </w:tcBorders>
            <w:vAlign w:val="center"/>
          </w:tcPr>
          <w:p w14:paraId="516C6656" w14:textId="77777777" w:rsidR="0024331D" w:rsidRPr="0024331D" w:rsidRDefault="0024331D" w:rsidP="0024331D">
            <w:pPr>
              <w:spacing w:after="40"/>
              <w:jc w:val="center"/>
              <w:rPr>
                <w:rFonts w:cstheme="minorHAnsi"/>
              </w:rPr>
            </w:pPr>
            <w:r w:rsidRPr="0024331D">
              <w:rPr>
                <w:rFonts w:cstheme="minorHAnsi"/>
              </w:rPr>
              <w:t>372.8</w:t>
            </w:r>
          </w:p>
        </w:tc>
      </w:tr>
      <w:tr w:rsidR="0024331D" w:rsidRPr="0024331D" w14:paraId="0101486B" w14:textId="77777777" w:rsidTr="00583873">
        <w:trPr>
          <w:cnfStyle w:val="000000100000" w:firstRow="0" w:lastRow="0" w:firstColumn="0" w:lastColumn="0" w:oddVBand="0" w:evenVBand="0" w:oddHBand="1" w:evenHBand="0" w:firstRowFirstColumn="0" w:firstRowLastColumn="0" w:lastRowFirstColumn="0" w:lastRowLastColumn="0"/>
          <w:trHeight w:val="340"/>
        </w:trPr>
        <w:tc>
          <w:tcPr>
            <w:tcW w:w="3686" w:type="dxa"/>
            <w:tcBorders>
              <w:top w:val="single" w:sz="4" w:space="0" w:color="auto"/>
              <w:left w:val="single" w:sz="4" w:space="0" w:color="auto"/>
              <w:bottom w:val="single" w:sz="4" w:space="0" w:color="auto"/>
              <w:right w:val="single" w:sz="4" w:space="0" w:color="auto"/>
            </w:tcBorders>
            <w:vAlign w:val="center"/>
            <w:hideMark/>
          </w:tcPr>
          <w:p w14:paraId="587C6CC9" w14:textId="77777777" w:rsidR="0024331D" w:rsidRPr="0024331D" w:rsidRDefault="0024331D" w:rsidP="0024331D">
            <w:pPr>
              <w:spacing w:after="40"/>
              <w:rPr>
                <w:rFonts w:cstheme="minorHAnsi"/>
              </w:rPr>
            </w:pPr>
            <w:r w:rsidRPr="0024331D">
              <w:rPr>
                <w:rFonts w:cstheme="minorHAnsi"/>
              </w:rPr>
              <w:t>Upper Broken Creek and Broken River</w:t>
            </w:r>
          </w:p>
        </w:tc>
        <w:tc>
          <w:tcPr>
            <w:tcW w:w="1559" w:type="dxa"/>
            <w:tcBorders>
              <w:top w:val="single" w:sz="4" w:space="0" w:color="auto"/>
              <w:left w:val="single" w:sz="4" w:space="0" w:color="auto"/>
              <w:bottom w:val="single" w:sz="4" w:space="0" w:color="auto"/>
              <w:right w:val="single" w:sz="4" w:space="0" w:color="auto"/>
            </w:tcBorders>
            <w:vAlign w:val="center"/>
          </w:tcPr>
          <w:p w14:paraId="38664844" w14:textId="77777777" w:rsidR="0024331D" w:rsidRPr="0024331D" w:rsidRDefault="0024331D" w:rsidP="0024331D">
            <w:pPr>
              <w:spacing w:after="40"/>
              <w:jc w:val="center"/>
              <w:rPr>
                <w:rFonts w:cstheme="minorHAnsi"/>
              </w:rPr>
            </w:pPr>
            <w:r w:rsidRPr="0024331D">
              <w:rPr>
                <w:rFonts w:cstheme="minorHAnsi"/>
              </w:rPr>
              <w:t>0.1</w:t>
            </w:r>
          </w:p>
        </w:tc>
        <w:tc>
          <w:tcPr>
            <w:tcW w:w="2055" w:type="dxa"/>
            <w:tcBorders>
              <w:top w:val="single" w:sz="4" w:space="0" w:color="auto"/>
              <w:left w:val="single" w:sz="4" w:space="0" w:color="auto"/>
              <w:bottom w:val="single" w:sz="4" w:space="0" w:color="auto"/>
              <w:right w:val="single" w:sz="4" w:space="0" w:color="auto"/>
            </w:tcBorders>
            <w:vAlign w:val="center"/>
          </w:tcPr>
          <w:p w14:paraId="46EF2C19" w14:textId="77777777" w:rsidR="0024331D" w:rsidRPr="0024331D" w:rsidRDefault="0024331D" w:rsidP="0024331D">
            <w:pPr>
              <w:spacing w:after="40"/>
              <w:jc w:val="center"/>
              <w:rPr>
                <w:rFonts w:cstheme="minorHAnsi"/>
              </w:rPr>
            </w:pPr>
            <w:r w:rsidRPr="0024331D">
              <w:rPr>
                <w:rFonts w:cstheme="minorHAnsi"/>
              </w:rPr>
              <w:t>0.1</w:t>
            </w:r>
          </w:p>
        </w:tc>
        <w:tc>
          <w:tcPr>
            <w:tcW w:w="2056" w:type="dxa"/>
            <w:tcBorders>
              <w:top w:val="single" w:sz="4" w:space="0" w:color="auto"/>
              <w:left w:val="single" w:sz="4" w:space="0" w:color="auto"/>
              <w:bottom w:val="single" w:sz="4" w:space="0" w:color="auto"/>
              <w:right w:val="single" w:sz="4" w:space="0" w:color="auto"/>
            </w:tcBorders>
            <w:vAlign w:val="center"/>
          </w:tcPr>
          <w:p w14:paraId="607B9B4A" w14:textId="77777777" w:rsidR="0024331D" w:rsidRPr="0024331D" w:rsidRDefault="0024331D" w:rsidP="0024331D">
            <w:pPr>
              <w:spacing w:after="40"/>
              <w:jc w:val="center"/>
              <w:rPr>
                <w:rFonts w:cstheme="minorHAnsi"/>
              </w:rPr>
            </w:pPr>
            <w:r w:rsidRPr="0024331D">
              <w:rPr>
                <w:rFonts w:cstheme="minorHAnsi"/>
              </w:rPr>
              <w:t>0.5</w:t>
            </w:r>
          </w:p>
        </w:tc>
      </w:tr>
      <w:tr w:rsidR="0024331D" w:rsidRPr="0024331D" w14:paraId="6C9C9EA3" w14:textId="77777777" w:rsidTr="00583873">
        <w:trPr>
          <w:cnfStyle w:val="000000010000" w:firstRow="0" w:lastRow="0" w:firstColumn="0" w:lastColumn="0" w:oddVBand="0" w:evenVBand="0" w:oddHBand="0" w:evenHBand="1" w:firstRowFirstColumn="0" w:firstRowLastColumn="0" w:lastRowFirstColumn="0" w:lastRowLastColumn="0"/>
          <w:trHeight w:val="340"/>
        </w:trPr>
        <w:tc>
          <w:tcPr>
            <w:tcW w:w="3686" w:type="dxa"/>
            <w:tcBorders>
              <w:top w:val="single" w:sz="4" w:space="0" w:color="auto"/>
              <w:left w:val="single" w:sz="4" w:space="0" w:color="auto"/>
              <w:bottom w:val="single" w:sz="4" w:space="0" w:color="auto"/>
              <w:right w:val="single" w:sz="4" w:space="0" w:color="auto"/>
            </w:tcBorders>
            <w:vAlign w:val="center"/>
            <w:hideMark/>
          </w:tcPr>
          <w:p w14:paraId="2943DEE1" w14:textId="77777777" w:rsidR="0024331D" w:rsidRPr="0024331D" w:rsidRDefault="0024331D" w:rsidP="0024331D">
            <w:pPr>
              <w:spacing w:after="40"/>
              <w:rPr>
                <w:rFonts w:cstheme="minorHAnsi"/>
              </w:rPr>
            </w:pPr>
            <w:r w:rsidRPr="0024331D">
              <w:rPr>
                <w:rFonts w:cstheme="minorHAnsi"/>
              </w:rPr>
              <w:t>Campaspe</w:t>
            </w:r>
          </w:p>
        </w:tc>
        <w:tc>
          <w:tcPr>
            <w:tcW w:w="1559" w:type="dxa"/>
            <w:tcBorders>
              <w:top w:val="single" w:sz="4" w:space="0" w:color="auto"/>
              <w:left w:val="single" w:sz="4" w:space="0" w:color="auto"/>
              <w:bottom w:val="single" w:sz="4" w:space="0" w:color="auto"/>
              <w:right w:val="single" w:sz="4" w:space="0" w:color="auto"/>
            </w:tcBorders>
            <w:vAlign w:val="center"/>
          </w:tcPr>
          <w:p w14:paraId="2BCA2573" w14:textId="77777777" w:rsidR="0024331D" w:rsidRPr="0024331D" w:rsidRDefault="0024331D" w:rsidP="0024331D">
            <w:pPr>
              <w:spacing w:after="40"/>
              <w:jc w:val="center"/>
              <w:rPr>
                <w:rFonts w:cstheme="minorHAnsi"/>
              </w:rPr>
            </w:pPr>
            <w:r w:rsidRPr="0024331D">
              <w:rPr>
                <w:rFonts w:cstheme="minorHAnsi"/>
              </w:rPr>
              <w:t>0.4</w:t>
            </w:r>
          </w:p>
        </w:tc>
        <w:tc>
          <w:tcPr>
            <w:tcW w:w="2055" w:type="dxa"/>
            <w:tcBorders>
              <w:top w:val="single" w:sz="4" w:space="0" w:color="auto"/>
              <w:left w:val="single" w:sz="4" w:space="0" w:color="auto"/>
              <w:bottom w:val="single" w:sz="4" w:space="0" w:color="auto"/>
              <w:right w:val="single" w:sz="4" w:space="0" w:color="auto"/>
            </w:tcBorders>
            <w:vAlign w:val="center"/>
          </w:tcPr>
          <w:p w14:paraId="050B653D" w14:textId="77777777" w:rsidR="0024331D" w:rsidRPr="0024331D" w:rsidRDefault="0024331D" w:rsidP="0024331D">
            <w:pPr>
              <w:spacing w:after="40"/>
              <w:jc w:val="center"/>
              <w:rPr>
                <w:rFonts w:cstheme="minorHAnsi"/>
              </w:rPr>
            </w:pPr>
            <w:r w:rsidRPr="0024331D">
              <w:rPr>
                <w:rFonts w:cstheme="minorHAnsi"/>
              </w:rPr>
              <w:t>0.7</w:t>
            </w:r>
          </w:p>
        </w:tc>
        <w:tc>
          <w:tcPr>
            <w:tcW w:w="2056" w:type="dxa"/>
            <w:tcBorders>
              <w:top w:val="single" w:sz="4" w:space="0" w:color="auto"/>
              <w:left w:val="single" w:sz="4" w:space="0" w:color="auto"/>
              <w:bottom w:val="single" w:sz="4" w:space="0" w:color="auto"/>
              <w:right w:val="single" w:sz="4" w:space="0" w:color="auto"/>
            </w:tcBorders>
            <w:vAlign w:val="center"/>
          </w:tcPr>
          <w:p w14:paraId="213796B0" w14:textId="77777777" w:rsidR="0024331D" w:rsidRPr="0024331D" w:rsidRDefault="0024331D" w:rsidP="0024331D">
            <w:pPr>
              <w:spacing w:after="40"/>
              <w:jc w:val="center"/>
              <w:rPr>
                <w:rFonts w:cstheme="minorHAnsi"/>
              </w:rPr>
            </w:pPr>
            <w:r w:rsidRPr="0024331D">
              <w:rPr>
                <w:rFonts w:cstheme="minorHAnsi"/>
              </w:rPr>
              <w:t>7</w:t>
            </w:r>
          </w:p>
        </w:tc>
      </w:tr>
      <w:tr w:rsidR="0024331D" w:rsidRPr="0024331D" w14:paraId="5498056D" w14:textId="77777777" w:rsidTr="00583873">
        <w:trPr>
          <w:cnfStyle w:val="000000100000" w:firstRow="0" w:lastRow="0" w:firstColumn="0" w:lastColumn="0" w:oddVBand="0" w:evenVBand="0" w:oddHBand="1" w:evenHBand="0" w:firstRowFirstColumn="0" w:firstRowLastColumn="0" w:lastRowFirstColumn="0" w:lastRowLastColumn="0"/>
          <w:trHeight w:val="340"/>
        </w:trPr>
        <w:tc>
          <w:tcPr>
            <w:tcW w:w="3686" w:type="dxa"/>
            <w:tcBorders>
              <w:top w:val="single" w:sz="4" w:space="0" w:color="auto"/>
              <w:left w:val="single" w:sz="4" w:space="0" w:color="auto"/>
              <w:bottom w:val="single" w:sz="4" w:space="0" w:color="auto"/>
              <w:right w:val="single" w:sz="4" w:space="0" w:color="auto"/>
            </w:tcBorders>
            <w:vAlign w:val="center"/>
            <w:hideMark/>
          </w:tcPr>
          <w:p w14:paraId="4F7EBA5A" w14:textId="77777777" w:rsidR="0024331D" w:rsidRPr="0024331D" w:rsidRDefault="0024331D" w:rsidP="0024331D">
            <w:pPr>
              <w:spacing w:after="40"/>
              <w:rPr>
                <w:rFonts w:cstheme="minorHAnsi"/>
              </w:rPr>
            </w:pPr>
            <w:r w:rsidRPr="0024331D">
              <w:rPr>
                <w:rFonts w:cstheme="minorHAnsi"/>
              </w:rPr>
              <w:t>Loddon</w:t>
            </w:r>
          </w:p>
        </w:tc>
        <w:tc>
          <w:tcPr>
            <w:tcW w:w="1559" w:type="dxa"/>
            <w:tcBorders>
              <w:top w:val="single" w:sz="4" w:space="0" w:color="auto"/>
              <w:left w:val="single" w:sz="4" w:space="0" w:color="auto"/>
              <w:bottom w:val="single" w:sz="4" w:space="0" w:color="auto"/>
              <w:right w:val="single" w:sz="4" w:space="0" w:color="auto"/>
            </w:tcBorders>
            <w:vAlign w:val="center"/>
          </w:tcPr>
          <w:p w14:paraId="4BBFFCEA" w14:textId="77777777" w:rsidR="0024331D" w:rsidRPr="0024331D" w:rsidRDefault="0024331D" w:rsidP="0024331D">
            <w:pPr>
              <w:spacing w:after="40"/>
              <w:jc w:val="center"/>
              <w:rPr>
                <w:rFonts w:cstheme="minorHAnsi"/>
              </w:rPr>
            </w:pPr>
            <w:r w:rsidRPr="0024331D">
              <w:rPr>
                <w:rFonts w:cstheme="minorHAnsi"/>
              </w:rPr>
              <w:t>0</w:t>
            </w:r>
          </w:p>
        </w:tc>
        <w:tc>
          <w:tcPr>
            <w:tcW w:w="2055" w:type="dxa"/>
            <w:tcBorders>
              <w:top w:val="single" w:sz="4" w:space="0" w:color="auto"/>
              <w:left w:val="single" w:sz="4" w:space="0" w:color="auto"/>
              <w:bottom w:val="single" w:sz="4" w:space="0" w:color="auto"/>
              <w:right w:val="single" w:sz="4" w:space="0" w:color="auto"/>
            </w:tcBorders>
            <w:vAlign w:val="center"/>
          </w:tcPr>
          <w:p w14:paraId="1F567E44" w14:textId="77777777" w:rsidR="0024331D" w:rsidRPr="0024331D" w:rsidRDefault="0024331D" w:rsidP="0024331D">
            <w:pPr>
              <w:spacing w:after="40"/>
              <w:jc w:val="center"/>
              <w:rPr>
                <w:rFonts w:cstheme="minorHAnsi"/>
              </w:rPr>
            </w:pPr>
            <w:r w:rsidRPr="0024331D">
              <w:rPr>
                <w:rFonts w:cstheme="minorHAnsi"/>
              </w:rPr>
              <w:t>1.1</w:t>
            </w:r>
          </w:p>
        </w:tc>
        <w:tc>
          <w:tcPr>
            <w:tcW w:w="2056" w:type="dxa"/>
            <w:tcBorders>
              <w:top w:val="single" w:sz="4" w:space="0" w:color="auto"/>
              <w:left w:val="single" w:sz="4" w:space="0" w:color="auto"/>
              <w:bottom w:val="single" w:sz="4" w:space="0" w:color="auto"/>
              <w:right w:val="single" w:sz="4" w:space="0" w:color="auto"/>
            </w:tcBorders>
            <w:vAlign w:val="center"/>
          </w:tcPr>
          <w:p w14:paraId="5436C7B3" w14:textId="77777777" w:rsidR="0024331D" w:rsidRPr="0024331D" w:rsidRDefault="0024331D" w:rsidP="0024331D">
            <w:pPr>
              <w:spacing w:after="40"/>
              <w:jc w:val="center"/>
              <w:rPr>
                <w:rFonts w:cstheme="minorHAnsi"/>
              </w:rPr>
            </w:pPr>
            <w:r w:rsidRPr="0024331D">
              <w:rPr>
                <w:rFonts w:cstheme="minorHAnsi"/>
              </w:rPr>
              <w:t>3.4</w:t>
            </w:r>
          </w:p>
        </w:tc>
      </w:tr>
      <w:tr w:rsidR="0024331D" w:rsidRPr="0024331D" w14:paraId="4F44C398" w14:textId="77777777" w:rsidTr="00583873">
        <w:trPr>
          <w:cnfStyle w:val="000000010000" w:firstRow="0" w:lastRow="0" w:firstColumn="0" w:lastColumn="0" w:oddVBand="0" w:evenVBand="0" w:oddHBand="0" w:evenHBand="1" w:firstRowFirstColumn="0" w:firstRowLastColumn="0" w:lastRowFirstColumn="0" w:lastRowLastColumn="0"/>
          <w:trHeight w:val="340"/>
        </w:trPr>
        <w:tc>
          <w:tcPr>
            <w:tcW w:w="3686" w:type="dxa"/>
            <w:tcBorders>
              <w:top w:val="single" w:sz="4" w:space="0" w:color="auto"/>
              <w:left w:val="single" w:sz="4" w:space="0" w:color="auto"/>
              <w:bottom w:val="single" w:sz="4" w:space="0" w:color="auto"/>
              <w:right w:val="single" w:sz="4" w:space="0" w:color="auto"/>
            </w:tcBorders>
            <w:vAlign w:val="center"/>
            <w:hideMark/>
          </w:tcPr>
          <w:p w14:paraId="671519E9" w14:textId="77777777" w:rsidR="0024331D" w:rsidRPr="0024331D" w:rsidRDefault="0024331D" w:rsidP="0024331D">
            <w:pPr>
              <w:spacing w:after="40"/>
              <w:rPr>
                <w:rFonts w:cstheme="minorHAnsi"/>
              </w:rPr>
            </w:pPr>
            <w:r w:rsidRPr="0024331D">
              <w:rPr>
                <w:rFonts w:cstheme="minorHAnsi"/>
              </w:rPr>
              <w:t>Ovens</w:t>
            </w:r>
          </w:p>
        </w:tc>
        <w:tc>
          <w:tcPr>
            <w:tcW w:w="1559" w:type="dxa"/>
            <w:tcBorders>
              <w:top w:val="single" w:sz="4" w:space="0" w:color="auto"/>
              <w:left w:val="single" w:sz="4" w:space="0" w:color="auto"/>
              <w:bottom w:val="single" w:sz="4" w:space="0" w:color="auto"/>
              <w:right w:val="single" w:sz="4" w:space="0" w:color="auto"/>
            </w:tcBorders>
            <w:vAlign w:val="center"/>
          </w:tcPr>
          <w:p w14:paraId="2F8FEE64" w14:textId="77777777" w:rsidR="0024331D" w:rsidRPr="0024331D" w:rsidRDefault="0024331D" w:rsidP="0024331D">
            <w:pPr>
              <w:spacing w:after="40"/>
              <w:jc w:val="center"/>
              <w:rPr>
                <w:rFonts w:cstheme="minorHAnsi"/>
              </w:rPr>
            </w:pPr>
            <w:r w:rsidRPr="0024331D">
              <w:rPr>
                <w:rFonts w:cstheme="minorHAnsi"/>
              </w:rPr>
              <w:t>0</w:t>
            </w:r>
          </w:p>
        </w:tc>
        <w:tc>
          <w:tcPr>
            <w:tcW w:w="2055" w:type="dxa"/>
            <w:tcBorders>
              <w:top w:val="single" w:sz="4" w:space="0" w:color="auto"/>
              <w:left w:val="single" w:sz="4" w:space="0" w:color="auto"/>
              <w:bottom w:val="single" w:sz="4" w:space="0" w:color="auto"/>
              <w:right w:val="single" w:sz="4" w:space="0" w:color="auto"/>
            </w:tcBorders>
            <w:vAlign w:val="center"/>
          </w:tcPr>
          <w:p w14:paraId="3FB937A3" w14:textId="77777777" w:rsidR="0024331D" w:rsidRPr="0024331D" w:rsidRDefault="0024331D" w:rsidP="0024331D">
            <w:pPr>
              <w:spacing w:after="40"/>
              <w:jc w:val="center"/>
              <w:rPr>
                <w:rFonts w:cstheme="minorHAnsi"/>
              </w:rPr>
            </w:pPr>
            <w:r w:rsidRPr="0024331D">
              <w:rPr>
                <w:rFonts w:cstheme="minorHAnsi"/>
              </w:rPr>
              <w:t>0.1</w:t>
            </w:r>
          </w:p>
        </w:tc>
        <w:tc>
          <w:tcPr>
            <w:tcW w:w="2056" w:type="dxa"/>
            <w:tcBorders>
              <w:top w:val="single" w:sz="4" w:space="0" w:color="auto"/>
              <w:left w:val="single" w:sz="4" w:space="0" w:color="auto"/>
              <w:bottom w:val="single" w:sz="4" w:space="0" w:color="auto"/>
              <w:right w:val="single" w:sz="4" w:space="0" w:color="auto"/>
            </w:tcBorders>
            <w:vAlign w:val="center"/>
          </w:tcPr>
          <w:p w14:paraId="3F9842BB" w14:textId="77777777" w:rsidR="0024331D" w:rsidRPr="0024331D" w:rsidRDefault="0024331D" w:rsidP="0024331D">
            <w:pPr>
              <w:spacing w:after="40"/>
              <w:jc w:val="center"/>
              <w:rPr>
                <w:rFonts w:cstheme="minorHAnsi"/>
              </w:rPr>
            </w:pPr>
            <w:r w:rsidRPr="0024331D">
              <w:rPr>
                <w:rFonts w:cstheme="minorHAnsi"/>
              </w:rPr>
              <w:t>0.1</w:t>
            </w:r>
          </w:p>
        </w:tc>
      </w:tr>
      <w:tr w:rsidR="0024331D" w:rsidRPr="0024331D" w14:paraId="645D9D00" w14:textId="77777777" w:rsidTr="00583873">
        <w:trPr>
          <w:cnfStyle w:val="000000100000" w:firstRow="0" w:lastRow="0" w:firstColumn="0" w:lastColumn="0" w:oddVBand="0" w:evenVBand="0" w:oddHBand="1" w:evenHBand="0" w:firstRowFirstColumn="0" w:firstRowLastColumn="0" w:lastRowFirstColumn="0" w:lastRowLastColumn="0"/>
          <w:trHeight w:val="340"/>
        </w:trPr>
        <w:tc>
          <w:tcPr>
            <w:tcW w:w="3686" w:type="dxa"/>
            <w:tcBorders>
              <w:top w:val="single" w:sz="4" w:space="0" w:color="auto"/>
              <w:left w:val="single" w:sz="4" w:space="0" w:color="auto"/>
              <w:bottom w:val="single" w:sz="4" w:space="0" w:color="auto"/>
              <w:right w:val="single" w:sz="4" w:space="0" w:color="auto"/>
            </w:tcBorders>
            <w:vAlign w:val="center"/>
            <w:hideMark/>
          </w:tcPr>
          <w:p w14:paraId="1C1078E2" w14:textId="77777777" w:rsidR="0024331D" w:rsidRPr="0024331D" w:rsidRDefault="0024331D" w:rsidP="0024331D">
            <w:pPr>
              <w:spacing w:after="40"/>
              <w:rPr>
                <w:rFonts w:cstheme="minorHAnsi"/>
              </w:rPr>
            </w:pPr>
            <w:r w:rsidRPr="0024331D">
              <w:rPr>
                <w:rFonts w:cstheme="minorHAnsi"/>
              </w:rPr>
              <w:t xml:space="preserve">Wimmera </w:t>
            </w:r>
          </w:p>
        </w:tc>
        <w:tc>
          <w:tcPr>
            <w:tcW w:w="1559" w:type="dxa"/>
            <w:tcBorders>
              <w:top w:val="single" w:sz="4" w:space="0" w:color="auto"/>
              <w:left w:val="single" w:sz="4" w:space="0" w:color="auto"/>
              <w:bottom w:val="single" w:sz="4" w:space="0" w:color="auto"/>
              <w:right w:val="single" w:sz="4" w:space="0" w:color="auto"/>
            </w:tcBorders>
            <w:vAlign w:val="center"/>
          </w:tcPr>
          <w:p w14:paraId="3EFA47B3" w14:textId="77777777" w:rsidR="0024331D" w:rsidRPr="0024331D" w:rsidRDefault="0024331D" w:rsidP="0024331D">
            <w:pPr>
              <w:spacing w:after="40"/>
              <w:jc w:val="center"/>
              <w:rPr>
                <w:rFonts w:cstheme="minorHAnsi"/>
              </w:rPr>
            </w:pPr>
            <w:r w:rsidRPr="0024331D">
              <w:rPr>
                <w:rFonts w:cstheme="minorHAnsi"/>
              </w:rPr>
              <w:t>0</w:t>
            </w:r>
          </w:p>
        </w:tc>
        <w:tc>
          <w:tcPr>
            <w:tcW w:w="2055" w:type="dxa"/>
            <w:tcBorders>
              <w:top w:val="single" w:sz="4" w:space="0" w:color="auto"/>
              <w:left w:val="single" w:sz="4" w:space="0" w:color="auto"/>
              <w:bottom w:val="single" w:sz="4" w:space="0" w:color="auto"/>
              <w:right w:val="single" w:sz="4" w:space="0" w:color="auto"/>
            </w:tcBorders>
            <w:vAlign w:val="center"/>
          </w:tcPr>
          <w:p w14:paraId="229D7073" w14:textId="77777777" w:rsidR="0024331D" w:rsidRPr="0024331D" w:rsidRDefault="0024331D" w:rsidP="0024331D">
            <w:pPr>
              <w:spacing w:after="40"/>
              <w:jc w:val="center"/>
              <w:rPr>
                <w:rFonts w:cstheme="minorHAnsi"/>
              </w:rPr>
            </w:pPr>
            <w:r w:rsidRPr="0024331D">
              <w:rPr>
                <w:rFonts w:cstheme="minorHAnsi"/>
              </w:rPr>
              <w:t>0</w:t>
            </w:r>
          </w:p>
        </w:tc>
        <w:tc>
          <w:tcPr>
            <w:tcW w:w="2056" w:type="dxa"/>
            <w:tcBorders>
              <w:top w:val="single" w:sz="4" w:space="0" w:color="auto"/>
              <w:left w:val="single" w:sz="4" w:space="0" w:color="auto"/>
              <w:bottom w:val="single" w:sz="4" w:space="0" w:color="auto"/>
              <w:right w:val="single" w:sz="4" w:space="0" w:color="auto"/>
            </w:tcBorders>
            <w:vAlign w:val="center"/>
          </w:tcPr>
          <w:p w14:paraId="0CEFBE21" w14:textId="77777777" w:rsidR="0024331D" w:rsidRPr="0024331D" w:rsidRDefault="0024331D" w:rsidP="0024331D">
            <w:pPr>
              <w:spacing w:after="40"/>
              <w:jc w:val="center"/>
              <w:rPr>
                <w:rFonts w:cstheme="minorHAnsi"/>
              </w:rPr>
            </w:pPr>
            <w:r w:rsidRPr="0024331D">
              <w:rPr>
                <w:rFonts w:cstheme="minorHAnsi"/>
              </w:rPr>
              <w:t>0</w:t>
            </w:r>
          </w:p>
        </w:tc>
      </w:tr>
      <w:tr w:rsidR="0024331D" w:rsidRPr="0024331D" w14:paraId="3EC8A53B" w14:textId="77777777" w:rsidTr="00583873">
        <w:trPr>
          <w:cnfStyle w:val="000000010000" w:firstRow="0" w:lastRow="0" w:firstColumn="0" w:lastColumn="0" w:oddVBand="0" w:evenVBand="0" w:oddHBand="0" w:evenHBand="1" w:firstRowFirstColumn="0" w:firstRowLastColumn="0" w:lastRowFirstColumn="0" w:lastRowLastColumn="0"/>
          <w:trHeight w:val="411"/>
        </w:trPr>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5CFEDC" w14:textId="77777777" w:rsidR="0024331D" w:rsidRPr="0024331D" w:rsidRDefault="0024331D" w:rsidP="0024331D">
            <w:pPr>
              <w:spacing w:after="40"/>
              <w:rPr>
                <w:rFonts w:cstheme="minorHAnsi"/>
              </w:rPr>
            </w:pPr>
            <w:r w:rsidRPr="0024331D">
              <w:rPr>
                <w:rFonts w:cstheme="minorHAnsi"/>
              </w:rPr>
              <w:t>Total – Southern-connected Basin</w:t>
            </w:r>
            <w:r w:rsidRPr="0024331D">
              <w:rPr>
                <w:rFonts w:cs="Times New Roman"/>
                <w:vertAlign w:val="superscript"/>
              </w:rPr>
              <w:footnoteReference w:id="43"/>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8AA3368" w14:textId="77777777" w:rsidR="0024331D" w:rsidRPr="0024331D" w:rsidRDefault="0024331D" w:rsidP="0024331D">
            <w:pPr>
              <w:spacing w:after="40"/>
              <w:jc w:val="center"/>
              <w:rPr>
                <w:rFonts w:cstheme="minorHAnsi"/>
                <w:color w:val="auto"/>
              </w:rPr>
            </w:pPr>
            <w:r w:rsidRPr="0024331D">
              <w:rPr>
                <w:rFonts w:cstheme="minorHAnsi"/>
                <w:color w:val="auto"/>
              </w:rPr>
              <w:t>267</w:t>
            </w:r>
          </w:p>
        </w:tc>
        <w:tc>
          <w:tcPr>
            <w:tcW w:w="2055" w:type="dxa"/>
            <w:tcBorders>
              <w:top w:val="single" w:sz="4" w:space="0" w:color="auto"/>
              <w:left w:val="single" w:sz="4" w:space="0" w:color="auto"/>
              <w:bottom w:val="single" w:sz="4" w:space="0" w:color="auto"/>
              <w:right w:val="single" w:sz="4" w:space="0" w:color="auto"/>
            </w:tcBorders>
            <w:shd w:val="clear" w:color="auto" w:fill="auto"/>
            <w:vAlign w:val="center"/>
          </w:tcPr>
          <w:p w14:paraId="648315CA" w14:textId="77777777" w:rsidR="0024331D" w:rsidRPr="0024331D" w:rsidRDefault="0024331D" w:rsidP="0024331D">
            <w:pPr>
              <w:spacing w:after="40"/>
              <w:jc w:val="center"/>
              <w:rPr>
                <w:rFonts w:cstheme="minorHAnsi"/>
                <w:color w:val="auto"/>
              </w:rPr>
            </w:pPr>
            <w:r w:rsidRPr="0024331D">
              <w:rPr>
                <w:rFonts w:cstheme="minorHAnsi"/>
                <w:color w:val="auto"/>
              </w:rPr>
              <w:t>821</w:t>
            </w:r>
          </w:p>
        </w:tc>
        <w:tc>
          <w:tcPr>
            <w:tcW w:w="2056" w:type="dxa"/>
            <w:tcBorders>
              <w:top w:val="single" w:sz="4" w:space="0" w:color="auto"/>
              <w:left w:val="single" w:sz="4" w:space="0" w:color="auto"/>
              <w:bottom w:val="single" w:sz="4" w:space="0" w:color="auto"/>
              <w:right w:val="single" w:sz="4" w:space="0" w:color="auto"/>
            </w:tcBorders>
            <w:shd w:val="clear" w:color="auto" w:fill="auto"/>
            <w:vAlign w:val="center"/>
          </w:tcPr>
          <w:p w14:paraId="13E7CDA3" w14:textId="77777777" w:rsidR="0024331D" w:rsidRPr="0024331D" w:rsidRDefault="0024331D" w:rsidP="0024331D">
            <w:pPr>
              <w:spacing w:after="40"/>
              <w:jc w:val="center"/>
              <w:rPr>
                <w:rFonts w:cstheme="minorHAnsi"/>
                <w:color w:val="auto"/>
              </w:rPr>
            </w:pPr>
            <w:r w:rsidRPr="0024331D">
              <w:rPr>
                <w:rFonts w:cstheme="minorHAnsi"/>
                <w:color w:val="auto"/>
              </w:rPr>
              <w:t>1 829</w:t>
            </w:r>
          </w:p>
        </w:tc>
      </w:tr>
    </w:tbl>
    <w:p w14:paraId="3277990F" w14:textId="77777777" w:rsidR="0024331D" w:rsidRPr="0024331D" w:rsidRDefault="0024331D" w:rsidP="0024331D">
      <w:pPr>
        <w:spacing w:after="240"/>
        <w:rPr>
          <w:rFonts w:cstheme="minorHAnsi"/>
          <w:color w:val="548DD4" w:themeColor="text2" w:themeTint="99"/>
          <w:szCs w:val="22"/>
          <w:lang w:val="en-US" w:eastAsia="en-US"/>
        </w:rPr>
      </w:pPr>
    </w:p>
    <w:p w14:paraId="31379903" w14:textId="77777777" w:rsidR="0024331D" w:rsidRPr="0024331D" w:rsidRDefault="0024331D" w:rsidP="0024331D">
      <w:pPr>
        <w:pStyle w:val="Heading4"/>
      </w:pPr>
      <w:r w:rsidRPr="0024331D">
        <w:t>Environmental demands</w:t>
      </w:r>
    </w:p>
    <w:p w14:paraId="3CF5C349" w14:textId="77777777" w:rsidR="0024331D" w:rsidRPr="0024331D" w:rsidRDefault="0024331D" w:rsidP="0024331D">
      <w:r w:rsidRPr="0024331D">
        <w:t>Not all environmental demands can and will be met using held environmental water. Some demands are met by regulated water deliveries for consumptive purposes and inter-valley transfers, while others are met by large unregulated/natural flow events or are beyond what can be delivered within current operational limits. There may be opportunities for Basin State governments to relax these limits, which will improve the efficiency and/or effectiveness of environmental watering.</w:t>
      </w:r>
    </w:p>
    <w:p w14:paraId="3B518E07" w14:textId="6D5803E9" w:rsidR="0024331D" w:rsidRPr="0024331D" w:rsidRDefault="0024331D" w:rsidP="0024331D">
      <w:r w:rsidRPr="0024331D">
        <w:rPr>
          <w:noProof/>
        </w:rPr>
        <w:t>T</w:t>
      </w:r>
      <w:r w:rsidRPr="0024331D">
        <w:t xml:space="preserve">he environmental water demands for assets in Victorian Rivers in 2020-21 are represented in </w:t>
      </w:r>
      <w:r w:rsidRPr="0024331D">
        <w:fldChar w:fldCharType="begin"/>
      </w:r>
      <w:r w:rsidRPr="0024331D">
        <w:instrText xml:space="preserve"> REF _Ref42189177 \h </w:instrText>
      </w:r>
      <w:r w:rsidRPr="0024331D">
        <w:fldChar w:fldCharType="separate"/>
      </w:r>
      <w:r w:rsidR="001B2852" w:rsidRPr="0024331D">
        <w:rPr>
          <w:b/>
        </w:rPr>
        <w:t xml:space="preserve">Table </w:t>
      </w:r>
      <w:r w:rsidR="001B2852">
        <w:rPr>
          <w:b/>
          <w:noProof/>
        </w:rPr>
        <w:t>43</w:t>
      </w:r>
      <w:r w:rsidRPr="0024331D">
        <w:fldChar w:fldCharType="end"/>
      </w:r>
      <w:r w:rsidRPr="0024331D">
        <w:t>. Note that the capacity to contribute to these environmental demands is contingent on a substantial improvement in water availability in the catchment.</w:t>
      </w:r>
    </w:p>
    <w:p w14:paraId="42C27976" w14:textId="77777777" w:rsidR="0024331D" w:rsidRPr="0024331D" w:rsidRDefault="0024331D" w:rsidP="0024331D">
      <w:pPr>
        <w:spacing w:after="240"/>
        <w:rPr>
          <w:rFonts w:ascii="Century Gothic" w:hAnsi="Century Gothic" w:cs="Times New Roman"/>
          <w:color w:val="auto"/>
          <w:sz w:val="20"/>
          <w:lang w:val="en-US" w:eastAsia="en-US"/>
        </w:rPr>
        <w:sectPr w:rsidR="0024331D" w:rsidRPr="0024331D" w:rsidSect="00583873">
          <w:footnotePr>
            <w:numRestart w:val="eachSect"/>
          </w:footnotePr>
          <w:pgSz w:w="11906" w:h="16838"/>
          <w:pgMar w:top="993" w:right="1133" w:bottom="1135" w:left="993" w:header="567" w:footer="397" w:gutter="0"/>
          <w:cols w:space="708"/>
          <w:docGrid w:linePitch="360"/>
        </w:sectPr>
      </w:pPr>
    </w:p>
    <w:p w14:paraId="39BA7251" w14:textId="1237B31E" w:rsidR="0024331D" w:rsidRPr="0024331D" w:rsidRDefault="0024331D" w:rsidP="0024331D">
      <w:bookmarkStart w:id="174" w:name="_Ref42189177"/>
      <w:r w:rsidRPr="0024331D">
        <w:rPr>
          <w:b/>
        </w:rPr>
        <w:lastRenderedPageBreak/>
        <w:t xml:space="preserve">Table </w:t>
      </w:r>
      <w:r w:rsidRPr="0024331D">
        <w:rPr>
          <w:b/>
        </w:rPr>
        <w:fldChar w:fldCharType="begin"/>
      </w:r>
      <w:r w:rsidRPr="0024331D">
        <w:rPr>
          <w:b/>
        </w:rPr>
        <w:instrText xml:space="preserve"> SEQ Table \* ARABIC </w:instrText>
      </w:r>
      <w:r w:rsidRPr="0024331D">
        <w:rPr>
          <w:b/>
        </w:rPr>
        <w:fldChar w:fldCharType="separate"/>
      </w:r>
      <w:r w:rsidR="001B2852">
        <w:rPr>
          <w:b/>
          <w:noProof/>
        </w:rPr>
        <w:t>43</w:t>
      </w:r>
      <w:r w:rsidRPr="0024331D">
        <w:rPr>
          <w:b/>
          <w:noProof/>
        </w:rPr>
        <w:fldChar w:fldCharType="end"/>
      </w:r>
      <w:bookmarkEnd w:id="174"/>
      <w:r w:rsidRPr="0024331D">
        <w:t>: Environmental demands, priority for watering in 2020-21 and outlook for coming year in Victorian Rivers.</w:t>
      </w:r>
    </w:p>
    <w:p w14:paraId="40C06E15" w14:textId="77777777" w:rsidR="0024331D" w:rsidRPr="0024331D" w:rsidRDefault="0024331D" w:rsidP="0024331D">
      <w:pPr>
        <w:rPr>
          <w:sz w:val="20"/>
        </w:rPr>
      </w:pPr>
      <w:r w:rsidRPr="0024331D">
        <w:rPr>
          <w:sz w:val="20"/>
        </w:rPr>
        <w:t>For northern Victorian Rivers a flow range is provided for each potential watering action. This allows for flexibility of delivery across the year depending on water availability which can range between Very Low, Low, Moderate, High and Very High. For example, volumes at the lower end of range and/or shorter duration during dry conditions and an increased magnitude and/or duration and/or additional freshes as resource availability increases. In all rivers it is aimed to have some flow all year-round, with no cease flow experienced.</w:t>
      </w:r>
    </w:p>
    <w:p w14:paraId="314C019C" w14:textId="77777777" w:rsidR="0024331D" w:rsidRPr="0024331D" w:rsidRDefault="0024331D" w:rsidP="0024331D">
      <w:pPr>
        <w:rPr>
          <w:sz w:val="20"/>
        </w:rPr>
      </w:pPr>
      <w:r w:rsidRPr="0024331D">
        <w:rPr>
          <w:sz w:val="20"/>
        </w:rPr>
        <w:t xml:space="preserve">The information in this table is consistent with the draft VEWH Seasonal Watering Plan (VEWH 2020) and the relevant CMA Seasonal Watering Proposals (GBCMA a-d 2020; NCCMA a, b 2020; NECMA 2020; WCMA 2020).  </w:t>
      </w:r>
    </w:p>
    <w:tbl>
      <w:tblPr>
        <w:tblStyle w:val="TableGrid"/>
        <w:tblW w:w="21830" w:type="dxa"/>
        <w:tblInd w:w="-5" w:type="dxa"/>
        <w:tblLayout w:type="fixed"/>
        <w:tblLook w:val="04A0" w:firstRow="1" w:lastRow="0" w:firstColumn="1" w:lastColumn="0" w:noHBand="0" w:noVBand="1"/>
      </w:tblPr>
      <w:tblGrid>
        <w:gridCol w:w="2403"/>
        <w:gridCol w:w="4103"/>
        <w:gridCol w:w="2126"/>
        <w:gridCol w:w="4693"/>
        <w:gridCol w:w="1964"/>
        <w:gridCol w:w="20"/>
        <w:gridCol w:w="4249"/>
        <w:gridCol w:w="2272"/>
      </w:tblGrid>
      <w:tr w:rsidR="0024331D" w:rsidRPr="0024331D" w14:paraId="49D6C5CB" w14:textId="77777777" w:rsidTr="00583873">
        <w:trPr>
          <w:cnfStyle w:val="100000000000" w:firstRow="1" w:lastRow="0" w:firstColumn="0" w:lastColumn="0" w:oddVBand="0" w:evenVBand="0" w:oddHBand="0" w:evenHBand="0" w:firstRowFirstColumn="0" w:firstRowLastColumn="0" w:lastRowFirstColumn="0" w:lastRowLastColumn="0"/>
          <w:trHeight w:val="699"/>
          <w:tblHeader/>
        </w:trPr>
        <w:tc>
          <w:tcPr>
            <w:tcW w:w="2403" w:type="dxa"/>
            <w:vMerge w:val="restart"/>
            <w:tcBorders>
              <w:top w:val="single" w:sz="12" w:space="0" w:color="auto"/>
              <w:left w:val="single" w:sz="12" w:space="0" w:color="auto"/>
            </w:tcBorders>
            <w:shd w:val="clear" w:color="auto" w:fill="B6DDE8" w:themeFill="accent5" w:themeFillTint="66"/>
            <w:vAlign w:val="center"/>
          </w:tcPr>
          <w:p w14:paraId="4BE67950" w14:textId="77777777" w:rsidR="0024331D" w:rsidRPr="0024331D" w:rsidRDefault="0024331D" w:rsidP="0024331D">
            <w:pPr>
              <w:spacing w:before="60" w:after="0"/>
              <w:jc w:val="center"/>
              <w:rPr>
                <w:rFonts w:cstheme="minorHAnsi"/>
                <w:b/>
                <w:sz w:val="18"/>
                <w:szCs w:val="18"/>
              </w:rPr>
            </w:pPr>
            <w:bookmarkStart w:id="175" w:name="_Hlk36647916"/>
            <w:r w:rsidRPr="0024331D">
              <w:rPr>
                <w:rFonts w:cstheme="minorHAnsi"/>
                <w:b/>
                <w:sz w:val="18"/>
                <w:szCs w:val="18"/>
              </w:rPr>
              <w:t>Environmental assets</w:t>
            </w:r>
          </w:p>
        </w:tc>
        <w:tc>
          <w:tcPr>
            <w:tcW w:w="6229" w:type="dxa"/>
            <w:gridSpan w:val="2"/>
            <w:tcBorders>
              <w:top w:val="single" w:sz="12" w:space="0" w:color="auto"/>
            </w:tcBorders>
            <w:shd w:val="clear" w:color="auto" w:fill="B6DDE8" w:themeFill="accent5" w:themeFillTint="66"/>
            <w:vAlign w:val="center"/>
          </w:tcPr>
          <w:p w14:paraId="63C8E261" w14:textId="77777777" w:rsidR="0024331D" w:rsidRPr="0024331D" w:rsidRDefault="0024331D" w:rsidP="0024331D">
            <w:pPr>
              <w:spacing w:before="60" w:after="0"/>
              <w:jc w:val="center"/>
              <w:rPr>
                <w:rFonts w:cstheme="minorHAnsi"/>
                <w:b/>
                <w:sz w:val="18"/>
                <w:szCs w:val="18"/>
              </w:rPr>
            </w:pPr>
            <w:r w:rsidRPr="0024331D">
              <w:rPr>
                <w:rFonts w:cstheme="minorHAnsi"/>
                <w:b/>
                <w:sz w:val="18"/>
                <w:szCs w:val="18"/>
              </w:rPr>
              <w:t xml:space="preserve">Indicative demand (for </w:t>
            </w:r>
            <w:r w:rsidRPr="0024331D">
              <w:rPr>
                <w:rFonts w:cstheme="minorHAnsi"/>
                <w:b/>
                <w:sz w:val="18"/>
                <w:szCs w:val="18"/>
                <w:u w:val="single"/>
              </w:rPr>
              <w:t>all sources of water</w:t>
            </w:r>
            <w:r w:rsidRPr="0024331D">
              <w:rPr>
                <w:rFonts w:cstheme="minorHAnsi"/>
                <w:b/>
                <w:sz w:val="18"/>
                <w:szCs w:val="18"/>
              </w:rPr>
              <w:t xml:space="preserve"> in the system</w:t>
            </w:r>
          </w:p>
        </w:tc>
        <w:tc>
          <w:tcPr>
            <w:tcW w:w="4693" w:type="dxa"/>
            <w:vMerge w:val="restart"/>
            <w:tcBorders>
              <w:top w:val="single" w:sz="12" w:space="0" w:color="auto"/>
            </w:tcBorders>
            <w:shd w:val="clear" w:color="auto" w:fill="B6DDE8" w:themeFill="accent5" w:themeFillTint="66"/>
            <w:vAlign w:val="center"/>
          </w:tcPr>
          <w:p w14:paraId="2CA187CB" w14:textId="77777777" w:rsidR="0024331D" w:rsidRPr="0024331D" w:rsidRDefault="0024331D" w:rsidP="0024331D">
            <w:pPr>
              <w:spacing w:before="60" w:after="0"/>
              <w:jc w:val="center"/>
              <w:rPr>
                <w:rFonts w:cstheme="minorHAnsi"/>
                <w:b/>
                <w:sz w:val="18"/>
                <w:szCs w:val="18"/>
              </w:rPr>
            </w:pPr>
            <w:r w:rsidRPr="0024331D">
              <w:rPr>
                <w:rFonts w:cstheme="minorHAnsi"/>
                <w:b/>
                <w:sz w:val="18"/>
                <w:szCs w:val="18"/>
              </w:rPr>
              <w:t>Watering History (from all sources of water)</w:t>
            </w:r>
          </w:p>
          <w:p w14:paraId="4BE34772" w14:textId="77777777" w:rsidR="0024331D" w:rsidRPr="0024331D" w:rsidRDefault="0024331D" w:rsidP="0024331D">
            <w:pPr>
              <w:spacing w:before="60" w:after="0"/>
              <w:jc w:val="center"/>
              <w:rPr>
                <w:rFonts w:cstheme="minorHAnsi"/>
                <w:b/>
                <w:sz w:val="18"/>
                <w:szCs w:val="18"/>
              </w:rPr>
            </w:pPr>
          </w:p>
        </w:tc>
        <w:tc>
          <w:tcPr>
            <w:tcW w:w="6233" w:type="dxa"/>
            <w:gridSpan w:val="3"/>
            <w:tcBorders>
              <w:top w:val="single" w:sz="12" w:space="0" w:color="auto"/>
            </w:tcBorders>
            <w:shd w:val="clear" w:color="auto" w:fill="B6DDE8" w:themeFill="accent5" w:themeFillTint="66"/>
            <w:vAlign w:val="center"/>
          </w:tcPr>
          <w:p w14:paraId="6938ABF1" w14:textId="77777777" w:rsidR="0024331D" w:rsidRPr="0024331D" w:rsidRDefault="0024331D" w:rsidP="0024331D">
            <w:pPr>
              <w:spacing w:before="60" w:after="0"/>
              <w:jc w:val="center"/>
              <w:rPr>
                <w:rFonts w:cstheme="minorHAnsi"/>
                <w:b/>
                <w:color w:val="auto"/>
                <w:sz w:val="18"/>
                <w:szCs w:val="18"/>
              </w:rPr>
            </w:pPr>
            <w:r w:rsidRPr="0024331D">
              <w:rPr>
                <w:rFonts w:cstheme="minorHAnsi"/>
                <w:b/>
                <w:color w:val="auto"/>
                <w:sz w:val="18"/>
                <w:szCs w:val="18"/>
              </w:rPr>
              <w:t>2020-21</w:t>
            </w:r>
          </w:p>
        </w:tc>
        <w:tc>
          <w:tcPr>
            <w:tcW w:w="2272" w:type="dxa"/>
            <w:tcBorders>
              <w:top w:val="single" w:sz="12" w:space="0" w:color="auto"/>
              <w:right w:val="single" w:sz="12" w:space="0" w:color="auto"/>
            </w:tcBorders>
            <w:shd w:val="clear" w:color="auto" w:fill="B6DDE8" w:themeFill="accent5" w:themeFillTint="66"/>
            <w:vAlign w:val="center"/>
          </w:tcPr>
          <w:p w14:paraId="3E2919FD" w14:textId="77777777" w:rsidR="0024331D" w:rsidRPr="0024331D" w:rsidRDefault="0024331D" w:rsidP="0024331D">
            <w:pPr>
              <w:spacing w:before="60" w:after="0"/>
              <w:jc w:val="center"/>
              <w:rPr>
                <w:rFonts w:cstheme="minorHAnsi"/>
                <w:b/>
                <w:color w:val="auto"/>
                <w:sz w:val="18"/>
                <w:szCs w:val="18"/>
              </w:rPr>
            </w:pPr>
            <w:r w:rsidRPr="0024331D">
              <w:rPr>
                <w:rFonts w:cstheme="minorHAnsi"/>
                <w:b/>
                <w:color w:val="auto"/>
                <w:sz w:val="18"/>
                <w:szCs w:val="18"/>
              </w:rPr>
              <w:t>Implications for future demands</w:t>
            </w:r>
          </w:p>
        </w:tc>
      </w:tr>
      <w:tr w:rsidR="0024331D" w:rsidRPr="0024331D" w14:paraId="2BFBFA53" w14:textId="77777777" w:rsidTr="00583873">
        <w:trPr>
          <w:cnfStyle w:val="100000000000" w:firstRow="1" w:lastRow="0" w:firstColumn="0" w:lastColumn="0" w:oddVBand="0" w:evenVBand="0" w:oddHBand="0" w:evenHBand="0" w:firstRowFirstColumn="0" w:firstRowLastColumn="0" w:lastRowFirstColumn="0" w:lastRowLastColumn="0"/>
          <w:trHeight w:val="984"/>
          <w:tblHeader/>
        </w:trPr>
        <w:tc>
          <w:tcPr>
            <w:tcW w:w="2403" w:type="dxa"/>
            <w:vMerge/>
            <w:tcBorders>
              <w:left w:val="single" w:sz="12" w:space="0" w:color="auto"/>
              <w:bottom w:val="single" w:sz="12" w:space="0" w:color="auto"/>
            </w:tcBorders>
            <w:shd w:val="clear" w:color="auto" w:fill="B6DDE8" w:themeFill="accent5" w:themeFillTint="66"/>
            <w:vAlign w:val="center"/>
          </w:tcPr>
          <w:p w14:paraId="4F6ED024" w14:textId="77777777" w:rsidR="0024331D" w:rsidRPr="0024331D" w:rsidRDefault="0024331D" w:rsidP="0024331D">
            <w:pPr>
              <w:spacing w:before="60" w:after="0"/>
              <w:rPr>
                <w:rFonts w:cstheme="minorHAnsi"/>
                <w:b/>
                <w:sz w:val="18"/>
                <w:szCs w:val="18"/>
              </w:rPr>
            </w:pPr>
          </w:p>
        </w:tc>
        <w:tc>
          <w:tcPr>
            <w:tcW w:w="4103" w:type="dxa"/>
            <w:tcBorders>
              <w:bottom w:val="single" w:sz="12" w:space="0" w:color="auto"/>
            </w:tcBorders>
            <w:shd w:val="clear" w:color="auto" w:fill="B6DDE8" w:themeFill="accent5" w:themeFillTint="66"/>
            <w:vAlign w:val="center"/>
          </w:tcPr>
          <w:p w14:paraId="6933D549" w14:textId="77777777" w:rsidR="0024331D" w:rsidRPr="0024331D" w:rsidRDefault="0024331D" w:rsidP="0024331D">
            <w:pPr>
              <w:spacing w:before="60" w:after="0"/>
              <w:jc w:val="center"/>
              <w:rPr>
                <w:rFonts w:cstheme="minorHAnsi"/>
                <w:b/>
                <w:sz w:val="18"/>
                <w:szCs w:val="18"/>
              </w:rPr>
            </w:pPr>
            <w:r w:rsidRPr="0024331D">
              <w:rPr>
                <w:rFonts w:cstheme="minorHAnsi"/>
                <w:b/>
                <w:sz w:val="18"/>
                <w:szCs w:val="18"/>
              </w:rPr>
              <w:t>Flow/Volume</w:t>
            </w:r>
          </w:p>
        </w:tc>
        <w:tc>
          <w:tcPr>
            <w:tcW w:w="2126" w:type="dxa"/>
            <w:tcBorders>
              <w:bottom w:val="single" w:sz="12" w:space="0" w:color="auto"/>
            </w:tcBorders>
            <w:shd w:val="clear" w:color="auto" w:fill="B6DDE8" w:themeFill="accent5" w:themeFillTint="66"/>
            <w:vAlign w:val="center"/>
          </w:tcPr>
          <w:p w14:paraId="048A340E" w14:textId="77777777" w:rsidR="0024331D" w:rsidRPr="0024331D" w:rsidRDefault="0024331D" w:rsidP="0024331D">
            <w:pPr>
              <w:spacing w:before="60" w:after="0"/>
              <w:jc w:val="center"/>
              <w:rPr>
                <w:rFonts w:cstheme="minorHAnsi"/>
                <w:b/>
                <w:sz w:val="18"/>
                <w:szCs w:val="18"/>
              </w:rPr>
            </w:pPr>
            <w:r w:rsidRPr="0024331D">
              <w:rPr>
                <w:rFonts w:cstheme="minorHAnsi"/>
                <w:b/>
                <w:sz w:val="18"/>
                <w:szCs w:val="18"/>
              </w:rPr>
              <w:t>Required Frequency (maximum dry interval)</w:t>
            </w:r>
          </w:p>
        </w:tc>
        <w:tc>
          <w:tcPr>
            <w:tcW w:w="4693" w:type="dxa"/>
            <w:vMerge/>
            <w:tcBorders>
              <w:bottom w:val="single" w:sz="12" w:space="0" w:color="auto"/>
            </w:tcBorders>
            <w:shd w:val="clear" w:color="auto" w:fill="B6DDE8" w:themeFill="accent5" w:themeFillTint="66"/>
            <w:vAlign w:val="center"/>
          </w:tcPr>
          <w:p w14:paraId="44FBAB18" w14:textId="77777777" w:rsidR="0024331D" w:rsidRPr="0024331D" w:rsidRDefault="0024331D" w:rsidP="0024331D">
            <w:pPr>
              <w:spacing w:before="60" w:after="0"/>
              <w:jc w:val="center"/>
              <w:rPr>
                <w:rFonts w:cstheme="minorHAnsi"/>
                <w:b/>
                <w:sz w:val="18"/>
                <w:szCs w:val="18"/>
              </w:rPr>
            </w:pPr>
          </w:p>
        </w:tc>
        <w:tc>
          <w:tcPr>
            <w:tcW w:w="1964" w:type="dxa"/>
            <w:tcBorders>
              <w:bottom w:val="single" w:sz="12" w:space="0" w:color="auto"/>
            </w:tcBorders>
            <w:shd w:val="clear" w:color="auto" w:fill="B6DDE8" w:themeFill="accent5" w:themeFillTint="66"/>
            <w:vAlign w:val="center"/>
          </w:tcPr>
          <w:p w14:paraId="05DF7F6E" w14:textId="77777777" w:rsidR="0024331D" w:rsidRPr="0024331D" w:rsidRDefault="0024331D" w:rsidP="0024331D">
            <w:pPr>
              <w:spacing w:before="60" w:after="0"/>
              <w:jc w:val="center"/>
              <w:rPr>
                <w:rFonts w:cstheme="minorHAnsi"/>
                <w:b/>
                <w:color w:val="auto"/>
                <w:sz w:val="18"/>
                <w:szCs w:val="18"/>
              </w:rPr>
            </w:pPr>
            <w:r w:rsidRPr="0024331D">
              <w:rPr>
                <w:rFonts w:cstheme="minorHAnsi"/>
                <w:b/>
                <w:color w:val="auto"/>
                <w:sz w:val="18"/>
                <w:szCs w:val="18"/>
              </w:rPr>
              <w:t>Environmental demand for water</w:t>
            </w:r>
          </w:p>
        </w:tc>
        <w:tc>
          <w:tcPr>
            <w:tcW w:w="4269" w:type="dxa"/>
            <w:gridSpan w:val="2"/>
            <w:tcBorders>
              <w:bottom w:val="single" w:sz="12" w:space="0" w:color="auto"/>
            </w:tcBorders>
            <w:shd w:val="clear" w:color="auto" w:fill="B6DDE8" w:themeFill="accent5" w:themeFillTint="66"/>
            <w:vAlign w:val="center"/>
          </w:tcPr>
          <w:p w14:paraId="6A284BEA" w14:textId="77777777" w:rsidR="0024331D" w:rsidRPr="0024331D" w:rsidRDefault="0024331D" w:rsidP="0024331D">
            <w:pPr>
              <w:spacing w:before="60" w:after="0"/>
              <w:jc w:val="center"/>
              <w:rPr>
                <w:rFonts w:cstheme="minorHAnsi"/>
                <w:b/>
                <w:color w:val="auto"/>
                <w:sz w:val="18"/>
                <w:szCs w:val="18"/>
              </w:rPr>
            </w:pPr>
            <w:r w:rsidRPr="0024331D">
              <w:rPr>
                <w:rFonts w:cstheme="minorHAnsi"/>
                <w:b/>
                <w:color w:val="auto"/>
                <w:sz w:val="18"/>
                <w:szCs w:val="18"/>
              </w:rPr>
              <w:t>Potential Commonwealth environmental water contribution</w:t>
            </w:r>
          </w:p>
        </w:tc>
        <w:tc>
          <w:tcPr>
            <w:tcW w:w="2272" w:type="dxa"/>
            <w:tcBorders>
              <w:bottom w:val="single" w:sz="12" w:space="0" w:color="auto"/>
              <w:right w:val="single" w:sz="12" w:space="0" w:color="auto"/>
            </w:tcBorders>
            <w:shd w:val="clear" w:color="auto" w:fill="B6DDE8" w:themeFill="accent5" w:themeFillTint="66"/>
            <w:vAlign w:val="center"/>
          </w:tcPr>
          <w:p w14:paraId="26F54F9D" w14:textId="77777777" w:rsidR="0024331D" w:rsidRPr="0024331D" w:rsidRDefault="0024331D" w:rsidP="0024331D">
            <w:pPr>
              <w:spacing w:before="60" w:after="0"/>
              <w:jc w:val="center"/>
              <w:rPr>
                <w:rFonts w:cstheme="minorHAnsi"/>
                <w:b/>
                <w:color w:val="auto"/>
                <w:sz w:val="18"/>
                <w:szCs w:val="18"/>
              </w:rPr>
            </w:pPr>
            <w:r w:rsidRPr="0024331D">
              <w:rPr>
                <w:rFonts w:cstheme="minorHAnsi"/>
                <w:b/>
                <w:color w:val="auto"/>
                <w:sz w:val="18"/>
                <w:szCs w:val="18"/>
              </w:rPr>
              <w:t>Likely environmental demand in 2021-22 if watering occurred as planned in 2020-21</w:t>
            </w:r>
          </w:p>
        </w:tc>
      </w:tr>
      <w:bookmarkEnd w:id="175"/>
      <w:tr w:rsidR="0024331D" w:rsidRPr="0024331D" w14:paraId="36A0B21B" w14:textId="77777777" w:rsidTr="00583873">
        <w:trPr>
          <w:cnfStyle w:val="000000100000" w:firstRow="0" w:lastRow="0" w:firstColumn="0" w:lastColumn="0" w:oddVBand="0" w:evenVBand="0" w:oddHBand="1" w:evenHBand="0" w:firstRowFirstColumn="0" w:firstRowLastColumn="0" w:lastRowFirstColumn="0" w:lastRowLastColumn="0"/>
          <w:trHeight w:val="2778"/>
        </w:trPr>
        <w:tc>
          <w:tcPr>
            <w:tcW w:w="2403" w:type="dxa"/>
            <w:vMerge w:val="restart"/>
            <w:tcBorders>
              <w:top w:val="single" w:sz="12" w:space="0" w:color="auto"/>
              <w:left w:val="single" w:sz="12" w:space="0" w:color="auto"/>
            </w:tcBorders>
          </w:tcPr>
          <w:p w14:paraId="7CBF1625" w14:textId="77777777" w:rsidR="0024331D" w:rsidRPr="0024331D" w:rsidRDefault="0024331D" w:rsidP="0024331D">
            <w:pPr>
              <w:spacing w:before="120" w:after="0"/>
              <w:rPr>
                <w:rFonts w:cstheme="minorHAnsi"/>
                <w:b/>
                <w:color w:val="000000" w:themeColor="text1"/>
                <w:sz w:val="18"/>
                <w:szCs w:val="18"/>
              </w:rPr>
            </w:pPr>
            <w:r w:rsidRPr="0024331D">
              <w:rPr>
                <w:rFonts w:cstheme="minorHAnsi"/>
                <w:b/>
                <w:color w:val="000000" w:themeColor="text1"/>
                <w:sz w:val="18"/>
                <w:szCs w:val="18"/>
              </w:rPr>
              <w:t xml:space="preserve">Goulburn River </w:t>
            </w:r>
          </w:p>
          <w:p w14:paraId="49C17B08" w14:textId="77777777" w:rsidR="0024331D" w:rsidRPr="0024331D" w:rsidRDefault="0024331D" w:rsidP="0024331D">
            <w:pPr>
              <w:rPr>
                <w:rFonts w:cstheme="minorHAnsi"/>
                <w:i/>
                <w:color w:val="000000" w:themeColor="text1"/>
                <w:sz w:val="18"/>
                <w:szCs w:val="18"/>
              </w:rPr>
            </w:pPr>
            <w:r w:rsidRPr="0024331D">
              <w:rPr>
                <w:rFonts w:cstheme="minorHAnsi"/>
                <w:i/>
                <w:color w:val="000000" w:themeColor="text1"/>
                <w:sz w:val="18"/>
                <w:szCs w:val="18"/>
              </w:rPr>
              <w:t xml:space="preserve">reach 4 Goulburn Weir to Loch Garry; and reach 5 Loch Garry to the River Murray </w:t>
            </w:r>
          </w:p>
          <w:p w14:paraId="1E99C9D6"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 xml:space="preserve">Native fish - Murray cod, trout cod, Macquarie perch, golden perch and fresh water catfish </w:t>
            </w:r>
          </w:p>
          <w:p w14:paraId="0CE0C7C0"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Bank vegetation, especially littoral vegetation and river red gum trees that shade the river and provide: habitat for animals including the squirrel glider; carbon from fallen leaves; habitat for birds such as egrets, herons and cormorants.</w:t>
            </w:r>
          </w:p>
          <w:p w14:paraId="265BBC49"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 xml:space="preserve"> Frogs also benefit from inundated vegetation at the edge of the river channel.</w:t>
            </w:r>
          </w:p>
          <w:p w14:paraId="28530474"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Waterbugs</w:t>
            </w:r>
          </w:p>
          <w:p w14:paraId="13DE9801" w14:textId="77777777" w:rsidR="0024331D" w:rsidRPr="0024331D" w:rsidRDefault="0024331D" w:rsidP="0024331D">
            <w:pPr>
              <w:rPr>
                <w:rFonts w:cstheme="minorHAnsi"/>
                <w:color w:val="000000" w:themeColor="text1"/>
                <w:sz w:val="16"/>
                <w:szCs w:val="18"/>
              </w:rPr>
            </w:pPr>
            <w:r w:rsidRPr="0024331D">
              <w:rPr>
                <w:rFonts w:cstheme="minorHAnsi"/>
                <w:color w:val="000000" w:themeColor="text1"/>
                <w:sz w:val="18"/>
              </w:rPr>
              <w:t>During the past two years very high volumes of intervalley transfer water has impacted on the planned deliver of e-water and this may continue during 2020</w:t>
            </w:r>
            <w:r w:rsidRPr="0024331D">
              <w:rPr>
                <w:rFonts w:cstheme="minorHAnsi"/>
                <w:color w:val="000000" w:themeColor="text1"/>
                <w:sz w:val="18"/>
              </w:rPr>
              <w:noBreakHyphen/>
              <w:t>21 if dry conditions continue.</w:t>
            </w:r>
          </w:p>
          <w:p w14:paraId="5D7A2B3D" w14:textId="77777777" w:rsidR="0024331D" w:rsidRPr="0024331D" w:rsidRDefault="0024331D" w:rsidP="0024331D">
            <w:pPr>
              <w:contextualSpacing/>
              <w:rPr>
                <w:rFonts w:cstheme="minorHAnsi"/>
                <w:color w:val="000000" w:themeColor="text1"/>
                <w:highlight w:val="yellow"/>
              </w:rPr>
            </w:pPr>
          </w:p>
        </w:tc>
        <w:tc>
          <w:tcPr>
            <w:tcW w:w="4103" w:type="dxa"/>
            <w:tcBorders>
              <w:top w:val="single" w:sz="12" w:space="0" w:color="auto"/>
            </w:tcBorders>
            <w:vAlign w:val="center"/>
          </w:tcPr>
          <w:p w14:paraId="32D9AAF0"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Low flow (all year)</w:t>
            </w:r>
          </w:p>
          <w:p w14:paraId="637F829E" w14:textId="77777777" w:rsidR="0024331D" w:rsidRPr="0024331D" w:rsidRDefault="0024331D" w:rsidP="0024331D">
            <w:pPr>
              <w:rPr>
                <w:rFonts w:cstheme="minorHAnsi"/>
                <w:color w:val="000000" w:themeColor="text1"/>
                <w:sz w:val="18"/>
                <w:szCs w:val="18"/>
                <w:highlight w:val="yellow"/>
              </w:rPr>
            </w:pPr>
            <w:r w:rsidRPr="0024331D">
              <w:rPr>
                <w:rFonts w:cstheme="minorHAnsi"/>
                <w:color w:val="000000" w:themeColor="text1"/>
                <w:sz w:val="18"/>
                <w:szCs w:val="18"/>
              </w:rPr>
              <w:t xml:space="preserve">500-940 ML/day to: provide slow shallow habitat for small-bodied fish and deep water habitat for large-bodied fish; submerge snags to provide habitat for fish, waterbugs and biofilm growth; maintain aquatic vegetation and water the root zone of vegetation on the lower bank; encourage the production of plankton for food; and disrupt biofilms and maintain water quality. </w:t>
            </w:r>
          </w:p>
        </w:tc>
        <w:tc>
          <w:tcPr>
            <w:tcW w:w="2126" w:type="dxa"/>
            <w:tcBorders>
              <w:top w:val="single" w:sz="12" w:space="0" w:color="auto"/>
            </w:tcBorders>
            <w:vAlign w:val="center"/>
          </w:tcPr>
          <w:p w14:paraId="2DC2C18A" w14:textId="77777777" w:rsidR="0024331D" w:rsidRPr="0024331D" w:rsidRDefault="0024331D" w:rsidP="0024331D">
            <w:pPr>
              <w:spacing w:beforeLines="40" w:before="96"/>
              <w:rPr>
                <w:rFonts w:cstheme="minorHAnsi"/>
                <w:color w:val="000000" w:themeColor="text1"/>
                <w:sz w:val="18"/>
                <w:szCs w:val="18"/>
              </w:rPr>
            </w:pPr>
            <w:r w:rsidRPr="0024331D">
              <w:rPr>
                <w:rFonts w:cstheme="minorHAnsi"/>
                <w:color w:val="000000" w:themeColor="text1"/>
                <w:sz w:val="18"/>
                <w:szCs w:val="18"/>
              </w:rPr>
              <w:t>Annually with all levels of water availability</w:t>
            </w:r>
          </w:p>
        </w:tc>
        <w:tc>
          <w:tcPr>
            <w:tcW w:w="4693" w:type="dxa"/>
            <w:tcBorders>
              <w:top w:val="single" w:sz="12" w:space="0" w:color="auto"/>
            </w:tcBorders>
            <w:vAlign w:val="center"/>
          </w:tcPr>
          <w:p w14:paraId="23879251"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Minimum low flows have been delivered every year since the Millennium drought.</w:t>
            </w:r>
          </w:p>
        </w:tc>
        <w:tc>
          <w:tcPr>
            <w:tcW w:w="1964" w:type="dxa"/>
            <w:tcBorders>
              <w:top w:val="single" w:sz="12" w:space="0" w:color="auto"/>
            </w:tcBorders>
            <w:shd w:val="clear" w:color="auto" w:fill="FF0000"/>
            <w:vAlign w:val="center"/>
          </w:tcPr>
          <w:p w14:paraId="2304F655"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c>
          <w:tcPr>
            <w:tcW w:w="4269" w:type="dxa"/>
            <w:gridSpan w:val="2"/>
            <w:tcBorders>
              <w:top w:val="single" w:sz="12" w:space="0" w:color="auto"/>
            </w:tcBorders>
            <w:shd w:val="clear" w:color="auto" w:fill="365F91" w:themeFill="accent1" w:themeFillShade="BF"/>
            <w:vAlign w:val="center"/>
          </w:tcPr>
          <w:p w14:paraId="106AEA9B" w14:textId="77777777" w:rsidR="0024331D" w:rsidRPr="0024331D" w:rsidRDefault="0024331D" w:rsidP="0024331D">
            <w:pPr>
              <w:jc w:val="center"/>
              <w:rPr>
                <w:rFonts w:cstheme="minorHAnsi"/>
                <w:color w:val="auto"/>
                <w:sz w:val="18"/>
                <w:szCs w:val="18"/>
              </w:rPr>
            </w:pPr>
            <w:r w:rsidRPr="0024331D">
              <w:rPr>
                <w:color w:val="auto"/>
                <w:sz w:val="18"/>
                <w:szCs w:val="18"/>
              </w:rPr>
              <w:t xml:space="preserve">High priority for Commonwealth environmental water. However likely to be met by other water sources such as natural or operational flows for large parts of the year. </w:t>
            </w:r>
          </w:p>
        </w:tc>
        <w:tc>
          <w:tcPr>
            <w:tcW w:w="2272" w:type="dxa"/>
            <w:tcBorders>
              <w:top w:val="single" w:sz="12" w:space="0" w:color="auto"/>
              <w:right w:val="single" w:sz="12" w:space="0" w:color="auto"/>
            </w:tcBorders>
            <w:shd w:val="clear" w:color="auto" w:fill="FF0000"/>
            <w:vAlign w:val="center"/>
          </w:tcPr>
          <w:p w14:paraId="70B6F9F9"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tr w:rsidR="0024331D" w:rsidRPr="0024331D" w14:paraId="75282B00" w14:textId="77777777" w:rsidTr="00583873">
        <w:trPr>
          <w:cnfStyle w:val="000000010000" w:firstRow="0" w:lastRow="0" w:firstColumn="0" w:lastColumn="0" w:oddVBand="0" w:evenVBand="0" w:oddHBand="0" w:evenHBand="1" w:firstRowFirstColumn="0" w:firstRowLastColumn="0" w:lastRowFirstColumn="0" w:lastRowLastColumn="0"/>
          <w:trHeight w:val="3061"/>
        </w:trPr>
        <w:tc>
          <w:tcPr>
            <w:tcW w:w="2403" w:type="dxa"/>
            <w:vMerge/>
            <w:tcBorders>
              <w:left w:val="single" w:sz="12" w:space="0" w:color="auto"/>
            </w:tcBorders>
          </w:tcPr>
          <w:p w14:paraId="4DDD77F8" w14:textId="77777777" w:rsidR="0024331D" w:rsidRPr="0024331D" w:rsidRDefault="0024331D" w:rsidP="0024331D">
            <w:pPr>
              <w:rPr>
                <w:rFonts w:cstheme="minorHAnsi"/>
                <w:b/>
                <w:color w:val="000000" w:themeColor="text1"/>
                <w:sz w:val="18"/>
                <w:szCs w:val="18"/>
                <w:highlight w:val="yellow"/>
              </w:rPr>
            </w:pPr>
            <w:bookmarkStart w:id="176" w:name="_Hlk41582881"/>
          </w:p>
        </w:tc>
        <w:tc>
          <w:tcPr>
            <w:tcW w:w="4103" w:type="dxa"/>
            <w:vAlign w:val="center"/>
          </w:tcPr>
          <w:p w14:paraId="44504DD8"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At least one winter/spring fresh (July-Oct)</w:t>
            </w:r>
          </w:p>
          <w:p w14:paraId="57C72EC2"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 xml:space="preserve">&gt;6 600 ML/day for 14 days for lower bank vegetation establishment and maintenance. Deliver using tributary flows where possible, rather than releases from Eildon. </w:t>
            </w:r>
          </w:p>
          <w:p w14:paraId="0F59B9C5" w14:textId="77777777" w:rsidR="0024331D" w:rsidRPr="0024331D" w:rsidRDefault="0024331D" w:rsidP="0024331D">
            <w:pPr>
              <w:rPr>
                <w:rFonts w:cstheme="minorHAnsi"/>
                <w:color w:val="000000" w:themeColor="text1"/>
                <w:sz w:val="18"/>
                <w:szCs w:val="18"/>
                <w:highlight w:val="yellow"/>
                <w:vertAlign w:val="superscript"/>
              </w:rPr>
            </w:pPr>
            <w:r w:rsidRPr="0024331D">
              <w:rPr>
                <w:rFonts w:cstheme="minorHAnsi"/>
                <w:color w:val="000000" w:themeColor="text1"/>
                <w:sz w:val="18"/>
                <w:szCs w:val="18"/>
              </w:rPr>
              <w:t xml:space="preserve">If there is no natural event then deliver as a managed event in Sept/Oct to inundate vegetation on benches and the lower banks to facilitate recruitment, sustain growth, and encourage flowering, seed development and distribution. </w:t>
            </w:r>
          </w:p>
        </w:tc>
        <w:tc>
          <w:tcPr>
            <w:tcW w:w="2126" w:type="dxa"/>
            <w:vAlign w:val="center"/>
          </w:tcPr>
          <w:p w14:paraId="0038869F" w14:textId="77777777" w:rsidR="0024331D" w:rsidRPr="0024331D" w:rsidRDefault="0024331D" w:rsidP="0024331D">
            <w:pPr>
              <w:spacing w:beforeLines="40" w:before="96"/>
              <w:rPr>
                <w:rFonts w:cstheme="minorHAnsi"/>
                <w:color w:val="000000" w:themeColor="text1"/>
                <w:sz w:val="18"/>
                <w:szCs w:val="18"/>
                <w:highlight w:val="yellow"/>
              </w:rPr>
            </w:pPr>
            <w:r w:rsidRPr="0024331D">
              <w:rPr>
                <w:rFonts w:cstheme="minorHAnsi"/>
                <w:color w:val="000000" w:themeColor="text1"/>
                <w:sz w:val="18"/>
                <w:szCs w:val="18"/>
              </w:rPr>
              <w:t xml:space="preserve">Annually except </w:t>
            </w:r>
          </w:p>
        </w:tc>
        <w:tc>
          <w:tcPr>
            <w:tcW w:w="4693" w:type="dxa"/>
            <w:vAlign w:val="center"/>
          </w:tcPr>
          <w:p w14:paraId="13914341"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An early spring flow was delivered in 2012-13, not delivered in 2013-14 and partially met during 2014-15 and 2015-16. Since then, LTIM has identified the early spring fresh as important to deliver each year. This demand has been met every year since 2016-17, including in 2019-20.</w:t>
            </w:r>
          </w:p>
        </w:tc>
        <w:tc>
          <w:tcPr>
            <w:tcW w:w="1964" w:type="dxa"/>
            <w:shd w:val="clear" w:color="auto" w:fill="FF0000"/>
            <w:vAlign w:val="center"/>
          </w:tcPr>
          <w:p w14:paraId="46CDBEA6"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c>
          <w:tcPr>
            <w:tcW w:w="4269" w:type="dxa"/>
            <w:gridSpan w:val="2"/>
            <w:shd w:val="clear" w:color="auto" w:fill="365F91" w:themeFill="accent1" w:themeFillShade="BF"/>
            <w:vAlign w:val="center"/>
          </w:tcPr>
          <w:p w14:paraId="5E17CAB0" w14:textId="77777777" w:rsidR="0024331D" w:rsidRPr="0024331D" w:rsidRDefault="0024331D" w:rsidP="0024331D">
            <w:pPr>
              <w:jc w:val="center"/>
              <w:rPr>
                <w:rFonts w:cstheme="minorHAnsi"/>
                <w:color w:val="auto"/>
                <w:sz w:val="18"/>
                <w:szCs w:val="18"/>
              </w:rPr>
            </w:pPr>
            <w:r w:rsidRPr="0024331D">
              <w:rPr>
                <w:color w:val="auto"/>
                <w:sz w:val="18"/>
                <w:szCs w:val="18"/>
              </w:rPr>
              <w:t>High priority for Commonwealth environmental water (likely to receive water even under a very low water resource availability)</w:t>
            </w:r>
          </w:p>
        </w:tc>
        <w:tc>
          <w:tcPr>
            <w:tcW w:w="2272" w:type="dxa"/>
            <w:tcBorders>
              <w:right w:val="single" w:sz="12" w:space="0" w:color="auto"/>
            </w:tcBorders>
            <w:shd w:val="clear" w:color="auto" w:fill="FF0000"/>
            <w:vAlign w:val="center"/>
          </w:tcPr>
          <w:p w14:paraId="51C7B2EE"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bookmarkEnd w:id="176"/>
      <w:tr w:rsidR="0024331D" w:rsidRPr="0024331D" w14:paraId="74E84717" w14:textId="77777777" w:rsidTr="00583873">
        <w:trPr>
          <w:cnfStyle w:val="000000100000" w:firstRow="0" w:lastRow="0" w:firstColumn="0" w:lastColumn="0" w:oddVBand="0" w:evenVBand="0" w:oddHBand="1" w:evenHBand="0" w:firstRowFirstColumn="0" w:firstRowLastColumn="0" w:lastRowFirstColumn="0" w:lastRowLastColumn="0"/>
          <w:trHeight w:val="1757"/>
        </w:trPr>
        <w:tc>
          <w:tcPr>
            <w:tcW w:w="2403" w:type="dxa"/>
            <w:vMerge/>
            <w:tcBorders>
              <w:left w:val="single" w:sz="12" w:space="0" w:color="auto"/>
            </w:tcBorders>
          </w:tcPr>
          <w:p w14:paraId="21069756" w14:textId="77777777" w:rsidR="0024331D" w:rsidRPr="0024331D" w:rsidRDefault="0024331D" w:rsidP="0024331D">
            <w:pPr>
              <w:rPr>
                <w:rFonts w:cstheme="minorHAnsi"/>
                <w:b/>
                <w:color w:val="000000" w:themeColor="text1"/>
                <w:sz w:val="18"/>
                <w:szCs w:val="18"/>
                <w:highlight w:val="yellow"/>
              </w:rPr>
            </w:pPr>
          </w:p>
        </w:tc>
        <w:tc>
          <w:tcPr>
            <w:tcW w:w="4103" w:type="dxa"/>
            <w:vAlign w:val="center"/>
          </w:tcPr>
          <w:p w14:paraId="14E88D4B"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Spring/summer low flow (after a spring fresh)</w:t>
            </w:r>
          </w:p>
          <w:p w14:paraId="388141ED"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&lt;1 000 ML/day for 5–6 weeks to allow newly grown plants to establish, provide bank stability and provide habitat for small-bodied fish and waterbugs.</w:t>
            </w:r>
          </w:p>
        </w:tc>
        <w:tc>
          <w:tcPr>
            <w:tcW w:w="2126" w:type="dxa"/>
            <w:vAlign w:val="center"/>
          </w:tcPr>
          <w:p w14:paraId="51CAE61B" w14:textId="77777777" w:rsidR="0024331D" w:rsidRPr="0024331D" w:rsidRDefault="0024331D" w:rsidP="0024331D">
            <w:pPr>
              <w:spacing w:beforeLines="40" w:before="96"/>
              <w:rPr>
                <w:rFonts w:cstheme="minorHAnsi"/>
                <w:color w:val="000000" w:themeColor="text1"/>
                <w:sz w:val="18"/>
                <w:szCs w:val="18"/>
              </w:rPr>
            </w:pPr>
            <w:r w:rsidRPr="0024331D">
              <w:rPr>
                <w:rFonts w:cstheme="minorHAnsi"/>
                <w:color w:val="000000" w:themeColor="text1"/>
                <w:sz w:val="18"/>
                <w:szCs w:val="18"/>
              </w:rPr>
              <w:t>Annually with all levels of water availability</w:t>
            </w:r>
          </w:p>
        </w:tc>
        <w:tc>
          <w:tcPr>
            <w:tcW w:w="4693" w:type="dxa"/>
            <w:vAlign w:val="center"/>
          </w:tcPr>
          <w:p w14:paraId="6FEA7ECF"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This was partially achieved in 2019-20, the first year it was included as a flow requirement. IVT flows commenced four weeks into this period and exceeded the recommended flow.</w:t>
            </w:r>
          </w:p>
        </w:tc>
        <w:tc>
          <w:tcPr>
            <w:tcW w:w="6233" w:type="dxa"/>
            <w:gridSpan w:val="3"/>
            <w:shd w:val="clear" w:color="auto" w:fill="FFFFFF" w:themeFill="background1"/>
            <w:vAlign w:val="center"/>
          </w:tcPr>
          <w:p w14:paraId="120FC5B6"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 xml:space="preserve">This is a demand to </w:t>
            </w:r>
            <w:r w:rsidRPr="0024331D">
              <w:rPr>
                <w:rFonts w:cstheme="minorHAnsi"/>
                <w:color w:val="auto"/>
                <w:sz w:val="18"/>
                <w:szCs w:val="18"/>
                <w:u w:val="single"/>
              </w:rPr>
              <w:t>not</w:t>
            </w:r>
            <w:r w:rsidRPr="0024331D">
              <w:rPr>
                <w:rFonts w:cstheme="minorHAnsi"/>
                <w:color w:val="auto"/>
                <w:sz w:val="18"/>
                <w:szCs w:val="18"/>
              </w:rPr>
              <w:t xml:space="preserve"> provide water above a given flow rate  </w:t>
            </w:r>
          </w:p>
        </w:tc>
        <w:tc>
          <w:tcPr>
            <w:tcW w:w="2272" w:type="dxa"/>
            <w:tcBorders>
              <w:right w:val="single" w:sz="12" w:space="0" w:color="auto"/>
            </w:tcBorders>
            <w:shd w:val="clear" w:color="auto" w:fill="FF0000"/>
            <w:vAlign w:val="center"/>
          </w:tcPr>
          <w:p w14:paraId="022089FF"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 xml:space="preserve">High </w:t>
            </w:r>
          </w:p>
          <w:p w14:paraId="355ABBED"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due to vegetation damage caused by prolonged IVT flows in previous years</w:t>
            </w:r>
          </w:p>
        </w:tc>
      </w:tr>
      <w:tr w:rsidR="0024331D" w:rsidRPr="0024331D" w14:paraId="3043C432" w14:textId="77777777" w:rsidTr="00583873">
        <w:trPr>
          <w:cnfStyle w:val="000000010000" w:firstRow="0" w:lastRow="0" w:firstColumn="0" w:lastColumn="0" w:oddVBand="0" w:evenVBand="0" w:oddHBand="0" w:evenHBand="1" w:firstRowFirstColumn="0" w:firstRowLastColumn="0" w:lastRowFirstColumn="0" w:lastRowLastColumn="0"/>
          <w:trHeight w:val="2211"/>
        </w:trPr>
        <w:tc>
          <w:tcPr>
            <w:tcW w:w="2403" w:type="dxa"/>
            <w:vMerge/>
            <w:tcBorders>
              <w:left w:val="single" w:sz="12" w:space="0" w:color="auto"/>
            </w:tcBorders>
          </w:tcPr>
          <w:p w14:paraId="0DFC45F4" w14:textId="77777777" w:rsidR="0024331D" w:rsidRPr="0024331D" w:rsidRDefault="0024331D" w:rsidP="0024331D">
            <w:pPr>
              <w:rPr>
                <w:rFonts w:cstheme="minorHAnsi"/>
                <w:b/>
                <w:color w:val="000000" w:themeColor="text1"/>
                <w:sz w:val="18"/>
                <w:szCs w:val="18"/>
                <w:highlight w:val="yellow"/>
              </w:rPr>
            </w:pPr>
          </w:p>
        </w:tc>
        <w:tc>
          <w:tcPr>
            <w:tcW w:w="4103" w:type="dxa"/>
            <w:vAlign w:val="center"/>
          </w:tcPr>
          <w:p w14:paraId="22145A37"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Spring/summer fresh (Nov/Dec)</w:t>
            </w:r>
          </w:p>
          <w:p w14:paraId="01D5A8C8"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 xml:space="preserve">When possible, &gt;6 600 for 1 day for native fish spawning. </w:t>
            </w:r>
          </w:p>
          <w:p w14:paraId="7CB8A7FD" w14:textId="77777777" w:rsidR="0024331D" w:rsidRPr="0024331D" w:rsidRDefault="0024331D" w:rsidP="0024331D">
            <w:pPr>
              <w:rPr>
                <w:rFonts w:cstheme="minorHAnsi"/>
                <w:color w:val="000000" w:themeColor="text1"/>
                <w:sz w:val="18"/>
                <w:szCs w:val="18"/>
                <w:highlight w:val="yellow"/>
                <w:vertAlign w:val="superscript"/>
              </w:rPr>
            </w:pPr>
            <w:r w:rsidRPr="0024331D">
              <w:rPr>
                <w:rFonts w:cstheme="minorHAnsi"/>
                <w:color w:val="000000" w:themeColor="text1"/>
                <w:sz w:val="18"/>
                <w:szCs w:val="18"/>
              </w:rPr>
              <w:t>This will not be delivered if the spring/summer 5-6 weeks low flow for vegetation has not been achieved.</w:t>
            </w:r>
          </w:p>
        </w:tc>
        <w:tc>
          <w:tcPr>
            <w:tcW w:w="2126" w:type="dxa"/>
            <w:vAlign w:val="center"/>
          </w:tcPr>
          <w:p w14:paraId="5311A2FA" w14:textId="77777777" w:rsidR="0024331D" w:rsidRPr="0024331D" w:rsidRDefault="0024331D" w:rsidP="0024331D">
            <w:pPr>
              <w:spacing w:beforeLines="40" w:before="96"/>
              <w:rPr>
                <w:rFonts w:cstheme="minorHAnsi"/>
                <w:color w:val="000000" w:themeColor="text1"/>
                <w:sz w:val="18"/>
                <w:szCs w:val="18"/>
                <w:highlight w:val="yellow"/>
              </w:rPr>
            </w:pPr>
            <w:r w:rsidRPr="0024331D">
              <w:rPr>
                <w:rFonts w:cstheme="minorHAnsi"/>
                <w:color w:val="000000" w:themeColor="text1"/>
                <w:sz w:val="18"/>
                <w:szCs w:val="18"/>
              </w:rPr>
              <w:t>When conditions are suitable except with Very Low water availability</w:t>
            </w:r>
          </w:p>
        </w:tc>
        <w:tc>
          <w:tcPr>
            <w:tcW w:w="4693" w:type="dxa"/>
            <w:vAlign w:val="center"/>
          </w:tcPr>
          <w:p w14:paraId="66A62A5C" w14:textId="77777777" w:rsidR="0024331D" w:rsidRPr="0024331D" w:rsidRDefault="0024331D" w:rsidP="0024331D">
            <w:pPr>
              <w:spacing w:before="120"/>
              <w:rPr>
                <w:rFonts w:cstheme="minorHAnsi"/>
                <w:color w:val="000000" w:themeColor="text1"/>
                <w:sz w:val="18"/>
                <w:szCs w:val="18"/>
                <w:highlight w:val="yellow"/>
              </w:rPr>
            </w:pPr>
            <w:r w:rsidRPr="0024331D">
              <w:rPr>
                <w:rFonts w:cstheme="minorHAnsi"/>
                <w:color w:val="000000" w:themeColor="text1"/>
                <w:sz w:val="18"/>
                <w:szCs w:val="18"/>
              </w:rPr>
              <w:t xml:space="preserve">A late spring fresh was delivered from 2012–13 to 2014–15 but with dry conditions in 2015–16 it was not delivered. In 2016–17 fish spawning objectives were met by natural flows so the fresh was not delivered to protect low bank vegetation after prolonged periods of high natural flows. It was delivered in 2017–18 but not in 2018–19 and 2019–20 due to the need for a drying phase for bank vegetation ahead of expected higher summer operational flows. </w:t>
            </w:r>
          </w:p>
        </w:tc>
        <w:tc>
          <w:tcPr>
            <w:tcW w:w="1964" w:type="dxa"/>
            <w:shd w:val="clear" w:color="auto" w:fill="FF0000"/>
            <w:vAlign w:val="center"/>
          </w:tcPr>
          <w:p w14:paraId="0FB3E796"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 if a decision is made for the action to be delivered</w:t>
            </w:r>
          </w:p>
        </w:tc>
        <w:tc>
          <w:tcPr>
            <w:tcW w:w="4269" w:type="dxa"/>
            <w:gridSpan w:val="2"/>
            <w:shd w:val="clear" w:color="auto" w:fill="365F91" w:themeFill="accent1" w:themeFillShade="BF"/>
            <w:vAlign w:val="center"/>
          </w:tcPr>
          <w:p w14:paraId="03C82902" w14:textId="77777777" w:rsidR="0024331D" w:rsidRPr="0024331D" w:rsidRDefault="0024331D" w:rsidP="0024331D">
            <w:pPr>
              <w:spacing w:after="0"/>
              <w:jc w:val="center"/>
              <w:rPr>
                <w:rFonts w:cstheme="minorHAnsi"/>
                <w:color w:val="auto"/>
                <w:sz w:val="18"/>
                <w:szCs w:val="18"/>
              </w:rPr>
            </w:pPr>
            <w:r w:rsidRPr="0024331D">
              <w:rPr>
                <w:rFonts w:cstheme="minorHAnsi"/>
                <w:color w:val="auto"/>
                <w:sz w:val="18"/>
                <w:szCs w:val="18"/>
              </w:rPr>
              <w:t xml:space="preserve">High </w:t>
            </w:r>
            <w:r w:rsidRPr="0024331D">
              <w:rPr>
                <w:color w:val="auto"/>
                <w:sz w:val="18"/>
                <w:szCs w:val="18"/>
              </w:rPr>
              <w:t xml:space="preserve">priority for Commonwealth environmental water </w:t>
            </w:r>
            <w:r w:rsidRPr="0024331D">
              <w:rPr>
                <w:rFonts w:cstheme="minorHAnsi"/>
                <w:color w:val="auto"/>
                <w:sz w:val="18"/>
                <w:szCs w:val="18"/>
              </w:rPr>
              <w:t>if a decision is made for the action to be delivered</w:t>
            </w:r>
          </w:p>
        </w:tc>
        <w:tc>
          <w:tcPr>
            <w:tcW w:w="2272" w:type="dxa"/>
            <w:tcBorders>
              <w:right w:val="single" w:sz="12" w:space="0" w:color="auto"/>
            </w:tcBorders>
            <w:shd w:val="clear" w:color="auto" w:fill="FF0000"/>
            <w:vAlign w:val="center"/>
          </w:tcPr>
          <w:p w14:paraId="30D9D817"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tr w:rsidR="0024331D" w:rsidRPr="0024331D" w14:paraId="1B56C494"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1936"/>
          <w:jc w:val="center"/>
        </w:trPr>
        <w:tc>
          <w:tcPr>
            <w:tcW w:w="2403" w:type="dxa"/>
            <w:tcBorders>
              <w:left w:val="single" w:sz="12" w:space="0" w:color="auto"/>
              <w:bottom w:val="nil"/>
            </w:tcBorders>
          </w:tcPr>
          <w:p w14:paraId="32CA83D6" w14:textId="77777777" w:rsidR="0024331D" w:rsidRPr="0024331D" w:rsidRDefault="0024331D" w:rsidP="0024331D">
            <w:pPr>
              <w:ind w:left="29"/>
              <w:rPr>
                <w:rFonts w:cstheme="minorHAnsi"/>
                <w:b/>
                <w:sz w:val="18"/>
                <w:szCs w:val="18"/>
              </w:rPr>
            </w:pPr>
            <w:r w:rsidRPr="0024331D">
              <w:rPr>
                <w:rFonts w:cstheme="minorHAnsi"/>
                <w:b/>
                <w:sz w:val="18"/>
                <w:szCs w:val="18"/>
              </w:rPr>
              <w:lastRenderedPageBreak/>
              <w:t>Goulburn River continued</w:t>
            </w:r>
          </w:p>
          <w:p w14:paraId="1E308222" w14:textId="77777777" w:rsidR="0024331D" w:rsidRPr="0024331D" w:rsidRDefault="0024331D" w:rsidP="0024331D">
            <w:pPr>
              <w:ind w:left="29"/>
              <w:rPr>
                <w:rFonts w:cstheme="minorHAnsi"/>
                <w:i/>
                <w:sz w:val="18"/>
                <w:szCs w:val="18"/>
              </w:rPr>
            </w:pPr>
            <w:r w:rsidRPr="0024331D">
              <w:rPr>
                <w:rFonts w:cstheme="minorHAnsi"/>
                <w:i/>
                <w:sz w:val="18"/>
                <w:szCs w:val="18"/>
              </w:rPr>
              <w:t>(reaches 4 and 5)</w:t>
            </w:r>
          </w:p>
          <w:p w14:paraId="45FD2094" w14:textId="77777777" w:rsidR="0024331D" w:rsidRPr="0024331D" w:rsidRDefault="0024331D" w:rsidP="0024331D">
            <w:pPr>
              <w:ind w:left="29"/>
              <w:rPr>
                <w:rFonts w:cstheme="minorHAnsi"/>
                <w:b/>
                <w:sz w:val="18"/>
                <w:szCs w:val="18"/>
              </w:rPr>
            </w:pPr>
          </w:p>
        </w:tc>
        <w:tc>
          <w:tcPr>
            <w:tcW w:w="4103" w:type="dxa"/>
            <w:vAlign w:val="center"/>
          </w:tcPr>
          <w:p w14:paraId="1AD79985"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Summer/autumn low flows between pulses. </w:t>
            </w:r>
            <w:r w:rsidRPr="0024331D">
              <w:rPr>
                <w:rFonts w:ascii="Century Gothic" w:hAnsi="Century Gothic"/>
                <w:color w:val="000000" w:themeColor="text1"/>
                <w:sz w:val="18"/>
                <w:szCs w:val="18"/>
              </w:rPr>
              <w:t>Fl</w:t>
            </w:r>
            <w:r w:rsidRPr="0024331D">
              <w:rPr>
                <w:rFonts w:cstheme="minorHAnsi"/>
                <w:color w:val="000000" w:themeColor="text1"/>
                <w:sz w:val="18"/>
                <w:szCs w:val="18"/>
              </w:rPr>
              <w:t xml:space="preserve">ows are not to exceed 1 000 ML/day for more than 20 consecutive days, with a minimum of 7 days between pulses. This is to maintain vegetation for more than one season, to provide bank stability and to ensure habitat for small-bodied fish and waterbugs. </w:t>
            </w:r>
          </w:p>
          <w:p w14:paraId="5C294F4B" w14:textId="77777777" w:rsidR="0024331D" w:rsidRPr="0024331D" w:rsidRDefault="0024331D" w:rsidP="0024331D">
            <w:pPr>
              <w:rPr>
                <w:rFonts w:cstheme="minorHAnsi"/>
                <w:color w:val="000000" w:themeColor="text1"/>
                <w:sz w:val="18"/>
                <w:szCs w:val="18"/>
              </w:rPr>
            </w:pPr>
            <w:r w:rsidRPr="0024331D">
              <w:rPr>
                <w:sz w:val="18"/>
                <w:szCs w:val="18"/>
              </w:rPr>
              <w:t>This flow is a trigger for the delivery of an autumn fresh – i.e. if this flow objective is not met, the autumn fresh) will not be delivered.</w:t>
            </w:r>
          </w:p>
        </w:tc>
        <w:tc>
          <w:tcPr>
            <w:tcW w:w="2126" w:type="dxa"/>
            <w:vAlign w:val="center"/>
          </w:tcPr>
          <w:p w14:paraId="37D3D121" w14:textId="77777777" w:rsidR="0024331D" w:rsidRPr="0024331D" w:rsidRDefault="0024331D" w:rsidP="0024331D">
            <w:pPr>
              <w:spacing w:beforeLines="40" w:before="96"/>
              <w:rPr>
                <w:rFonts w:cstheme="minorHAnsi"/>
                <w:color w:val="000000" w:themeColor="text1"/>
                <w:sz w:val="18"/>
                <w:szCs w:val="18"/>
              </w:rPr>
            </w:pPr>
            <w:r w:rsidRPr="0024331D">
              <w:rPr>
                <w:rFonts w:cstheme="minorHAnsi"/>
                <w:color w:val="000000" w:themeColor="text1"/>
                <w:sz w:val="18"/>
                <w:szCs w:val="18"/>
              </w:rPr>
              <w:t xml:space="preserve">Annually with all levels of water availability </w:t>
            </w:r>
          </w:p>
        </w:tc>
        <w:tc>
          <w:tcPr>
            <w:tcW w:w="4693" w:type="dxa"/>
            <w:vAlign w:val="center"/>
          </w:tcPr>
          <w:p w14:paraId="540AB382" w14:textId="77777777" w:rsidR="0024331D" w:rsidRPr="0024331D" w:rsidRDefault="0024331D" w:rsidP="0024331D">
            <w:pPr>
              <w:spacing w:before="120"/>
              <w:rPr>
                <w:rFonts w:cstheme="minorHAnsi"/>
                <w:color w:val="000000" w:themeColor="text1"/>
                <w:sz w:val="18"/>
                <w:szCs w:val="18"/>
              </w:rPr>
            </w:pPr>
            <w:r w:rsidRPr="0024331D">
              <w:rPr>
                <w:sz w:val="18"/>
                <w:szCs w:val="18"/>
              </w:rPr>
              <w:t>This objective has not been met since 2016.</w:t>
            </w:r>
          </w:p>
        </w:tc>
        <w:tc>
          <w:tcPr>
            <w:tcW w:w="6233" w:type="dxa"/>
            <w:gridSpan w:val="3"/>
            <w:shd w:val="clear" w:color="auto" w:fill="auto"/>
            <w:vAlign w:val="center"/>
          </w:tcPr>
          <w:p w14:paraId="399557DF"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 xml:space="preserve">This is a demand to </w:t>
            </w:r>
            <w:r w:rsidRPr="0024331D">
              <w:rPr>
                <w:rFonts w:cstheme="minorHAnsi"/>
                <w:color w:val="auto"/>
                <w:sz w:val="18"/>
                <w:szCs w:val="18"/>
                <w:u w:val="single"/>
              </w:rPr>
              <w:t>not</w:t>
            </w:r>
            <w:r w:rsidRPr="0024331D">
              <w:rPr>
                <w:rFonts w:cstheme="minorHAnsi"/>
                <w:color w:val="auto"/>
                <w:sz w:val="18"/>
                <w:szCs w:val="18"/>
              </w:rPr>
              <w:t xml:space="preserve"> provide water above a given flow rate  </w:t>
            </w:r>
          </w:p>
          <w:p w14:paraId="3158D117" w14:textId="77777777" w:rsidR="0024331D" w:rsidRPr="0024331D" w:rsidRDefault="0024331D" w:rsidP="0024331D">
            <w:pPr>
              <w:jc w:val="center"/>
              <w:rPr>
                <w:rFonts w:cstheme="minorHAnsi"/>
                <w:color w:val="auto"/>
                <w:sz w:val="18"/>
                <w:szCs w:val="18"/>
              </w:rPr>
            </w:pPr>
          </w:p>
        </w:tc>
        <w:tc>
          <w:tcPr>
            <w:tcW w:w="2272" w:type="dxa"/>
            <w:tcBorders>
              <w:right w:val="single" w:sz="12" w:space="0" w:color="auto"/>
            </w:tcBorders>
            <w:shd w:val="clear" w:color="auto" w:fill="FF0000"/>
            <w:vAlign w:val="center"/>
          </w:tcPr>
          <w:p w14:paraId="375A3958"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tr w:rsidR="0024331D" w:rsidRPr="0024331D" w14:paraId="4DDB72E3" w14:textId="77777777" w:rsidTr="00583873">
        <w:tblPrEx>
          <w:jc w:val="center"/>
          <w:tblInd w:w="0" w:type="dxa"/>
        </w:tblPrEx>
        <w:trPr>
          <w:cnfStyle w:val="000000010000" w:firstRow="0" w:lastRow="0" w:firstColumn="0" w:lastColumn="0" w:oddVBand="0" w:evenVBand="0" w:oddHBand="0" w:evenHBand="1" w:firstRowFirstColumn="0" w:firstRowLastColumn="0" w:lastRowFirstColumn="0" w:lastRowLastColumn="0"/>
          <w:trHeight w:val="1936"/>
          <w:jc w:val="center"/>
        </w:trPr>
        <w:tc>
          <w:tcPr>
            <w:tcW w:w="2403" w:type="dxa"/>
            <w:vMerge w:val="restart"/>
            <w:tcBorders>
              <w:top w:val="nil"/>
              <w:left w:val="single" w:sz="12" w:space="0" w:color="auto"/>
            </w:tcBorders>
          </w:tcPr>
          <w:p w14:paraId="6AC032E9" w14:textId="77777777" w:rsidR="0024331D" w:rsidRPr="0024331D" w:rsidRDefault="0024331D" w:rsidP="0024331D">
            <w:pPr>
              <w:ind w:left="29"/>
              <w:rPr>
                <w:rFonts w:cstheme="minorHAnsi"/>
                <w:b/>
                <w:color w:val="000000" w:themeColor="text1"/>
                <w:sz w:val="18"/>
                <w:szCs w:val="18"/>
                <w:highlight w:val="yellow"/>
              </w:rPr>
            </w:pPr>
          </w:p>
        </w:tc>
        <w:tc>
          <w:tcPr>
            <w:tcW w:w="4103" w:type="dxa"/>
            <w:vAlign w:val="center"/>
          </w:tcPr>
          <w:p w14:paraId="6A6E09FB"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Autumn fresh (March/April)</w:t>
            </w:r>
          </w:p>
          <w:p w14:paraId="1A81CD42"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 xml:space="preserve">When possible &gt;5 600 ML/day for 2 days to: encourage seed germination; reduce turbidity and mix water to improve water quality; flush fine sediment to encourage biofilm growth; and improve food and habitat for waterbugs. </w:t>
            </w:r>
          </w:p>
          <w:p w14:paraId="00AC261C"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Note that delivery of the summer/autumn low flows between pulses is a trigger for this action.</w:t>
            </w:r>
          </w:p>
        </w:tc>
        <w:tc>
          <w:tcPr>
            <w:tcW w:w="2126" w:type="dxa"/>
            <w:vAlign w:val="center"/>
          </w:tcPr>
          <w:p w14:paraId="673EBE6F" w14:textId="77777777" w:rsidR="0024331D" w:rsidRPr="0024331D" w:rsidRDefault="0024331D" w:rsidP="0024331D">
            <w:pPr>
              <w:spacing w:beforeLines="40" w:before="96"/>
              <w:rPr>
                <w:rFonts w:cstheme="minorHAnsi"/>
                <w:color w:val="000000" w:themeColor="text1"/>
                <w:sz w:val="18"/>
                <w:szCs w:val="18"/>
              </w:rPr>
            </w:pPr>
            <w:r w:rsidRPr="0024331D">
              <w:rPr>
                <w:rFonts w:cstheme="minorHAnsi"/>
                <w:color w:val="000000" w:themeColor="text1"/>
                <w:sz w:val="18"/>
                <w:szCs w:val="18"/>
              </w:rPr>
              <w:t>Annually when possible and with all levels of water availability</w:t>
            </w:r>
          </w:p>
        </w:tc>
        <w:tc>
          <w:tcPr>
            <w:tcW w:w="4693" w:type="dxa"/>
            <w:vAlign w:val="center"/>
          </w:tcPr>
          <w:p w14:paraId="6D1CA65A"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This autumn fresh was delivered from 2012–13 to 2015–16. It was not delivered in 2016–17 or 2017–18 following the earlier fish attractant flow action in those years. This fresh was not delivered in 2018–19 due to the already high volumes delivered as intervalley transfers and in 2019–20 due to dry conditions and low water availability.</w:t>
            </w:r>
          </w:p>
        </w:tc>
        <w:tc>
          <w:tcPr>
            <w:tcW w:w="1984" w:type="dxa"/>
            <w:gridSpan w:val="2"/>
            <w:shd w:val="clear" w:color="auto" w:fill="FFC000"/>
            <w:vAlign w:val="center"/>
          </w:tcPr>
          <w:p w14:paraId="7F26C3ED"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 – this demand is only triggered under certain scenarios</w:t>
            </w:r>
          </w:p>
        </w:tc>
        <w:tc>
          <w:tcPr>
            <w:tcW w:w="4249" w:type="dxa"/>
            <w:shd w:val="clear" w:color="auto" w:fill="95B3D7" w:themeFill="accent1" w:themeFillTint="99"/>
            <w:vAlign w:val="center"/>
          </w:tcPr>
          <w:p w14:paraId="0D375768"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Option to be considered only under certain conditions</w:t>
            </w:r>
          </w:p>
        </w:tc>
        <w:tc>
          <w:tcPr>
            <w:tcW w:w="2272" w:type="dxa"/>
            <w:tcBorders>
              <w:right w:val="single" w:sz="12" w:space="0" w:color="auto"/>
            </w:tcBorders>
            <w:shd w:val="clear" w:color="auto" w:fill="FFC000"/>
            <w:vAlign w:val="center"/>
          </w:tcPr>
          <w:p w14:paraId="1F20F172"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r>
      <w:tr w:rsidR="0024331D" w:rsidRPr="0024331D" w14:paraId="3C207EBB"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2363"/>
          <w:jc w:val="center"/>
        </w:trPr>
        <w:tc>
          <w:tcPr>
            <w:tcW w:w="2403" w:type="dxa"/>
            <w:vMerge/>
            <w:tcBorders>
              <w:left w:val="single" w:sz="12" w:space="0" w:color="auto"/>
            </w:tcBorders>
          </w:tcPr>
          <w:p w14:paraId="76D34B73" w14:textId="77777777" w:rsidR="0024331D" w:rsidRPr="0024331D" w:rsidRDefault="0024331D" w:rsidP="0024331D">
            <w:pPr>
              <w:ind w:left="29"/>
              <w:rPr>
                <w:rFonts w:cstheme="minorHAnsi"/>
                <w:b/>
                <w:color w:val="000000" w:themeColor="text1"/>
                <w:sz w:val="18"/>
                <w:szCs w:val="18"/>
                <w:highlight w:val="yellow"/>
              </w:rPr>
            </w:pPr>
          </w:p>
        </w:tc>
        <w:tc>
          <w:tcPr>
            <w:tcW w:w="4103" w:type="dxa"/>
            <w:vAlign w:val="center"/>
          </w:tcPr>
          <w:p w14:paraId="23026494"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Winter fresh (June/July 2021)</w:t>
            </w:r>
          </w:p>
          <w:p w14:paraId="2DD94786"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Up to 15 000 ML/day</w:t>
            </w:r>
            <w:r w:rsidRPr="0024331D">
              <w:rPr>
                <w:rFonts w:cs="Times New Roman"/>
                <w:color w:val="000000" w:themeColor="text1"/>
                <w:sz w:val="18"/>
                <w:szCs w:val="18"/>
                <w:vertAlign w:val="superscript"/>
              </w:rPr>
              <w:footnoteReference w:id="44"/>
            </w:r>
            <w:r w:rsidRPr="0024331D">
              <w:rPr>
                <w:rFonts w:cstheme="minorHAnsi"/>
                <w:color w:val="000000" w:themeColor="text1"/>
                <w:sz w:val="18"/>
                <w:szCs w:val="18"/>
              </w:rPr>
              <w:t xml:space="preserve"> with more than 14 days above 6 600 ML/day </w:t>
            </w:r>
            <w:r w:rsidRPr="0024331D">
              <w:rPr>
                <w:rFonts w:ascii="Century Gothic" w:hAnsi="Century Gothic"/>
                <w:color w:val="000000" w:themeColor="text1"/>
                <w:sz w:val="18"/>
                <w:szCs w:val="18"/>
              </w:rPr>
              <w:t xml:space="preserve">to: </w:t>
            </w:r>
            <w:r w:rsidRPr="0024331D">
              <w:rPr>
                <w:sz w:val="18"/>
                <w:szCs w:val="18"/>
              </w:rPr>
              <w:t>encourage bank vegetation</w:t>
            </w:r>
            <w:r w:rsidRPr="0024331D">
              <w:rPr>
                <w:rFonts w:cstheme="minorHAnsi"/>
                <w:color w:val="000000" w:themeColor="text1"/>
                <w:sz w:val="18"/>
                <w:szCs w:val="18"/>
              </w:rPr>
              <w:t>; provide carbon (e.g. leaf litter) to the channel; and improve water quality and waterbug habitat.</w:t>
            </w:r>
          </w:p>
          <w:p w14:paraId="0399BDA5" w14:textId="77777777" w:rsidR="0024331D" w:rsidRPr="0024331D" w:rsidRDefault="0024331D" w:rsidP="0024331D">
            <w:pPr>
              <w:rPr>
                <w:rFonts w:cstheme="minorHAnsi"/>
                <w:color w:val="000000" w:themeColor="text1"/>
                <w:sz w:val="18"/>
                <w:szCs w:val="18"/>
              </w:rPr>
            </w:pPr>
            <w:r w:rsidRPr="0024331D">
              <w:rPr>
                <w:sz w:val="18"/>
                <w:szCs w:val="18"/>
              </w:rPr>
              <w:t>The winter fresh also has direct benefit for lamprey migration in South Australia if deliver to the Lower Lakes during July and/or August.</w:t>
            </w:r>
          </w:p>
        </w:tc>
        <w:tc>
          <w:tcPr>
            <w:tcW w:w="2126" w:type="dxa"/>
            <w:vAlign w:val="center"/>
          </w:tcPr>
          <w:p w14:paraId="3C0D0DE0" w14:textId="77777777" w:rsidR="0024331D" w:rsidRPr="0024331D" w:rsidRDefault="0024331D" w:rsidP="0024331D">
            <w:pPr>
              <w:spacing w:beforeLines="40" w:before="96"/>
              <w:rPr>
                <w:rFonts w:cstheme="minorHAnsi"/>
                <w:color w:val="000000" w:themeColor="text1"/>
                <w:sz w:val="18"/>
                <w:szCs w:val="18"/>
              </w:rPr>
            </w:pPr>
            <w:r w:rsidRPr="0024331D">
              <w:rPr>
                <w:rFonts w:cstheme="minorHAnsi"/>
                <w:color w:val="000000" w:themeColor="text1"/>
                <w:sz w:val="18"/>
                <w:szCs w:val="18"/>
              </w:rPr>
              <w:t>Annually except with Very Low water availability</w:t>
            </w:r>
          </w:p>
        </w:tc>
        <w:tc>
          <w:tcPr>
            <w:tcW w:w="4693" w:type="dxa"/>
            <w:vAlign w:val="center"/>
          </w:tcPr>
          <w:p w14:paraId="5BDA2749"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The winter fresh was first delivered in 2014–15, then not delivered in 2015–16 due to low water availability. It was delivered in each year between 2016–17 and 2018–19 but not in 2019–20 due to low water availability. </w:t>
            </w:r>
          </w:p>
        </w:tc>
        <w:tc>
          <w:tcPr>
            <w:tcW w:w="1984" w:type="dxa"/>
            <w:gridSpan w:val="2"/>
            <w:shd w:val="clear" w:color="auto" w:fill="FFC000"/>
            <w:vAlign w:val="center"/>
          </w:tcPr>
          <w:p w14:paraId="5B21FE59"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c>
          <w:tcPr>
            <w:tcW w:w="4249" w:type="dxa"/>
            <w:shd w:val="clear" w:color="auto" w:fill="95B3D7" w:themeFill="accent1" w:themeFillTint="99"/>
            <w:vAlign w:val="center"/>
          </w:tcPr>
          <w:p w14:paraId="42278C93"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 priority for Commonwealth Environmental water, however this action may be met/partially met by natural flows</w:t>
            </w:r>
          </w:p>
        </w:tc>
        <w:tc>
          <w:tcPr>
            <w:tcW w:w="2272" w:type="dxa"/>
            <w:tcBorders>
              <w:right w:val="single" w:sz="12" w:space="0" w:color="auto"/>
            </w:tcBorders>
            <w:shd w:val="clear" w:color="auto" w:fill="FF0000"/>
            <w:vAlign w:val="center"/>
          </w:tcPr>
          <w:p w14:paraId="0248C0FE"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 xml:space="preserve">High </w:t>
            </w:r>
          </w:p>
        </w:tc>
      </w:tr>
      <w:tr w:rsidR="0024331D" w:rsidRPr="0024331D" w14:paraId="32BE84F8" w14:textId="77777777" w:rsidTr="00583873">
        <w:tblPrEx>
          <w:jc w:val="center"/>
          <w:tblInd w:w="0" w:type="dxa"/>
        </w:tblPrEx>
        <w:trPr>
          <w:cnfStyle w:val="000000010000" w:firstRow="0" w:lastRow="0" w:firstColumn="0" w:lastColumn="0" w:oddVBand="0" w:evenVBand="0" w:oddHBand="0" w:evenHBand="1" w:firstRowFirstColumn="0" w:firstRowLastColumn="0" w:lastRowFirstColumn="0" w:lastRowLastColumn="0"/>
          <w:trHeight w:val="2396"/>
          <w:jc w:val="center"/>
        </w:trPr>
        <w:tc>
          <w:tcPr>
            <w:tcW w:w="2403" w:type="dxa"/>
            <w:vMerge/>
            <w:tcBorders>
              <w:left w:val="single" w:sz="12" w:space="0" w:color="auto"/>
              <w:bottom w:val="single" w:sz="12" w:space="0" w:color="auto"/>
            </w:tcBorders>
          </w:tcPr>
          <w:p w14:paraId="45AA9717" w14:textId="77777777" w:rsidR="0024331D" w:rsidRPr="0024331D" w:rsidRDefault="0024331D" w:rsidP="0024331D">
            <w:pPr>
              <w:ind w:left="29"/>
              <w:rPr>
                <w:rFonts w:cstheme="minorHAnsi"/>
                <w:b/>
                <w:color w:val="000000" w:themeColor="text1"/>
                <w:sz w:val="18"/>
                <w:szCs w:val="18"/>
                <w:highlight w:val="yellow"/>
              </w:rPr>
            </w:pPr>
          </w:p>
        </w:tc>
        <w:tc>
          <w:tcPr>
            <w:tcW w:w="4103" w:type="dxa"/>
            <w:tcBorders>
              <w:bottom w:val="single" w:sz="12" w:space="0" w:color="auto"/>
            </w:tcBorders>
            <w:vAlign w:val="center"/>
          </w:tcPr>
          <w:p w14:paraId="3C731EF4"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Following natural flows (all year)</w:t>
            </w:r>
          </w:p>
          <w:p w14:paraId="27774910"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Provide water for a slower recession or add pulses following natural cues/unregulated flows to minimise the risk of bank erosion and hypoxic blackwater. Recession flows are </w:t>
            </w:r>
            <w:r w:rsidRPr="0024331D">
              <w:rPr>
                <w:sz w:val="18"/>
                <w:szCs w:val="18"/>
              </w:rPr>
              <w:t>releases from Goulburn Weir to prevent damage to the lower bank for 3 000 ML/day and below in Summer/Autumn and 6 000 ML/day in Winter/Spring</w:t>
            </w:r>
          </w:p>
        </w:tc>
        <w:tc>
          <w:tcPr>
            <w:tcW w:w="2126" w:type="dxa"/>
            <w:tcBorders>
              <w:bottom w:val="single" w:sz="12" w:space="0" w:color="auto"/>
            </w:tcBorders>
            <w:vAlign w:val="center"/>
          </w:tcPr>
          <w:p w14:paraId="263ABD29" w14:textId="77777777" w:rsidR="0024331D" w:rsidRPr="0024331D" w:rsidRDefault="0024331D" w:rsidP="0024331D">
            <w:pPr>
              <w:spacing w:beforeLines="40" w:before="96"/>
              <w:rPr>
                <w:rFonts w:cstheme="minorHAnsi"/>
                <w:color w:val="000000" w:themeColor="text1"/>
                <w:sz w:val="18"/>
                <w:szCs w:val="18"/>
              </w:rPr>
            </w:pPr>
            <w:r w:rsidRPr="0024331D">
              <w:rPr>
                <w:rFonts w:cstheme="minorHAnsi"/>
                <w:color w:val="000000" w:themeColor="text1"/>
                <w:sz w:val="18"/>
                <w:szCs w:val="18"/>
              </w:rPr>
              <w:t xml:space="preserve">When required </w:t>
            </w:r>
          </w:p>
        </w:tc>
        <w:tc>
          <w:tcPr>
            <w:tcW w:w="4693" w:type="dxa"/>
            <w:tcBorders>
              <w:bottom w:val="single" w:sz="12" w:space="0" w:color="auto"/>
            </w:tcBorders>
            <w:vAlign w:val="center"/>
          </w:tcPr>
          <w:p w14:paraId="36779946"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The delivery of environmental water to slow a recession occurred twice in 2019–20.</w:t>
            </w:r>
          </w:p>
        </w:tc>
        <w:tc>
          <w:tcPr>
            <w:tcW w:w="1984" w:type="dxa"/>
            <w:gridSpan w:val="2"/>
            <w:tcBorders>
              <w:bottom w:val="single" w:sz="12" w:space="0" w:color="auto"/>
            </w:tcBorders>
            <w:shd w:val="clear" w:color="auto" w:fill="FF0000"/>
            <w:vAlign w:val="center"/>
          </w:tcPr>
          <w:p w14:paraId="253FE1EE"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 xml:space="preserve">High when required </w:t>
            </w:r>
          </w:p>
        </w:tc>
        <w:tc>
          <w:tcPr>
            <w:tcW w:w="4249" w:type="dxa"/>
            <w:tcBorders>
              <w:bottom w:val="single" w:sz="12" w:space="0" w:color="auto"/>
            </w:tcBorders>
            <w:shd w:val="clear" w:color="auto" w:fill="365F91" w:themeFill="accent1" w:themeFillShade="BF"/>
            <w:vAlign w:val="center"/>
          </w:tcPr>
          <w:p w14:paraId="1ECB3696"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 xml:space="preserve">High </w:t>
            </w:r>
            <w:r w:rsidRPr="0024331D">
              <w:rPr>
                <w:color w:val="auto"/>
                <w:sz w:val="18"/>
                <w:szCs w:val="18"/>
              </w:rPr>
              <w:t xml:space="preserve">priority for Commonwealth environmental water </w:t>
            </w:r>
            <w:r w:rsidRPr="0024331D">
              <w:rPr>
                <w:rFonts w:cstheme="minorHAnsi"/>
                <w:color w:val="auto"/>
                <w:sz w:val="18"/>
                <w:szCs w:val="18"/>
              </w:rPr>
              <w:t>if triggered from natural inflow events – this could occur under any scenario</w:t>
            </w:r>
          </w:p>
        </w:tc>
        <w:tc>
          <w:tcPr>
            <w:tcW w:w="2272" w:type="dxa"/>
            <w:tcBorders>
              <w:bottom w:val="single" w:sz="12" w:space="0" w:color="auto"/>
              <w:right w:val="single" w:sz="12" w:space="0" w:color="auto"/>
            </w:tcBorders>
            <w:shd w:val="clear" w:color="auto" w:fill="FF0000"/>
            <w:vAlign w:val="center"/>
          </w:tcPr>
          <w:p w14:paraId="74F9EB23"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 when required</w:t>
            </w:r>
          </w:p>
        </w:tc>
      </w:tr>
      <w:tr w:rsidR="0024331D" w:rsidRPr="0024331D" w14:paraId="41B7CAD6"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1970"/>
          <w:jc w:val="center"/>
        </w:trPr>
        <w:tc>
          <w:tcPr>
            <w:tcW w:w="2403" w:type="dxa"/>
            <w:tcBorders>
              <w:top w:val="single" w:sz="12" w:space="0" w:color="auto"/>
              <w:left w:val="single" w:sz="12" w:space="0" w:color="auto"/>
              <w:bottom w:val="single" w:sz="12" w:space="0" w:color="auto"/>
            </w:tcBorders>
          </w:tcPr>
          <w:p w14:paraId="51FFDD42" w14:textId="77777777" w:rsidR="0024331D" w:rsidRPr="0024331D" w:rsidRDefault="0024331D" w:rsidP="0024331D">
            <w:pPr>
              <w:spacing w:before="120" w:after="0"/>
              <w:rPr>
                <w:rFonts w:cstheme="minorHAnsi"/>
                <w:b/>
                <w:color w:val="000000" w:themeColor="text1"/>
                <w:sz w:val="18"/>
                <w:szCs w:val="18"/>
              </w:rPr>
            </w:pPr>
            <w:r w:rsidRPr="0024331D">
              <w:rPr>
                <w:rFonts w:cstheme="minorHAnsi"/>
                <w:b/>
                <w:color w:val="000000" w:themeColor="text1"/>
                <w:sz w:val="18"/>
                <w:szCs w:val="18"/>
              </w:rPr>
              <w:t>Goulburn River</w:t>
            </w:r>
          </w:p>
          <w:p w14:paraId="5FD80B89" w14:textId="77777777" w:rsidR="0024331D" w:rsidRPr="0024331D" w:rsidRDefault="0024331D" w:rsidP="0024331D">
            <w:pPr>
              <w:rPr>
                <w:rFonts w:cstheme="minorHAnsi"/>
                <w:i/>
                <w:color w:val="000000" w:themeColor="text1"/>
                <w:sz w:val="18"/>
                <w:szCs w:val="18"/>
              </w:rPr>
            </w:pPr>
            <w:r w:rsidRPr="0024331D">
              <w:rPr>
                <w:rFonts w:cstheme="minorHAnsi"/>
                <w:i/>
                <w:color w:val="000000" w:themeColor="text1"/>
                <w:sz w:val="18"/>
                <w:szCs w:val="18"/>
              </w:rPr>
              <w:t>reach 1 Lake Eildon to Goulburn Weir</w:t>
            </w:r>
          </w:p>
          <w:p w14:paraId="7E3F6972" w14:textId="77777777" w:rsidR="0024331D" w:rsidRPr="0024331D" w:rsidRDefault="0024331D" w:rsidP="0024331D">
            <w:pPr>
              <w:numPr>
                <w:ilvl w:val="0"/>
                <w:numId w:val="6"/>
              </w:numPr>
              <w:spacing w:before="60"/>
              <w:ind w:left="164" w:hanging="164"/>
              <w:rPr>
                <w:sz w:val="18"/>
              </w:rPr>
            </w:pPr>
            <w:r w:rsidRPr="0024331D">
              <w:rPr>
                <w:rFonts w:cstheme="minorHAnsi"/>
                <w:color w:val="000000" w:themeColor="text1"/>
                <w:sz w:val="18"/>
                <w:szCs w:val="18"/>
              </w:rPr>
              <w:t>Native</w:t>
            </w:r>
            <w:r w:rsidRPr="0024331D">
              <w:rPr>
                <w:sz w:val="18"/>
              </w:rPr>
              <w:t xml:space="preserve"> fish - </w:t>
            </w:r>
            <w:r w:rsidRPr="0024331D">
              <w:rPr>
                <w:rFonts w:cstheme="minorHAnsi"/>
                <w:color w:val="000000" w:themeColor="text1"/>
                <w:sz w:val="18"/>
                <w:szCs w:val="18"/>
              </w:rPr>
              <w:t>Macquarie</w:t>
            </w:r>
            <w:r w:rsidRPr="0024331D">
              <w:rPr>
                <w:sz w:val="18"/>
              </w:rPr>
              <w:t xml:space="preserve"> perch </w:t>
            </w:r>
          </w:p>
          <w:p w14:paraId="61BD4315" w14:textId="77777777" w:rsidR="0024331D" w:rsidRPr="0024331D" w:rsidRDefault="0024331D" w:rsidP="0024331D">
            <w:pPr>
              <w:ind w:left="29"/>
              <w:rPr>
                <w:rFonts w:cstheme="minorHAnsi"/>
                <w:color w:val="000000" w:themeColor="text1"/>
              </w:rPr>
            </w:pPr>
            <w:r w:rsidRPr="0024331D">
              <w:rPr>
                <w:rFonts w:cstheme="minorHAnsi"/>
                <w:color w:val="000000" w:themeColor="text1"/>
                <w:sz w:val="18"/>
                <w:szCs w:val="18"/>
              </w:rPr>
              <w:t>Only receives water when it is released from Lake Eildon</w:t>
            </w:r>
          </w:p>
        </w:tc>
        <w:tc>
          <w:tcPr>
            <w:tcW w:w="4103" w:type="dxa"/>
            <w:tcBorders>
              <w:top w:val="single" w:sz="12" w:space="0" w:color="auto"/>
              <w:bottom w:val="single" w:sz="12" w:space="0" w:color="auto"/>
            </w:tcBorders>
            <w:vAlign w:val="center"/>
          </w:tcPr>
          <w:p w14:paraId="34C36275"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Spring/autumn/winter low flows (July–Sept and April–June).</w:t>
            </w:r>
          </w:p>
          <w:p w14:paraId="46A4F693"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 xml:space="preserve">400 ML/day at Eildon </w:t>
            </w:r>
            <w:r w:rsidRPr="0024331D">
              <w:rPr>
                <w:sz w:val="18"/>
                <w:szCs w:val="18"/>
              </w:rPr>
              <w:t xml:space="preserve">to </w:t>
            </w:r>
            <w:bookmarkStart w:id="177" w:name="_Hlk43309671"/>
            <w:r w:rsidRPr="0024331D">
              <w:rPr>
                <w:sz w:val="18"/>
                <w:szCs w:val="18"/>
              </w:rPr>
              <w:t>maintain and improve the habitat of small bodied native fish and maintain existing aquatic vegetation and invertebrate communities.</w:t>
            </w:r>
            <w:r w:rsidRPr="0024331D">
              <w:rPr>
                <w:rFonts w:cstheme="minorHAnsi"/>
                <w:color w:val="000000" w:themeColor="text1"/>
                <w:sz w:val="18"/>
                <w:szCs w:val="18"/>
              </w:rPr>
              <w:t xml:space="preserve"> </w:t>
            </w:r>
            <w:bookmarkEnd w:id="177"/>
          </w:p>
        </w:tc>
        <w:tc>
          <w:tcPr>
            <w:tcW w:w="2126" w:type="dxa"/>
            <w:tcBorders>
              <w:top w:val="single" w:sz="12" w:space="0" w:color="auto"/>
              <w:bottom w:val="single" w:sz="12" w:space="0" w:color="auto"/>
            </w:tcBorders>
            <w:vAlign w:val="center"/>
          </w:tcPr>
          <w:p w14:paraId="41943799" w14:textId="77777777" w:rsidR="0024331D" w:rsidRPr="0024331D" w:rsidRDefault="0024331D" w:rsidP="0024331D">
            <w:pPr>
              <w:spacing w:beforeLines="40" w:before="96"/>
              <w:rPr>
                <w:rFonts w:cstheme="minorHAnsi"/>
                <w:color w:val="000000" w:themeColor="text1"/>
                <w:sz w:val="18"/>
                <w:szCs w:val="18"/>
              </w:rPr>
            </w:pPr>
            <w:r w:rsidRPr="0024331D">
              <w:rPr>
                <w:rFonts w:cstheme="minorHAnsi"/>
                <w:color w:val="000000" w:themeColor="text1"/>
                <w:sz w:val="18"/>
                <w:szCs w:val="18"/>
              </w:rPr>
              <w:t>Annually during the non-irrigation month with all levels of water availability</w:t>
            </w:r>
          </w:p>
        </w:tc>
        <w:tc>
          <w:tcPr>
            <w:tcW w:w="4693" w:type="dxa"/>
            <w:tcBorders>
              <w:top w:val="single" w:sz="12" w:space="0" w:color="auto"/>
              <w:bottom w:val="single" w:sz="12" w:space="0" w:color="auto"/>
            </w:tcBorders>
            <w:vAlign w:val="center"/>
          </w:tcPr>
          <w:p w14:paraId="6E25CC62"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This low flow was delivered during the non-irrigation period each year between 2017–18 and 2019–2.</w:t>
            </w:r>
          </w:p>
        </w:tc>
        <w:tc>
          <w:tcPr>
            <w:tcW w:w="1984" w:type="dxa"/>
            <w:gridSpan w:val="2"/>
            <w:tcBorders>
              <w:top w:val="single" w:sz="12" w:space="0" w:color="auto"/>
              <w:bottom w:val="single" w:sz="12" w:space="0" w:color="auto"/>
            </w:tcBorders>
            <w:shd w:val="clear" w:color="auto" w:fill="FF0000"/>
            <w:vAlign w:val="center"/>
          </w:tcPr>
          <w:p w14:paraId="3B1EC9B5"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c>
          <w:tcPr>
            <w:tcW w:w="4249" w:type="dxa"/>
            <w:tcBorders>
              <w:top w:val="single" w:sz="12" w:space="0" w:color="auto"/>
              <w:bottom w:val="single" w:sz="12" w:space="0" w:color="auto"/>
            </w:tcBorders>
            <w:shd w:val="clear" w:color="auto" w:fill="365F91" w:themeFill="accent1" w:themeFillShade="BF"/>
            <w:vAlign w:val="center"/>
          </w:tcPr>
          <w:p w14:paraId="272CF335" w14:textId="77777777" w:rsidR="0024331D" w:rsidRPr="0024331D" w:rsidRDefault="0024331D" w:rsidP="0024331D">
            <w:pPr>
              <w:jc w:val="center"/>
              <w:rPr>
                <w:rFonts w:cstheme="minorHAnsi"/>
                <w:color w:val="auto"/>
                <w:sz w:val="18"/>
                <w:szCs w:val="18"/>
              </w:rPr>
            </w:pPr>
            <w:r w:rsidRPr="0024331D">
              <w:rPr>
                <w:color w:val="auto"/>
                <w:sz w:val="18"/>
                <w:szCs w:val="18"/>
              </w:rPr>
              <w:t>High priority for Commonwealth environmental water (likely to receive water even under a very low water resource availability)</w:t>
            </w:r>
          </w:p>
        </w:tc>
        <w:tc>
          <w:tcPr>
            <w:tcW w:w="2272" w:type="dxa"/>
            <w:tcBorders>
              <w:top w:val="single" w:sz="12" w:space="0" w:color="auto"/>
              <w:bottom w:val="single" w:sz="12" w:space="0" w:color="auto"/>
              <w:right w:val="single" w:sz="12" w:space="0" w:color="auto"/>
            </w:tcBorders>
            <w:shd w:val="clear" w:color="auto" w:fill="FF0000"/>
            <w:vAlign w:val="center"/>
          </w:tcPr>
          <w:p w14:paraId="027AF28D"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tr w:rsidR="0024331D" w:rsidRPr="0024331D" w14:paraId="2688DFE6" w14:textId="77777777" w:rsidTr="00583873">
        <w:tblPrEx>
          <w:jc w:val="center"/>
          <w:tblInd w:w="0" w:type="dxa"/>
        </w:tblPrEx>
        <w:trPr>
          <w:cnfStyle w:val="000000010000" w:firstRow="0" w:lastRow="0" w:firstColumn="0" w:lastColumn="0" w:oddVBand="0" w:evenVBand="0" w:oddHBand="0" w:evenHBand="1" w:firstRowFirstColumn="0" w:firstRowLastColumn="0" w:lastRowFirstColumn="0" w:lastRowLastColumn="0"/>
          <w:trHeight w:val="1970"/>
          <w:jc w:val="center"/>
        </w:trPr>
        <w:tc>
          <w:tcPr>
            <w:tcW w:w="2403" w:type="dxa"/>
            <w:vMerge w:val="restart"/>
            <w:tcBorders>
              <w:top w:val="single" w:sz="12" w:space="0" w:color="auto"/>
              <w:left w:val="single" w:sz="12" w:space="0" w:color="auto"/>
            </w:tcBorders>
          </w:tcPr>
          <w:p w14:paraId="42ED55C0" w14:textId="77777777" w:rsidR="0024331D" w:rsidRPr="0024331D" w:rsidRDefault="0024331D" w:rsidP="0024331D">
            <w:pPr>
              <w:spacing w:before="120" w:after="0"/>
              <w:rPr>
                <w:rFonts w:cstheme="minorHAnsi"/>
                <w:b/>
                <w:color w:val="000000" w:themeColor="text1"/>
                <w:sz w:val="18"/>
                <w:szCs w:val="18"/>
              </w:rPr>
            </w:pPr>
            <w:bookmarkStart w:id="178" w:name="OLE_LINK1"/>
            <w:r w:rsidRPr="0024331D">
              <w:rPr>
                <w:rFonts w:cstheme="minorHAnsi"/>
                <w:b/>
                <w:color w:val="000000" w:themeColor="text1"/>
                <w:sz w:val="18"/>
                <w:szCs w:val="18"/>
              </w:rPr>
              <w:lastRenderedPageBreak/>
              <w:br w:type="page"/>
              <w:t>Lower Broken Creek</w:t>
            </w:r>
          </w:p>
          <w:p w14:paraId="25FF87B6" w14:textId="77777777" w:rsidR="0024331D" w:rsidRPr="0024331D" w:rsidRDefault="0024331D" w:rsidP="0024331D">
            <w:pPr>
              <w:rPr>
                <w:rFonts w:cstheme="minorHAnsi"/>
                <w:i/>
                <w:color w:val="000000" w:themeColor="text1"/>
                <w:sz w:val="18"/>
                <w:szCs w:val="18"/>
              </w:rPr>
            </w:pPr>
            <w:r w:rsidRPr="0024331D">
              <w:rPr>
                <w:rFonts w:cstheme="minorHAnsi"/>
                <w:i/>
                <w:color w:val="000000" w:themeColor="text1"/>
                <w:sz w:val="18"/>
                <w:szCs w:val="18"/>
              </w:rPr>
              <w:t>reach 4 Nathalia Weir to River Murray with en route benefit to reach 1 (Boosey Creek to Nine Mile Creek), reach 2 (Nine Mile Creek) and reach 3 (Broken Creek confluence with Nine Mile Creek to Nathalia Weir).</w:t>
            </w:r>
          </w:p>
          <w:p w14:paraId="5706063E"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Native fish – Murray cod, golden perch, silver perch, unspecked hardyhead and Murray-Darling rainbow fish</w:t>
            </w:r>
          </w:p>
          <w:p w14:paraId="1D2A4A0C"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 xml:space="preserve">Platypus, turtles, water rat (Rakali) </w:t>
            </w:r>
          </w:p>
          <w:p w14:paraId="7A6779CF"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Vegetation – box-dominated grassy woodland communities, river swamp wallaby-grass</w:t>
            </w:r>
          </w:p>
          <w:p w14:paraId="6EB8F707"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Birds – Australian Bittern</w:t>
            </w:r>
          </w:p>
          <w:p w14:paraId="48E9B90F"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Environmental demand requires water in addition to irrigation supply</w:t>
            </w:r>
          </w:p>
          <w:p w14:paraId="496D557B"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Source of return flows for use downstream in the River Murray</w:t>
            </w:r>
          </w:p>
          <w:p w14:paraId="02753225" w14:textId="77777777" w:rsidR="0024331D" w:rsidRPr="0024331D" w:rsidRDefault="0024331D" w:rsidP="0024331D">
            <w:pPr>
              <w:contextualSpacing/>
              <w:rPr>
                <w:rFonts w:cstheme="minorHAnsi"/>
                <w:color w:val="000000" w:themeColor="text1"/>
                <w:sz w:val="18"/>
                <w:szCs w:val="18"/>
              </w:rPr>
            </w:pPr>
          </w:p>
          <w:p w14:paraId="65115C7A"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rPr>
              <w:t>During the past two years very high volumes of intervalley transfer water has impacted on the planned delivery of environmental water and this may continue during 2020–21 if dry conditions continue.</w:t>
            </w:r>
          </w:p>
        </w:tc>
        <w:tc>
          <w:tcPr>
            <w:tcW w:w="4103" w:type="dxa"/>
            <w:tcBorders>
              <w:top w:val="single" w:sz="12" w:space="0" w:color="auto"/>
            </w:tcBorders>
            <w:vAlign w:val="center"/>
          </w:tcPr>
          <w:p w14:paraId="6615A683"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 xml:space="preserve">Year-round low flow </w:t>
            </w:r>
          </w:p>
          <w:p w14:paraId="67A1D989" w14:textId="77777777" w:rsidR="0024331D" w:rsidRPr="0024331D" w:rsidRDefault="0024331D" w:rsidP="0024331D">
            <w:pPr>
              <w:spacing w:before="40" w:after="0"/>
              <w:rPr>
                <w:rFonts w:cstheme="minorHAnsi"/>
                <w:color w:val="000000" w:themeColor="text1"/>
                <w:sz w:val="18"/>
                <w:szCs w:val="18"/>
              </w:rPr>
            </w:pPr>
            <w:r w:rsidRPr="0024331D">
              <w:rPr>
                <w:rFonts w:cstheme="minorHAnsi"/>
                <w:color w:val="000000" w:themeColor="text1"/>
                <w:sz w:val="18"/>
                <w:szCs w:val="18"/>
              </w:rPr>
              <w:t xml:space="preserve">A minimum of 40 ML/day to </w:t>
            </w:r>
            <w:bookmarkStart w:id="179" w:name="_Hlk43310094"/>
            <w:r w:rsidRPr="0024331D">
              <w:rPr>
                <w:rFonts w:cstheme="minorHAnsi"/>
                <w:color w:val="000000" w:themeColor="text1"/>
                <w:sz w:val="18"/>
                <w:szCs w:val="18"/>
              </w:rPr>
              <w:t>allow fish ladders to remain open, enable native fish movement and provide minimum levels of habitat for platypus, water rat (rakali), fish, plants, waterbugs and turtles</w:t>
            </w:r>
            <w:bookmarkEnd w:id="179"/>
            <w:r w:rsidRPr="0024331D">
              <w:rPr>
                <w:rFonts w:cstheme="minorHAnsi"/>
                <w:color w:val="000000" w:themeColor="text1"/>
                <w:sz w:val="18"/>
                <w:szCs w:val="18"/>
              </w:rPr>
              <w:t>.</w:t>
            </w:r>
          </w:p>
        </w:tc>
        <w:tc>
          <w:tcPr>
            <w:tcW w:w="2126" w:type="dxa"/>
            <w:vMerge w:val="restart"/>
            <w:tcBorders>
              <w:top w:val="single" w:sz="12" w:space="0" w:color="auto"/>
            </w:tcBorders>
            <w:vAlign w:val="center"/>
          </w:tcPr>
          <w:p w14:paraId="472356D4" w14:textId="77777777" w:rsidR="0024331D" w:rsidRPr="0024331D" w:rsidRDefault="0024331D" w:rsidP="0024331D">
            <w:pPr>
              <w:spacing w:beforeLines="40" w:before="96" w:after="0"/>
              <w:rPr>
                <w:rFonts w:cstheme="minorHAnsi"/>
                <w:color w:val="000000" w:themeColor="text1"/>
                <w:sz w:val="18"/>
                <w:szCs w:val="18"/>
              </w:rPr>
            </w:pPr>
            <w:r w:rsidRPr="0024331D">
              <w:rPr>
                <w:rFonts w:cstheme="minorHAnsi"/>
                <w:color w:val="000000" w:themeColor="text1"/>
                <w:sz w:val="18"/>
                <w:szCs w:val="18"/>
              </w:rPr>
              <w:t>Annually with all levels of water availability</w:t>
            </w:r>
          </w:p>
        </w:tc>
        <w:tc>
          <w:tcPr>
            <w:tcW w:w="4693" w:type="dxa"/>
            <w:tcBorders>
              <w:top w:val="single" w:sz="12" w:space="0" w:color="auto"/>
            </w:tcBorders>
            <w:vAlign w:val="center"/>
          </w:tcPr>
          <w:p w14:paraId="31C6D8BC"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The year-round flow of 40 ML/day is considered the minimum requirement and has been met or partially achieved</w:t>
            </w:r>
            <w:r w:rsidRPr="0024331D" w:rsidDel="397D4073">
              <w:rPr>
                <w:rFonts w:cstheme="minorBidi"/>
                <w:color w:val="000000" w:themeColor="text1"/>
                <w:sz w:val="18"/>
                <w:szCs w:val="18"/>
              </w:rPr>
              <w:t xml:space="preserve"> </w:t>
            </w:r>
            <w:r w:rsidRPr="0024331D">
              <w:rPr>
                <w:rFonts w:cstheme="minorBidi"/>
                <w:color w:val="000000" w:themeColor="text1"/>
                <w:sz w:val="18"/>
                <w:szCs w:val="18"/>
              </w:rPr>
              <w:t>since 2011-12. Environmental water has been the main water source used to provide minimum low flows during the non-irrigation season, especially in dry years.</w:t>
            </w:r>
          </w:p>
        </w:tc>
        <w:tc>
          <w:tcPr>
            <w:tcW w:w="1984" w:type="dxa"/>
            <w:gridSpan w:val="2"/>
            <w:tcBorders>
              <w:top w:val="single" w:sz="12" w:space="0" w:color="auto"/>
            </w:tcBorders>
            <w:shd w:val="clear" w:color="auto" w:fill="FF0000"/>
            <w:vAlign w:val="center"/>
          </w:tcPr>
          <w:p w14:paraId="34757658"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c>
          <w:tcPr>
            <w:tcW w:w="4249" w:type="dxa"/>
            <w:tcBorders>
              <w:top w:val="single" w:sz="12" w:space="0" w:color="auto"/>
            </w:tcBorders>
            <w:shd w:val="clear" w:color="auto" w:fill="365F91" w:themeFill="accent1" w:themeFillShade="BF"/>
            <w:vAlign w:val="center"/>
          </w:tcPr>
          <w:p w14:paraId="1949E3D7"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 during the non-irrigation season.</w:t>
            </w:r>
          </w:p>
          <w:p w14:paraId="42B668BA"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 xml:space="preserve">Likely to be met by operational deliveries during the irrigation season. </w:t>
            </w:r>
          </w:p>
        </w:tc>
        <w:tc>
          <w:tcPr>
            <w:tcW w:w="2272" w:type="dxa"/>
            <w:tcBorders>
              <w:top w:val="single" w:sz="12" w:space="0" w:color="auto"/>
              <w:right w:val="single" w:sz="12" w:space="0" w:color="auto"/>
            </w:tcBorders>
            <w:shd w:val="clear" w:color="auto" w:fill="FF0000"/>
            <w:vAlign w:val="center"/>
          </w:tcPr>
          <w:p w14:paraId="6ADC7532"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tr w:rsidR="0024331D" w:rsidRPr="0024331D" w14:paraId="7E17C401"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1544"/>
          <w:jc w:val="center"/>
        </w:trPr>
        <w:tc>
          <w:tcPr>
            <w:tcW w:w="2403" w:type="dxa"/>
            <w:vMerge/>
            <w:tcBorders>
              <w:left w:val="single" w:sz="12" w:space="0" w:color="auto"/>
            </w:tcBorders>
          </w:tcPr>
          <w:p w14:paraId="6C024136" w14:textId="77777777" w:rsidR="0024331D" w:rsidRPr="0024331D" w:rsidRDefault="0024331D" w:rsidP="0024331D">
            <w:pPr>
              <w:spacing w:before="120" w:after="0"/>
              <w:rPr>
                <w:rFonts w:cstheme="minorHAnsi"/>
                <w:b/>
                <w:color w:val="000000" w:themeColor="text1"/>
                <w:sz w:val="18"/>
                <w:szCs w:val="18"/>
              </w:rPr>
            </w:pPr>
            <w:bookmarkStart w:id="180" w:name="_Hlk41295986"/>
          </w:p>
        </w:tc>
        <w:tc>
          <w:tcPr>
            <w:tcW w:w="4103" w:type="dxa"/>
            <w:vAlign w:val="center"/>
          </w:tcPr>
          <w:p w14:paraId="2D8C9979"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Year-round (during irrigation season) higher flows</w:t>
            </w:r>
          </w:p>
          <w:p w14:paraId="05E87D52"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300–450 ML/day delivered when required for operational purposes. These levels are not expected to cause negative ecological outcomes.</w:t>
            </w:r>
          </w:p>
        </w:tc>
        <w:tc>
          <w:tcPr>
            <w:tcW w:w="2126" w:type="dxa"/>
            <w:vMerge/>
            <w:vAlign w:val="center"/>
          </w:tcPr>
          <w:p w14:paraId="431C5568" w14:textId="77777777" w:rsidR="0024331D" w:rsidRPr="0024331D" w:rsidRDefault="0024331D" w:rsidP="0024331D">
            <w:pPr>
              <w:spacing w:beforeLines="40" w:before="96" w:after="0"/>
              <w:rPr>
                <w:rFonts w:cstheme="minorHAnsi"/>
                <w:color w:val="000000" w:themeColor="text1"/>
                <w:sz w:val="18"/>
                <w:szCs w:val="18"/>
              </w:rPr>
            </w:pPr>
          </w:p>
        </w:tc>
        <w:tc>
          <w:tcPr>
            <w:tcW w:w="4693" w:type="dxa"/>
            <w:vAlign w:val="center"/>
          </w:tcPr>
          <w:p w14:paraId="31054D79"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This flow has been partially achieved each year since 2011</w:t>
            </w:r>
            <w:r w:rsidRPr="0024331D">
              <w:rPr>
                <w:rFonts w:cstheme="minorHAnsi"/>
                <w:color w:val="000000" w:themeColor="text1"/>
                <w:sz w:val="18"/>
                <w:szCs w:val="18"/>
              </w:rPr>
              <w:noBreakHyphen/>
              <w:t>12. In recent years, Inter-Valley Transfers and Murray Bypass flows have been the main water source contributing to higher flows during the irrigation season.</w:t>
            </w:r>
          </w:p>
        </w:tc>
        <w:tc>
          <w:tcPr>
            <w:tcW w:w="1984" w:type="dxa"/>
            <w:gridSpan w:val="2"/>
            <w:shd w:val="clear" w:color="auto" w:fill="FFC000"/>
            <w:vAlign w:val="center"/>
          </w:tcPr>
          <w:p w14:paraId="3379FADE"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c>
          <w:tcPr>
            <w:tcW w:w="4249" w:type="dxa"/>
            <w:shd w:val="clear" w:color="auto" w:fill="95B3D7" w:themeFill="accent1" w:themeFillTint="99"/>
            <w:vAlign w:val="center"/>
          </w:tcPr>
          <w:p w14:paraId="6999DD4E" w14:textId="77777777" w:rsidR="0024331D" w:rsidRPr="0024331D" w:rsidRDefault="0024331D" w:rsidP="0024331D">
            <w:pPr>
              <w:jc w:val="center"/>
              <w:rPr>
                <w:rFonts w:cstheme="minorHAnsi"/>
                <w:color w:val="auto"/>
                <w:sz w:val="18"/>
                <w:szCs w:val="18"/>
              </w:rPr>
            </w:pPr>
            <w:r w:rsidRPr="0024331D">
              <w:rPr>
                <w:color w:val="auto"/>
                <w:sz w:val="18"/>
                <w:szCs w:val="18"/>
              </w:rPr>
              <w:t>Option to be considered for Commonwealth environmental water under a moderate to high water resource availability.</w:t>
            </w:r>
          </w:p>
        </w:tc>
        <w:tc>
          <w:tcPr>
            <w:tcW w:w="2272" w:type="dxa"/>
            <w:tcBorders>
              <w:right w:val="single" w:sz="12" w:space="0" w:color="auto"/>
            </w:tcBorders>
            <w:shd w:val="clear" w:color="auto" w:fill="FFC000"/>
            <w:vAlign w:val="center"/>
          </w:tcPr>
          <w:p w14:paraId="4ECBDE30"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r>
      <w:bookmarkEnd w:id="180"/>
      <w:tr w:rsidR="0024331D" w:rsidRPr="0024331D" w14:paraId="05C9679D" w14:textId="77777777" w:rsidTr="00583873">
        <w:tblPrEx>
          <w:jc w:val="center"/>
          <w:tblInd w:w="0" w:type="dxa"/>
        </w:tblPrEx>
        <w:trPr>
          <w:cnfStyle w:val="000000010000" w:firstRow="0" w:lastRow="0" w:firstColumn="0" w:lastColumn="0" w:oddVBand="0" w:evenVBand="0" w:oddHBand="0" w:evenHBand="1" w:firstRowFirstColumn="0" w:firstRowLastColumn="0" w:lastRowFirstColumn="0" w:lastRowLastColumn="0"/>
          <w:trHeight w:val="2828"/>
          <w:jc w:val="center"/>
        </w:trPr>
        <w:tc>
          <w:tcPr>
            <w:tcW w:w="2403" w:type="dxa"/>
            <w:vMerge/>
            <w:tcBorders>
              <w:left w:val="single" w:sz="12" w:space="0" w:color="auto"/>
            </w:tcBorders>
          </w:tcPr>
          <w:p w14:paraId="70C76221" w14:textId="77777777" w:rsidR="0024331D" w:rsidRPr="0024331D" w:rsidRDefault="0024331D" w:rsidP="0024331D">
            <w:pPr>
              <w:spacing w:after="0"/>
              <w:rPr>
                <w:rFonts w:cstheme="minorHAnsi"/>
                <w:b/>
                <w:color w:val="000000" w:themeColor="text1"/>
                <w:sz w:val="18"/>
                <w:szCs w:val="18"/>
              </w:rPr>
            </w:pPr>
          </w:p>
        </w:tc>
        <w:tc>
          <w:tcPr>
            <w:tcW w:w="4103" w:type="dxa"/>
            <w:vAlign w:val="center"/>
          </w:tcPr>
          <w:p w14:paraId="2C0C914A"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Year-round (during irrigation season) extended high flow (July to May)</w:t>
            </w:r>
          </w:p>
          <w:p w14:paraId="792E7CC0"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100–250 ML/day  </w:t>
            </w:r>
          </w:p>
          <w:p w14:paraId="0774CCC9" w14:textId="77777777" w:rsidR="0024331D" w:rsidRPr="0024331D" w:rsidRDefault="0024331D" w:rsidP="0024331D">
            <w:pPr>
              <w:spacing w:before="120"/>
              <w:rPr>
                <w:rFonts w:cstheme="minorHAnsi"/>
                <w:color w:val="000000" w:themeColor="text1"/>
                <w:sz w:val="18"/>
                <w:szCs w:val="18"/>
                <w:vertAlign w:val="superscript"/>
              </w:rPr>
            </w:pPr>
            <w:r w:rsidRPr="0024331D">
              <w:rPr>
                <w:rFonts w:cstheme="minorHAnsi"/>
                <w:color w:val="000000" w:themeColor="text1"/>
                <w:sz w:val="18"/>
                <w:szCs w:val="18"/>
              </w:rPr>
              <w:t>250 ML/day over spring and summer to help prevent Azolla accumulation and maintain dissolved oxygen (DO) levels, and reduced flow at other times to maintain instream habitat for native fish spawning and movement.</w:t>
            </w:r>
          </w:p>
          <w:p w14:paraId="26E0F863" w14:textId="77777777" w:rsidR="0024331D" w:rsidRPr="0024331D" w:rsidRDefault="0024331D" w:rsidP="0024331D">
            <w:pPr>
              <w:spacing w:before="120"/>
              <w:rPr>
                <w:rFonts w:cstheme="minorHAnsi"/>
                <w:color w:val="000000" w:themeColor="text1"/>
                <w:sz w:val="18"/>
                <w:szCs w:val="18"/>
                <w:vertAlign w:val="superscript"/>
              </w:rPr>
            </w:pPr>
          </w:p>
        </w:tc>
        <w:tc>
          <w:tcPr>
            <w:tcW w:w="2126" w:type="dxa"/>
            <w:vAlign w:val="center"/>
          </w:tcPr>
          <w:p w14:paraId="1FA5BEBD" w14:textId="77777777" w:rsidR="0024331D" w:rsidRPr="0024331D" w:rsidRDefault="0024331D" w:rsidP="0024331D">
            <w:pPr>
              <w:spacing w:beforeLines="40" w:before="96" w:after="0"/>
              <w:rPr>
                <w:rFonts w:cstheme="minorHAnsi"/>
                <w:color w:val="000000" w:themeColor="text1"/>
                <w:sz w:val="18"/>
                <w:szCs w:val="18"/>
              </w:rPr>
            </w:pPr>
            <w:r w:rsidRPr="0024331D">
              <w:rPr>
                <w:rFonts w:cstheme="minorHAnsi"/>
                <w:color w:val="000000" w:themeColor="text1"/>
                <w:sz w:val="18"/>
                <w:szCs w:val="18"/>
              </w:rPr>
              <w:t>Annually if required with all levels of water availability</w:t>
            </w:r>
          </w:p>
          <w:p w14:paraId="34932B28" w14:textId="77777777" w:rsidR="0024331D" w:rsidRPr="0024331D" w:rsidRDefault="0024331D" w:rsidP="0024331D">
            <w:pPr>
              <w:spacing w:beforeLines="40" w:before="96" w:after="0"/>
              <w:rPr>
                <w:rFonts w:cstheme="minorHAnsi"/>
                <w:color w:val="000000" w:themeColor="text1"/>
                <w:sz w:val="18"/>
                <w:szCs w:val="18"/>
              </w:rPr>
            </w:pPr>
          </w:p>
        </w:tc>
        <w:tc>
          <w:tcPr>
            <w:tcW w:w="4693" w:type="dxa"/>
            <w:vAlign w:val="center"/>
          </w:tcPr>
          <w:p w14:paraId="0CEB76D9" w14:textId="77777777" w:rsidR="0024331D" w:rsidRPr="0024331D" w:rsidRDefault="0024331D" w:rsidP="0024331D">
            <w:pPr>
              <w:spacing w:before="120"/>
              <w:rPr>
                <w:rFonts w:cstheme="minorBidi"/>
                <w:color w:val="000000" w:themeColor="text1"/>
                <w:sz w:val="18"/>
                <w:szCs w:val="18"/>
              </w:rPr>
            </w:pPr>
            <w:r w:rsidRPr="0024331D">
              <w:rPr>
                <w:rFonts w:cstheme="minorBidi"/>
                <w:color w:val="000000" w:themeColor="text1"/>
                <w:sz w:val="18"/>
                <w:szCs w:val="18"/>
              </w:rPr>
              <w:t>Extended high flows have been met or partially achieved since 2011-12 through a combination of environmental water and consumptive deliveries. In recent years, Inter-Valley Transfers and Murray Bypass flows have significantly contributed to the provision of extended high flows.</w:t>
            </w:r>
          </w:p>
          <w:p w14:paraId="403B2A17" w14:textId="77777777" w:rsidR="0024331D" w:rsidRPr="0024331D" w:rsidRDefault="0024331D" w:rsidP="0024331D">
            <w:pPr>
              <w:spacing w:before="120"/>
              <w:rPr>
                <w:rFonts w:cstheme="minorHAnsi"/>
                <w:color w:val="000000" w:themeColor="text1"/>
                <w:sz w:val="18"/>
                <w:szCs w:val="18"/>
              </w:rPr>
            </w:pPr>
          </w:p>
        </w:tc>
        <w:tc>
          <w:tcPr>
            <w:tcW w:w="1984" w:type="dxa"/>
            <w:gridSpan w:val="2"/>
            <w:shd w:val="clear" w:color="auto" w:fill="FF0000"/>
            <w:vAlign w:val="center"/>
          </w:tcPr>
          <w:p w14:paraId="38CA843B"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c>
          <w:tcPr>
            <w:tcW w:w="4249" w:type="dxa"/>
            <w:shd w:val="clear" w:color="auto" w:fill="365F91" w:themeFill="accent1" w:themeFillShade="BF"/>
            <w:vAlign w:val="center"/>
          </w:tcPr>
          <w:p w14:paraId="4C3F9709"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 priority for Commonwealth Environmental water, however this action may be partially met by operational flows</w:t>
            </w:r>
          </w:p>
        </w:tc>
        <w:tc>
          <w:tcPr>
            <w:tcW w:w="2272" w:type="dxa"/>
            <w:tcBorders>
              <w:right w:val="single" w:sz="12" w:space="0" w:color="auto"/>
            </w:tcBorders>
            <w:shd w:val="clear" w:color="auto" w:fill="FF0000"/>
            <w:vAlign w:val="center"/>
          </w:tcPr>
          <w:p w14:paraId="3E9218AD"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tr w:rsidR="0024331D" w:rsidRPr="0024331D" w14:paraId="5E423B22"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2968"/>
          <w:jc w:val="center"/>
        </w:trPr>
        <w:tc>
          <w:tcPr>
            <w:tcW w:w="2403" w:type="dxa"/>
            <w:vMerge/>
            <w:tcBorders>
              <w:left w:val="single" w:sz="12" w:space="0" w:color="auto"/>
              <w:bottom w:val="single" w:sz="12" w:space="0" w:color="auto"/>
            </w:tcBorders>
          </w:tcPr>
          <w:p w14:paraId="1A989F72" w14:textId="77777777" w:rsidR="0024331D" w:rsidRPr="0024331D" w:rsidRDefault="0024331D" w:rsidP="0024331D">
            <w:pPr>
              <w:spacing w:after="0"/>
              <w:rPr>
                <w:rFonts w:cstheme="minorHAnsi"/>
                <w:b/>
                <w:color w:val="548DD4" w:themeColor="text2" w:themeTint="99"/>
                <w:sz w:val="18"/>
                <w:szCs w:val="18"/>
              </w:rPr>
            </w:pPr>
          </w:p>
        </w:tc>
        <w:tc>
          <w:tcPr>
            <w:tcW w:w="4103" w:type="dxa"/>
            <w:tcBorders>
              <w:bottom w:val="single" w:sz="12" w:space="0" w:color="auto"/>
            </w:tcBorders>
            <w:vAlign w:val="center"/>
          </w:tcPr>
          <w:p w14:paraId="6C298EBC"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Winter/spring freshes (July–Sept)</w:t>
            </w:r>
          </w:p>
          <w:p w14:paraId="1155B697"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Up to 3 actions of 300</w:t>
            </w:r>
            <w:r w:rsidRPr="0024331D">
              <w:rPr>
                <w:rFonts w:cstheme="minorHAnsi"/>
                <w:color w:val="000000" w:themeColor="text1"/>
                <w:sz w:val="18"/>
                <w:szCs w:val="18"/>
              </w:rPr>
              <w:noBreakHyphen/>
              <w:t xml:space="preserve">450 ML/day for 1 to 2 weeks to flush Azolla blooms (if any) and </w:t>
            </w:r>
            <w:bookmarkStart w:id="181" w:name="_Hlk43310577"/>
            <w:r w:rsidRPr="0024331D">
              <w:rPr>
                <w:rFonts w:cstheme="minorHAnsi"/>
                <w:color w:val="000000" w:themeColor="text1"/>
                <w:sz w:val="18"/>
                <w:szCs w:val="18"/>
              </w:rPr>
              <w:t>to provide cues to trigger fish migration, spawning and dispersal</w:t>
            </w:r>
            <w:bookmarkEnd w:id="181"/>
            <w:r w:rsidRPr="0024331D">
              <w:rPr>
                <w:rFonts w:cstheme="minorHAnsi"/>
                <w:color w:val="000000" w:themeColor="text1"/>
                <w:sz w:val="18"/>
                <w:szCs w:val="18"/>
              </w:rPr>
              <w:t xml:space="preserve">. </w:t>
            </w:r>
          </w:p>
        </w:tc>
        <w:tc>
          <w:tcPr>
            <w:tcW w:w="2126" w:type="dxa"/>
            <w:tcBorders>
              <w:bottom w:val="single" w:sz="12" w:space="0" w:color="auto"/>
            </w:tcBorders>
            <w:vAlign w:val="center"/>
          </w:tcPr>
          <w:p w14:paraId="204A6EBD" w14:textId="77777777" w:rsidR="0024331D" w:rsidRPr="0024331D" w:rsidRDefault="0024331D" w:rsidP="0024331D">
            <w:pPr>
              <w:spacing w:beforeLines="40" w:before="96" w:after="0"/>
              <w:rPr>
                <w:rFonts w:cstheme="minorHAnsi"/>
                <w:color w:val="000000" w:themeColor="text1"/>
                <w:sz w:val="18"/>
                <w:szCs w:val="18"/>
              </w:rPr>
            </w:pPr>
            <w:r w:rsidRPr="0024331D">
              <w:rPr>
                <w:rFonts w:cstheme="minorHAnsi"/>
                <w:color w:val="000000" w:themeColor="text1"/>
                <w:sz w:val="18"/>
                <w:szCs w:val="18"/>
              </w:rPr>
              <w:t>Annually if required with all levels of resource availability water</w:t>
            </w:r>
          </w:p>
        </w:tc>
        <w:tc>
          <w:tcPr>
            <w:tcW w:w="4693" w:type="dxa"/>
            <w:tcBorders>
              <w:bottom w:val="single" w:sz="12" w:space="0" w:color="auto"/>
            </w:tcBorders>
            <w:vAlign w:val="center"/>
          </w:tcPr>
          <w:p w14:paraId="6286FEC2" w14:textId="77777777" w:rsidR="0024331D" w:rsidRPr="0024331D" w:rsidRDefault="0024331D" w:rsidP="0024331D">
            <w:r w:rsidRPr="0024331D">
              <w:rPr>
                <w:rFonts w:ascii="Calibri" w:eastAsia="Calibri" w:hAnsi="Calibri" w:cs="Calibri"/>
                <w:sz w:val="18"/>
                <w:szCs w:val="18"/>
              </w:rPr>
              <w:t>Freshes have been met in most years since 2011-12 and partially achieved in others. Environmental water deliveries have contributed significantly to the provision of spring freshes.</w:t>
            </w:r>
          </w:p>
          <w:p w14:paraId="6FE837DC" w14:textId="77777777" w:rsidR="0024331D" w:rsidRPr="0024331D" w:rsidRDefault="0024331D" w:rsidP="0024331D">
            <w:pPr>
              <w:rPr>
                <w:rFonts w:cstheme="minorHAnsi"/>
                <w:color w:val="548DD4" w:themeColor="text2" w:themeTint="99"/>
                <w:sz w:val="18"/>
                <w:szCs w:val="18"/>
              </w:rPr>
            </w:pPr>
            <w:r w:rsidRPr="0024331D">
              <w:rPr>
                <w:rFonts w:cstheme="minorBidi"/>
                <w:color w:val="auto"/>
                <w:sz w:val="18"/>
                <w:szCs w:val="18"/>
              </w:rPr>
              <w:t>A late winter/spring fresh through environmental water delivery was not required in 2019-20 as Azolla levels remained low.</w:t>
            </w:r>
          </w:p>
        </w:tc>
        <w:tc>
          <w:tcPr>
            <w:tcW w:w="1984" w:type="dxa"/>
            <w:gridSpan w:val="2"/>
            <w:tcBorders>
              <w:bottom w:val="single" w:sz="12" w:space="0" w:color="auto"/>
            </w:tcBorders>
            <w:shd w:val="clear" w:color="auto" w:fill="FF0000"/>
            <w:vAlign w:val="center"/>
          </w:tcPr>
          <w:p w14:paraId="3AB3D587"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 when required</w:t>
            </w:r>
          </w:p>
        </w:tc>
        <w:tc>
          <w:tcPr>
            <w:tcW w:w="4249" w:type="dxa"/>
            <w:tcBorders>
              <w:bottom w:val="single" w:sz="12" w:space="0" w:color="auto"/>
            </w:tcBorders>
            <w:shd w:val="clear" w:color="auto" w:fill="365F91" w:themeFill="accent1" w:themeFillShade="BF"/>
            <w:vAlign w:val="center"/>
          </w:tcPr>
          <w:p w14:paraId="20137762"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 priority for Commonwealth Environmental water, however this action may be met/partially met by natural flows</w:t>
            </w:r>
          </w:p>
        </w:tc>
        <w:tc>
          <w:tcPr>
            <w:tcW w:w="2272" w:type="dxa"/>
            <w:tcBorders>
              <w:bottom w:val="single" w:sz="12" w:space="0" w:color="auto"/>
              <w:right w:val="single" w:sz="12" w:space="0" w:color="auto"/>
            </w:tcBorders>
            <w:shd w:val="clear" w:color="auto" w:fill="FF0000"/>
            <w:vAlign w:val="center"/>
          </w:tcPr>
          <w:p w14:paraId="25D7AE30"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tr w:rsidR="0024331D" w:rsidRPr="0024331D" w14:paraId="699C1C8E" w14:textId="77777777" w:rsidTr="00583873">
        <w:trPr>
          <w:cnfStyle w:val="000000010000" w:firstRow="0" w:lastRow="0" w:firstColumn="0" w:lastColumn="0" w:oddVBand="0" w:evenVBand="0" w:oddHBand="0" w:evenHBand="1" w:firstRowFirstColumn="0" w:firstRowLastColumn="0" w:lastRowFirstColumn="0" w:lastRowLastColumn="0"/>
          <w:trHeight w:val="2948"/>
        </w:trPr>
        <w:tc>
          <w:tcPr>
            <w:tcW w:w="2403" w:type="dxa"/>
            <w:tcBorders>
              <w:top w:val="single" w:sz="12" w:space="0" w:color="auto"/>
              <w:left w:val="single" w:sz="12" w:space="0" w:color="auto"/>
              <w:bottom w:val="single" w:sz="12" w:space="0" w:color="auto"/>
            </w:tcBorders>
          </w:tcPr>
          <w:p w14:paraId="2DE35D12" w14:textId="77777777" w:rsidR="0024331D" w:rsidRPr="0024331D" w:rsidRDefault="0024331D" w:rsidP="0024331D">
            <w:pPr>
              <w:spacing w:before="120"/>
              <w:rPr>
                <w:rFonts w:cstheme="minorHAnsi"/>
                <w:b/>
                <w:color w:val="000000" w:themeColor="text1"/>
                <w:sz w:val="18"/>
                <w:szCs w:val="18"/>
              </w:rPr>
            </w:pPr>
            <w:r w:rsidRPr="0024331D">
              <w:rPr>
                <w:rFonts w:cstheme="minorHAnsi"/>
                <w:b/>
                <w:color w:val="000000" w:themeColor="text1"/>
                <w:sz w:val="18"/>
                <w:szCs w:val="18"/>
              </w:rPr>
              <w:br w:type="page"/>
            </w:r>
            <w:r w:rsidRPr="0024331D">
              <w:rPr>
                <w:rFonts w:cstheme="minorHAnsi"/>
                <w:b/>
                <w:color w:val="000000" w:themeColor="text1"/>
                <w:sz w:val="18"/>
                <w:szCs w:val="18"/>
              </w:rPr>
              <w:br w:type="page"/>
              <w:t>Goulburn-Broken catchment wetlands (Moodie Swamp)</w:t>
            </w:r>
          </w:p>
          <w:p w14:paraId="06764D97" w14:textId="77777777" w:rsidR="0024331D" w:rsidRPr="0024331D" w:rsidRDefault="0024331D" w:rsidP="0024331D">
            <w:pPr>
              <w:spacing w:before="120"/>
              <w:rPr>
                <w:rFonts w:cstheme="minorHAnsi"/>
                <w:i/>
                <w:color w:val="000000" w:themeColor="text1"/>
                <w:sz w:val="18"/>
                <w:szCs w:val="18"/>
              </w:rPr>
            </w:pPr>
            <w:r w:rsidRPr="0024331D">
              <w:rPr>
                <w:rFonts w:cstheme="minorHAnsi"/>
                <w:i/>
                <w:color w:val="000000" w:themeColor="text1"/>
                <w:sz w:val="18"/>
                <w:szCs w:val="18"/>
              </w:rPr>
              <w:t>Accessed via Gearys channel from reach 2; Waggarandall Weir to Reillys Weir</w:t>
            </w:r>
          </w:p>
          <w:p w14:paraId="038B495D"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Birds – Brolga</w:t>
            </w:r>
          </w:p>
          <w:p w14:paraId="118A2E68" w14:textId="77777777" w:rsidR="0024331D" w:rsidRPr="0024331D" w:rsidRDefault="0024331D" w:rsidP="0024331D">
            <w:pPr>
              <w:numPr>
                <w:ilvl w:val="0"/>
                <w:numId w:val="6"/>
              </w:numPr>
              <w:spacing w:before="60"/>
              <w:ind w:left="164" w:hanging="164"/>
              <w:rPr>
                <w:rFonts w:cstheme="minorHAnsi"/>
                <w:color w:val="000000" w:themeColor="text1"/>
              </w:rPr>
            </w:pPr>
            <w:r w:rsidRPr="0024331D">
              <w:rPr>
                <w:rFonts w:cstheme="minorHAnsi"/>
                <w:color w:val="000000" w:themeColor="text1"/>
                <w:sz w:val="18"/>
                <w:szCs w:val="18"/>
              </w:rPr>
              <w:t>Native vegetation - cane grass and rigid water milfoil</w:t>
            </w:r>
          </w:p>
        </w:tc>
        <w:tc>
          <w:tcPr>
            <w:tcW w:w="4103" w:type="dxa"/>
            <w:tcBorders>
              <w:top w:val="single" w:sz="12" w:space="0" w:color="auto"/>
              <w:bottom w:val="single" w:sz="12" w:space="0" w:color="auto"/>
            </w:tcBorders>
            <w:vAlign w:val="center"/>
          </w:tcPr>
          <w:p w14:paraId="7D231967"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Spring – a top-up if required to </w:t>
            </w:r>
            <w:bookmarkStart w:id="182" w:name="_Hlk43311478"/>
            <w:r w:rsidRPr="0024331D">
              <w:rPr>
                <w:rFonts w:cstheme="minorHAnsi"/>
                <w:color w:val="000000" w:themeColor="text1"/>
                <w:sz w:val="18"/>
                <w:szCs w:val="18"/>
              </w:rPr>
              <w:t>support bird breeding and plant growth/flowering</w:t>
            </w:r>
            <w:bookmarkEnd w:id="182"/>
          </w:p>
          <w:p w14:paraId="46928B83"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Autumn – fill </w:t>
            </w:r>
          </w:p>
          <w:p w14:paraId="7EFF0D9B" w14:textId="77777777" w:rsidR="0024331D" w:rsidRPr="0024331D" w:rsidRDefault="0024331D" w:rsidP="0024331D">
            <w:pPr>
              <w:spacing w:before="120"/>
              <w:rPr>
                <w:rFonts w:cstheme="minorHAnsi"/>
                <w:color w:val="000000" w:themeColor="text1"/>
                <w:sz w:val="18"/>
                <w:szCs w:val="18"/>
              </w:rPr>
            </w:pPr>
            <w:bookmarkStart w:id="183" w:name="_Hlk43311716"/>
            <w:r w:rsidRPr="0024331D">
              <w:rPr>
                <w:rFonts w:cstheme="minorHAnsi"/>
                <w:color w:val="000000" w:themeColor="text1"/>
                <w:sz w:val="18"/>
                <w:szCs w:val="18"/>
              </w:rPr>
              <w:t xml:space="preserve">Delivery is to promote growth of cane grass to provide habitat for brolga nesting and for rigid water milfoil germination and growth. </w:t>
            </w:r>
          </w:p>
          <w:bookmarkEnd w:id="183"/>
          <w:p w14:paraId="19B9FE87" w14:textId="77777777" w:rsidR="0024331D" w:rsidRPr="0024331D" w:rsidRDefault="0024331D" w:rsidP="0024331D">
            <w:pPr>
              <w:spacing w:before="120"/>
              <w:rPr>
                <w:rFonts w:cstheme="minorHAnsi"/>
                <w:color w:val="000000" w:themeColor="text1"/>
                <w:sz w:val="18"/>
                <w:szCs w:val="18"/>
              </w:rPr>
            </w:pPr>
          </w:p>
        </w:tc>
        <w:tc>
          <w:tcPr>
            <w:tcW w:w="2126" w:type="dxa"/>
            <w:tcBorders>
              <w:top w:val="single" w:sz="12" w:space="0" w:color="auto"/>
              <w:bottom w:val="single" w:sz="12" w:space="0" w:color="auto"/>
            </w:tcBorders>
            <w:vAlign w:val="center"/>
          </w:tcPr>
          <w:p w14:paraId="0F664767"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Moodie Swamp maximum dry interval is 1 year for waterbirds and 3 years for vegetation</w:t>
            </w:r>
          </w:p>
        </w:tc>
        <w:tc>
          <w:tcPr>
            <w:tcW w:w="4693" w:type="dxa"/>
            <w:tcBorders>
              <w:top w:val="single" w:sz="12" w:space="0" w:color="auto"/>
              <w:bottom w:val="single" w:sz="12" w:space="0" w:color="auto"/>
            </w:tcBorders>
            <w:vAlign w:val="center"/>
          </w:tcPr>
          <w:p w14:paraId="61CE0365"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Environmental water has been delivered to Moodie Swamp each year between 2013–14 and 2017–18. No water was required in 2018–19 in 2019–20 natural flows partially filled the wetland. </w:t>
            </w:r>
          </w:p>
        </w:tc>
        <w:tc>
          <w:tcPr>
            <w:tcW w:w="1984" w:type="dxa"/>
            <w:gridSpan w:val="2"/>
            <w:tcBorders>
              <w:top w:val="single" w:sz="12" w:space="0" w:color="auto"/>
              <w:bottom w:val="single" w:sz="12" w:space="0" w:color="auto"/>
            </w:tcBorders>
            <w:shd w:val="clear" w:color="auto" w:fill="FF0000"/>
            <w:vAlign w:val="center"/>
          </w:tcPr>
          <w:p w14:paraId="376536BF"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c>
          <w:tcPr>
            <w:tcW w:w="4249" w:type="dxa"/>
            <w:tcBorders>
              <w:top w:val="single" w:sz="12" w:space="0" w:color="auto"/>
              <w:bottom w:val="single" w:sz="12" w:space="0" w:color="auto"/>
            </w:tcBorders>
            <w:shd w:val="clear" w:color="auto" w:fill="365F91" w:themeFill="accent1" w:themeFillShade="BF"/>
            <w:vAlign w:val="center"/>
          </w:tcPr>
          <w:p w14:paraId="40F21D4C"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 priority for Commonwealth Environmental water provided sufficient allocations available</w:t>
            </w:r>
          </w:p>
        </w:tc>
        <w:tc>
          <w:tcPr>
            <w:tcW w:w="2272" w:type="dxa"/>
            <w:tcBorders>
              <w:top w:val="single" w:sz="12" w:space="0" w:color="auto"/>
              <w:bottom w:val="single" w:sz="12" w:space="0" w:color="auto"/>
              <w:right w:val="single" w:sz="12" w:space="0" w:color="auto"/>
            </w:tcBorders>
            <w:shd w:val="clear" w:color="auto" w:fill="FFC000"/>
            <w:vAlign w:val="center"/>
          </w:tcPr>
          <w:p w14:paraId="235AB345"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r>
      <w:tr w:rsidR="0024331D" w:rsidRPr="0024331D" w14:paraId="6CCEC31C"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1828"/>
          <w:jc w:val="center"/>
        </w:trPr>
        <w:tc>
          <w:tcPr>
            <w:tcW w:w="2403" w:type="dxa"/>
            <w:vMerge w:val="restart"/>
            <w:tcBorders>
              <w:top w:val="single" w:sz="12" w:space="0" w:color="auto"/>
              <w:left w:val="single" w:sz="12" w:space="0" w:color="auto"/>
            </w:tcBorders>
          </w:tcPr>
          <w:p w14:paraId="25006029" w14:textId="77777777" w:rsidR="0024331D" w:rsidRPr="0024331D" w:rsidRDefault="0024331D" w:rsidP="0024331D">
            <w:pPr>
              <w:spacing w:before="120" w:after="0"/>
              <w:rPr>
                <w:rFonts w:cstheme="minorHAnsi"/>
                <w:b/>
                <w:color w:val="000000" w:themeColor="text1"/>
                <w:sz w:val="18"/>
                <w:szCs w:val="18"/>
              </w:rPr>
            </w:pPr>
            <w:r w:rsidRPr="0024331D">
              <w:rPr>
                <w:rFonts w:cstheme="minorHAnsi"/>
                <w:b/>
                <w:color w:val="000000" w:themeColor="text1"/>
                <w:sz w:val="18"/>
                <w:szCs w:val="18"/>
              </w:rPr>
              <w:lastRenderedPageBreak/>
              <w:t>Upper Broken Creek</w:t>
            </w:r>
          </w:p>
          <w:p w14:paraId="1A75BFF1" w14:textId="77777777" w:rsidR="0024331D" w:rsidRPr="0024331D" w:rsidRDefault="0024331D" w:rsidP="0024331D">
            <w:pPr>
              <w:rPr>
                <w:rFonts w:cstheme="minorHAnsi"/>
                <w:i/>
                <w:color w:val="000000" w:themeColor="text1"/>
                <w:sz w:val="18"/>
                <w:szCs w:val="18"/>
              </w:rPr>
            </w:pPr>
            <w:r w:rsidRPr="0024331D">
              <w:rPr>
                <w:rFonts w:cstheme="minorHAnsi"/>
                <w:i/>
                <w:color w:val="000000" w:themeColor="text1"/>
                <w:sz w:val="18"/>
                <w:szCs w:val="18"/>
              </w:rPr>
              <w:t>reach 1 Casey’s Weir to Waggarandall Weir</w:t>
            </w:r>
          </w:p>
          <w:p w14:paraId="3251391F"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Native fish – carp gudgeon, Murray cod, golden perch, Murray-Darling rainbow fish</w:t>
            </w:r>
          </w:p>
          <w:p w14:paraId="7109396B"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 xml:space="preserve">Vegetation – </w:t>
            </w:r>
            <w:bookmarkStart w:id="184" w:name="_Hlk43311363"/>
            <w:r w:rsidRPr="0024331D">
              <w:rPr>
                <w:rFonts w:cstheme="minorHAnsi"/>
                <w:color w:val="000000" w:themeColor="text1"/>
                <w:sz w:val="18"/>
                <w:szCs w:val="18"/>
              </w:rPr>
              <w:t>box riparian vegetation</w:t>
            </w:r>
            <w:bookmarkEnd w:id="184"/>
            <w:r w:rsidRPr="0024331D">
              <w:rPr>
                <w:rFonts w:cstheme="minorHAnsi"/>
                <w:color w:val="000000" w:themeColor="text1"/>
                <w:sz w:val="18"/>
                <w:szCs w:val="18"/>
              </w:rPr>
              <w:t>, remnant plains grassy woodland, buloke trees and rigid water milfoil</w:t>
            </w:r>
          </w:p>
          <w:p w14:paraId="09ECB1F0"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 xml:space="preserve">Platypus </w:t>
            </w:r>
          </w:p>
          <w:p w14:paraId="58730599"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Common long-necked turtle</w:t>
            </w:r>
          </w:p>
          <w:p w14:paraId="4FAAAE60" w14:textId="77777777" w:rsidR="0024331D" w:rsidRPr="0024331D" w:rsidRDefault="0024331D" w:rsidP="0024331D">
            <w:pPr>
              <w:numPr>
                <w:ilvl w:val="0"/>
                <w:numId w:val="6"/>
              </w:numPr>
              <w:spacing w:before="60"/>
              <w:ind w:left="164" w:hanging="164"/>
              <w:rPr>
                <w:rFonts w:cstheme="minorHAnsi"/>
                <w:b/>
                <w:color w:val="000000" w:themeColor="text1"/>
                <w:sz w:val="18"/>
                <w:szCs w:val="18"/>
              </w:rPr>
            </w:pPr>
            <w:r w:rsidRPr="0024331D">
              <w:rPr>
                <w:rFonts w:cstheme="minorHAnsi"/>
                <w:color w:val="000000" w:themeColor="text1"/>
                <w:sz w:val="18"/>
                <w:szCs w:val="18"/>
              </w:rPr>
              <w:t>Birds – brolga, Australasian bittern</w:t>
            </w:r>
          </w:p>
        </w:tc>
        <w:tc>
          <w:tcPr>
            <w:tcW w:w="4103" w:type="dxa"/>
            <w:tcBorders>
              <w:top w:val="single" w:sz="12" w:space="0" w:color="auto"/>
            </w:tcBorders>
            <w:vAlign w:val="center"/>
          </w:tcPr>
          <w:p w14:paraId="61F07303"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Winter/spring low flows (June–Nov) </w:t>
            </w:r>
          </w:p>
          <w:p w14:paraId="607927A2"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Flows of 5 to 15 ML/day for around 30–70 days to maintain: pool habitat for native fish and waterbugs; access to food and habitat for platypus; and in-stream vegetation.</w:t>
            </w:r>
          </w:p>
        </w:tc>
        <w:tc>
          <w:tcPr>
            <w:tcW w:w="2126" w:type="dxa"/>
            <w:tcBorders>
              <w:top w:val="single" w:sz="12" w:space="0" w:color="auto"/>
            </w:tcBorders>
            <w:vAlign w:val="center"/>
          </w:tcPr>
          <w:p w14:paraId="22F2611F" w14:textId="77777777" w:rsidR="0024331D" w:rsidRPr="0024331D" w:rsidRDefault="0024331D" w:rsidP="0024331D">
            <w:pPr>
              <w:spacing w:before="20" w:after="20"/>
              <w:rPr>
                <w:rFonts w:cstheme="minorHAnsi"/>
                <w:color w:val="000000" w:themeColor="text1"/>
                <w:sz w:val="18"/>
                <w:szCs w:val="18"/>
              </w:rPr>
            </w:pPr>
            <w:r w:rsidRPr="0024331D">
              <w:rPr>
                <w:rFonts w:cstheme="minorHAnsi"/>
                <w:color w:val="000000" w:themeColor="text1"/>
                <w:sz w:val="18"/>
                <w:szCs w:val="18"/>
              </w:rPr>
              <w:t>Annually with all levels of water availability</w:t>
            </w:r>
          </w:p>
        </w:tc>
        <w:tc>
          <w:tcPr>
            <w:tcW w:w="4693" w:type="dxa"/>
            <w:tcBorders>
              <w:top w:val="single" w:sz="12" w:space="0" w:color="auto"/>
            </w:tcBorders>
            <w:vAlign w:val="center"/>
          </w:tcPr>
          <w:p w14:paraId="4784B1FC"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This flow was not met in 2013–14 and was partially met between 2014-15 and 2018-19. The flow was not met in 2019-20 </w:t>
            </w:r>
          </w:p>
        </w:tc>
        <w:tc>
          <w:tcPr>
            <w:tcW w:w="1984" w:type="dxa"/>
            <w:gridSpan w:val="2"/>
            <w:tcBorders>
              <w:top w:val="single" w:sz="12" w:space="0" w:color="auto"/>
            </w:tcBorders>
            <w:shd w:val="clear" w:color="auto" w:fill="FF0000"/>
            <w:vAlign w:val="center"/>
          </w:tcPr>
          <w:p w14:paraId="48ACF493"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c>
          <w:tcPr>
            <w:tcW w:w="4249" w:type="dxa"/>
            <w:tcBorders>
              <w:top w:val="single" w:sz="12" w:space="0" w:color="auto"/>
            </w:tcBorders>
            <w:shd w:val="clear" w:color="auto" w:fill="365F91" w:themeFill="accent1" w:themeFillShade="BF"/>
            <w:vAlign w:val="center"/>
          </w:tcPr>
          <w:p w14:paraId="2E2F980D" w14:textId="77777777" w:rsidR="0024331D" w:rsidRPr="0024331D" w:rsidRDefault="0024331D" w:rsidP="0024331D">
            <w:pPr>
              <w:jc w:val="center"/>
              <w:rPr>
                <w:rFonts w:cstheme="minorHAnsi"/>
                <w:color w:val="auto"/>
                <w:sz w:val="18"/>
                <w:szCs w:val="18"/>
              </w:rPr>
            </w:pPr>
            <w:r w:rsidRPr="0024331D">
              <w:rPr>
                <w:color w:val="auto"/>
                <w:sz w:val="18"/>
                <w:szCs w:val="18"/>
              </w:rPr>
              <w:t>High priority for Commonwealth environmental water (likely to receive water even under a very low water resource availability)</w:t>
            </w:r>
          </w:p>
        </w:tc>
        <w:tc>
          <w:tcPr>
            <w:tcW w:w="2272" w:type="dxa"/>
            <w:tcBorders>
              <w:top w:val="single" w:sz="12" w:space="0" w:color="auto"/>
              <w:right w:val="single" w:sz="12" w:space="0" w:color="auto"/>
            </w:tcBorders>
            <w:shd w:val="clear" w:color="auto" w:fill="FF0000"/>
            <w:vAlign w:val="center"/>
          </w:tcPr>
          <w:p w14:paraId="72E8ECBB"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tr w:rsidR="0024331D" w:rsidRPr="0024331D" w14:paraId="5A9860C2" w14:textId="77777777" w:rsidTr="00583873">
        <w:tblPrEx>
          <w:jc w:val="center"/>
          <w:tblInd w:w="0" w:type="dxa"/>
        </w:tblPrEx>
        <w:trPr>
          <w:cnfStyle w:val="000000010000" w:firstRow="0" w:lastRow="0" w:firstColumn="0" w:lastColumn="0" w:oddVBand="0" w:evenVBand="0" w:oddHBand="0" w:evenHBand="1" w:firstRowFirstColumn="0" w:firstRowLastColumn="0" w:lastRowFirstColumn="0" w:lastRowLastColumn="0"/>
          <w:trHeight w:val="1684"/>
          <w:jc w:val="center"/>
        </w:trPr>
        <w:tc>
          <w:tcPr>
            <w:tcW w:w="2403" w:type="dxa"/>
            <w:vMerge/>
            <w:tcBorders>
              <w:left w:val="single" w:sz="12" w:space="0" w:color="auto"/>
            </w:tcBorders>
          </w:tcPr>
          <w:p w14:paraId="531FE8B4" w14:textId="77777777" w:rsidR="0024331D" w:rsidRPr="0024331D" w:rsidRDefault="0024331D" w:rsidP="0024331D">
            <w:pPr>
              <w:spacing w:before="20" w:after="20"/>
              <w:rPr>
                <w:rFonts w:cstheme="minorHAnsi"/>
                <w:b/>
                <w:color w:val="000000" w:themeColor="text1"/>
                <w:sz w:val="18"/>
                <w:szCs w:val="18"/>
              </w:rPr>
            </w:pPr>
          </w:p>
        </w:tc>
        <w:tc>
          <w:tcPr>
            <w:tcW w:w="4103" w:type="dxa"/>
            <w:vAlign w:val="center"/>
          </w:tcPr>
          <w:p w14:paraId="0A2F3203"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Summer/autumn fresh (Dec–May)</w:t>
            </w:r>
          </w:p>
          <w:p w14:paraId="4F9E50CA"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Up to 100 ML/day for around 10 days to maintain water quality, particularly dissolved oxygen levels in refuge pools.</w:t>
            </w:r>
          </w:p>
        </w:tc>
        <w:tc>
          <w:tcPr>
            <w:tcW w:w="2126" w:type="dxa"/>
            <w:vAlign w:val="center"/>
          </w:tcPr>
          <w:p w14:paraId="078E3BF7" w14:textId="77777777" w:rsidR="0024331D" w:rsidRPr="0024331D" w:rsidRDefault="0024331D" w:rsidP="0024331D">
            <w:pPr>
              <w:spacing w:before="20" w:after="20"/>
              <w:rPr>
                <w:rFonts w:cstheme="minorHAnsi"/>
                <w:color w:val="000000" w:themeColor="text1"/>
                <w:sz w:val="18"/>
                <w:szCs w:val="18"/>
              </w:rPr>
            </w:pPr>
            <w:r w:rsidRPr="0024331D">
              <w:rPr>
                <w:rFonts w:cstheme="minorHAnsi"/>
                <w:color w:val="000000" w:themeColor="text1"/>
                <w:sz w:val="18"/>
                <w:szCs w:val="18"/>
              </w:rPr>
              <w:t>Annually with all levels of water availability except Very Dry</w:t>
            </w:r>
          </w:p>
        </w:tc>
        <w:tc>
          <w:tcPr>
            <w:tcW w:w="4693" w:type="dxa"/>
            <w:vAlign w:val="center"/>
          </w:tcPr>
          <w:p w14:paraId="769F1964" w14:textId="77777777" w:rsidR="0024331D" w:rsidRPr="0024331D" w:rsidRDefault="0024331D" w:rsidP="0024331D">
            <w:pPr>
              <w:spacing w:after="0"/>
              <w:rPr>
                <w:rFonts w:cstheme="minorHAnsi"/>
                <w:color w:val="000000" w:themeColor="text1"/>
                <w:sz w:val="18"/>
                <w:szCs w:val="18"/>
              </w:rPr>
            </w:pPr>
            <w:r w:rsidRPr="0024331D">
              <w:rPr>
                <w:rFonts w:cstheme="minorHAnsi"/>
                <w:color w:val="000000" w:themeColor="text1"/>
                <w:sz w:val="18"/>
                <w:szCs w:val="18"/>
              </w:rPr>
              <w:t>No historic information is available. In 2018–19 and 2019–20 no water quality issues were identified that required the delivery of this fresh.</w:t>
            </w:r>
          </w:p>
        </w:tc>
        <w:tc>
          <w:tcPr>
            <w:tcW w:w="1984" w:type="dxa"/>
            <w:gridSpan w:val="2"/>
            <w:shd w:val="clear" w:color="auto" w:fill="FF0000"/>
            <w:vAlign w:val="center"/>
          </w:tcPr>
          <w:p w14:paraId="509E070A"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c>
          <w:tcPr>
            <w:tcW w:w="4249" w:type="dxa"/>
            <w:shd w:val="clear" w:color="auto" w:fill="365F91" w:themeFill="accent1" w:themeFillShade="BF"/>
            <w:vAlign w:val="center"/>
          </w:tcPr>
          <w:p w14:paraId="5980F242"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 xml:space="preserve">High </w:t>
            </w:r>
            <w:r w:rsidRPr="0024331D">
              <w:rPr>
                <w:color w:val="auto"/>
                <w:sz w:val="18"/>
                <w:szCs w:val="18"/>
              </w:rPr>
              <w:t>priority for Commonwealth environmental water</w:t>
            </w:r>
            <w:r w:rsidRPr="0024331D">
              <w:rPr>
                <w:rFonts w:cstheme="minorHAnsi"/>
                <w:color w:val="auto"/>
                <w:sz w:val="18"/>
                <w:szCs w:val="18"/>
              </w:rPr>
              <w:t xml:space="preserve"> if required</w:t>
            </w:r>
          </w:p>
        </w:tc>
        <w:tc>
          <w:tcPr>
            <w:tcW w:w="2272" w:type="dxa"/>
            <w:tcBorders>
              <w:right w:val="single" w:sz="12" w:space="0" w:color="auto"/>
            </w:tcBorders>
            <w:shd w:val="clear" w:color="auto" w:fill="FF0000"/>
            <w:vAlign w:val="center"/>
          </w:tcPr>
          <w:p w14:paraId="42DAAFD5"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tr w:rsidR="0024331D" w:rsidRPr="0024331D" w14:paraId="5A9BF345"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2417"/>
          <w:jc w:val="center"/>
        </w:trPr>
        <w:tc>
          <w:tcPr>
            <w:tcW w:w="2403" w:type="dxa"/>
            <w:vMerge/>
            <w:tcBorders>
              <w:left w:val="single" w:sz="12" w:space="0" w:color="auto"/>
              <w:bottom w:val="single" w:sz="12" w:space="0" w:color="auto"/>
            </w:tcBorders>
          </w:tcPr>
          <w:p w14:paraId="22C4DF46" w14:textId="77777777" w:rsidR="0024331D" w:rsidRPr="0024331D" w:rsidRDefault="0024331D" w:rsidP="0024331D">
            <w:pPr>
              <w:spacing w:before="20" w:after="20"/>
              <w:rPr>
                <w:rFonts w:cstheme="minorHAnsi"/>
                <w:b/>
                <w:color w:val="000000" w:themeColor="text1"/>
                <w:sz w:val="18"/>
                <w:szCs w:val="18"/>
              </w:rPr>
            </w:pPr>
          </w:p>
        </w:tc>
        <w:tc>
          <w:tcPr>
            <w:tcW w:w="4103" w:type="dxa"/>
            <w:tcBorders>
              <w:bottom w:val="single" w:sz="12" w:space="0" w:color="auto"/>
            </w:tcBorders>
            <w:vAlign w:val="center"/>
          </w:tcPr>
          <w:p w14:paraId="75B65060"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Summer/autumn low flows (Dec–May)</w:t>
            </w:r>
          </w:p>
          <w:p w14:paraId="6E366BCF"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Flow of 1–8 ML/day for around 60–120 days to maintain: pool habitat for native fish and waterbugs; access to food and habitat for platypus; and in-stream vegetation.</w:t>
            </w:r>
          </w:p>
        </w:tc>
        <w:tc>
          <w:tcPr>
            <w:tcW w:w="2126" w:type="dxa"/>
            <w:tcBorders>
              <w:bottom w:val="single" w:sz="12" w:space="0" w:color="auto"/>
            </w:tcBorders>
            <w:vAlign w:val="center"/>
          </w:tcPr>
          <w:p w14:paraId="38D2C4A2" w14:textId="77777777" w:rsidR="0024331D" w:rsidRPr="0024331D" w:rsidRDefault="0024331D" w:rsidP="0024331D">
            <w:pPr>
              <w:spacing w:before="20" w:after="20"/>
              <w:rPr>
                <w:rFonts w:cstheme="minorHAnsi"/>
                <w:color w:val="000000" w:themeColor="text1"/>
                <w:sz w:val="18"/>
                <w:szCs w:val="18"/>
              </w:rPr>
            </w:pPr>
            <w:r w:rsidRPr="0024331D">
              <w:rPr>
                <w:rFonts w:cstheme="minorHAnsi"/>
                <w:color w:val="000000" w:themeColor="text1"/>
                <w:sz w:val="18"/>
                <w:szCs w:val="18"/>
              </w:rPr>
              <w:t>Annually with all levels of water availability</w:t>
            </w:r>
          </w:p>
        </w:tc>
        <w:tc>
          <w:tcPr>
            <w:tcW w:w="4693" w:type="dxa"/>
            <w:tcBorders>
              <w:bottom w:val="single" w:sz="12" w:space="0" w:color="auto"/>
            </w:tcBorders>
            <w:vAlign w:val="center"/>
          </w:tcPr>
          <w:p w14:paraId="08CE4C01" w14:textId="77777777" w:rsidR="0024331D" w:rsidRPr="0024331D" w:rsidRDefault="0024331D" w:rsidP="0024331D">
            <w:pPr>
              <w:spacing w:after="0"/>
              <w:rPr>
                <w:rFonts w:cstheme="minorHAnsi"/>
                <w:color w:val="000000" w:themeColor="text1"/>
                <w:sz w:val="18"/>
                <w:szCs w:val="18"/>
              </w:rPr>
            </w:pPr>
            <w:r w:rsidRPr="0024331D">
              <w:rPr>
                <w:rFonts w:cstheme="minorHAnsi"/>
                <w:color w:val="000000" w:themeColor="text1"/>
                <w:sz w:val="18"/>
                <w:szCs w:val="18"/>
              </w:rPr>
              <w:t>This flow was not met in 2013–14 and was partially met between 2014-15 and 2017–18. The flow was not met in 2018-19 and 2019-20.</w:t>
            </w:r>
          </w:p>
        </w:tc>
        <w:tc>
          <w:tcPr>
            <w:tcW w:w="1984" w:type="dxa"/>
            <w:gridSpan w:val="2"/>
            <w:tcBorders>
              <w:bottom w:val="single" w:sz="12" w:space="0" w:color="auto"/>
            </w:tcBorders>
            <w:shd w:val="clear" w:color="auto" w:fill="FF0000"/>
            <w:vAlign w:val="center"/>
          </w:tcPr>
          <w:p w14:paraId="6D466AF9"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c>
          <w:tcPr>
            <w:tcW w:w="4249" w:type="dxa"/>
            <w:tcBorders>
              <w:bottom w:val="single" w:sz="12" w:space="0" w:color="auto"/>
            </w:tcBorders>
            <w:shd w:val="clear" w:color="auto" w:fill="365F91" w:themeFill="accent1" w:themeFillShade="BF"/>
            <w:vAlign w:val="center"/>
          </w:tcPr>
          <w:p w14:paraId="4182BD88" w14:textId="77777777" w:rsidR="0024331D" w:rsidRPr="0024331D" w:rsidRDefault="0024331D" w:rsidP="0024331D">
            <w:pPr>
              <w:jc w:val="center"/>
              <w:rPr>
                <w:rFonts w:cstheme="minorHAnsi"/>
                <w:color w:val="auto"/>
                <w:sz w:val="18"/>
                <w:szCs w:val="18"/>
              </w:rPr>
            </w:pPr>
            <w:r w:rsidRPr="0024331D">
              <w:rPr>
                <w:color w:val="auto"/>
                <w:sz w:val="18"/>
                <w:szCs w:val="18"/>
              </w:rPr>
              <w:t>High priority for Commonwealth environmental water (likely to receive water even under a very low water resource availability)</w:t>
            </w:r>
          </w:p>
        </w:tc>
        <w:tc>
          <w:tcPr>
            <w:tcW w:w="2272" w:type="dxa"/>
            <w:tcBorders>
              <w:bottom w:val="single" w:sz="12" w:space="0" w:color="auto"/>
              <w:right w:val="single" w:sz="12" w:space="0" w:color="auto"/>
            </w:tcBorders>
            <w:shd w:val="clear" w:color="auto" w:fill="FF0000"/>
            <w:vAlign w:val="center"/>
          </w:tcPr>
          <w:p w14:paraId="4FADD39C"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tr w:rsidR="0024331D" w:rsidRPr="0024331D" w14:paraId="439A2B11" w14:textId="77777777" w:rsidTr="00583873">
        <w:tblPrEx>
          <w:jc w:val="center"/>
          <w:tblInd w:w="0" w:type="dxa"/>
        </w:tblPrEx>
        <w:trPr>
          <w:cnfStyle w:val="000000010000" w:firstRow="0" w:lastRow="0" w:firstColumn="0" w:lastColumn="0" w:oddVBand="0" w:evenVBand="0" w:oddHBand="0" w:evenHBand="1" w:firstRowFirstColumn="0" w:firstRowLastColumn="0" w:lastRowFirstColumn="0" w:lastRowLastColumn="0"/>
          <w:trHeight w:val="3515"/>
          <w:jc w:val="center"/>
        </w:trPr>
        <w:tc>
          <w:tcPr>
            <w:tcW w:w="2403" w:type="dxa"/>
            <w:vMerge w:val="restart"/>
            <w:tcBorders>
              <w:top w:val="single" w:sz="12" w:space="0" w:color="auto"/>
              <w:left w:val="single" w:sz="12" w:space="0" w:color="auto"/>
            </w:tcBorders>
          </w:tcPr>
          <w:p w14:paraId="2BD0719D" w14:textId="77777777" w:rsidR="0024331D" w:rsidRPr="0024331D" w:rsidRDefault="0024331D" w:rsidP="0024331D">
            <w:pPr>
              <w:spacing w:before="120"/>
              <w:rPr>
                <w:rFonts w:cstheme="minorHAnsi"/>
                <w:b/>
                <w:color w:val="000000" w:themeColor="text1"/>
                <w:sz w:val="18"/>
                <w:szCs w:val="18"/>
              </w:rPr>
            </w:pPr>
            <w:bookmarkStart w:id="185" w:name="_Hlk40275597"/>
            <w:r w:rsidRPr="0024331D">
              <w:rPr>
                <w:rFonts w:cstheme="minorHAnsi"/>
                <w:b/>
                <w:color w:val="000000" w:themeColor="text1"/>
                <w:sz w:val="18"/>
                <w:szCs w:val="18"/>
              </w:rPr>
              <w:t>Broken River</w:t>
            </w:r>
          </w:p>
          <w:p w14:paraId="76A35BD0" w14:textId="77777777" w:rsidR="0024331D" w:rsidRPr="0024331D" w:rsidRDefault="0024331D" w:rsidP="0024331D">
            <w:pPr>
              <w:spacing w:before="120"/>
              <w:rPr>
                <w:rFonts w:cstheme="minorHAnsi"/>
                <w:b/>
                <w:color w:val="000000" w:themeColor="text1"/>
                <w:sz w:val="18"/>
                <w:szCs w:val="18"/>
              </w:rPr>
            </w:pPr>
            <w:r w:rsidRPr="0024331D">
              <w:rPr>
                <w:rFonts w:cstheme="minorHAnsi"/>
                <w:b/>
                <w:color w:val="000000" w:themeColor="text1"/>
                <w:sz w:val="18"/>
                <w:szCs w:val="18"/>
              </w:rPr>
              <w:t>Reach 1</w:t>
            </w:r>
          </w:p>
          <w:p w14:paraId="74063B36"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Native fish - Murray cod, golden perch, silver perch, Murray-Darling rainbow fish, Macquarie perch, river black fish and mountain galaxias</w:t>
            </w:r>
          </w:p>
          <w:p w14:paraId="2E1A822D"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Vegetation – eel grass, common reed and water ribbon</w:t>
            </w:r>
          </w:p>
          <w:p w14:paraId="4A00C00E" w14:textId="77777777" w:rsidR="0024331D" w:rsidRPr="0024331D" w:rsidRDefault="0024331D" w:rsidP="0024331D">
            <w:pPr>
              <w:contextualSpacing/>
              <w:rPr>
                <w:rFonts w:cstheme="minorHAnsi"/>
                <w:color w:val="000000" w:themeColor="text1"/>
                <w:vertAlign w:val="superscript"/>
              </w:rPr>
            </w:pPr>
          </w:p>
        </w:tc>
        <w:tc>
          <w:tcPr>
            <w:tcW w:w="4103" w:type="dxa"/>
            <w:tcBorders>
              <w:top w:val="single" w:sz="12" w:space="0" w:color="auto"/>
            </w:tcBorders>
            <w:vAlign w:val="center"/>
          </w:tcPr>
          <w:p w14:paraId="19D4AC69"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Baseflow (all year) </w:t>
            </w:r>
          </w:p>
          <w:p w14:paraId="0EE6EB06" w14:textId="77777777" w:rsidR="0024331D" w:rsidRPr="0024331D" w:rsidRDefault="0024331D" w:rsidP="0024331D">
            <w:pPr>
              <w:spacing w:before="120"/>
              <w:rPr>
                <w:rFonts w:cstheme="minorHAnsi"/>
                <w:color w:val="000000" w:themeColor="text1"/>
                <w:sz w:val="18"/>
                <w:szCs w:val="18"/>
                <w:vertAlign w:val="superscript"/>
              </w:rPr>
            </w:pPr>
            <w:r w:rsidRPr="0024331D">
              <w:rPr>
                <w:rFonts w:cstheme="minorHAnsi"/>
                <w:color w:val="000000" w:themeColor="text1"/>
                <w:sz w:val="18"/>
                <w:szCs w:val="18"/>
              </w:rPr>
              <w:t>Flows of 5-25 ML/day for around 40–100 days to provide diverse habitat (riffles, slackwater, pools) for native fish, aquatic plants, platypus and waterbugs; support in-stream and fringing aquatic plants; and prevent terrestrial plants growing on the river bed.</w:t>
            </w:r>
          </w:p>
        </w:tc>
        <w:tc>
          <w:tcPr>
            <w:tcW w:w="2126" w:type="dxa"/>
            <w:tcBorders>
              <w:top w:val="single" w:sz="12" w:space="0" w:color="auto"/>
            </w:tcBorders>
            <w:vAlign w:val="center"/>
          </w:tcPr>
          <w:p w14:paraId="4BD30578" w14:textId="77777777" w:rsidR="0024331D" w:rsidRPr="0024331D" w:rsidRDefault="0024331D" w:rsidP="0024331D">
            <w:pPr>
              <w:spacing w:after="0"/>
              <w:rPr>
                <w:rFonts w:cstheme="minorHAnsi"/>
                <w:color w:val="000000" w:themeColor="text1"/>
                <w:sz w:val="18"/>
                <w:szCs w:val="18"/>
              </w:rPr>
            </w:pPr>
            <w:r w:rsidRPr="0024331D">
              <w:rPr>
                <w:rFonts w:cstheme="minorHAnsi"/>
                <w:color w:val="000000" w:themeColor="text1"/>
                <w:sz w:val="18"/>
                <w:szCs w:val="18"/>
              </w:rPr>
              <w:t>Annually with all levels of water availability</w:t>
            </w:r>
          </w:p>
        </w:tc>
        <w:tc>
          <w:tcPr>
            <w:tcW w:w="4693" w:type="dxa"/>
            <w:tcBorders>
              <w:top w:val="single" w:sz="12" w:space="0" w:color="auto"/>
            </w:tcBorders>
            <w:vAlign w:val="center"/>
          </w:tcPr>
          <w:p w14:paraId="7985A096"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Natural flows and consumptive water have met/partially met this flow target since 2010-11, except in 2019–20 when banked water was used in addition to operational flows. </w:t>
            </w:r>
          </w:p>
          <w:p w14:paraId="166E8C16" w14:textId="77777777" w:rsidR="0024331D" w:rsidRPr="0024331D" w:rsidRDefault="0024331D" w:rsidP="0024331D">
            <w:pPr>
              <w:spacing w:before="120"/>
              <w:rPr>
                <w:rFonts w:cstheme="minorHAnsi"/>
                <w:color w:val="000000" w:themeColor="text1"/>
                <w:sz w:val="18"/>
                <w:szCs w:val="18"/>
              </w:rPr>
            </w:pPr>
            <w:r w:rsidRPr="0024331D">
              <w:rPr>
                <w:sz w:val="18"/>
                <w:szCs w:val="18"/>
              </w:rPr>
              <w:t>In accordance with the Broken System BE, between May and December 2019 the GB CMA and GMW agreed to reduce the passing flow requirement below Lake Nillahcootie from 30 ML/day or natural to 15 ML/day or natural and banked inflows above 15 ML/day. This action was undertaken to ensure sufficient water was available to maintain minimum baseflow requirements in the Broken River throughout the season. A total of 1425 ML of water was banked.</w:t>
            </w:r>
          </w:p>
        </w:tc>
        <w:tc>
          <w:tcPr>
            <w:tcW w:w="1984" w:type="dxa"/>
            <w:gridSpan w:val="2"/>
            <w:tcBorders>
              <w:top w:val="single" w:sz="12" w:space="0" w:color="auto"/>
            </w:tcBorders>
            <w:shd w:val="clear" w:color="auto" w:fill="FFC000"/>
            <w:vAlign w:val="center"/>
          </w:tcPr>
          <w:p w14:paraId="2A00E98E"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c>
          <w:tcPr>
            <w:tcW w:w="4249" w:type="dxa"/>
            <w:tcBorders>
              <w:top w:val="single" w:sz="12" w:space="0" w:color="auto"/>
            </w:tcBorders>
            <w:shd w:val="clear" w:color="auto" w:fill="95B3D7" w:themeFill="accent1" w:themeFillTint="99"/>
            <w:vAlign w:val="center"/>
          </w:tcPr>
          <w:p w14:paraId="000CC3F5"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May be met by other means</w:t>
            </w:r>
          </w:p>
        </w:tc>
        <w:tc>
          <w:tcPr>
            <w:tcW w:w="2272" w:type="dxa"/>
            <w:tcBorders>
              <w:top w:val="single" w:sz="12" w:space="0" w:color="auto"/>
              <w:right w:val="single" w:sz="12" w:space="0" w:color="auto"/>
            </w:tcBorders>
            <w:shd w:val="clear" w:color="auto" w:fill="FFC000"/>
            <w:vAlign w:val="center"/>
          </w:tcPr>
          <w:p w14:paraId="04C6398B"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r>
      <w:bookmarkEnd w:id="185"/>
      <w:tr w:rsidR="0024331D" w:rsidRPr="0024331D" w14:paraId="12A8014B"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2778"/>
          <w:jc w:val="center"/>
        </w:trPr>
        <w:tc>
          <w:tcPr>
            <w:tcW w:w="2403" w:type="dxa"/>
            <w:vMerge/>
            <w:tcBorders>
              <w:left w:val="single" w:sz="12" w:space="0" w:color="auto"/>
              <w:bottom w:val="single" w:sz="12" w:space="0" w:color="auto"/>
            </w:tcBorders>
          </w:tcPr>
          <w:p w14:paraId="0C72FAB2" w14:textId="77777777" w:rsidR="0024331D" w:rsidRPr="0024331D" w:rsidRDefault="0024331D" w:rsidP="0024331D">
            <w:pPr>
              <w:spacing w:after="0"/>
              <w:rPr>
                <w:rFonts w:cstheme="minorHAnsi"/>
                <w:b/>
                <w:color w:val="000000" w:themeColor="text1"/>
                <w:sz w:val="18"/>
                <w:szCs w:val="18"/>
              </w:rPr>
            </w:pPr>
          </w:p>
        </w:tc>
        <w:tc>
          <w:tcPr>
            <w:tcW w:w="4103" w:type="dxa"/>
            <w:tcBorders>
              <w:bottom w:val="single" w:sz="12" w:space="0" w:color="auto"/>
            </w:tcBorders>
            <w:vAlign w:val="center"/>
          </w:tcPr>
          <w:p w14:paraId="320845EC"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Summer/autumn fresh (Dec–May).</w:t>
            </w:r>
          </w:p>
          <w:p w14:paraId="026F3E9D"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400–500 ML/day for 2 to 5 days with rates of rise and fall and a base flow of 30 ML/day to: maintain aquatic vegetation; provide native fish passage; scour sediments from hard surfaces to increase productivity and biofilms; and provide flow cues for native fish breeding and migration.</w:t>
            </w:r>
          </w:p>
        </w:tc>
        <w:tc>
          <w:tcPr>
            <w:tcW w:w="2126" w:type="dxa"/>
            <w:tcBorders>
              <w:bottom w:val="single" w:sz="12" w:space="0" w:color="auto"/>
            </w:tcBorders>
            <w:vAlign w:val="center"/>
          </w:tcPr>
          <w:p w14:paraId="00C1B247" w14:textId="77777777" w:rsidR="0024331D" w:rsidRPr="0024331D" w:rsidRDefault="0024331D" w:rsidP="0024331D">
            <w:pPr>
              <w:spacing w:after="0"/>
              <w:rPr>
                <w:rFonts w:cstheme="minorHAnsi"/>
                <w:color w:val="000000" w:themeColor="text1"/>
                <w:sz w:val="18"/>
                <w:szCs w:val="18"/>
              </w:rPr>
            </w:pPr>
            <w:r w:rsidRPr="0024331D">
              <w:rPr>
                <w:rFonts w:cstheme="minorHAnsi"/>
                <w:color w:val="000000" w:themeColor="text1"/>
                <w:sz w:val="18"/>
                <w:szCs w:val="18"/>
              </w:rPr>
              <w:t>Annually with all levels of water availability except Very Dry</w:t>
            </w:r>
          </w:p>
        </w:tc>
        <w:tc>
          <w:tcPr>
            <w:tcW w:w="4693" w:type="dxa"/>
            <w:tcBorders>
              <w:bottom w:val="single" w:sz="12" w:space="0" w:color="auto"/>
            </w:tcBorders>
            <w:vAlign w:val="center"/>
          </w:tcPr>
          <w:p w14:paraId="21E10BD7"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This target had not been met until 2017–18 when it was achieved by natural flows. In 2018-19 it as partially met when VEWH water was added to operational flows. This demand was partially met in 2019–20 from unregulated flows</w:t>
            </w:r>
          </w:p>
        </w:tc>
        <w:tc>
          <w:tcPr>
            <w:tcW w:w="1984" w:type="dxa"/>
            <w:gridSpan w:val="2"/>
            <w:tcBorders>
              <w:bottom w:val="single" w:sz="12" w:space="0" w:color="auto"/>
            </w:tcBorders>
            <w:shd w:val="clear" w:color="auto" w:fill="FFC000"/>
            <w:vAlign w:val="center"/>
          </w:tcPr>
          <w:p w14:paraId="518FEA80"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c>
          <w:tcPr>
            <w:tcW w:w="4249" w:type="dxa"/>
            <w:tcBorders>
              <w:bottom w:val="single" w:sz="12" w:space="0" w:color="auto"/>
            </w:tcBorders>
            <w:shd w:val="clear" w:color="auto" w:fill="95B3D7" w:themeFill="accent1" w:themeFillTint="99"/>
            <w:vAlign w:val="center"/>
          </w:tcPr>
          <w:p w14:paraId="19240E6D"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May be met by other means</w:t>
            </w:r>
          </w:p>
        </w:tc>
        <w:tc>
          <w:tcPr>
            <w:tcW w:w="2272" w:type="dxa"/>
            <w:tcBorders>
              <w:bottom w:val="single" w:sz="12" w:space="0" w:color="auto"/>
              <w:right w:val="single" w:sz="12" w:space="0" w:color="auto"/>
            </w:tcBorders>
            <w:shd w:val="clear" w:color="auto" w:fill="FFC000"/>
            <w:vAlign w:val="center"/>
          </w:tcPr>
          <w:p w14:paraId="174A2632"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r>
      <w:bookmarkEnd w:id="178"/>
      <w:tr w:rsidR="0024331D" w:rsidRPr="0024331D" w14:paraId="5B2D17D1" w14:textId="77777777" w:rsidTr="00583873">
        <w:tblPrEx>
          <w:jc w:val="center"/>
          <w:tblInd w:w="0" w:type="dxa"/>
        </w:tblPrEx>
        <w:trPr>
          <w:cnfStyle w:val="000000010000" w:firstRow="0" w:lastRow="0" w:firstColumn="0" w:lastColumn="0" w:oddVBand="0" w:evenVBand="0" w:oddHBand="0" w:evenHBand="1" w:firstRowFirstColumn="0" w:firstRowLastColumn="0" w:lastRowFirstColumn="0" w:lastRowLastColumn="0"/>
          <w:trHeight w:val="4238"/>
          <w:jc w:val="center"/>
        </w:trPr>
        <w:tc>
          <w:tcPr>
            <w:tcW w:w="2403" w:type="dxa"/>
            <w:vMerge w:val="restart"/>
            <w:tcBorders>
              <w:top w:val="single" w:sz="12" w:space="0" w:color="auto"/>
              <w:left w:val="single" w:sz="12" w:space="0" w:color="auto"/>
            </w:tcBorders>
          </w:tcPr>
          <w:p w14:paraId="52464567" w14:textId="77777777" w:rsidR="0024331D" w:rsidRPr="0024331D" w:rsidRDefault="0024331D" w:rsidP="0024331D">
            <w:pPr>
              <w:spacing w:before="120"/>
              <w:rPr>
                <w:rFonts w:cstheme="minorHAnsi"/>
                <w:b/>
                <w:color w:val="000000" w:themeColor="text1"/>
                <w:sz w:val="18"/>
                <w:szCs w:val="18"/>
              </w:rPr>
            </w:pPr>
            <w:r w:rsidRPr="0024331D">
              <w:rPr>
                <w:rFonts w:cstheme="minorHAnsi"/>
                <w:b/>
                <w:color w:val="000000" w:themeColor="text1"/>
                <w:sz w:val="18"/>
                <w:szCs w:val="18"/>
              </w:rPr>
              <w:lastRenderedPageBreak/>
              <w:t xml:space="preserve">Ovens River </w:t>
            </w:r>
          </w:p>
          <w:p w14:paraId="6CE1723B" w14:textId="77777777" w:rsidR="0024331D" w:rsidRPr="0024331D" w:rsidRDefault="0024331D" w:rsidP="0024331D">
            <w:pPr>
              <w:spacing w:before="120"/>
              <w:rPr>
                <w:rFonts w:cstheme="minorHAnsi"/>
                <w:i/>
                <w:color w:val="000000" w:themeColor="text1"/>
                <w:sz w:val="18"/>
                <w:szCs w:val="18"/>
              </w:rPr>
            </w:pPr>
            <w:r w:rsidRPr="0024331D">
              <w:rPr>
                <w:rFonts w:cstheme="minorHAnsi"/>
                <w:i/>
                <w:color w:val="000000" w:themeColor="text1"/>
                <w:sz w:val="18"/>
                <w:szCs w:val="18"/>
              </w:rPr>
              <w:t>reach 1 immediately below Lake Buffalo on the Ovens River; reach 2 immediately below Lake William Hovell on the King River; reach 4 Ovens River from the confluence of the Buffalo River to the confluence of the King River; reach 5 Ovens River downstream of the confluence of the King River to the Murray River; and Mullinmur wetland downstream of Wangaratta.</w:t>
            </w:r>
          </w:p>
          <w:p w14:paraId="1FE83E44"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Native fish – Murray cod, trout cod, golden perch, Macquarie perch and eel tailed catfish</w:t>
            </w:r>
          </w:p>
          <w:p w14:paraId="2BA981DC"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Frogs – giant bullfrog and growling grass frog</w:t>
            </w:r>
          </w:p>
          <w:p w14:paraId="20E78F85"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Waterbirds – egrets, herons, cormorants and bitterns</w:t>
            </w:r>
          </w:p>
          <w:p w14:paraId="6E799670"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Vegetation – river red gum forests and woodlands</w:t>
            </w:r>
          </w:p>
          <w:p w14:paraId="498D3E93" w14:textId="77777777" w:rsidR="0024331D" w:rsidRPr="0024331D" w:rsidRDefault="0024331D" w:rsidP="0024331D">
            <w:pPr>
              <w:spacing w:before="120"/>
              <w:rPr>
                <w:rFonts w:cstheme="minorHAnsi"/>
                <w:color w:val="000000" w:themeColor="text1"/>
                <w:highlight w:val="yellow"/>
              </w:rPr>
            </w:pPr>
          </w:p>
        </w:tc>
        <w:tc>
          <w:tcPr>
            <w:tcW w:w="4103" w:type="dxa"/>
            <w:tcBorders>
              <w:top w:val="single" w:sz="12" w:space="0" w:color="auto"/>
            </w:tcBorders>
            <w:vAlign w:val="center"/>
          </w:tcPr>
          <w:p w14:paraId="4AA658DB"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Up to the total Commonwealth environmental water entitlement of 103 ML per year (50 ML from Lake William Hovell and 53 ML from Lake Buffalo) to contribute to in-stream flows within the Ovens, Kings and Buffalo rivers, for example: </w:t>
            </w:r>
          </w:p>
          <w:p w14:paraId="6AABA006" w14:textId="77777777" w:rsidR="0024331D" w:rsidRPr="0024331D" w:rsidRDefault="0024331D" w:rsidP="0024331D">
            <w:pPr>
              <w:numPr>
                <w:ilvl w:val="0"/>
                <w:numId w:val="6"/>
              </w:numPr>
              <w:ind w:left="368" w:hanging="164"/>
              <w:rPr>
                <w:rFonts w:cstheme="minorHAnsi"/>
                <w:color w:val="000000" w:themeColor="text1"/>
                <w:sz w:val="18"/>
                <w:szCs w:val="18"/>
              </w:rPr>
            </w:pPr>
            <w:r w:rsidRPr="0024331D">
              <w:rPr>
                <w:rFonts w:cstheme="minorHAnsi"/>
                <w:color w:val="000000" w:themeColor="text1"/>
                <w:sz w:val="18"/>
                <w:szCs w:val="18"/>
              </w:rPr>
              <w:t>Pulsed autumn fresh in conjunction with a bulk water transfer from Lake Buffalo to scour biofilms and maintain macroinvertebrate assemblage.</w:t>
            </w:r>
          </w:p>
          <w:p w14:paraId="5526F78C" w14:textId="77777777" w:rsidR="0024331D" w:rsidRPr="0024331D" w:rsidRDefault="0024331D" w:rsidP="0024331D">
            <w:pPr>
              <w:numPr>
                <w:ilvl w:val="0"/>
                <w:numId w:val="6"/>
              </w:numPr>
              <w:ind w:left="368" w:hanging="164"/>
              <w:rPr>
                <w:rFonts w:cstheme="minorHAnsi"/>
                <w:color w:val="000000" w:themeColor="text1"/>
                <w:sz w:val="18"/>
                <w:szCs w:val="18"/>
              </w:rPr>
            </w:pPr>
            <w:r w:rsidRPr="0024331D">
              <w:rPr>
                <w:rFonts w:cstheme="minorHAnsi"/>
                <w:color w:val="000000" w:themeColor="text1"/>
                <w:sz w:val="18"/>
                <w:szCs w:val="18"/>
              </w:rPr>
              <w:t>Increased summer/autumn baseflows if bulk water transfer is not available to improve flow variability and ensure connectivity between pools and riffles.</w:t>
            </w:r>
          </w:p>
        </w:tc>
        <w:tc>
          <w:tcPr>
            <w:tcW w:w="2126" w:type="dxa"/>
            <w:vMerge w:val="restart"/>
            <w:tcBorders>
              <w:top w:val="single" w:sz="12" w:space="0" w:color="auto"/>
            </w:tcBorders>
            <w:vAlign w:val="center"/>
          </w:tcPr>
          <w:p w14:paraId="52F388E1" w14:textId="77777777" w:rsidR="0024331D" w:rsidRPr="0024331D" w:rsidRDefault="0024331D" w:rsidP="0024331D">
            <w:pPr>
              <w:spacing w:after="0"/>
              <w:rPr>
                <w:rFonts w:cstheme="minorHAnsi"/>
                <w:color w:val="000000" w:themeColor="text1"/>
                <w:sz w:val="18"/>
                <w:szCs w:val="18"/>
                <w:highlight w:val="yellow"/>
              </w:rPr>
            </w:pPr>
            <w:r w:rsidRPr="0024331D">
              <w:rPr>
                <w:rFonts w:cstheme="minorHAnsi"/>
                <w:color w:val="000000" w:themeColor="text1"/>
                <w:sz w:val="18"/>
                <w:szCs w:val="18"/>
              </w:rPr>
              <w:t>Annually with all levels of water availability</w:t>
            </w:r>
          </w:p>
        </w:tc>
        <w:tc>
          <w:tcPr>
            <w:tcW w:w="4693" w:type="dxa"/>
            <w:vMerge w:val="restart"/>
            <w:tcBorders>
              <w:top w:val="single" w:sz="12" w:space="0" w:color="auto"/>
            </w:tcBorders>
            <w:vAlign w:val="center"/>
          </w:tcPr>
          <w:p w14:paraId="63D70377" w14:textId="77777777" w:rsidR="0024331D" w:rsidRPr="0024331D" w:rsidRDefault="0024331D" w:rsidP="0024331D">
            <w:pPr>
              <w:spacing w:before="120"/>
              <w:rPr>
                <w:rFonts w:cstheme="minorHAnsi"/>
                <w:color w:val="000000" w:themeColor="text1"/>
                <w:sz w:val="18"/>
                <w:szCs w:val="18"/>
                <w:lang w:val="en-GB"/>
              </w:rPr>
            </w:pPr>
          </w:p>
          <w:p w14:paraId="4AACE35E" w14:textId="77777777" w:rsidR="0024331D" w:rsidRPr="0024331D" w:rsidRDefault="0024331D" w:rsidP="0024331D">
            <w:pPr>
              <w:spacing w:before="120"/>
              <w:rPr>
                <w:rFonts w:cstheme="minorHAnsi"/>
                <w:color w:val="000000" w:themeColor="text1"/>
                <w:sz w:val="18"/>
                <w:szCs w:val="18"/>
                <w:lang w:val="en-GB"/>
              </w:rPr>
            </w:pPr>
            <w:r w:rsidRPr="0024331D">
              <w:rPr>
                <w:rFonts w:cstheme="minorHAnsi"/>
                <w:color w:val="000000" w:themeColor="text1"/>
                <w:sz w:val="18"/>
                <w:szCs w:val="18"/>
                <w:lang w:val="en-GB"/>
              </w:rPr>
              <w:t>In 2014–15, 2015–16, 2017–18 and 2018–19 Commonwealth environmental water was released to supplement in-stream baseflows in the Buffalo and Ovens River.</w:t>
            </w:r>
          </w:p>
          <w:p w14:paraId="659B5FA4" w14:textId="77777777" w:rsidR="0024331D" w:rsidRPr="0024331D" w:rsidRDefault="0024331D" w:rsidP="0024331D">
            <w:pPr>
              <w:spacing w:before="120"/>
              <w:rPr>
                <w:rFonts w:cstheme="minorHAnsi"/>
                <w:color w:val="000000" w:themeColor="text1"/>
                <w:sz w:val="18"/>
                <w:szCs w:val="18"/>
                <w:lang w:val="en-GB"/>
              </w:rPr>
            </w:pPr>
            <w:r w:rsidRPr="0024331D">
              <w:rPr>
                <w:rFonts w:cstheme="minorHAnsi"/>
                <w:color w:val="000000" w:themeColor="text1"/>
                <w:sz w:val="18"/>
                <w:szCs w:val="18"/>
                <w:lang w:val="en-GB"/>
              </w:rPr>
              <w:t>In all years Commonwealth environmental water was released to supplement in-stream baseflows in the King River.</w:t>
            </w:r>
          </w:p>
          <w:p w14:paraId="14B11642" w14:textId="77777777" w:rsidR="0024331D" w:rsidRPr="0024331D" w:rsidRDefault="0024331D" w:rsidP="0024331D">
            <w:pPr>
              <w:spacing w:after="0"/>
              <w:rPr>
                <w:rFonts w:ascii="Times New Roman" w:hAnsi="Times New Roman" w:cs="Times New Roman"/>
                <w:color w:val="auto"/>
                <w:sz w:val="24"/>
                <w:szCs w:val="24"/>
              </w:rPr>
            </w:pPr>
            <w:r w:rsidRPr="0024331D">
              <w:rPr>
                <w:rFonts w:cstheme="minorHAnsi"/>
                <w:color w:val="000000" w:themeColor="text1"/>
                <w:sz w:val="18"/>
                <w:szCs w:val="18"/>
                <w:lang w:val="en-GB"/>
              </w:rPr>
              <w:t>In 2011-12, 2012–13, 2013–14, 2016–17 and 2019-20 environmental water was delivered as part of a bulk release drawdown provided by Goulburn-Murray Water.</w:t>
            </w:r>
            <w:r w:rsidRPr="0024331D">
              <w:rPr>
                <w:rFonts w:ascii="Times New Roman" w:hAnsi="Times New Roman" w:cs="Times New Roman"/>
                <w:color w:val="auto"/>
                <w:sz w:val="24"/>
                <w:szCs w:val="24"/>
              </w:rPr>
              <w:t xml:space="preserve"> </w:t>
            </w:r>
          </w:p>
          <w:p w14:paraId="68AFA93B" w14:textId="77777777" w:rsidR="0024331D" w:rsidRPr="0024331D" w:rsidRDefault="0024331D" w:rsidP="0024331D">
            <w:pPr>
              <w:spacing w:before="120"/>
              <w:rPr>
                <w:rFonts w:cstheme="minorHAnsi"/>
                <w:color w:val="000000" w:themeColor="text1"/>
                <w:sz w:val="18"/>
                <w:szCs w:val="18"/>
                <w:highlight w:val="yellow"/>
              </w:rPr>
            </w:pPr>
          </w:p>
        </w:tc>
        <w:tc>
          <w:tcPr>
            <w:tcW w:w="1984" w:type="dxa"/>
            <w:gridSpan w:val="2"/>
            <w:vMerge w:val="restart"/>
            <w:tcBorders>
              <w:top w:val="single" w:sz="12" w:space="0" w:color="auto"/>
            </w:tcBorders>
            <w:shd w:val="clear" w:color="auto" w:fill="FFC000"/>
            <w:vAlign w:val="center"/>
          </w:tcPr>
          <w:p w14:paraId="35FC32AC"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c>
          <w:tcPr>
            <w:tcW w:w="4249" w:type="dxa"/>
            <w:vMerge w:val="restart"/>
            <w:tcBorders>
              <w:top w:val="single" w:sz="12" w:space="0" w:color="auto"/>
            </w:tcBorders>
            <w:shd w:val="clear" w:color="auto" w:fill="365F91" w:themeFill="accent1" w:themeFillShade="BF"/>
            <w:vAlign w:val="center"/>
          </w:tcPr>
          <w:p w14:paraId="2730BC17" w14:textId="77777777" w:rsidR="0024331D" w:rsidRPr="0024331D" w:rsidRDefault="0024331D" w:rsidP="0024331D">
            <w:pPr>
              <w:jc w:val="center"/>
              <w:rPr>
                <w:rFonts w:cstheme="minorHAnsi"/>
                <w:color w:val="auto"/>
                <w:sz w:val="18"/>
                <w:szCs w:val="18"/>
              </w:rPr>
            </w:pPr>
            <w:r w:rsidRPr="0024331D">
              <w:rPr>
                <w:color w:val="auto"/>
                <w:sz w:val="18"/>
                <w:szCs w:val="18"/>
              </w:rPr>
              <w:t xml:space="preserve">High priority for Commonwealth environmental water, with releases to combine with </w:t>
            </w:r>
            <w:r w:rsidRPr="0024331D">
              <w:rPr>
                <w:rFonts w:cstheme="minorHAnsi"/>
                <w:color w:val="auto"/>
                <w:sz w:val="18"/>
                <w:szCs w:val="18"/>
              </w:rPr>
              <w:t>natural or operational deliveries</w:t>
            </w:r>
          </w:p>
        </w:tc>
        <w:tc>
          <w:tcPr>
            <w:tcW w:w="2272" w:type="dxa"/>
            <w:vMerge w:val="restart"/>
            <w:tcBorders>
              <w:top w:val="single" w:sz="12" w:space="0" w:color="auto"/>
              <w:right w:val="single" w:sz="12" w:space="0" w:color="auto"/>
            </w:tcBorders>
            <w:shd w:val="clear" w:color="auto" w:fill="FFC000"/>
            <w:vAlign w:val="center"/>
          </w:tcPr>
          <w:p w14:paraId="13AC7C66"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r>
      <w:tr w:rsidR="0024331D" w:rsidRPr="0024331D" w14:paraId="0A3FF039"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2966"/>
          <w:jc w:val="center"/>
        </w:trPr>
        <w:tc>
          <w:tcPr>
            <w:tcW w:w="2403" w:type="dxa"/>
            <w:vMerge/>
            <w:tcBorders>
              <w:left w:val="single" w:sz="12" w:space="0" w:color="auto"/>
            </w:tcBorders>
          </w:tcPr>
          <w:p w14:paraId="6BF780B1" w14:textId="77777777" w:rsidR="0024331D" w:rsidRPr="0024331D" w:rsidRDefault="0024331D" w:rsidP="0024331D">
            <w:pPr>
              <w:spacing w:before="120"/>
              <w:rPr>
                <w:rFonts w:cstheme="minorHAnsi"/>
                <w:b/>
                <w:color w:val="000000" w:themeColor="text1"/>
                <w:sz w:val="18"/>
                <w:szCs w:val="18"/>
                <w:highlight w:val="yellow"/>
              </w:rPr>
            </w:pPr>
          </w:p>
        </w:tc>
        <w:tc>
          <w:tcPr>
            <w:tcW w:w="4103" w:type="dxa"/>
            <w:vAlign w:val="center"/>
          </w:tcPr>
          <w:p w14:paraId="1111095B"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Autumn fresh (March/April) </w:t>
            </w:r>
          </w:p>
          <w:p w14:paraId="55A08FB2"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&gt;430 ML/day for 3 days in reaches 1 and 4, and 130–260 ML/day in reach 5 to: achieve connectivity between pools and stimulate native fish movement; improve water quality by mixing pools; provide small variations in river levels and flow to flush sediment from hard surfaces and scour biofilm; and maintain waterbug habitat.</w:t>
            </w:r>
          </w:p>
        </w:tc>
        <w:tc>
          <w:tcPr>
            <w:tcW w:w="2126" w:type="dxa"/>
            <w:vMerge/>
          </w:tcPr>
          <w:p w14:paraId="0BB57CE1" w14:textId="77777777" w:rsidR="0024331D" w:rsidRPr="0024331D" w:rsidRDefault="0024331D" w:rsidP="0024331D">
            <w:pPr>
              <w:spacing w:after="0"/>
              <w:rPr>
                <w:rFonts w:cstheme="minorHAnsi"/>
                <w:color w:val="000000" w:themeColor="text1"/>
                <w:sz w:val="18"/>
                <w:szCs w:val="18"/>
                <w:highlight w:val="yellow"/>
              </w:rPr>
            </w:pPr>
          </w:p>
        </w:tc>
        <w:tc>
          <w:tcPr>
            <w:tcW w:w="4693" w:type="dxa"/>
            <w:vMerge/>
          </w:tcPr>
          <w:p w14:paraId="4C8475B7" w14:textId="77777777" w:rsidR="0024331D" w:rsidRPr="0024331D" w:rsidRDefault="0024331D" w:rsidP="0024331D">
            <w:pPr>
              <w:spacing w:before="120"/>
              <w:rPr>
                <w:rFonts w:cstheme="minorHAnsi"/>
                <w:color w:val="000000" w:themeColor="text1"/>
                <w:sz w:val="18"/>
                <w:szCs w:val="18"/>
                <w:highlight w:val="yellow"/>
                <w:lang w:val="en-GB"/>
              </w:rPr>
            </w:pPr>
          </w:p>
        </w:tc>
        <w:tc>
          <w:tcPr>
            <w:tcW w:w="1984" w:type="dxa"/>
            <w:gridSpan w:val="2"/>
            <w:vMerge/>
            <w:shd w:val="clear" w:color="auto" w:fill="FFC000"/>
            <w:vAlign w:val="center"/>
          </w:tcPr>
          <w:p w14:paraId="10A4CD3E" w14:textId="77777777" w:rsidR="0024331D" w:rsidRPr="0024331D" w:rsidRDefault="0024331D" w:rsidP="0024331D">
            <w:pPr>
              <w:jc w:val="center"/>
              <w:rPr>
                <w:rFonts w:cstheme="minorHAnsi"/>
                <w:color w:val="auto"/>
                <w:sz w:val="18"/>
                <w:szCs w:val="18"/>
                <w:highlight w:val="yellow"/>
              </w:rPr>
            </w:pPr>
          </w:p>
        </w:tc>
        <w:tc>
          <w:tcPr>
            <w:tcW w:w="4249" w:type="dxa"/>
            <w:vMerge/>
            <w:shd w:val="clear" w:color="auto" w:fill="365F91" w:themeFill="accent1" w:themeFillShade="BF"/>
            <w:vAlign w:val="center"/>
          </w:tcPr>
          <w:p w14:paraId="1D627C3F" w14:textId="77777777" w:rsidR="0024331D" w:rsidRPr="0024331D" w:rsidRDefault="0024331D" w:rsidP="0024331D">
            <w:pPr>
              <w:jc w:val="center"/>
              <w:rPr>
                <w:rFonts w:cstheme="minorHAnsi"/>
                <w:color w:val="auto"/>
                <w:sz w:val="18"/>
                <w:szCs w:val="18"/>
                <w:highlight w:val="yellow"/>
              </w:rPr>
            </w:pPr>
          </w:p>
        </w:tc>
        <w:tc>
          <w:tcPr>
            <w:tcW w:w="2272" w:type="dxa"/>
            <w:vMerge/>
            <w:tcBorders>
              <w:right w:val="single" w:sz="12" w:space="0" w:color="auto"/>
            </w:tcBorders>
            <w:shd w:val="clear" w:color="auto" w:fill="FFC000"/>
            <w:vAlign w:val="center"/>
          </w:tcPr>
          <w:p w14:paraId="6645439E" w14:textId="77777777" w:rsidR="0024331D" w:rsidRPr="0024331D" w:rsidRDefault="0024331D" w:rsidP="0024331D">
            <w:pPr>
              <w:jc w:val="center"/>
              <w:rPr>
                <w:rFonts w:cstheme="minorHAnsi"/>
                <w:color w:val="auto"/>
                <w:sz w:val="18"/>
                <w:szCs w:val="18"/>
                <w:highlight w:val="yellow"/>
              </w:rPr>
            </w:pPr>
          </w:p>
        </w:tc>
      </w:tr>
      <w:tr w:rsidR="0024331D" w:rsidRPr="0024331D" w14:paraId="08B0C290" w14:textId="77777777" w:rsidTr="00583873">
        <w:tblPrEx>
          <w:jc w:val="center"/>
          <w:tblInd w:w="0" w:type="dxa"/>
        </w:tblPrEx>
        <w:trPr>
          <w:cnfStyle w:val="000000010000" w:firstRow="0" w:lastRow="0" w:firstColumn="0" w:lastColumn="0" w:oddVBand="0" w:evenVBand="0" w:oddHBand="0" w:evenHBand="1" w:firstRowFirstColumn="0" w:firstRowLastColumn="0" w:lastRowFirstColumn="0" w:lastRowLastColumn="0"/>
          <w:trHeight w:val="2530"/>
          <w:jc w:val="center"/>
        </w:trPr>
        <w:tc>
          <w:tcPr>
            <w:tcW w:w="2403" w:type="dxa"/>
            <w:vMerge/>
            <w:tcBorders>
              <w:left w:val="single" w:sz="12" w:space="0" w:color="auto"/>
            </w:tcBorders>
          </w:tcPr>
          <w:p w14:paraId="51EF7CCB" w14:textId="77777777" w:rsidR="0024331D" w:rsidRPr="0024331D" w:rsidRDefault="0024331D" w:rsidP="0024331D">
            <w:pPr>
              <w:spacing w:before="120"/>
              <w:rPr>
                <w:rFonts w:cstheme="minorHAnsi"/>
                <w:b/>
                <w:color w:val="000000" w:themeColor="text1"/>
                <w:sz w:val="18"/>
                <w:szCs w:val="18"/>
                <w:highlight w:val="yellow"/>
              </w:rPr>
            </w:pPr>
          </w:p>
        </w:tc>
        <w:tc>
          <w:tcPr>
            <w:tcW w:w="4103" w:type="dxa"/>
            <w:vAlign w:val="center"/>
          </w:tcPr>
          <w:p w14:paraId="6B935986"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Summer/autumn low flow (Dec–May)</w:t>
            </w:r>
          </w:p>
          <w:p w14:paraId="0EDE6B75"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Provide a small increase in flow variability to support</w:t>
            </w:r>
            <w:r w:rsidRPr="0024331D" w:rsidDel="00823C8D">
              <w:rPr>
                <w:rFonts w:cstheme="minorHAnsi"/>
                <w:color w:val="000000" w:themeColor="text1"/>
                <w:sz w:val="18"/>
                <w:szCs w:val="18"/>
              </w:rPr>
              <w:t xml:space="preserve"> </w:t>
            </w:r>
            <w:r w:rsidRPr="0024331D">
              <w:rPr>
                <w:rFonts w:cstheme="minorHAnsi"/>
                <w:color w:val="000000" w:themeColor="text1"/>
                <w:sz w:val="18"/>
                <w:szCs w:val="18"/>
              </w:rPr>
              <w:t>water quality, provide connections between pools and the maintenance of waterbug habitat.</w:t>
            </w:r>
          </w:p>
        </w:tc>
        <w:tc>
          <w:tcPr>
            <w:tcW w:w="2126" w:type="dxa"/>
            <w:vMerge/>
          </w:tcPr>
          <w:p w14:paraId="05CD3210" w14:textId="77777777" w:rsidR="0024331D" w:rsidRPr="0024331D" w:rsidRDefault="0024331D" w:rsidP="0024331D">
            <w:pPr>
              <w:spacing w:after="0"/>
              <w:rPr>
                <w:rFonts w:cstheme="minorHAnsi"/>
                <w:color w:val="000000" w:themeColor="text1"/>
                <w:sz w:val="18"/>
                <w:szCs w:val="18"/>
                <w:highlight w:val="yellow"/>
              </w:rPr>
            </w:pPr>
          </w:p>
        </w:tc>
        <w:tc>
          <w:tcPr>
            <w:tcW w:w="4693" w:type="dxa"/>
            <w:vMerge/>
          </w:tcPr>
          <w:p w14:paraId="2C063906" w14:textId="77777777" w:rsidR="0024331D" w:rsidRPr="0024331D" w:rsidRDefault="0024331D" w:rsidP="0024331D">
            <w:pPr>
              <w:spacing w:before="120"/>
              <w:rPr>
                <w:rFonts w:cstheme="minorHAnsi"/>
                <w:color w:val="000000" w:themeColor="text1"/>
                <w:sz w:val="18"/>
                <w:szCs w:val="18"/>
                <w:highlight w:val="yellow"/>
                <w:lang w:val="en-GB"/>
              </w:rPr>
            </w:pPr>
          </w:p>
        </w:tc>
        <w:tc>
          <w:tcPr>
            <w:tcW w:w="1984" w:type="dxa"/>
            <w:gridSpan w:val="2"/>
            <w:vMerge/>
            <w:shd w:val="clear" w:color="auto" w:fill="FFC000"/>
            <w:vAlign w:val="center"/>
          </w:tcPr>
          <w:p w14:paraId="05C67147" w14:textId="77777777" w:rsidR="0024331D" w:rsidRPr="0024331D" w:rsidRDefault="0024331D" w:rsidP="0024331D">
            <w:pPr>
              <w:jc w:val="center"/>
              <w:rPr>
                <w:rFonts w:cstheme="minorHAnsi"/>
                <w:color w:val="auto"/>
                <w:sz w:val="18"/>
                <w:szCs w:val="18"/>
                <w:highlight w:val="yellow"/>
              </w:rPr>
            </w:pPr>
          </w:p>
        </w:tc>
        <w:tc>
          <w:tcPr>
            <w:tcW w:w="4249" w:type="dxa"/>
            <w:vMerge/>
            <w:shd w:val="clear" w:color="auto" w:fill="365F91" w:themeFill="accent1" w:themeFillShade="BF"/>
            <w:vAlign w:val="center"/>
          </w:tcPr>
          <w:p w14:paraId="28F458F5" w14:textId="77777777" w:rsidR="0024331D" w:rsidRPr="0024331D" w:rsidRDefault="0024331D" w:rsidP="0024331D">
            <w:pPr>
              <w:jc w:val="center"/>
              <w:rPr>
                <w:rFonts w:cstheme="minorHAnsi"/>
                <w:color w:val="auto"/>
                <w:sz w:val="18"/>
                <w:szCs w:val="18"/>
                <w:highlight w:val="yellow"/>
              </w:rPr>
            </w:pPr>
          </w:p>
        </w:tc>
        <w:tc>
          <w:tcPr>
            <w:tcW w:w="2272" w:type="dxa"/>
            <w:vMerge/>
            <w:tcBorders>
              <w:right w:val="single" w:sz="12" w:space="0" w:color="auto"/>
            </w:tcBorders>
            <w:shd w:val="clear" w:color="auto" w:fill="FFC000"/>
            <w:vAlign w:val="center"/>
          </w:tcPr>
          <w:p w14:paraId="41057044" w14:textId="77777777" w:rsidR="0024331D" w:rsidRPr="0024331D" w:rsidRDefault="0024331D" w:rsidP="0024331D">
            <w:pPr>
              <w:jc w:val="center"/>
              <w:rPr>
                <w:rFonts w:cstheme="minorHAnsi"/>
                <w:color w:val="auto"/>
                <w:sz w:val="18"/>
                <w:szCs w:val="18"/>
                <w:highlight w:val="yellow"/>
              </w:rPr>
            </w:pPr>
          </w:p>
        </w:tc>
      </w:tr>
      <w:tr w:rsidR="0024331D" w:rsidRPr="0024331D" w14:paraId="03F87767"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3104"/>
          <w:jc w:val="center"/>
        </w:trPr>
        <w:tc>
          <w:tcPr>
            <w:tcW w:w="2403" w:type="dxa"/>
            <w:vMerge/>
            <w:tcBorders>
              <w:left w:val="single" w:sz="12" w:space="0" w:color="auto"/>
              <w:bottom w:val="single" w:sz="12" w:space="0" w:color="auto"/>
            </w:tcBorders>
          </w:tcPr>
          <w:p w14:paraId="0024CA56" w14:textId="77777777" w:rsidR="0024331D" w:rsidRPr="0024331D" w:rsidRDefault="0024331D" w:rsidP="0024331D">
            <w:pPr>
              <w:spacing w:before="120"/>
              <w:rPr>
                <w:rFonts w:cstheme="minorHAnsi"/>
                <w:b/>
                <w:color w:val="000000" w:themeColor="text1"/>
                <w:sz w:val="18"/>
                <w:szCs w:val="18"/>
                <w:highlight w:val="yellow"/>
              </w:rPr>
            </w:pPr>
          </w:p>
        </w:tc>
        <w:tc>
          <w:tcPr>
            <w:tcW w:w="4103" w:type="dxa"/>
            <w:tcBorders>
              <w:bottom w:val="single" w:sz="12" w:space="0" w:color="auto"/>
            </w:tcBorders>
            <w:vAlign w:val="center"/>
          </w:tcPr>
          <w:p w14:paraId="1E72E550"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Up to a total of 20 ML (from Lake Buffalo) of Commonwealth environmental water to contribute to Mullinmur wetland summer top-up (pumping) (Nov–Feb)</w:t>
            </w:r>
          </w:p>
          <w:p w14:paraId="38D3FE03" w14:textId="77777777" w:rsidR="0024331D" w:rsidRPr="0024331D" w:rsidRDefault="0024331D" w:rsidP="0024331D">
            <w:pPr>
              <w:spacing w:before="120"/>
              <w:rPr>
                <w:rFonts w:cstheme="minorHAnsi"/>
                <w:color w:val="000000" w:themeColor="text1"/>
                <w:sz w:val="18"/>
                <w:szCs w:val="18"/>
                <w:highlight w:val="yellow"/>
              </w:rPr>
            </w:pPr>
            <w:r w:rsidRPr="0024331D">
              <w:rPr>
                <w:rFonts w:cstheme="minorHAnsi"/>
                <w:color w:val="000000" w:themeColor="text1"/>
                <w:sz w:val="18"/>
                <w:szCs w:val="18"/>
              </w:rPr>
              <w:t>Delivery to maintain water level, and to support aquatic vegetation and habitat for native eel-tailed catfish.</w:t>
            </w:r>
          </w:p>
        </w:tc>
        <w:tc>
          <w:tcPr>
            <w:tcW w:w="2126" w:type="dxa"/>
            <w:tcBorders>
              <w:bottom w:val="single" w:sz="12" w:space="0" w:color="auto"/>
            </w:tcBorders>
            <w:vAlign w:val="center"/>
          </w:tcPr>
          <w:p w14:paraId="37C49A0C" w14:textId="77777777" w:rsidR="0024331D" w:rsidRPr="0024331D" w:rsidRDefault="0024331D" w:rsidP="0024331D">
            <w:pPr>
              <w:spacing w:after="0"/>
              <w:rPr>
                <w:rFonts w:cstheme="minorHAnsi"/>
                <w:color w:val="000000" w:themeColor="text1"/>
                <w:sz w:val="18"/>
                <w:szCs w:val="18"/>
                <w:highlight w:val="yellow"/>
              </w:rPr>
            </w:pPr>
            <w:r w:rsidRPr="0024331D">
              <w:rPr>
                <w:rFonts w:cstheme="minorHAnsi"/>
                <w:color w:val="000000" w:themeColor="text1"/>
                <w:sz w:val="18"/>
                <w:szCs w:val="18"/>
              </w:rPr>
              <w:t>Annually with all levels of water availability except in a wet scenario</w:t>
            </w:r>
          </w:p>
        </w:tc>
        <w:tc>
          <w:tcPr>
            <w:tcW w:w="4693" w:type="dxa"/>
            <w:tcBorders>
              <w:bottom w:val="single" w:sz="12" w:space="0" w:color="auto"/>
            </w:tcBorders>
            <w:vAlign w:val="center"/>
          </w:tcPr>
          <w:p w14:paraId="0C5699DA" w14:textId="77777777" w:rsidR="0024331D" w:rsidRPr="0024331D" w:rsidRDefault="0024331D" w:rsidP="0024331D">
            <w:pPr>
              <w:spacing w:before="120"/>
              <w:rPr>
                <w:rFonts w:cstheme="minorHAnsi"/>
                <w:color w:val="000000" w:themeColor="text1"/>
                <w:sz w:val="18"/>
                <w:szCs w:val="18"/>
                <w:lang w:val="en-GB"/>
              </w:rPr>
            </w:pPr>
            <w:r w:rsidRPr="0024331D">
              <w:rPr>
                <w:rFonts w:cstheme="minorHAnsi"/>
                <w:color w:val="000000" w:themeColor="text1"/>
                <w:sz w:val="18"/>
                <w:szCs w:val="18"/>
                <w:lang w:val="en-GB"/>
              </w:rPr>
              <w:t>In 2019–20, 20 ML of Commonwealth environmental water was delivered to Mullinmur wetland. This supported the translocation of native eel-tailed catfish</w:t>
            </w:r>
          </w:p>
        </w:tc>
        <w:tc>
          <w:tcPr>
            <w:tcW w:w="1984" w:type="dxa"/>
            <w:gridSpan w:val="2"/>
            <w:tcBorders>
              <w:bottom w:val="single" w:sz="12" w:space="0" w:color="auto"/>
            </w:tcBorders>
            <w:shd w:val="clear" w:color="auto" w:fill="FFC000"/>
            <w:vAlign w:val="center"/>
          </w:tcPr>
          <w:p w14:paraId="7158EB5A"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c>
          <w:tcPr>
            <w:tcW w:w="4249" w:type="dxa"/>
            <w:tcBorders>
              <w:bottom w:val="single" w:sz="12" w:space="0" w:color="auto"/>
            </w:tcBorders>
            <w:shd w:val="clear" w:color="auto" w:fill="365F91" w:themeFill="accent1" w:themeFillShade="BF"/>
            <w:vAlign w:val="center"/>
          </w:tcPr>
          <w:p w14:paraId="7B49CD82" w14:textId="77777777" w:rsidR="0024331D" w:rsidRPr="0024331D" w:rsidRDefault="0024331D" w:rsidP="0024331D">
            <w:pPr>
              <w:jc w:val="center"/>
              <w:rPr>
                <w:rFonts w:cstheme="minorHAnsi"/>
                <w:color w:val="auto"/>
                <w:sz w:val="18"/>
                <w:szCs w:val="18"/>
              </w:rPr>
            </w:pPr>
            <w:r w:rsidRPr="0024331D">
              <w:rPr>
                <w:color w:val="auto"/>
                <w:sz w:val="18"/>
                <w:szCs w:val="18"/>
              </w:rPr>
              <w:t>High priority for Commonwealth environmental water (likely to receive water even under a very low water resource availability)</w:t>
            </w:r>
          </w:p>
        </w:tc>
        <w:tc>
          <w:tcPr>
            <w:tcW w:w="2272" w:type="dxa"/>
            <w:tcBorders>
              <w:bottom w:val="single" w:sz="12" w:space="0" w:color="auto"/>
              <w:right w:val="single" w:sz="12" w:space="0" w:color="auto"/>
            </w:tcBorders>
            <w:shd w:val="clear" w:color="auto" w:fill="FFC000"/>
            <w:vAlign w:val="center"/>
          </w:tcPr>
          <w:p w14:paraId="595DF121"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r>
      <w:tr w:rsidR="0024331D" w:rsidRPr="0024331D" w14:paraId="736E1964" w14:textId="77777777" w:rsidTr="00583873">
        <w:tblPrEx>
          <w:jc w:val="center"/>
          <w:tblInd w:w="0" w:type="dxa"/>
        </w:tblPrEx>
        <w:trPr>
          <w:cnfStyle w:val="000000010000" w:firstRow="0" w:lastRow="0" w:firstColumn="0" w:lastColumn="0" w:oddVBand="0" w:evenVBand="0" w:oddHBand="0" w:evenHBand="1" w:firstRowFirstColumn="0" w:firstRowLastColumn="0" w:lastRowFirstColumn="0" w:lastRowLastColumn="0"/>
          <w:trHeight w:val="2253"/>
          <w:jc w:val="center"/>
        </w:trPr>
        <w:tc>
          <w:tcPr>
            <w:tcW w:w="2403" w:type="dxa"/>
            <w:vMerge w:val="restart"/>
            <w:tcBorders>
              <w:top w:val="single" w:sz="12" w:space="0" w:color="auto"/>
              <w:left w:val="single" w:sz="12" w:space="0" w:color="auto"/>
            </w:tcBorders>
          </w:tcPr>
          <w:p w14:paraId="6E0959EC" w14:textId="77777777" w:rsidR="0024331D" w:rsidRPr="0024331D" w:rsidRDefault="0024331D" w:rsidP="0024331D">
            <w:pPr>
              <w:spacing w:before="120" w:after="0"/>
              <w:rPr>
                <w:rFonts w:cstheme="minorHAnsi"/>
                <w:b/>
                <w:color w:val="000000" w:themeColor="text1"/>
                <w:sz w:val="18"/>
                <w:szCs w:val="18"/>
              </w:rPr>
            </w:pPr>
            <w:r w:rsidRPr="0024331D">
              <w:rPr>
                <w:rFonts w:cstheme="minorHAnsi"/>
                <w:b/>
                <w:color w:val="000000" w:themeColor="text1"/>
                <w:sz w:val="18"/>
                <w:szCs w:val="18"/>
              </w:rPr>
              <w:lastRenderedPageBreak/>
              <w:t xml:space="preserve">Campaspe River </w:t>
            </w:r>
          </w:p>
          <w:p w14:paraId="77CB92B7" w14:textId="77777777" w:rsidR="0024331D" w:rsidRPr="0024331D" w:rsidRDefault="0024331D" w:rsidP="0024331D">
            <w:pPr>
              <w:rPr>
                <w:rFonts w:cstheme="minorHAnsi"/>
                <w:i/>
                <w:color w:val="000000" w:themeColor="text1"/>
                <w:sz w:val="18"/>
                <w:szCs w:val="18"/>
              </w:rPr>
            </w:pPr>
            <w:r w:rsidRPr="0024331D">
              <w:rPr>
                <w:rFonts w:cstheme="minorHAnsi"/>
                <w:i/>
                <w:color w:val="000000" w:themeColor="text1"/>
                <w:sz w:val="18"/>
                <w:szCs w:val="18"/>
              </w:rPr>
              <w:t xml:space="preserve">reach 2 Eppalock to Campaspe Weir; reach 3 Campaspe Weir to Campaspe Siphon at Rochester; and reach 4 Campaspe Siphon to River Murray) </w:t>
            </w:r>
          </w:p>
          <w:p w14:paraId="57C86A8B"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Native fish - Murray cod, silver perch, golden perch, Murray-Darling rainbow fish and flat headed gudgeon</w:t>
            </w:r>
          </w:p>
          <w:p w14:paraId="3EAC3E46"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Platypus, native water rats (rakali), turtles and frogs</w:t>
            </w:r>
          </w:p>
          <w:p w14:paraId="70DDCCDB"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 xml:space="preserve"> Bank and instream vegetation, especially mature river red gum trees that support terrestrial fauna, including the swift parrot and squirrel glider.</w:t>
            </w:r>
          </w:p>
          <w:p w14:paraId="0808EE10" w14:textId="77777777" w:rsidR="0024331D" w:rsidRPr="0024331D" w:rsidRDefault="0024331D" w:rsidP="0024331D">
            <w:pPr>
              <w:numPr>
                <w:ilvl w:val="0"/>
                <w:numId w:val="6"/>
              </w:numPr>
              <w:spacing w:before="60"/>
              <w:ind w:left="164" w:hanging="164"/>
            </w:pPr>
            <w:r w:rsidRPr="0024331D">
              <w:rPr>
                <w:rFonts w:cstheme="minorHAnsi"/>
                <w:color w:val="000000" w:themeColor="text1"/>
                <w:sz w:val="18"/>
                <w:szCs w:val="18"/>
              </w:rPr>
              <w:t>During the past three years very high volumes of intervalley transfer water has impacted on the planned deliver of environmental water and this may continue during 2020–21 if dry conditions continue.</w:t>
            </w:r>
          </w:p>
        </w:tc>
        <w:tc>
          <w:tcPr>
            <w:tcW w:w="4103" w:type="dxa"/>
            <w:tcBorders>
              <w:top w:val="single" w:sz="12" w:space="0" w:color="auto"/>
            </w:tcBorders>
            <w:vAlign w:val="center"/>
          </w:tcPr>
          <w:p w14:paraId="59A1A311"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Summer/autumn low flow (Dec-May)</w:t>
            </w:r>
          </w:p>
          <w:p w14:paraId="28F9B96A"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10–50 ML/day to: maintain slackwater habitat for zooplankton and native fish; promote the growth of biofilms for water bugs and native fish; maintain water quality in deep pools; allow platypus to move between pools; and maintain in-stream vegetation along the channel edges.  </w:t>
            </w:r>
          </w:p>
        </w:tc>
        <w:tc>
          <w:tcPr>
            <w:tcW w:w="2126" w:type="dxa"/>
            <w:tcBorders>
              <w:top w:val="single" w:sz="12" w:space="0" w:color="auto"/>
            </w:tcBorders>
            <w:vAlign w:val="center"/>
          </w:tcPr>
          <w:p w14:paraId="0F4AE31D" w14:textId="77777777" w:rsidR="0024331D" w:rsidRPr="0024331D" w:rsidRDefault="0024331D" w:rsidP="0024331D">
            <w:pPr>
              <w:spacing w:after="0"/>
              <w:rPr>
                <w:rFonts w:cstheme="minorHAnsi"/>
                <w:color w:val="000000" w:themeColor="text1"/>
                <w:sz w:val="18"/>
                <w:szCs w:val="18"/>
              </w:rPr>
            </w:pPr>
            <w:r w:rsidRPr="0024331D">
              <w:rPr>
                <w:rFonts w:cstheme="minorHAnsi"/>
                <w:color w:val="000000" w:themeColor="text1"/>
                <w:sz w:val="18"/>
                <w:szCs w:val="18"/>
              </w:rPr>
              <w:t>Annually with all levels of water availability</w:t>
            </w:r>
          </w:p>
        </w:tc>
        <w:tc>
          <w:tcPr>
            <w:tcW w:w="4693" w:type="dxa"/>
            <w:vMerge w:val="restart"/>
            <w:tcBorders>
              <w:top w:val="single" w:sz="12" w:space="0" w:color="auto"/>
            </w:tcBorders>
            <w:shd w:val="clear" w:color="auto" w:fill="auto"/>
            <w:vAlign w:val="center"/>
          </w:tcPr>
          <w:p w14:paraId="46F78D93"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These flow components have been delivered every year since 2012–13. </w:t>
            </w:r>
          </w:p>
          <w:p w14:paraId="21FF2987"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During dry conditions all flows are delivered at the lower end of the flow ranges.</w:t>
            </w:r>
          </w:p>
          <w:p w14:paraId="54E8F3D0" w14:textId="77777777" w:rsidR="0024331D" w:rsidRPr="0024331D" w:rsidRDefault="0024331D" w:rsidP="0024331D">
            <w:pPr>
              <w:spacing w:before="120"/>
              <w:rPr>
                <w:rFonts w:cstheme="minorHAnsi"/>
                <w:color w:val="000000" w:themeColor="text1"/>
                <w:sz w:val="18"/>
                <w:szCs w:val="18"/>
                <w:highlight w:val="yellow"/>
              </w:rPr>
            </w:pPr>
            <w:r w:rsidRPr="0024331D">
              <w:rPr>
                <w:rFonts w:cstheme="minorHAnsi"/>
                <w:color w:val="000000" w:themeColor="text1"/>
                <w:sz w:val="18"/>
                <w:szCs w:val="18"/>
              </w:rPr>
              <w:t>Since 2017–18, annual intervalley transfers have exceeded the recommended summer low flows and freshes.</w:t>
            </w:r>
          </w:p>
        </w:tc>
        <w:tc>
          <w:tcPr>
            <w:tcW w:w="1984" w:type="dxa"/>
            <w:gridSpan w:val="2"/>
            <w:tcBorders>
              <w:top w:val="single" w:sz="12" w:space="0" w:color="auto"/>
            </w:tcBorders>
            <w:shd w:val="clear" w:color="auto" w:fill="FF0000"/>
            <w:vAlign w:val="center"/>
          </w:tcPr>
          <w:p w14:paraId="07DE4F41"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c>
          <w:tcPr>
            <w:tcW w:w="4249" w:type="dxa"/>
            <w:tcBorders>
              <w:top w:val="single" w:sz="12" w:space="0" w:color="auto"/>
            </w:tcBorders>
            <w:shd w:val="clear" w:color="auto" w:fill="95B3D7" w:themeFill="accent1" w:themeFillTint="99"/>
            <w:vAlign w:val="center"/>
          </w:tcPr>
          <w:p w14:paraId="7693182C"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May be met by other means</w:t>
            </w:r>
          </w:p>
        </w:tc>
        <w:tc>
          <w:tcPr>
            <w:tcW w:w="2272" w:type="dxa"/>
            <w:tcBorders>
              <w:top w:val="single" w:sz="12" w:space="0" w:color="auto"/>
              <w:right w:val="single" w:sz="12" w:space="0" w:color="auto"/>
            </w:tcBorders>
            <w:shd w:val="clear" w:color="auto" w:fill="FF0000"/>
            <w:vAlign w:val="center"/>
          </w:tcPr>
          <w:p w14:paraId="04134C98"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tr w:rsidR="0024331D" w:rsidRPr="0024331D" w14:paraId="2A87348D"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2116"/>
          <w:jc w:val="center"/>
        </w:trPr>
        <w:tc>
          <w:tcPr>
            <w:tcW w:w="2403" w:type="dxa"/>
            <w:vMerge/>
            <w:tcBorders>
              <w:left w:val="single" w:sz="12" w:space="0" w:color="auto"/>
            </w:tcBorders>
          </w:tcPr>
          <w:p w14:paraId="61D0F7AE" w14:textId="77777777" w:rsidR="0024331D" w:rsidRPr="0024331D" w:rsidRDefault="0024331D" w:rsidP="0024331D">
            <w:pPr>
              <w:spacing w:after="0"/>
              <w:rPr>
                <w:rFonts w:cstheme="minorHAnsi"/>
                <w:b/>
                <w:color w:val="000000" w:themeColor="text1"/>
                <w:sz w:val="18"/>
                <w:szCs w:val="18"/>
                <w:highlight w:val="yellow"/>
              </w:rPr>
            </w:pPr>
          </w:p>
        </w:tc>
        <w:tc>
          <w:tcPr>
            <w:tcW w:w="4103" w:type="dxa"/>
            <w:vAlign w:val="center"/>
          </w:tcPr>
          <w:p w14:paraId="28BAACD9"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Winter/spring reduced low flow (June-Nov)</w:t>
            </w:r>
          </w:p>
          <w:p w14:paraId="1C85C41F"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20–40 ML/day to maintain water quality and connectivity between pool refuges to: allow fish movement, facilitate male platypus movement during the breeding season; and provide habitat and food for female platypus prior to breeding.</w:t>
            </w:r>
          </w:p>
        </w:tc>
        <w:tc>
          <w:tcPr>
            <w:tcW w:w="2126" w:type="dxa"/>
            <w:vAlign w:val="center"/>
          </w:tcPr>
          <w:p w14:paraId="52C19115" w14:textId="77777777" w:rsidR="0024331D" w:rsidRPr="0024331D" w:rsidRDefault="0024331D" w:rsidP="0024331D">
            <w:pPr>
              <w:spacing w:after="0"/>
              <w:rPr>
                <w:rFonts w:cstheme="minorHAnsi"/>
                <w:color w:val="000000" w:themeColor="text1"/>
                <w:sz w:val="18"/>
                <w:szCs w:val="18"/>
              </w:rPr>
            </w:pPr>
            <w:r w:rsidRPr="0024331D">
              <w:rPr>
                <w:rFonts w:cstheme="minorHAnsi"/>
                <w:color w:val="000000" w:themeColor="text1"/>
                <w:sz w:val="18"/>
                <w:szCs w:val="18"/>
              </w:rPr>
              <w:t>Annually only in an extremely dry scenario</w:t>
            </w:r>
          </w:p>
        </w:tc>
        <w:tc>
          <w:tcPr>
            <w:tcW w:w="4693" w:type="dxa"/>
            <w:vMerge/>
            <w:vAlign w:val="center"/>
          </w:tcPr>
          <w:p w14:paraId="66E7B8D4" w14:textId="77777777" w:rsidR="0024331D" w:rsidRPr="0024331D" w:rsidRDefault="0024331D" w:rsidP="0024331D">
            <w:pPr>
              <w:spacing w:before="120"/>
              <w:rPr>
                <w:rFonts w:cstheme="minorHAnsi"/>
                <w:color w:val="000000" w:themeColor="text1"/>
                <w:sz w:val="18"/>
                <w:szCs w:val="18"/>
                <w:highlight w:val="yellow"/>
              </w:rPr>
            </w:pPr>
          </w:p>
        </w:tc>
        <w:tc>
          <w:tcPr>
            <w:tcW w:w="1984" w:type="dxa"/>
            <w:gridSpan w:val="2"/>
            <w:shd w:val="clear" w:color="auto" w:fill="FF0000"/>
            <w:vAlign w:val="center"/>
          </w:tcPr>
          <w:p w14:paraId="62AA93ED"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c>
          <w:tcPr>
            <w:tcW w:w="4249" w:type="dxa"/>
            <w:shd w:val="clear" w:color="auto" w:fill="95B3D7" w:themeFill="accent1" w:themeFillTint="99"/>
            <w:vAlign w:val="center"/>
          </w:tcPr>
          <w:p w14:paraId="44F9CF0D"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May be met by other means</w:t>
            </w:r>
          </w:p>
        </w:tc>
        <w:tc>
          <w:tcPr>
            <w:tcW w:w="2272" w:type="dxa"/>
            <w:tcBorders>
              <w:right w:val="single" w:sz="12" w:space="0" w:color="auto"/>
            </w:tcBorders>
            <w:shd w:val="clear" w:color="auto" w:fill="FF0000"/>
            <w:vAlign w:val="center"/>
          </w:tcPr>
          <w:p w14:paraId="3E890B67"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tr w:rsidR="0024331D" w:rsidRPr="0024331D" w14:paraId="59C85F91" w14:textId="77777777" w:rsidTr="00583873">
        <w:tblPrEx>
          <w:jc w:val="center"/>
          <w:tblInd w:w="0" w:type="dxa"/>
        </w:tblPrEx>
        <w:trPr>
          <w:cnfStyle w:val="000000010000" w:firstRow="0" w:lastRow="0" w:firstColumn="0" w:lastColumn="0" w:oddVBand="0" w:evenVBand="0" w:oddHBand="0" w:evenHBand="1" w:firstRowFirstColumn="0" w:firstRowLastColumn="0" w:lastRowFirstColumn="0" w:lastRowLastColumn="0"/>
          <w:trHeight w:val="2494"/>
          <w:jc w:val="center"/>
        </w:trPr>
        <w:tc>
          <w:tcPr>
            <w:tcW w:w="2403" w:type="dxa"/>
            <w:vMerge/>
            <w:tcBorders>
              <w:left w:val="single" w:sz="12" w:space="0" w:color="auto"/>
            </w:tcBorders>
          </w:tcPr>
          <w:p w14:paraId="1FF7DFAA" w14:textId="77777777" w:rsidR="0024331D" w:rsidRPr="0024331D" w:rsidRDefault="0024331D" w:rsidP="0024331D">
            <w:pPr>
              <w:spacing w:after="0"/>
              <w:rPr>
                <w:rFonts w:cstheme="minorHAnsi"/>
                <w:b/>
                <w:color w:val="000000" w:themeColor="text1"/>
                <w:sz w:val="18"/>
                <w:szCs w:val="18"/>
                <w:highlight w:val="yellow"/>
              </w:rPr>
            </w:pPr>
          </w:p>
        </w:tc>
        <w:tc>
          <w:tcPr>
            <w:tcW w:w="4103" w:type="dxa"/>
            <w:vAlign w:val="center"/>
          </w:tcPr>
          <w:p w14:paraId="034C3974"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Winter/spring fresh (June-Nov)</w:t>
            </w:r>
          </w:p>
          <w:p w14:paraId="1E44CF90"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Up to 2 actions of</w:t>
            </w:r>
            <w:r w:rsidRPr="0024331D">
              <w:rPr>
                <w:rFonts w:cstheme="minorHAnsi"/>
                <w:color w:val="000000" w:themeColor="text1"/>
                <w:sz w:val="18"/>
              </w:rPr>
              <w:t xml:space="preserve"> 1 100–1 600 ML/day to maintain habitat connectivity for fish movement and </w:t>
            </w:r>
            <w:r w:rsidRPr="0024331D">
              <w:rPr>
                <w:rFonts w:cstheme="minorHAnsi"/>
                <w:color w:val="000000" w:themeColor="text1"/>
                <w:sz w:val="18"/>
                <w:szCs w:val="18"/>
              </w:rPr>
              <w:t xml:space="preserve">possibly </w:t>
            </w:r>
            <w:r w:rsidRPr="0024331D">
              <w:rPr>
                <w:rFonts w:cstheme="minorHAnsi"/>
                <w:color w:val="000000" w:themeColor="text1"/>
                <w:sz w:val="18"/>
              </w:rPr>
              <w:t xml:space="preserve">spawning; flush leaf litter to reduce the risk of blackwater events in summer; and </w:t>
            </w:r>
            <w:r w:rsidRPr="0024331D">
              <w:rPr>
                <w:rFonts w:cstheme="minorHAnsi"/>
                <w:color w:val="000000" w:themeColor="text1"/>
                <w:sz w:val="18"/>
                <w:szCs w:val="18"/>
              </w:rPr>
              <w:t>maintain soil moisture for river red gum and woody shrubs</w:t>
            </w:r>
          </w:p>
        </w:tc>
        <w:tc>
          <w:tcPr>
            <w:tcW w:w="2126" w:type="dxa"/>
            <w:vAlign w:val="center"/>
          </w:tcPr>
          <w:p w14:paraId="50DB9889" w14:textId="77777777" w:rsidR="0024331D" w:rsidRPr="0024331D" w:rsidRDefault="0024331D" w:rsidP="0024331D">
            <w:pPr>
              <w:spacing w:after="0"/>
              <w:rPr>
                <w:rFonts w:cstheme="minorHAnsi"/>
                <w:color w:val="000000" w:themeColor="text1"/>
                <w:sz w:val="18"/>
                <w:szCs w:val="18"/>
              </w:rPr>
            </w:pPr>
            <w:r w:rsidRPr="0024331D">
              <w:rPr>
                <w:rFonts w:cstheme="minorHAnsi"/>
                <w:color w:val="000000" w:themeColor="text1"/>
                <w:sz w:val="18"/>
                <w:szCs w:val="18"/>
              </w:rPr>
              <w:t>Annually, however with low water availability in extreme dry-dry scenarios the action is of lower priority</w:t>
            </w:r>
          </w:p>
          <w:p w14:paraId="1377ACB8" w14:textId="77777777" w:rsidR="0024331D" w:rsidRPr="0024331D" w:rsidRDefault="0024331D" w:rsidP="0024331D">
            <w:pPr>
              <w:spacing w:after="0"/>
              <w:rPr>
                <w:rFonts w:cstheme="minorHAnsi"/>
                <w:color w:val="000000" w:themeColor="text1"/>
                <w:sz w:val="18"/>
                <w:szCs w:val="18"/>
              </w:rPr>
            </w:pPr>
          </w:p>
        </w:tc>
        <w:tc>
          <w:tcPr>
            <w:tcW w:w="4693" w:type="dxa"/>
            <w:vMerge/>
            <w:vAlign w:val="center"/>
          </w:tcPr>
          <w:p w14:paraId="7129C65D" w14:textId="77777777" w:rsidR="0024331D" w:rsidRPr="0024331D" w:rsidRDefault="0024331D" w:rsidP="0024331D">
            <w:pPr>
              <w:spacing w:before="120"/>
              <w:rPr>
                <w:rFonts w:cstheme="minorHAnsi"/>
                <w:color w:val="000000" w:themeColor="text1"/>
                <w:sz w:val="18"/>
                <w:szCs w:val="18"/>
                <w:highlight w:val="yellow"/>
              </w:rPr>
            </w:pPr>
          </w:p>
        </w:tc>
        <w:tc>
          <w:tcPr>
            <w:tcW w:w="1984" w:type="dxa"/>
            <w:gridSpan w:val="2"/>
            <w:shd w:val="clear" w:color="auto" w:fill="FFC000"/>
            <w:vAlign w:val="center"/>
          </w:tcPr>
          <w:p w14:paraId="6AABCE7A"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c>
          <w:tcPr>
            <w:tcW w:w="4249" w:type="dxa"/>
            <w:shd w:val="clear" w:color="auto" w:fill="365F91" w:themeFill="accent1" w:themeFillShade="BF"/>
            <w:vAlign w:val="center"/>
          </w:tcPr>
          <w:p w14:paraId="5C1CFF5A" w14:textId="77777777" w:rsidR="0024331D" w:rsidRPr="0024331D" w:rsidRDefault="0024331D" w:rsidP="0024331D">
            <w:pPr>
              <w:jc w:val="center"/>
              <w:rPr>
                <w:rFonts w:cstheme="minorHAnsi"/>
                <w:color w:val="auto"/>
                <w:sz w:val="18"/>
                <w:szCs w:val="18"/>
              </w:rPr>
            </w:pPr>
            <w:r w:rsidRPr="0024331D">
              <w:rPr>
                <w:color w:val="auto"/>
                <w:sz w:val="18"/>
                <w:szCs w:val="18"/>
              </w:rPr>
              <w:t>High priority for Commonwealth environmental water (likely to receive water even under a very low water resource availability)</w:t>
            </w:r>
          </w:p>
        </w:tc>
        <w:tc>
          <w:tcPr>
            <w:tcW w:w="2272" w:type="dxa"/>
            <w:tcBorders>
              <w:right w:val="single" w:sz="12" w:space="0" w:color="auto"/>
            </w:tcBorders>
            <w:shd w:val="clear" w:color="auto" w:fill="FFC000"/>
            <w:vAlign w:val="center"/>
          </w:tcPr>
          <w:p w14:paraId="5F7D0226"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r>
      <w:tr w:rsidR="0024331D" w:rsidRPr="0024331D" w14:paraId="5A8CBB17"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2778"/>
          <w:jc w:val="center"/>
        </w:trPr>
        <w:tc>
          <w:tcPr>
            <w:tcW w:w="2403" w:type="dxa"/>
            <w:vMerge/>
            <w:tcBorders>
              <w:left w:val="single" w:sz="12" w:space="0" w:color="auto"/>
            </w:tcBorders>
          </w:tcPr>
          <w:p w14:paraId="77072FDD" w14:textId="77777777" w:rsidR="0024331D" w:rsidRPr="0024331D" w:rsidRDefault="0024331D" w:rsidP="0024331D">
            <w:pPr>
              <w:spacing w:after="0"/>
              <w:rPr>
                <w:rFonts w:cstheme="minorHAnsi"/>
                <w:b/>
                <w:color w:val="000000" w:themeColor="text1"/>
                <w:sz w:val="18"/>
                <w:szCs w:val="18"/>
                <w:highlight w:val="yellow"/>
              </w:rPr>
            </w:pPr>
          </w:p>
        </w:tc>
        <w:tc>
          <w:tcPr>
            <w:tcW w:w="4103" w:type="dxa"/>
            <w:vAlign w:val="center"/>
          </w:tcPr>
          <w:p w14:paraId="69C42A98"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Winter/spring increased low flow (June–Nov)</w:t>
            </w:r>
          </w:p>
          <w:p w14:paraId="25A2E60F"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70–200 ML/day to achieve the same objectives as for winter/spring low flows but with additional vegetation objectives. These include to: prevent terrestrial plants colonising lower sections of the banks; maintain soil water in the banks for river red gum and woody shrubs; and to help establish littoral vegetation.</w:t>
            </w:r>
          </w:p>
        </w:tc>
        <w:tc>
          <w:tcPr>
            <w:tcW w:w="2126" w:type="dxa"/>
            <w:vAlign w:val="center"/>
          </w:tcPr>
          <w:p w14:paraId="756082F2" w14:textId="77777777" w:rsidR="0024331D" w:rsidRPr="0024331D" w:rsidRDefault="0024331D" w:rsidP="0024331D">
            <w:pPr>
              <w:spacing w:after="0"/>
              <w:rPr>
                <w:rFonts w:cstheme="minorHAnsi"/>
                <w:color w:val="000000" w:themeColor="text1"/>
                <w:sz w:val="18"/>
                <w:szCs w:val="18"/>
              </w:rPr>
            </w:pPr>
            <w:r w:rsidRPr="0024331D">
              <w:rPr>
                <w:rFonts w:cstheme="minorHAnsi"/>
                <w:color w:val="000000" w:themeColor="text1"/>
                <w:sz w:val="18"/>
                <w:szCs w:val="18"/>
              </w:rPr>
              <w:t>Annually, however with low water availability in extreme dry-dry scenarios the action is of lower priority</w:t>
            </w:r>
          </w:p>
        </w:tc>
        <w:tc>
          <w:tcPr>
            <w:tcW w:w="4693" w:type="dxa"/>
            <w:vMerge/>
            <w:vAlign w:val="center"/>
          </w:tcPr>
          <w:p w14:paraId="128C7248" w14:textId="77777777" w:rsidR="0024331D" w:rsidRPr="0024331D" w:rsidRDefault="0024331D" w:rsidP="0024331D">
            <w:pPr>
              <w:spacing w:before="120"/>
              <w:rPr>
                <w:rFonts w:cstheme="minorHAnsi"/>
                <w:color w:val="000000" w:themeColor="text1"/>
                <w:sz w:val="18"/>
                <w:szCs w:val="18"/>
                <w:highlight w:val="yellow"/>
              </w:rPr>
            </w:pPr>
          </w:p>
        </w:tc>
        <w:tc>
          <w:tcPr>
            <w:tcW w:w="1984" w:type="dxa"/>
            <w:gridSpan w:val="2"/>
            <w:shd w:val="clear" w:color="auto" w:fill="FFC000"/>
            <w:vAlign w:val="center"/>
          </w:tcPr>
          <w:p w14:paraId="3108EB14"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c>
          <w:tcPr>
            <w:tcW w:w="4249" w:type="dxa"/>
            <w:shd w:val="clear" w:color="auto" w:fill="365F91" w:themeFill="accent1" w:themeFillShade="BF"/>
            <w:vAlign w:val="center"/>
          </w:tcPr>
          <w:p w14:paraId="3E2F3D93" w14:textId="77777777" w:rsidR="0024331D" w:rsidRPr="0024331D" w:rsidRDefault="0024331D" w:rsidP="0024331D">
            <w:pPr>
              <w:jc w:val="center"/>
              <w:rPr>
                <w:rFonts w:cstheme="minorHAnsi"/>
                <w:color w:val="auto"/>
                <w:sz w:val="18"/>
                <w:szCs w:val="18"/>
              </w:rPr>
            </w:pPr>
            <w:r w:rsidRPr="0024331D">
              <w:rPr>
                <w:color w:val="auto"/>
                <w:sz w:val="18"/>
                <w:szCs w:val="18"/>
              </w:rPr>
              <w:t>High priority for Commonwealth environmental water (likely to receive water even under a very low water resource availability)</w:t>
            </w:r>
          </w:p>
        </w:tc>
        <w:tc>
          <w:tcPr>
            <w:tcW w:w="2272" w:type="dxa"/>
            <w:tcBorders>
              <w:right w:val="single" w:sz="12" w:space="0" w:color="auto"/>
            </w:tcBorders>
            <w:shd w:val="clear" w:color="auto" w:fill="FFC000"/>
            <w:vAlign w:val="center"/>
          </w:tcPr>
          <w:p w14:paraId="355A0C0A"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r>
      <w:tr w:rsidR="0024331D" w:rsidRPr="0024331D" w14:paraId="49EAB06A" w14:textId="77777777" w:rsidTr="00583873">
        <w:tblPrEx>
          <w:jc w:val="center"/>
          <w:tblInd w:w="0" w:type="dxa"/>
        </w:tblPrEx>
        <w:trPr>
          <w:cnfStyle w:val="000000010000" w:firstRow="0" w:lastRow="0" w:firstColumn="0" w:lastColumn="0" w:oddVBand="0" w:evenVBand="0" w:oddHBand="0" w:evenHBand="1" w:firstRowFirstColumn="0" w:firstRowLastColumn="0" w:lastRowFirstColumn="0" w:lastRowLastColumn="0"/>
          <w:trHeight w:val="2891"/>
          <w:jc w:val="center"/>
        </w:trPr>
        <w:tc>
          <w:tcPr>
            <w:tcW w:w="2403" w:type="dxa"/>
            <w:vMerge/>
            <w:tcBorders>
              <w:left w:val="single" w:sz="12" w:space="0" w:color="auto"/>
              <w:bottom w:val="single" w:sz="12" w:space="0" w:color="auto"/>
            </w:tcBorders>
          </w:tcPr>
          <w:p w14:paraId="63F24AED" w14:textId="77777777" w:rsidR="0024331D" w:rsidRPr="0024331D" w:rsidRDefault="0024331D" w:rsidP="0024331D">
            <w:pPr>
              <w:spacing w:after="0"/>
              <w:rPr>
                <w:rFonts w:cstheme="minorHAnsi"/>
                <w:b/>
                <w:color w:val="000000" w:themeColor="text1"/>
                <w:sz w:val="18"/>
                <w:szCs w:val="18"/>
                <w:highlight w:val="yellow"/>
              </w:rPr>
            </w:pPr>
          </w:p>
        </w:tc>
        <w:tc>
          <w:tcPr>
            <w:tcW w:w="4103" w:type="dxa"/>
            <w:tcBorders>
              <w:bottom w:val="single" w:sz="12" w:space="0" w:color="auto"/>
            </w:tcBorders>
            <w:vAlign w:val="center"/>
          </w:tcPr>
          <w:p w14:paraId="613163AD"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Summer/autumn fresh (Dec-May)</w:t>
            </w:r>
          </w:p>
          <w:p w14:paraId="3EC9CE2C"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Up to 3 freshes of 100–200 ML/day to: promote local movement of adult fish to access new habitat; wet submerged wood and flush fine silt and old biofilm to promote new biofilm growth and increase waterbug mass; and encourage movement of juvenile platypus to find other habitat. When conditions are favourable, a fish attraction flow may also be delivered. </w:t>
            </w:r>
          </w:p>
        </w:tc>
        <w:tc>
          <w:tcPr>
            <w:tcW w:w="2126" w:type="dxa"/>
            <w:tcBorders>
              <w:bottom w:val="single" w:sz="12" w:space="0" w:color="auto"/>
            </w:tcBorders>
            <w:vAlign w:val="center"/>
          </w:tcPr>
          <w:p w14:paraId="5EF73E28" w14:textId="77777777" w:rsidR="0024331D" w:rsidRPr="0024331D" w:rsidRDefault="0024331D" w:rsidP="0024331D">
            <w:pPr>
              <w:spacing w:after="0"/>
              <w:rPr>
                <w:rFonts w:cstheme="minorHAnsi"/>
                <w:color w:val="000000" w:themeColor="text1"/>
                <w:sz w:val="18"/>
                <w:szCs w:val="18"/>
              </w:rPr>
            </w:pPr>
            <w:r w:rsidRPr="0024331D">
              <w:rPr>
                <w:rFonts w:cstheme="minorHAnsi"/>
                <w:color w:val="000000" w:themeColor="text1"/>
                <w:sz w:val="18"/>
                <w:szCs w:val="18"/>
              </w:rPr>
              <w:t>Annually, however with low water availability in extreme dry-dry scenarios the action is of lower priority</w:t>
            </w:r>
          </w:p>
        </w:tc>
        <w:tc>
          <w:tcPr>
            <w:tcW w:w="4693" w:type="dxa"/>
            <w:vMerge/>
            <w:tcBorders>
              <w:bottom w:val="single" w:sz="12" w:space="0" w:color="auto"/>
            </w:tcBorders>
            <w:vAlign w:val="center"/>
          </w:tcPr>
          <w:p w14:paraId="4E186C02" w14:textId="77777777" w:rsidR="0024331D" w:rsidRPr="0024331D" w:rsidRDefault="0024331D" w:rsidP="0024331D">
            <w:pPr>
              <w:spacing w:before="120"/>
              <w:rPr>
                <w:rFonts w:cstheme="minorHAnsi"/>
                <w:color w:val="000000" w:themeColor="text1"/>
                <w:sz w:val="18"/>
                <w:szCs w:val="18"/>
                <w:highlight w:val="yellow"/>
              </w:rPr>
            </w:pPr>
          </w:p>
        </w:tc>
        <w:tc>
          <w:tcPr>
            <w:tcW w:w="1984" w:type="dxa"/>
            <w:gridSpan w:val="2"/>
            <w:tcBorders>
              <w:bottom w:val="single" w:sz="12" w:space="0" w:color="auto"/>
            </w:tcBorders>
            <w:shd w:val="clear" w:color="auto" w:fill="FFC000"/>
            <w:vAlign w:val="center"/>
          </w:tcPr>
          <w:p w14:paraId="19F45CA6"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c>
          <w:tcPr>
            <w:tcW w:w="4249" w:type="dxa"/>
            <w:tcBorders>
              <w:bottom w:val="single" w:sz="12" w:space="0" w:color="auto"/>
            </w:tcBorders>
            <w:shd w:val="clear" w:color="auto" w:fill="95B3D7" w:themeFill="accent1" w:themeFillTint="99"/>
            <w:vAlign w:val="center"/>
          </w:tcPr>
          <w:p w14:paraId="4E931090"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May be met by other means</w:t>
            </w:r>
          </w:p>
        </w:tc>
        <w:tc>
          <w:tcPr>
            <w:tcW w:w="2272" w:type="dxa"/>
            <w:tcBorders>
              <w:bottom w:val="single" w:sz="12" w:space="0" w:color="auto"/>
              <w:right w:val="single" w:sz="12" w:space="0" w:color="auto"/>
            </w:tcBorders>
            <w:shd w:val="clear" w:color="auto" w:fill="FFC000"/>
            <w:vAlign w:val="center"/>
          </w:tcPr>
          <w:p w14:paraId="7AEF505B"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r>
      <w:tr w:rsidR="0024331D" w:rsidRPr="0024331D" w14:paraId="65304826"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2494"/>
          <w:jc w:val="center"/>
        </w:trPr>
        <w:tc>
          <w:tcPr>
            <w:tcW w:w="2403" w:type="dxa"/>
            <w:vMerge w:val="restart"/>
            <w:tcBorders>
              <w:top w:val="single" w:sz="12" w:space="0" w:color="auto"/>
              <w:left w:val="single" w:sz="12" w:space="0" w:color="auto"/>
              <w:right w:val="single" w:sz="4" w:space="0" w:color="auto"/>
            </w:tcBorders>
          </w:tcPr>
          <w:p w14:paraId="4B7EA800" w14:textId="77777777" w:rsidR="0024331D" w:rsidRPr="0024331D" w:rsidRDefault="0024331D" w:rsidP="0024331D">
            <w:pPr>
              <w:spacing w:before="120" w:after="0"/>
              <w:rPr>
                <w:rFonts w:cstheme="minorHAnsi"/>
                <w:color w:val="000000" w:themeColor="text1"/>
                <w:sz w:val="18"/>
                <w:szCs w:val="18"/>
              </w:rPr>
            </w:pPr>
            <w:r w:rsidRPr="0024331D">
              <w:rPr>
                <w:rFonts w:cstheme="minorHAnsi"/>
                <w:b/>
                <w:color w:val="000000" w:themeColor="text1"/>
                <w:sz w:val="18"/>
                <w:szCs w:val="18"/>
              </w:rPr>
              <w:lastRenderedPageBreak/>
              <w:t xml:space="preserve">Loddon River </w:t>
            </w:r>
            <w:r w:rsidRPr="0024331D">
              <w:rPr>
                <w:rFonts w:cstheme="minorHAnsi"/>
                <w:color w:val="000000" w:themeColor="text1"/>
                <w:sz w:val="18"/>
                <w:szCs w:val="18"/>
              </w:rPr>
              <w:t>reach 4 Loddon Weir to Kerang Weir with en route benefit to reaches 1 to 3 storage reservoirs to Loddon Weir and to reach 5 downstream Kerang Weir.</w:t>
            </w:r>
          </w:p>
          <w:p w14:paraId="54FFEB81" w14:textId="77777777" w:rsidR="0024331D" w:rsidRPr="0024331D" w:rsidRDefault="0024331D" w:rsidP="0024331D">
            <w:pPr>
              <w:rPr>
                <w:rFonts w:cstheme="minorHAnsi"/>
                <w:color w:val="000000" w:themeColor="text1"/>
                <w:sz w:val="18"/>
                <w:szCs w:val="18"/>
              </w:rPr>
            </w:pPr>
          </w:p>
          <w:p w14:paraId="78FA9617"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Native fish - river blackfish, Murray-Darling rainbow fish and golden perch</w:t>
            </w:r>
          </w:p>
          <w:p w14:paraId="405CF594"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vegetation – cane grass, tangled lignum, black box and river red gum</w:t>
            </w:r>
          </w:p>
          <w:p w14:paraId="4946071B"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platypus</w:t>
            </w:r>
          </w:p>
          <w:p w14:paraId="1E8B7692" w14:textId="77777777" w:rsidR="0024331D" w:rsidRPr="0024331D" w:rsidRDefault="0024331D" w:rsidP="0024331D">
            <w:pPr>
              <w:numPr>
                <w:ilvl w:val="0"/>
                <w:numId w:val="6"/>
              </w:numPr>
              <w:spacing w:before="60"/>
              <w:ind w:left="164" w:hanging="164"/>
              <w:rPr>
                <w:rFonts w:cstheme="minorHAnsi"/>
                <w:color w:val="000000" w:themeColor="text1"/>
                <w:sz w:val="18"/>
                <w:szCs w:val="18"/>
              </w:rPr>
            </w:pPr>
            <w:r w:rsidRPr="0024331D">
              <w:rPr>
                <w:rFonts w:cstheme="minorHAnsi"/>
                <w:color w:val="000000" w:themeColor="text1"/>
                <w:sz w:val="18"/>
                <w:szCs w:val="18"/>
              </w:rPr>
              <w:t>Water rat (rakali)</w:t>
            </w:r>
          </w:p>
          <w:p w14:paraId="675077C2" w14:textId="77777777" w:rsidR="0024331D" w:rsidRPr="0024331D" w:rsidRDefault="0024331D" w:rsidP="0024331D">
            <w:pPr>
              <w:contextualSpacing/>
              <w:rPr>
                <w:rFonts w:cstheme="minorHAnsi"/>
                <w:color w:val="000000" w:themeColor="text1"/>
                <w:sz w:val="18"/>
                <w:szCs w:val="18"/>
              </w:rPr>
            </w:pPr>
          </w:p>
          <w:p w14:paraId="150F3A93" w14:textId="77777777" w:rsidR="0024331D" w:rsidRPr="0024331D" w:rsidRDefault="0024331D" w:rsidP="0024331D">
            <w:pPr>
              <w:contextualSpacing/>
              <w:rPr>
                <w:rFonts w:cstheme="minorHAnsi"/>
                <w:color w:val="000000" w:themeColor="text1"/>
                <w:sz w:val="18"/>
                <w:szCs w:val="18"/>
                <w:highlight w:val="yellow"/>
              </w:rPr>
            </w:pPr>
          </w:p>
        </w:tc>
        <w:tc>
          <w:tcPr>
            <w:tcW w:w="4103" w:type="dxa"/>
            <w:tcBorders>
              <w:top w:val="single" w:sz="12" w:space="0" w:color="auto"/>
              <w:left w:val="single" w:sz="4" w:space="0" w:color="auto"/>
              <w:bottom w:val="single" w:sz="4" w:space="0" w:color="auto"/>
              <w:right w:val="single" w:sz="4" w:space="0" w:color="auto"/>
            </w:tcBorders>
            <w:vAlign w:val="center"/>
          </w:tcPr>
          <w:p w14:paraId="0446DEDD" w14:textId="77777777" w:rsidR="0024331D" w:rsidRPr="0024331D" w:rsidRDefault="0024331D" w:rsidP="0024331D">
            <w:pPr>
              <w:spacing w:before="60" w:after="60"/>
              <w:rPr>
                <w:rFonts w:cstheme="minorHAnsi"/>
                <w:color w:val="000000" w:themeColor="text1"/>
                <w:sz w:val="18"/>
                <w:szCs w:val="18"/>
              </w:rPr>
            </w:pPr>
            <w:r w:rsidRPr="0024331D">
              <w:rPr>
                <w:rFonts w:cstheme="minorHAnsi"/>
                <w:color w:val="000000" w:themeColor="text1"/>
                <w:sz w:val="18"/>
                <w:szCs w:val="18"/>
              </w:rPr>
              <w:t>Winter/spring low flow (continuous June–Nov)</w:t>
            </w:r>
          </w:p>
          <w:p w14:paraId="2DE08660" w14:textId="77777777" w:rsidR="0024331D" w:rsidRPr="0024331D" w:rsidRDefault="0024331D" w:rsidP="0024331D">
            <w:pPr>
              <w:spacing w:before="60" w:after="60"/>
              <w:rPr>
                <w:rFonts w:cstheme="minorHAnsi"/>
                <w:color w:val="000000" w:themeColor="text1"/>
                <w:sz w:val="18"/>
                <w:szCs w:val="18"/>
                <w:highlight w:val="yellow"/>
              </w:rPr>
            </w:pPr>
            <w:r w:rsidRPr="0024331D">
              <w:rPr>
                <w:rFonts w:cstheme="minorHAnsi"/>
                <w:color w:val="000000" w:themeColor="text1"/>
                <w:sz w:val="18"/>
                <w:szCs w:val="18"/>
              </w:rPr>
              <w:t xml:space="preserve">50–100 ML/day to: increase water depth for habitat and dispersal of fish; platypus and native water rat; prevent fine sediment settling on hard surfaces; and prevent terrestrial plant growth in the river channel. </w:t>
            </w:r>
          </w:p>
        </w:tc>
        <w:tc>
          <w:tcPr>
            <w:tcW w:w="2126" w:type="dxa"/>
            <w:tcBorders>
              <w:top w:val="single" w:sz="12" w:space="0" w:color="auto"/>
              <w:left w:val="single" w:sz="4" w:space="0" w:color="auto"/>
              <w:bottom w:val="single" w:sz="4" w:space="0" w:color="auto"/>
              <w:right w:val="single" w:sz="4" w:space="0" w:color="auto"/>
            </w:tcBorders>
            <w:vAlign w:val="center"/>
          </w:tcPr>
          <w:p w14:paraId="198FCC4C"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Annually with all levels of water availability</w:t>
            </w:r>
          </w:p>
        </w:tc>
        <w:tc>
          <w:tcPr>
            <w:tcW w:w="4693" w:type="dxa"/>
            <w:tcBorders>
              <w:top w:val="single" w:sz="12" w:space="0" w:color="auto"/>
              <w:left w:val="single" w:sz="4" w:space="0" w:color="auto"/>
              <w:right w:val="single" w:sz="4" w:space="0" w:color="auto"/>
            </w:tcBorders>
            <w:vAlign w:val="center"/>
          </w:tcPr>
          <w:p w14:paraId="3C9D34A9" w14:textId="77777777" w:rsidR="0024331D" w:rsidRPr="0024331D" w:rsidRDefault="0024331D" w:rsidP="0024331D">
            <w:pPr>
              <w:spacing w:before="120"/>
              <w:rPr>
                <w:rFonts w:cstheme="minorHAnsi"/>
                <w:color w:val="000000" w:themeColor="text1"/>
                <w:sz w:val="18"/>
                <w:szCs w:val="18"/>
                <w:highlight w:val="yellow"/>
              </w:rPr>
            </w:pPr>
            <w:r w:rsidRPr="0024331D">
              <w:rPr>
                <w:rFonts w:cstheme="minorHAnsi"/>
                <w:color w:val="000000" w:themeColor="text1"/>
                <w:sz w:val="18"/>
                <w:szCs w:val="18"/>
              </w:rPr>
              <w:t xml:space="preserve">The winter low flow has been delivered in every year since 2012–13 except for 2016–17 when it was partially achieved due to natural flooding causing water to be delivered at a higher rate and longer duration. </w:t>
            </w:r>
          </w:p>
        </w:tc>
        <w:tc>
          <w:tcPr>
            <w:tcW w:w="1984" w:type="dxa"/>
            <w:gridSpan w:val="2"/>
            <w:tcBorders>
              <w:top w:val="single" w:sz="12" w:space="0" w:color="auto"/>
              <w:bottom w:val="single" w:sz="4" w:space="0" w:color="auto"/>
            </w:tcBorders>
            <w:shd w:val="clear" w:color="auto" w:fill="FFC000"/>
            <w:vAlign w:val="center"/>
          </w:tcPr>
          <w:p w14:paraId="75FA01F2" w14:textId="77777777" w:rsidR="0024331D" w:rsidRPr="0024331D" w:rsidRDefault="0024331D" w:rsidP="0024331D">
            <w:pPr>
              <w:jc w:val="center"/>
              <w:rPr>
                <w:rFonts w:cstheme="minorHAnsi"/>
                <w:b/>
                <w:color w:val="auto"/>
                <w:sz w:val="18"/>
                <w:szCs w:val="18"/>
              </w:rPr>
            </w:pPr>
            <w:r w:rsidRPr="0024331D">
              <w:rPr>
                <w:rFonts w:cstheme="minorHAnsi"/>
                <w:color w:val="auto"/>
                <w:sz w:val="18"/>
                <w:szCs w:val="18"/>
              </w:rPr>
              <w:t>Moderate</w:t>
            </w:r>
          </w:p>
        </w:tc>
        <w:tc>
          <w:tcPr>
            <w:tcW w:w="4249" w:type="dxa"/>
            <w:tcBorders>
              <w:top w:val="single" w:sz="12" w:space="0" w:color="auto"/>
            </w:tcBorders>
            <w:shd w:val="clear" w:color="auto" w:fill="95B3D7" w:themeFill="accent1" w:themeFillTint="99"/>
            <w:vAlign w:val="center"/>
          </w:tcPr>
          <w:p w14:paraId="132996DB"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May be met by other means</w:t>
            </w:r>
          </w:p>
        </w:tc>
        <w:tc>
          <w:tcPr>
            <w:tcW w:w="2272" w:type="dxa"/>
            <w:tcBorders>
              <w:top w:val="single" w:sz="12" w:space="0" w:color="auto"/>
              <w:right w:val="single" w:sz="12" w:space="0" w:color="auto"/>
            </w:tcBorders>
            <w:shd w:val="clear" w:color="auto" w:fill="FF0000"/>
            <w:vAlign w:val="center"/>
          </w:tcPr>
          <w:p w14:paraId="3D8CFF70"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tr w:rsidR="0024331D" w:rsidRPr="0024331D" w14:paraId="393B148E" w14:textId="77777777" w:rsidTr="00583873">
        <w:tblPrEx>
          <w:jc w:val="center"/>
          <w:tblInd w:w="0" w:type="dxa"/>
        </w:tblPrEx>
        <w:trPr>
          <w:cnfStyle w:val="000000010000" w:firstRow="0" w:lastRow="0" w:firstColumn="0" w:lastColumn="0" w:oddVBand="0" w:evenVBand="0" w:oddHBand="0" w:evenHBand="1" w:firstRowFirstColumn="0" w:firstRowLastColumn="0" w:lastRowFirstColumn="0" w:lastRowLastColumn="0"/>
          <w:trHeight w:val="3118"/>
          <w:jc w:val="center"/>
        </w:trPr>
        <w:tc>
          <w:tcPr>
            <w:tcW w:w="2403" w:type="dxa"/>
            <w:vMerge/>
            <w:tcBorders>
              <w:left w:val="single" w:sz="12" w:space="0" w:color="auto"/>
              <w:right w:val="single" w:sz="4" w:space="0" w:color="auto"/>
            </w:tcBorders>
          </w:tcPr>
          <w:p w14:paraId="084CB931" w14:textId="77777777" w:rsidR="0024331D" w:rsidRPr="0024331D" w:rsidRDefault="0024331D" w:rsidP="0024331D">
            <w:pPr>
              <w:rPr>
                <w:rFonts w:cstheme="minorHAnsi"/>
                <w:color w:val="000000" w:themeColor="text1"/>
                <w:sz w:val="18"/>
                <w:szCs w:val="18"/>
                <w:highlight w:val="yellow"/>
              </w:rPr>
            </w:pPr>
          </w:p>
        </w:tc>
        <w:tc>
          <w:tcPr>
            <w:tcW w:w="4103" w:type="dxa"/>
            <w:tcBorders>
              <w:top w:val="single" w:sz="4" w:space="0" w:color="auto"/>
              <w:left w:val="single" w:sz="4" w:space="0" w:color="auto"/>
              <w:bottom w:val="single" w:sz="4" w:space="0" w:color="auto"/>
              <w:right w:val="single" w:sz="4" w:space="0" w:color="auto"/>
            </w:tcBorders>
            <w:vAlign w:val="center"/>
          </w:tcPr>
          <w:p w14:paraId="0269490C" w14:textId="77777777" w:rsidR="0024331D" w:rsidRPr="0024331D" w:rsidRDefault="0024331D" w:rsidP="0024331D">
            <w:pPr>
              <w:spacing w:before="60" w:after="60"/>
              <w:rPr>
                <w:rFonts w:cstheme="minorHAnsi"/>
                <w:color w:val="000000" w:themeColor="text1"/>
                <w:sz w:val="18"/>
                <w:szCs w:val="18"/>
              </w:rPr>
            </w:pPr>
            <w:r w:rsidRPr="0024331D">
              <w:rPr>
                <w:rFonts w:cstheme="minorHAnsi"/>
                <w:color w:val="000000" w:themeColor="text1"/>
                <w:sz w:val="18"/>
                <w:szCs w:val="18"/>
              </w:rPr>
              <w:t>Winter/spring high flow (Aug–Nov)</w:t>
            </w:r>
          </w:p>
          <w:p w14:paraId="1C240656" w14:textId="77777777" w:rsidR="0024331D" w:rsidRPr="0024331D" w:rsidRDefault="0024331D" w:rsidP="0024331D">
            <w:pPr>
              <w:spacing w:before="60" w:after="60"/>
              <w:rPr>
                <w:rFonts w:cstheme="minorHAnsi"/>
                <w:color w:val="000000" w:themeColor="text1"/>
                <w:sz w:val="18"/>
                <w:szCs w:val="18"/>
                <w:highlight w:val="yellow"/>
              </w:rPr>
            </w:pPr>
            <w:r w:rsidRPr="0024331D">
              <w:rPr>
                <w:rFonts w:cstheme="minorHAnsi"/>
                <w:color w:val="000000" w:themeColor="text1"/>
                <w:sz w:val="18"/>
                <w:szCs w:val="18"/>
              </w:rPr>
              <w:t>450- 750 ML/day for 6–10 days once a year to: provide flows through flood runners; trigger native fish movement and breeding; flush organic matter from banks and benches to increase productivity and reduce the risk of hypoxic blackwater in summer; scour accumulated sediment in pools; and increase wetted area for growth of bank vegetation.</w:t>
            </w:r>
          </w:p>
        </w:tc>
        <w:tc>
          <w:tcPr>
            <w:tcW w:w="2126" w:type="dxa"/>
            <w:tcBorders>
              <w:top w:val="single" w:sz="4" w:space="0" w:color="auto"/>
              <w:left w:val="single" w:sz="4" w:space="0" w:color="auto"/>
              <w:bottom w:val="single" w:sz="4" w:space="0" w:color="auto"/>
              <w:right w:val="single" w:sz="4" w:space="0" w:color="auto"/>
            </w:tcBorders>
            <w:vAlign w:val="center"/>
          </w:tcPr>
          <w:p w14:paraId="2D13D4D5"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Annually with all levels of water availability</w:t>
            </w:r>
          </w:p>
        </w:tc>
        <w:tc>
          <w:tcPr>
            <w:tcW w:w="4693" w:type="dxa"/>
            <w:tcBorders>
              <w:left w:val="single" w:sz="4" w:space="0" w:color="auto"/>
              <w:right w:val="single" w:sz="4" w:space="0" w:color="auto"/>
            </w:tcBorders>
            <w:vAlign w:val="center"/>
          </w:tcPr>
          <w:p w14:paraId="6CD8B3B6" w14:textId="77777777" w:rsidR="0024331D" w:rsidRPr="0024331D" w:rsidRDefault="0024331D" w:rsidP="0024331D">
            <w:pPr>
              <w:rPr>
                <w:rFonts w:cstheme="minorHAnsi"/>
                <w:color w:val="000000" w:themeColor="text1"/>
                <w:sz w:val="18"/>
                <w:szCs w:val="18"/>
                <w:highlight w:val="yellow"/>
              </w:rPr>
            </w:pPr>
            <w:r w:rsidRPr="0024331D">
              <w:rPr>
                <w:rFonts w:cstheme="minorHAnsi"/>
                <w:color w:val="000000" w:themeColor="text1"/>
                <w:sz w:val="18"/>
                <w:szCs w:val="18"/>
              </w:rPr>
              <w:t>The winter fresh was delivered in 2012–13 and between 2016–17 and 2019–20; it was partially delivered in 2013–14 and 2015–16.</w:t>
            </w:r>
          </w:p>
        </w:tc>
        <w:tc>
          <w:tcPr>
            <w:tcW w:w="1984" w:type="dxa"/>
            <w:gridSpan w:val="2"/>
            <w:tcBorders>
              <w:bottom w:val="single" w:sz="4" w:space="0" w:color="auto"/>
            </w:tcBorders>
            <w:shd w:val="clear" w:color="auto" w:fill="FF0000"/>
            <w:vAlign w:val="center"/>
          </w:tcPr>
          <w:p w14:paraId="50734022"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c>
          <w:tcPr>
            <w:tcW w:w="4249" w:type="dxa"/>
            <w:shd w:val="clear" w:color="auto" w:fill="365F91" w:themeFill="accent1" w:themeFillShade="BF"/>
            <w:vAlign w:val="center"/>
          </w:tcPr>
          <w:p w14:paraId="70702B4B" w14:textId="77777777" w:rsidR="0024331D" w:rsidRPr="0024331D" w:rsidRDefault="0024331D" w:rsidP="0024331D">
            <w:pPr>
              <w:jc w:val="center"/>
              <w:rPr>
                <w:rFonts w:cstheme="minorHAnsi"/>
                <w:color w:val="auto"/>
                <w:sz w:val="18"/>
                <w:szCs w:val="18"/>
              </w:rPr>
            </w:pPr>
            <w:r w:rsidRPr="0024331D">
              <w:rPr>
                <w:color w:val="auto"/>
                <w:sz w:val="18"/>
                <w:szCs w:val="18"/>
              </w:rPr>
              <w:t>High priority for Commonwealth environmental water (likely to receive water even under a very low water resource availability)</w:t>
            </w:r>
          </w:p>
        </w:tc>
        <w:tc>
          <w:tcPr>
            <w:tcW w:w="2272" w:type="dxa"/>
            <w:tcBorders>
              <w:right w:val="single" w:sz="12" w:space="0" w:color="auto"/>
            </w:tcBorders>
            <w:shd w:val="clear" w:color="auto" w:fill="FFC000"/>
            <w:vAlign w:val="center"/>
          </w:tcPr>
          <w:p w14:paraId="1A39DF60"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r>
      <w:tr w:rsidR="0024331D" w:rsidRPr="0024331D" w14:paraId="4AA8DB0B"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2211"/>
          <w:jc w:val="center"/>
        </w:trPr>
        <w:tc>
          <w:tcPr>
            <w:tcW w:w="2403" w:type="dxa"/>
            <w:vMerge/>
            <w:tcBorders>
              <w:left w:val="single" w:sz="12" w:space="0" w:color="auto"/>
              <w:right w:val="single" w:sz="4" w:space="0" w:color="auto"/>
            </w:tcBorders>
          </w:tcPr>
          <w:p w14:paraId="2A906BA5" w14:textId="77777777" w:rsidR="0024331D" w:rsidRPr="0024331D" w:rsidRDefault="0024331D" w:rsidP="0024331D">
            <w:pPr>
              <w:rPr>
                <w:rFonts w:cstheme="minorHAnsi"/>
                <w:color w:val="000000" w:themeColor="text1"/>
                <w:sz w:val="18"/>
                <w:szCs w:val="18"/>
                <w:highlight w:val="yellow"/>
              </w:rPr>
            </w:pPr>
          </w:p>
        </w:tc>
        <w:tc>
          <w:tcPr>
            <w:tcW w:w="4103" w:type="dxa"/>
            <w:tcBorders>
              <w:left w:val="single" w:sz="4" w:space="0" w:color="auto"/>
              <w:bottom w:val="single" w:sz="4" w:space="0" w:color="auto"/>
              <w:right w:val="single" w:sz="4" w:space="0" w:color="auto"/>
            </w:tcBorders>
            <w:vAlign w:val="center"/>
          </w:tcPr>
          <w:p w14:paraId="017E6D8A" w14:textId="77777777" w:rsidR="0024331D" w:rsidRPr="0024331D" w:rsidRDefault="0024331D" w:rsidP="0024331D">
            <w:pPr>
              <w:spacing w:before="60" w:after="60"/>
              <w:rPr>
                <w:rFonts w:cstheme="minorHAnsi"/>
                <w:color w:val="000000" w:themeColor="text1"/>
                <w:sz w:val="18"/>
                <w:szCs w:val="18"/>
              </w:rPr>
            </w:pPr>
            <w:r w:rsidRPr="0024331D">
              <w:rPr>
                <w:rFonts w:cstheme="minorHAnsi"/>
                <w:color w:val="000000" w:themeColor="text1"/>
                <w:sz w:val="18"/>
                <w:szCs w:val="18"/>
              </w:rPr>
              <w:t>Summer/autumn low flows (continuous Dec–May)</w:t>
            </w:r>
          </w:p>
          <w:p w14:paraId="6A3CFD61" w14:textId="77777777" w:rsidR="0024331D" w:rsidRPr="0024331D" w:rsidRDefault="0024331D" w:rsidP="0024331D">
            <w:pPr>
              <w:spacing w:before="60" w:after="60"/>
              <w:rPr>
                <w:rFonts w:cstheme="minorHAnsi"/>
                <w:color w:val="000000" w:themeColor="text1"/>
                <w:sz w:val="18"/>
                <w:szCs w:val="18"/>
                <w:highlight w:val="yellow"/>
              </w:rPr>
            </w:pPr>
            <w:r w:rsidRPr="0024331D">
              <w:rPr>
                <w:rFonts w:cstheme="minorHAnsi"/>
                <w:color w:val="000000" w:themeColor="text1"/>
                <w:sz w:val="18"/>
                <w:szCs w:val="18"/>
              </w:rPr>
              <w:t>25–50 ML/day to: maintain pool depth for waterbugs, fish, native water rats and aquatic plants; and provide continuous flows for water quality and bank vegetation.</w:t>
            </w:r>
          </w:p>
        </w:tc>
        <w:tc>
          <w:tcPr>
            <w:tcW w:w="2126" w:type="dxa"/>
            <w:tcBorders>
              <w:left w:val="single" w:sz="4" w:space="0" w:color="auto"/>
              <w:bottom w:val="single" w:sz="4" w:space="0" w:color="auto"/>
              <w:right w:val="single" w:sz="4" w:space="0" w:color="auto"/>
            </w:tcBorders>
            <w:vAlign w:val="center"/>
          </w:tcPr>
          <w:p w14:paraId="40D15F8F"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Annually with all levels of water availability</w:t>
            </w:r>
          </w:p>
          <w:p w14:paraId="3B4BD6C7" w14:textId="77777777" w:rsidR="0024331D" w:rsidRPr="0024331D" w:rsidRDefault="0024331D" w:rsidP="0024331D">
            <w:pPr>
              <w:rPr>
                <w:rFonts w:cstheme="minorHAnsi"/>
                <w:color w:val="000000" w:themeColor="text1"/>
                <w:sz w:val="18"/>
                <w:szCs w:val="18"/>
              </w:rPr>
            </w:pPr>
          </w:p>
        </w:tc>
        <w:tc>
          <w:tcPr>
            <w:tcW w:w="4693" w:type="dxa"/>
            <w:tcBorders>
              <w:left w:val="single" w:sz="4" w:space="0" w:color="auto"/>
              <w:right w:val="single" w:sz="4" w:space="0" w:color="auto"/>
            </w:tcBorders>
            <w:vAlign w:val="center"/>
          </w:tcPr>
          <w:p w14:paraId="677B645C" w14:textId="77777777" w:rsidR="0024331D" w:rsidRPr="0024331D" w:rsidRDefault="0024331D" w:rsidP="0024331D">
            <w:pPr>
              <w:rPr>
                <w:rFonts w:cstheme="minorHAnsi"/>
                <w:color w:val="000000" w:themeColor="text1"/>
                <w:sz w:val="18"/>
                <w:szCs w:val="18"/>
                <w:highlight w:val="yellow"/>
              </w:rPr>
            </w:pPr>
            <w:r w:rsidRPr="0024331D">
              <w:rPr>
                <w:rFonts w:cstheme="minorHAnsi"/>
                <w:color w:val="000000" w:themeColor="text1"/>
                <w:sz w:val="18"/>
                <w:szCs w:val="18"/>
              </w:rPr>
              <w:t>The summer low flows have been delivered in every year since 2012–13.</w:t>
            </w:r>
          </w:p>
        </w:tc>
        <w:tc>
          <w:tcPr>
            <w:tcW w:w="1984" w:type="dxa"/>
            <w:gridSpan w:val="2"/>
            <w:tcBorders>
              <w:bottom w:val="single" w:sz="4" w:space="0" w:color="auto"/>
            </w:tcBorders>
            <w:shd w:val="clear" w:color="auto" w:fill="FF0000"/>
            <w:vAlign w:val="center"/>
          </w:tcPr>
          <w:p w14:paraId="03C615FC" w14:textId="77777777" w:rsidR="0024331D" w:rsidRPr="0024331D" w:rsidRDefault="0024331D" w:rsidP="0024331D">
            <w:pPr>
              <w:jc w:val="center"/>
              <w:rPr>
                <w:rFonts w:cstheme="minorHAnsi"/>
                <w:b/>
                <w:color w:val="auto"/>
                <w:sz w:val="18"/>
                <w:szCs w:val="18"/>
              </w:rPr>
            </w:pPr>
            <w:r w:rsidRPr="0024331D">
              <w:rPr>
                <w:rFonts w:cstheme="minorHAnsi"/>
                <w:color w:val="auto"/>
                <w:sz w:val="18"/>
                <w:szCs w:val="18"/>
              </w:rPr>
              <w:t>High</w:t>
            </w:r>
          </w:p>
        </w:tc>
        <w:tc>
          <w:tcPr>
            <w:tcW w:w="4249" w:type="dxa"/>
            <w:shd w:val="clear" w:color="auto" w:fill="95B3D7" w:themeFill="accent1" w:themeFillTint="99"/>
            <w:vAlign w:val="center"/>
          </w:tcPr>
          <w:p w14:paraId="614621FD"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May be met by other means</w:t>
            </w:r>
          </w:p>
        </w:tc>
        <w:tc>
          <w:tcPr>
            <w:tcW w:w="2272" w:type="dxa"/>
            <w:tcBorders>
              <w:right w:val="single" w:sz="12" w:space="0" w:color="auto"/>
            </w:tcBorders>
            <w:shd w:val="clear" w:color="auto" w:fill="FF0000"/>
            <w:vAlign w:val="center"/>
          </w:tcPr>
          <w:p w14:paraId="5A92BEA6"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tr w:rsidR="0024331D" w:rsidRPr="0024331D" w14:paraId="382FBD49" w14:textId="77777777" w:rsidTr="00583873">
        <w:tblPrEx>
          <w:jc w:val="center"/>
          <w:tblInd w:w="0" w:type="dxa"/>
        </w:tblPrEx>
        <w:trPr>
          <w:cnfStyle w:val="000000010000" w:firstRow="0" w:lastRow="0" w:firstColumn="0" w:lastColumn="0" w:oddVBand="0" w:evenVBand="0" w:oddHBand="0" w:evenHBand="1" w:firstRowFirstColumn="0" w:firstRowLastColumn="0" w:lastRowFirstColumn="0" w:lastRowLastColumn="0"/>
          <w:trHeight w:val="2438"/>
          <w:jc w:val="center"/>
        </w:trPr>
        <w:tc>
          <w:tcPr>
            <w:tcW w:w="2403" w:type="dxa"/>
            <w:vMerge/>
            <w:tcBorders>
              <w:left w:val="single" w:sz="12" w:space="0" w:color="auto"/>
              <w:right w:val="single" w:sz="4" w:space="0" w:color="auto"/>
            </w:tcBorders>
          </w:tcPr>
          <w:p w14:paraId="4AE80EAF" w14:textId="77777777" w:rsidR="0024331D" w:rsidRPr="0024331D" w:rsidRDefault="0024331D" w:rsidP="0024331D">
            <w:pPr>
              <w:rPr>
                <w:rFonts w:cstheme="minorHAnsi"/>
                <w:color w:val="000000" w:themeColor="text1"/>
                <w:sz w:val="18"/>
                <w:szCs w:val="18"/>
                <w:highlight w:val="yellow"/>
              </w:rPr>
            </w:pPr>
          </w:p>
        </w:tc>
        <w:tc>
          <w:tcPr>
            <w:tcW w:w="4103" w:type="dxa"/>
            <w:tcBorders>
              <w:top w:val="single" w:sz="4" w:space="0" w:color="auto"/>
              <w:left w:val="single" w:sz="4" w:space="0" w:color="auto"/>
              <w:bottom w:val="single" w:sz="4" w:space="0" w:color="auto"/>
              <w:right w:val="single" w:sz="4" w:space="0" w:color="auto"/>
            </w:tcBorders>
            <w:vAlign w:val="center"/>
          </w:tcPr>
          <w:p w14:paraId="438839AC" w14:textId="77777777" w:rsidR="0024331D" w:rsidRPr="0024331D" w:rsidRDefault="0024331D" w:rsidP="0024331D">
            <w:pPr>
              <w:spacing w:before="60" w:after="60"/>
              <w:rPr>
                <w:rFonts w:cstheme="minorHAnsi"/>
                <w:color w:val="000000" w:themeColor="text1"/>
                <w:sz w:val="18"/>
                <w:szCs w:val="18"/>
              </w:rPr>
            </w:pPr>
            <w:r w:rsidRPr="0024331D">
              <w:rPr>
                <w:rFonts w:cstheme="minorHAnsi"/>
                <w:color w:val="000000" w:themeColor="text1"/>
                <w:sz w:val="18"/>
                <w:szCs w:val="18"/>
              </w:rPr>
              <w:t>Summer/autumn freshes (Dec-May)</w:t>
            </w:r>
          </w:p>
          <w:p w14:paraId="5C195D1D" w14:textId="77777777" w:rsidR="0024331D" w:rsidRPr="0024331D" w:rsidRDefault="0024331D" w:rsidP="0024331D">
            <w:pPr>
              <w:spacing w:before="60" w:after="60"/>
              <w:rPr>
                <w:rFonts w:cstheme="minorHAnsi"/>
                <w:color w:val="000000" w:themeColor="text1"/>
                <w:sz w:val="18"/>
                <w:szCs w:val="18"/>
              </w:rPr>
            </w:pPr>
            <w:r w:rsidRPr="0024331D">
              <w:rPr>
                <w:rFonts w:cstheme="minorHAnsi"/>
                <w:color w:val="000000" w:themeColor="text1"/>
                <w:sz w:val="18"/>
                <w:szCs w:val="18"/>
              </w:rPr>
              <w:t>50–100 ML/day for 3–4 days, up to 3 times/year to: flush fine sediment from hard surfaces; promote growth of fringing vegetation; reduce risk of hypoxic black water; and enable connectivity for fish and platypus movement.</w:t>
            </w:r>
          </w:p>
        </w:tc>
        <w:tc>
          <w:tcPr>
            <w:tcW w:w="2126" w:type="dxa"/>
            <w:tcBorders>
              <w:top w:val="single" w:sz="4" w:space="0" w:color="auto"/>
              <w:left w:val="single" w:sz="4" w:space="0" w:color="auto"/>
              <w:bottom w:val="single" w:sz="4" w:space="0" w:color="auto"/>
              <w:right w:val="single" w:sz="4" w:space="0" w:color="auto"/>
            </w:tcBorders>
            <w:vAlign w:val="center"/>
          </w:tcPr>
          <w:p w14:paraId="54161560"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Annually with all levels of water availability</w:t>
            </w:r>
          </w:p>
        </w:tc>
        <w:tc>
          <w:tcPr>
            <w:tcW w:w="4693" w:type="dxa"/>
            <w:tcBorders>
              <w:left w:val="single" w:sz="4" w:space="0" w:color="auto"/>
              <w:right w:val="single" w:sz="4" w:space="0" w:color="auto"/>
            </w:tcBorders>
            <w:vAlign w:val="center"/>
          </w:tcPr>
          <w:p w14:paraId="6E3ED6AB" w14:textId="77777777" w:rsidR="0024331D" w:rsidRPr="0024331D" w:rsidRDefault="0024331D" w:rsidP="0024331D">
            <w:pPr>
              <w:rPr>
                <w:rFonts w:cstheme="minorHAnsi"/>
                <w:color w:val="000000" w:themeColor="text1"/>
                <w:sz w:val="18"/>
                <w:szCs w:val="18"/>
                <w:highlight w:val="yellow"/>
              </w:rPr>
            </w:pPr>
            <w:r w:rsidRPr="0024331D">
              <w:rPr>
                <w:rFonts w:cstheme="minorHAnsi"/>
                <w:color w:val="000000" w:themeColor="text1"/>
                <w:sz w:val="18"/>
                <w:szCs w:val="18"/>
              </w:rPr>
              <w:t>The summer freshes have been delivered in every year since 2012–13, except in 2018–19 when it was partially achieved.</w:t>
            </w:r>
          </w:p>
        </w:tc>
        <w:tc>
          <w:tcPr>
            <w:tcW w:w="1984" w:type="dxa"/>
            <w:gridSpan w:val="2"/>
            <w:tcBorders>
              <w:bottom w:val="single" w:sz="4" w:space="0" w:color="auto"/>
            </w:tcBorders>
            <w:shd w:val="clear" w:color="auto" w:fill="FFC000"/>
            <w:vAlign w:val="center"/>
          </w:tcPr>
          <w:p w14:paraId="7BBE534E"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c>
          <w:tcPr>
            <w:tcW w:w="4249" w:type="dxa"/>
            <w:shd w:val="clear" w:color="auto" w:fill="365F91" w:themeFill="accent1" w:themeFillShade="BF"/>
            <w:vAlign w:val="center"/>
          </w:tcPr>
          <w:p w14:paraId="4F8EDAD6" w14:textId="77777777" w:rsidR="0024331D" w:rsidRPr="0024331D" w:rsidRDefault="0024331D" w:rsidP="0024331D">
            <w:pPr>
              <w:jc w:val="center"/>
              <w:rPr>
                <w:rFonts w:cstheme="minorHAnsi"/>
                <w:color w:val="auto"/>
                <w:sz w:val="18"/>
                <w:szCs w:val="18"/>
              </w:rPr>
            </w:pPr>
            <w:r w:rsidRPr="0024331D">
              <w:rPr>
                <w:color w:val="auto"/>
                <w:sz w:val="18"/>
                <w:szCs w:val="18"/>
              </w:rPr>
              <w:t>High priority for Commonwealth environmental water (likely to receive water even under a very low water resource availability)</w:t>
            </w:r>
          </w:p>
        </w:tc>
        <w:tc>
          <w:tcPr>
            <w:tcW w:w="2272" w:type="dxa"/>
            <w:tcBorders>
              <w:right w:val="single" w:sz="12" w:space="0" w:color="auto"/>
            </w:tcBorders>
            <w:shd w:val="clear" w:color="auto" w:fill="FFC000"/>
            <w:vAlign w:val="center"/>
          </w:tcPr>
          <w:p w14:paraId="366E1531"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r>
      <w:tr w:rsidR="0024331D" w:rsidRPr="0024331D" w14:paraId="30249A00"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2268"/>
          <w:jc w:val="center"/>
        </w:trPr>
        <w:tc>
          <w:tcPr>
            <w:tcW w:w="2403" w:type="dxa"/>
            <w:vMerge/>
            <w:tcBorders>
              <w:left w:val="single" w:sz="12" w:space="0" w:color="auto"/>
              <w:bottom w:val="single" w:sz="12" w:space="0" w:color="auto"/>
              <w:right w:val="single" w:sz="4" w:space="0" w:color="auto"/>
            </w:tcBorders>
          </w:tcPr>
          <w:p w14:paraId="1A7D741C" w14:textId="77777777" w:rsidR="0024331D" w:rsidRPr="0024331D" w:rsidRDefault="0024331D" w:rsidP="0024331D">
            <w:pPr>
              <w:rPr>
                <w:rFonts w:cstheme="minorHAnsi"/>
                <w:color w:val="000000" w:themeColor="text1"/>
                <w:sz w:val="18"/>
                <w:szCs w:val="18"/>
                <w:highlight w:val="yellow"/>
              </w:rPr>
            </w:pPr>
          </w:p>
        </w:tc>
        <w:tc>
          <w:tcPr>
            <w:tcW w:w="4103" w:type="dxa"/>
            <w:tcBorders>
              <w:top w:val="single" w:sz="4" w:space="0" w:color="auto"/>
              <w:left w:val="single" w:sz="4" w:space="0" w:color="auto"/>
              <w:bottom w:val="single" w:sz="12" w:space="0" w:color="auto"/>
              <w:right w:val="single" w:sz="4" w:space="0" w:color="auto"/>
            </w:tcBorders>
            <w:vAlign w:val="center"/>
          </w:tcPr>
          <w:p w14:paraId="59DC20CD" w14:textId="77777777" w:rsidR="0024331D" w:rsidRPr="0024331D" w:rsidRDefault="0024331D" w:rsidP="0024331D">
            <w:pPr>
              <w:spacing w:before="60" w:after="60"/>
              <w:rPr>
                <w:rFonts w:cstheme="minorHAnsi"/>
                <w:color w:val="000000" w:themeColor="text1"/>
                <w:sz w:val="18"/>
                <w:szCs w:val="18"/>
              </w:rPr>
            </w:pPr>
            <w:r w:rsidRPr="0024331D">
              <w:rPr>
                <w:rFonts w:cstheme="minorHAnsi"/>
                <w:color w:val="000000" w:themeColor="text1"/>
                <w:sz w:val="18"/>
                <w:szCs w:val="18"/>
              </w:rPr>
              <w:t>Autumn high flow (March–May)</w:t>
            </w:r>
          </w:p>
          <w:p w14:paraId="6CE32F03" w14:textId="77777777" w:rsidR="0024331D" w:rsidRPr="0024331D" w:rsidRDefault="0024331D" w:rsidP="0024331D">
            <w:pPr>
              <w:spacing w:before="60" w:after="60"/>
              <w:rPr>
                <w:rFonts w:cstheme="minorHAnsi"/>
                <w:color w:val="000000" w:themeColor="text1"/>
                <w:sz w:val="18"/>
                <w:szCs w:val="18"/>
              </w:rPr>
            </w:pPr>
            <w:r w:rsidRPr="0024331D">
              <w:rPr>
                <w:rFonts w:cstheme="minorHAnsi"/>
                <w:color w:val="000000" w:themeColor="text1"/>
                <w:sz w:val="18"/>
                <w:szCs w:val="18"/>
              </w:rPr>
              <w:t>400 ML/day for 6–10 days, once a year, to trigger and facilitate upstream movement of golden perch, silver perch and Murray cod over one year of age and facilitate platypus dispersal.</w:t>
            </w:r>
          </w:p>
        </w:tc>
        <w:tc>
          <w:tcPr>
            <w:tcW w:w="2126" w:type="dxa"/>
            <w:tcBorders>
              <w:top w:val="single" w:sz="4" w:space="0" w:color="auto"/>
              <w:left w:val="single" w:sz="4" w:space="0" w:color="auto"/>
              <w:bottom w:val="single" w:sz="12" w:space="0" w:color="auto"/>
              <w:right w:val="single" w:sz="4" w:space="0" w:color="auto"/>
            </w:tcBorders>
            <w:vAlign w:val="center"/>
          </w:tcPr>
          <w:p w14:paraId="628F7E6C"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Biannually with all levels of water availability except an extreme dry scenario</w:t>
            </w:r>
          </w:p>
        </w:tc>
        <w:tc>
          <w:tcPr>
            <w:tcW w:w="4693" w:type="dxa"/>
            <w:tcBorders>
              <w:left w:val="single" w:sz="4" w:space="0" w:color="auto"/>
              <w:bottom w:val="single" w:sz="12" w:space="0" w:color="auto"/>
              <w:right w:val="single" w:sz="4" w:space="0" w:color="auto"/>
            </w:tcBorders>
            <w:vAlign w:val="center"/>
          </w:tcPr>
          <w:p w14:paraId="35F1EAA6" w14:textId="77777777" w:rsidR="0024331D" w:rsidRPr="0024331D" w:rsidRDefault="0024331D" w:rsidP="0024331D">
            <w:pPr>
              <w:rPr>
                <w:rFonts w:cstheme="minorHAnsi"/>
                <w:color w:val="000000" w:themeColor="text1"/>
                <w:sz w:val="18"/>
                <w:szCs w:val="18"/>
              </w:rPr>
            </w:pPr>
            <w:r w:rsidRPr="0024331D">
              <w:rPr>
                <w:rFonts w:cstheme="minorHAnsi"/>
                <w:color w:val="000000" w:themeColor="text1"/>
                <w:sz w:val="18"/>
                <w:szCs w:val="18"/>
              </w:rPr>
              <w:t>The autumn fresh has been partially achieved since 2013–14 and was fully delivered every year from 2017–18 and 2019–20.</w:t>
            </w:r>
          </w:p>
        </w:tc>
        <w:tc>
          <w:tcPr>
            <w:tcW w:w="1984" w:type="dxa"/>
            <w:gridSpan w:val="2"/>
            <w:tcBorders>
              <w:bottom w:val="single" w:sz="12" w:space="0" w:color="auto"/>
            </w:tcBorders>
            <w:shd w:val="clear" w:color="auto" w:fill="92D050"/>
            <w:vAlign w:val="center"/>
          </w:tcPr>
          <w:p w14:paraId="1CC3ADFC" w14:textId="77777777" w:rsidR="0024331D" w:rsidRPr="0024331D" w:rsidRDefault="0024331D" w:rsidP="0024331D">
            <w:pPr>
              <w:jc w:val="center"/>
              <w:rPr>
                <w:rFonts w:cstheme="minorHAnsi"/>
                <w:b/>
                <w:color w:val="auto"/>
                <w:sz w:val="18"/>
                <w:szCs w:val="18"/>
              </w:rPr>
            </w:pPr>
            <w:r w:rsidRPr="0024331D">
              <w:rPr>
                <w:rFonts w:cstheme="minorHAnsi"/>
                <w:color w:val="auto"/>
                <w:sz w:val="18"/>
                <w:szCs w:val="18"/>
              </w:rPr>
              <w:t>Low</w:t>
            </w:r>
          </w:p>
        </w:tc>
        <w:tc>
          <w:tcPr>
            <w:tcW w:w="4249" w:type="dxa"/>
            <w:tcBorders>
              <w:bottom w:val="single" w:sz="12" w:space="0" w:color="auto"/>
            </w:tcBorders>
            <w:shd w:val="clear" w:color="auto" w:fill="95B3D7" w:themeFill="accent1" w:themeFillTint="99"/>
            <w:vAlign w:val="center"/>
          </w:tcPr>
          <w:p w14:paraId="19F6618F"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May be met by other means</w:t>
            </w:r>
          </w:p>
        </w:tc>
        <w:tc>
          <w:tcPr>
            <w:tcW w:w="2272" w:type="dxa"/>
            <w:tcBorders>
              <w:bottom w:val="single" w:sz="12" w:space="0" w:color="auto"/>
              <w:right w:val="single" w:sz="12" w:space="0" w:color="auto"/>
            </w:tcBorders>
            <w:shd w:val="clear" w:color="auto" w:fill="92D050"/>
            <w:vAlign w:val="center"/>
          </w:tcPr>
          <w:p w14:paraId="1C096997"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Low</w:t>
            </w:r>
          </w:p>
        </w:tc>
      </w:tr>
      <w:tr w:rsidR="0024331D" w:rsidRPr="0024331D" w14:paraId="0DB74A76" w14:textId="77777777" w:rsidTr="00583873">
        <w:tblPrEx>
          <w:jc w:val="center"/>
          <w:tblInd w:w="0" w:type="dxa"/>
        </w:tblPrEx>
        <w:trPr>
          <w:cnfStyle w:val="000000010000" w:firstRow="0" w:lastRow="0" w:firstColumn="0" w:lastColumn="0" w:oddVBand="0" w:evenVBand="0" w:oddHBand="0" w:evenHBand="1" w:firstRowFirstColumn="0" w:firstRowLastColumn="0" w:lastRowFirstColumn="0" w:lastRowLastColumn="0"/>
          <w:trHeight w:val="2112"/>
          <w:jc w:val="center"/>
        </w:trPr>
        <w:tc>
          <w:tcPr>
            <w:tcW w:w="2403" w:type="dxa"/>
            <w:vMerge w:val="restart"/>
            <w:tcBorders>
              <w:top w:val="single" w:sz="12" w:space="0" w:color="auto"/>
              <w:left w:val="single" w:sz="12" w:space="0" w:color="auto"/>
            </w:tcBorders>
          </w:tcPr>
          <w:p w14:paraId="0734CB2B" w14:textId="77777777" w:rsidR="0024331D" w:rsidRPr="0024331D" w:rsidRDefault="0024331D" w:rsidP="0024331D">
            <w:pPr>
              <w:spacing w:before="120"/>
              <w:rPr>
                <w:rFonts w:cstheme="minorHAnsi"/>
                <w:b/>
                <w:color w:val="000000" w:themeColor="text1"/>
                <w:sz w:val="18"/>
                <w:szCs w:val="18"/>
                <w:highlight w:val="yellow"/>
              </w:rPr>
            </w:pPr>
            <w:r w:rsidRPr="0024331D">
              <w:rPr>
                <w:rFonts w:cstheme="minorHAnsi"/>
                <w:b/>
                <w:color w:val="000000" w:themeColor="text1"/>
                <w:sz w:val="18"/>
                <w:szCs w:val="18"/>
              </w:rPr>
              <w:lastRenderedPageBreak/>
              <w:t xml:space="preserve">Serpentine Creek </w:t>
            </w:r>
          </w:p>
        </w:tc>
        <w:tc>
          <w:tcPr>
            <w:tcW w:w="4103" w:type="dxa"/>
            <w:tcBorders>
              <w:top w:val="single" w:sz="12" w:space="0" w:color="auto"/>
            </w:tcBorders>
            <w:vAlign w:val="center"/>
          </w:tcPr>
          <w:p w14:paraId="0F62E9F2" w14:textId="77777777" w:rsidR="0024331D" w:rsidRPr="0024331D" w:rsidRDefault="0024331D" w:rsidP="0024331D">
            <w:pPr>
              <w:spacing w:before="60" w:after="60"/>
              <w:rPr>
                <w:rFonts w:cstheme="minorHAnsi"/>
                <w:color w:val="000000" w:themeColor="text1"/>
                <w:sz w:val="18"/>
                <w:szCs w:val="18"/>
              </w:rPr>
            </w:pPr>
            <w:r w:rsidRPr="0024331D">
              <w:rPr>
                <w:rFonts w:cstheme="minorHAnsi"/>
                <w:color w:val="000000" w:themeColor="text1"/>
                <w:sz w:val="18"/>
                <w:szCs w:val="18"/>
              </w:rPr>
              <w:t>Winter/spring low flow (June–Nov)</w:t>
            </w:r>
          </w:p>
          <w:p w14:paraId="60B59AAA" w14:textId="77777777" w:rsidR="0024331D" w:rsidRPr="0024331D" w:rsidRDefault="0024331D" w:rsidP="0024331D">
            <w:pPr>
              <w:spacing w:before="60" w:after="60"/>
              <w:rPr>
                <w:rFonts w:cstheme="minorHAnsi"/>
                <w:color w:val="000000" w:themeColor="text1"/>
                <w:sz w:val="18"/>
                <w:szCs w:val="18"/>
                <w:highlight w:val="yellow"/>
              </w:rPr>
            </w:pPr>
            <w:r w:rsidRPr="0024331D">
              <w:rPr>
                <w:rFonts w:cstheme="minorHAnsi"/>
                <w:color w:val="000000" w:themeColor="text1"/>
                <w:sz w:val="18"/>
                <w:szCs w:val="18"/>
              </w:rPr>
              <w:t xml:space="preserve">20–30 ML/day to: ensure depth to maintain biofilms and flow variability for bank vegetation; inundate exposed debris and vegetation to provide habitat for aquatic animals; maintain water quality by re-oxygenating pools; and maintain spawning habitat for native fish. </w:t>
            </w:r>
          </w:p>
        </w:tc>
        <w:tc>
          <w:tcPr>
            <w:tcW w:w="2126" w:type="dxa"/>
            <w:tcBorders>
              <w:top w:val="single" w:sz="12" w:space="0" w:color="auto"/>
            </w:tcBorders>
            <w:vAlign w:val="center"/>
          </w:tcPr>
          <w:p w14:paraId="31FB5CFA" w14:textId="77777777" w:rsidR="0024331D" w:rsidRPr="0024331D" w:rsidRDefault="0024331D" w:rsidP="0024331D">
            <w:pPr>
              <w:spacing w:after="0"/>
              <w:rPr>
                <w:rFonts w:cstheme="minorHAnsi"/>
                <w:color w:val="000000" w:themeColor="text1"/>
                <w:sz w:val="18"/>
                <w:szCs w:val="18"/>
              </w:rPr>
            </w:pPr>
            <w:r w:rsidRPr="0024331D">
              <w:rPr>
                <w:rFonts w:cstheme="minorHAnsi"/>
                <w:color w:val="000000" w:themeColor="text1"/>
                <w:sz w:val="18"/>
                <w:szCs w:val="18"/>
              </w:rPr>
              <w:t>Annually with all levels of water availability</w:t>
            </w:r>
          </w:p>
        </w:tc>
        <w:tc>
          <w:tcPr>
            <w:tcW w:w="4693" w:type="dxa"/>
            <w:tcBorders>
              <w:top w:val="single" w:sz="12" w:space="0" w:color="auto"/>
            </w:tcBorders>
            <w:vAlign w:val="center"/>
          </w:tcPr>
          <w:p w14:paraId="132AA7E8"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This flow was partially delivered in 2017–18 and not achieved in 2018–19 or 2019-20.</w:t>
            </w:r>
          </w:p>
        </w:tc>
        <w:tc>
          <w:tcPr>
            <w:tcW w:w="1984" w:type="dxa"/>
            <w:gridSpan w:val="2"/>
            <w:tcBorders>
              <w:top w:val="single" w:sz="12" w:space="0" w:color="auto"/>
            </w:tcBorders>
            <w:shd w:val="clear" w:color="auto" w:fill="FF0000"/>
            <w:vAlign w:val="center"/>
          </w:tcPr>
          <w:p w14:paraId="667834E3"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c>
          <w:tcPr>
            <w:tcW w:w="4249" w:type="dxa"/>
            <w:tcBorders>
              <w:top w:val="single" w:sz="12" w:space="0" w:color="auto"/>
            </w:tcBorders>
            <w:shd w:val="clear" w:color="auto" w:fill="95B3D7" w:themeFill="accent1" w:themeFillTint="99"/>
            <w:vAlign w:val="center"/>
          </w:tcPr>
          <w:p w14:paraId="2C91DEDA"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May be met by other means</w:t>
            </w:r>
          </w:p>
        </w:tc>
        <w:tc>
          <w:tcPr>
            <w:tcW w:w="2272" w:type="dxa"/>
            <w:tcBorders>
              <w:top w:val="single" w:sz="12" w:space="0" w:color="auto"/>
              <w:right w:val="single" w:sz="12" w:space="0" w:color="auto"/>
            </w:tcBorders>
            <w:shd w:val="clear" w:color="auto" w:fill="FF0000"/>
            <w:vAlign w:val="center"/>
          </w:tcPr>
          <w:p w14:paraId="731F2ABB"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tr w:rsidR="0024331D" w:rsidRPr="0024331D" w14:paraId="3A89E41A"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1702"/>
          <w:jc w:val="center"/>
        </w:trPr>
        <w:tc>
          <w:tcPr>
            <w:tcW w:w="2403" w:type="dxa"/>
            <w:vMerge/>
            <w:tcBorders>
              <w:left w:val="single" w:sz="12" w:space="0" w:color="auto"/>
            </w:tcBorders>
          </w:tcPr>
          <w:p w14:paraId="4BB05487" w14:textId="77777777" w:rsidR="0024331D" w:rsidRPr="0024331D" w:rsidRDefault="0024331D" w:rsidP="0024331D">
            <w:pPr>
              <w:spacing w:before="120"/>
              <w:rPr>
                <w:rFonts w:cstheme="minorHAnsi"/>
                <w:b/>
                <w:color w:val="000000" w:themeColor="text1"/>
                <w:sz w:val="18"/>
                <w:szCs w:val="18"/>
                <w:highlight w:val="yellow"/>
              </w:rPr>
            </w:pPr>
          </w:p>
        </w:tc>
        <w:tc>
          <w:tcPr>
            <w:tcW w:w="4103" w:type="dxa"/>
            <w:vAlign w:val="center"/>
          </w:tcPr>
          <w:p w14:paraId="46A799B5" w14:textId="77777777" w:rsidR="0024331D" w:rsidRPr="0024331D" w:rsidRDefault="0024331D" w:rsidP="0024331D">
            <w:pPr>
              <w:spacing w:before="60" w:after="60"/>
              <w:rPr>
                <w:rFonts w:cstheme="minorHAnsi"/>
                <w:color w:val="000000" w:themeColor="text1"/>
                <w:sz w:val="18"/>
                <w:szCs w:val="18"/>
              </w:rPr>
            </w:pPr>
            <w:r w:rsidRPr="0024331D">
              <w:rPr>
                <w:rFonts w:cstheme="minorHAnsi"/>
                <w:color w:val="000000" w:themeColor="text1"/>
                <w:sz w:val="18"/>
                <w:szCs w:val="18"/>
              </w:rPr>
              <w:t>Winter/spring fresh (Aug–Nov)</w:t>
            </w:r>
          </w:p>
          <w:p w14:paraId="26C0865A" w14:textId="77777777" w:rsidR="0024331D" w:rsidRPr="0024331D" w:rsidRDefault="0024331D" w:rsidP="0024331D">
            <w:pPr>
              <w:spacing w:before="60" w:after="60"/>
              <w:rPr>
                <w:rFonts w:cstheme="minorHAnsi"/>
                <w:color w:val="000000" w:themeColor="text1"/>
                <w:sz w:val="18"/>
                <w:szCs w:val="18"/>
                <w:highlight w:val="yellow"/>
              </w:rPr>
            </w:pPr>
            <w:r w:rsidRPr="0024331D">
              <w:rPr>
                <w:rFonts w:cstheme="minorHAnsi"/>
                <w:color w:val="000000" w:themeColor="text1"/>
                <w:sz w:val="18"/>
                <w:szCs w:val="18"/>
              </w:rPr>
              <w:t>40 ML/day for 2 days or 120-150 ML for 1 day once a year to: provide connectivity for fish and waterbug habitat; transport accumulated organic matter; and scour pools.</w:t>
            </w:r>
          </w:p>
        </w:tc>
        <w:tc>
          <w:tcPr>
            <w:tcW w:w="2126" w:type="dxa"/>
            <w:vAlign w:val="center"/>
          </w:tcPr>
          <w:p w14:paraId="42EEFD1E" w14:textId="77777777" w:rsidR="0024331D" w:rsidRPr="0024331D" w:rsidRDefault="0024331D" w:rsidP="0024331D">
            <w:pPr>
              <w:spacing w:after="0"/>
              <w:rPr>
                <w:rFonts w:cstheme="minorHAnsi"/>
                <w:color w:val="000000" w:themeColor="text1"/>
                <w:sz w:val="18"/>
                <w:szCs w:val="18"/>
              </w:rPr>
            </w:pPr>
            <w:r w:rsidRPr="0024331D">
              <w:rPr>
                <w:rFonts w:cstheme="minorHAnsi"/>
                <w:color w:val="000000" w:themeColor="text1"/>
                <w:sz w:val="18"/>
                <w:szCs w:val="18"/>
              </w:rPr>
              <w:t>Annually with all levels of water availability</w:t>
            </w:r>
          </w:p>
        </w:tc>
        <w:tc>
          <w:tcPr>
            <w:tcW w:w="4693" w:type="dxa"/>
            <w:vAlign w:val="center"/>
          </w:tcPr>
          <w:p w14:paraId="65713A3E"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This fresh has been delivered every year since 2017–18.</w:t>
            </w:r>
          </w:p>
        </w:tc>
        <w:tc>
          <w:tcPr>
            <w:tcW w:w="1984" w:type="dxa"/>
            <w:gridSpan w:val="2"/>
            <w:shd w:val="clear" w:color="auto" w:fill="FFC000"/>
            <w:vAlign w:val="center"/>
          </w:tcPr>
          <w:p w14:paraId="43D44E44"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c>
          <w:tcPr>
            <w:tcW w:w="4249" w:type="dxa"/>
            <w:shd w:val="clear" w:color="auto" w:fill="365F91" w:themeFill="accent1" w:themeFillShade="BF"/>
            <w:vAlign w:val="center"/>
          </w:tcPr>
          <w:p w14:paraId="42CB5634" w14:textId="77777777" w:rsidR="0024331D" w:rsidRPr="0024331D" w:rsidRDefault="0024331D" w:rsidP="0024331D">
            <w:pPr>
              <w:jc w:val="center"/>
              <w:rPr>
                <w:rFonts w:cstheme="minorHAnsi"/>
                <w:color w:val="auto"/>
                <w:sz w:val="18"/>
                <w:szCs w:val="18"/>
              </w:rPr>
            </w:pPr>
            <w:r w:rsidRPr="0024331D">
              <w:rPr>
                <w:color w:val="auto"/>
                <w:sz w:val="18"/>
                <w:szCs w:val="18"/>
              </w:rPr>
              <w:t>High priority for Commonwealth environmental water (likely to receive water even under a very low water resource availability)</w:t>
            </w:r>
          </w:p>
        </w:tc>
        <w:tc>
          <w:tcPr>
            <w:tcW w:w="2272" w:type="dxa"/>
            <w:tcBorders>
              <w:right w:val="single" w:sz="12" w:space="0" w:color="auto"/>
            </w:tcBorders>
            <w:shd w:val="clear" w:color="auto" w:fill="FFC000"/>
            <w:vAlign w:val="center"/>
          </w:tcPr>
          <w:p w14:paraId="0DB6D805"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r>
      <w:tr w:rsidR="0024331D" w:rsidRPr="0024331D" w14:paraId="4148E676" w14:textId="77777777" w:rsidTr="00583873">
        <w:tblPrEx>
          <w:jc w:val="center"/>
          <w:tblInd w:w="0" w:type="dxa"/>
        </w:tblPrEx>
        <w:trPr>
          <w:cnfStyle w:val="000000010000" w:firstRow="0" w:lastRow="0" w:firstColumn="0" w:lastColumn="0" w:oddVBand="0" w:evenVBand="0" w:oddHBand="0" w:evenHBand="1" w:firstRowFirstColumn="0" w:firstRowLastColumn="0" w:lastRowFirstColumn="0" w:lastRowLastColumn="0"/>
          <w:trHeight w:val="2096"/>
          <w:jc w:val="center"/>
        </w:trPr>
        <w:tc>
          <w:tcPr>
            <w:tcW w:w="2403" w:type="dxa"/>
            <w:vMerge/>
            <w:tcBorders>
              <w:left w:val="single" w:sz="12" w:space="0" w:color="auto"/>
            </w:tcBorders>
          </w:tcPr>
          <w:p w14:paraId="57007A55" w14:textId="77777777" w:rsidR="0024331D" w:rsidRPr="0024331D" w:rsidRDefault="0024331D" w:rsidP="0024331D">
            <w:pPr>
              <w:spacing w:before="120"/>
              <w:rPr>
                <w:rFonts w:cstheme="minorHAnsi"/>
                <w:b/>
                <w:color w:val="000000" w:themeColor="text1"/>
                <w:sz w:val="18"/>
                <w:szCs w:val="18"/>
                <w:highlight w:val="yellow"/>
              </w:rPr>
            </w:pPr>
          </w:p>
        </w:tc>
        <w:tc>
          <w:tcPr>
            <w:tcW w:w="4103" w:type="dxa"/>
            <w:vAlign w:val="center"/>
          </w:tcPr>
          <w:p w14:paraId="4861F442" w14:textId="77777777" w:rsidR="0024331D" w:rsidRPr="0024331D" w:rsidRDefault="0024331D" w:rsidP="0024331D">
            <w:pPr>
              <w:spacing w:before="60" w:after="60"/>
              <w:rPr>
                <w:rFonts w:cstheme="minorHAnsi"/>
                <w:color w:val="000000" w:themeColor="text1"/>
                <w:sz w:val="18"/>
                <w:szCs w:val="18"/>
              </w:rPr>
            </w:pPr>
            <w:r w:rsidRPr="0024331D">
              <w:rPr>
                <w:rFonts w:cstheme="minorHAnsi"/>
                <w:color w:val="000000" w:themeColor="text1"/>
                <w:sz w:val="18"/>
                <w:szCs w:val="18"/>
              </w:rPr>
              <w:t>Summer/autumn low flows (Dec–May)</w:t>
            </w:r>
          </w:p>
          <w:p w14:paraId="70E45899" w14:textId="77777777" w:rsidR="0024331D" w:rsidRPr="0024331D" w:rsidRDefault="0024331D" w:rsidP="0024331D">
            <w:pPr>
              <w:spacing w:before="60" w:after="60"/>
              <w:rPr>
                <w:rFonts w:cstheme="minorHAnsi"/>
                <w:color w:val="000000" w:themeColor="text1"/>
                <w:sz w:val="18"/>
                <w:szCs w:val="18"/>
                <w:highlight w:val="yellow"/>
              </w:rPr>
            </w:pPr>
            <w:r w:rsidRPr="0024331D">
              <w:rPr>
                <w:rFonts w:cstheme="minorHAnsi"/>
                <w:color w:val="000000" w:themeColor="text1"/>
                <w:sz w:val="18"/>
                <w:szCs w:val="18"/>
              </w:rPr>
              <w:t>10–20 ML/day to: provide flow variability and prevent notching; ensure connectivity between pools for fish; re-oxygenate pools to maintain water quality; maintain platypus habitat; and maintain aquatic environment for instream aquatic vegetation.</w:t>
            </w:r>
          </w:p>
        </w:tc>
        <w:tc>
          <w:tcPr>
            <w:tcW w:w="2126" w:type="dxa"/>
            <w:vAlign w:val="center"/>
          </w:tcPr>
          <w:p w14:paraId="0327D082" w14:textId="77777777" w:rsidR="0024331D" w:rsidRPr="0024331D" w:rsidRDefault="0024331D" w:rsidP="0024331D">
            <w:pPr>
              <w:spacing w:after="0"/>
              <w:rPr>
                <w:rFonts w:cstheme="minorHAnsi"/>
                <w:color w:val="000000" w:themeColor="text1"/>
                <w:sz w:val="18"/>
                <w:szCs w:val="18"/>
              </w:rPr>
            </w:pPr>
            <w:r w:rsidRPr="0024331D">
              <w:rPr>
                <w:rFonts w:cstheme="minorHAnsi"/>
                <w:color w:val="000000" w:themeColor="text1"/>
                <w:sz w:val="18"/>
                <w:szCs w:val="18"/>
              </w:rPr>
              <w:t>Annually with all levels of water availability</w:t>
            </w:r>
          </w:p>
        </w:tc>
        <w:tc>
          <w:tcPr>
            <w:tcW w:w="4693" w:type="dxa"/>
            <w:vAlign w:val="center"/>
          </w:tcPr>
          <w:p w14:paraId="2976C67F"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This flow was not delivered in 2017–18 and 2018–19; It was fully delivered in 2019-20.</w:t>
            </w:r>
          </w:p>
        </w:tc>
        <w:tc>
          <w:tcPr>
            <w:tcW w:w="1984" w:type="dxa"/>
            <w:gridSpan w:val="2"/>
            <w:shd w:val="clear" w:color="auto" w:fill="FF0000"/>
            <w:vAlign w:val="center"/>
          </w:tcPr>
          <w:p w14:paraId="4CA9C39D"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c>
          <w:tcPr>
            <w:tcW w:w="4249" w:type="dxa"/>
            <w:shd w:val="clear" w:color="auto" w:fill="365F91" w:themeFill="accent1" w:themeFillShade="BF"/>
            <w:vAlign w:val="center"/>
          </w:tcPr>
          <w:p w14:paraId="27C247D6" w14:textId="77777777" w:rsidR="0024331D" w:rsidRPr="0024331D" w:rsidRDefault="0024331D" w:rsidP="0024331D">
            <w:pPr>
              <w:jc w:val="center"/>
              <w:rPr>
                <w:rFonts w:cstheme="minorHAnsi"/>
                <w:color w:val="auto"/>
                <w:sz w:val="18"/>
                <w:szCs w:val="18"/>
              </w:rPr>
            </w:pPr>
            <w:r w:rsidRPr="0024331D">
              <w:rPr>
                <w:color w:val="auto"/>
                <w:sz w:val="18"/>
                <w:szCs w:val="18"/>
              </w:rPr>
              <w:t>High priority for Commonwealth environmental water (likely to receive water even under a very low water resource availability)</w:t>
            </w:r>
          </w:p>
        </w:tc>
        <w:tc>
          <w:tcPr>
            <w:tcW w:w="2272" w:type="dxa"/>
            <w:tcBorders>
              <w:right w:val="single" w:sz="12" w:space="0" w:color="auto"/>
            </w:tcBorders>
            <w:shd w:val="clear" w:color="auto" w:fill="FF0000"/>
            <w:vAlign w:val="center"/>
          </w:tcPr>
          <w:p w14:paraId="634AA280"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High</w:t>
            </w:r>
          </w:p>
        </w:tc>
      </w:tr>
      <w:tr w:rsidR="0024331D" w:rsidRPr="0024331D" w14:paraId="634E6F74" w14:textId="77777777" w:rsidTr="00583873">
        <w:tblPrEx>
          <w:jc w:val="center"/>
          <w:tblInd w:w="0" w:type="dxa"/>
        </w:tblPrEx>
        <w:trPr>
          <w:cnfStyle w:val="000000100000" w:firstRow="0" w:lastRow="0" w:firstColumn="0" w:lastColumn="0" w:oddVBand="0" w:evenVBand="0" w:oddHBand="1" w:evenHBand="0" w:firstRowFirstColumn="0" w:firstRowLastColumn="0" w:lastRowFirstColumn="0" w:lastRowLastColumn="0"/>
          <w:trHeight w:val="1700"/>
          <w:jc w:val="center"/>
        </w:trPr>
        <w:tc>
          <w:tcPr>
            <w:tcW w:w="2403" w:type="dxa"/>
            <w:vMerge/>
            <w:tcBorders>
              <w:left w:val="single" w:sz="12" w:space="0" w:color="auto"/>
              <w:bottom w:val="single" w:sz="12" w:space="0" w:color="auto"/>
            </w:tcBorders>
          </w:tcPr>
          <w:p w14:paraId="24BE0E2B" w14:textId="77777777" w:rsidR="0024331D" w:rsidRPr="0024331D" w:rsidRDefault="0024331D" w:rsidP="0024331D">
            <w:pPr>
              <w:spacing w:before="120"/>
              <w:rPr>
                <w:rFonts w:cstheme="minorHAnsi"/>
                <w:b/>
                <w:color w:val="000000" w:themeColor="text1"/>
                <w:sz w:val="18"/>
                <w:szCs w:val="18"/>
                <w:highlight w:val="yellow"/>
              </w:rPr>
            </w:pPr>
          </w:p>
        </w:tc>
        <w:tc>
          <w:tcPr>
            <w:tcW w:w="4103" w:type="dxa"/>
            <w:tcBorders>
              <w:bottom w:val="single" w:sz="12" w:space="0" w:color="auto"/>
            </w:tcBorders>
            <w:vAlign w:val="center"/>
          </w:tcPr>
          <w:p w14:paraId="2A323E2C" w14:textId="77777777" w:rsidR="0024331D" w:rsidRPr="0024331D" w:rsidRDefault="0024331D" w:rsidP="0024331D">
            <w:pPr>
              <w:spacing w:before="60" w:after="60"/>
              <w:rPr>
                <w:rFonts w:cstheme="minorHAnsi"/>
                <w:color w:val="000000" w:themeColor="text1"/>
                <w:sz w:val="18"/>
                <w:szCs w:val="18"/>
              </w:rPr>
            </w:pPr>
            <w:r w:rsidRPr="0024331D">
              <w:rPr>
                <w:rFonts w:cstheme="minorHAnsi"/>
                <w:color w:val="000000" w:themeColor="text1"/>
                <w:sz w:val="18"/>
                <w:szCs w:val="18"/>
              </w:rPr>
              <w:t>Summer/autumn fresh (Dec–May)</w:t>
            </w:r>
          </w:p>
          <w:p w14:paraId="6487DA73" w14:textId="77777777" w:rsidR="0024331D" w:rsidRPr="0024331D" w:rsidRDefault="0024331D" w:rsidP="0024331D">
            <w:pPr>
              <w:spacing w:before="60" w:after="60"/>
              <w:rPr>
                <w:rFonts w:cstheme="minorHAnsi"/>
                <w:color w:val="000000" w:themeColor="text1"/>
                <w:sz w:val="18"/>
                <w:szCs w:val="18"/>
                <w:highlight w:val="yellow"/>
              </w:rPr>
            </w:pPr>
            <w:r w:rsidRPr="0024331D">
              <w:rPr>
                <w:rFonts w:cstheme="minorHAnsi"/>
                <w:color w:val="000000" w:themeColor="text1"/>
                <w:sz w:val="18"/>
                <w:szCs w:val="18"/>
              </w:rPr>
              <w:t>30–40 ML/day for 1-3 days up to 4 times a year to: transport accumulated organic matter; maintain fringing vegetation and biofilms; and provide water to inundate benches and flush fine sediment.</w:t>
            </w:r>
          </w:p>
        </w:tc>
        <w:tc>
          <w:tcPr>
            <w:tcW w:w="2126" w:type="dxa"/>
            <w:tcBorders>
              <w:bottom w:val="single" w:sz="12" w:space="0" w:color="auto"/>
            </w:tcBorders>
            <w:vAlign w:val="center"/>
          </w:tcPr>
          <w:p w14:paraId="4AD45E05" w14:textId="77777777" w:rsidR="0024331D" w:rsidRPr="0024331D" w:rsidRDefault="0024331D" w:rsidP="0024331D">
            <w:pPr>
              <w:spacing w:after="0"/>
              <w:rPr>
                <w:rFonts w:cstheme="minorHAnsi"/>
                <w:color w:val="000000" w:themeColor="text1"/>
                <w:sz w:val="18"/>
                <w:szCs w:val="18"/>
                <w:highlight w:val="yellow"/>
              </w:rPr>
            </w:pPr>
            <w:r w:rsidRPr="0024331D">
              <w:rPr>
                <w:rFonts w:cstheme="minorHAnsi"/>
                <w:color w:val="000000" w:themeColor="text1"/>
                <w:sz w:val="18"/>
                <w:szCs w:val="18"/>
              </w:rPr>
              <w:t>Annually with all levels of water availability</w:t>
            </w:r>
          </w:p>
        </w:tc>
        <w:tc>
          <w:tcPr>
            <w:tcW w:w="4693" w:type="dxa"/>
            <w:tcBorders>
              <w:bottom w:val="single" w:sz="12" w:space="0" w:color="auto"/>
            </w:tcBorders>
            <w:vAlign w:val="center"/>
          </w:tcPr>
          <w:p w14:paraId="5027C367"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These freshes were partially delivered in 2017–18 and 2018–19 and fully delivered in 2019-20.</w:t>
            </w:r>
          </w:p>
        </w:tc>
        <w:tc>
          <w:tcPr>
            <w:tcW w:w="1984" w:type="dxa"/>
            <w:gridSpan w:val="2"/>
            <w:tcBorders>
              <w:bottom w:val="single" w:sz="12" w:space="0" w:color="auto"/>
            </w:tcBorders>
            <w:shd w:val="clear" w:color="auto" w:fill="FFC000"/>
            <w:vAlign w:val="center"/>
          </w:tcPr>
          <w:p w14:paraId="20801B3D"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c>
          <w:tcPr>
            <w:tcW w:w="4249" w:type="dxa"/>
            <w:tcBorders>
              <w:bottom w:val="single" w:sz="12" w:space="0" w:color="auto"/>
            </w:tcBorders>
            <w:shd w:val="clear" w:color="auto" w:fill="365F91" w:themeFill="accent1" w:themeFillShade="BF"/>
            <w:vAlign w:val="center"/>
          </w:tcPr>
          <w:p w14:paraId="6DA1BE50" w14:textId="77777777" w:rsidR="0024331D" w:rsidRPr="0024331D" w:rsidRDefault="0024331D" w:rsidP="0024331D">
            <w:pPr>
              <w:jc w:val="center"/>
              <w:rPr>
                <w:rFonts w:cstheme="minorHAnsi"/>
                <w:color w:val="auto"/>
                <w:sz w:val="18"/>
                <w:szCs w:val="18"/>
              </w:rPr>
            </w:pPr>
            <w:r w:rsidRPr="0024331D">
              <w:rPr>
                <w:color w:val="auto"/>
                <w:sz w:val="18"/>
                <w:szCs w:val="18"/>
              </w:rPr>
              <w:t>High priority for Commonwealth environmental water (likely to receive water even under a very low water resource availability)</w:t>
            </w:r>
          </w:p>
        </w:tc>
        <w:tc>
          <w:tcPr>
            <w:tcW w:w="2272" w:type="dxa"/>
            <w:tcBorders>
              <w:bottom w:val="single" w:sz="12" w:space="0" w:color="auto"/>
              <w:right w:val="single" w:sz="12" w:space="0" w:color="auto"/>
            </w:tcBorders>
            <w:shd w:val="clear" w:color="auto" w:fill="FFC000"/>
            <w:vAlign w:val="center"/>
          </w:tcPr>
          <w:p w14:paraId="710EE404"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Moderate</w:t>
            </w:r>
          </w:p>
        </w:tc>
      </w:tr>
      <w:tr w:rsidR="0024331D" w:rsidRPr="0024331D" w14:paraId="0DB5B0EB" w14:textId="77777777" w:rsidTr="00583873">
        <w:tblPrEx>
          <w:jc w:val="center"/>
          <w:tblInd w:w="0" w:type="dxa"/>
        </w:tblPrEx>
        <w:trPr>
          <w:cnfStyle w:val="000000010000" w:firstRow="0" w:lastRow="0" w:firstColumn="0" w:lastColumn="0" w:oddVBand="0" w:evenVBand="0" w:oddHBand="0" w:evenHBand="1" w:firstRowFirstColumn="0" w:firstRowLastColumn="0" w:lastRowFirstColumn="0" w:lastRowLastColumn="0"/>
          <w:trHeight w:val="1838"/>
          <w:jc w:val="center"/>
        </w:trPr>
        <w:tc>
          <w:tcPr>
            <w:tcW w:w="2403" w:type="dxa"/>
            <w:tcBorders>
              <w:top w:val="single" w:sz="12" w:space="0" w:color="auto"/>
              <w:left w:val="single" w:sz="12" w:space="0" w:color="auto"/>
              <w:bottom w:val="single" w:sz="12" w:space="0" w:color="auto"/>
              <w:right w:val="single" w:sz="4" w:space="0" w:color="auto"/>
            </w:tcBorders>
          </w:tcPr>
          <w:p w14:paraId="531694AC" w14:textId="77777777" w:rsidR="0024331D" w:rsidRPr="0024331D" w:rsidRDefault="0024331D" w:rsidP="0024331D">
            <w:pPr>
              <w:rPr>
                <w:rFonts w:cstheme="minorHAnsi"/>
                <w:b/>
                <w:color w:val="000000" w:themeColor="text1"/>
                <w:sz w:val="18"/>
                <w:szCs w:val="18"/>
              </w:rPr>
            </w:pPr>
            <w:r w:rsidRPr="0024331D">
              <w:rPr>
                <w:rFonts w:cstheme="minorHAnsi"/>
                <w:b/>
                <w:color w:val="000000" w:themeColor="text1"/>
                <w:sz w:val="18"/>
                <w:szCs w:val="18"/>
              </w:rPr>
              <w:t>Wimmera System</w:t>
            </w:r>
          </w:p>
        </w:tc>
        <w:tc>
          <w:tcPr>
            <w:tcW w:w="4103" w:type="dxa"/>
            <w:tcBorders>
              <w:top w:val="single" w:sz="12" w:space="0" w:color="auto"/>
              <w:left w:val="single" w:sz="4" w:space="0" w:color="auto"/>
              <w:bottom w:val="single" w:sz="12" w:space="0" w:color="auto"/>
              <w:right w:val="single" w:sz="4" w:space="0" w:color="auto"/>
            </w:tcBorders>
            <w:vAlign w:val="center"/>
          </w:tcPr>
          <w:p w14:paraId="24527B07" w14:textId="77777777" w:rsidR="0024331D" w:rsidRPr="0024331D" w:rsidRDefault="0024331D" w:rsidP="0024331D">
            <w:pPr>
              <w:spacing w:before="40" w:after="40"/>
              <w:rPr>
                <w:rFonts w:cstheme="minorHAnsi"/>
                <w:color w:val="000000" w:themeColor="text1"/>
                <w:sz w:val="18"/>
                <w:szCs w:val="18"/>
              </w:rPr>
            </w:pPr>
            <w:r w:rsidRPr="0024331D">
              <w:rPr>
                <w:rFonts w:cstheme="minorHAnsi"/>
                <w:sz w:val="18"/>
                <w:szCs w:val="18"/>
              </w:rPr>
              <w:t xml:space="preserve">Up to the total Commonwealth entitlement of 28 000 ML (low reliability water share) per year to contribute toward instream flows </w:t>
            </w:r>
            <w:r w:rsidRPr="0024331D">
              <w:rPr>
                <w:rFonts w:cstheme="minorHAnsi"/>
                <w:color w:val="000000" w:themeColor="text1"/>
                <w:sz w:val="18"/>
                <w:szCs w:val="18"/>
              </w:rPr>
              <w:t xml:space="preserve">within the Wimmera River (baseflow and freshes), to support native riparian vegetation, native fish and waterbugs, and improve connectivity and water quality.  </w:t>
            </w:r>
          </w:p>
        </w:tc>
        <w:tc>
          <w:tcPr>
            <w:tcW w:w="2126" w:type="dxa"/>
            <w:tcBorders>
              <w:top w:val="single" w:sz="12" w:space="0" w:color="auto"/>
              <w:left w:val="single" w:sz="4" w:space="0" w:color="auto"/>
              <w:bottom w:val="single" w:sz="12" w:space="0" w:color="auto"/>
              <w:right w:val="single" w:sz="4" w:space="0" w:color="auto"/>
            </w:tcBorders>
            <w:vAlign w:val="center"/>
          </w:tcPr>
          <w:p w14:paraId="0B468EA4" w14:textId="77777777" w:rsidR="0024331D" w:rsidRPr="0024331D" w:rsidRDefault="0024331D" w:rsidP="0024331D">
            <w:pPr>
              <w:autoSpaceDE w:val="0"/>
              <w:autoSpaceDN w:val="0"/>
              <w:adjustRightInd w:val="0"/>
              <w:spacing w:before="120"/>
              <w:rPr>
                <w:rFonts w:cstheme="minorHAnsi"/>
                <w:color w:val="000000" w:themeColor="text1"/>
                <w:sz w:val="18"/>
                <w:szCs w:val="18"/>
              </w:rPr>
            </w:pPr>
            <w:r w:rsidRPr="0024331D">
              <w:rPr>
                <w:rFonts w:cstheme="minorHAnsi"/>
                <w:color w:val="000000" w:themeColor="text1"/>
                <w:sz w:val="18"/>
                <w:szCs w:val="18"/>
              </w:rPr>
              <w:t>Annual</w:t>
            </w:r>
          </w:p>
        </w:tc>
        <w:tc>
          <w:tcPr>
            <w:tcW w:w="4693" w:type="dxa"/>
            <w:tcBorders>
              <w:top w:val="single" w:sz="12" w:space="0" w:color="auto"/>
              <w:left w:val="single" w:sz="4" w:space="0" w:color="auto"/>
              <w:bottom w:val="single" w:sz="12" w:space="0" w:color="auto"/>
              <w:right w:val="single" w:sz="4" w:space="0" w:color="auto"/>
            </w:tcBorders>
            <w:vAlign w:val="center"/>
          </w:tcPr>
          <w:p w14:paraId="2CDAEDEA"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 xml:space="preserve">In 2016–17 the Commonwealth received its first and only allocation of 14 280 ML against this entitlement.  </w:t>
            </w:r>
          </w:p>
          <w:p w14:paraId="65E5F6A8" w14:textId="77777777" w:rsidR="0024331D" w:rsidRPr="0024331D" w:rsidRDefault="0024331D" w:rsidP="0024331D">
            <w:pPr>
              <w:spacing w:before="120"/>
              <w:rPr>
                <w:rFonts w:cstheme="minorHAnsi"/>
                <w:color w:val="000000" w:themeColor="text1"/>
                <w:sz w:val="18"/>
                <w:szCs w:val="18"/>
              </w:rPr>
            </w:pPr>
            <w:r w:rsidRPr="0024331D">
              <w:rPr>
                <w:rFonts w:cstheme="minorHAnsi"/>
                <w:color w:val="000000" w:themeColor="text1"/>
                <w:sz w:val="18"/>
                <w:szCs w:val="18"/>
              </w:rPr>
              <w:t>Through careful management and carryover this water was progressively used (alongside VEWH water) throughout 2017 to early 2020 to support baseflows in the Wimmera system.</w:t>
            </w:r>
          </w:p>
        </w:tc>
        <w:tc>
          <w:tcPr>
            <w:tcW w:w="1984" w:type="dxa"/>
            <w:gridSpan w:val="2"/>
            <w:tcBorders>
              <w:top w:val="single" w:sz="12" w:space="0" w:color="auto"/>
              <w:left w:val="single" w:sz="4" w:space="0" w:color="auto"/>
              <w:bottom w:val="single" w:sz="12" w:space="0" w:color="auto"/>
            </w:tcBorders>
            <w:shd w:val="clear" w:color="auto" w:fill="C00000"/>
            <w:vAlign w:val="center"/>
          </w:tcPr>
          <w:p w14:paraId="42348444"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Critical</w:t>
            </w:r>
          </w:p>
        </w:tc>
        <w:tc>
          <w:tcPr>
            <w:tcW w:w="4249" w:type="dxa"/>
            <w:tcBorders>
              <w:top w:val="single" w:sz="12" w:space="0" w:color="auto"/>
              <w:bottom w:val="single" w:sz="12" w:space="0" w:color="auto"/>
            </w:tcBorders>
            <w:shd w:val="clear" w:color="auto" w:fill="FFFFFF" w:themeFill="background1"/>
            <w:vAlign w:val="center"/>
          </w:tcPr>
          <w:p w14:paraId="73C2FA7E"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Low. The Commonwealth has no allocations or carryover currently available in the Wimmera. It will take significant inflows under a wet or very wet scenario before water becomes available to use</w:t>
            </w:r>
          </w:p>
        </w:tc>
        <w:tc>
          <w:tcPr>
            <w:tcW w:w="2272" w:type="dxa"/>
            <w:tcBorders>
              <w:top w:val="single" w:sz="12" w:space="0" w:color="auto"/>
              <w:bottom w:val="single" w:sz="12" w:space="0" w:color="auto"/>
              <w:right w:val="single" w:sz="12" w:space="0" w:color="auto"/>
            </w:tcBorders>
            <w:shd w:val="clear" w:color="auto" w:fill="C00000"/>
            <w:vAlign w:val="center"/>
          </w:tcPr>
          <w:p w14:paraId="1A10B327" w14:textId="77777777" w:rsidR="0024331D" w:rsidRPr="0024331D" w:rsidRDefault="0024331D" w:rsidP="0024331D">
            <w:pPr>
              <w:jc w:val="center"/>
              <w:rPr>
                <w:rFonts w:cstheme="minorHAnsi"/>
                <w:color w:val="auto"/>
                <w:sz w:val="18"/>
                <w:szCs w:val="18"/>
              </w:rPr>
            </w:pPr>
            <w:r w:rsidRPr="0024331D">
              <w:rPr>
                <w:rFonts w:cstheme="minorHAnsi"/>
                <w:color w:val="auto"/>
                <w:sz w:val="18"/>
                <w:szCs w:val="18"/>
              </w:rPr>
              <w:t>Critical</w:t>
            </w:r>
          </w:p>
        </w:tc>
      </w:tr>
    </w:tbl>
    <w:p w14:paraId="0E50E15E" w14:textId="77777777" w:rsidR="0024331D" w:rsidRPr="0024331D" w:rsidRDefault="0024331D" w:rsidP="0024331D">
      <w:pPr>
        <w:rPr>
          <w:rFonts w:eastAsia="Century Gothic" w:hAnsi="Century Gothic"/>
          <w:bCs/>
          <w:spacing w:val="-1"/>
          <w:sz w:val="18"/>
          <w:szCs w:val="18"/>
        </w:rPr>
      </w:pPr>
      <w:r w:rsidRPr="0024331D">
        <w:rPr>
          <w:noProof/>
        </w:rPr>
        <w:drawing>
          <wp:inline distT="0" distB="0" distL="0" distR="0" wp14:anchorId="1640FFCA" wp14:editId="56A1B6AF">
            <wp:extent cx="9610725" cy="193123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9634032" cy="1935916"/>
                    </a:xfrm>
                    <a:prstGeom prst="rect">
                      <a:avLst/>
                    </a:prstGeom>
                  </pic:spPr>
                </pic:pic>
              </a:graphicData>
            </a:graphic>
          </wp:inline>
        </w:drawing>
      </w:r>
    </w:p>
    <w:p w14:paraId="4FE29D40" w14:textId="77777777" w:rsidR="0024331D" w:rsidRPr="0024331D" w:rsidRDefault="0024331D" w:rsidP="0024331D">
      <w:pPr>
        <w:spacing w:after="0"/>
        <w:ind w:left="180"/>
        <w:rPr>
          <w:rFonts w:cs="Times New Roman"/>
          <w:color w:val="auto"/>
          <w:szCs w:val="22"/>
          <w:lang w:eastAsia="en-US"/>
        </w:rPr>
      </w:pPr>
    </w:p>
    <w:p w14:paraId="43B792BE" w14:textId="77777777" w:rsidR="0024331D" w:rsidRPr="0024331D" w:rsidRDefault="0024331D" w:rsidP="0024331D">
      <w:pPr>
        <w:spacing w:after="240"/>
        <w:rPr>
          <w:rFonts w:ascii="Century Gothic" w:hAnsi="Century Gothic" w:cs="Arial"/>
          <w:noProof/>
          <w:color w:val="0000FF"/>
          <w:u w:val="single"/>
        </w:rPr>
        <w:sectPr w:rsidR="0024331D" w:rsidRPr="0024331D" w:rsidSect="00583873">
          <w:footerReference w:type="first" r:id="rId283"/>
          <w:footnotePr>
            <w:numFmt w:val="chicago"/>
            <w:numRestart w:val="eachSect"/>
          </w:footnotePr>
          <w:pgSz w:w="23814" w:h="16839" w:orient="landscape" w:code="8"/>
          <w:pgMar w:top="993" w:right="992" w:bottom="993" w:left="993" w:header="567" w:footer="397" w:gutter="0"/>
          <w:cols w:space="708"/>
          <w:docGrid w:linePitch="360"/>
        </w:sectPr>
      </w:pPr>
    </w:p>
    <w:p w14:paraId="74854B7A" w14:textId="77777777" w:rsidR="0024331D" w:rsidRPr="0024331D" w:rsidRDefault="0024331D" w:rsidP="0024331D">
      <w:pPr>
        <w:pStyle w:val="Heading3"/>
      </w:pPr>
      <w:r w:rsidRPr="0024331D">
        <w:lastRenderedPageBreak/>
        <w:t>Water delivery in 2020–21</w:t>
      </w:r>
    </w:p>
    <w:p w14:paraId="38AD79F6" w14:textId="77777777" w:rsidR="0024331D" w:rsidRPr="0024331D" w:rsidRDefault="0024331D" w:rsidP="0024331D">
      <w:r w:rsidRPr="0024331D">
        <w:t>In the northern Victorian rivers, the delivery of water for the environment in 2020-21 is contingent upon the volume of holdings and the available allocations for each catchment. Consistent with the demands and purpose identified in Table 3, and as water for the environment becomes available, the CEWO is considering supplying water for the environment to contribute to:</w:t>
      </w:r>
    </w:p>
    <w:p w14:paraId="722CA8E8" w14:textId="77777777" w:rsidR="0024331D" w:rsidRPr="0024331D" w:rsidRDefault="0024331D" w:rsidP="0024331D">
      <w:pPr>
        <w:pStyle w:val="DotStyle1"/>
        <w:rPr>
          <w:color w:val="auto"/>
          <w:lang w:eastAsia="en-US"/>
        </w:rPr>
      </w:pPr>
      <w:r w:rsidRPr="0024331D">
        <w:t xml:space="preserve">baseflows and freshes </w:t>
      </w:r>
      <w:r w:rsidRPr="0024331D">
        <w:rPr>
          <w:color w:val="auto"/>
          <w:lang w:eastAsia="en-US"/>
        </w:rPr>
        <w:t xml:space="preserve">in </w:t>
      </w:r>
      <w:r w:rsidRPr="0024331D">
        <w:t>each river, as well as off channel wetland actions that support a range of environmental outcomes for plants and animals</w:t>
      </w:r>
    </w:p>
    <w:p w14:paraId="3658C49E" w14:textId="77777777" w:rsidR="0024331D" w:rsidRPr="0024331D" w:rsidRDefault="0024331D" w:rsidP="0024331D">
      <w:pPr>
        <w:pStyle w:val="DotStyle1"/>
        <w:rPr>
          <w:color w:val="auto"/>
          <w:lang w:eastAsia="en-US"/>
        </w:rPr>
      </w:pPr>
      <w:r w:rsidRPr="0024331D">
        <w:t>flows that are coordinated across the Southern-connected Basin, when conditions are conducive, to achieve identified ecological outcomes, for example, golden and silver perch migration</w:t>
      </w:r>
    </w:p>
    <w:p w14:paraId="067BB074" w14:textId="77777777" w:rsidR="0024331D" w:rsidRPr="0024331D" w:rsidRDefault="0024331D" w:rsidP="0024331D">
      <w:pPr>
        <w:pStyle w:val="DotStyle1"/>
        <w:rPr>
          <w:color w:val="auto"/>
          <w:lang w:eastAsia="en-US"/>
        </w:rPr>
      </w:pPr>
      <w:r w:rsidRPr="0024331D">
        <w:rPr>
          <w:color w:val="auto"/>
          <w:lang w:eastAsia="en-US"/>
        </w:rPr>
        <w:t>enhancing ecological benefit from natural flows and when possible, intervalley transfer flows, for example, adding water to the peak or during the recession of the flow.</w:t>
      </w:r>
    </w:p>
    <w:p w14:paraId="522CF774" w14:textId="77777777" w:rsidR="0024331D" w:rsidRPr="0024331D" w:rsidRDefault="0024331D" w:rsidP="0024331D">
      <w:r w:rsidRPr="0024331D">
        <w:t xml:space="preserve">As in previous years, the use of Commonwealth, Victorian and The Living Murray water will be adaptively managed together throughout 2020-21, in response to changing water resource availability and environmental conditions and demands. </w:t>
      </w:r>
    </w:p>
    <w:p w14:paraId="221E0884" w14:textId="77777777" w:rsidR="0024331D" w:rsidRPr="0024331D" w:rsidRDefault="0024331D" w:rsidP="0024331D">
      <w:pPr>
        <w:pStyle w:val="Heading3"/>
      </w:pPr>
      <w:r w:rsidRPr="0024331D">
        <w:t>Monitoring and Lessons learned</w:t>
      </w:r>
    </w:p>
    <w:p w14:paraId="75396E97" w14:textId="77777777" w:rsidR="0024331D" w:rsidRPr="0024331D" w:rsidRDefault="0024331D" w:rsidP="0024331D">
      <w:pPr>
        <w:pStyle w:val="Heading4"/>
      </w:pPr>
      <w:r w:rsidRPr="0024331D">
        <w:t>Monitoring</w:t>
      </w:r>
    </w:p>
    <w:p w14:paraId="3754915D" w14:textId="77777777" w:rsidR="0024331D" w:rsidRPr="0024331D" w:rsidRDefault="0024331D" w:rsidP="0024331D">
      <w:r w:rsidRPr="0024331D">
        <w:t xml:space="preserve">The CEWO’s </w:t>
      </w:r>
      <w:hyperlink r:id="rId284" w:history="1">
        <w:r w:rsidRPr="0024331D">
          <w:rPr>
            <w:rFonts w:cstheme="minorHAnsi"/>
            <w:color w:val="0000FF"/>
            <w:szCs w:val="22"/>
            <w:u w:val="single"/>
          </w:rPr>
          <w:t>Long Term Intervention Monitoring Project (LTIM)</w:t>
        </w:r>
      </w:hyperlink>
      <w:r w:rsidRPr="0024331D">
        <w:t xml:space="preserve"> in the Goulburn River has identified a number of key environmental outcomes associated with the use of environmental water in the Goulburn River over the period 2014-15 to 2018-19. This work is being continued through the CEWO’s </w:t>
      </w:r>
      <w:hyperlink r:id="rId285" w:history="1">
        <w:r w:rsidRPr="0024331D">
          <w:rPr>
            <w:rFonts w:cstheme="minorHAnsi"/>
            <w:color w:val="0000FF"/>
            <w:szCs w:val="22"/>
            <w:u w:val="single"/>
          </w:rPr>
          <w:t>Monitoring, Evaluation and Research (MER)</w:t>
        </w:r>
      </w:hyperlink>
      <w:r w:rsidRPr="0024331D">
        <w:t xml:space="preserve"> program from 2019-20 to 2021-22. Both LTIM and MER complement the </w:t>
      </w:r>
      <w:hyperlink r:id="rId286" w:history="1">
        <w:r w:rsidRPr="0024331D">
          <w:rPr>
            <w:rFonts w:cstheme="minorHAnsi"/>
            <w:color w:val="0000FF"/>
            <w:szCs w:val="22"/>
            <w:u w:val="single"/>
          </w:rPr>
          <w:t>Victorian Environmental Flow Monitoring Assessment Program</w:t>
        </w:r>
      </w:hyperlink>
      <w:r w:rsidRPr="0024331D">
        <w:t xml:space="preserve"> (VEFMAP), which examines the effect of water for the environment along 13 Victorian Rivers.</w:t>
      </w:r>
    </w:p>
    <w:p w14:paraId="42597606" w14:textId="77777777" w:rsidR="0024331D" w:rsidRPr="0024331D" w:rsidRDefault="0024331D" w:rsidP="0024331D">
      <w:pPr>
        <w:pStyle w:val="Heading4"/>
      </w:pPr>
      <w:r w:rsidRPr="0024331D">
        <w:t>Lessons learned</w:t>
      </w:r>
    </w:p>
    <w:p w14:paraId="7D11AAD4" w14:textId="01B8D2BD" w:rsidR="0024331D" w:rsidRPr="0024331D" w:rsidRDefault="0024331D" w:rsidP="0024331D">
      <w:r w:rsidRPr="0024331D">
        <w:t xml:space="preserve">Outcomes from monitoring and lessons learned in previous years are a critical component for the effective and efficient use of Commonwealth water for the environment. These learnings are incorporated into the way environmental water is managed. Key findings from the LTIM (Webb et al. 2020) and VEFMAP (VEFMAP 2018) projects are summarised in </w:t>
      </w:r>
      <w:r w:rsidRPr="0024331D">
        <w:fldChar w:fldCharType="begin"/>
      </w:r>
      <w:r w:rsidRPr="0024331D">
        <w:instrText xml:space="preserve"> REF _Ref42189284 \h </w:instrText>
      </w:r>
      <w:r w:rsidRPr="0024331D">
        <w:fldChar w:fldCharType="separate"/>
      </w:r>
      <w:r w:rsidR="001B2852" w:rsidRPr="0024331D">
        <w:rPr>
          <w:b/>
          <w:bCs/>
        </w:rPr>
        <w:t xml:space="preserve">Table </w:t>
      </w:r>
      <w:r w:rsidR="001B2852">
        <w:rPr>
          <w:b/>
          <w:bCs/>
          <w:noProof/>
        </w:rPr>
        <w:t>44</w:t>
      </w:r>
      <w:r w:rsidRPr="0024331D">
        <w:fldChar w:fldCharType="end"/>
      </w:r>
      <w:r w:rsidRPr="0024331D">
        <w:t xml:space="preserve">. </w:t>
      </w:r>
    </w:p>
    <w:p w14:paraId="29D38160" w14:textId="496E32B9" w:rsidR="0024331D" w:rsidRPr="0024331D" w:rsidRDefault="0024331D" w:rsidP="0024331D">
      <w:pPr>
        <w:spacing w:before="240"/>
      </w:pPr>
      <w:bookmarkStart w:id="186" w:name="_Ref42189284"/>
      <w:r w:rsidRPr="0024331D">
        <w:rPr>
          <w:b/>
          <w:bCs/>
        </w:rPr>
        <w:t xml:space="preserve">Table </w:t>
      </w:r>
      <w:r w:rsidRPr="0024331D">
        <w:rPr>
          <w:b/>
          <w:bCs/>
        </w:rPr>
        <w:fldChar w:fldCharType="begin"/>
      </w:r>
      <w:r w:rsidRPr="0024331D">
        <w:rPr>
          <w:b/>
          <w:bCs/>
        </w:rPr>
        <w:instrText xml:space="preserve"> SEQ Table \* ARABIC </w:instrText>
      </w:r>
      <w:r w:rsidRPr="0024331D">
        <w:rPr>
          <w:b/>
          <w:bCs/>
        </w:rPr>
        <w:fldChar w:fldCharType="separate"/>
      </w:r>
      <w:r w:rsidR="001B2852">
        <w:rPr>
          <w:b/>
          <w:bCs/>
          <w:noProof/>
        </w:rPr>
        <w:t>44</w:t>
      </w:r>
      <w:r w:rsidRPr="0024331D">
        <w:rPr>
          <w:b/>
          <w:bCs/>
        </w:rPr>
        <w:fldChar w:fldCharType="end"/>
      </w:r>
      <w:bookmarkEnd w:id="186"/>
      <w:r w:rsidRPr="0024331D">
        <w:t>:  Key outcomes and lessons learned in Victorian Rivers</w:t>
      </w:r>
    </w:p>
    <w:tbl>
      <w:tblPr>
        <w:tblStyle w:val="TableGrid"/>
        <w:tblW w:w="9634" w:type="dxa"/>
        <w:tblLook w:val="04A0" w:firstRow="1" w:lastRow="0" w:firstColumn="1" w:lastColumn="0" w:noHBand="0" w:noVBand="1"/>
      </w:tblPr>
      <w:tblGrid>
        <w:gridCol w:w="2122"/>
        <w:gridCol w:w="7512"/>
      </w:tblGrid>
      <w:tr w:rsidR="0024331D" w:rsidRPr="0024331D" w14:paraId="692099C4" w14:textId="77777777" w:rsidTr="00583873">
        <w:trPr>
          <w:cnfStyle w:val="100000000000" w:firstRow="1" w:lastRow="0" w:firstColumn="0" w:lastColumn="0" w:oddVBand="0" w:evenVBand="0" w:oddHBand="0" w:evenHBand="0" w:firstRowFirstColumn="0" w:firstRowLastColumn="0" w:lastRowFirstColumn="0" w:lastRowLastColumn="0"/>
          <w:tblHeader/>
        </w:trPr>
        <w:tc>
          <w:tcPr>
            <w:tcW w:w="2122" w:type="dxa"/>
            <w:shd w:val="clear" w:color="auto" w:fill="B6DDE8" w:themeFill="accent5" w:themeFillTint="66"/>
          </w:tcPr>
          <w:p w14:paraId="32170B2E" w14:textId="77777777" w:rsidR="0024331D" w:rsidRPr="0024331D" w:rsidRDefault="0024331D" w:rsidP="0024331D">
            <w:pPr>
              <w:rPr>
                <w:b/>
              </w:rPr>
            </w:pPr>
            <w:r w:rsidRPr="0024331D">
              <w:rPr>
                <w:b/>
              </w:rPr>
              <w:t>Theme</w:t>
            </w:r>
          </w:p>
        </w:tc>
        <w:tc>
          <w:tcPr>
            <w:tcW w:w="7512" w:type="dxa"/>
            <w:shd w:val="clear" w:color="auto" w:fill="B6DDE8" w:themeFill="accent5" w:themeFillTint="66"/>
          </w:tcPr>
          <w:p w14:paraId="3914AC3E" w14:textId="77777777" w:rsidR="0024331D" w:rsidRPr="0024331D" w:rsidRDefault="0024331D" w:rsidP="0024331D">
            <w:pPr>
              <w:rPr>
                <w:b/>
              </w:rPr>
            </w:pPr>
            <w:r w:rsidRPr="0024331D">
              <w:rPr>
                <w:b/>
              </w:rPr>
              <w:t>Outcomes and lesson learned</w:t>
            </w:r>
          </w:p>
        </w:tc>
      </w:tr>
      <w:tr w:rsidR="0024331D" w:rsidRPr="0024331D" w14:paraId="0B108943" w14:textId="77777777" w:rsidTr="00583873">
        <w:trPr>
          <w:cnfStyle w:val="000000100000" w:firstRow="0" w:lastRow="0" w:firstColumn="0" w:lastColumn="0" w:oddVBand="0" w:evenVBand="0" w:oddHBand="1" w:evenHBand="0" w:firstRowFirstColumn="0" w:firstRowLastColumn="0" w:lastRowFirstColumn="0" w:lastRowLastColumn="0"/>
        </w:trPr>
        <w:tc>
          <w:tcPr>
            <w:tcW w:w="2122" w:type="dxa"/>
            <w:shd w:val="clear" w:color="auto" w:fill="B6DDE8" w:themeFill="accent5" w:themeFillTint="66"/>
          </w:tcPr>
          <w:p w14:paraId="22B7ECD7" w14:textId="77777777" w:rsidR="0024331D" w:rsidRPr="0024331D" w:rsidRDefault="0024331D" w:rsidP="0024331D">
            <w:r w:rsidRPr="0024331D">
              <w:t>Native fish</w:t>
            </w:r>
          </w:p>
        </w:tc>
        <w:tc>
          <w:tcPr>
            <w:tcW w:w="7512" w:type="dxa"/>
          </w:tcPr>
          <w:p w14:paraId="0505B885" w14:textId="77777777" w:rsidR="0024331D" w:rsidRPr="0024331D" w:rsidRDefault="0024331D" w:rsidP="0024331D">
            <w:pPr>
              <w:keepNext/>
              <w:spacing w:before="120"/>
              <w:outlineLvl w:val="4"/>
              <w:rPr>
                <w:rFonts w:ascii="Calibri" w:hAnsi="Calibri" w:cs="Calibri"/>
                <w:i/>
                <w:color w:val="5F497A" w:themeColor="accent4" w:themeShade="BF"/>
                <w:szCs w:val="22"/>
                <w:lang w:val="en-GB" w:eastAsia="en-US"/>
              </w:rPr>
            </w:pPr>
            <w:r w:rsidRPr="0024331D">
              <w:rPr>
                <w:rFonts w:ascii="Calibri" w:hAnsi="Calibri" w:cs="Calibri"/>
                <w:i/>
                <w:color w:val="5F497A" w:themeColor="accent4" w:themeShade="BF"/>
                <w:szCs w:val="22"/>
                <w:lang w:val="en-GB" w:eastAsia="en-US"/>
              </w:rPr>
              <w:t>Goulburn River</w:t>
            </w:r>
          </w:p>
          <w:p w14:paraId="47847393" w14:textId="77777777" w:rsidR="0024331D" w:rsidRPr="0024331D" w:rsidRDefault="0024331D" w:rsidP="0024331D">
            <w:pPr>
              <w:pStyle w:val="DotStyle1"/>
            </w:pPr>
            <w:r w:rsidRPr="0024331D">
              <w:t>Improved habitat for larger native fish by providing flows that increase the depth and area of the larger pools where they live.</w:t>
            </w:r>
          </w:p>
          <w:p w14:paraId="3F529D27" w14:textId="77777777" w:rsidR="0024331D" w:rsidRPr="0024331D" w:rsidRDefault="0024331D" w:rsidP="0024331D">
            <w:pPr>
              <w:pStyle w:val="DotStyle1"/>
            </w:pPr>
            <w:r w:rsidRPr="0024331D">
              <w:t>Golden perch spawning may occur after higher flows when water temperature is over 18°C.</w:t>
            </w:r>
          </w:p>
          <w:p w14:paraId="5F63B755" w14:textId="77777777" w:rsidR="0024331D" w:rsidRPr="0024331D" w:rsidRDefault="0024331D" w:rsidP="0024331D">
            <w:pPr>
              <w:pStyle w:val="DotStyle1"/>
              <w:rPr>
                <w:lang w:val="en"/>
              </w:rPr>
            </w:pPr>
            <w:r w:rsidRPr="0024331D">
              <w:rPr>
                <w:lang w:val="en"/>
              </w:rPr>
              <w:t>Improved habitat for small-bodied fish with flows that increase areas of slow-flowing water.</w:t>
            </w:r>
          </w:p>
          <w:p w14:paraId="0F7D33BD" w14:textId="77777777" w:rsidR="0024331D" w:rsidRPr="0024331D" w:rsidRDefault="0024331D" w:rsidP="0024331D">
            <w:pPr>
              <w:pStyle w:val="DotStyle1"/>
            </w:pPr>
            <w:r w:rsidRPr="0024331D">
              <w:t>Higher autumn flows can support upstream movement of golden and silver perch from the Murray River into the Goulburn and Campaspe Rivers.</w:t>
            </w:r>
          </w:p>
          <w:p w14:paraId="513696CD" w14:textId="77777777" w:rsidR="0024331D" w:rsidRPr="0024331D" w:rsidRDefault="0024331D" w:rsidP="0024331D">
            <w:pPr>
              <w:pStyle w:val="DotStyle1"/>
            </w:pPr>
            <w:r w:rsidRPr="0024331D">
              <w:t xml:space="preserve">Spawning by endangered trout cod in the last three years (2017–2019), shows that breeding populations exist in the river. </w:t>
            </w:r>
          </w:p>
          <w:p w14:paraId="364418B4" w14:textId="77777777" w:rsidR="0024331D" w:rsidRPr="0024331D" w:rsidRDefault="0024331D" w:rsidP="0024331D">
            <w:pPr>
              <w:pStyle w:val="DotStyle1"/>
            </w:pPr>
            <w:r w:rsidRPr="0024331D">
              <w:t>Although recruitment for golden perch is low, the Goulburn River is a source of fish for the Murray River.</w:t>
            </w:r>
          </w:p>
          <w:p w14:paraId="6D74903F" w14:textId="77777777" w:rsidR="0024331D" w:rsidRPr="0024331D" w:rsidRDefault="0024331D" w:rsidP="0024331D">
            <w:pPr>
              <w:keepNext/>
              <w:spacing w:before="120"/>
              <w:outlineLvl w:val="4"/>
              <w:rPr>
                <w:rFonts w:ascii="Calibri" w:hAnsi="Calibri" w:cs="Calibri"/>
                <w:i/>
                <w:color w:val="5F497A" w:themeColor="accent4" w:themeShade="BF"/>
                <w:szCs w:val="22"/>
                <w:u w:val="single"/>
                <w:lang w:val="en-GB" w:eastAsia="en-US"/>
              </w:rPr>
            </w:pPr>
            <w:r w:rsidRPr="0024331D">
              <w:rPr>
                <w:rFonts w:ascii="Calibri" w:hAnsi="Calibri" w:cs="Calibri"/>
                <w:i/>
                <w:color w:val="5F497A" w:themeColor="accent4" w:themeShade="BF"/>
                <w:szCs w:val="22"/>
                <w:lang w:val="en-GB" w:eastAsia="en-US"/>
              </w:rPr>
              <w:lastRenderedPageBreak/>
              <w:t>Campaspe</w:t>
            </w:r>
          </w:p>
          <w:p w14:paraId="2BCEBF71" w14:textId="77777777" w:rsidR="0024331D" w:rsidRPr="0024331D" w:rsidRDefault="0024331D" w:rsidP="0024331D">
            <w:pPr>
              <w:pStyle w:val="DotStyle1"/>
            </w:pPr>
            <w:r w:rsidRPr="0024331D">
              <w:t>Murray River rainbow fish, previously thought lost to the Campaspe system, observed at many sites and in abundance downstream of Elmore in reach 2.</w:t>
            </w:r>
          </w:p>
          <w:p w14:paraId="359323F3" w14:textId="77777777" w:rsidR="0024331D" w:rsidRPr="0024331D" w:rsidRDefault="0024331D" w:rsidP="0024331D">
            <w:pPr>
              <w:pStyle w:val="DotStyle1"/>
            </w:pPr>
            <w:r w:rsidRPr="0024331D">
              <w:t>Good numbers of Murray cod young-of-year. This may be a result of the 2019 winter high flow event, or reduced impact of intervalley transfers, due to smaller magnitude compared to previous years.</w:t>
            </w:r>
          </w:p>
          <w:p w14:paraId="68D6E935" w14:textId="77777777" w:rsidR="0024331D" w:rsidRPr="0024331D" w:rsidRDefault="0024331D" w:rsidP="0024331D">
            <w:pPr>
              <w:keepNext/>
              <w:spacing w:before="120"/>
              <w:outlineLvl w:val="4"/>
              <w:rPr>
                <w:rFonts w:ascii="Calibri" w:hAnsi="Calibri" w:cs="Calibri"/>
                <w:i/>
                <w:color w:val="5F497A" w:themeColor="accent4" w:themeShade="BF"/>
                <w:szCs w:val="22"/>
                <w:u w:val="single"/>
                <w:lang w:val="en-GB" w:eastAsia="en-US"/>
              </w:rPr>
            </w:pPr>
            <w:r w:rsidRPr="0024331D">
              <w:rPr>
                <w:rFonts w:ascii="Calibri" w:hAnsi="Calibri" w:cs="Calibri"/>
                <w:i/>
                <w:color w:val="5F497A" w:themeColor="accent4" w:themeShade="BF"/>
                <w:szCs w:val="22"/>
                <w:lang w:val="en-GB" w:eastAsia="en-US"/>
              </w:rPr>
              <w:t>Loddon</w:t>
            </w:r>
          </w:p>
          <w:p w14:paraId="17BD7E7B" w14:textId="77777777" w:rsidR="0024331D" w:rsidRPr="0024331D" w:rsidRDefault="0024331D" w:rsidP="0024331D">
            <w:pPr>
              <w:pStyle w:val="DotStyle1"/>
            </w:pPr>
            <w:r w:rsidRPr="0024331D">
              <w:t>Combined Pyramid-Loddon spring fresh enhanced fish movement and populations in the Loddon River and Pyramid Creek.</w:t>
            </w:r>
          </w:p>
          <w:p w14:paraId="5BAA018F" w14:textId="77777777" w:rsidR="0024331D" w:rsidRPr="0024331D" w:rsidRDefault="0024331D" w:rsidP="0024331D">
            <w:pPr>
              <w:keepNext/>
              <w:spacing w:before="120"/>
              <w:outlineLvl w:val="4"/>
              <w:rPr>
                <w:rFonts w:ascii="Calibri" w:hAnsi="Calibri" w:cs="Calibri"/>
                <w:i/>
                <w:color w:val="5F497A" w:themeColor="accent4" w:themeShade="BF"/>
                <w:szCs w:val="22"/>
                <w:lang w:val="en-GB" w:eastAsia="en-US"/>
              </w:rPr>
            </w:pPr>
            <w:r w:rsidRPr="0024331D">
              <w:rPr>
                <w:rFonts w:ascii="Calibri" w:hAnsi="Calibri" w:cs="Calibri"/>
                <w:i/>
                <w:color w:val="5F497A" w:themeColor="accent4" w:themeShade="BF"/>
                <w:szCs w:val="22"/>
                <w:lang w:val="en-GB" w:eastAsia="en-US"/>
              </w:rPr>
              <w:t xml:space="preserve">Wimmera </w:t>
            </w:r>
          </w:p>
          <w:p w14:paraId="240AB2BA" w14:textId="77777777" w:rsidR="0024331D" w:rsidRPr="0024331D" w:rsidRDefault="0024331D" w:rsidP="0024331D">
            <w:pPr>
              <w:pStyle w:val="DotStyle1"/>
            </w:pPr>
            <w:r w:rsidRPr="0024331D">
              <w:t>Fish monitoring in autumn 2018 showed that populations of small-bodied native fish have been maintained in all reaches of the Wimmera catchment that received environmental flows.</w:t>
            </w:r>
          </w:p>
          <w:p w14:paraId="49775300" w14:textId="77777777" w:rsidR="0024331D" w:rsidRPr="0024331D" w:rsidRDefault="0024331D" w:rsidP="0024331D">
            <w:pPr>
              <w:keepNext/>
              <w:spacing w:before="120"/>
              <w:outlineLvl w:val="4"/>
              <w:rPr>
                <w:rFonts w:ascii="Calibri" w:hAnsi="Calibri" w:cs="Calibri"/>
                <w:i/>
                <w:color w:val="5F497A" w:themeColor="accent4" w:themeShade="BF"/>
                <w:szCs w:val="22"/>
                <w:lang w:val="en-GB" w:eastAsia="en-US"/>
              </w:rPr>
            </w:pPr>
            <w:r w:rsidRPr="0024331D">
              <w:rPr>
                <w:rFonts w:ascii="Calibri" w:hAnsi="Calibri" w:cs="Calibri"/>
                <w:i/>
                <w:color w:val="5F497A" w:themeColor="accent4" w:themeShade="BF"/>
                <w:szCs w:val="22"/>
                <w:lang w:val="en-GB" w:eastAsia="en-US"/>
              </w:rPr>
              <w:t xml:space="preserve">Lower Broken Creek </w:t>
            </w:r>
          </w:p>
          <w:p w14:paraId="01B80125" w14:textId="77777777" w:rsidR="0024331D" w:rsidRPr="0024331D" w:rsidRDefault="0024331D" w:rsidP="0024331D">
            <w:pPr>
              <w:pStyle w:val="DotStyle1"/>
            </w:pPr>
            <w:r w:rsidRPr="0024331D">
              <w:t>the delivery of minimum low flows during the off-irrigation season provided habitat and instream refuge areas, especially important for young-of-year fish and for fish movement when fish ladders can remain open.</w:t>
            </w:r>
          </w:p>
        </w:tc>
      </w:tr>
      <w:tr w:rsidR="0024331D" w:rsidRPr="0024331D" w14:paraId="39678F20" w14:textId="77777777" w:rsidTr="00583873">
        <w:trPr>
          <w:cnfStyle w:val="000000010000" w:firstRow="0" w:lastRow="0" w:firstColumn="0" w:lastColumn="0" w:oddVBand="0" w:evenVBand="0" w:oddHBand="0" w:evenHBand="1" w:firstRowFirstColumn="0" w:firstRowLastColumn="0" w:lastRowFirstColumn="0" w:lastRowLastColumn="0"/>
        </w:trPr>
        <w:tc>
          <w:tcPr>
            <w:tcW w:w="2122" w:type="dxa"/>
            <w:shd w:val="clear" w:color="auto" w:fill="B6DDE8" w:themeFill="accent5" w:themeFillTint="66"/>
          </w:tcPr>
          <w:p w14:paraId="146E9840" w14:textId="77777777" w:rsidR="0024331D" w:rsidRPr="0024331D" w:rsidRDefault="0024331D" w:rsidP="0024331D">
            <w:pPr>
              <w:ind w:left="369" w:hanging="369"/>
            </w:pPr>
            <w:r w:rsidRPr="0024331D">
              <w:lastRenderedPageBreak/>
              <w:t>Macroinvertebrates</w:t>
            </w:r>
          </w:p>
        </w:tc>
        <w:tc>
          <w:tcPr>
            <w:tcW w:w="7512" w:type="dxa"/>
          </w:tcPr>
          <w:p w14:paraId="71D38F9A" w14:textId="77777777" w:rsidR="0024331D" w:rsidRPr="0024331D" w:rsidRDefault="0024331D" w:rsidP="0024331D">
            <w:pPr>
              <w:keepNext/>
              <w:spacing w:before="120"/>
              <w:outlineLvl w:val="4"/>
              <w:rPr>
                <w:rFonts w:ascii="Calibri" w:hAnsi="Calibri" w:cs="Calibri"/>
                <w:i/>
                <w:color w:val="5F497A" w:themeColor="accent4" w:themeShade="BF"/>
                <w:szCs w:val="22"/>
                <w:u w:val="single"/>
                <w:lang w:val="en-GB" w:eastAsia="en-US"/>
              </w:rPr>
            </w:pPr>
            <w:r w:rsidRPr="0024331D">
              <w:rPr>
                <w:rFonts w:ascii="Calibri" w:hAnsi="Calibri" w:cs="Calibri"/>
                <w:i/>
                <w:color w:val="5F497A" w:themeColor="accent4" w:themeShade="BF"/>
                <w:szCs w:val="22"/>
                <w:lang w:val="en-GB" w:eastAsia="en-US"/>
              </w:rPr>
              <w:t>Goulburn</w:t>
            </w:r>
          </w:p>
          <w:p w14:paraId="5C38F906" w14:textId="77777777" w:rsidR="0024331D" w:rsidRPr="0024331D" w:rsidRDefault="0024331D" w:rsidP="0024331D">
            <w:pPr>
              <w:pStyle w:val="DotStyle1"/>
            </w:pPr>
            <w:r w:rsidRPr="0024331D">
              <w:t>Improved habitat for large water bugs (insects, snails, shrimp) with flows that increase areas of slow-flowing water.</w:t>
            </w:r>
          </w:p>
          <w:p w14:paraId="10B636F8" w14:textId="77777777" w:rsidR="0024331D" w:rsidRPr="0024331D" w:rsidRDefault="0024331D" w:rsidP="0024331D">
            <w:pPr>
              <w:pStyle w:val="DotStyle1"/>
            </w:pPr>
            <w:r w:rsidRPr="0024331D">
              <w:t>Increased habitat for populations of prawns during high winter flows, providing food for fish during spring.</w:t>
            </w:r>
          </w:p>
        </w:tc>
      </w:tr>
      <w:tr w:rsidR="0024331D" w:rsidRPr="0024331D" w14:paraId="6066C9C0" w14:textId="77777777" w:rsidTr="00583873">
        <w:trPr>
          <w:cnfStyle w:val="000000100000" w:firstRow="0" w:lastRow="0" w:firstColumn="0" w:lastColumn="0" w:oddVBand="0" w:evenVBand="0" w:oddHBand="1" w:evenHBand="0" w:firstRowFirstColumn="0" w:firstRowLastColumn="0" w:lastRowFirstColumn="0" w:lastRowLastColumn="0"/>
        </w:trPr>
        <w:tc>
          <w:tcPr>
            <w:tcW w:w="2122" w:type="dxa"/>
            <w:shd w:val="clear" w:color="auto" w:fill="B6DDE8" w:themeFill="accent5" w:themeFillTint="66"/>
          </w:tcPr>
          <w:p w14:paraId="54EA9FF5" w14:textId="77777777" w:rsidR="0024331D" w:rsidRPr="0024331D" w:rsidRDefault="0024331D" w:rsidP="0024331D">
            <w:r w:rsidRPr="0024331D">
              <w:t>Connectivity</w:t>
            </w:r>
          </w:p>
        </w:tc>
        <w:tc>
          <w:tcPr>
            <w:tcW w:w="7512" w:type="dxa"/>
          </w:tcPr>
          <w:p w14:paraId="480751F8" w14:textId="77777777" w:rsidR="0024331D" w:rsidRPr="0024331D" w:rsidRDefault="0024331D" w:rsidP="0024331D">
            <w:pPr>
              <w:keepNext/>
              <w:spacing w:before="120"/>
              <w:outlineLvl w:val="4"/>
              <w:rPr>
                <w:rFonts w:ascii="Calibri" w:hAnsi="Calibri" w:cs="Calibri"/>
                <w:i/>
                <w:color w:val="5F497A" w:themeColor="accent4" w:themeShade="BF"/>
                <w:szCs w:val="22"/>
                <w:u w:val="single"/>
                <w:lang w:val="en-GB" w:eastAsia="en-US"/>
              </w:rPr>
            </w:pPr>
            <w:r w:rsidRPr="0024331D">
              <w:rPr>
                <w:rFonts w:ascii="Calibri" w:hAnsi="Calibri" w:cs="Calibri"/>
                <w:i/>
                <w:color w:val="5F497A" w:themeColor="accent4" w:themeShade="BF"/>
                <w:szCs w:val="22"/>
                <w:lang w:val="en-GB" w:eastAsia="en-US"/>
              </w:rPr>
              <w:t>Goulburn</w:t>
            </w:r>
          </w:p>
          <w:p w14:paraId="5BE07A5F" w14:textId="77777777" w:rsidR="0024331D" w:rsidRPr="0024331D" w:rsidRDefault="0024331D" w:rsidP="0024331D">
            <w:pPr>
              <w:pStyle w:val="DotStyle1"/>
            </w:pPr>
            <w:r w:rsidRPr="0024331D">
              <w:t xml:space="preserve">Increased food (organic carbon) availability for fish and large water bugs by providing high flows in winter and spring that maintain a healthy balance between the organic carbon that is produced and consumed in the river. </w:t>
            </w:r>
          </w:p>
          <w:p w14:paraId="4DC38233" w14:textId="77777777" w:rsidR="0024331D" w:rsidRPr="0024331D" w:rsidRDefault="0024331D" w:rsidP="0024331D">
            <w:pPr>
              <w:pStyle w:val="DotStyle1"/>
            </w:pPr>
            <w:r w:rsidRPr="0024331D">
              <w:t>Stream metabolism (the amounts of carbon created and consumed each day) increases with increasing in-channel flows up to around 4 000 ML/d. This represents a benefit to the total food resources produced for fish and other organisms, especially at small flow increases.</w:t>
            </w:r>
            <w:r w:rsidRPr="0024331D" w:rsidDel="00F7752F">
              <w:t xml:space="preserve"> </w:t>
            </w:r>
            <w:r w:rsidRPr="0024331D">
              <w:t>However, it is still suggested that larger flows that inundate flood runners and parts of the floodplain would provide even greater benefits.</w:t>
            </w:r>
          </w:p>
        </w:tc>
      </w:tr>
      <w:tr w:rsidR="0024331D" w:rsidRPr="0024331D" w14:paraId="491248A3" w14:textId="77777777" w:rsidTr="00583873">
        <w:trPr>
          <w:cnfStyle w:val="000000010000" w:firstRow="0" w:lastRow="0" w:firstColumn="0" w:lastColumn="0" w:oddVBand="0" w:evenVBand="0" w:oddHBand="0" w:evenHBand="1" w:firstRowFirstColumn="0" w:firstRowLastColumn="0" w:lastRowFirstColumn="0" w:lastRowLastColumn="0"/>
        </w:trPr>
        <w:tc>
          <w:tcPr>
            <w:tcW w:w="2122" w:type="dxa"/>
            <w:shd w:val="clear" w:color="auto" w:fill="B6DDE8" w:themeFill="accent5" w:themeFillTint="66"/>
          </w:tcPr>
          <w:p w14:paraId="6256A1D1" w14:textId="77777777" w:rsidR="0024331D" w:rsidRPr="0024331D" w:rsidRDefault="0024331D" w:rsidP="0024331D">
            <w:r w:rsidRPr="0024331D">
              <w:t>Vegetation</w:t>
            </w:r>
          </w:p>
        </w:tc>
        <w:tc>
          <w:tcPr>
            <w:tcW w:w="7512" w:type="dxa"/>
          </w:tcPr>
          <w:p w14:paraId="308AAB50" w14:textId="77777777" w:rsidR="0024331D" w:rsidRPr="0024331D" w:rsidRDefault="0024331D" w:rsidP="0024331D">
            <w:pPr>
              <w:keepNext/>
              <w:spacing w:before="120"/>
              <w:outlineLvl w:val="4"/>
              <w:rPr>
                <w:rFonts w:ascii="Calibri" w:hAnsi="Calibri" w:cs="Calibri"/>
                <w:i/>
                <w:color w:val="5F497A" w:themeColor="accent4" w:themeShade="BF"/>
                <w:szCs w:val="22"/>
                <w:u w:val="single"/>
                <w:lang w:val="en-GB" w:eastAsia="en-US"/>
              </w:rPr>
            </w:pPr>
            <w:r w:rsidRPr="0024331D">
              <w:rPr>
                <w:rFonts w:ascii="Calibri" w:hAnsi="Calibri" w:cs="Calibri"/>
                <w:i/>
                <w:color w:val="5F497A" w:themeColor="accent4" w:themeShade="BF"/>
                <w:szCs w:val="22"/>
                <w:lang w:val="en-GB" w:eastAsia="en-US"/>
              </w:rPr>
              <w:t>Goulburn</w:t>
            </w:r>
          </w:p>
          <w:p w14:paraId="52DAF47A" w14:textId="77777777" w:rsidR="0024331D" w:rsidRPr="0024331D" w:rsidRDefault="0024331D" w:rsidP="0024331D">
            <w:pPr>
              <w:pStyle w:val="DotStyle1"/>
            </w:pPr>
            <w:r w:rsidRPr="0024331D">
              <w:t xml:space="preserve">Increased plant cover on the river bank by providing flows that increase soil moisture, reduce erosion, and provide areas of low flow that favour seed and sediment deposition and plant establishment. </w:t>
            </w:r>
          </w:p>
          <w:p w14:paraId="34E1D30C" w14:textId="77777777" w:rsidR="0024331D" w:rsidRPr="0024331D" w:rsidRDefault="0024331D" w:rsidP="0024331D">
            <w:pPr>
              <w:pStyle w:val="DotStyle1"/>
            </w:pPr>
            <w:r w:rsidRPr="0024331D">
              <w:t>Renewal of bank and in-channel vegetation following deposition of sediment and seed when river banks are submerged during high flows over winter.</w:t>
            </w:r>
          </w:p>
          <w:p w14:paraId="566A4E52" w14:textId="77777777" w:rsidR="0024331D" w:rsidRPr="0024331D" w:rsidRDefault="0024331D" w:rsidP="0024331D">
            <w:pPr>
              <w:pStyle w:val="DotStyle1"/>
            </w:pPr>
            <w:r w:rsidRPr="0024331D">
              <w:t xml:space="preserve">Very high intervalley transfer flows affected the presence of shallow water near the banks, potentially reducing the availability of suitable habitat for juvenile fish; it can also drown lower bank vegetation.  </w:t>
            </w:r>
          </w:p>
          <w:p w14:paraId="474B8D42" w14:textId="77777777" w:rsidR="0024331D" w:rsidRPr="0024331D" w:rsidRDefault="0024331D" w:rsidP="0024331D">
            <w:pPr>
              <w:keepNext/>
              <w:spacing w:before="120" w:after="0"/>
              <w:outlineLvl w:val="4"/>
              <w:rPr>
                <w:rFonts w:ascii="Calibri" w:hAnsi="Calibri" w:cs="Calibri"/>
                <w:i/>
                <w:color w:val="5F497A" w:themeColor="accent4" w:themeShade="BF"/>
                <w:szCs w:val="22"/>
                <w:lang w:val="en-GB" w:eastAsia="en-US"/>
              </w:rPr>
            </w:pPr>
            <w:r w:rsidRPr="0024331D">
              <w:rPr>
                <w:rFonts w:ascii="Calibri" w:hAnsi="Calibri" w:cs="Calibri"/>
                <w:i/>
                <w:color w:val="5F497A" w:themeColor="accent4" w:themeShade="BF"/>
                <w:szCs w:val="22"/>
                <w:lang w:val="en-GB" w:eastAsia="en-US"/>
              </w:rPr>
              <w:lastRenderedPageBreak/>
              <w:t xml:space="preserve">Lower Broken Creek </w:t>
            </w:r>
          </w:p>
          <w:p w14:paraId="38770547" w14:textId="77777777" w:rsidR="0024331D" w:rsidRPr="0024331D" w:rsidRDefault="0024331D" w:rsidP="0024331D">
            <w:pPr>
              <w:pStyle w:val="DotStyle1"/>
            </w:pPr>
            <w:r w:rsidRPr="0024331D">
              <w:t>the minimum low flows over winter retained water in the main creek channel and inundated the instream aquatic plants present.</w:t>
            </w:r>
          </w:p>
        </w:tc>
      </w:tr>
      <w:tr w:rsidR="0024331D" w:rsidRPr="0024331D" w14:paraId="6934D08A" w14:textId="77777777" w:rsidTr="00583873">
        <w:trPr>
          <w:cnfStyle w:val="000000100000" w:firstRow="0" w:lastRow="0" w:firstColumn="0" w:lastColumn="0" w:oddVBand="0" w:evenVBand="0" w:oddHBand="1" w:evenHBand="0" w:firstRowFirstColumn="0" w:firstRowLastColumn="0" w:lastRowFirstColumn="0" w:lastRowLastColumn="0"/>
        </w:trPr>
        <w:tc>
          <w:tcPr>
            <w:tcW w:w="2122" w:type="dxa"/>
            <w:shd w:val="clear" w:color="auto" w:fill="B6DDE8" w:themeFill="accent5" w:themeFillTint="66"/>
          </w:tcPr>
          <w:p w14:paraId="5D7978DE" w14:textId="77777777" w:rsidR="0024331D" w:rsidRPr="0024331D" w:rsidRDefault="0024331D" w:rsidP="0024331D">
            <w:r w:rsidRPr="0024331D">
              <w:lastRenderedPageBreak/>
              <w:t>Bank condition</w:t>
            </w:r>
          </w:p>
        </w:tc>
        <w:tc>
          <w:tcPr>
            <w:tcW w:w="7512" w:type="dxa"/>
          </w:tcPr>
          <w:p w14:paraId="181ECCD2" w14:textId="77777777" w:rsidR="0024331D" w:rsidRPr="0024331D" w:rsidRDefault="0024331D" w:rsidP="0024331D">
            <w:pPr>
              <w:keepNext/>
              <w:spacing w:before="120" w:after="0"/>
              <w:outlineLvl w:val="4"/>
              <w:rPr>
                <w:rFonts w:ascii="Calibri" w:hAnsi="Calibri" w:cs="Calibri"/>
                <w:i/>
                <w:color w:val="5F497A" w:themeColor="accent4" w:themeShade="BF"/>
                <w:szCs w:val="22"/>
                <w:u w:val="single"/>
                <w:lang w:val="en-GB" w:eastAsia="en-US"/>
              </w:rPr>
            </w:pPr>
            <w:r w:rsidRPr="0024331D">
              <w:rPr>
                <w:rFonts w:ascii="Calibri" w:hAnsi="Calibri" w:cs="Calibri"/>
                <w:i/>
                <w:color w:val="5F497A" w:themeColor="accent4" w:themeShade="BF"/>
                <w:szCs w:val="22"/>
                <w:lang w:val="en-GB" w:eastAsia="en-US"/>
              </w:rPr>
              <w:t>Goulburn</w:t>
            </w:r>
          </w:p>
          <w:p w14:paraId="70A4448A" w14:textId="77777777" w:rsidR="0024331D" w:rsidRPr="0024331D" w:rsidRDefault="0024331D" w:rsidP="0024331D">
            <w:pPr>
              <w:pStyle w:val="DotStyle1"/>
            </w:pPr>
            <w:r w:rsidRPr="0024331D">
              <w:t>Current environmental flows do not cause more erosion than would occur under natural flows</w:t>
            </w:r>
          </w:p>
          <w:p w14:paraId="68E6616F" w14:textId="77777777" w:rsidR="0024331D" w:rsidRPr="0024331D" w:rsidRDefault="0024331D" w:rsidP="0024331D">
            <w:pPr>
              <w:pStyle w:val="DotStyle1"/>
              <w:rPr>
                <w:u w:val="single"/>
              </w:rPr>
            </w:pPr>
            <w:r w:rsidRPr="0024331D">
              <w:t>Notching of the lower bank has been observed where high IVT flows were delivered at constant levels over summer.</w:t>
            </w:r>
          </w:p>
        </w:tc>
      </w:tr>
    </w:tbl>
    <w:p w14:paraId="2A312995" w14:textId="5D806523" w:rsidR="0024331D" w:rsidRPr="0024331D" w:rsidRDefault="0024331D" w:rsidP="0024331D">
      <w:pPr>
        <w:pStyle w:val="Heading3"/>
      </w:pPr>
      <w:r w:rsidRPr="0024331D">
        <w:t>Bibliography</w:t>
      </w:r>
    </w:p>
    <w:p w14:paraId="3B14FEBD" w14:textId="77777777" w:rsidR="0024331D" w:rsidRPr="0024331D" w:rsidRDefault="0024331D" w:rsidP="0024331D">
      <w:r w:rsidRPr="0024331D">
        <w:rPr>
          <w:lang w:eastAsia="zh-CN" w:bidi="th-TH"/>
        </w:rPr>
        <w:t xml:space="preserve">Bureau of Meteorology (BoM) (2020) Climate outlooks – weeks, months and seasons. [ONLINE] Available at </w:t>
      </w:r>
      <w:hyperlink r:id="rId287" w:anchor="/temperature/maximum/anomaly/fortnightly/0" w:history="1">
        <w:r w:rsidRPr="0024331D">
          <w:rPr>
            <w:rFonts w:cstheme="minorHAnsi"/>
            <w:color w:val="0000FF"/>
            <w:szCs w:val="22"/>
            <w:u w:val="single"/>
          </w:rPr>
          <w:t>http://www.bom.gov.au/climate/outlooks/#/temperature/maximum/anomaly/fortnightly/0</w:t>
        </w:r>
      </w:hyperlink>
      <w:r w:rsidRPr="0024331D">
        <w:t xml:space="preserve">. </w:t>
      </w:r>
      <w:r w:rsidRPr="0024331D">
        <w:rPr>
          <w:lang w:eastAsia="zh-CN" w:bidi="th-TH"/>
        </w:rPr>
        <w:t>[Accessed 2 June 2020].</w:t>
      </w:r>
    </w:p>
    <w:p w14:paraId="2F7D68AF" w14:textId="77777777" w:rsidR="0024331D" w:rsidRPr="0024331D" w:rsidRDefault="0024331D" w:rsidP="0024331D">
      <w:r w:rsidRPr="0024331D">
        <w:t xml:space="preserve">Goulburn-Broken Catchment Management Authority (2020a) </w:t>
      </w:r>
      <w:r w:rsidRPr="0024331D">
        <w:rPr>
          <w:i/>
        </w:rPr>
        <w:t>Goulburn River Seasonal Watering Proposal 2020–21.</w:t>
      </w:r>
    </w:p>
    <w:p w14:paraId="7925DB1C" w14:textId="77777777" w:rsidR="0024331D" w:rsidRPr="0024331D" w:rsidRDefault="0024331D" w:rsidP="0024331D">
      <w:r w:rsidRPr="0024331D">
        <w:t xml:space="preserve">Goulburn-Broken Catchment Management Authority (2020b) </w:t>
      </w:r>
      <w:r w:rsidRPr="0024331D">
        <w:rPr>
          <w:i/>
        </w:rPr>
        <w:t>Lower Broken Creek Seasonal Watering Proposal 2020–21</w:t>
      </w:r>
      <w:r w:rsidRPr="0024331D">
        <w:t>.</w:t>
      </w:r>
    </w:p>
    <w:p w14:paraId="3C53C3B3" w14:textId="77777777" w:rsidR="0024331D" w:rsidRPr="0024331D" w:rsidRDefault="0024331D" w:rsidP="0024331D">
      <w:r w:rsidRPr="0024331D">
        <w:t xml:space="preserve">Goulburn-Broken Catchment Management Authority (2020c) </w:t>
      </w:r>
      <w:r w:rsidRPr="0024331D">
        <w:rPr>
          <w:i/>
        </w:rPr>
        <w:t>Broken River and Upper Broken Creek Seasonal Watering Proposal 2020–21.</w:t>
      </w:r>
    </w:p>
    <w:p w14:paraId="74876DAF" w14:textId="77777777" w:rsidR="0024331D" w:rsidRPr="0024331D" w:rsidRDefault="0024331D" w:rsidP="0024331D">
      <w:r w:rsidRPr="0024331D">
        <w:t xml:space="preserve">Goulburn-Broken Catchment Management Authority (2020d) </w:t>
      </w:r>
      <w:r w:rsidRPr="0024331D">
        <w:rPr>
          <w:i/>
        </w:rPr>
        <w:t>Goulburn Broken Wetlands Seasonal Watering Proposal 2020–21.</w:t>
      </w:r>
    </w:p>
    <w:p w14:paraId="0A87D39B" w14:textId="77777777" w:rsidR="0024331D" w:rsidRPr="0024331D" w:rsidRDefault="0024331D" w:rsidP="0024331D">
      <w:r w:rsidRPr="0024331D">
        <w:t xml:space="preserve">Murray-Darling Basin Authority (2019), </w:t>
      </w:r>
      <w:r w:rsidRPr="0024331D">
        <w:rPr>
          <w:i/>
        </w:rPr>
        <w:t>Basin-wide environmental watering strategy</w:t>
      </w:r>
      <w:r w:rsidRPr="0024331D">
        <w:t xml:space="preserve">. [ONLINE] Available at </w:t>
      </w:r>
      <w:hyperlink r:id="rId288" w:history="1">
        <w:r w:rsidRPr="0024331D">
          <w:rPr>
            <w:rFonts w:cstheme="minorHAnsi"/>
            <w:color w:val="0000FF"/>
            <w:u w:val="single"/>
          </w:rPr>
          <w:t>https://www.mdba.gov.au/publications/mdba-reports/basin-wide-environmental-watering-strategy</w:t>
        </w:r>
      </w:hyperlink>
      <w:r w:rsidRPr="0024331D">
        <w:t xml:space="preserve"> </w:t>
      </w:r>
    </w:p>
    <w:p w14:paraId="17CD8CB2" w14:textId="77777777" w:rsidR="0024331D" w:rsidRPr="0024331D" w:rsidRDefault="0024331D" w:rsidP="0024331D">
      <w:r w:rsidRPr="0024331D">
        <w:t xml:space="preserve">Murray-Darling Basin Authority (2020), Discover the Basin – Catchments: </w:t>
      </w:r>
      <w:hyperlink r:id="rId289" w:history="1">
        <w:r w:rsidRPr="0024331D">
          <w:rPr>
            <w:rFonts w:cstheme="minorHAnsi"/>
            <w:color w:val="0000FF"/>
            <w:u w:val="single"/>
          </w:rPr>
          <w:t>https://www.mdba.gov.au/discover-basin/catchments</w:t>
        </w:r>
      </w:hyperlink>
      <w:r w:rsidRPr="0024331D">
        <w:t>.[Accessed 2 June 2020].</w:t>
      </w:r>
    </w:p>
    <w:p w14:paraId="439B42A9" w14:textId="77777777" w:rsidR="0024331D" w:rsidRPr="0024331D" w:rsidRDefault="0024331D" w:rsidP="0024331D">
      <w:pPr>
        <w:rPr>
          <w:b/>
        </w:rPr>
      </w:pPr>
      <w:r w:rsidRPr="0024331D">
        <w:t xml:space="preserve">Murray Lower Darling Rivers Indigenous Nations (MLDRIN) (2020). </w:t>
      </w:r>
      <w:r w:rsidRPr="0024331D">
        <w:rPr>
          <w:i/>
          <w:iCs/>
        </w:rPr>
        <w:t xml:space="preserve">First Nations Environmental Water Guidance Project. MLDRIN Member Nations 2020‐21 Priorities. </w:t>
      </w:r>
      <w:r w:rsidRPr="0024331D">
        <w:t>Report provided to Commonwealth Environmental Water Office.</w:t>
      </w:r>
    </w:p>
    <w:p w14:paraId="36591780" w14:textId="77777777" w:rsidR="0024331D" w:rsidRPr="0024331D" w:rsidRDefault="0024331D" w:rsidP="0024331D">
      <w:pPr>
        <w:rPr>
          <w:iCs/>
        </w:rPr>
      </w:pPr>
      <w:r w:rsidRPr="0024331D">
        <w:t xml:space="preserve">North Central Catchment Management Authority (2020a) </w:t>
      </w:r>
      <w:r w:rsidRPr="0024331D">
        <w:rPr>
          <w:i/>
          <w:iCs/>
        </w:rPr>
        <w:t>Seasonal Watering Proposal Campaspe River Downstream of Lake Eppalock 2020–21</w:t>
      </w:r>
      <w:r w:rsidRPr="0024331D">
        <w:rPr>
          <w:iCs/>
        </w:rPr>
        <w:t xml:space="preserve"> North Central Catchment Management Authority, Huntly, Victoria.</w:t>
      </w:r>
    </w:p>
    <w:p w14:paraId="12E755A1" w14:textId="77777777" w:rsidR="0024331D" w:rsidRPr="0024331D" w:rsidRDefault="0024331D" w:rsidP="0024331D">
      <w:pPr>
        <w:rPr>
          <w:iCs/>
        </w:rPr>
      </w:pPr>
      <w:r w:rsidRPr="0024331D">
        <w:t xml:space="preserve">North Central Catchment Management Authority (2020b) </w:t>
      </w:r>
      <w:r w:rsidRPr="0024331D">
        <w:rPr>
          <w:i/>
          <w:iCs/>
        </w:rPr>
        <w:t>Seasonal Watering Proposal Loddon River System 2020–21</w:t>
      </w:r>
      <w:r w:rsidRPr="0024331D">
        <w:rPr>
          <w:iCs/>
        </w:rPr>
        <w:t xml:space="preserve"> North Central Catchment Management Authority, Huntly, Victoria.</w:t>
      </w:r>
    </w:p>
    <w:p w14:paraId="4FCCC9F1" w14:textId="77777777" w:rsidR="0024331D" w:rsidRPr="0024331D" w:rsidRDefault="0024331D" w:rsidP="0024331D">
      <w:pPr>
        <w:rPr>
          <w:iCs/>
        </w:rPr>
      </w:pPr>
      <w:r w:rsidRPr="0024331D">
        <w:t xml:space="preserve">(NECMA) North East Catchment Management Authority (2020) </w:t>
      </w:r>
      <w:r w:rsidRPr="0024331D">
        <w:rPr>
          <w:i/>
        </w:rPr>
        <w:t>2020–21</w:t>
      </w:r>
      <w:r w:rsidRPr="0024331D">
        <w:t xml:space="preserve"> </w:t>
      </w:r>
      <w:r w:rsidRPr="0024331D">
        <w:rPr>
          <w:i/>
        </w:rPr>
        <w:t xml:space="preserve">Ovens River System </w:t>
      </w:r>
      <w:r w:rsidRPr="0024331D">
        <w:rPr>
          <w:i/>
          <w:iCs/>
        </w:rPr>
        <w:t xml:space="preserve">Seasonal Watering Proposal </w:t>
      </w:r>
      <w:r w:rsidRPr="0024331D">
        <w:rPr>
          <w:iCs/>
        </w:rPr>
        <w:t>North East Catchment Management Authority, Wodonga, Victoria.</w:t>
      </w:r>
    </w:p>
    <w:p w14:paraId="7E6C1530" w14:textId="77777777" w:rsidR="0024331D" w:rsidRPr="0024331D" w:rsidRDefault="0024331D" w:rsidP="0024331D">
      <w:pPr>
        <w:rPr>
          <w:iCs/>
        </w:rPr>
      </w:pPr>
      <w:r w:rsidRPr="0024331D">
        <w:rPr>
          <w:iCs/>
        </w:rPr>
        <w:t xml:space="preserve">(VEFMAP) Arthur Rylah Institute for Environmental Research (2018) </w:t>
      </w:r>
      <w:r w:rsidRPr="0024331D">
        <w:rPr>
          <w:i/>
          <w:iCs/>
        </w:rPr>
        <w:t>VEFMAP Stage 6 Monitoring fish response to environmental flow delivery in Northern Victorian Rivers,</w:t>
      </w:r>
      <w:r w:rsidRPr="0024331D">
        <w:rPr>
          <w:iCs/>
        </w:rPr>
        <w:t xml:space="preserve"> September 2018, Department of Environment, Land, Water and Planning, Melbourne, Victoria</w:t>
      </w:r>
    </w:p>
    <w:p w14:paraId="1375CF32" w14:textId="77777777" w:rsidR="0024331D" w:rsidRPr="0024331D" w:rsidRDefault="0024331D" w:rsidP="0024331D">
      <w:pPr>
        <w:rPr>
          <w:iCs/>
        </w:rPr>
      </w:pPr>
      <w:r w:rsidRPr="0024331D">
        <w:rPr>
          <w:iCs/>
        </w:rPr>
        <w:t xml:space="preserve">(VEWH) </w:t>
      </w:r>
      <w:r w:rsidRPr="0024331D">
        <w:rPr>
          <w:i/>
          <w:iCs/>
        </w:rPr>
        <w:t>Victorian Environmental Water Holder (2020) Seasonal Watering Plan 2020–21 (Draft),</w:t>
      </w:r>
      <w:r w:rsidRPr="0024331D">
        <w:rPr>
          <w:iCs/>
        </w:rPr>
        <w:t xml:space="preserve"> Victorian Environmental Water Holder 2020, Melbourne, Victoria</w:t>
      </w:r>
    </w:p>
    <w:p w14:paraId="299A7547" w14:textId="77777777" w:rsidR="0024331D" w:rsidRPr="0024331D" w:rsidRDefault="0024331D" w:rsidP="0024331D">
      <w:r w:rsidRPr="0024331D">
        <w:t xml:space="preserve">(WCMA) Wimmera Catchment Management Authority (2020). </w:t>
      </w:r>
      <w:r w:rsidRPr="0024331D">
        <w:rPr>
          <w:i/>
        </w:rPr>
        <w:t>Seasonal Watering Proposal for the Wimmera River System 2020–-21.</w:t>
      </w:r>
      <w:r w:rsidRPr="0024331D">
        <w:t xml:space="preserve"> Wimmera Catchment Management Authority. Victoria.</w:t>
      </w:r>
    </w:p>
    <w:p w14:paraId="1A98A647" w14:textId="34C83B31" w:rsidR="0071217B" w:rsidRDefault="0024331D" w:rsidP="0024331D">
      <w:r w:rsidRPr="0024331D">
        <w:t xml:space="preserve">Webb, A., Guo, D., King, E., Treadwell, S., …. Vietz, G. (2020) </w:t>
      </w:r>
      <w:r w:rsidRPr="0024331D">
        <w:rPr>
          <w:i/>
        </w:rPr>
        <w:t>Commonwealth Environmental Water Office Long Term Intervention Monitoring Project Goulburn River Selected Area: Summary Report 2018–19, Report prepared for the Commonwealth Environmental Water Office,</w:t>
      </w:r>
      <w:r w:rsidRPr="0024331D">
        <w:t xml:space="preserve"> Commonwealth of Australia 2019, Canberra, Australian Capital Territory</w:t>
      </w:r>
      <w:r w:rsidR="0071217B">
        <w:br w:type="page"/>
      </w:r>
    </w:p>
    <w:p w14:paraId="319477FC" w14:textId="77777777" w:rsidR="00AA0841" w:rsidRPr="007E125A" w:rsidRDefault="00AA0841" w:rsidP="0057535E">
      <w:pPr>
        <w:pStyle w:val="Heading2"/>
        <w:rPr>
          <w:rFonts w:ascii="Century Gothic" w:hAnsi="Century Gothic"/>
          <w:noProof/>
        </w:rPr>
      </w:pPr>
      <w:r>
        <w:lastRenderedPageBreak/>
        <w:t>River Murray Valley</w:t>
      </w:r>
    </w:p>
    <w:p w14:paraId="27CBCBCD" w14:textId="77777777" w:rsidR="00AA0841" w:rsidRDefault="00AA0841" w:rsidP="0057535E">
      <w:pPr>
        <w:pStyle w:val="Heading3"/>
      </w:pPr>
      <w:r>
        <w:t>Region overview</w:t>
      </w:r>
    </w:p>
    <w:p w14:paraId="5056355D" w14:textId="77777777" w:rsidR="00AA0841" w:rsidRPr="00365FE2" w:rsidDel="002957B1" w:rsidRDefault="00AA0841" w:rsidP="0057535E">
      <w:pPr>
        <w:pStyle w:val="Heading4"/>
      </w:pPr>
      <w:r w:rsidRPr="00365FE2" w:rsidDel="002957B1">
        <w:t>River</w:t>
      </w:r>
      <w:r w:rsidDel="002957B1">
        <w:t xml:space="preserve"> valley</w:t>
      </w:r>
    </w:p>
    <w:p w14:paraId="164A0BFA" w14:textId="77777777" w:rsidR="00AA0841" w:rsidRDefault="00AA0841" w:rsidP="00AA0841">
      <w:pPr>
        <w:rPr>
          <w:lang w:val="en"/>
        </w:rPr>
      </w:pPr>
      <w:r w:rsidRPr="005F1EBD">
        <w:t>The River Murray is Australia's longest river, running a course of 2</w:t>
      </w:r>
      <w:r>
        <w:t>,</w:t>
      </w:r>
      <w:r w:rsidRPr="005F1EBD">
        <w:t>500 km from near Mount Kosciuszko in the Australian Alps to the Southern Ocean at Goolwa, in South Australia.</w:t>
      </w:r>
      <w:r>
        <w:t xml:space="preserve"> </w:t>
      </w:r>
      <w:r>
        <w:rPr>
          <w:lang w:val="en"/>
        </w:rPr>
        <w:t xml:space="preserve">A mountain stream in its upper reaches, the river turns into a meandering river lined with magnificent river red gum forests and woodlands, before ending its journey flowing through the vast Lower Lakes and northern edges of the Coorong, and out through the small Murray Mouth. Many creeks and anabranches flow in and out of the River Murray, the largest being the Edward/Kolety-Wakool River system. </w:t>
      </w:r>
    </w:p>
    <w:p w14:paraId="31BA2B78" w14:textId="77777777" w:rsidR="00AA0841" w:rsidRPr="00365FE2" w:rsidRDefault="00AA0841" w:rsidP="00AA0841">
      <w:r>
        <w:rPr>
          <w:lang w:val="en"/>
        </w:rPr>
        <w:t>Water for the environment, managed by the Commonwealth can be ordered for delivery to sites downstream of Hume Dam, near Albury, with water also supplied from Lake Victoria (west of Wentworth) and</w:t>
      </w:r>
      <w:r>
        <w:t xml:space="preserve"> from its various tributaries, including from the Goulburn, Ovens, Kiewa, Loddon and Campaspe rivers in Victoria, and by the Murrumbidgee and Darling rivers in NSW. (Figures 1 and 2). The Ovens and Kiewa Rivers are particularly valuable to the ecology of the River Murray given their limited regulation, which means they provide natural inflows into the River Murray.</w:t>
      </w:r>
    </w:p>
    <w:p w14:paraId="4E227688" w14:textId="77777777" w:rsidR="00AA0841" w:rsidRPr="00365FE2" w:rsidRDefault="00AA0841" w:rsidP="0057535E">
      <w:pPr>
        <w:pStyle w:val="Heading4"/>
      </w:pPr>
      <w:r w:rsidRPr="00365FE2">
        <w:t xml:space="preserve">Traditional </w:t>
      </w:r>
      <w:r>
        <w:t>O</w:t>
      </w:r>
      <w:r w:rsidRPr="00365FE2">
        <w:t>wners</w:t>
      </w:r>
    </w:p>
    <w:p w14:paraId="1B2A1461" w14:textId="77777777" w:rsidR="00AA0841" w:rsidRPr="001116EC" w:rsidRDefault="00AA0841" w:rsidP="00AA0841">
      <w:r w:rsidRPr="001116EC">
        <w:t xml:space="preserve">The River Murray flows through the traditional land of many First Nations and the river and its floodplains have long been important for sustenance and spirituality (MDBA 2020). </w:t>
      </w:r>
    </w:p>
    <w:p w14:paraId="385C7FF7" w14:textId="77777777" w:rsidR="00AA0841" w:rsidRPr="001116EC" w:rsidRDefault="00AA0841" w:rsidP="00AA0841">
      <w:r w:rsidRPr="001116EC">
        <w:t>The upper Murray catchment includes the traditional land of the Dhudhuroa, Djilamatang, Ngarigo, Walgalu and Yaitmathang Aboriginal Nations.</w:t>
      </w:r>
    </w:p>
    <w:p w14:paraId="4FA5FF72" w14:textId="77777777" w:rsidR="00AA0841" w:rsidRPr="001116EC" w:rsidRDefault="00AA0841" w:rsidP="00AA0841">
      <w:r w:rsidRPr="001116EC">
        <w:t>The Aboriginal Nations associated with the mid-Murray planning area include the Wiradjuri, extending from the River Murray to the Macquarie River in the north, and west to Balranald. The east, from the Murray and south into the Great Dividing Range, is the traditional land of the Dhudhuroa and Waywurru Nations. The region centred on Echuca, is the traditional land of the Barapa Barapa/Perepa Perepa, Wamba Wamba/Wemba Wemba and Yorta Yorta Nations. The lower stretch of the central Murray catchment includes the traditional land of the Barkindji, Maraura, Muthi Muthi, Nyeri Nyeri, Tati Tati, Wadi Wadi and Weki Weki Nations.</w:t>
      </w:r>
    </w:p>
    <w:p w14:paraId="2E4594A7" w14:textId="77777777" w:rsidR="00AA0841" w:rsidRPr="001116EC" w:rsidRDefault="00AA0841" w:rsidP="00AA0841">
      <w:r w:rsidRPr="001116EC">
        <w:t>The Aboriginal Nations associated with land around the confluence of the Darling and Murray rivers include the Barkindji, Maraura, Muthi Muthi and Nyeri Nyeri. Upstream of the confluence of the Darling and Murray includes the land of the Barkindji and Maraura nations. Along the River Murray, from about Mildura and into South Australia is also the traditional land of the Ngintait Nation. The land of the lower reaches of the Murray, the Lakes and the Coorong is the traditional land of the Ngarrindjeri nation. The land west of the river and including the Mount Lofty Ranges, includes the country of the Kaurna and Peramanok Nations.</w:t>
      </w:r>
    </w:p>
    <w:p w14:paraId="3E649526" w14:textId="77777777" w:rsidR="00AA0841" w:rsidRPr="00365FE2" w:rsidRDefault="00AA0841" w:rsidP="00AA0841"/>
    <w:p w14:paraId="33BA9B69" w14:textId="77777777" w:rsidR="00AA0841" w:rsidRPr="00C942DF" w:rsidRDefault="00AA0841" w:rsidP="00AA0841">
      <w:pPr>
        <w:rPr>
          <w:color w:val="auto"/>
        </w:rPr>
        <w:sectPr w:rsidR="00AA0841" w:rsidRPr="00C942DF" w:rsidSect="003737D8">
          <w:headerReference w:type="default" r:id="rId290"/>
          <w:footerReference w:type="default" r:id="rId291"/>
          <w:footerReference w:type="first" r:id="rId292"/>
          <w:pgSz w:w="11906" w:h="16838"/>
          <w:pgMar w:top="1134" w:right="1133" w:bottom="851" w:left="964" w:header="567" w:footer="397" w:gutter="0"/>
          <w:cols w:space="708"/>
          <w:docGrid w:linePitch="360"/>
        </w:sectPr>
      </w:pPr>
    </w:p>
    <w:p w14:paraId="18E8E55C" w14:textId="77777777" w:rsidR="00AA0841" w:rsidRDefault="00AA0841" w:rsidP="006A11B1">
      <w:pPr>
        <w:jc w:val="center"/>
      </w:pPr>
      <w:r>
        <w:rPr>
          <w:noProof/>
          <w:sz w:val="16"/>
          <w:szCs w:val="16"/>
        </w:rPr>
        <w:lastRenderedPageBreak/>
        <w:drawing>
          <wp:inline distT="0" distB="0" distL="0" distR="0" wp14:anchorId="237281DD" wp14:editId="1C459E45">
            <wp:extent cx="8534400" cy="6033796"/>
            <wp:effectExtent l="0" t="0" r="0" b="5080"/>
            <wp:docPr id="38" name="Picture 38" descr="A map of the mid- Murray River, from Albury to Euston, including major towns, water storages, tributaries and environmental as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d_Murray_Catchment 2.jp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8551189" cy="6045666"/>
                    </a:xfrm>
                    <a:prstGeom prst="rect">
                      <a:avLst/>
                    </a:prstGeom>
                  </pic:spPr>
                </pic:pic>
              </a:graphicData>
            </a:graphic>
          </wp:inline>
        </w:drawing>
      </w:r>
    </w:p>
    <w:p w14:paraId="39B3C893" w14:textId="3D868BD6" w:rsidR="00AA0841" w:rsidRDefault="00AA0841" w:rsidP="00AA0841">
      <w:r w:rsidRPr="00C942DF">
        <w:rPr>
          <w:b/>
        </w:rPr>
        <w:t xml:space="preserve">Figure </w:t>
      </w:r>
      <w:r w:rsidRPr="00C942DF">
        <w:rPr>
          <w:b/>
        </w:rPr>
        <w:fldChar w:fldCharType="begin"/>
      </w:r>
      <w:r w:rsidRPr="00C942DF">
        <w:rPr>
          <w:b/>
        </w:rPr>
        <w:instrText xml:space="preserve"> SEQ Figure \* ARABIC </w:instrText>
      </w:r>
      <w:r w:rsidRPr="00C942DF">
        <w:rPr>
          <w:b/>
        </w:rPr>
        <w:fldChar w:fldCharType="separate"/>
      </w:r>
      <w:r w:rsidR="001B2852">
        <w:rPr>
          <w:b/>
          <w:noProof/>
        </w:rPr>
        <w:t>19</w:t>
      </w:r>
      <w:r w:rsidRPr="00C942DF">
        <w:rPr>
          <w:b/>
        </w:rPr>
        <w:fldChar w:fldCharType="end"/>
      </w:r>
      <w:r w:rsidRPr="004932F2">
        <w:t xml:space="preserve">: </w:t>
      </w:r>
      <w:r w:rsidRPr="002C6A3D">
        <w:t xml:space="preserve">Map of the </w:t>
      </w:r>
      <w:r>
        <w:t>m</w:t>
      </w:r>
      <w:r w:rsidRPr="002C6A3D">
        <w:t>id</w:t>
      </w:r>
      <w:r>
        <w:t>-</w:t>
      </w:r>
      <w:r w:rsidRPr="002C6A3D">
        <w:t>Murray</w:t>
      </w:r>
      <w:r>
        <w:t xml:space="preserve"> River v</w:t>
      </w:r>
      <w:r w:rsidRPr="002C6A3D">
        <w:t xml:space="preserve">alley, including the </w:t>
      </w:r>
      <w:r>
        <w:t>Edward/Kolety</w:t>
      </w:r>
      <w:r w:rsidRPr="002C6A3D">
        <w:t>-Wakool river system.</w:t>
      </w:r>
    </w:p>
    <w:p w14:paraId="41227430" w14:textId="77777777" w:rsidR="00AA0841" w:rsidRDefault="00AA0841" w:rsidP="006A11B1">
      <w:pPr>
        <w:jc w:val="center"/>
      </w:pPr>
      <w:r>
        <w:rPr>
          <w:noProof/>
          <w:sz w:val="16"/>
          <w:szCs w:val="16"/>
        </w:rPr>
        <w:lastRenderedPageBreak/>
        <w:drawing>
          <wp:inline distT="0" distB="0" distL="0" distR="0" wp14:anchorId="677A43AC" wp14:editId="55D94DE0">
            <wp:extent cx="8541549" cy="6038850"/>
            <wp:effectExtent l="0" t="0" r="0" b="0"/>
            <wp:docPr id="39" name="Picture 39" descr="A map of the lower River Murray valley, from Euston to the Murray Mouth, including major towns and environmental as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wer River Murray.jp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8554096" cy="6047721"/>
                    </a:xfrm>
                    <a:prstGeom prst="rect">
                      <a:avLst/>
                    </a:prstGeom>
                  </pic:spPr>
                </pic:pic>
              </a:graphicData>
            </a:graphic>
          </wp:inline>
        </w:drawing>
      </w:r>
    </w:p>
    <w:p w14:paraId="61D02589" w14:textId="4786EF26" w:rsidR="00AA0841" w:rsidRDefault="00AA0841" w:rsidP="00AA0841">
      <w:r w:rsidRPr="00C942DF">
        <w:rPr>
          <w:b/>
        </w:rPr>
        <w:t xml:space="preserve">Figure </w:t>
      </w:r>
      <w:r w:rsidRPr="00C942DF">
        <w:rPr>
          <w:b/>
        </w:rPr>
        <w:fldChar w:fldCharType="begin"/>
      </w:r>
      <w:r w:rsidRPr="00C942DF">
        <w:rPr>
          <w:b/>
        </w:rPr>
        <w:instrText xml:space="preserve"> SEQ Figure \* ARABIC </w:instrText>
      </w:r>
      <w:r w:rsidRPr="00C942DF">
        <w:rPr>
          <w:b/>
        </w:rPr>
        <w:fldChar w:fldCharType="separate"/>
      </w:r>
      <w:r w:rsidR="001B2852">
        <w:rPr>
          <w:b/>
          <w:noProof/>
        </w:rPr>
        <w:t>20</w:t>
      </w:r>
      <w:r w:rsidRPr="00C942DF">
        <w:rPr>
          <w:b/>
        </w:rPr>
        <w:fldChar w:fldCharType="end"/>
      </w:r>
      <w:r w:rsidRPr="004932F2">
        <w:t xml:space="preserve">: </w:t>
      </w:r>
      <w:r w:rsidRPr="002C6A3D">
        <w:t xml:space="preserve">Map of the </w:t>
      </w:r>
      <w:r>
        <w:t>L</w:t>
      </w:r>
      <w:r w:rsidRPr="002C6A3D">
        <w:t xml:space="preserve">ower-River Murray </w:t>
      </w:r>
      <w:r>
        <w:t>v</w:t>
      </w:r>
      <w:r w:rsidRPr="002C6A3D">
        <w:t>alley</w:t>
      </w:r>
    </w:p>
    <w:p w14:paraId="093CD948" w14:textId="77777777" w:rsidR="00AA0841" w:rsidRDefault="00AA0841" w:rsidP="00AA0841">
      <w:pPr>
        <w:sectPr w:rsidR="00AA0841" w:rsidSect="003737D8">
          <w:headerReference w:type="default" r:id="rId295"/>
          <w:footerReference w:type="default" r:id="rId296"/>
          <w:footerReference w:type="first" r:id="rId297"/>
          <w:pgSz w:w="16838" w:h="11906" w:orient="landscape"/>
          <w:pgMar w:top="1134" w:right="992" w:bottom="851" w:left="964" w:header="567" w:footer="397" w:gutter="0"/>
          <w:cols w:space="708"/>
          <w:docGrid w:linePitch="360"/>
        </w:sectPr>
      </w:pPr>
    </w:p>
    <w:p w14:paraId="7E6850D5" w14:textId="77777777" w:rsidR="00AA0841" w:rsidRPr="00365FE2" w:rsidRDefault="00AA0841" w:rsidP="0057535E">
      <w:pPr>
        <w:pStyle w:val="Heading4"/>
      </w:pPr>
      <w:r>
        <w:lastRenderedPageBreak/>
        <w:t xml:space="preserve">Important sites and </w:t>
      </w:r>
      <w:r w:rsidRPr="00365FE2">
        <w:t>values</w:t>
      </w:r>
    </w:p>
    <w:p w14:paraId="02F1E5A2" w14:textId="77777777" w:rsidR="00AA0841" w:rsidRPr="00C35EDB" w:rsidRDefault="00AA0841" w:rsidP="00AA0841">
      <w:r w:rsidRPr="00C35EDB">
        <w:t xml:space="preserve">The </w:t>
      </w:r>
      <w:r>
        <w:t>River</w:t>
      </w:r>
      <w:r w:rsidRPr="00C35EDB">
        <w:t xml:space="preserve"> Murray </w:t>
      </w:r>
      <w:r>
        <w:t>v</w:t>
      </w:r>
      <w:r w:rsidRPr="00C35EDB">
        <w:t>alley supports a range of environmental values of local, regional, national and international significance. Examples include:</w:t>
      </w:r>
    </w:p>
    <w:p w14:paraId="15031AD9" w14:textId="77777777" w:rsidR="00AA0841" w:rsidRPr="00EF32FB" w:rsidRDefault="00AA0841" w:rsidP="006A11B1">
      <w:pPr>
        <w:pStyle w:val="Heading5"/>
        <w:spacing w:after="120"/>
      </w:pPr>
      <w:bookmarkStart w:id="187" w:name="_Hlk41583752"/>
      <w:r w:rsidRPr="00F2644E">
        <w:t>Vegetation</w:t>
      </w:r>
    </w:p>
    <w:p w14:paraId="3329A3A5" w14:textId="77777777" w:rsidR="00AA0841" w:rsidRDefault="00AA0841" w:rsidP="00AA0841">
      <w:r>
        <w:t xml:space="preserve">Over 90 000 ha of river red gum and over 40 000 ha of black box and extensive lignum shrublands, including the vast river red gum forests of the Mid-Murray (Barmah-Millewa, Gunbower, Koondrook-Perricoota and Werai Forests). Together these comprise the largest complex of tree dominated floodplain wetlands in southern Australia and Australia’s largest parcel of river red gum forests). The mid-Murray also comprises the woodlands of the Lower Murray (Hattah-Kulkyne Lakes, Lindsay-Mulcra-Chowilla Floodplain) and lignum shrublands. There are also important non-woody vegetation communities including the Moira grasslands in the Barmah-Millewa Forest and </w:t>
      </w:r>
      <w:r>
        <w:rPr>
          <w:i/>
          <w:iCs/>
        </w:rPr>
        <w:t>Ruppia tuberosa</w:t>
      </w:r>
      <w:r>
        <w:t xml:space="preserve"> in the Coorong.</w:t>
      </w:r>
    </w:p>
    <w:p w14:paraId="5F77ACE2" w14:textId="77777777" w:rsidR="00AA0841" w:rsidRPr="00EF32FB" w:rsidRDefault="00AA0841" w:rsidP="006A11B1">
      <w:pPr>
        <w:pStyle w:val="Heading5"/>
        <w:spacing w:after="120"/>
      </w:pPr>
      <w:r w:rsidRPr="00F2644E">
        <w:t>Native</w:t>
      </w:r>
      <w:r w:rsidRPr="00EF32FB">
        <w:t xml:space="preserve"> </w:t>
      </w:r>
      <w:r w:rsidRPr="00F2644E">
        <w:t>Fish</w:t>
      </w:r>
    </w:p>
    <w:p w14:paraId="0D303FEF" w14:textId="77777777" w:rsidR="00AA0841" w:rsidRPr="00C35EDB" w:rsidRDefault="00AA0841" w:rsidP="00AA0841">
      <w:r w:rsidRPr="00C35EDB">
        <w:t xml:space="preserve">The </w:t>
      </w:r>
      <w:r>
        <w:t>River Murray</w:t>
      </w:r>
      <w:r w:rsidRPr="00C35EDB">
        <w:t>, along with its anabranches, creeks and wetlands, provide habitat for a</w:t>
      </w:r>
      <w:r>
        <w:t xml:space="preserve"> suite of </w:t>
      </w:r>
      <w:r w:rsidRPr="00C35EDB">
        <w:t xml:space="preserve">native fish, including nationally listed threatened species, such as Murray cod, trout cod, silver perch and Murray hardyhead. The creeks through Barmah-Millewa Forest, the </w:t>
      </w:r>
      <w:r>
        <w:t>Edward/Kolety</w:t>
      </w:r>
      <w:r w:rsidRPr="00C35EDB">
        <w:t xml:space="preserve">-Wakool system and Gunbower Creek (in the </w:t>
      </w:r>
      <w:r>
        <w:t>M</w:t>
      </w:r>
      <w:r w:rsidRPr="00C35EDB">
        <w:t>id</w:t>
      </w:r>
      <w:r>
        <w:t>-</w:t>
      </w:r>
      <w:r w:rsidRPr="00C35EDB">
        <w:t>Murray) and the Lindsay-Mu</w:t>
      </w:r>
      <w:r>
        <w:t>l</w:t>
      </w:r>
      <w:r w:rsidRPr="00C35EDB">
        <w:t>laroo Creek system</w:t>
      </w:r>
      <w:r>
        <w:t xml:space="preserve">, </w:t>
      </w:r>
      <w:r w:rsidRPr="00C35EDB">
        <w:t>Chowilla</w:t>
      </w:r>
      <w:r>
        <w:t xml:space="preserve"> floodplain</w:t>
      </w:r>
      <w:r w:rsidRPr="00C35EDB">
        <w:t>, Katarapko and Pike cr</w:t>
      </w:r>
      <w:r>
        <w:t>e</w:t>
      </w:r>
      <w:r w:rsidRPr="00C35EDB">
        <w:t xml:space="preserve">eks and anabranches (in the </w:t>
      </w:r>
      <w:r>
        <w:t>L</w:t>
      </w:r>
      <w:r w:rsidRPr="00C35EDB">
        <w:t xml:space="preserve">ower Murray) are </w:t>
      </w:r>
      <w:r>
        <w:t xml:space="preserve">also </w:t>
      </w:r>
      <w:r w:rsidRPr="00C35EDB">
        <w:t xml:space="preserve">important habitat for native fish. </w:t>
      </w:r>
      <w:r>
        <w:t>Several small wetlands in the Lower Murray, along with the Lower Lakes, support some of the last remaining wild populations of threatened small-bodied native fish, such as Southern purple-spotted gudgeon, Southern pygmy perch and Murray hardyhead.</w:t>
      </w:r>
    </w:p>
    <w:p w14:paraId="0F116189" w14:textId="77777777" w:rsidR="00AA0841" w:rsidRPr="00C35EDB" w:rsidRDefault="00AA0841" w:rsidP="00AA0841">
      <w:r w:rsidRPr="00C35EDB">
        <w:t xml:space="preserve">The connection between the Murray Mouth, the Coorong and the Lower Lakes is a hot spot for native fish diversity, </w:t>
      </w:r>
      <w:r>
        <w:t>supporting</w:t>
      </w:r>
      <w:r w:rsidRPr="00C35EDB">
        <w:t xml:space="preserve"> marine, estuarine, freshwater and diadromous (live in both salt and freshwater) fish</w:t>
      </w:r>
      <w:r>
        <w:t xml:space="preserve">. This includes a range of recreational and commercial fish species such as black bream, greenback flounder, yellow-eye mullet, golden perch, and mulloway. Species like sandy sprat and small-mouthed hardyhead are also essential food sources for predatory fish and waterbirds in the region. </w:t>
      </w:r>
    </w:p>
    <w:p w14:paraId="28D7709B" w14:textId="77777777" w:rsidR="00AA0841" w:rsidRPr="00EF32FB" w:rsidRDefault="00AA0841" w:rsidP="006A11B1">
      <w:pPr>
        <w:pStyle w:val="Heading5"/>
        <w:spacing w:after="120"/>
      </w:pPr>
      <w:r w:rsidRPr="00F2644E">
        <w:t>Birds</w:t>
      </w:r>
    </w:p>
    <w:p w14:paraId="6C07A7BF" w14:textId="77777777" w:rsidR="00AA0841" w:rsidRDefault="00AA0841" w:rsidP="00AA0841">
      <w:r>
        <w:t xml:space="preserve">Floodplain ecosystems of the Murray-Darling Basin support a high diversity of migratory shore birds and waterbirds, as well as 108 species of floodplain dependent woodland birds. </w:t>
      </w:r>
      <w:r>
        <w:rPr>
          <w:rFonts w:eastAsia="Calibri"/>
          <w:noProof/>
          <w:szCs w:val="22"/>
          <w:lang w:val="en-US" w:eastAsia="en-US"/>
        </w:rPr>
        <w:t xml:space="preserve">There are several wetlands </w:t>
      </w:r>
      <w:r>
        <w:rPr>
          <w:rFonts w:eastAsia="Calibri"/>
          <w:szCs w:val="22"/>
          <w:lang w:val="en-US" w:eastAsia="en-US"/>
        </w:rPr>
        <w:t>for waterbirds</w:t>
      </w:r>
      <w:r>
        <w:rPr>
          <w:rFonts w:eastAsia="Calibri"/>
        </w:rPr>
        <w:t xml:space="preserve"> </w:t>
      </w:r>
      <w:r>
        <w:rPr>
          <w:rFonts w:eastAsia="Calibri"/>
          <w:noProof/>
          <w:szCs w:val="22"/>
          <w:lang w:val="en-US" w:eastAsia="en-US"/>
        </w:rPr>
        <w:t>recognised as having Basin-wide significance importance</w:t>
      </w:r>
      <w:r>
        <w:rPr>
          <w:rFonts w:ascii="Times New Roman" w:hAnsi="Times New Roman" w:cs="Times New Roman"/>
          <w:color w:val="auto"/>
          <w:sz w:val="24"/>
          <w:szCs w:val="24"/>
        </w:rPr>
        <w:t xml:space="preserve"> </w:t>
      </w:r>
      <w:r w:rsidRPr="00E82076">
        <w:rPr>
          <w:rFonts w:eastAsia="Calibri"/>
          <w:szCs w:val="22"/>
          <w:lang w:val="en-US" w:eastAsia="en-US"/>
        </w:rPr>
        <w:t>for waterbirds</w:t>
      </w:r>
      <w:r>
        <w:rPr>
          <w:rFonts w:eastAsia="Calibri"/>
          <w:szCs w:val="22"/>
          <w:lang w:val="en-US" w:eastAsia="en-US"/>
        </w:rPr>
        <w:t xml:space="preserve">. These include </w:t>
      </w:r>
      <w:r w:rsidRPr="00E82076">
        <w:rPr>
          <w:rFonts w:eastAsia="Calibri"/>
          <w:noProof/>
          <w:szCs w:val="22"/>
          <w:lang w:val="en-US" w:eastAsia="en-US"/>
        </w:rPr>
        <w:t>the River Murray,</w:t>
      </w:r>
      <w:r w:rsidRPr="00E82076">
        <w:rPr>
          <w:rFonts w:eastAsia="Calibri"/>
          <w:szCs w:val="22"/>
          <w:lang w:val="en-US" w:eastAsia="en-US"/>
        </w:rPr>
        <w:t xml:space="preserve"> Barmah-Millewa Forest (which includes </w:t>
      </w:r>
      <w:r w:rsidRPr="00E82076">
        <w:t>wetlands that are significant to the nationally endangered Australasian Bittern)</w:t>
      </w:r>
      <w:r w:rsidRPr="00E82076">
        <w:rPr>
          <w:rFonts w:eastAsia="Calibri"/>
          <w:szCs w:val="22"/>
          <w:lang w:val="en-US" w:eastAsia="en-US"/>
        </w:rPr>
        <w:t xml:space="preserve">, Gunbower-Koondrook-Pericoota Forest, </w:t>
      </w:r>
      <w:r w:rsidRPr="00E82076">
        <w:rPr>
          <w:rFonts w:eastAsia="Calibri"/>
          <w:noProof/>
          <w:szCs w:val="22"/>
          <w:lang w:val="en-US" w:eastAsia="en-US"/>
        </w:rPr>
        <w:t>Hattah Lakes</w:t>
      </w:r>
      <w:r w:rsidRPr="00E82076">
        <w:rPr>
          <w:rFonts w:eastAsia="Calibri"/>
          <w:szCs w:val="22"/>
          <w:lang w:val="en-US" w:eastAsia="en-US"/>
        </w:rPr>
        <w:t xml:space="preserve">, </w:t>
      </w:r>
      <w:r>
        <w:rPr>
          <w:rFonts w:eastAsia="Calibri"/>
          <w:szCs w:val="22"/>
          <w:lang w:val="en-US" w:eastAsia="en-US"/>
        </w:rPr>
        <w:t>Chowilla-</w:t>
      </w:r>
      <w:r w:rsidRPr="00E82076">
        <w:rPr>
          <w:rFonts w:eastAsia="Calibri"/>
          <w:szCs w:val="22"/>
          <w:lang w:val="en-US" w:eastAsia="en-US"/>
        </w:rPr>
        <w:t>Lindsay-Wa</w:t>
      </w:r>
      <w:r>
        <w:rPr>
          <w:rFonts w:eastAsia="Calibri"/>
          <w:szCs w:val="22"/>
          <w:lang w:val="en-US" w:eastAsia="en-US"/>
        </w:rPr>
        <w:t>l</w:t>
      </w:r>
      <w:r w:rsidRPr="00E82076">
        <w:rPr>
          <w:rFonts w:eastAsia="Calibri"/>
          <w:szCs w:val="22"/>
          <w:lang w:val="en-US" w:eastAsia="en-US"/>
        </w:rPr>
        <w:t>lpolla, Noora evaporation Basin, Pyap Lagoon, and the Lower Lakes an</w:t>
      </w:r>
      <w:r w:rsidRPr="00D35CE4">
        <w:rPr>
          <w:rFonts w:eastAsia="Calibri"/>
          <w:szCs w:val="22"/>
          <w:lang w:val="en-US" w:eastAsia="en-US"/>
        </w:rPr>
        <w:t>d Coorong.</w:t>
      </w:r>
      <w:r>
        <w:rPr>
          <w:rFonts w:eastAsia="Calibri"/>
          <w:szCs w:val="22"/>
          <w:lang w:val="en-US" w:eastAsia="en-US"/>
        </w:rPr>
        <w:t xml:space="preserve"> </w:t>
      </w:r>
      <w:r w:rsidDel="00247664">
        <w:rPr>
          <w:szCs w:val="22"/>
        </w:rPr>
        <w:t>T</w:t>
      </w:r>
      <w:r>
        <w:rPr>
          <w:szCs w:val="22"/>
        </w:rPr>
        <w:t>he Coorong and Lakes Albert and Alexandrina comprise the most important site in the Basin for shorebirds and the seventh most important site in Australia.</w:t>
      </w:r>
      <w:r w:rsidRPr="00C35EDB">
        <w:t xml:space="preserve"> </w:t>
      </w:r>
      <w:r>
        <w:t>They</w:t>
      </w:r>
      <w:r w:rsidRPr="00C35EDB">
        <w:t xml:space="preserve"> also support the greatest waterbird species richness of the Murray–Darling Basin.</w:t>
      </w:r>
      <w:r>
        <w:t xml:space="preserve"> In addition to waterbirds, the River Murray floodplain between Robinvale and Swan Reach has also been identified as highly important to the nationally vulnerable regent parrot.</w:t>
      </w:r>
    </w:p>
    <w:p w14:paraId="7CBB487D" w14:textId="77777777" w:rsidR="00AA0841" w:rsidRDefault="00AA0841" w:rsidP="006A11B1">
      <w:pPr>
        <w:pStyle w:val="Heading5"/>
        <w:spacing w:after="120"/>
      </w:pPr>
      <w:r>
        <w:t>Ramsar Wetlands</w:t>
      </w:r>
    </w:p>
    <w:p w14:paraId="37D8D839" w14:textId="77777777" w:rsidR="00AA0841" w:rsidRDefault="00AA0841" w:rsidP="00AA0841">
      <w:pPr>
        <w:rPr>
          <w:rFonts w:eastAsia="Calibri"/>
          <w:szCs w:val="22"/>
          <w:lang w:val="en-US" w:eastAsia="en-US"/>
        </w:rPr>
      </w:pPr>
      <w:r>
        <w:t>The River Murray region contains several internationally important Ramsar listed wetlands: Barmah Forest, Gunbower F</w:t>
      </w:r>
      <w:r w:rsidRPr="000B3809">
        <w:t>orest, New South Wales Central Murray Forests</w:t>
      </w:r>
      <w:r>
        <w:t xml:space="preserve"> (consisting of </w:t>
      </w:r>
      <w:r w:rsidRPr="00EC427D">
        <w:rPr>
          <w:rFonts w:eastAsia="Calibri"/>
          <w:noProof/>
          <w:szCs w:val="22"/>
          <w:lang w:val="en-US" w:eastAsia="en-US"/>
        </w:rPr>
        <w:t xml:space="preserve">Millewa, Koondrook-Pericoota and Werai </w:t>
      </w:r>
      <w:r>
        <w:rPr>
          <w:rFonts w:eastAsia="Calibri"/>
          <w:noProof/>
          <w:szCs w:val="22"/>
          <w:lang w:val="en-US" w:eastAsia="en-US"/>
        </w:rPr>
        <w:t>f</w:t>
      </w:r>
      <w:r w:rsidRPr="00EC427D">
        <w:rPr>
          <w:rFonts w:eastAsia="Calibri"/>
          <w:noProof/>
          <w:szCs w:val="22"/>
          <w:lang w:val="en-US" w:eastAsia="en-US"/>
        </w:rPr>
        <w:t>orests</w:t>
      </w:r>
      <w:r>
        <w:rPr>
          <w:rFonts w:eastAsia="Calibri"/>
          <w:noProof/>
          <w:szCs w:val="22"/>
          <w:lang w:val="en-US" w:eastAsia="en-US"/>
        </w:rPr>
        <w:t>)</w:t>
      </w:r>
      <w:r w:rsidRPr="000B3809">
        <w:t xml:space="preserve">, Hattah-Kulkyne Lakes, </w:t>
      </w:r>
      <w:r>
        <w:t xml:space="preserve">the </w:t>
      </w:r>
      <w:r w:rsidRPr="000B3809">
        <w:t>Riverland (including Chowilla floodplain), Banrock Station Wetland Complex and The Coorong, Lakes Alexandrina and Albert Wetland.</w:t>
      </w:r>
      <w:r>
        <w:t xml:space="preserve"> These sites are recognised for their unique and diverse wetlands, support of species of </w:t>
      </w:r>
      <w:r w:rsidRPr="00365FE2">
        <w:t xml:space="preserve">conservation significance and biological diversity, </w:t>
      </w:r>
      <w:r>
        <w:t xml:space="preserve">their role in </w:t>
      </w:r>
      <w:r w:rsidRPr="00365FE2">
        <w:t xml:space="preserve">providing refuge during adverse conditions, and regularly supporting large numbers of waterbirds. This includes those listed under international migratory agreements. </w:t>
      </w:r>
      <w:r w:rsidRPr="00EC427D">
        <w:rPr>
          <w:rFonts w:eastAsia="Calibri"/>
          <w:noProof/>
          <w:szCs w:val="22"/>
          <w:lang w:val="en-US" w:eastAsia="en-US"/>
        </w:rPr>
        <w:t>The significance of these sites is documented in the ecological character descriptions (</w:t>
      </w:r>
      <w:hyperlink r:id="rId298" w:history="1">
        <w:r w:rsidRPr="00EC427D">
          <w:rPr>
            <w:rStyle w:val="Hyperlink"/>
            <w:rFonts w:eastAsia="Calibri"/>
            <w:noProof/>
            <w:lang w:val="en-US"/>
          </w:rPr>
          <w:t>http://www.environment.gov.au/cgi-bin/wetlands/alphablist.pl</w:t>
        </w:r>
      </w:hyperlink>
      <w:r w:rsidRPr="00EC427D">
        <w:rPr>
          <w:rFonts w:eastAsia="Calibri"/>
          <w:noProof/>
          <w:szCs w:val="22"/>
          <w:lang w:val="en-US" w:eastAsia="en-US"/>
        </w:rPr>
        <w:t>).</w:t>
      </w:r>
    </w:p>
    <w:p w14:paraId="14EBE371" w14:textId="77777777" w:rsidR="00AA0841" w:rsidRDefault="00AA0841" w:rsidP="00AA0841">
      <w:pPr>
        <w:spacing w:after="0"/>
        <w:rPr>
          <w:rFonts w:eastAsia="Calibri"/>
          <w:noProof/>
          <w:szCs w:val="22"/>
          <w:lang w:val="en-US" w:eastAsia="en-US"/>
        </w:rPr>
      </w:pPr>
      <w:r>
        <w:rPr>
          <w:rFonts w:eastAsia="Calibri"/>
          <w:noProof/>
          <w:szCs w:val="22"/>
          <w:lang w:val="en-US" w:eastAsia="en-US"/>
        </w:rPr>
        <w:br w:type="page"/>
      </w:r>
    </w:p>
    <w:bookmarkEnd w:id="187"/>
    <w:p w14:paraId="38812CA2" w14:textId="77777777" w:rsidR="00AA0841" w:rsidRPr="00365FE2" w:rsidRDefault="00AA0841" w:rsidP="0057535E">
      <w:pPr>
        <w:pStyle w:val="Heading4"/>
      </w:pPr>
      <w:r>
        <w:lastRenderedPageBreak/>
        <w:t xml:space="preserve">Partners and </w:t>
      </w:r>
      <w:r w:rsidRPr="00365FE2">
        <w:t>Stakeholder engagement</w:t>
      </w:r>
    </w:p>
    <w:p w14:paraId="4E9A20BC" w14:textId="77777777" w:rsidR="00AA0841" w:rsidRPr="00F2644E" w:rsidRDefault="00AA0841" w:rsidP="006A11B1">
      <w:pPr>
        <w:pStyle w:val="Heading5"/>
        <w:spacing w:after="120"/>
      </w:pPr>
      <w:r w:rsidRPr="00F2644E">
        <w:t>Delivery Partners</w:t>
      </w:r>
    </w:p>
    <w:p w14:paraId="09E6BCFE" w14:textId="77777777" w:rsidR="00AA0841" w:rsidRDefault="00AA0841" w:rsidP="00AA0841">
      <w:bookmarkStart w:id="188" w:name="_Hlk41504448"/>
      <w:r>
        <w:t>T</w:t>
      </w:r>
      <w:r w:rsidRPr="00365FE2">
        <w:t xml:space="preserve">he planning, management and delivery of Commonwealth water for the environment </w:t>
      </w:r>
      <w:r>
        <w:t xml:space="preserve">throughout the Murray valley </w:t>
      </w:r>
      <w:r w:rsidRPr="00365FE2">
        <w:t>is undertaken</w:t>
      </w:r>
      <w:r>
        <w:t xml:space="preserve"> in</w:t>
      </w:r>
      <w:r w:rsidRPr="00365FE2">
        <w:t xml:space="preserve"> co</w:t>
      </w:r>
      <w:r>
        <w:t>llaborat</w:t>
      </w:r>
      <w:r w:rsidRPr="00365FE2">
        <w:t>ion with a range of partners and stakeholder groups</w:t>
      </w:r>
      <w:bookmarkEnd w:id="188"/>
      <w:r w:rsidRPr="00365FE2">
        <w:t xml:space="preserve">. </w:t>
      </w:r>
    </w:p>
    <w:p w14:paraId="73ED16F0" w14:textId="77777777" w:rsidR="00AA0841" w:rsidRDefault="00AA0841" w:rsidP="00AA0841">
      <w:r>
        <w:t>All Commonwealth environmental water is coordinated with other government environmental water holders: NSW Department of Planning, Industry and Environment - Environment, Energy and Science (</w:t>
      </w:r>
      <w:r w:rsidRPr="00EA72B1">
        <w:t>DPIE</w:t>
      </w:r>
      <w:r>
        <w:noBreakHyphen/>
      </w:r>
      <w:r w:rsidRPr="00EA72B1">
        <w:t>EES</w:t>
      </w:r>
      <w:r>
        <w:t xml:space="preserve">), the Victorian Environmental Water Holder (VEWH), the South Australian Department of Environment and Water (SA DEW), and the Murray Darling Basin Authority (MDBA) in its role in coordinating The Living Murray programs. In most cases, the Commonwealth environmental water is transferred to these agencies, who are responsible for ordering this water for delivery. The primary coordination body is the Southern Connected Basin Environmental Watering Committee (SCBEWC), which includes </w:t>
      </w:r>
      <w:r w:rsidRPr="0036511C">
        <w:t>representatives from each of the federal and state government environmental water holders, as well as representatives from the Murray Lower Darling Rivers Indigenous Nations</w:t>
      </w:r>
      <w:r>
        <w:t xml:space="preserve">. Managers of The Living Murray (TLM) icon sites provide annual watering proposals that are considered by the committee in planning and delivering water for the environment. As part of this process, the </w:t>
      </w:r>
      <w:r>
        <w:rPr>
          <w:rFonts w:ascii="Calibri" w:hAnsi="Calibri" w:cs="Calibri"/>
          <w:color w:val="auto"/>
          <w:szCs w:val="22"/>
        </w:rPr>
        <w:t>Indigenous Partnerships Program supports First Nations contribution to the planning and management of key sites and environmental watering activities.</w:t>
      </w:r>
    </w:p>
    <w:p w14:paraId="6995FE01" w14:textId="77777777" w:rsidR="00AA0841" w:rsidRDefault="00AA0841" w:rsidP="00AA0841">
      <w:r>
        <w:t>In addition to the above organisations, the delivery of environmental water is also supported by and coordinated with:</w:t>
      </w:r>
    </w:p>
    <w:p w14:paraId="3A3E6047" w14:textId="77777777" w:rsidR="00AA0841" w:rsidRDefault="00AA0841" w:rsidP="00AA0841">
      <w:pPr>
        <w:pStyle w:val="DotStyle1"/>
      </w:pPr>
      <w:r>
        <w:t>river operators (MDBA, WaterNSW, Goulburn-Murray Water, SA Water)</w:t>
      </w:r>
    </w:p>
    <w:p w14:paraId="06005D90" w14:textId="77777777" w:rsidR="00AA0841" w:rsidRDefault="00AA0841" w:rsidP="00AA0841">
      <w:pPr>
        <w:pStyle w:val="DotStyle1"/>
      </w:pPr>
      <w:r>
        <w:t>irrigation corporations (Murray Irrigation Limited, Renmark Irrigation Trust)</w:t>
      </w:r>
    </w:p>
    <w:p w14:paraId="571201A7" w14:textId="77777777" w:rsidR="00AA0841" w:rsidRDefault="00AA0841" w:rsidP="00AA0841">
      <w:pPr>
        <w:pStyle w:val="DotStyle1"/>
      </w:pPr>
      <w:r>
        <w:t xml:space="preserve">regional natural resource management agencies (North Central Catchment Management Authority, Goulburn-Broken Catchment Management Authority, North East Catchment Management Authority, Mallee Catchment Management Authority, NSW Murray Local Land Services, South Australian Murray-Darling Basin Natural </w:t>
      </w:r>
      <w:r w:rsidRPr="00C4596B">
        <w:t>Resource Management Board</w:t>
      </w:r>
      <w:r>
        <w:t>), NSW DPI Fisheries</w:t>
      </w:r>
    </w:p>
    <w:p w14:paraId="68D6412D" w14:textId="77777777" w:rsidR="00AA0841" w:rsidRPr="00C4596B" w:rsidRDefault="00AA0841" w:rsidP="00AA0841">
      <w:pPr>
        <w:pStyle w:val="DotStyle1"/>
      </w:pPr>
      <w:r>
        <w:t>land managers (such as Parks Victoria, NSW National Parks and Wildlife Service and Forestry Corporation NSW)</w:t>
      </w:r>
    </w:p>
    <w:p w14:paraId="7E8F4F8F" w14:textId="77777777" w:rsidR="00AA0841" w:rsidRPr="00C4596B" w:rsidRDefault="00AA0841" w:rsidP="00AA0841">
      <w:pPr>
        <w:pStyle w:val="DotStyle1"/>
      </w:pPr>
      <w:r w:rsidRPr="00C4596B">
        <w:t>private organisations (Nature Foundation SA, Murray-Darling Wetlands Working Group, Banrock Station/Accolade Wines, Calperum Station/Australian Landscape Trust)</w:t>
      </w:r>
      <w:r>
        <w:t>.</w:t>
      </w:r>
    </w:p>
    <w:p w14:paraId="5AEC1696" w14:textId="77777777" w:rsidR="00AA0841" w:rsidRPr="00F2644E" w:rsidRDefault="00AA0841" w:rsidP="006A11B1">
      <w:pPr>
        <w:pStyle w:val="Heading5"/>
        <w:spacing w:after="120"/>
      </w:pPr>
      <w:r w:rsidRPr="00F2644E">
        <w:t>Stakeholder engagement</w:t>
      </w:r>
    </w:p>
    <w:p w14:paraId="2E2B593A" w14:textId="77777777" w:rsidR="00AA0841" w:rsidRPr="001748DF" w:rsidRDefault="00AA0841" w:rsidP="00AA0841">
      <w:r w:rsidRPr="001748DF">
        <w:t>The Commonwealth Environmental Water Office</w:t>
      </w:r>
      <w:r>
        <w:t xml:space="preserve"> (CEWO)</w:t>
      </w:r>
      <w:r w:rsidRPr="001748DF">
        <w:t xml:space="preserve"> </w:t>
      </w:r>
      <w:r>
        <w:t xml:space="preserve">plans for the use of water with </w:t>
      </w:r>
      <w:r w:rsidRPr="00361840">
        <w:t xml:space="preserve">input from and/or consultation </w:t>
      </w:r>
      <w:r>
        <w:t>from</w:t>
      </w:r>
      <w:r w:rsidRPr="001748DF">
        <w:t xml:space="preserve"> many </w:t>
      </w:r>
      <w:r>
        <w:t>partner</w:t>
      </w:r>
      <w:r w:rsidRPr="001748DF">
        <w:t>s</w:t>
      </w:r>
      <w:r>
        <w:t xml:space="preserve">. These include the delivery partners listed above, </w:t>
      </w:r>
      <w:r w:rsidRPr="001748DF">
        <w:t>scientists engaged in monitoring the outcomes of Commonwealth environmental water use</w:t>
      </w:r>
      <w:r>
        <w:t xml:space="preserve"> and</w:t>
      </w:r>
      <w:r w:rsidRPr="001748DF">
        <w:t xml:space="preserve"> various community groups and individuals</w:t>
      </w:r>
      <w:r>
        <w:t>.</w:t>
      </w:r>
    </w:p>
    <w:p w14:paraId="500ACCA7" w14:textId="77777777" w:rsidR="00AA0841" w:rsidRPr="001748DF" w:rsidRDefault="00AA0841" w:rsidP="00AA0841">
      <w:r>
        <w:t>There are several advisory groups that</w:t>
      </w:r>
      <w:r w:rsidRPr="001748DF">
        <w:t> draw on the expertise and experience of community members to help inform our work.</w:t>
      </w:r>
      <w:r>
        <w:t xml:space="preserve"> </w:t>
      </w:r>
      <w:r w:rsidRPr="001748DF">
        <w:t xml:space="preserve">Advisory groups may include water managers, recreational fishers, landholders, </w:t>
      </w:r>
      <w:r>
        <w:t>First Nations</w:t>
      </w:r>
      <w:r w:rsidRPr="001748DF">
        <w:t xml:space="preserve"> groups, independent scientists, local government representatives and a variety of partner agencies.</w:t>
      </w:r>
      <w:r>
        <w:t xml:space="preserve"> Key stakeholder advisory groups include:</w:t>
      </w:r>
    </w:p>
    <w:p w14:paraId="495A008E" w14:textId="77777777" w:rsidR="00AA0841" w:rsidRDefault="00AA0841" w:rsidP="00AA0841">
      <w:pPr>
        <w:pStyle w:val="DotStyle1"/>
      </w:pPr>
      <w:r>
        <w:t>T</w:t>
      </w:r>
      <w:r w:rsidRPr="001748DF">
        <w:t>he C</w:t>
      </w:r>
      <w:r>
        <w:t xml:space="preserve">EWO’s </w:t>
      </w:r>
      <w:r w:rsidRPr="001748DF">
        <w:t>Edward-Wakool Environmental Water Reference Group</w:t>
      </w:r>
    </w:p>
    <w:p w14:paraId="1CD411EB" w14:textId="77777777" w:rsidR="00AA0841" w:rsidRPr="001748DF" w:rsidRDefault="00AA0841" w:rsidP="00AA0841">
      <w:pPr>
        <w:pStyle w:val="DotStyle1"/>
      </w:pPr>
      <w:r>
        <w:t xml:space="preserve">The New South Wales </w:t>
      </w:r>
      <w:r w:rsidRPr="001748DF">
        <w:t>Murray-Lower Darling Environmental Water Advisory Group</w:t>
      </w:r>
    </w:p>
    <w:p w14:paraId="0EC01F0B" w14:textId="77777777" w:rsidR="00AA0841" w:rsidRDefault="00AA0841" w:rsidP="00AA0841">
      <w:pPr>
        <w:pStyle w:val="DotStyle1"/>
      </w:pPr>
      <w:r>
        <w:t xml:space="preserve">Victorian </w:t>
      </w:r>
      <w:r w:rsidRPr="001748DF">
        <w:t>Environmental Water Advisory Group</w:t>
      </w:r>
      <w:r>
        <w:t>s</w:t>
      </w:r>
    </w:p>
    <w:p w14:paraId="7B73A516" w14:textId="77777777" w:rsidR="00AA0841" w:rsidRDefault="00AA0841" w:rsidP="00AA0841">
      <w:pPr>
        <w:pStyle w:val="DotStyle1"/>
      </w:pPr>
      <w:r>
        <w:t>The Coorong, Lower Lakes and Murray Mouth Community Advisory Panel.</w:t>
      </w:r>
    </w:p>
    <w:p w14:paraId="1E9130C2" w14:textId="77777777" w:rsidR="00AA0841" w:rsidRDefault="00AA0841" w:rsidP="00AA0841">
      <w:pPr>
        <w:spacing w:after="0"/>
      </w:pPr>
      <w:r>
        <w:br w:type="page"/>
      </w:r>
    </w:p>
    <w:p w14:paraId="43084E61" w14:textId="77777777" w:rsidR="00AA0841" w:rsidRDefault="00AA0841" w:rsidP="006A11B1">
      <w:pPr>
        <w:pStyle w:val="Heading3"/>
        <w:spacing w:after="240"/>
      </w:pPr>
      <w:r w:rsidRPr="00365FE2">
        <w:lastRenderedPageBreak/>
        <w:t>Environmental</w:t>
      </w:r>
      <w:r>
        <w:t xml:space="preserve"> objectives</w:t>
      </w:r>
    </w:p>
    <w:p w14:paraId="30B3B927" w14:textId="60FFF092" w:rsidR="00AA0841" w:rsidRPr="00365FE2" w:rsidRDefault="00AA0841" w:rsidP="00AA0841">
      <w:r w:rsidRPr="00C81F74">
        <w:fldChar w:fldCharType="begin"/>
      </w:r>
      <w:r w:rsidRPr="00C81F74">
        <w:instrText xml:space="preserve"> REF _Ref42008983 \h  \* MERGEFORMAT </w:instrText>
      </w:r>
      <w:r w:rsidRPr="00C81F74">
        <w:fldChar w:fldCharType="separate"/>
      </w:r>
      <w:r w:rsidR="001B2852" w:rsidRPr="001B2852">
        <w:t xml:space="preserve">Table </w:t>
      </w:r>
      <w:r w:rsidR="001B2852" w:rsidRPr="001B2852">
        <w:rPr>
          <w:noProof/>
        </w:rPr>
        <w:t>45</w:t>
      </w:r>
      <w:r w:rsidRPr="00C81F74">
        <w:fldChar w:fldCharType="end"/>
      </w:r>
      <w:r w:rsidRPr="00C81F74">
        <w:t xml:space="preserve"> s</w:t>
      </w:r>
      <w:r>
        <w:t>ets out the objectives for environmental watering in the River Murray valley, b</w:t>
      </w:r>
      <w:r w:rsidRPr="00365FE2">
        <w:t xml:space="preserve">ased on long-term environmental objectives in the Basin Plan, </w:t>
      </w:r>
      <w:r w:rsidRPr="00041093">
        <w:t>draft</w:t>
      </w:r>
      <w:r w:rsidRPr="00365FE2">
        <w:t xml:space="preserve"> state long-term watering plans, </w:t>
      </w:r>
      <w:r>
        <w:t xml:space="preserve">site management plans (including Ramsar site ecological character descriptions), </w:t>
      </w:r>
      <w:r w:rsidRPr="00365FE2">
        <w:t>and best available knowledge</w:t>
      </w:r>
      <w:r w:rsidRPr="00365FE2" w:rsidDel="009D65C6">
        <w:t>.</w:t>
      </w:r>
    </w:p>
    <w:p w14:paraId="79D2E5CE" w14:textId="77777777" w:rsidR="00AA0841" w:rsidRDefault="00AA0841" w:rsidP="00AA0841">
      <w:r w:rsidRPr="00365FE2">
        <w:t>The objectives targeted in a particular year may vary depending on available water, catchment conditions, operational feasibility and demand for environmental water. These objectives will continue to be revised as part of the Commonwealth Environmental Water Office’s commitment to adaptive management.</w:t>
      </w:r>
    </w:p>
    <w:p w14:paraId="2AC70B78" w14:textId="1EC44B5E" w:rsidR="00AA0841" w:rsidRDefault="00AA0841" w:rsidP="00AA0841">
      <w:pPr>
        <w:spacing w:before="240"/>
      </w:pPr>
      <w:bookmarkStart w:id="189" w:name="_Ref42008983"/>
      <w:r>
        <w:rPr>
          <w:b/>
        </w:rPr>
        <w:t xml:space="preserve">Table </w:t>
      </w:r>
      <w:r>
        <w:rPr>
          <w:b/>
        </w:rPr>
        <w:fldChar w:fldCharType="begin"/>
      </w:r>
      <w:r>
        <w:rPr>
          <w:b/>
        </w:rPr>
        <w:instrText xml:space="preserve"> SEQ Table \* ARABIC </w:instrText>
      </w:r>
      <w:r>
        <w:rPr>
          <w:b/>
        </w:rPr>
        <w:fldChar w:fldCharType="separate"/>
      </w:r>
      <w:r w:rsidR="001B2852">
        <w:rPr>
          <w:b/>
          <w:noProof/>
        </w:rPr>
        <w:t>45</w:t>
      </w:r>
      <w:r>
        <w:rPr>
          <w:b/>
        </w:rPr>
        <w:fldChar w:fldCharType="end"/>
      </w:r>
      <w:bookmarkEnd w:id="189"/>
      <w:r>
        <w:t>. Summary of objectives for environmental watering in the River Murray valley.</w:t>
      </w:r>
    </w:p>
    <w:tbl>
      <w:tblPr>
        <w:tblStyle w:val="TableGrid"/>
        <w:tblW w:w="9776" w:type="dxa"/>
        <w:tblLook w:val="04A0" w:firstRow="1" w:lastRow="0" w:firstColumn="1" w:lastColumn="0" w:noHBand="0" w:noVBand="1"/>
      </w:tblPr>
      <w:tblGrid>
        <w:gridCol w:w="1873"/>
        <w:gridCol w:w="2634"/>
        <w:gridCol w:w="2634"/>
        <w:gridCol w:w="2635"/>
      </w:tblGrid>
      <w:tr w:rsidR="00AA0841" w14:paraId="2058759E" w14:textId="77777777" w:rsidTr="00AA0841">
        <w:trPr>
          <w:cnfStyle w:val="100000000000" w:firstRow="1" w:lastRow="0" w:firstColumn="0" w:lastColumn="0" w:oddVBand="0" w:evenVBand="0" w:oddHBand="0" w:evenHBand="0" w:firstRowFirstColumn="0" w:firstRowLastColumn="0" w:lastRowFirstColumn="0" w:lastRowLastColumn="0"/>
          <w:tblHeader/>
        </w:trPr>
        <w:tc>
          <w:tcPr>
            <w:tcW w:w="1873" w:type="dxa"/>
            <w:shd w:val="clear" w:color="auto" w:fill="B6DDE8" w:themeFill="accent5" w:themeFillTint="66"/>
            <w:vAlign w:val="center"/>
          </w:tcPr>
          <w:p w14:paraId="310FC958" w14:textId="77777777" w:rsidR="00AA0841" w:rsidRPr="007A7054" w:rsidRDefault="00AA0841" w:rsidP="00AA0841">
            <w:pPr>
              <w:spacing w:after="0"/>
              <w:jc w:val="center"/>
              <w:rPr>
                <w:b/>
                <w:bCs/>
              </w:rPr>
            </w:pPr>
            <w:r w:rsidRPr="007A7054">
              <w:rPr>
                <w:b/>
                <w:bCs/>
              </w:rPr>
              <w:t>Basin-</w:t>
            </w:r>
            <w:r>
              <w:rPr>
                <w:b/>
                <w:bCs/>
              </w:rPr>
              <w:t>w</w:t>
            </w:r>
            <w:r w:rsidRPr="007A7054">
              <w:rPr>
                <w:b/>
                <w:bCs/>
              </w:rPr>
              <w:t>ide</w:t>
            </w:r>
          </w:p>
          <w:p w14:paraId="45AC0B23" w14:textId="77777777" w:rsidR="00AA0841" w:rsidRPr="007A7054" w:rsidRDefault="00AA0841" w:rsidP="00AA0841">
            <w:pPr>
              <w:spacing w:after="0"/>
              <w:jc w:val="center"/>
              <w:rPr>
                <w:b/>
                <w:bCs/>
              </w:rPr>
            </w:pPr>
            <w:r w:rsidRPr="007A7054">
              <w:rPr>
                <w:b/>
                <w:bCs/>
              </w:rPr>
              <w:t>Matters</w:t>
            </w:r>
          </w:p>
        </w:tc>
        <w:tc>
          <w:tcPr>
            <w:tcW w:w="2634" w:type="dxa"/>
            <w:shd w:val="clear" w:color="auto" w:fill="B6DDE8" w:themeFill="accent5" w:themeFillTint="66"/>
            <w:vAlign w:val="center"/>
          </w:tcPr>
          <w:p w14:paraId="74341335" w14:textId="77777777" w:rsidR="00AA0841" w:rsidRPr="007A7054" w:rsidRDefault="00AA0841" w:rsidP="00AA0841">
            <w:pPr>
              <w:spacing w:after="0"/>
              <w:jc w:val="center"/>
              <w:rPr>
                <w:b/>
                <w:bCs/>
              </w:rPr>
            </w:pPr>
            <w:r w:rsidRPr="007A7054">
              <w:rPr>
                <w:b/>
                <w:bCs/>
              </w:rPr>
              <w:t>In-Channel Assets</w:t>
            </w:r>
          </w:p>
        </w:tc>
        <w:tc>
          <w:tcPr>
            <w:tcW w:w="2634" w:type="dxa"/>
            <w:shd w:val="clear" w:color="auto" w:fill="B6DDE8" w:themeFill="accent5" w:themeFillTint="66"/>
            <w:vAlign w:val="center"/>
          </w:tcPr>
          <w:p w14:paraId="0CD1BBC3" w14:textId="77777777" w:rsidR="00AA0841" w:rsidRPr="007A7054" w:rsidRDefault="00AA0841" w:rsidP="00AA0841">
            <w:pPr>
              <w:spacing w:after="0"/>
              <w:jc w:val="center"/>
              <w:rPr>
                <w:b/>
                <w:bCs/>
              </w:rPr>
            </w:pPr>
            <w:r w:rsidRPr="007A7054">
              <w:rPr>
                <w:b/>
                <w:bCs/>
              </w:rPr>
              <w:t>Off-Channel Assets</w:t>
            </w:r>
          </w:p>
        </w:tc>
        <w:tc>
          <w:tcPr>
            <w:tcW w:w="2635" w:type="dxa"/>
            <w:shd w:val="clear" w:color="auto" w:fill="B6DDE8" w:themeFill="accent5" w:themeFillTint="66"/>
            <w:vAlign w:val="center"/>
          </w:tcPr>
          <w:p w14:paraId="651CE3B5" w14:textId="77777777" w:rsidR="00AA0841" w:rsidRPr="007A7054" w:rsidRDefault="00AA0841" w:rsidP="00AA0841">
            <w:pPr>
              <w:spacing w:after="0"/>
              <w:jc w:val="center"/>
              <w:rPr>
                <w:b/>
                <w:bCs/>
              </w:rPr>
            </w:pPr>
            <w:r w:rsidRPr="007A7054">
              <w:rPr>
                <w:b/>
                <w:bCs/>
              </w:rPr>
              <w:t xml:space="preserve">End </w:t>
            </w:r>
            <w:r>
              <w:rPr>
                <w:b/>
                <w:bCs/>
              </w:rPr>
              <w:t>o</w:t>
            </w:r>
            <w:r w:rsidRPr="007A7054">
              <w:rPr>
                <w:b/>
                <w:bCs/>
              </w:rPr>
              <w:t>f System</w:t>
            </w:r>
          </w:p>
        </w:tc>
      </w:tr>
      <w:tr w:rsidR="00AA0841" w14:paraId="5F1AE3F6" w14:textId="77777777" w:rsidTr="00AA0841">
        <w:trPr>
          <w:cnfStyle w:val="000000100000" w:firstRow="0" w:lastRow="0" w:firstColumn="0" w:lastColumn="0" w:oddVBand="0" w:evenVBand="0" w:oddHBand="1" w:evenHBand="0" w:firstRowFirstColumn="0" w:firstRowLastColumn="0" w:lastRowFirstColumn="0" w:lastRowLastColumn="0"/>
          <w:trHeight w:val="5454"/>
        </w:trPr>
        <w:tc>
          <w:tcPr>
            <w:tcW w:w="1873" w:type="dxa"/>
            <w:shd w:val="clear" w:color="auto" w:fill="B6DDE8" w:themeFill="accent5" w:themeFillTint="66"/>
          </w:tcPr>
          <w:p w14:paraId="7CA4E039" w14:textId="77777777" w:rsidR="00AA0841" w:rsidRPr="007A7054" w:rsidRDefault="00AA0841" w:rsidP="00AA0841">
            <w:pPr>
              <w:jc w:val="center"/>
              <w:rPr>
                <w:b/>
                <w:bCs/>
              </w:rPr>
            </w:pPr>
            <w:r w:rsidRPr="007A7054">
              <w:rPr>
                <w:b/>
                <w:bCs/>
              </w:rPr>
              <w:t>Vegetation</w:t>
            </w:r>
          </w:p>
        </w:tc>
        <w:tc>
          <w:tcPr>
            <w:tcW w:w="2634" w:type="dxa"/>
          </w:tcPr>
          <w:p w14:paraId="5C3AE2E4" w14:textId="77777777" w:rsidR="00AA0841" w:rsidRDefault="00AA0841" w:rsidP="00AA0841">
            <w:pPr>
              <w:pStyle w:val="DotStyle1"/>
            </w:pPr>
            <w:r>
              <w:t>Maintain riparian and in channel vegetation condition.</w:t>
            </w:r>
          </w:p>
          <w:p w14:paraId="5A1F2C27" w14:textId="77777777" w:rsidR="00AA0841" w:rsidRDefault="00AA0841" w:rsidP="00AA0841">
            <w:pPr>
              <w:pStyle w:val="DotStyle1"/>
            </w:pPr>
            <w:r>
              <w:t>Increase periods of growth for nonwoody vegetation communities that closely fringe or occur within river corridors.</w:t>
            </w:r>
          </w:p>
        </w:tc>
        <w:tc>
          <w:tcPr>
            <w:tcW w:w="2634" w:type="dxa"/>
          </w:tcPr>
          <w:p w14:paraId="78EDC083" w14:textId="77777777" w:rsidR="00AA0841" w:rsidRDefault="00AA0841" w:rsidP="00AA0841">
            <w:pPr>
              <w:pStyle w:val="DotStyle1"/>
              <w:spacing w:after="60"/>
              <w:ind w:left="357" w:hanging="357"/>
            </w:pPr>
            <w:r>
              <w:t xml:space="preserve">Maintain the current extent of floodplain vegetation near river channels and on low-lying areas of the floodplain, including Moira grass. </w:t>
            </w:r>
          </w:p>
          <w:p w14:paraId="53FF5474" w14:textId="77777777" w:rsidR="00AA0841" w:rsidRDefault="00AA0841" w:rsidP="00AA0841">
            <w:pPr>
              <w:pStyle w:val="DotStyle1"/>
              <w:spacing w:after="60"/>
              <w:ind w:left="357" w:hanging="357"/>
            </w:pPr>
            <w:r>
              <w:t xml:space="preserve">Improve condition of black box, river red gum and lignum shrublands. </w:t>
            </w:r>
          </w:p>
          <w:p w14:paraId="0557D184" w14:textId="77777777" w:rsidR="00AA0841" w:rsidRDefault="00AA0841" w:rsidP="00AA0841">
            <w:pPr>
              <w:pStyle w:val="DotStyle1"/>
              <w:spacing w:after="60"/>
              <w:ind w:left="357" w:hanging="357"/>
            </w:pPr>
            <w:r>
              <w:t>Improve recruitment of trees within black box and river red gum communities.</w:t>
            </w:r>
          </w:p>
          <w:p w14:paraId="150D7399" w14:textId="77777777" w:rsidR="00AA0841" w:rsidRDefault="00AA0841" w:rsidP="00AA0841">
            <w:pPr>
              <w:pStyle w:val="DotStyle1"/>
              <w:spacing w:after="60"/>
              <w:ind w:left="357" w:hanging="357"/>
            </w:pPr>
            <w:r>
              <w:t>Maintain and improve condition of wetland vegetation.</w:t>
            </w:r>
          </w:p>
        </w:tc>
        <w:tc>
          <w:tcPr>
            <w:tcW w:w="2635" w:type="dxa"/>
          </w:tcPr>
          <w:p w14:paraId="4018625D" w14:textId="77777777" w:rsidR="00AA0841" w:rsidRDefault="00AA0841" w:rsidP="00AA0841">
            <w:pPr>
              <w:pStyle w:val="DotStyle1"/>
            </w:pPr>
            <w:r>
              <w:t xml:space="preserve">Ensure survival and promote growth and recruitment of </w:t>
            </w:r>
            <w:r w:rsidRPr="009D65C6">
              <w:rPr>
                <w:i/>
              </w:rPr>
              <w:t>Ruppia tuberosa</w:t>
            </w:r>
            <w:r>
              <w:t xml:space="preserve"> in the south lagoon of the Coorong. </w:t>
            </w:r>
          </w:p>
          <w:p w14:paraId="028262F4" w14:textId="77777777" w:rsidR="00AA0841" w:rsidRDefault="00AA0841" w:rsidP="00AA0841">
            <w:pPr>
              <w:pStyle w:val="DotStyle1"/>
            </w:pPr>
            <w:r>
              <w:t>Maintain or improve the diversity, condition and extent of aquatic and littoral vegetation at the Lower Lakes.</w:t>
            </w:r>
          </w:p>
        </w:tc>
      </w:tr>
      <w:tr w:rsidR="00AA0841" w14:paraId="55F99601" w14:textId="77777777" w:rsidTr="00AA0841">
        <w:trPr>
          <w:cnfStyle w:val="000000010000" w:firstRow="0" w:lastRow="0" w:firstColumn="0" w:lastColumn="0" w:oddVBand="0" w:evenVBand="0" w:oddHBand="0" w:evenHBand="1" w:firstRowFirstColumn="0" w:firstRowLastColumn="0" w:lastRowFirstColumn="0" w:lastRowLastColumn="0"/>
          <w:trHeight w:val="5515"/>
        </w:trPr>
        <w:tc>
          <w:tcPr>
            <w:tcW w:w="1873" w:type="dxa"/>
            <w:shd w:val="clear" w:color="auto" w:fill="B6DDE8" w:themeFill="accent5" w:themeFillTint="66"/>
          </w:tcPr>
          <w:p w14:paraId="25A82C7D" w14:textId="77777777" w:rsidR="00AA0841" w:rsidRPr="007A7054" w:rsidRDefault="00AA0841" w:rsidP="00AA0841">
            <w:pPr>
              <w:jc w:val="center"/>
              <w:rPr>
                <w:b/>
                <w:bCs/>
              </w:rPr>
            </w:pPr>
            <w:r w:rsidRPr="007A7054">
              <w:rPr>
                <w:b/>
                <w:bCs/>
              </w:rPr>
              <w:t>Waterbirds</w:t>
            </w:r>
          </w:p>
        </w:tc>
        <w:tc>
          <w:tcPr>
            <w:tcW w:w="2634" w:type="dxa"/>
          </w:tcPr>
          <w:p w14:paraId="3FBF72E7" w14:textId="77777777" w:rsidR="00AA0841" w:rsidRDefault="00AA0841" w:rsidP="00AA0841">
            <w:pPr>
              <w:pStyle w:val="DotStyle1"/>
            </w:pPr>
            <w:r>
              <w:t>Provide habitat and food resources to support waterbird survival and recruitment and maintain condition and current species diversity.</w:t>
            </w:r>
          </w:p>
        </w:tc>
        <w:tc>
          <w:tcPr>
            <w:tcW w:w="2634" w:type="dxa"/>
          </w:tcPr>
          <w:p w14:paraId="2EA7EA4D" w14:textId="77777777" w:rsidR="00AA0841" w:rsidRDefault="00AA0841" w:rsidP="00AA0841">
            <w:pPr>
              <w:pStyle w:val="DotStyle1"/>
              <w:spacing w:after="60"/>
              <w:ind w:left="357" w:hanging="357"/>
            </w:pPr>
            <w:r>
              <w:t>Provide habitat and food resources to support waterbird survival and recruitment and maintain condition and current species diversity.</w:t>
            </w:r>
          </w:p>
          <w:p w14:paraId="7AD45267" w14:textId="77777777" w:rsidR="00AA0841" w:rsidRDefault="00AA0841" w:rsidP="00AA0841">
            <w:pPr>
              <w:pStyle w:val="DotStyle1"/>
              <w:spacing w:after="60"/>
              <w:ind w:left="357" w:hanging="357"/>
            </w:pPr>
            <w:r>
              <w:t>Complete seasonally appropriate bird breeding events that are in danger of failing due to drying.</w:t>
            </w:r>
          </w:p>
          <w:p w14:paraId="3E6A2FBB" w14:textId="77777777" w:rsidR="00AA0841" w:rsidRDefault="00AA0841" w:rsidP="00AA0841">
            <w:pPr>
              <w:pStyle w:val="DotStyle1"/>
              <w:spacing w:after="60"/>
              <w:ind w:left="357" w:hanging="357"/>
            </w:pPr>
            <w:r>
              <w:t>Support naturally triggered bird breeding events.</w:t>
            </w:r>
          </w:p>
          <w:p w14:paraId="0AB5EB95" w14:textId="77777777" w:rsidR="00AA0841" w:rsidRDefault="00AA0841" w:rsidP="00AA0841">
            <w:pPr>
              <w:pStyle w:val="DotStyle1"/>
              <w:spacing w:after="60"/>
              <w:ind w:left="357" w:hanging="357"/>
            </w:pPr>
            <w:r>
              <w:t>Provide habitat for migratory birds.</w:t>
            </w:r>
          </w:p>
        </w:tc>
        <w:tc>
          <w:tcPr>
            <w:tcW w:w="2635" w:type="dxa"/>
          </w:tcPr>
          <w:p w14:paraId="001B7405" w14:textId="77777777" w:rsidR="00AA0841" w:rsidRDefault="00AA0841" w:rsidP="00AA0841">
            <w:pPr>
              <w:pStyle w:val="DotStyle1"/>
              <w:spacing w:after="60"/>
              <w:ind w:left="357" w:hanging="357"/>
            </w:pPr>
            <w:r>
              <w:t xml:space="preserve">Maintain habitat and food sources to support waterbird condition and populations within the Lower Lakes and Coorong lagoons (including curlew sandpiper, greenshank, red-necked stint and sharptailed sandpiper). </w:t>
            </w:r>
          </w:p>
          <w:p w14:paraId="383EA2D5" w14:textId="77777777" w:rsidR="00AA0841" w:rsidRDefault="00AA0841" w:rsidP="00AA0841">
            <w:pPr>
              <w:pStyle w:val="DotStyle1"/>
              <w:spacing w:after="60"/>
              <w:ind w:left="357" w:hanging="357"/>
            </w:pPr>
            <w:r>
              <w:t>Complete seasonally appropriate colonial bird breeding events that are in danger of failing due to drying.</w:t>
            </w:r>
          </w:p>
        </w:tc>
      </w:tr>
      <w:tr w:rsidR="00AA0841" w14:paraId="646306C1" w14:textId="77777777" w:rsidTr="00AA0841">
        <w:trPr>
          <w:cnfStyle w:val="000000100000" w:firstRow="0" w:lastRow="0" w:firstColumn="0" w:lastColumn="0" w:oddVBand="0" w:evenVBand="0" w:oddHBand="1" w:evenHBand="0" w:firstRowFirstColumn="0" w:firstRowLastColumn="0" w:lastRowFirstColumn="0" w:lastRowLastColumn="0"/>
          <w:trHeight w:val="6108"/>
        </w:trPr>
        <w:tc>
          <w:tcPr>
            <w:tcW w:w="1873" w:type="dxa"/>
            <w:shd w:val="clear" w:color="auto" w:fill="B6DDE8" w:themeFill="accent5" w:themeFillTint="66"/>
          </w:tcPr>
          <w:p w14:paraId="62FC774F" w14:textId="77777777" w:rsidR="00AA0841" w:rsidRPr="007A7054" w:rsidRDefault="00AA0841" w:rsidP="00AA0841">
            <w:pPr>
              <w:jc w:val="center"/>
              <w:rPr>
                <w:b/>
                <w:bCs/>
              </w:rPr>
            </w:pPr>
            <w:r w:rsidRPr="007A7054">
              <w:rPr>
                <w:b/>
                <w:bCs/>
              </w:rPr>
              <w:lastRenderedPageBreak/>
              <w:t>Native Fish</w:t>
            </w:r>
          </w:p>
        </w:tc>
        <w:tc>
          <w:tcPr>
            <w:tcW w:w="2634" w:type="dxa"/>
          </w:tcPr>
          <w:p w14:paraId="0A79EE77" w14:textId="77777777" w:rsidR="00AA0841" w:rsidRDefault="00AA0841" w:rsidP="00AA0841">
            <w:pPr>
              <w:pStyle w:val="DotStyle1"/>
            </w:pPr>
            <w:r>
              <w:t>Provide flows to support habitat and food sources and promote increased movement, recruitment and survival/condition of native fish.</w:t>
            </w:r>
          </w:p>
        </w:tc>
        <w:tc>
          <w:tcPr>
            <w:tcW w:w="2634" w:type="dxa"/>
          </w:tcPr>
          <w:p w14:paraId="02BDF9C4" w14:textId="77777777" w:rsidR="00AA0841" w:rsidRDefault="00AA0841" w:rsidP="00AA0841">
            <w:pPr>
              <w:pStyle w:val="DotStyle1"/>
            </w:pPr>
            <w:r>
              <w:t>Provide flow cues to promote increased movement, recruitment and survival/condition of native fish (particularly for floodplain specialists).</w:t>
            </w:r>
          </w:p>
        </w:tc>
        <w:tc>
          <w:tcPr>
            <w:tcW w:w="2635" w:type="dxa"/>
          </w:tcPr>
          <w:p w14:paraId="4D237FF6" w14:textId="77777777" w:rsidR="00AA0841" w:rsidRDefault="00AA0841" w:rsidP="00AA0841">
            <w:pPr>
              <w:pStyle w:val="DotStyle1"/>
            </w:pPr>
            <w:r>
              <w:t xml:space="preserve">Maintain or improve diversity, condition and population for fish populations (including estuarine-dependent and diadromous fish) through providing suitable habitat conditions within the Coorong lagoons and maintaining migration pathways that supports species recruitment and survival/condition. </w:t>
            </w:r>
          </w:p>
          <w:p w14:paraId="65F0DD34" w14:textId="77777777" w:rsidR="00AA0841" w:rsidRDefault="00AA0841" w:rsidP="00AA0841">
            <w:pPr>
              <w:pStyle w:val="DotStyle1"/>
            </w:pPr>
            <w:r>
              <w:t>Provide flow cues to promote increased movement, recruitment and survival/condition of native fish.</w:t>
            </w:r>
          </w:p>
        </w:tc>
      </w:tr>
      <w:tr w:rsidR="00AA0841" w14:paraId="18879BFB" w14:textId="77777777" w:rsidTr="00AA0841">
        <w:trPr>
          <w:cnfStyle w:val="000000010000" w:firstRow="0" w:lastRow="0" w:firstColumn="0" w:lastColumn="0" w:oddVBand="0" w:evenVBand="0" w:oddHBand="0" w:evenHBand="1" w:firstRowFirstColumn="0" w:firstRowLastColumn="0" w:lastRowFirstColumn="0" w:lastRowLastColumn="0"/>
          <w:trHeight w:val="836"/>
        </w:trPr>
        <w:tc>
          <w:tcPr>
            <w:tcW w:w="1873" w:type="dxa"/>
            <w:shd w:val="clear" w:color="auto" w:fill="B6DDE8" w:themeFill="accent5" w:themeFillTint="66"/>
          </w:tcPr>
          <w:p w14:paraId="46070569" w14:textId="77777777" w:rsidR="00AA0841" w:rsidRPr="007A7054" w:rsidRDefault="00AA0841" w:rsidP="00AA0841">
            <w:pPr>
              <w:jc w:val="center"/>
              <w:rPr>
                <w:b/>
                <w:bCs/>
              </w:rPr>
            </w:pPr>
            <w:r>
              <w:rPr>
                <w:b/>
                <w:bCs/>
              </w:rPr>
              <w:t>Invertebrates</w:t>
            </w:r>
          </w:p>
        </w:tc>
        <w:tc>
          <w:tcPr>
            <w:tcW w:w="7903" w:type="dxa"/>
            <w:gridSpan w:val="3"/>
          </w:tcPr>
          <w:p w14:paraId="16676B2F" w14:textId="77777777" w:rsidR="00AA0841" w:rsidRDefault="00AA0841" w:rsidP="00AA0841">
            <w:pPr>
              <w:pStyle w:val="DotStyle1"/>
            </w:pPr>
            <w:r>
              <w:t>Provide habitat to support increased microinvertebrate and macroinvertebrate survival, diversity, abundance and condition.</w:t>
            </w:r>
          </w:p>
        </w:tc>
      </w:tr>
      <w:tr w:rsidR="00AA0841" w14:paraId="75DDE318" w14:textId="77777777" w:rsidTr="00AA0841">
        <w:trPr>
          <w:cnfStyle w:val="000000100000" w:firstRow="0" w:lastRow="0" w:firstColumn="0" w:lastColumn="0" w:oddVBand="0" w:evenVBand="0" w:oddHBand="1" w:evenHBand="0" w:firstRowFirstColumn="0" w:firstRowLastColumn="0" w:lastRowFirstColumn="0" w:lastRowLastColumn="0"/>
          <w:trHeight w:val="848"/>
        </w:trPr>
        <w:tc>
          <w:tcPr>
            <w:tcW w:w="1873" w:type="dxa"/>
            <w:shd w:val="clear" w:color="auto" w:fill="B6DDE8" w:themeFill="accent5" w:themeFillTint="66"/>
          </w:tcPr>
          <w:p w14:paraId="25779E9D" w14:textId="77777777" w:rsidR="00AA0841" w:rsidRPr="007A7054" w:rsidRDefault="00AA0841" w:rsidP="00AA0841">
            <w:pPr>
              <w:jc w:val="center"/>
              <w:rPr>
                <w:b/>
                <w:bCs/>
              </w:rPr>
            </w:pPr>
            <w:r w:rsidRPr="007A7054">
              <w:rPr>
                <w:b/>
                <w:bCs/>
              </w:rPr>
              <w:t>Other vertebrates</w:t>
            </w:r>
          </w:p>
        </w:tc>
        <w:tc>
          <w:tcPr>
            <w:tcW w:w="7903" w:type="dxa"/>
            <w:gridSpan w:val="3"/>
          </w:tcPr>
          <w:p w14:paraId="790CA9E0" w14:textId="77777777" w:rsidR="00AA0841" w:rsidRDefault="00AA0841" w:rsidP="00AA0841">
            <w:pPr>
              <w:pStyle w:val="DotStyle1"/>
            </w:pPr>
            <w:r>
              <w:t>Provide habitat to support survival, maintain condition and provide recruitment opportunities for frogs and turtles.</w:t>
            </w:r>
          </w:p>
        </w:tc>
      </w:tr>
      <w:tr w:rsidR="00AA0841" w14:paraId="5FB04ED0" w14:textId="77777777" w:rsidTr="00AA0841">
        <w:trPr>
          <w:cnfStyle w:val="000000010000" w:firstRow="0" w:lastRow="0" w:firstColumn="0" w:lastColumn="0" w:oddVBand="0" w:evenVBand="0" w:oddHBand="0" w:evenHBand="1" w:firstRowFirstColumn="0" w:firstRowLastColumn="0" w:lastRowFirstColumn="0" w:lastRowLastColumn="0"/>
          <w:trHeight w:val="3384"/>
        </w:trPr>
        <w:tc>
          <w:tcPr>
            <w:tcW w:w="1873" w:type="dxa"/>
            <w:shd w:val="clear" w:color="auto" w:fill="B6DDE8" w:themeFill="accent5" w:themeFillTint="66"/>
          </w:tcPr>
          <w:p w14:paraId="5C5DFF23" w14:textId="77777777" w:rsidR="00AA0841" w:rsidRPr="007A7054" w:rsidRDefault="00AA0841" w:rsidP="00AA0841">
            <w:pPr>
              <w:jc w:val="center"/>
              <w:rPr>
                <w:b/>
                <w:bCs/>
              </w:rPr>
            </w:pPr>
            <w:r w:rsidRPr="007A7054">
              <w:rPr>
                <w:b/>
                <w:bCs/>
              </w:rPr>
              <w:t>Connectivity</w:t>
            </w:r>
          </w:p>
        </w:tc>
        <w:tc>
          <w:tcPr>
            <w:tcW w:w="2634" w:type="dxa"/>
          </w:tcPr>
          <w:p w14:paraId="1D11BF74" w14:textId="77777777" w:rsidR="00AA0841" w:rsidRDefault="00AA0841" w:rsidP="00AA0841">
            <w:pPr>
              <w:pStyle w:val="DotStyle1"/>
            </w:pPr>
            <w:r>
              <w:t>Maintain baseflows and increase overall flows in the River Murray.</w:t>
            </w:r>
          </w:p>
          <w:p w14:paraId="4CEA8188" w14:textId="77777777" w:rsidR="00AA0841" w:rsidRDefault="00AA0841" w:rsidP="00AA0841">
            <w:pPr>
              <w:pStyle w:val="DotStyle1"/>
            </w:pPr>
            <w:r>
              <w:t>Maintain longitudinal &amp; lateral connectivity through contributing to an increase in the frequency of freshes, bankfull and lowland floodplain flows.</w:t>
            </w:r>
          </w:p>
        </w:tc>
        <w:tc>
          <w:tcPr>
            <w:tcW w:w="2634" w:type="dxa"/>
          </w:tcPr>
          <w:p w14:paraId="5B7827AE" w14:textId="77777777" w:rsidR="00AA0841" w:rsidRDefault="00AA0841" w:rsidP="00AA0841">
            <w:pPr>
              <w:pStyle w:val="DotStyle1"/>
            </w:pPr>
            <w:r>
              <w:t>Maintain latitudinal connectivity (within constraints) to wetlands, floodplains, creeks and anabranches by contributing an increase in the frequency of lowland floodplain flows.</w:t>
            </w:r>
          </w:p>
        </w:tc>
        <w:tc>
          <w:tcPr>
            <w:tcW w:w="2635" w:type="dxa"/>
          </w:tcPr>
          <w:p w14:paraId="2B971FEB" w14:textId="77777777" w:rsidR="00AA0841" w:rsidRDefault="00AA0841" w:rsidP="00AA0841">
            <w:pPr>
              <w:pStyle w:val="DotStyle1"/>
            </w:pPr>
            <w:r>
              <w:t>Improve the connection of the River Murray to the Coorong and the sea, through supporting increased barrage flows and Murray Mouth openness.</w:t>
            </w:r>
          </w:p>
        </w:tc>
      </w:tr>
      <w:tr w:rsidR="00AA0841" w14:paraId="30418744" w14:textId="77777777" w:rsidTr="00AA0841">
        <w:trPr>
          <w:cnfStyle w:val="000000100000" w:firstRow="0" w:lastRow="0" w:firstColumn="0" w:lastColumn="0" w:oddVBand="0" w:evenVBand="0" w:oddHBand="1" w:evenHBand="0" w:firstRowFirstColumn="0" w:firstRowLastColumn="0" w:lastRowFirstColumn="0" w:lastRowLastColumn="0"/>
        </w:trPr>
        <w:tc>
          <w:tcPr>
            <w:tcW w:w="1873" w:type="dxa"/>
            <w:shd w:val="clear" w:color="auto" w:fill="B6DDE8" w:themeFill="accent5" w:themeFillTint="66"/>
          </w:tcPr>
          <w:p w14:paraId="09CC769B" w14:textId="77777777" w:rsidR="00AA0841" w:rsidRDefault="00AA0841" w:rsidP="00AA0841">
            <w:pPr>
              <w:jc w:val="center"/>
              <w:rPr>
                <w:b/>
                <w:bCs/>
              </w:rPr>
            </w:pPr>
            <w:r w:rsidRPr="007A7054">
              <w:rPr>
                <w:b/>
                <w:bCs/>
              </w:rPr>
              <w:t>Process</w:t>
            </w:r>
            <w:r>
              <w:rPr>
                <w:b/>
                <w:bCs/>
              </w:rPr>
              <w:t>es</w:t>
            </w:r>
          </w:p>
          <w:p w14:paraId="03EEC126" w14:textId="77777777" w:rsidR="00AA0841" w:rsidRDefault="00AA0841" w:rsidP="00AA0841">
            <w:pPr>
              <w:jc w:val="center"/>
              <w:rPr>
                <w:b/>
                <w:bCs/>
              </w:rPr>
            </w:pPr>
            <w:r w:rsidRPr="007A7054">
              <w:rPr>
                <w:b/>
                <w:bCs/>
              </w:rPr>
              <w:t>Water quality</w:t>
            </w:r>
          </w:p>
          <w:p w14:paraId="7974820D" w14:textId="77777777" w:rsidR="00AA0841" w:rsidRPr="007A7054" w:rsidRDefault="00AA0841" w:rsidP="00AA0841">
            <w:pPr>
              <w:jc w:val="center"/>
              <w:rPr>
                <w:b/>
                <w:bCs/>
              </w:rPr>
            </w:pPr>
            <w:r w:rsidRPr="007A7054">
              <w:rPr>
                <w:b/>
                <w:bCs/>
              </w:rPr>
              <w:t>Resilience</w:t>
            </w:r>
          </w:p>
        </w:tc>
        <w:tc>
          <w:tcPr>
            <w:tcW w:w="7903" w:type="dxa"/>
            <w:gridSpan w:val="3"/>
          </w:tcPr>
          <w:p w14:paraId="05AE3638" w14:textId="77777777" w:rsidR="00AA0841" w:rsidRDefault="00AA0841" w:rsidP="00AA0841">
            <w:pPr>
              <w:pStyle w:val="DotStyle1"/>
            </w:pPr>
            <w:r>
              <w:t>Increase primary productivity, nutrient and carbon cycling, biotic dispersal and movement. Increase transport of organic matter, salt and nutrients downstream.</w:t>
            </w:r>
          </w:p>
          <w:p w14:paraId="0762C1D0" w14:textId="77777777" w:rsidR="00AA0841" w:rsidRDefault="00AA0841" w:rsidP="00AA0841">
            <w:pPr>
              <w:pStyle w:val="DotStyle1"/>
            </w:pPr>
            <w:r>
              <w:t>Maintain water quality and provide refuge habitat from adverse water quality events. Increase mobilisation and export of salt from the River Murray system.</w:t>
            </w:r>
          </w:p>
          <w:p w14:paraId="72B1F644" w14:textId="77777777" w:rsidR="00AA0841" w:rsidRDefault="00AA0841" w:rsidP="00AA0841">
            <w:pPr>
              <w:pStyle w:val="DotStyle1"/>
            </w:pPr>
            <w:r>
              <w:t>Provide drought refuge habitat and maintenance/condition of native biota.</w:t>
            </w:r>
          </w:p>
        </w:tc>
      </w:tr>
    </w:tbl>
    <w:p w14:paraId="5CEEF938" w14:textId="77777777" w:rsidR="00AA0841" w:rsidRPr="00C61087" w:rsidRDefault="00AA0841" w:rsidP="00AA0841">
      <w:pPr>
        <w:spacing w:before="120" w:after="0"/>
        <w:rPr>
          <w:rFonts w:ascii="Calibri" w:hAnsi="Calibri" w:cs="Calibri"/>
          <w:color w:val="auto"/>
          <w:sz w:val="20"/>
          <w:lang w:val="en-US" w:eastAsia="en-US"/>
        </w:rPr>
      </w:pPr>
      <w:r w:rsidRPr="00C61087">
        <w:rPr>
          <w:rFonts w:ascii="Calibri" w:hAnsi="Calibri" w:cs="Calibri"/>
          <w:color w:val="auto"/>
          <w:sz w:val="20"/>
          <w:lang w:val="en-US" w:eastAsia="en-US"/>
        </w:rPr>
        <w:t>Information sourced from: MDBA (2019); Department of the Environment (2011a and b); MDBA (2012a-i); DELWP (2015)</w:t>
      </w:r>
      <w:r>
        <w:rPr>
          <w:rFonts w:ascii="Calibri" w:hAnsi="Calibri" w:cs="Calibri"/>
          <w:color w:val="auto"/>
          <w:sz w:val="20"/>
          <w:lang w:val="en-US" w:eastAsia="en-US"/>
        </w:rPr>
        <w:t>;</w:t>
      </w:r>
      <w:r w:rsidRPr="00C61087">
        <w:rPr>
          <w:rFonts w:ascii="Calibri" w:hAnsi="Calibri" w:cs="Calibri"/>
          <w:color w:val="auto"/>
          <w:sz w:val="20"/>
          <w:lang w:val="en-US" w:eastAsia="en-US"/>
        </w:rPr>
        <w:t xml:space="preserve"> Department of Environment, Water and Natural Resources (2015)</w:t>
      </w:r>
    </w:p>
    <w:p w14:paraId="56DBB80D" w14:textId="77777777" w:rsidR="00AA0841" w:rsidRDefault="00AA0841" w:rsidP="0057535E">
      <w:pPr>
        <w:pStyle w:val="Heading3"/>
      </w:pPr>
      <w:bookmarkStart w:id="190" w:name="_Hlk40868780"/>
      <w:r>
        <w:lastRenderedPageBreak/>
        <w:t>First Nations Environmental Objectives</w:t>
      </w:r>
    </w:p>
    <w:p w14:paraId="4630BB57" w14:textId="30D9AF08" w:rsidR="00AA0841" w:rsidRPr="00E061A2" w:rsidRDefault="00AA0841" w:rsidP="00AA0841">
      <w:pPr>
        <w:rPr>
          <w:lang w:val="en-US"/>
        </w:rPr>
      </w:pPr>
      <w:r w:rsidRPr="00E061A2">
        <w:rPr>
          <w:lang w:val="en-US"/>
        </w:rPr>
        <w:t xml:space="preserve">Advice on environmental water objectives in the Murray River valley has been provided by the Murray Lower Darling Rivers Indigenous Nations (MLDRIN) through the First Nations Environmental Water Guidance project. </w:t>
      </w:r>
      <w:r w:rsidRPr="00153563">
        <w:rPr>
          <w:lang w:val="en-US"/>
        </w:rPr>
        <w:fldChar w:fldCharType="begin"/>
      </w:r>
      <w:r w:rsidRPr="00153563">
        <w:rPr>
          <w:lang w:val="en-US"/>
        </w:rPr>
        <w:instrText xml:space="preserve"> REF _Ref43390111 \h  \* MERGEFORMAT </w:instrText>
      </w:r>
      <w:r w:rsidRPr="00153563">
        <w:rPr>
          <w:lang w:val="en-US"/>
        </w:rPr>
      </w:r>
      <w:r w:rsidRPr="00153563">
        <w:rPr>
          <w:lang w:val="en-US"/>
        </w:rPr>
        <w:fldChar w:fldCharType="separate"/>
      </w:r>
      <w:r w:rsidR="001B2852" w:rsidRPr="001B2852">
        <w:t xml:space="preserve">Table </w:t>
      </w:r>
      <w:r w:rsidR="001B2852">
        <w:rPr>
          <w:b/>
          <w:noProof/>
        </w:rPr>
        <w:t>46</w:t>
      </w:r>
      <w:r w:rsidRPr="00153563">
        <w:rPr>
          <w:lang w:val="en-US"/>
        </w:rPr>
        <w:fldChar w:fldCharType="end"/>
      </w:r>
      <w:r>
        <w:rPr>
          <w:lang w:val="en-US"/>
        </w:rPr>
        <w:t>2</w:t>
      </w:r>
      <w:r w:rsidRPr="00153563">
        <w:rPr>
          <w:lang w:val="en-US"/>
        </w:rPr>
        <w:t xml:space="preserve"> includ</w:t>
      </w:r>
      <w:r w:rsidRPr="00E061A2">
        <w:rPr>
          <w:lang w:val="en-US"/>
        </w:rPr>
        <w:t>es just some of the common objectives for the Murray River valley, selected as they were raised by 2 or more participating Nations for the region. It is important to note these objectives do not represent the detail, depth and complexity of Nations’ localised water-related objectives.</w:t>
      </w:r>
    </w:p>
    <w:p w14:paraId="568FD2AB" w14:textId="77777777" w:rsidR="00AA0841" w:rsidRPr="00E061A2" w:rsidRDefault="00AA0841" w:rsidP="00AA0841">
      <w:pPr>
        <w:rPr>
          <w:lang w:val="en-US"/>
        </w:rPr>
      </w:pPr>
      <w:r w:rsidRPr="00E061A2">
        <w:rPr>
          <w:lang w:val="en-US"/>
        </w:rPr>
        <w:t>Some of these objectives sit outside the scope of water for the environment to influence, while for others, the link between water for the environment and the site or issues is not well understood.  Environmental flows will aim to contribute to identified objectives, where possible.  The Commonwealth Environmental Water Holder is committed to continuing to strengthen engagement with all Southern Basin First Nations to support those Nations to articulate objectives for water management.</w:t>
      </w:r>
    </w:p>
    <w:p w14:paraId="6691D0B2" w14:textId="579E86FB" w:rsidR="00AA0841" w:rsidRDefault="00AA0841" w:rsidP="00AA0841">
      <w:pPr>
        <w:spacing w:before="240"/>
      </w:pPr>
      <w:bookmarkStart w:id="191" w:name="_Ref43390111"/>
      <w:r w:rsidRPr="00A14D92">
        <w:rPr>
          <w:b/>
        </w:rPr>
        <w:t xml:space="preserve">Table </w:t>
      </w:r>
      <w:r w:rsidRPr="00A14D92">
        <w:rPr>
          <w:b/>
        </w:rPr>
        <w:fldChar w:fldCharType="begin"/>
      </w:r>
      <w:r w:rsidRPr="00A14D92">
        <w:rPr>
          <w:b/>
        </w:rPr>
        <w:instrText xml:space="preserve"> SEQ Table \* ARABIC </w:instrText>
      </w:r>
      <w:r w:rsidRPr="00A14D92">
        <w:rPr>
          <w:b/>
        </w:rPr>
        <w:fldChar w:fldCharType="separate"/>
      </w:r>
      <w:r w:rsidR="001B2852">
        <w:rPr>
          <w:b/>
          <w:noProof/>
        </w:rPr>
        <w:t>46</w:t>
      </w:r>
      <w:r w:rsidRPr="00A14D92">
        <w:rPr>
          <w:b/>
        </w:rPr>
        <w:fldChar w:fldCharType="end"/>
      </w:r>
      <w:bookmarkEnd w:id="191"/>
      <w:r>
        <w:t xml:space="preserve">: </w:t>
      </w:r>
      <w:r w:rsidRPr="007A143A">
        <w:t xml:space="preserve">First Nations environmental water objectives for the </w:t>
      </w:r>
      <w:r>
        <w:t xml:space="preserve">River </w:t>
      </w:r>
      <w:r w:rsidRPr="007A143A">
        <w:t>Murray valley for 2020-21 (MLDRIN, 2020)</w:t>
      </w:r>
    </w:p>
    <w:tbl>
      <w:tblPr>
        <w:tblStyle w:val="TableGrid"/>
        <w:tblW w:w="0" w:type="auto"/>
        <w:tblLook w:val="04A0" w:firstRow="1" w:lastRow="0" w:firstColumn="1" w:lastColumn="0" w:noHBand="0" w:noVBand="1"/>
      </w:tblPr>
      <w:tblGrid>
        <w:gridCol w:w="9634"/>
      </w:tblGrid>
      <w:tr w:rsidR="00AA0841" w:rsidRPr="0093659D" w14:paraId="39405870" w14:textId="77777777" w:rsidTr="00AA0841">
        <w:trPr>
          <w:cnfStyle w:val="100000000000" w:firstRow="1" w:lastRow="0" w:firstColumn="0" w:lastColumn="0" w:oddVBand="0" w:evenVBand="0" w:oddHBand="0" w:evenHBand="0" w:firstRowFirstColumn="0" w:firstRowLastColumn="0" w:lastRowFirstColumn="0" w:lastRowLastColumn="0"/>
        </w:trPr>
        <w:tc>
          <w:tcPr>
            <w:tcW w:w="9634" w:type="dxa"/>
            <w:tcBorders>
              <w:bottom w:val="nil"/>
            </w:tcBorders>
            <w:shd w:val="clear" w:color="auto" w:fill="B6DDE8" w:themeFill="accent5" w:themeFillTint="66"/>
          </w:tcPr>
          <w:p w14:paraId="0300300F" w14:textId="77777777" w:rsidR="00AA0841" w:rsidRPr="0093659D" w:rsidRDefault="00AA0841" w:rsidP="00AA0841">
            <w:pPr>
              <w:rPr>
                <w:b/>
                <w:szCs w:val="22"/>
              </w:rPr>
            </w:pPr>
            <w:r w:rsidRPr="0093659D">
              <w:rPr>
                <w:b/>
                <w:szCs w:val="22"/>
              </w:rPr>
              <w:t>Waterways and Places in Need of watering</w:t>
            </w:r>
          </w:p>
        </w:tc>
      </w:tr>
      <w:tr w:rsidR="00AA0841" w:rsidRPr="0093659D" w14:paraId="73BC6043" w14:textId="77777777" w:rsidTr="00AA0841">
        <w:trPr>
          <w:cnfStyle w:val="000000100000" w:firstRow="0" w:lastRow="0" w:firstColumn="0" w:lastColumn="0" w:oddVBand="0" w:evenVBand="0" w:oddHBand="1" w:evenHBand="0" w:firstRowFirstColumn="0" w:firstRowLastColumn="0" w:lastRowFirstColumn="0" w:lastRowLastColumn="0"/>
        </w:trPr>
        <w:tc>
          <w:tcPr>
            <w:tcW w:w="9634" w:type="dxa"/>
            <w:tcBorders>
              <w:top w:val="nil"/>
              <w:bottom w:val="single" w:sz="4" w:space="0" w:color="auto"/>
            </w:tcBorders>
          </w:tcPr>
          <w:p w14:paraId="748D81E0" w14:textId="77777777" w:rsidR="00AA0841" w:rsidRPr="0093659D" w:rsidRDefault="00AA0841" w:rsidP="00AA0841">
            <w:pPr>
              <w:rPr>
                <w:szCs w:val="22"/>
              </w:rPr>
            </w:pPr>
            <w:r w:rsidRPr="0093659D">
              <w:rPr>
                <w:szCs w:val="22"/>
              </w:rPr>
              <w:t xml:space="preserve">Wetlands, Billabongs, Floodplains, Other places - parks, forests, islands, Creeks, Major rivers, Tributaries, </w:t>
            </w:r>
            <w:r w:rsidRPr="0093659D">
              <w:rPr>
                <w:color w:val="000000" w:themeColor="text1"/>
                <w:szCs w:val="22"/>
              </w:rPr>
              <w:t xml:space="preserve">Baaka (Darling), </w:t>
            </w:r>
            <w:r w:rsidRPr="0093659D">
              <w:rPr>
                <w:szCs w:val="22"/>
              </w:rPr>
              <w:t>Reedy Creek, Werai Forest, Billabong Creek, Edward River, Murray, Wakool River, Billabongs, Floodplains, Ramsar-listed wetlands.</w:t>
            </w:r>
          </w:p>
        </w:tc>
      </w:tr>
      <w:tr w:rsidR="00AA0841" w:rsidRPr="0093659D" w14:paraId="704DA208" w14:textId="77777777" w:rsidTr="00AA0841">
        <w:trPr>
          <w:cnfStyle w:val="000000010000" w:firstRow="0" w:lastRow="0" w:firstColumn="0" w:lastColumn="0" w:oddVBand="0" w:evenVBand="0" w:oddHBand="0" w:evenHBand="1" w:firstRowFirstColumn="0" w:firstRowLastColumn="0" w:lastRowFirstColumn="0" w:lastRowLastColumn="0"/>
        </w:trPr>
        <w:tc>
          <w:tcPr>
            <w:tcW w:w="9634" w:type="dxa"/>
            <w:tcBorders>
              <w:bottom w:val="nil"/>
            </w:tcBorders>
            <w:shd w:val="clear" w:color="auto" w:fill="B6DDE8" w:themeFill="accent5" w:themeFillTint="66"/>
          </w:tcPr>
          <w:p w14:paraId="1CC5EE24" w14:textId="77777777" w:rsidR="00AA0841" w:rsidRPr="0093659D" w:rsidRDefault="00AA0841" w:rsidP="00AA0841">
            <w:pPr>
              <w:rPr>
                <w:b/>
                <w:szCs w:val="22"/>
              </w:rPr>
            </w:pPr>
            <w:r w:rsidRPr="0093659D">
              <w:rPr>
                <w:b/>
                <w:szCs w:val="22"/>
              </w:rPr>
              <w:t>River Flows and Connectivity</w:t>
            </w:r>
          </w:p>
        </w:tc>
      </w:tr>
      <w:tr w:rsidR="00AA0841" w:rsidRPr="0093659D" w14:paraId="666DDC16" w14:textId="77777777" w:rsidTr="00AA0841">
        <w:trPr>
          <w:cnfStyle w:val="000000100000" w:firstRow="0" w:lastRow="0" w:firstColumn="0" w:lastColumn="0" w:oddVBand="0" w:evenVBand="0" w:oddHBand="1" w:evenHBand="0" w:firstRowFirstColumn="0" w:firstRowLastColumn="0" w:lastRowFirstColumn="0" w:lastRowLastColumn="0"/>
        </w:trPr>
        <w:tc>
          <w:tcPr>
            <w:tcW w:w="9634" w:type="dxa"/>
            <w:tcBorders>
              <w:top w:val="nil"/>
              <w:bottom w:val="single" w:sz="4" w:space="0" w:color="auto"/>
            </w:tcBorders>
          </w:tcPr>
          <w:p w14:paraId="6D4E0DA1" w14:textId="77777777" w:rsidR="00AA0841" w:rsidRPr="0093659D" w:rsidRDefault="00AA0841" w:rsidP="00AA0841">
            <w:pPr>
              <w:rPr>
                <w:szCs w:val="22"/>
              </w:rPr>
            </w:pPr>
            <w:r w:rsidRPr="0093659D">
              <w:rPr>
                <w:szCs w:val="22"/>
              </w:rPr>
              <w:t>Improve water quality, Improve timing and seasonality of flows, Improve flows and quantity, Restore wetland hydrology, Remove barriers and constraints, Improve tributary flows, Restore flows in degraded rivers, Improve river and or floodplain connectivity.</w:t>
            </w:r>
          </w:p>
        </w:tc>
      </w:tr>
      <w:tr w:rsidR="00AA0841" w:rsidRPr="0093659D" w14:paraId="04AB4239" w14:textId="77777777" w:rsidTr="00AA0841">
        <w:trPr>
          <w:cnfStyle w:val="000000010000" w:firstRow="0" w:lastRow="0" w:firstColumn="0" w:lastColumn="0" w:oddVBand="0" w:evenVBand="0" w:oddHBand="0" w:evenHBand="1" w:firstRowFirstColumn="0" w:firstRowLastColumn="0" w:lastRowFirstColumn="0" w:lastRowLastColumn="0"/>
        </w:trPr>
        <w:tc>
          <w:tcPr>
            <w:tcW w:w="9634" w:type="dxa"/>
            <w:tcBorders>
              <w:bottom w:val="nil"/>
            </w:tcBorders>
            <w:shd w:val="clear" w:color="auto" w:fill="B6DDE8" w:themeFill="accent5" w:themeFillTint="66"/>
          </w:tcPr>
          <w:p w14:paraId="1FA128E9" w14:textId="77777777" w:rsidR="00AA0841" w:rsidRPr="0093659D" w:rsidRDefault="00AA0841" w:rsidP="00AA0841">
            <w:pPr>
              <w:rPr>
                <w:szCs w:val="22"/>
              </w:rPr>
            </w:pPr>
            <w:r w:rsidRPr="0093659D">
              <w:rPr>
                <w:b/>
                <w:szCs w:val="22"/>
              </w:rPr>
              <w:t>Vegetation</w:t>
            </w:r>
          </w:p>
        </w:tc>
      </w:tr>
      <w:tr w:rsidR="00AA0841" w:rsidRPr="0093659D" w14:paraId="70A07B36" w14:textId="77777777" w:rsidTr="00AA0841">
        <w:trPr>
          <w:cnfStyle w:val="000000100000" w:firstRow="0" w:lastRow="0" w:firstColumn="0" w:lastColumn="0" w:oddVBand="0" w:evenVBand="0" w:oddHBand="1" w:evenHBand="0" w:firstRowFirstColumn="0" w:firstRowLastColumn="0" w:lastRowFirstColumn="0" w:lastRowLastColumn="0"/>
        </w:trPr>
        <w:tc>
          <w:tcPr>
            <w:tcW w:w="9634" w:type="dxa"/>
            <w:tcBorders>
              <w:top w:val="nil"/>
              <w:bottom w:val="single" w:sz="4" w:space="0" w:color="auto"/>
            </w:tcBorders>
          </w:tcPr>
          <w:p w14:paraId="39183470" w14:textId="77777777" w:rsidR="00AA0841" w:rsidRPr="0093659D" w:rsidRDefault="00AA0841" w:rsidP="00AA0841">
            <w:pPr>
              <w:rPr>
                <w:szCs w:val="22"/>
              </w:rPr>
            </w:pPr>
            <w:r w:rsidRPr="0093659D">
              <w:rPr>
                <w:szCs w:val="22"/>
              </w:rPr>
              <w:t>Old Man Weed, Cumbungi, Lignum, Black Box, Grasses, Medicinal plants</w:t>
            </w:r>
            <w:r w:rsidRPr="0093659D">
              <w:rPr>
                <w:szCs w:val="22"/>
                <w:vertAlign w:val="superscript"/>
              </w:rPr>
              <w:t xml:space="preserve"> i</w:t>
            </w:r>
            <w:r w:rsidRPr="0093659D">
              <w:rPr>
                <w:szCs w:val="22"/>
              </w:rPr>
              <w:t>, Reeds and Rushes, Nardoo, River Red Gum.</w:t>
            </w:r>
          </w:p>
        </w:tc>
      </w:tr>
      <w:tr w:rsidR="00AA0841" w:rsidRPr="0093659D" w14:paraId="3D606275" w14:textId="77777777" w:rsidTr="00AA0841">
        <w:trPr>
          <w:cnfStyle w:val="000000010000" w:firstRow="0" w:lastRow="0" w:firstColumn="0" w:lastColumn="0" w:oddVBand="0" w:evenVBand="0" w:oddHBand="0" w:evenHBand="1" w:firstRowFirstColumn="0" w:firstRowLastColumn="0" w:lastRowFirstColumn="0" w:lastRowLastColumn="0"/>
        </w:trPr>
        <w:tc>
          <w:tcPr>
            <w:tcW w:w="9634" w:type="dxa"/>
            <w:tcBorders>
              <w:bottom w:val="nil"/>
            </w:tcBorders>
            <w:shd w:val="clear" w:color="auto" w:fill="B6DDE8" w:themeFill="accent5" w:themeFillTint="66"/>
          </w:tcPr>
          <w:p w14:paraId="57A3AE3E" w14:textId="77777777" w:rsidR="00AA0841" w:rsidRPr="0093659D" w:rsidRDefault="00AA0841" w:rsidP="00AA0841">
            <w:pPr>
              <w:rPr>
                <w:szCs w:val="22"/>
              </w:rPr>
            </w:pPr>
            <w:r w:rsidRPr="0093659D">
              <w:rPr>
                <w:b/>
                <w:szCs w:val="22"/>
              </w:rPr>
              <w:t>Fish</w:t>
            </w:r>
          </w:p>
        </w:tc>
      </w:tr>
      <w:tr w:rsidR="00AA0841" w:rsidRPr="0093659D" w14:paraId="6B49D515" w14:textId="77777777" w:rsidTr="00AA0841">
        <w:trPr>
          <w:cnfStyle w:val="000000100000" w:firstRow="0" w:lastRow="0" w:firstColumn="0" w:lastColumn="0" w:oddVBand="0" w:evenVBand="0" w:oddHBand="1" w:evenHBand="0" w:firstRowFirstColumn="0" w:firstRowLastColumn="0" w:lastRowFirstColumn="0" w:lastRowLastColumn="0"/>
        </w:trPr>
        <w:tc>
          <w:tcPr>
            <w:tcW w:w="9634" w:type="dxa"/>
            <w:tcBorders>
              <w:top w:val="nil"/>
              <w:bottom w:val="single" w:sz="4" w:space="0" w:color="auto"/>
            </w:tcBorders>
          </w:tcPr>
          <w:p w14:paraId="35ADE57E" w14:textId="77777777" w:rsidR="00AA0841" w:rsidRPr="0093659D" w:rsidRDefault="00AA0841" w:rsidP="00AA0841">
            <w:pPr>
              <w:rPr>
                <w:szCs w:val="22"/>
              </w:rPr>
            </w:pPr>
            <w:r w:rsidRPr="0093659D">
              <w:rPr>
                <w:szCs w:val="22"/>
              </w:rPr>
              <w:t>Murray Cod, Catfish, Yellowbelly, Native fish (general)</w:t>
            </w:r>
          </w:p>
        </w:tc>
      </w:tr>
      <w:tr w:rsidR="00AA0841" w:rsidRPr="0093659D" w14:paraId="7E545B79" w14:textId="77777777" w:rsidTr="00AA0841">
        <w:trPr>
          <w:cnfStyle w:val="000000010000" w:firstRow="0" w:lastRow="0" w:firstColumn="0" w:lastColumn="0" w:oddVBand="0" w:evenVBand="0" w:oddHBand="0" w:evenHBand="1" w:firstRowFirstColumn="0" w:firstRowLastColumn="0" w:lastRowFirstColumn="0" w:lastRowLastColumn="0"/>
        </w:trPr>
        <w:tc>
          <w:tcPr>
            <w:tcW w:w="9634" w:type="dxa"/>
            <w:tcBorders>
              <w:bottom w:val="nil"/>
            </w:tcBorders>
            <w:shd w:val="clear" w:color="auto" w:fill="B6DDE8" w:themeFill="accent5" w:themeFillTint="66"/>
          </w:tcPr>
          <w:p w14:paraId="0A807D52" w14:textId="77777777" w:rsidR="00AA0841" w:rsidRPr="0093659D" w:rsidRDefault="00AA0841" w:rsidP="00AA0841">
            <w:pPr>
              <w:rPr>
                <w:szCs w:val="22"/>
              </w:rPr>
            </w:pPr>
            <w:r w:rsidRPr="0093659D">
              <w:rPr>
                <w:b/>
                <w:szCs w:val="22"/>
              </w:rPr>
              <w:t>Waterbirds</w:t>
            </w:r>
          </w:p>
        </w:tc>
      </w:tr>
      <w:tr w:rsidR="00AA0841" w:rsidRPr="0093659D" w14:paraId="6EB97C28" w14:textId="77777777" w:rsidTr="00AA0841">
        <w:trPr>
          <w:cnfStyle w:val="000000100000" w:firstRow="0" w:lastRow="0" w:firstColumn="0" w:lastColumn="0" w:oddVBand="0" w:evenVBand="0" w:oddHBand="1" w:evenHBand="0" w:firstRowFirstColumn="0" w:firstRowLastColumn="0" w:lastRowFirstColumn="0" w:lastRowLastColumn="0"/>
        </w:trPr>
        <w:tc>
          <w:tcPr>
            <w:tcW w:w="9634" w:type="dxa"/>
            <w:tcBorders>
              <w:top w:val="nil"/>
              <w:bottom w:val="single" w:sz="4" w:space="0" w:color="auto"/>
            </w:tcBorders>
          </w:tcPr>
          <w:p w14:paraId="05462300" w14:textId="77777777" w:rsidR="00AA0841" w:rsidRPr="0093659D" w:rsidRDefault="00AA0841" w:rsidP="00AA0841">
            <w:pPr>
              <w:rPr>
                <w:szCs w:val="22"/>
              </w:rPr>
            </w:pPr>
            <w:r w:rsidRPr="0093659D">
              <w:rPr>
                <w:szCs w:val="22"/>
              </w:rPr>
              <w:t>Pelican, Swan, Birds, Ducks, Sea eagle</w:t>
            </w:r>
            <w:r w:rsidRPr="0093659D">
              <w:rPr>
                <w:szCs w:val="22"/>
                <w:vertAlign w:val="superscript"/>
              </w:rPr>
              <w:t xml:space="preserve"> i</w:t>
            </w:r>
            <w:r w:rsidRPr="0093659D">
              <w:rPr>
                <w:szCs w:val="22"/>
              </w:rPr>
              <w:t>, Darters.</w:t>
            </w:r>
          </w:p>
        </w:tc>
      </w:tr>
      <w:tr w:rsidR="00AA0841" w:rsidRPr="0093659D" w14:paraId="24F4D703" w14:textId="77777777" w:rsidTr="00AA0841">
        <w:trPr>
          <w:cnfStyle w:val="000000010000" w:firstRow="0" w:lastRow="0" w:firstColumn="0" w:lastColumn="0" w:oddVBand="0" w:evenVBand="0" w:oddHBand="0" w:evenHBand="1" w:firstRowFirstColumn="0" w:firstRowLastColumn="0" w:lastRowFirstColumn="0" w:lastRowLastColumn="0"/>
        </w:trPr>
        <w:tc>
          <w:tcPr>
            <w:tcW w:w="9634" w:type="dxa"/>
            <w:tcBorders>
              <w:bottom w:val="nil"/>
            </w:tcBorders>
            <w:shd w:val="clear" w:color="auto" w:fill="B6DDE8" w:themeFill="accent5" w:themeFillTint="66"/>
          </w:tcPr>
          <w:p w14:paraId="5CDCFD78" w14:textId="77777777" w:rsidR="00AA0841" w:rsidRPr="0093659D" w:rsidRDefault="00AA0841" w:rsidP="00AA0841">
            <w:pPr>
              <w:rPr>
                <w:rFonts w:cs="Calibri"/>
                <w:szCs w:val="22"/>
              </w:rPr>
            </w:pPr>
            <w:r w:rsidRPr="0093659D">
              <w:rPr>
                <w:b/>
                <w:szCs w:val="22"/>
              </w:rPr>
              <w:t>Other</w:t>
            </w:r>
            <w:r w:rsidRPr="0093659D">
              <w:rPr>
                <w:szCs w:val="22"/>
              </w:rPr>
              <w:t xml:space="preserve"> </w:t>
            </w:r>
            <w:r w:rsidRPr="0093659D">
              <w:rPr>
                <w:b/>
                <w:szCs w:val="22"/>
              </w:rPr>
              <w:t>species</w:t>
            </w:r>
          </w:p>
        </w:tc>
      </w:tr>
      <w:tr w:rsidR="00AA0841" w:rsidRPr="0093659D" w14:paraId="149EB12B" w14:textId="77777777" w:rsidTr="00AA0841">
        <w:trPr>
          <w:cnfStyle w:val="000000100000" w:firstRow="0" w:lastRow="0" w:firstColumn="0" w:lastColumn="0" w:oddVBand="0" w:evenVBand="0" w:oddHBand="1" w:evenHBand="0" w:firstRowFirstColumn="0" w:firstRowLastColumn="0" w:lastRowFirstColumn="0" w:lastRowLastColumn="0"/>
        </w:trPr>
        <w:tc>
          <w:tcPr>
            <w:tcW w:w="9634" w:type="dxa"/>
            <w:tcBorders>
              <w:top w:val="nil"/>
            </w:tcBorders>
          </w:tcPr>
          <w:p w14:paraId="5FE94F93" w14:textId="77777777" w:rsidR="00AA0841" w:rsidRPr="0093659D" w:rsidRDefault="00AA0841" w:rsidP="00AA0841">
            <w:pPr>
              <w:rPr>
                <w:szCs w:val="22"/>
              </w:rPr>
            </w:pPr>
            <w:r w:rsidRPr="0093659D">
              <w:rPr>
                <w:szCs w:val="22"/>
              </w:rPr>
              <w:t>Turtles, Yabbies, Frogs, Shrimp, Platypus, Mussels, Water Rat, Murray Cray, Kangaroo</w:t>
            </w:r>
            <w:r w:rsidRPr="0093659D">
              <w:rPr>
                <w:szCs w:val="22"/>
                <w:vertAlign w:val="superscript"/>
              </w:rPr>
              <w:t>i</w:t>
            </w:r>
            <w:r w:rsidRPr="0093659D">
              <w:rPr>
                <w:szCs w:val="22"/>
              </w:rPr>
              <w:t>, Emu</w:t>
            </w:r>
            <w:r w:rsidRPr="0093659D">
              <w:rPr>
                <w:szCs w:val="22"/>
                <w:vertAlign w:val="superscript"/>
              </w:rPr>
              <w:t>i</w:t>
            </w:r>
            <w:r w:rsidRPr="0093659D">
              <w:rPr>
                <w:szCs w:val="22"/>
              </w:rPr>
              <w:t>, Macroinvertebrates.</w:t>
            </w:r>
          </w:p>
        </w:tc>
      </w:tr>
    </w:tbl>
    <w:p w14:paraId="26FF6E47" w14:textId="77777777" w:rsidR="00AA0841" w:rsidRDefault="00AA0841" w:rsidP="00AA0841">
      <w:pPr>
        <w:spacing w:after="0"/>
        <w:rPr>
          <w:sz w:val="20"/>
        </w:rPr>
      </w:pPr>
      <w:r w:rsidRPr="001E6073">
        <w:rPr>
          <w:sz w:val="20"/>
        </w:rPr>
        <w:t xml:space="preserve">  </w:t>
      </w:r>
      <w:r w:rsidRPr="00B95704">
        <w:rPr>
          <w:vertAlign w:val="superscript"/>
        </w:rPr>
        <w:t>i</w:t>
      </w:r>
      <w:r w:rsidRPr="001E6073">
        <w:rPr>
          <w:sz w:val="20"/>
          <w:lang w:val="en-GB"/>
        </w:rPr>
        <w:t xml:space="preserve"> </w:t>
      </w:r>
      <w:r w:rsidRPr="001E6073">
        <w:rPr>
          <w:sz w:val="20"/>
        </w:rPr>
        <w:t>Water for the environment targeting</w:t>
      </w:r>
      <w:r>
        <w:rPr>
          <w:sz w:val="20"/>
        </w:rPr>
        <w:t xml:space="preserve"> other</w:t>
      </w:r>
      <w:r w:rsidRPr="001E6073">
        <w:rPr>
          <w:sz w:val="20"/>
        </w:rPr>
        <w:t xml:space="preserve"> environmental outcomes may</w:t>
      </w:r>
      <w:r>
        <w:rPr>
          <w:sz w:val="20"/>
        </w:rPr>
        <w:t xml:space="preserve"> influence this species or objective</w:t>
      </w:r>
    </w:p>
    <w:bookmarkEnd w:id="190"/>
    <w:p w14:paraId="3036615A" w14:textId="77777777" w:rsidR="00AA0841" w:rsidRPr="00365FE2" w:rsidRDefault="00AA0841" w:rsidP="00EE5C1C">
      <w:pPr>
        <w:pStyle w:val="Heading3"/>
        <w:spacing w:after="240"/>
      </w:pPr>
      <w:r w:rsidRPr="00365FE2">
        <w:t>Recent conditions and seasonal outlook</w:t>
      </w:r>
    </w:p>
    <w:p w14:paraId="31417F15" w14:textId="77777777" w:rsidR="00AA0841" w:rsidRPr="00365FE2" w:rsidRDefault="00AA0841" w:rsidP="0057535E">
      <w:pPr>
        <w:pStyle w:val="Heading4"/>
      </w:pPr>
      <w:r w:rsidRPr="00365FE2">
        <w:t xml:space="preserve">Recent conditions </w:t>
      </w:r>
      <w:r w:rsidRPr="00237831">
        <w:t>and environmental water use</w:t>
      </w:r>
    </w:p>
    <w:p w14:paraId="38B503C0" w14:textId="77777777" w:rsidR="00AA0841" w:rsidRDefault="00AA0841" w:rsidP="00AA0841">
      <w:r>
        <w:t>The health of rivers, wetlands and floodplains, and the plants and animals they support, can be influenced by flows and conditions in the past. In some cases, this can date back many years, with parts of the environment still showing the effects of the Millennium Drought along with the more recent 2017–2020 drought.</w:t>
      </w:r>
    </w:p>
    <w:p w14:paraId="135D9C4B" w14:textId="77777777" w:rsidR="00AA0841" w:rsidRPr="00EF32FB" w:rsidRDefault="00AA0841" w:rsidP="00EE5C1C">
      <w:pPr>
        <w:pStyle w:val="Heading5"/>
        <w:spacing w:after="120"/>
      </w:pPr>
      <w:r w:rsidRPr="00EF32FB">
        <w:t>Flows</w:t>
      </w:r>
    </w:p>
    <w:p w14:paraId="09419DED" w14:textId="77777777" w:rsidR="00AA0841" w:rsidRDefault="00AA0841" w:rsidP="00AA0841">
      <w:r>
        <w:t>Since the large-scale flooding of 2016-17, the River Murray has experienced three consecutive years of well</w:t>
      </w:r>
      <w:r>
        <w:noBreakHyphen/>
        <w:t xml:space="preserve">below average inflows. In 2019-20, River Murray inflows were </w:t>
      </w:r>
      <w:r w:rsidRPr="00923BC5">
        <w:t>less than half</w:t>
      </w:r>
      <w:r>
        <w:t xml:space="preserve"> the long-term average of </w:t>
      </w:r>
      <w:r w:rsidRPr="00923BC5">
        <w:t>8</w:t>
      </w:r>
      <w:r>
        <w:t> </w:t>
      </w:r>
      <w:r w:rsidRPr="00923BC5">
        <w:t>870</w:t>
      </w:r>
      <w:r>
        <w:t xml:space="preserve"> gigalitres and within the driest </w:t>
      </w:r>
      <w:r w:rsidRPr="00923BC5">
        <w:t>12</w:t>
      </w:r>
      <w:r>
        <w:t xml:space="preserve"> per cent of years since 1891. Without water for the environment, several critical off-channel waterways would have otherwise remained dry over this three-year period. Water </w:t>
      </w:r>
      <w:r>
        <w:lastRenderedPageBreak/>
        <w:t>for the environment has</w:t>
      </w:r>
      <w:r w:rsidDel="009B26F0">
        <w:t xml:space="preserve"> </w:t>
      </w:r>
      <w:r>
        <w:t xml:space="preserve">supported variable flows in the River Murray, particularly in winter and spring, which are of critical importance to native fish populations. End-of-system flows have been solely dependent on water for the environment, which has accounted for 100 per cent of flows through the barrages since January 2018, and prevented the Lower Lakes dropping below the critical threshold of 0.4 m (a trigger for the planning phase of the Drought Emergency Framework). </w:t>
      </w:r>
    </w:p>
    <w:p w14:paraId="355434D0" w14:textId="77777777" w:rsidR="00AA0841" w:rsidRPr="00C4596B" w:rsidRDefault="00AA0841" w:rsidP="00AA0841">
      <w:r>
        <w:t>The dry conditions since 2016-17 have been followed by above average rainfall over large parts of the southern Basin during early 2020. This was particularly evident during April and early May, with high rainfall in the catchments resulting in a rise in streamflow through the Mid-Murray region.</w:t>
      </w:r>
    </w:p>
    <w:p w14:paraId="7A7ACD60" w14:textId="77777777" w:rsidR="00AA0841" w:rsidRPr="00EF32FB" w:rsidRDefault="00AA0841" w:rsidP="00EE5C1C">
      <w:pPr>
        <w:pStyle w:val="Heading5"/>
        <w:spacing w:after="120"/>
        <w:rPr>
          <w:rFonts w:eastAsia="Calibri"/>
        </w:rPr>
      </w:pPr>
      <w:bookmarkStart w:id="192" w:name="_Hlk41902736"/>
      <w:r w:rsidRPr="00EF32FB">
        <w:rPr>
          <w:rFonts w:eastAsia="Calibri"/>
        </w:rPr>
        <w:t>Vegetation</w:t>
      </w:r>
    </w:p>
    <w:p w14:paraId="5425D675" w14:textId="77777777" w:rsidR="00AA0841" w:rsidRDefault="00AA0841" w:rsidP="00AA0841">
      <w:pPr>
        <w:pStyle w:val="DotStyle1"/>
      </w:pPr>
      <w:bookmarkStart w:id="193" w:name="_Hlk37326073"/>
      <w:r>
        <w:t xml:space="preserve">Floodplain forests and woodlands: </w:t>
      </w:r>
    </w:p>
    <w:p w14:paraId="4AA126A3" w14:textId="77777777" w:rsidR="00AA0841" w:rsidRDefault="00AA0841" w:rsidP="00AA0841">
      <w:pPr>
        <w:pStyle w:val="DotStyle2"/>
      </w:pPr>
      <w:bookmarkStart w:id="194" w:name="_Hlk41598133"/>
      <w:r>
        <w:t>The condition of river red gum forests at low elevation in the Mid-Murray (e.g. Barmah-Millewa and Gunbower Forests) has largely been maintained since the 2016</w:t>
      </w:r>
      <w:r>
        <w:noBreakHyphen/>
        <w:t xml:space="preserve">17 flood. Excellent red gum (and to a lesser extent, black box) tree canopy </w:t>
      </w:r>
      <w:r w:rsidRPr="000401D2">
        <w:t>respon</w:t>
      </w:r>
      <w:r>
        <w:t xml:space="preserve">ding positively </w:t>
      </w:r>
      <w:r w:rsidRPr="000401D2">
        <w:t xml:space="preserve">to </w:t>
      </w:r>
      <w:r>
        <w:t xml:space="preserve">environmental water delivery has been recorded </w:t>
      </w:r>
      <w:r w:rsidRPr="00456379">
        <w:t>(</w:t>
      </w:r>
      <w:r w:rsidRPr="00110558">
        <w:t>GB CMA 2020b, North Central CMA 2020).</w:t>
      </w:r>
      <w:r w:rsidRPr="00361840" w:rsidDel="00456379">
        <w:t xml:space="preserve"> </w:t>
      </w:r>
      <w:r>
        <w:t xml:space="preserve">Due to dry conditions, woodlands at higher elevation and throughout Koondrook-Perricoota Forest, have shown declining health since the 2016-17 floods </w:t>
      </w:r>
      <w:r w:rsidRPr="00456379">
        <w:t>(</w:t>
      </w:r>
      <w:r>
        <w:t>New South Wales Forests 2020</w:t>
      </w:r>
      <w:r w:rsidRPr="00361840">
        <w:t>).</w:t>
      </w:r>
    </w:p>
    <w:p w14:paraId="235416C7" w14:textId="77777777" w:rsidR="00AA0841" w:rsidRPr="00697E6C" w:rsidRDefault="00AA0841" w:rsidP="00AA0841">
      <w:pPr>
        <w:pStyle w:val="DotStyle2"/>
      </w:pPr>
      <w:r>
        <w:t xml:space="preserve">The </w:t>
      </w:r>
      <w:r w:rsidRPr="00697E6C">
        <w:t>internationally important Moira grass plains of Barmah-Millewa Forest have seen excellent growth during periods where water has been delivered and grazing pressure has been managed. Overall, the Moira grass plains are in good condition with the extent of coverage expected to increase with the addition of four new grazing exclusion fences in February 2020 (GB CMA 2020a</w:t>
      </w:r>
      <w:r w:rsidRPr="00697E6C">
        <w:rPr>
          <w:szCs w:val="22"/>
          <w:lang w:bidi="en-US"/>
        </w:rPr>
        <w:t xml:space="preserve">). </w:t>
      </w:r>
    </w:p>
    <w:p w14:paraId="6BFAA8C8" w14:textId="77777777" w:rsidR="00AA0841" w:rsidRPr="00B62200" w:rsidRDefault="00AA0841" w:rsidP="00AA0841">
      <w:pPr>
        <w:pStyle w:val="DotStyle2"/>
      </w:pPr>
      <w:r w:rsidRPr="00697E6C">
        <w:t>Aquatic vegetation</w:t>
      </w:r>
      <w:r>
        <w:t xml:space="preserve"> in wetlands that have received sufficient water is generally in good condition throughout the length of the River Murray.</w:t>
      </w:r>
      <w:r w:rsidRPr="00F00A1E">
        <w:t xml:space="preserve"> </w:t>
      </w:r>
      <w:r>
        <w:t xml:space="preserve">Instream aquatic native plants are slowly recovering in the Edward/Kolety-Wakool system after the 2016 flood </w:t>
      </w:r>
      <w:bookmarkStart w:id="195" w:name="_Hlk41567191"/>
      <w:r w:rsidRPr="00697E6C">
        <w:t>(Watts et al. 2019)</w:t>
      </w:r>
      <w:bookmarkEnd w:id="195"/>
      <w:r w:rsidRPr="00697E6C">
        <w:t>.</w:t>
      </w:r>
      <w:r>
        <w:t xml:space="preserve"> Similarly, the increased variability of weir pool levels has provided benefits for vegetation fringing the main river channel, anabranches and low-lying wetlands for several reaches of the River </w:t>
      </w:r>
      <w:r w:rsidRPr="00122E73">
        <w:t xml:space="preserve">Murray </w:t>
      </w:r>
      <w:r w:rsidRPr="00697E6C">
        <w:t>(Ye et al. 2020, Gehrig 2018)</w:t>
      </w:r>
      <w:r w:rsidRPr="0068395A">
        <w:t>.</w:t>
      </w:r>
      <w:r>
        <w:t xml:space="preserve"> Wetland vegetation condition in other locations, such as those more exposed to drought conditions, heat stress or grazing pressure, is poorer.</w:t>
      </w:r>
    </w:p>
    <w:p w14:paraId="0A29EE5B" w14:textId="77777777" w:rsidR="00AA0841" w:rsidRDefault="00AA0841" w:rsidP="00AA0841">
      <w:pPr>
        <w:pStyle w:val="DotStyle2"/>
      </w:pPr>
      <w:bookmarkStart w:id="196" w:name="_Hlk41488207"/>
      <w:r>
        <w:t xml:space="preserve">Further downstream, the condition of river red gum </w:t>
      </w:r>
      <w:r w:rsidRPr="00122E73">
        <w:t>and black box</w:t>
      </w:r>
      <w:r>
        <w:t xml:space="preserve"> woodlands such as at Hattah Lakes and Chowilla Floodplain has largely been maintained in areas where infrastructure has enabled the delivery of water </w:t>
      </w:r>
      <w:r w:rsidRPr="00697E6C">
        <w:t>(Mallee CMA 2020).</w:t>
      </w:r>
      <w:r>
        <w:t xml:space="preserve"> In higher elevation sites where water has not been delivered, particularly at Chowilla, black box is showing signs of stress following three years of dry conditions </w:t>
      </w:r>
      <w:r w:rsidRPr="00697E6C">
        <w:t>(MDBA 2019).</w:t>
      </w:r>
    </w:p>
    <w:bookmarkEnd w:id="193"/>
    <w:bookmarkEnd w:id="196"/>
    <w:p w14:paraId="05A9C98B" w14:textId="77777777" w:rsidR="00AA0841" w:rsidRDefault="00AA0841" w:rsidP="00AA0841">
      <w:pPr>
        <w:pStyle w:val="DotStyle1"/>
      </w:pPr>
      <w:r>
        <w:t>Coorong and Lower Lakes:</w:t>
      </w:r>
    </w:p>
    <w:p w14:paraId="5DA57A9D" w14:textId="77777777" w:rsidR="00AA0841" w:rsidRPr="00122E73" w:rsidRDefault="00AA0841" w:rsidP="00AA0841">
      <w:pPr>
        <w:pStyle w:val="DotStyle2"/>
      </w:pPr>
      <w:r w:rsidRPr="00122E73">
        <w:t>Fringing vegetation in Lower Lakes has become more diverse and the abundance of key taxa has increased over the past 3 years. This represents ongoing recovery from the millennium drought as the lakeside vegetation community re-establishes</w:t>
      </w:r>
      <w:r>
        <w:t>. I</w:t>
      </w:r>
      <w:r w:rsidRPr="00122E73">
        <w:t xml:space="preserve">mprovements have </w:t>
      </w:r>
      <w:r>
        <w:t xml:space="preserve">likely </w:t>
      </w:r>
      <w:r w:rsidRPr="00122E73">
        <w:t>been driven by seasonally appropriate water levels varying between higher levels in spring (~0.85</w:t>
      </w:r>
      <w:r>
        <w:t xml:space="preserve"> </w:t>
      </w:r>
      <w:r w:rsidRPr="00122E73">
        <w:t>m) and lower levels in autumn (~0.5</w:t>
      </w:r>
      <w:r>
        <w:t xml:space="preserve"> </w:t>
      </w:r>
      <w:r w:rsidRPr="00122E73">
        <w:t>m) (Nicol et al. 2019, Nicol pers</w:t>
      </w:r>
      <w:r w:rsidRPr="00070731">
        <w:t>.</w:t>
      </w:r>
      <w:r w:rsidRPr="00122E73">
        <w:t xml:space="preserve"> comm</w:t>
      </w:r>
      <w:r w:rsidRPr="00070731">
        <w:t>.).</w:t>
      </w:r>
    </w:p>
    <w:p w14:paraId="305DBDD1" w14:textId="77777777" w:rsidR="00AA0841" w:rsidRDefault="00AA0841" w:rsidP="00AA0841">
      <w:pPr>
        <w:pStyle w:val="DotStyle2"/>
      </w:pPr>
      <w:bookmarkStart w:id="197" w:name="_Hlk41488116"/>
      <w:r>
        <w:t xml:space="preserve">While monitoring indicates there has been little to no improvement in Ruppia distribution and abundance in the Coorong South Lagoon, some local community members are reporting that Ruppia abundance and distribution has increased in the southern part of Coorong North Lagoon and in certain areas in the South Lagoon (Glen Hill pers. comm., Jarrod Eaton, pers. comm.). </w:t>
      </w:r>
    </w:p>
    <w:bookmarkEnd w:id="194"/>
    <w:bookmarkEnd w:id="197"/>
    <w:p w14:paraId="1747BA2B" w14:textId="77777777" w:rsidR="00AA0841" w:rsidRPr="00EF32FB" w:rsidRDefault="00AA0841" w:rsidP="00EE5C1C">
      <w:pPr>
        <w:pStyle w:val="Heading5"/>
        <w:spacing w:after="120"/>
        <w:rPr>
          <w:rFonts w:eastAsia="Calibri"/>
        </w:rPr>
      </w:pPr>
      <w:r w:rsidRPr="00EF32FB">
        <w:rPr>
          <w:rFonts w:eastAsia="Calibri"/>
        </w:rPr>
        <w:t>Native Fish</w:t>
      </w:r>
    </w:p>
    <w:p w14:paraId="35BDC2C9" w14:textId="77777777" w:rsidR="00AA0841" w:rsidRPr="00AE1D1F" w:rsidRDefault="00AA0841" w:rsidP="00AA0841">
      <w:pPr>
        <w:rPr>
          <w:rFonts w:eastAsia="Calibri"/>
          <w:i/>
          <w:iCs/>
          <w:color w:val="auto"/>
        </w:rPr>
      </w:pPr>
      <w:bookmarkStart w:id="198" w:name="_Hlk41598514"/>
      <w:r>
        <w:t xml:space="preserve">The 2016-17 flood was beneficial to wetland and floodplain vegetation and waterbird populations in many areas. However, the natural floods also generated a significant hypoxic blackwater event as organic material, accumulated by the lack of frequent, natural, flushing flows, was washed off the floodplain. While environmental flows were used to mitigate the impacts on native fish populations in some localities, the hypoxic blackwater still resulted in large-scale fish kills throughout </w:t>
      </w:r>
      <w:r w:rsidRPr="00E87B00">
        <w:t>the Mid</w:t>
      </w:r>
      <w:r>
        <w:t>-</w:t>
      </w:r>
      <w:r w:rsidRPr="00E87B00">
        <w:t>Murray</w:t>
      </w:r>
      <w:r>
        <w:t xml:space="preserve"> and through parts of the </w:t>
      </w:r>
      <w:r>
        <w:lastRenderedPageBreak/>
        <w:t>Lower Murray.</w:t>
      </w:r>
      <w:r w:rsidRPr="007837DF">
        <w:t xml:space="preserve"> </w:t>
      </w:r>
      <w:r>
        <w:t>There have since been mixed outcomes for fish species across the Murray system, however achieving sustained breeding success across the various key fish species remains a challenge</w:t>
      </w:r>
      <w:r>
        <w:rPr>
          <w:rStyle w:val="CommentReference"/>
        </w:rPr>
        <w:t>.</w:t>
      </w:r>
    </w:p>
    <w:p w14:paraId="4BE67794" w14:textId="77777777" w:rsidR="00AA0841" w:rsidRPr="00426688" w:rsidRDefault="00AA0841" w:rsidP="00AA0841">
      <w:pPr>
        <w:pStyle w:val="DotStyle1"/>
      </w:pPr>
      <w:r>
        <w:t xml:space="preserve">Fish species that occupy flowing river habitats and breed independently of particular flow events are perhaps the best faring native species across the Murray. </w:t>
      </w:r>
      <w:r w:rsidRPr="005E69CC">
        <w:t xml:space="preserve">Murray </w:t>
      </w:r>
      <w:r>
        <w:t>c</w:t>
      </w:r>
      <w:r w:rsidRPr="005E69CC">
        <w:t>od</w:t>
      </w:r>
      <w:r>
        <w:t xml:space="preserve"> and t</w:t>
      </w:r>
      <w:r w:rsidRPr="005E69CC">
        <w:t xml:space="preserve">rout </w:t>
      </w:r>
      <w:r>
        <w:t>c</w:t>
      </w:r>
      <w:r w:rsidRPr="005E69CC">
        <w:t>od</w:t>
      </w:r>
      <w:r>
        <w:t xml:space="preserve"> have bred successfully </w:t>
      </w:r>
      <w:r w:rsidRPr="005E69CC">
        <w:t xml:space="preserve">in the </w:t>
      </w:r>
      <w:r>
        <w:t xml:space="preserve">Mid-Murray </w:t>
      </w:r>
      <w:r w:rsidRPr="005E69CC">
        <w:t>river channel during the spring</w:t>
      </w:r>
      <w:r>
        <w:t xml:space="preserve"> and </w:t>
      </w:r>
      <w:r w:rsidRPr="005E69CC">
        <w:t xml:space="preserve">summer of </w:t>
      </w:r>
      <w:r>
        <w:t xml:space="preserve">most recent years </w:t>
      </w:r>
      <w:r w:rsidRPr="005E69CC">
        <w:t>(ARI, in prep.</w:t>
      </w:r>
      <w:r>
        <w:t>, GB CMA 2020a, Raymond 2018</w:t>
      </w:r>
      <w:r w:rsidRPr="005E69CC">
        <w:t>)</w:t>
      </w:r>
      <w:r>
        <w:t>.</w:t>
      </w:r>
      <w:r w:rsidRPr="005E69CC">
        <w:t xml:space="preserve"> </w:t>
      </w:r>
      <w:r>
        <w:t>The Edward/Kolety-Wakool River systems continue to be a nursery area for Murray cod, with the species’ population slowly recovering since the 2016 flood (Watts et al., 2018 and 2019)</w:t>
      </w:r>
      <w:r w:rsidRPr="00295A02">
        <w:t>.</w:t>
      </w:r>
      <w:r>
        <w:t xml:space="preserve"> Similarly, in the Lower River Murray, Murray cod have successfully bred for six consecutive years following an extended period of unsuccessful breeding, considerably improving the structure of the Murray cod population in the Lower </w:t>
      </w:r>
      <w:r w:rsidRPr="00426688">
        <w:t>Murray (Ye et al. 2020).</w:t>
      </w:r>
    </w:p>
    <w:p w14:paraId="63864B72" w14:textId="77777777" w:rsidR="00AA0841" w:rsidRDefault="00AA0841" w:rsidP="00AA0841">
      <w:pPr>
        <w:pStyle w:val="DotStyle1"/>
      </w:pPr>
      <w:r>
        <w:t>Iconic fish species that are dependent on a distinct flow ‘pulse’ during warmer spring or summer months for their breeding success</w:t>
      </w:r>
      <w:r w:rsidRPr="00F04B2E">
        <w:t>, such</w:t>
      </w:r>
      <w:r>
        <w:t xml:space="preserve"> as golden and silver perch</w:t>
      </w:r>
      <w:r w:rsidRPr="00F04B2E">
        <w:t>,</w:t>
      </w:r>
      <w:r>
        <w:t xml:space="preserve"> have </w:t>
      </w:r>
      <w:r w:rsidRPr="00F04B2E">
        <w:t>bred</w:t>
      </w:r>
      <w:r>
        <w:t xml:space="preserve"> in the Mid Murray </w:t>
      </w:r>
      <w:r w:rsidRPr="005E69CC">
        <w:t>(</w:t>
      </w:r>
      <w:r>
        <w:t>Raymond et al. in prep., GB CMA 2020a</w:t>
      </w:r>
      <w:r w:rsidRPr="005E69CC">
        <w:t>)</w:t>
      </w:r>
      <w:r>
        <w:t>. In the Edward/Kolety-Wakool River systems, silver perch are benefitting from nursery habitat and winter flows that allow movement throughout the year (</w:t>
      </w:r>
      <w:r w:rsidRPr="00426688">
        <w:t>Watts et al. 2019). However, there has been a sustained lack of breeding success for golden perch in both the Edward/Kolety-Wakool and Lower River Murray areas for several years (Ye et al. 2020</w:t>
      </w:r>
      <w:r>
        <w:t xml:space="preserve">, </w:t>
      </w:r>
      <w:r w:rsidRPr="00426688">
        <w:t>Watts</w:t>
      </w:r>
      <w:r>
        <w:t xml:space="preserve"> et al. 2019), which is a concerning trend.   </w:t>
      </w:r>
    </w:p>
    <w:p w14:paraId="320936B9" w14:textId="77777777" w:rsidR="00AA0841" w:rsidRDefault="00AA0841" w:rsidP="00AA0841">
      <w:pPr>
        <w:pStyle w:val="DotStyle1"/>
      </w:pPr>
      <w:r>
        <w:t>The condition of species that occupy floodplain wetland sites is variable, dependent on location. Overall this category of fish species has been heavily affected by reduced flows to floodplain wetland sites and introduced species, such as carp</w:t>
      </w:r>
      <w:r w:rsidRPr="00295A02">
        <w:t>.</w:t>
      </w:r>
      <w:r>
        <w:t xml:space="preserve"> For example, monitoring of the Lower Lakes in late 2018 failed to detect</w:t>
      </w:r>
      <w:r w:rsidRPr="00295A02">
        <w:t xml:space="preserve"> </w:t>
      </w:r>
      <w:r w:rsidRPr="00F04B2E">
        <w:t xml:space="preserve">Yarra </w:t>
      </w:r>
      <w:r>
        <w:t>p</w:t>
      </w:r>
      <w:r w:rsidRPr="00F04B2E">
        <w:t xml:space="preserve">ygmy </w:t>
      </w:r>
      <w:r>
        <w:t>p</w:t>
      </w:r>
      <w:r w:rsidRPr="00F04B2E">
        <w:t>erch, which is now considered likely to be extinct in the Murray-Darling Basin (Wedderburn et al. 2019)</w:t>
      </w:r>
      <w:r>
        <w:t>. However, there have been some success stories as a result of providing water for the environment.</w:t>
      </w:r>
    </w:p>
    <w:p w14:paraId="268516AC" w14:textId="77777777" w:rsidR="00AA0841" w:rsidRDefault="00AA0841" w:rsidP="00AA0841">
      <w:pPr>
        <w:pStyle w:val="DotStyle2"/>
      </w:pPr>
      <w:r w:rsidRPr="00787A37">
        <w:t>Populations of the nationally endangered Murray hardyhead have been maintained at several locations, with two new populations established in recent years.</w:t>
      </w:r>
    </w:p>
    <w:p w14:paraId="5AC3988D" w14:textId="77777777" w:rsidR="00AA0841" w:rsidRDefault="00AA0841" w:rsidP="00AA0841">
      <w:pPr>
        <w:pStyle w:val="DotStyle2"/>
      </w:pPr>
      <w:bookmarkStart w:id="199" w:name="_Hlk42683178"/>
      <w:r>
        <w:t xml:space="preserve">Increased variability in water levels in the Lower Lakes has benefited fringing and submergent vegetation </w:t>
      </w:r>
      <w:r w:rsidRPr="00787A37">
        <w:t>(Nicol et al. 2019)</w:t>
      </w:r>
      <w:r>
        <w:t xml:space="preserve">. In turn, small-bodied fish species have also demonstrated positive responses. </w:t>
      </w:r>
      <w:r w:rsidRPr="00787A37">
        <w:t xml:space="preserve">Murray hardyhead have become more abundant and expanded in range after successful spawning and recruitment in the Lower Lakes in 2018-19 and 2019-20. </w:t>
      </w:r>
      <w:r>
        <w:t>For</w:t>
      </w:r>
      <w:r w:rsidRPr="00787A37">
        <w:t xml:space="preserve"> southern pygmy perch, </w:t>
      </w:r>
      <w:r>
        <w:t xml:space="preserve">high spring lake levels and </w:t>
      </w:r>
      <w:r w:rsidRPr="00787A37">
        <w:t xml:space="preserve">improved </w:t>
      </w:r>
      <w:r>
        <w:t>submergent</w:t>
      </w:r>
      <w:r w:rsidRPr="009C0864">
        <w:t xml:space="preserve"> vegetation </w:t>
      </w:r>
      <w:r>
        <w:t xml:space="preserve">habitat </w:t>
      </w:r>
      <w:r w:rsidRPr="00787A37">
        <w:t>ha</w:t>
      </w:r>
      <w:r>
        <w:t xml:space="preserve">ve favoured spawning and some </w:t>
      </w:r>
      <w:r w:rsidRPr="00787A37">
        <w:t>additional populations</w:t>
      </w:r>
      <w:r>
        <w:t xml:space="preserve"> have been</w:t>
      </w:r>
      <w:r w:rsidRPr="00787A37">
        <w:t xml:space="preserve"> </w:t>
      </w:r>
      <w:r>
        <w:t>observed, however consecutive years with lake levels dropping to 0.5m have not supported strong recruitment or population recovery as preferred habitat is reduced at minimum</w:t>
      </w:r>
      <w:r w:rsidRPr="00787A37">
        <w:t xml:space="preserve"> (Wedderburn et al. 2019).</w:t>
      </w:r>
    </w:p>
    <w:p w14:paraId="1CC051C9" w14:textId="77777777" w:rsidR="00AA0841" w:rsidRDefault="00AA0841" w:rsidP="00AA0841">
      <w:pPr>
        <w:pStyle w:val="DotStyle1"/>
      </w:pPr>
      <w:bookmarkStart w:id="200" w:name="_Hlk41462506"/>
      <w:bookmarkStart w:id="201" w:name="_Hlk41488034"/>
      <w:bookmarkEnd w:id="199"/>
      <w:r>
        <w:t xml:space="preserve">Diadromous fish species </w:t>
      </w:r>
      <w:r w:rsidRPr="007026BD">
        <w:t>spend portions of their life cycles partially in fresh water and partially in salt water</w:t>
      </w:r>
      <w:r>
        <w:t>. Water for the environment has been solely responsible for maintaining the connection between the River Murray and its estuary, the Coorong, for extended periods since the Millennium drought. This connection is having clear benefits for diadromous fish species.</w:t>
      </w:r>
    </w:p>
    <w:p w14:paraId="190E4977" w14:textId="77777777" w:rsidR="00AA0841" w:rsidRPr="00CF431F" w:rsidRDefault="00AA0841" w:rsidP="00AA0841">
      <w:pPr>
        <w:pStyle w:val="DotStyle2"/>
      </w:pPr>
      <w:r w:rsidRPr="00295A02">
        <w:t xml:space="preserve">For example, </w:t>
      </w:r>
      <w:r w:rsidRPr="00CF431F">
        <w:t>monitoring undertaken in the Lower Lakes in late spring 2019 recorded the native congolli as the most abundant fish species for the first time since surveys began in the mid 2000’s. Congolli are a key part of the Coorong and Lower Lakes food web as a major prey item for larger predators including mulloway, pelicans, cormorants and golden perch, thus the high abundance of congolli is a strong positive indicator of available food resources for other species (DEW 2020).</w:t>
      </w:r>
    </w:p>
    <w:p w14:paraId="54250B9B" w14:textId="77777777" w:rsidR="00AA0841" w:rsidRPr="00C6658F" w:rsidRDefault="00AA0841" w:rsidP="00AA0841">
      <w:pPr>
        <w:pStyle w:val="DotStyle2"/>
      </w:pPr>
      <w:r w:rsidRPr="00CF431F">
        <w:t>Pouched lamprey has also been detected moving upstream during winter/spring for several consecutive years, and for the last two years short-headed lamprey were detected for the first time since 2006-07, suggesting</w:t>
      </w:r>
      <w:r>
        <w:t xml:space="preserve"> that numbers of both species are gradually recovering </w:t>
      </w:r>
      <w:r w:rsidRPr="00295A02">
        <w:t xml:space="preserve">(Bice et al. 2020). </w:t>
      </w:r>
    </w:p>
    <w:bookmarkEnd w:id="200"/>
    <w:bookmarkEnd w:id="201"/>
    <w:p w14:paraId="2C3B2E0C" w14:textId="77777777" w:rsidR="00AA0841" w:rsidRPr="00C6658F" w:rsidRDefault="00AA0841" w:rsidP="00AA0841">
      <w:pPr>
        <w:pStyle w:val="DotStyle1"/>
      </w:pPr>
      <w:r w:rsidRPr="00DC471D">
        <w:t>Outcomes for estuarine fish species in the Coorong have been variable, influenced by both the continuous connection between the lakes and the Coorong and low flows in ongoing drought conditions. Sustained connection ha</w:t>
      </w:r>
      <w:r>
        <w:t>s</w:t>
      </w:r>
      <w:r w:rsidRPr="00DC471D">
        <w:t xml:space="preserve"> supported increasing abundances of congolli and common galaxias</w:t>
      </w:r>
      <w:r>
        <w:t>,</w:t>
      </w:r>
      <w:r w:rsidRPr="00DC471D">
        <w:t xml:space="preserve"> which </w:t>
      </w:r>
      <w:r>
        <w:t>need connection but are</w:t>
      </w:r>
      <w:r w:rsidRPr="00DC471D">
        <w:t xml:space="preserve"> not </w:t>
      </w:r>
      <w:r>
        <w:t>particularly</w:t>
      </w:r>
      <w:r w:rsidRPr="00DC471D">
        <w:t xml:space="preserve"> flow </w:t>
      </w:r>
      <w:r>
        <w:t>dependent</w:t>
      </w:r>
      <w:r w:rsidRPr="00DC471D">
        <w:t xml:space="preserve">. On the other hand, </w:t>
      </w:r>
      <w:r>
        <w:t xml:space="preserve">while </w:t>
      </w:r>
      <w:r w:rsidRPr="00DC471D">
        <w:t xml:space="preserve">black bream spawned and recruited in early 2018 during a small flow pulse, barrage flows in </w:t>
      </w:r>
      <w:r>
        <w:t xml:space="preserve">late </w:t>
      </w:r>
      <w:r w:rsidRPr="00DC471D">
        <w:t>spring/summer 2018</w:t>
      </w:r>
      <w:r>
        <w:t>-</w:t>
      </w:r>
      <w:r w:rsidRPr="00DC471D">
        <w:t>19 and 2019</w:t>
      </w:r>
      <w:r>
        <w:t>-</w:t>
      </w:r>
      <w:r w:rsidRPr="00DC471D">
        <w:t xml:space="preserve">20 were </w:t>
      </w:r>
      <w:r>
        <w:t xml:space="preserve">comparatively </w:t>
      </w:r>
      <w:r w:rsidRPr="00DC471D">
        <w:t>low and recruitment has not been detected. (Ye et al. 2019, Ye pers</w:t>
      </w:r>
      <w:r>
        <w:t>.</w:t>
      </w:r>
      <w:r w:rsidRPr="00DC471D">
        <w:t xml:space="preserve"> comm</w:t>
      </w:r>
      <w:r>
        <w:t>.</w:t>
      </w:r>
      <w:r w:rsidRPr="00DC471D">
        <w:t xml:space="preserve"> </w:t>
      </w:r>
      <w:r w:rsidRPr="00DC471D">
        <w:lastRenderedPageBreak/>
        <w:t>2020)</w:t>
      </w:r>
      <w:r>
        <w:t>.</w:t>
      </w:r>
      <w:r w:rsidRPr="00BA3FB3">
        <w:t xml:space="preserve"> Autumn ‘pulsing’ of flows from the barrages in line with tide and storm conditions has been linked to improvements in range and condition in commercial Coorong fish such as Coorong mullet (Glen Hill pers</w:t>
      </w:r>
      <w:r>
        <w:t>.</w:t>
      </w:r>
      <w:r w:rsidRPr="00BA3FB3">
        <w:t xml:space="preserve"> </w:t>
      </w:r>
      <w:r>
        <w:t>c</w:t>
      </w:r>
      <w:r w:rsidRPr="00BA3FB3">
        <w:t>omm</w:t>
      </w:r>
      <w:r>
        <w:t>.</w:t>
      </w:r>
      <w:r w:rsidRPr="00BA3FB3">
        <w:t xml:space="preserve"> 2020).</w:t>
      </w:r>
    </w:p>
    <w:bookmarkEnd w:id="198"/>
    <w:p w14:paraId="75625C0C" w14:textId="77777777" w:rsidR="00AA0841" w:rsidRDefault="00AA0841" w:rsidP="00EE5C1C">
      <w:pPr>
        <w:pStyle w:val="Heading5"/>
        <w:spacing w:after="120"/>
        <w:rPr>
          <w:rFonts w:eastAsia="Calibri"/>
        </w:rPr>
      </w:pPr>
      <w:r w:rsidRPr="00EF32FB">
        <w:rPr>
          <w:rFonts w:eastAsia="Calibri"/>
        </w:rPr>
        <w:t xml:space="preserve">Waterbirds </w:t>
      </w:r>
    </w:p>
    <w:p w14:paraId="59722275" w14:textId="77777777" w:rsidR="00AA0841" w:rsidRDefault="00AA0841" w:rsidP="00AA0841">
      <w:pPr>
        <w:rPr>
          <w:rFonts w:eastAsia="Calibri"/>
        </w:rPr>
      </w:pPr>
      <w:bookmarkStart w:id="202" w:name="_Hlk41598402"/>
      <w:r w:rsidRPr="00582107">
        <w:rPr>
          <w:rFonts w:eastAsia="Calibri"/>
        </w:rPr>
        <w:t>Basin scale monitoring of waterbirds in the Murray</w:t>
      </w:r>
      <w:r>
        <w:rPr>
          <w:rFonts w:eastAsia="Calibri"/>
        </w:rPr>
        <w:t>-</w:t>
      </w:r>
      <w:r w:rsidRPr="00582107">
        <w:rPr>
          <w:rFonts w:eastAsia="Calibri"/>
        </w:rPr>
        <w:t xml:space="preserve">Darling Basin indicates waterbird numbers are declining over the long term (since the 1980s). </w:t>
      </w:r>
      <w:r w:rsidRPr="00DD7E4D">
        <w:rPr>
          <w:szCs w:val="22"/>
        </w:rPr>
        <w:t>Waterbird breeding has generally been limited across the Murray system for several consecutive years</w:t>
      </w:r>
      <w:r>
        <w:rPr>
          <w:szCs w:val="22"/>
        </w:rPr>
        <w:t>. This may be due to a lack of natural breeding cues resulting from</w:t>
      </w:r>
      <w:r w:rsidRPr="00DD7E4D">
        <w:rPr>
          <w:szCs w:val="22"/>
        </w:rPr>
        <w:t xml:space="preserve"> below average rainfall conditions through most of winter and spring, as well as limited foraging and nesting habitat availability and condition</w:t>
      </w:r>
      <w:r>
        <w:rPr>
          <w:szCs w:val="22"/>
        </w:rPr>
        <w:t xml:space="preserve">. </w:t>
      </w:r>
      <w:r>
        <w:t xml:space="preserve">Aerial waterbird </w:t>
      </w:r>
      <w:r w:rsidRPr="00D33C8D">
        <w:t xml:space="preserve">surveys indicate a significant proportion of the waterbird breeding in the past two years in the Murray valley (and more broadly) has occurred </w:t>
      </w:r>
      <w:r w:rsidRPr="00D33C8D">
        <w:rPr>
          <w:rFonts w:eastAsia="Calibri"/>
        </w:rPr>
        <w:t xml:space="preserve">at the Coorong and Lower Lakes </w:t>
      </w:r>
      <w:r w:rsidRPr="00EE7044">
        <w:t>(Kingsford et al. 2019</w:t>
      </w:r>
      <w:r>
        <w:t>).</w:t>
      </w:r>
    </w:p>
    <w:p w14:paraId="0AA0C424" w14:textId="77777777" w:rsidR="00AA0841" w:rsidRDefault="00AA0841" w:rsidP="00AA0841">
      <w:r w:rsidRPr="00582107">
        <w:rPr>
          <w:rFonts w:eastAsia="Calibri"/>
        </w:rPr>
        <w:t>Other notable points in relation to waterbird</w:t>
      </w:r>
      <w:r>
        <w:rPr>
          <w:rFonts w:eastAsia="Calibri"/>
        </w:rPr>
        <w:t>s</w:t>
      </w:r>
      <w:r w:rsidRPr="00582107">
        <w:rPr>
          <w:rFonts w:eastAsia="Calibri"/>
        </w:rPr>
        <w:t xml:space="preserve"> in the Murray valley include:</w:t>
      </w:r>
    </w:p>
    <w:p w14:paraId="54914031" w14:textId="77777777" w:rsidR="00AA0841" w:rsidRPr="00CF431F" w:rsidRDefault="00AA0841" w:rsidP="00AA0841">
      <w:pPr>
        <w:pStyle w:val="DotStyle1"/>
      </w:pPr>
      <w:r w:rsidRPr="00CF431F">
        <w:t>Barmah-Millewa Forest continues to provide a haven for bitterns, a species where survival is threatened by habitat loss, drought and fire (pers comms NSW NPWS, 2019). Up to twenty five percent of the estimated remaining population are thought to rely on use of the Barmah-Millewa wetlands (Belcher et al. 2018).</w:t>
      </w:r>
    </w:p>
    <w:p w14:paraId="63586A98" w14:textId="77777777" w:rsidR="00AA0841" w:rsidRPr="00CF431F" w:rsidRDefault="00AA0841" w:rsidP="00AA0841">
      <w:pPr>
        <w:pStyle w:val="DotStyle1"/>
      </w:pPr>
      <w:bookmarkStart w:id="203" w:name="_Hlk41635934"/>
      <w:r w:rsidRPr="00CF431F">
        <w:t>The nationally vulnerable regent parrot has experienced a 12 per cent population decline in recent years due to a decline in river red gum health. Survey results from 2019-20 have shown a further decrease in nesting, but there are some indications that birds are moving into areas that are receiving environmental water as this is helping to maintain or restore tree condition (SA Regent Parrot Recovery Team, pers. comm.).</w:t>
      </w:r>
      <w:bookmarkEnd w:id="203"/>
    </w:p>
    <w:p w14:paraId="51FE3E68" w14:textId="77777777" w:rsidR="00AA0841" w:rsidRDefault="00AA0841" w:rsidP="00AA0841">
      <w:pPr>
        <w:pStyle w:val="DotStyle1"/>
      </w:pPr>
      <w:bookmarkStart w:id="204" w:name="_Hlk41462779"/>
      <w:r w:rsidRPr="00CF431F">
        <w:t>The annual summer census of waterbirds in the Coorong and Lower Lakes observed low numbers of shorebirds including migratory waders, with many species having abundances below their long-term medians. Birds that were present were spending up to 80 percent of their time foraging, highlighting low food abundance within the mudflats</w:t>
      </w:r>
      <w:bookmarkEnd w:id="204"/>
      <w:r w:rsidRPr="00CF431F">
        <w:t>, a consistent observation in recent years (Adrienne Rumbelow pers. comm. 2020</w:t>
      </w:r>
      <w:r>
        <w:t>, Paton et al. 2018).</w:t>
      </w:r>
      <w:bookmarkEnd w:id="192"/>
      <w:r>
        <w:t xml:space="preserve"> </w:t>
      </w:r>
    </w:p>
    <w:bookmarkEnd w:id="202"/>
    <w:p w14:paraId="21ACF8EB" w14:textId="77777777" w:rsidR="00AA0841" w:rsidRDefault="00AA0841" w:rsidP="00AA0841">
      <w:r w:rsidRPr="00365FE2">
        <w:t xml:space="preserve">Details of previous Commonwealth environmental use in the </w:t>
      </w:r>
      <w:r>
        <w:t xml:space="preserve">River Murray </w:t>
      </w:r>
      <w:r w:rsidRPr="00365FE2">
        <w:t xml:space="preserve">are available at: </w:t>
      </w:r>
      <w:hyperlink r:id="rId299" w:history="1">
        <w:r w:rsidRPr="00E117AF">
          <w:rPr>
            <w:rStyle w:val="Hyperlink"/>
          </w:rPr>
          <w:t>http://www.environment.gov.au/water/cewo/catchment/mid-murray/history</w:t>
        </w:r>
      </w:hyperlink>
    </w:p>
    <w:p w14:paraId="03D620BF" w14:textId="77777777" w:rsidR="00AA0841" w:rsidRDefault="00030BA8" w:rsidP="00AA0841">
      <w:hyperlink r:id="rId300" w:history="1">
        <w:r w:rsidR="00AA0841" w:rsidRPr="00E117AF">
          <w:rPr>
            <w:rStyle w:val="Hyperlink"/>
          </w:rPr>
          <w:t>http://www.environment.gov.au/water/cewo/catchment/lower-murray-darling</w:t>
        </w:r>
      </w:hyperlink>
      <w:r w:rsidR="00AA0841">
        <w:rPr>
          <w:rStyle w:val="Hyperlink"/>
        </w:rPr>
        <w:t>/history</w:t>
      </w:r>
    </w:p>
    <w:p w14:paraId="48B2FCE7" w14:textId="77777777" w:rsidR="00AA0841" w:rsidRPr="00365FE2" w:rsidRDefault="00AA0841" w:rsidP="0057535E">
      <w:pPr>
        <w:pStyle w:val="Heading4"/>
      </w:pPr>
      <w:r w:rsidRPr="00365FE2">
        <w:t>Seasonal outlook</w:t>
      </w:r>
    </w:p>
    <w:p w14:paraId="159D08A1" w14:textId="77777777" w:rsidR="00AA0841" w:rsidRPr="00365FE2" w:rsidRDefault="00AA0841" w:rsidP="00AA0841">
      <w:pPr>
        <w:rPr>
          <w:rFonts w:eastAsia="Calibri"/>
        </w:rPr>
      </w:pPr>
      <w:bookmarkStart w:id="205" w:name="_Hlk40953964"/>
      <w:r w:rsidRPr="00365FE2">
        <w:rPr>
          <w:rFonts w:eastAsia="Calibri"/>
        </w:rPr>
        <w:t>According to the Bureau of Meteorology outlook</w:t>
      </w:r>
      <w:r>
        <w:rPr>
          <w:rFonts w:eastAsia="Calibri"/>
        </w:rPr>
        <w:t xml:space="preserve"> (BoM 2020)</w:t>
      </w:r>
      <w:r w:rsidRPr="00365FE2">
        <w:rPr>
          <w:rFonts w:eastAsia="Calibri"/>
        </w:rPr>
        <w:t xml:space="preserve">, across the </w:t>
      </w:r>
      <w:r>
        <w:rPr>
          <w:rFonts w:eastAsia="Calibri"/>
        </w:rPr>
        <w:t xml:space="preserve">Murray River valley there is a 60 to 75 per cent chance </w:t>
      </w:r>
      <w:r w:rsidRPr="00365FE2">
        <w:rPr>
          <w:rFonts w:eastAsia="Calibri"/>
        </w:rPr>
        <w:t>of above median rainfall between</w:t>
      </w:r>
      <w:r>
        <w:rPr>
          <w:rFonts w:eastAsia="Calibri"/>
        </w:rPr>
        <w:t xml:space="preserve"> </w:t>
      </w:r>
      <w:r w:rsidRPr="003A2A6E">
        <w:rPr>
          <w:rFonts w:eastAsia="Calibri"/>
        </w:rPr>
        <w:t>Ju</w:t>
      </w:r>
      <w:r>
        <w:rPr>
          <w:rFonts w:eastAsia="Calibri"/>
        </w:rPr>
        <w:t xml:space="preserve">ly and September </w:t>
      </w:r>
      <w:r w:rsidRPr="00365FE2">
        <w:rPr>
          <w:rFonts w:eastAsia="Calibri"/>
        </w:rPr>
        <w:t>2020.</w:t>
      </w:r>
    </w:p>
    <w:p w14:paraId="4460D2BE" w14:textId="77777777" w:rsidR="00AA0841" w:rsidRDefault="00AA0841" w:rsidP="00AA0841">
      <w:pPr>
        <w:rPr>
          <w:rFonts w:eastAsia="Calibri"/>
        </w:rPr>
      </w:pPr>
      <w:r w:rsidRPr="00365FE2">
        <w:rPr>
          <w:rFonts w:eastAsia="Calibri"/>
        </w:rPr>
        <w:t>While this forecast indicates that the severe dry conditions may ease somewhat, several months of above average rainfall are needed to see a recovery from the current long-term drought.</w:t>
      </w:r>
      <w:r>
        <w:rPr>
          <w:rFonts w:eastAsia="Calibri"/>
        </w:rPr>
        <w:t xml:space="preserve"> Additionally, maximum temperatures are likely to remain slightly below average over the coming months.</w:t>
      </w:r>
    </w:p>
    <w:bookmarkEnd w:id="205"/>
    <w:p w14:paraId="51819D16" w14:textId="77777777" w:rsidR="00AA0841" w:rsidRDefault="00AA0841" w:rsidP="0057535E">
      <w:pPr>
        <w:pStyle w:val="Heading4"/>
      </w:pPr>
      <w:r w:rsidRPr="00365FE2">
        <w:t>Water availability</w:t>
      </w:r>
      <w:r>
        <w:t xml:space="preserve"> </w:t>
      </w:r>
    </w:p>
    <w:p w14:paraId="74743B91" w14:textId="77777777" w:rsidR="00AA0841" w:rsidRDefault="00AA0841" w:rsidP="00AA0841">
      <w:r w:rsidRPr="00197113">
        <w:t xml:space="preserve">The volume of Commonwealth environmental to be carried over in </w:t>
      </w:r>
      <w:r>
        <w:t xml:space="preserve">the River Murray valley </w:t>
      </w:r>
      <w:r w:rsidRPr="00197113">
        <w:t xml:space="preserve">for use in </w:t>
      </w:r>
      <w:r w:rsidRPr="000529BC">
        <w:t>2020</w:t>
      </w:r>
      <w:r>
        <w:t>-</w:t>
      </w:r>
      <w:r w:rsidRPr="000529BC">
        <w:t>2</w:t>
      </w:r>
      <w:r>
        <w:t>1</w:t>
      </w:r>
      <w:r w:rsidRPr="00197113">
        <w:t xml:space="preserve"> is </w:t>
      </w:r>
      <w:r w:rsidRPr="00F42136">
        <w:t>13</w:t>
      </w:r>
      <w:r>
        <w:t>8</w:t>
      </w:r>
      <w:r w:rsidRPr="00F42136">
        <w:t xml:space="preserve"> gigalitres</w:t>
      </w:r>
      <w:r w:rsidRPr="00197113">
        <w:t xml:space="preserve">. Total carryover in the </w:t>
      </w:r>
      <w:r>
        <w:t>S</w:t>
      </w:r>
      <w:r w:rsidRPr="00197113">
        <w:t>outhern-connected Basin</w:t>
      </w:r>
      <w:r>
        <w:rPr>
          <w:rStyle w:val="FootnoteReference"/>
        </w:rPr>
        <w:footnoteReference w:id="45"/>
      </w:r>
      <w:r w:rsidRPr="00197113">
        <w:t xml:space="preserve"> is </w:t>
      </w:r>
      <w:r w:rsidRPr="00F42136">
        <w:t>26</w:t>
      </w:r>
      <w:r>
        <w:t>7</w:t>
      </w:r>
      <w:r w:rsidRPr="00F42136">
        <w:t xml:space="preserve"> gigalitres</w:t>
      </w:r>
      <w:r w:rsidRPr="00197113">
        <w:t xml:space="preserve">. </w:t>
      </w:r>
    </w:p>
    <w:p w14:paraId="2A1E1D11" w14:textId="77777777" w:rsidR="00AA0841" w:rsidRDefault="00AA0841" w:rsidP="00AA0841">
      <w:pPr>
        <w:rPr>
          <w:rFonts w:eastAsia="Calibri"/>
        </w:rPr>
      </w:pPr>
      <w:r>
        <w:rPr>
          <w:rFonts w:eastAsia="Calibri"/>
        </w:rPr>
        <w:t>Allocations will vary depending on conditions. In the Murray, allocations against Commonwealth entitlements in 2020-21 could range from 498 gigalitres under very dry conditions, to 1 068 gigalitres in very wet conditions.</w:t>
      </w:r>
    </w:p>
    <w:p w14:paraId="604DE486" w14:textId="77777777" w:rsidR="00AA0841" w:rsidRPr="00365FE2" w:rsidRDefault="00AA0841" w:rsidP="0057535E">
      <w:pPr>
        <w:pStyle w:val="Heading4"/>
      </w:pPr>
      <w:r w:rsidRPr="00365FE2">
        <w:lastRenderedPageBreak/>
        <w:t>Environmental demands</w:t>
      </w:r>
    </w:p>
    <w:p w14:paraId="2744D03B" w14:textId="77777777" w:rsidR="00AA0841" w:rsidRDefault="00AA0841" w:rsidP="00AA0841">
      <w:r>
        <w:t xml:space="preserve">While current and forecast conditions may signal improving conditions, years of drought conditions have had a significant impact on the environment. However, due to drought conditions in preceding years, there are several environmental demands that require water urgently in 2020-21. Without future significant rainfall and inflows to the system there is a need to avoid further damage to key assets through application of environmental water. </w:t>
      </w:r>
    </w:p>
    <w:p w14:paraId="15F54253" w14:textId="2D5F4D76" w:rsidR="00AA0841" w:rsidRPr="00365FE2" w:rsidRDefault="00AA0841" w:rsidP="00AA0841">
      <w:r w:rsidRPr="00365FE2">
        <w:t xml:space="preserve">The environmental water demands for assets in the </w:t>
      </w:r>
      <w:r>
        <w:t xml:space="preserve">River Murray </w:t>
      </w:r>
      <w:r w:rsidRPr="00365FE2">
        <w:t>in 2020</w:t>
      </w:r>
      <w:r>
        <w:t>-</w:t>
      </w:r>
      <w:r w:rsidRPr="00365FE2">
        <w:t xml:space="preserve">21 are represented in </w:t>
      </w:r>
      <w:r>
        <w:fldChar w:fldCharType="begin"/>
      </w:r>
      <w:r>
        <w:instrText xml:space="preserve"> REF _Ref43131585 \h </w:instrText>
      </w:r>
      <w:r>
        <w:fldChar w:fldCharType="separate"/>
      </w:r>
      <w:r w:rsidR="001B2852" w:rsidRPr="00C81F74">
        <w:rPr>
          <w:szCs w:val="22"/>
        </w:rPr>
        <w:t xml:space="preserve">Table </w:t>
      </w:r>
      <w:r w:rsidR="001B2852">
        <w:rPr>
          <w:noProof/>
          <w:szCs w:val="22"/>
        </w:rPr>
        <w:t>47</w:t>
      </w:r>
      <w:r>
        <w:fldChar w:fldCharType="end"/>
      </w:r>
      <w:r>
        <w:t xml:space="preserve">, </w:t>
      </w:r>
      <w:r>
        <w:fldChar w:fldCharType="begin"/>
      </w:r>
      <w:r>
        <w:instrText xml:space="preserve"> REF _Ref43377531 \h </w:instrText>
      </w:r>
      <w:r>
        <w:fldChar w:fldCharType="separate"/>
      </w:r>
      <w:r w:rsidR="001B2852" w:rsidRPr="00C81F74">
        <w:rPr>
          <w:szCs w:val="22"/>
        </w:rPr>
        <w:t xml:space="preserve">Table </w:t>
      </w:r>
      <w:r w:rsidR="001B2852">
        <w:rPr>
          <w:noProof/>
          <w:szCs w:val="22"/>
        </w:rPr>
        <w:t>48</w:t>
      </w:r>
      <w:r>
        <w:fldChar w:fldCharType="end"/>
      </w:r>
      <w:r>
        <w:t xml:space="preserve"> and </w:t>
      </w:r>
      <w:r>
        <w:fldChar w:fldCharType="begin"/>
      </w:r>
      <w:r>
        <w:instrText xml:space="preserve"> REF _Ref43377559 \h </w:instrText>
      </w:r>
      <w:r>
        <w:fldChar w:fldCharType="separate"/>
      </w:r>
      <w:r w:rsidR="001B2852" w:rsidRPr="00C81F74">
        <w:rPr>
          <w:szCs w:val="22"/>
        </w:rPr>
        <w:t xml:space="preserve">Table </w:t>
      </w:r>
      <w:r w:rsidR="001B2852">
        <w:rPr>
          <w:noProof/>
          <w:szCs w:val="22"/>
        </w:rPr>
        <w:t>49</w:t>
      </w:r>
      <w:r>
        <w:fldChar w:fldCharType="end"/>
      </w:r>
      <w:r>
        <w:t xml:space="preserve"> below.</w:t>
      </w:r>
      <w:r w:rsidRPr="00365FE2">
        <w:t xml:space="preserve"> Note that the capacity to contribute to </w:t>
      </w:r>
      <w:r>
        <w:t xml:space="preserve">many of </w:t>
      </w:r>
      <w:r w:rsidRPr="00365FE2">
        <w:t>these environmental demands is contingent on a substantial improvement in water availability in the catchment.</w:t>
      </w:r>
    </w:p>
    <w:p w14:paraId="7CFE2A4A" w14:textId="77777777" w:rsidR="00AA0841" w:rsidRPr="0072174A" w:rsidRDefault="00AA0841" w:rsidP="00AA0841">
      <w:r w:rsidRPr="0072174A">
        <w:t>Looking across the demands for the Murray valley (identified in</w:t>
      </w:r>
      <w:r>
        <w:t xml:space="preserve"> T</w:t>
      </w:r>
      <w:r w:rsidRPr="0072174A">
        <w:t xml:space="preserve">able </w:t>
      </w:r>
      <w:r>
        <w:t>4)</w:t>
      </w:r>
      <w:r w:rsidRPr="0072174A">
        <w:t xml:space="preserve">, they can be summarised as following: </w:t>
      </w:r>
    </w:p>
    <w:p w14:paraId="3DA9454E" w14:textId="77777777" w:rsidR="00AA0841" w:rsidRDefault="00AA0841" w:rsidP="00AA0841">
      <w:pPr>
        <w:pStyle w:val="DotStyle1"/>
      </w:pPr>
      <w:r w:rsidRPr="0072174A">
        <w:t xml:space="preserve">Critical environmental demand for water have </w:t>
      </w:r>
      <w:r>
        <w:t xml:space="preserve">been identified for ameliorating hypoxic conditions </w:t>
      </w:r>
      <w:r w:rsidRPr="0072174A">
        <w:t>in the Edward/Kolety Wakool System, which has suffered from multiple hypoxic events in recent years</w:t>
      </w:r>
      <w:r>
        <w:t>.</w:t>
      </w:r>
    </w:p>
    <w:p w14:paraId="21D494E2" w14:textId="77777777" w:rsidR="00AA0841" w:rsidRDefault="00AA0841" w:rsidP="00AA0841">
      <w:pPr>
        <w:pStyle w:val="DotStyle1"/>
      </w:pPr>
      <w:r>
        <w:t xml:space="preserve">Critical environmental water demand for low level floodplain wetlands in South Australia that are suffering significant tree canopy cover loss and at risk of irretrievable damage.  </w:t>
      </w:r>
    </w:p>
    <w:p w14:paraId="736069E1" w14:textId="77777777" w:rsidR="00AA0841" w:rsidRPr="0072174A" w:rsidRDefault="00AA0841" w:rsidP="00AA0841">
      <w:pPr>
        <w:pStyle w:val="DotStyle1"/>
      </w:pPr>
      <w:r w:rsidRPr="0072174A">
        <w:t xml:space="preserve">High environmental demands for water are generally </w:t>
      </w:r>
      <w:r>
        <w:t xml:space="preserve">related to </w:t>
      </w:r>
      <w:r w:rsidRPr="0072174A">
        <w:t>sites/reaches that require frequent watering (an annual or biannual flow regime), for medium to high</w:t>
      </w:r>
      <w:r>
        <w:t xml:space="preserve"> elevation</w:t>
      </w:r>
      <w:r w:rsidRPr="0072174A">
        <w:t xml:space="preserve"> floodplain wetlands that require larger but less often watering and end of system environments. </w:t>
      </w:r>
    </w:p>
    <w:p w14:paraId="54CADD64" w14:textId="77777777" w:rsidR="00AA0841" w:rsidRPr="0072174A" w:rsidRDefault="00AA0841" w:rsidP="00AA0841">
      <w:pPr>
        <w:pStyle w:val="DotStyle1"/>
      </w:pPr>
      <w:r w:rsidRPr="0072174A">
        <w:t xml:space="preserve">Moderate environmental demands for water have been identified for both in-channel </w:t>
      </w:r>
      <w:r>
        <w:t>(</w:t>
      </w:r>
      <w:r w:rsidRPr="0072174A">
        <w:t>large fresh</w:t>
      </w:r>
      <w:r>
        <w:t>)</w:t>
      </w:r>
      <w:r w:rsidRPr="0072174A">
        <w:t xml:space="preserve"> and floodplain wetlands that have recently had their requirements met through either natural floods or managed environmental deliveries.</w:t>
      </w:r>
    </w:p>
    <w:p w14:paraId="059C1A87" w14:textId="77777777" w:rsidR="00AA0841" w:rsidRDefault="00AA0841" w:rsidP="00AA0841">
      <w:pPr>
        <w:pStyle w:val="DotStyle1"/>
      </w:pPr>
      <w:r>
        <w:t xml:space="preserve">Low environmental demands for water were identified at floodplain wetlands sites that can be easily watered via environmental watering infrastructure (as these sites have been able to be watered in recent years). </w:t>
      </w:r>
    </w:p>
    <w:p w14:paraId="50B24E4F" w14:textId="77777777" w:rsidR="00AA0841" w:rsidRPr="000F4C60" w:rsidRDefault="00AA0841" w:rsidP="00AA0841">
      <w:pPr>
        <w:pStyle w:val="NormalWeb"/>
        <w:spacing w:after="240"/>
        <w:rPr>
          <w:rFonts w:ascii="Century Gothic" w:hAnsi="Century Gothic"/>
        </w:rPr>
        <w:sectPr w:rsidR="00AA0841" w:rsidRPr="000F4C60" w:rsidSect="003737D8">
          <w:footnotePr>
            <w:numRestart w:val="eachSect"/>
          </w:footnotePr>
          <w:pgSz w:w="11906" w:h="16838"/>
          <w:pgMar w:top="1134" w:right="1133" w:bottom="851" w:left="964" w:header="567" w:footer="397" w:gutter="0"/>
          <w:cols w:space="708"/>
          <w:docGrid w:linePitch="360"/>
        </w:sectPr>
      </w:pPr>
    </w:p>
    <w:p w14:paraId="63731F6A" w14:textId="05CE525B" w:rsidR="00AA0841" w:rsidRPr="00C81F74" w:rsidRDefault="00AA0841" w:rsidP="00AA0841">
      <w:pPr>
        <w:pStyle w:val="Caption"/>
        <w:keepNext/>
        <w:spacing w:after="120"/>
        <w:jc w:val="left"/>
        <w:rPr>
          <w:b w:val="0"/>
          <w:sz w:val="22"/>
          <w:szCs w:val="22"/>
        </w:rPr>
      </w:pPr>
      <w:bookmarkStart w:id="208" w:name="_Ref43131585"/>
      <w:r w:rsidRPr="00C81F74">
        <w:rPr>
          <w:sz w:val="22"/>
          <w:szCs w:val="22"/>
        </w:rPr>
        <w:lastRenderedPageBreak/>
        <w:t xml:space="preserve">Table </w:t>
      </w:r>
      <w:r w:rsidRPr="00C81F74">
        <w:rPr>
          <w:sz w:val="22"/>
          <w:szCs w:val="22"/>
        </w:rPr>
        <w:fldChar w:fldCharType="begin"/>
      </w:r>
      <w:r w:rsidRPr="00C81F74">
        <w:rPr>
          <w:sz w:val="22"/>
          <w:szCs w:val="22"/>
        </w:rPr>
        <w:instrText xml:space="preserve"> SEQ Table \* ARABIC </w:instrText>
      </w:r>
      <w:r w:rsidRPr="00C81F74">
        <w:rPr>
          <w:sz w:val="22"/>
          <w:szCs w:val="22"/>
        </w:rPr>
        <w:fldChar w:fldCharType="separate"/>
      </w:r>
      <w:r w:rsidR="001B2852">
        <w:rPr>
          <w:noProof/>
          <w:sz w:val="22"/>
          <w:szCs w:val="22"/>
        </w:rPr>
        <w:t>47</w:t>
      </w:r>
      <w:r w:rsidRPr="00C81F74">
        <w:rPr>
          <w:sz w:val="22"/>
          <w:szCs w:val="22"/>
        </w:rPr>
        <w:fldChar w:fldCharType="end"/>
      </w:r>
      <w:bookmarkEnd w:id="208"/>
      <w:r>
        <w:rPr>
          <w:b w:val="0"/>
          <w:sz w:val="22"/>
          <w:szCs w:val="22"/>
        </w:rPr>
        <w:t>.</w:t>
      </w:r>
      <w:r w:rsidRPr="00C81F74">
        <w:rPr>
          <w:b w:val="0"/>
          <w:sz w:val="22"/>
          <w:szCs w:val="22"/>
        </w:rPr>
        <w:t xml:space="preserve"> Environmental demands, priority for watering in 2020–21 and outlook for coming year in the Mid-Murray.</w:t>
      </w:r>
    </w:p>
    <w:tbl>
      <w:tblPr>
        <w:tblW w:w="21967" w:type="dxa"/>
        <w:tblLayout w:type="fixed"/>
        <w:tblLook w:val="04A0" w:firstRow="1" w:lastRow="0" w:firstColumn="1" w:lastColumn="0" w:noHBand="0" w:noVBand="1"/>
      </w:tblPr>
      <w:tblGrid>
        <w:gridCol w:w="2547"/>
        <w:gridCol w:w="2551"/>
        <w:gridCol w:w="1560"/>
        <w:gridCol w:w="2126"/>
        <w:gridCol w:w="4678"/>
        <w:gridCol w:w="1984"/>
        <w:gridCol w:w="4253"/>
        <w:gridCol w:w="2268"/>
      </w:tblGrid>
      <w:tr w:rsidR="00AA0841" w:rsidRPr="00D842D9" w14:paraId="38B88F32" w14:textId="77777777" w:rsidTr="00AA0841">
        <w:trPr>
          <w:trHeight w:val="540"/>
          <w:tblHeader/>
        </w:trPr>
        <w:tc>
          <w:tcPr>
            <w:tcW w:w="2547" w:type="dxa"/>
            <w:vMerge w:val="restart"/>
            <w:tcBorders>
              <w:top w:val="single" w:sz="12" w:space="0" w:color="auto"/>
              <w:left w:val="single" w:sz="12" w:space="0" w:color="auto"/>
              <w:bottom w:val="single" w:sz="12" w:space="0" w:color="auto"/>
              <w:right w:val="single" w:sz="4" w:space="0" w:color="auto"/>
            </w:tcBorders>
            <w:shd w:val="clear" w:color="auto" w:fill="B6DDE8" w:themeFill="accent5" w:themeFillTint="66"/>
            <w:vAlign w:val="center"/>
            <w:hideMark/>
          </w:tcPr>
          <w:p w14:paraId="528902DE" w14:textId="77777777" w:rsidR="00AA0841" w:rsidRDefault="00AA0841" w:rsidP="00AA0841">
            <w:pPr>
              <w:spacing w:after="0"/>
              <w:jc w:val="center"/>
              <w:rPr>
                <w:rFonts w:ascii="Times New Roman" w:hAnsi="Times New Roman" w:cs="Times New Roman"/>
                <w:color w:val="auto"/>
                <w:sz w:val="24"/>
                <w:szCs w:val="24"/>
              </w:rPr>
            </w:pPr>
            <w:r>
              <w:rPr>
                <w:b/>
                <w:sz w:val="18"/>
                <w:szCs w:val="18"/>
              </w:rPr>
              <w:t>Environmental asset</w:t>
            </w:r>
          </w:p>
          <w:p w14:paraId="6D3FE4EC" w14:textId="77777777" w:rsidR="00AA0841" w:rsidRPr="00D5324D" w:rsidRDefault="00AA0841" w:rsidP="00AA0841">
            <w:pPr>
              <w:jc w:val="center"/>
              <w:rPr>
                <w:b/>
                <w:sz w:val="18"/>
                <w:szCs w:val="18"/>
              </w:rPr>
            </w:pPr>
          </w:p>
        </w:tc>
        <w:tc>
          <w:tcPr>
            <w:tcW w:w="6237" w:type="dxa"/>
            <w:gridSpan w:val="3"/>
            <w:tcBorders>
              <w:top w:val="single" w:sz="12" w:space="0" w:color="auto"/>
              <w:left w:val="nil"/>
              <w:bottom w:val="single" w:sz="8" w:space="0" w:color="000000" w:themeColor="text1"/>
              <w:right w:val="single" w:sz="4" w:space="0" w:color="auto"/>
            </w:tcBorders>
            <w:shd w:val="clear" w:color="auto" w:fill="B6DDE8" w:themeFill="accent5" w:themeFillTint="66"/>
            <w:vAlign w:val="center"/>
            <w:hideMark/>
          </w:tcPr>
          <w:p w14:paraId="473E2F9D" w14:textId="77777777" w:rsidR="00AA0841" w:rsidRPr="00D5324D" w:rsidRDefault="00AA0841" w:rsidP="00AA0841">
            <w:pPr>
              <w:jc w:val="center"/>
              <w:rPr>
                <w:b/>
                <w:sz w:val="18"/>
                <w:szCs w:val="18"/>
              </w:rPr>
            </w:pPr>
            <w:r w:rsidRPr="00D5324D">
              <w:rPr>
                <w:b/>
                <w:sz w:val="18"/>
                <w:szCs w:val="18"/>
              </w:rPr>
              <w:t xml:space="preserve">Indicative demand (for </w:t>
            </w:r>
            <w:r w:rsidRPr="00D5324D">
              <w:rPr>
                <w:b/>
                <w:sz w:val="18"/>
                <w:szCs w:val="18"/>
                <w:u w:val="single"/>
              </w:rPr>
              <w:t>all sources of water</w:t>
            </w:r>
            <w:r w:rsidRPr="00D5324D">
              <w:rPr>
                <w:b/>
                <w:sz w:val="18"/>
                <w:szCs w:val="18"/>
              </w:rPr>
              <w:t xml:space="preserve"> in the system)</w:t>
            </w:r>
          </w:p>
        </w:tc>
        <w:tc>
          <w:tcPr>
            <w:tcW w:w="4678" w:type="dxa"/>
            <w:tcBorders>
              <w:top w:val="single" w:sz="12" w:space="0" w:color="auto"/>
              <w:left w:val="nil"/>
              <w:bottom w:val="single" w:sz="8" w:space="0" w:color="000000" w:themeColor="text1"/>
              <w:right w:val="single" w:sz="4" w:space="0" w:color="auto"/>
            </w:tcBorders>
            <w:shd w:val="clear" w:color="auto" w:fill="B6DDE8" w:themeFill="accent5" w:themeFillTint="66"/>
            <w:vAlign w:val="center"/>
            <w:hideMark/>
          </w:tcPr>
          <w:p w14:paraId="37B579DF" w14:textId="77777777" w:rsidR="00AA0841" w:rsidRPr="00D5324D" w:rsidRDefault="00AA0841" w:rsidP="00AA0841">
            <w:pPr>
              <w:jc w:val="center"/>
              <w:rPr>
                <w:b/>
                <w:sz w:val="18"/>
                <w:szCs w:val="18"/>
              </w:rPr>
            </w:pPr>
            <w:r w:rsidRPr="00D5324D">
              <w:rPr>
                <w:b/>
                <w:sz w:val="18"/>
                <w:szCs w:val="18"/>
              </w:rPr>
              <w:t>Watering history</w:t>
            </w:r>
          </w:p>
        </w:tc>
        <w:tc>
          <w:tcPr>
            <w:tcW w:w="6237" w:type="dxa"/>
            <w:gridSpan w:val="2"/>
            <w:tcBorders>
              <w:top w:val="single" w:sz="12" w:space="0" w:color="auto"/>
              <w:left w:val="nil"/>
              <w:bottom w:val="single" w:sz="8" w:space="0" w:color="000000" w:themeColor="text1"/>
              <w:right w:val="single" w:sz="4" w:space="0" w:color="auto"/>
            </w:tcBorders>
            <w:shd w:val="clear" w:color="auto" w:fill="B6DDE8" w:themeFill="accent5" w:themeFillTint="66"/>
            <w:vAlign w:val="center"/>
            <w:hideMark/>
          </w:tcPr>
          <w:p w14:paraId="48111FB3" w14:textId="77777777" w:rsidR="00AA0841" w:rsidRPr="00D842D9" w:rsidRDefault="00AA0841" w:rsidP="00AA0841">
            <w:pPr>
              <w:jc w:val="center"/>
              <w:rPr>
                <w:b/>
                <w:color w:val="auto"/>
                <w:sz w:val="18"/>
                <w:szCs w:val="18"/>
              </w:rPr>
            </w:pPr>
            <w:r w:rsidRPr="00D842D9">
              <w:rPr>
                <w:b/>
                <w:color w:val="auto"/>
                <w:sz w:val="18"/>
                <w:szCs w:val="18"/>
              </w:rPr>
              <w:t>2020</w:t>
            </w:r>
            <w:r w:rsidRPr="00D842D9">
              <w:rPr>
                <w:rFonts w:ascii="Symbol" w:hAnsi="Symbol"/>
                <w:b/>
                <w:color w:val="auto"/>
                <w:sz w:val="18"/>
                <w:szCs w:val="18"/>
              </w:rPr>
              <w:t></w:t>
            </w:r>
            <w:r w:rsidRPr="00D842D9">
              <w:rPr>
                <w:b/>
                <w:color w:val="auto"/>
                <w:sz w:val="18"/>
                <w:szCs w:val="18"/>
              </w:rPr>
              <w:t>21</w:t>
            </w:r>
          </w:p>
        </w:tc>
        <w:tc>
          <w:tcPr>
            <w:tcW w:w="2268" w:type="dxa"/>
            <w:tcBorders>
              <w:top w:val="single" w:sz="12" w:space="0" w:color="auto"/>
              <w:left w:val="nil"/>
              <w:bottom w:val="single" w:sz="8" w:space="0" w:color="000000" w:themeColor="text1"/>
              <w:right w:val="single" w:sz="12" w:space="0" w:color="auto"/>
            </w:tcBorders>
            <w:shd w:val="clear" w:color="auto" w:fill="B6DDE8" w:themeFill="accent5" w:themeFillTint="66"/>
            <w:vAlign w:val="center"/>
            <w:hideMark/>
          </w:tcPr>
          <w:p w14:paraId="53F9FF00" w14:textId="77777777" w:rsidR="00AA0841" w:rsidRPr="00D842D9" w:rsidRDefault="00AA0841" w:rsidP="00AA0841">
            <w:pPr>
              <w:jc w:val="center"/>
              <w:rPr>
                <w:b/>
                <w:color w:val="auto"/>
                <w:sz w:val="18"/>
                <w:szCs w:val="18"/>
              </w:rPr>
            </w:pPr>
            <w:r w:rsidRPr="00D842D9">
              <w:rPr>
                <w:b/>
                <w:color w:val="auto"/>
                <w:sz w:val="18"/>
                <w:szCs w:val="18"/>
              </w:rPr>
              <w:t>Implications for future demands</w:t>
            </w:r>
          </w:p>
        </w:tc>
      </w:tr>
      <w:tr w:rsidR="00AA0841" w:rsidRPr="00D842D9" w14:paraId="0AAE737B" w14:textId="77777777" w:rsidTr="00AA0841">
        <w:trPr>
          <w:trHeight w:val="340"/>
          <w:tblHeader/>
        </w:trPr>
        <w:tc>
          <w:tcPr>
            <w:tcW w:w="2547" w:type="dxa"/>
            <w:vMerge/>
            <w:tcBorders>
              <w:top w:val="single" w:sz="12" w:space="0" w:color="auto"/>
              <w:left w:val="single" w:sz="12" w:space="0" w:color="auto"/>
              <w:bottom w:val="single" w:sz="12" w:space="0" w:color="auto"/>
              <w:right w:val="single" w:sz="4" w:space="0" w:color="auto"/>
            </w:tcBorders>
            <w:shd w:val="clear" w:color="auto" w:fill="B6DDE8" w:themeFill="accent5" w:themeFillTint="66"/>
            <w:vAlign w:val="center"/>
            <w:hideMark/>
          </w:tcPr>
          <w:p w14:paraId="1B5A5618" w14:textId="77777777" w:rsidR="00AA0841" w:rsidRPr="00D5324D" w:rsidRDefault="00AA0841" w:rsidP="00AA0841">
            <w:pPr>
              <w:jc w:val="center"/>
              <w:rPr>
                <w:b/>
                <w:sz w:val="18"/>
                <w:szCs w:val="18"/>
              </w:rPr>
            </w:pPr>
          </w:p>
        </w:tc>
        <w:tc>
          <w:tcPr>
            <w:tcW w:w="4111" w:type="dxa"/>
            <w:gridSpan w:val="2"/>
            <w:vMerge w:val="restart"/>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73A5A3E4" w14:textId="77777777" w:rsidR="00AA0841" w:rsidRPr="00D5324D" w:rsidRDefault="00AA0841" w:rsidP="00AA0841">
            <w:pPr>
              <w:jc w:val="center"/>
              <w:rPr>
                <w:b/>
                <w:sz w:val="18"/>
                <w:szCs w:val="18"/>
              </w:rPr>
            </w:pPr>
            <w:r w:rsidRPr="00D5324D">
              <w:rPr>
                <w:b/>
                <w:sz w:val="18"/>
                <w:szCs w:val="18"/>
              </w:rPr>
              <w:t>Flow/Volume</w:t>
            </w:r>
          </w:p>
        </w:tc>
        <w:tc>
          <w:tcPr>
            <w:tcW w:w="2126" w:type="dxa"/>
            <w:vMerge w:val="restart"/>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348D657A" w14:textId="77777777" w:rsidR="00AA0841" w:rsidRPr="00D5324D" w:rsidRDefault="00AA0841" w:rsidP="00AA0841">
            <w:pPr>
              <w:jc w:val="center"/>
              <w:rPr>
                <w:b/>
                <w:sz w:val="18"/>
                <w:szCs w:val="18"/>
              </w:rPr>
            </w:pPr>
            <w:r w:rsidRPr="00D5324D">
              <w:rPr>
                <w:b/>
                <w:sz w:val="18"/>
                <w:szCs w:val="18"/>
              </w:rPr>
              <w:t>Required frequency (maximum dry interval)</w:t>
            </w:r>
          </w:p>
        </w:tc>
        <w:tc>
          <w:tcPr>
            <w:tcW w:w="4678" w:type="dxa"/>
            <w:vMerge w:val="restart"/>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2F7AD8B5" w14:textId="77777777" w:rsidR="00AA0841" w:rsidRPr="00D5324D" w:rsidRDefault="00AA0841" w:rsidP="00AA0841">
            <w:pPr>
              <w:jc w:val="center"/>
              <w:rPr>
                <w:b/>
                <w:sz w:val="18"/>
                <w:szCs w:val="18"/>
              </w:rPr>
            </w:pPr>
            <w:r w:rsidRPr="00D5324D">
              <w:rPr>
                <w:b/>
                <w:sz w:val="18"/>
                <w:szCs w:val="18"/>
              </w:rPr>
              <w:t>(from all sources of water)</w:t>
            </w:r>
          </w:p>
        </w:tc>
        <w:tc>
          <w:tcPr>
            <w:tcW w:w="1984" w:type="dxa"/>
            <w:vMerge w:val="restart"/>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16D85400" w14:textId="77777777" w:rsidR="00AA0841" w:rsidRPr="00D842D9" w:rsidRDefault="00AA0841" w:rsidP="00AA0841">
            <w:pPr>
              <w:jc w:val="center"/>
              <w:rPr>
                <w:b/>
                <w:color w:val="auto"/>
                <w:sz w:val="18"/>
                <w:szCs w:val="18"/>
              </w:rPr>
            </w:pPr>
            <w:r w:rsidRPr="00D842D9">
              <w:rPr>
                <w:b/>
                <w:color w:val="auto"/>
                <w:sz w:val="18"/>
                <w:szCs w:val="18"/>
              </w:rPr>
              <w:t>Environmental demands for water</w:t>
            </w:r>
          </w:p>
        </w:tc>
        <w:tc>
          <w:tcPr>
            <w:tcW w:w="4253" w:type="dxa"/>
            <w:vMerge w:val="restart"/>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041B38FA" w14:textId="77777777" w:rsidR="00AA0841" w:rsidRPr="00D842D9" w:rsidRDefault="00AA0841" w:rsidP="00AA0841">
            <w:pPr>
              <w:jc w:val="center"/>
              <w:rPr>
                <w:b/>
                <w:color w:val="auto"/>
                <w:sz w:val="18"/>
                <w:szCs w:val="18"/>
              </w:rPr>
            </w:pPr>
            <w:r w:rsidRPr="00D842D9">
              <w:rPr>
                <w:b/>
                <w:color w:val="auto"/>
                <w:sz w:val="18"/>
                <w:szCs w:val="18"/>
              </w:rPr>
              <w:t>Potential Commonwealth environmental water contribution?</w:t>
            </w:r>
          </w:p>
        </w:tc>
        <w:tc>
          <w:tcPr>
            <w:tcW w:w="2268" w:type="dxa"/>
            <w:vMerge w:val="restart"/>
            <w:tcBorders>
              <w:top w:val="single" w:sz="8" w:space="0" w:color="000000" w:themeColor="text1"/>
              <w:left w:val="single" w:sz="4" w:space="0" w:color="auto"/>
              <w:bottom w:val="single" w:sz="12" w:space="0" w:color="auto"/>
              <w:right w:val="single" w:sz="12" w:space="0" w:color="auto"/>
            </w:tcBorders>
            <w:shd w:val="clear" w:color="auto" w:fill="B6DDE8" w:themeFill="accent5" w:themeFillTint="66"/>
            <w:vAlign w:val="center"/>
            <w:hideMark/>
          </w:tcPr>
          <w:p w14:paraId="23659268" w14:textId="77777777" w:rsidR="00AA0841" w:rsidRPr="00D842D9" w:rsidRDefault="00AA0841" w:rsidP="00AA0841">
            <w:pPr>
              <w:jc w:val="center"/>
              <w:rPr>
                <w:b/>
                <w:color w:val="auto"/>
                <w:sz w:val="18"/>
                <w:szCs w:val="18"/>
              </w:rPr>
            </w:pPr>
            <w:r w:rsidRPr="00D842D9">
              <w:rPr>
                <w:b/>
                <w:color w:val="auto"/>
                <w:sz w:val="18"/>
                <w:szCs w:val="18"/>
              </w:rPr>
              <w:t>Likely environmental demand in 2021–22 if watering occurred as planned in 2020</w:t>
            </w:r>
            <w:r w:rsidRPr="00D842D9">
              <w:rPr>
                <w:rFonts w:ascii="Symbol" w:hAnsi="Symbol"/>
                <w:b/>
                <w:color w:val="auto"/>
                <w:sz w:val="18"/>
                <w:szCs w:val="18"/>
              </w:rPr>
              <w:t></w:t>
            </w:r>
            <w:r w:rsidRPr="00D842D9">
              <w:rPr>
                <w:b/>
                <w:color w:val="auto"/>
                <w:sz w:val="18"/>
                <w:szCs w:val="18"/>
              </w:rPr>
              <w:t>21</w:t>
            </w:r>
          </w:p>
        </w:tc>
      </w:tr>
      <w:tr w:rsidR="00AA0841" w:rsidRPr="00D842D9" w14:paraId="1B351E47" w14:textId="77777777" w:rsidTr="00AA0841">
        <w:trPr>
          <w:trHeight w:val="300"/>
          <w:tblHeader/>
        </w:trPr>
        <w:tc>
          <w:tcPr>
            <w:tcW w:w="2547" w:type="dxa"/>
            <w:vMerge/>
            <w:tcBorders>
              <w:top w:val="single" w:sz="12" w:space="0" w:color="auto"/>
              <w:left w:val="single" w:sz="12" w:space="0" w:color="auto"/>
              <w:bottom w:val="single" w:sz="12" w:space="0" w:color="auto"/>
              <w:right w:val="single" w:sz="4" w:space="0" w:color="auto"/>
            </w:tcBorders>
            <w:shd w:val="clear" w:color="auto" w:fill="B6DDE8" w:themeFill="accent5" w:themeFillTint="66"/>
            <w:vAlign w:val="center"/>
            <w:hideMark/>
          </w:tcPr>
          <w:p w14:paraId="6190E509" w14:textId="77777777" w:rsidR="00AA0841" w:rsidRPr="00D5324D" w:rsidRDefault="00AA0841" w:rsidP="00AA0841">
            <w:pPr>
              <w:rPr>
                <w:sz w:val="18"/>
                <w:szCs w:val="18"/>
              </w:rPr>
            </w:pPr>
          </w:p>
        </w:tc>
        <w:tc>
          <w:tcPr>
            <w:tcW w:w="4111" w:type="dxa"/>
            <w:gridSpan w:val="2"/>
            <w:vMerge/>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0EAF82AF" w14:textId="77777777" w:rsidR="00AA0841" w:rsidRPr="00D5324D" w:rsidRDefault="00AA0841" w:rsidP="00AA0841">
            <w:pPr>
              <w:rPr>
                <w:sz w:val="18"/>
                <w:szCs w:val="18"/>
              </w:rPr>
            </w:pPr>
          </w:p>
        </w:tc>
        <w:tc>
          <w:tcPr>
            <w:tcW w:w="2126"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7E352313" w14:textId="77777777" w:rsidR="00AA0841" w:rsidRPr="00D5324D" w:rsidRDefault="00AA0841" w:rsidP="00AA0841">
            <w:pPr>
              <w:jc w:val="center"/>
              <w:rPr>
                <w:sz w:val="18"/>
                <w:szCs w:val="18"/>
              </w:rPr>
            </w:pPr>
          </w:p>
        </w:tc>
        <w:tc>
          <w:tcPr>
            <w:tcW w:w="4678" w:type="dxa"/>
            <w:vMerge/>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578F963F" w14:textId="77777777" w:rsidR="00AA0841" w:rsidRPr="00D5324D" w:rsidRDefault="00AA0841" w:rsidP="00AA0841">
            <w:pPr>
              <w:rPr>
                <w:sz w:val="18"/>
                <w:szCs w:val="18"/>
              </w:rPr>
            </w:pPr>
          </w:p>
        </w:tc>
        <w:tc>
          <w:tcPr>
            <w:tcW w:w="1984"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3A83E2F4" w14:textId="77777777" w:rsidR="00AA0841" w:rsidRPr="00D842D9" w:rsidRDefault="00AA0841" w:rsidP="00AA0841">
            <w:pPr>
              <w:jc w:val="center"/>
              <w:rPr>
                <w:color w:val="auto"/>
                <w:sz w:val="18"/>
                <w:szCs w:val="18"/>
              </w:rPr>
            </w:pPr>
          </w:p>
        </w:tc>
        <w:tc>
          <w:tcPr>
            <w:tcW w:w="4253"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70A66BFA" w14:textId="77777777" w:rsidR="00AA0841" w:rsidRPr="00D842D9" w:rsidRDefault="00AA0841" w:rsidP="00AA0841">
            <w:pPr>
              <w:jc w:val="center"/>
              <w:rPr>
                <w:color w:val="auto"/>
                <w:sz w:val="18"/>
                <w:szCs w:val="18"/>
              </w:rPr>
            </w:pPr>
          </w:p>
        </w:tc>
        <w:tc>
          <w:tcPr>
            <w:tcW w:w="2268" w:type="dxa"/>
            <w:vMerge/>
            <w:tcBorders>
              <w:top w:val="single" w:sz="8" w:space="0" w:color="000000" w:themeColor="text1"/>
              <w:left w:val="single" w:sz="4" w:space="0" w:color="auto"/>
              <w:bottom w:val="single" w:sz="12" w:space="0" w:color="auto"/>
              <w:right w:val="single" w:sz="12" w:space="0" w:color="auto"/>
            </w:tcBorders>
            <w:shd w:val="clear" w:color="auto" w:fill="B6DDE8" w:themeFill="accent5" w:themeFillTint="66"/>
            <w:vAlign w:val="center"/>
            <w:hideMark/>
          </w:tcPr>
          <w:p w14:paraId="3B893EA5" w14:textId="77777777" w:rsidR="00AA0841" w:rsidRPr="00D842D9" w:rsidRDefault="00AA0841" w:rsidP="00AA0841">
            <w:pPr>
              <w:jc w:val="center"/>
              <w:rPr>
                <w:color w:val="auto"/>
                <w:sz w:val="18"/>
                <w:szCs w:val="18"/>
              </w:rPr>
            </w:pPr>
          </w:p>
        </w:tc>
      </w:tr>
      <w:tr w:rsidR="00AA0841" w:rsidRPr="00D842D9" w14:paraId="3C7E9713" w14:textId="77777777" w:rsidTr="00AA0841">
        <w:trPr>
          <w:trHeight w:val="329"/>
          <w:tblHeader/>
        </w:trPr>
        <w:tc>
          <w:tcPr>
            <w:tcW w:w="2547" w:type="dxa"/>
            <w:vMerge/>
            <w:tcBorders>
              <w:top w:val="single" w:sz="12" w:space="0" w:color="auto"/>
              <w:left w:val="single" w:sz="12" w:space="0" w:color="auto"/>
              <w:bottom w:val="single" w:sz="12" w:space="0" w:color="auto"/>
              <w:right w:val="single" w:sz="4" w:space="0" w:color="auto"/>
            </w:tcBorders>
            <w:shd w:val="clear" w:color="auto" w:fill="B6DDE8" w:themeFill="accent5" w:themeFillTint="66"/>
            <w:vAlign w:val="center"/>
            <w:hideMark/>
          </w:tcPr>
          <w:p w14:paraId="5FD75791" w14:textId="77777777" w:rsidR="00AA0841" w:rsidRPr="00D5324D" w:rsidRDefault="00AA0841" w:rsidP="00AA0841">
            <w:pPr>
              <w:rPr>
                <w:sz w:val="18"/>
                <w:szCs w:val="18"/>
              </w:rPr>
            </w:pPr>
          </w:p>
        </w:tc>
        <w:tc>
          <w:tcPr>
            <w:tcW w:w="4111" w:type="dxa"/>
            <w:gridSpan w:val="2"/>
            <w:vMerge/>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63474458" w14:textId="77777777" w:rsidR="00AA0841" w:rsidRPr="00D5324D" w:rsidRDefault="00AA0841" w:rsidP="00AA0841">
            <w:pPr>
              <w:rPr>
                <w:sz w:val="18"/>
                <w:szCs w:val="18"/>
              </w:rPr>
            </w:pPr>
          </w:p>
        </w:tc>
        <w:tc>
          <w:tcPr>
            <w:tcW w:w="2126"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4015C8AC" w14:textId="77777777" w:rsidR="00AA0841" w:rsidRPr="00D5324D" w:rsidRDefault="00AA0841" w:rsidP="00AA0841">
            <w:pPr>
              <w:jc w:val="center"/>
              <w:rPr>
                <w:sz w:val="18"/>
                <w:szCs w:val="18"/>
              </w:rPr>
            </w:pPr>
          </w:p>
        </w:tc>
        <w:tc>
          <w:tcPr>
            <w:tcW w:w="4678" w:type="dxa"/>
            <w:vMerge/>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1EC04D1F" w14:textId="77777777" w:rsidR="00AA0841" w:rsidRPr="00D5324D" w:rsidRDefault="00AA0841" w:rsidP="00AA0841">
            <w:pPr>
              <w:rPr>
                <w:sz w:val="18"/>
                <w:szCs w:val="18"/>
              </w:rPr>
            </w:pPr>
          </w:p>
        </w:tc>
        <w:tc>
          <w:tcPr>
            <w:tcW w:w="1984"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525B618C" w14:textId="77777777" w:rsidR="00AA0841" w:rsidRPr="00D842D9" w:rsidRDefault="00AA0841" w:rsidP="00AA0841">
            <w:pPr>
              <w:jc w:val="center"/>
              <w:rPr>
                <w:color w:val="auto"/>
                <w:sz w:val="18"/>
                <w:szCs w:val="18"/>
              </w:rPr>
            </w:pPr>
          </w:p>
        </w:tc>
        <w:tc>
          <w:tcPr>
            <w:tcW w:w="4253"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16BA160C" w14:textId="77777777" w:rsidR="00AA0841" w:rsidRPr="00D842D9" w:rsidRDefault="00AA0841" w:rsidP="00AA0841">
            <w:pPr>
              <w:jc w:val="center"/>
              <w:rPr>
                <w:color w:val="auto"/>
                <w:sz w:val="18"/>
                <w:szCs w:val="18"/>
              </w:rPr>
            </w:pPr>
          </w:p>
        </w:tc>
        <w:tc>
          <w:tcPr>
            <w:tcW w:w="2268" w:type="dxa"/>
            <w:vMerge/>
            <w:tcBorders>
              <w:top w:val="single" w:sz="8" w:space="0" w:color="000000" w:themeColor="text1"/>
              <w:left w:val="single" w:sz="4" w:space="0" w:color="auto"/>
              <w:bottom w:val="single" w:sz="12" w:space="0" w:color="auto"/>
              <w:right w:val="single" w:sz="12" w:space="0" w:color="auto"/>
            </w:tcBorders>
            <w:shd w:val="clear" w:color="auto" w:fill="B6DDE8" w:themeFill="accent5" w:themeFillTint="66"/>
            <w:vAlign w:val="center"/>
            <w:hideMark/>
          </w:tcPr>
          <w:p w14:paraId="7BEC8A32" w14:textId="77777777" w:rsidR="00AA0841" w:rsidRPr="00D842D9" w:rsidRDefault="00AA0841" w:rsidP="00AA0841">
            <w:pPr>
              <w:jc w:val="center"/>
              <w:rPr>
                <w:color w:val="auto"/>
                <w:sz w:val="18"/>
                <w:szCs w:val="18"/>
              </w:rPr>
            </w:pPr>
          </w:p>
        </w:tc>
      </w:tr>
      <w:tr w:rsidR="00AA0841" w:rsidRPr="00D842D9" w14:paraId="399A4D6C" w14:textId="77777777" w:rsidTr="00AA0841">
        <w:trPr>
          <w:trHeight w:val="1397"/>
        </w:trPr>
        <w:tc>
          <w:tcPr>
            <w:tcW w:w="2547"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5F7697EE" w14:textId="77777777" w:rsidR="00AA0841" w:rsidRPr="00D5324D" w:rsidRDefault="00AA0841" w:rsidP="00AA0841">
            <w:pPr>
              <w:rPr>
                <w:b/>
                <w:sz w:val="18"/>
                <w:szCs w:val="18"/>
              </w:rPr>
            </w:pPr>
            <w:r w:rsidRPr="00D5324D">
              <w:rPr>
                <w:b/>
                <w:sz w:val="18"/>
                <w:szCs w:val="18"/>
              </w:rPr>
              <w:t>River Murray from Hume Dam to Euston and Barmah-Millewa Forest</w:t>
            </w:r>
          </w:p>
          <w:p w14:paraId="63AF721B" w14:textId="77777777" w:rsidR="00AA0841" w:rsidRPr="00D5324D" w:rsidRDefault="00AA0841" w:rsidP="00AA0841">
            <w:pPr>
              <w:rPr>
                <w:b/>
                <w:sz w:val="18"/>
                <w:szCs w:val="18"/>
              </w:rPr>
            </w:pPr>
          </w:p>
        </w:tc>
        <w:tc>
          <w:tcPr>
            <w:tcW w:w="4111" w:type="dxa"/>
            <w:gridSpan w:val="2"/>
            <w:tcBorders>
              <w:top w:val="single" w:sz="12" w:space="0" w:color="auto"/>
              <w:left w:val="nil"/>
              <w:bottom w:val="single" w:sz="4" w:space="0" w:color="auto"/>
              <w:right w:val="single" w:sz="4" w:space="0" w:color="auto"/>
            </w:tcBorders>
            <w:shd w:val="clear" w:color="auto" w:fill="auto"/>
            <w:vAlign w:val="center"/>
            <w:hideMark/>
          </w:tcPr>
          <w:p w14:paraId="5CB95E2F" w14:textId="77777777" w:rsidR="00AA0841" w:rsidRPr="00D5324D" w:rsidRDefault="00AA0841" w:rsidP="00AA0841">
            <w:pPr>
              <w:rPr>
                <w:sz w:val="18"/>
                <w:szCs w:val="18"/>
              </w:rPr>
            </w:pPr>
            <w:r w:rsidRPr="00D5324D">
              <w:rPr>
                <w:sz w:val="18"/>
                <w:szCs w:val="18"/>
              </w:rPr>
              <w:t>2</w:t>
            </w:r>
            <w:r>
              <w:rPr>
                <w:sz w:val="18"/>
                <w:szCs w:val="18"/>
              </w:rPr>
              <w:t xml:space="preserve"> </w:t>
            </w:r>
            <w:r w:rsidRPr="00D5324D">
              <w:rPr>
                <w:sz w:val="18"/>
                <w:szCs w:val="18"/>
              </w:rPr>
              <w:t>000</w:t>
            </w:r>
            <w:r>
              <w:rPr>
                <w:sz w:val="18"/>
                <w:szCs w:val="18"/>
              </w:rPr>
              <w:t>-</w:t>
            </w:r>
            <w:r w:rsidRPr="00D5324D">
              <w:rPr>
                <w:sz w:val="18"/>
                <w:szCs w:val="18"/>
              </w:rPr>
              <w:t>5</w:t>
            </w:r>
            <w:r>
              <w:rPr>
                <w:sz w:val="18"/>
                <w:szCs w:val="18"/>
              </w:rPr>
              <w:t xml:space="preserve"> </w:t>
            </w:r>
            <w:r w:rsidRPr="00D5324D">
              <w:rPr>
                <w:sz w:val="18"/>
                <w:szCs w:val="18"/>
              </w:rPr>
              <w:t>000 ML/day at Yarrawonga Weir throughout the year for native fish habitat to improve recruitment and population structures, and water quality in main river channel and Barmah-Millewa creeks.</w:t>
            </w:r>
          </w:p>
        </w:tc>
        <w:tc>
          <w:tcPr>
            <w:tcW w:w="2126" w:type="dxa"/>
            <w:tcBorders>
              <w:top w:val="single" w:sz="12" w:space="0" w:color="auto"/>
              <w:left w:val="nil"/>
              <w:bottom w:val="single" w:sz="4" w:space="0" w:color="auto"/>
              <w:right w:val="single" w:sz="4" w:space="0" w:color="auto"/>
            </w:tcBorders>
            <w:shd w:val="clear" w:color="auto" w:fill="auto"/>
            <w:vAlign w:val="center"/>
            <w:hideMark/>
          </w:tcPr>
          <w:p w14:paraId="4E5F0BE3" w14:textId="77777777" w:rsidR="00AA0841" w:rsidRPr="00D5324D" w:rsidRDefault="00AA0841" w:rsidP="00AA0841">
            <w:pPr>
              <w:jc w:val="center"/>
              <w:rPr>
                <w:sz w:val="18"/>
                <w:szCs w:val="18"/>
              </w:rPr>
            </w:pPr>
            <w:r w:rsidRPr="00D5324D">
              <w:rPr>
                <w:sz w:val="18"/>
                <w:szCs w:val="18"/>
              </w:rPr>
              <w:t>Annual</w:t>
            </w:r>
          </w:p>
        </w:tc>
        <w:tc>
          <w:tcPr>
            <w:tcW w:w="4678" w:type="dxa"/>
            <w:tcBorders>
              <w:top w:val="single" w:sz="12" w:space="0" w:color="auto"/>
              <w:left w:val="nil"/>
              <w:bottom w:val="single" w:sz="4" w:space="0" w:color="auto"/>
              <w:right w:val="single" w:sz="4" w:space="0" w:color="auto"/>
            </w:tcBorders>
            <w:shd w:val="clear" w:color="auto" w:fill="auto"/>
            <w:vAlign w:val="center"/>
            <w:hideMark/>
          </w:tcPr>
          <w:p w14:paraId="2F57E300" w14:textId="77777777" w:rsidR="00AA0841" w:rsidRPr="00D5324D" w:rsidRDefault="00AA0841" w:rsidP="00AA0841">
            <w:pPr>
              <w:rPr>
                <w:sz w:val="18"/>
                <w:szCs w:val="18"/>
              </w:rPr>
            </w:pPr>
            <w:r w:rsidRPr="00D5324D">
              <w:rPr>
                <w:sz w:val="18"/>
                <w:szCs w:val="18"/>
              </w:rPr>
              <w:t>Continuous requirement, therefore the environmental demands has been assessed as High.</w:t>
            </w:r>
          </w:p>
        </w:tc>
        <w:tc>
          <w:tcPr>
            <w:tcW w:w="1984" w:type="dxa"/>
            <w:tcBorders>
              <w:top w:val="single" w:sz="12" w:space="0" w:color="auto"/>
              <w:left w:val="nil"/>
              <w:bottom w:val="single" w:sz="4" w:space="0" w:color="auto"/>
              <w:right w:val="single" w:sz="4" w:space="0" w:color="auto"/>
            </w:tcBorders>
            <w:shd w:val="clear" w:color="auto" w:fill="FF0000"/>
            <w:vAlign w:val="center"/>
            <w:hideMark/>
          </w:tcPr>
          <w:p w14:paraId="59AC412E"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single" w:sz="12" w:space="0" w:color="auto"/>
              <w:left w:val="nil"/>
              <w:bottom w:val="single" w:sz="4" w:space="0" w:color="auto"/>
              <w:right w:val="single" w:sz="4" w:space="0" w:color="auto"/>
            </w:tcBorders>
            <w:shd w:val="clear" w:color="auto" w:fill="365F91" w:themeFill="accent1" w:themeFillShade="BF"/>
            <w:vAlign w:val="center"/>
            <w:hideMark/>
          </w:tcPr>
          <w:p w14:paraId="404D54CF" w14:textId="77777777" w:rsidR="00AA0841" w:rsidRPr="00D842D9" w:rsidRDefault="00AA0841" w:rsidP="00AA0841">
            <w:pPr>
              <w:jc w:val="center"/>
              <w:rPr>
                <w:color w:val="auto"/>
                <w:sz w:val="18"/>
                <w:szCs w:val="18"/>
              </w:rPr>
            </w:pPr>
            <w:r w:rsidRPr="00D842D9">
              <w:rPr>
                <w:color w:val="auto"/>
                <w:sz w:val="18"/>
                <w:szCs w:val="18"/>
              </w:rPr>
              <w:t>High priority for Commonwealth environmental watering (likely to receive water even under a very low water resource availability)</w:t>
            </w:r>
          </w:p>
        </w:tc>
        <w:tc>
          <w:tcPr>
            <w:tcW w:w="2268" w:type="dxa"/>
            <w:tcBorders>
              <w:top w:val="single" w:sz="12" w:space="0" w:color="auto"/>
              <w:left w:val="nil"/>
              <w:bottom w:val="single" w:sz="4" w:space="0" w:color="auto"/>
              <w:right w:val="single" w:sz="12" w:space="0" w:color="auto"/>
            </w:tcBorders>
            <w:shd w:val="clear" w:color="000000" w:fill="FF0000"/>
            <w:vAlign w:val="center"/>
            <w:hideMark/>
          </w:tcPr>
          <w:p w14:paraId="71BB4D88"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531200BE" w14:textId="77777777" w:rsidTr="00AA0841">
        <w:trPr>
          <w:trHeight w:val="1413"/>
        </w:trPr>
        <w:tc>
          <w:tcPr>
            <w:tcW w:w="2547" w:type="dxa"/>
            <w:vMerge/>
            <w:tcBorders>
              <w:top w:val="single" w:sz="4" w:space="0" w:color="auto"/>
              <w:left w:val="single" w:sz="12" w:space="0" w:color="auto"/>
              <w:bottom w:val="single" w:sz="4" w:space="0" w:color="auto"/>
              <w:right w:val="single" w:sz="4" w:space="0" w:color="auto"/>
            </w:tcBorders>
            <w:vAlign w:val="center"/>
          </w:tcPr>
          <w:p w14:paraId="6F98FB2D" w14:textId="77777777" w:rsidR="00AA0841" w:rsidRPr="00D5324D" w:rsidRDefault="00AA0841" w:rsidP="00AA0841">
            <w:pPr>
              <w:rPr>
                <w:sz w:val="18"/>
                <w:szCs w:val="18"/>
              </w:rPr>
            </w:pPr>
          </w:p>
        </w:tc>
        <w:tc>
          <w:tcPr>
            <w:tcW w:w="4111" w:type="dxa"/>
            <w:gridSpan w:val="2"/>
            <w:tcBorders>
              <w:top w:val="single" w:sz="4" w:space="0" w:color="auto"/>
              <w:left w:val="nil"/>
              <w:bottom w:val="single" w:sz="4" w:space="0" w:color="auto"/>
              <w:right w:val="single" w:sz="4" w:space="0" w:color="auto"/>
            </w:tcBorders>
            <w:shd w:val="clear" w:color="auto" w:fill="auto"/>
            <w:vAlign w:val="center"/>
          </w:tcPr>
          <w:p w14:paraId="5AE8F079" w14:textId="77777777" w:rsidR="00AA0841" w:rsidRPr="00D5324D" w:rsidRDefault="00AA0841" w:rsidP="00AA0841">
            <w:pPr>
              <w:rPr>
                <w:sz w:val="18"/>
                <w:szCs w:val="18"/>
              </w:rPr>
            </w:pPr>
            <w:r w:rsidRPr="00D5324D">
              <w:rPr>
                <w:sz w:val="18"/>
                <w:szCs w:val="18"/>
              </w:rPr>
              <w:t>Variable flows between 5</w:t>
            </w:r>
            <w:r>
              <w:rPr>
                <w:sz w:val="18"/>
                <w:szCs w:val="18"/>
              </w:rPr>
              <w:t xml:space="preserve"> </w:t>
            </w:r>
            <w:r w:rsidRPr="00D5324D">
              <w:rPr>
                <w:sz w:val="18"/>
                <w:szCs w:val="18"/>
              </w:rPr>
              <w:t>000 and 9</w:t>
            </w:r>
            <w:r>
              <w:rPr>
                <w:sz w:val="18"/>
                <w:szCs w:val="18"/>
              </w:rPr>
              <w:t xml:space="preserve"> </w:t>
            </w:r>
            <w:r w:rsidRPr="00D5324D">
              <w:rPr>
                <w:sz w:val="18"/>
                <w:szCs w:val="18"/>
              </w:rPr>
              <w:t>500ML/day at Yarrawonga Weir from July to November</w:t>
            </w:r>
            <w:r>
              <w:rPr>
                <w:sz w:val="18"/>
                <w:szCs w:val="18"/>
              </w:rPr>
              <w:t xml:space="preserve"> for fish condition, spawning, dispersal, in-channel non-woody vegetation and ecosystem function/productivity.</w:t>
            </w:r>
          </w:p>
        </w:tc>
        <w:tc>
          <w:tcPr>
            <w:tcW w:w="2126" w:type="dxa"/>
            <w:tcBorders>
              <w:top w:val="nil"/>
              <w:left w:val="nil"/>
              <w:bottom w:val="single" w:sz="4" w:space="0" w:color="auto"/>
              <w:right w:val="single" w:sz="4" w:space="0" w:color="auto"/>
            </w:tcBorders>
            <w:shd w:val="clear" w:color="auto" w:fill="auto"/>
            <w:vAlign w:val="center"/>
          </w:tcPr>
          <w:p w14:paraId="355E2700" w14:textId="77777777" w:rsidR="00AA0841" w:rsidRPr="00D5324D" w:rsidRDefault="00AA0841" w:rsidP="00AA0841">
            <w:pPr>
              <w:jc w:val="center"/>
              <w:rPr>
                <w:sz w:val="18"/>
                <w:szCs w:val="18"/>
              </w:rPr>
            </w:pPr>
            <w:r w:rsidRPr="00D5324D">
              <w:rPr>
                <w:sz w:val="18"/>
                <w:szCs w:val="18"/>
              </w:rPr>
              <w:t>Annual</w:t>
            </w:r>
          </w:p>
        </w:tc>
        <w:tc>
          <w:tcPr>
            <w:tcW w:w="4678" w:type="dxa"/>
            <w:tcBorders>
              <w:top w:val="single" w:sz="4" w:space="0" w:color="auto"/>
              <w:left w:val="nil"/>
              <w:bottom w:val="single" w:sz="4" w:space="0" w:color="auto"/>
              <w:right w:val="single" w:sz="4" w:space="0" w:color="auto"/>
            </w:tcBorders>
            <w:shd w:val="clear" w:color="auto" w:fill="auto"/>
            <w:vAlign w:val="center"/>
          </w:tcPr>
          <w:p w14:paraId="780B0B0E" w14:textId="77777777" w:rsidR="00AA0841" w:rsidRPr="00D5324D" w:rsidRDefault="00AA0841" w:rsidP="00AA0841">
            <w:pPr>
              <w:rPr>
                <w:sz w:val="18"/>
                <w:szCs w:val="18"/>
              </w:rPr>
            </w:pPr>
            <w:r w:rsidRPr="00D5324D" w:rsidDel="000710F7">
              <w:rPr>
                <w:sz w:val="18"/>
                <w:szCs w:val="18"/>
              </w:rPr>
              <w:t>In-channel variability in 2018</w:t>
            </w:r>
            <w:r>
              <w:rPr>
                <w:sz w:val="18"/>
                <w:szCs w:val="18"/>
              </w:rPr>
              <w:t>-</w:t>
            </w:r>
            <w:r w:rsidRPr="00D5324D" w:rsidDel="000710F7">
              <w:rPr>
                <w:sz w:val="18"/>
                <w:szCs w:val="18"/>
              </w:rPr>
              <w:t xml:space="preserve">19 was limited due to operational deliveries. </w:t>
            </w:r>
            <w:r>
              <w:rPr>
                <w:sz w:val="18"/>
                <w:szCs w:val="18"/>
              </w:rPr>
              <w:t>Partially met in 2019-20.</w:t>
            </w:r>
          </w:p>
        </w:tc>
        <w:tc>
          <w:tcPr>
            <w:tcW w:w="1984" w:type="dxa"/>
            <w:tcBorders>
              <w:top w:val="nil"/>
              <w:left w:val="nil"/>
              <w:bottom w:val="single" w:sz="4" w:space="0" w:color="auto"/>
              <w:right w:val="single" w:sz="4" w:space="0" w:color="auto"/>
            </w:tcBorders>
            <w:shd w:val="clear" w:color="auto" w:fill="FF0000"/>
            <w:vAlign w:val="center"/>
          </w:tcPr>
          <w:p w14:paraId="5AB4130B"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nil"/>
              <w:left w:val="nil"/>
              <w:bottom w:val="single" w:sz="4" w:space="0" w:color="auto"/>
              <w:right w:val="single" w:sz="4" w:space="0" w:color="auto"/>
            </w:tcBorders>
            <w:shd w:val="clear" w:color="auto" w:fill="365F91" w:themeFill="accent1" w:themeFillShade="BF"/>
            <w:vAlign w:val="center"/>
          </w:tcPr>
          <w:p w14:paraId="494B69AF" w14:textId="77777777" w:rsidR="00AA0841" w:rsidRPr="00D842D9" w:rsidRDefault="00AA0841" w:rsidP="00AA0841">
            <w:pPr>
              <w:jc w:val="center"/>
              <w:rPr>
                <w:color w:val="auto"/>
                <w:sz w:val="18"/>
                <w:szCs w:val="18"/>
              </w:rPr>
            </w:pPr>
            <w:r w:rsidRPr="00D842D9">
              <w:rPr>
                <w:color w:val="auto"/>
                <w:sz w:val="18"/>
                <w:szCs w:val="18"/>
              </w:rPr>
              <w:t>High priority for Commonwealth environmental watering (likely to receive water even under a very low water resource availability)</w:t>
            </w:r>
          </w:p>
        </w:tc>
        <w:tc>
          <w:tcPr>
            <w:tcW w:w="2268" w:type="dxa"/>
            <w:tcBorders>
              <w:top w:val="nil"/>
              <w:left w:val="nil"/>
              <w:bottom w:val="single" w:sz="4" w:space="0" w:color="auto"/>
              <w:right w:val="single" w:sz="12" w:space="0" w:color="auto"/>
            </w:tcBorders>
            <w:shd w:val="clear" w:color="000000" w:fill="FFC000"/>
            <w:vAlign w:val="center"/>
          </w:tcPr>
          <w:p w14:paraId="6D222C7F" w14:textId="77777777" w:rsidR="00AA0841" w:rsidRPr="00D842D9" w:rsidRDefault="00AA0841" w:rsidP="00AA0841">
            <w:pPr>
              <w:jc w:val="center"/>
              <w:rPr>
                <w:color w:val="auto"/>
                <w:sz w:val="18"/>
                <w:szCs w:val="18"/>
              </w:rPr>
            </w:pPr>
            <w:r w:rsidRPr="00D842D9">
              <w:rPr>
                <w:color w:val="auto"/>
                <w:sz w:val="18"/>
                <w:szCs w:val="18"/>
              </w:rPr>
              <w:t>Moderate</w:t>
            </w:r>
          </w:p>
        </w:tc>
      </w:tr>
      <w:tr w:rsidR="00AA0841" w:rsidRPr="00D842D9" w14:paraId="1DCE4CDA" w14:textId="77777777" w:rsidTr="00AA0841">
        <w:trPr>
          <w:trHeight w:val="2309"/>
        </w:trPr>
        <w:tc>
          <w:tcPr>
            <w:tcW w:w="2547" w:type="dxa"/>
            <w:vMerge/>
            <w:tcBorders>
              <w:top w:val="single" w:sz="4" w:space="0" w:color="auto"/>
              <w:left w:val="single" w:sz="12" w:space="0" w:color="auto"/>
              <w:bottom w:val="single" w:sz="4" w:space="0" w:color="auto"/>
              <w:right w:val="single" w:sz="4" w:space="0" w:color="auto"/>
            </w:tcBorders>
            <w:vAlign w:val="center"/>
            <w:hideMark/>
          </w:tcPr>
          <w:p w14:paraId="74B3558F" w14:textId="77777777" w:rsidR="00AA0841" w:rsidRPr="00D5324D" w:rsidRDefault="00AA0841" w:rsidP="00AA0841">
            <w:pPr>
              <w:rPr>
                <w:sz w:val="18"/>
                <w:szCs w:val="18"/>
              </w:rPr>
            </w:pPr>
          </w:p>
        </w:tc>
        <w:tc>
          <w:tcPr>
            <w:tcW w:w="4111" w:type="dxa"/>
            <w:gridSpan w:val="2"/>
            <w:tcBorders>
              <w:top w:val="single" w:sz="4" w:space="0" w:color="auto"/>
              <w:left w:val="nil"/>
              <w:bottom w:val="single" w:sz="4" w:space="0" w:color="auto"/>
              <w:right w:val="single" w:sz="4" w:space="0" w:color="auto"/>
            </w:tcBorders>
            <w:shd w:val="clear" w:color="auto" w:fill="auto"/>
            <w:vAlign w:val="center"/>
            <w:hideMark/>
          </w:tcPr>
          <w:p w14:paraId="1EE6354E" w14:textId="77777777" w:rsidR="00AA0841" w:rsidRPr="00D5324D" w:rsidRDefault="00AA0841" w:rsidP="00AA0841">
            <w:pPr>
              <w:rPr>
                <w:sz w:val="18"/>
                <w:szCs w:val="18"/>
              </w:rPr>
            </w:pPr>
            <w:r w:rsidRPr="00D5324D">
              <w:rPr>
                <w:sz w:val="18"/>
                <w:szCs w:val="18"/>
              </w:rPr>
              <w:t>Freshes 12</w:t>
            </w:r>
            <w:r>
              <w:rPr>
                <w:sz w:val="18"/>
                <w:szCs w:val="18"/>
              </w:rPr>
              <w:t xml:space="preserve"> </w:t>
            </w:r>
            <w:r w:rsidRPr="00D5324D">
              <w:rPr>
                <w:sz w:val="18"/>
                <w:szCs w:val="18"/>
              </w:rPr>
              <w:t>000</w:t>
            </w:r>
            <w:r>
              <w:rPr>
                <w:sz w:val="18"/>
                <w:szCs w:val="18"/>
              </w:rPr>
              <w:t>-</w:t>
            </w:r>
            <w:r w:rsidRPr="00D5324D">
              <w:rPr>
                <w:sz w:val="18"/>
                <w:szCs w:val="18"/>
              </w:rPr>
              <w:t>18</w:t>
            </w:r>
            <w:r>
              <w:rPr>
                <w:sz w:val="18"/>
                <w:szCs w:val="18"/>
              </w:rPr>
              <w:t xml:space="preserve"> </w:t>
            </w:r>
            <w:r w:rsidRPr="00D5324D">
              <w:rPr>
                <w:sz w:val="18"/>
                <w:szCs w:val="18"/>
              </w:rPr>
              <w:t>000 ML/</w:t>
            </w:r>
            <w:r>
              <w:rPr>
                <w:sz w:val="18"/>
                <w:szCs w:val="18"/>
              </w:rPr>
              <w:t xml:space="preserve">day </w:t>
            </w:r>
            <w:r w:rsidRPr="00D5324D">
              <w:rPr>
                <w:sz w:val="18"/>
                <w:szCs w:val="18"/>
              </w:rPr>
              <w:t>variable flow rate for at least 5 days, measured d/s Yarrawonga Weir during the period July to November for</w:t>
            </w:r>
            <w:r w:rsidRPr="00D5324D" w:rsidDel="005C2AC1">
              <w:rPr>
                <w:sz w:val="18"/>
                <w:szCs w:val="18"/>
              </w:rPr>
              <w:t xml:space="preserve"> </w:t>
            </w:r>
            <w:r w:rsidRPr="00D5324D">
              <w:rPr>
                <w:sz w:val="18"/>
                <w:szCs w:val="18"/>
              </w:rPr>
              <w:t>native fish habitat to improve recruitment and population structures (in-channel outcomes and anabranches)</w:t>
            </w:r>
            <w:r>
              <w:rPr>
                <w:sz w:val="18"/>
                <w:szCs w:val="18"/>
              </w:rPr>
              <w:t xml:space="preserve"> and for core wetlands, including Australasian bittern habitat</w:t>
            </w:r>
            <w:r w:rsidRPr="00D5324D">
              <w:rPr>
                <w:sz w:val="18"/>
                <w:szCs w:val="18"/>
              </w:rPr>
              <w:t xml:space="preserve">. Would also provide carbon/productivity benefits to </w:t>
            </w:r>
            <w:r>
              <w:rPr>
                <w:sz w:val="18"/>
                <w:szCs w:val="18"/>
              </w:rPr>
              <w:t>Edward/Kolety</w:t>
            </w:r>
            <w:r w:rsidRPr="00D5324D">
              <w:rPr>
                <w:sz w:val="18"/>
                <w:szCs w:val="18"/>
              </w:rPr>
              <w:t>-Wakool system during the cooler time of the year.</w:t>
            </w:r>
          </w:p>
        </w:tc>
        <w:tc>
          <w:tcPr>
            <w:tcW w:w="2126" w:type="dxa"/>
            <w:tcBorders>
              <w:top w:val="nil"/>
              <w:left w:val="nil"/>
              <w:bottom w:val="single" w:sz="4" w:space="0" w:color="auto"/>
              <w:right w:val="single" w:sz="4" w:space="0" w:color="auto"/>
            </w:tcBorders>
            <w:shd w:val="clear" w:color="auto" w:fill="auto"/>
            <w:vAlign w:val="center"/>
            <w:hideMark/>
          </w:tcPr>
          <w:p w14:paraId="0097A99C" w14:textId="77777777" w:rsidR="00AA0841" w:rsidRPr="00D5324D" w:rsidRDefault="00AA0841" w:rsidP="00AA0841">
            <w:pPr>
              <w:jc w:val="center"/>
              <w:rPr>
                <w:sz w:val="18"/>
                <w:szCs w:val="18"/>
              </w:rPr>
            </w:pPr>
            <w:r w:rsidRPr="00D5324D">
              <w:rPr>
                <w:sz w:val="18"/>
                <w:szCs w:val="18"/>
              </w:rPr>
              <w:t>5-10 in 10 years (2 years)</w:t>
            </w:r>
          </w:p>
        </w:tc>
        <w:tc>
          <w:tcPr>
            <w:tcW w:w="4678" w:type="dxa"/>
            <w:tcBorders>
              <w:top w:val="single" w:sz="4" w:space="0" w:color="auto"/>
              <w:left w:val="nil"/>
              <w:bottom w:val="single" w:sz="4" w:space="0" w:color="auto"/>
              <w:right w:val="single" w:sz="4" w:space="0" w:color="auto"/>
            </w:tcBorders>
            <w:shd w:val="clear" w:color="auto" w:fill="auto"/>
            <w:vAlign w:val="center"/>
            <w:hideMark/>
          </w:tcPr>
          <w:p w14:paraId="555288F5" w14:textId="77777777" w:rsidR="00AA0841" w:rsidRPr="00D5324D" w:rsidRDefault="00AA0841" w:rsidP="00AA0841">
            <w:pPr>
              <w:rPr>
                <w:sz w:val="18"/>
                <w:szCs w:val="18"/>
              </w:rPr>
            </w:pPr>
            <w:r w:rsidRPr="00D5324D">
              <w:rPr>
                <w:sz w:val="18"/>
                <w:szCs w:val="18"/>
              </w:rPr>
              <w:t>Has been met in 5 of the last 7 years. Therefore</w:t>
            </w:r>
            <w:r>
              <w:rPr>
                <w:sz w:val="18"/>
                <w:szCs w:val="18"/>
              </w:rPr>
              <w:t>,</w:t>
            </w:r>
            <w:r w:rsidRPr="00D5324D">
              <w:rPr>
                <w:sz w:val="18"/>
                <w:szCs w:val="18"/>
              </w:rPr>
              <w:t xml:space="preserve"> the environmental demand has been assessed as Moderate.</w:t>
            </w:r>
          </w:p>
        </w:tc>
        <w:tc>
          <w:tcPr>
            <w:tcW w:w="1984" w:type="dxa"/>
            <w:tcBorders>
              <w:top w:val="nil"/>
              <w:left w:val="nil"/>
              <w:bottom w:val="single" w:sz="4" w:space="0" w:color="auto"/>
              <w:right w:val="single" w:sz="4" w:space="0" w:color="auto"/>
            </w:tcBorders>
            <w:shd w:val="clear" w:color="000000" w:fill="FFC000"/>
            <w:vAlign w:val="center"/>
            <w:hideMark/>
          </w:tcPr>
          <w:p w14:paraId="5A5CFD30" w14:textId="77777777" w:rsidR="00AA0841" w:rsidRPr="00D842D9" w:rsidRDefault="00AA0841" w:rsidP="00AA0841">
            <w:pPr>
              <w:jc w:val="center"/>
              <w:rPr>
                <w:color w:val="auto"/>
                <w:sz w:val="18"/>
                <w:szCs w:val="18"/>
              </w:rPr>
            </w:pPr>
            <w:r w:rsidRPr="00D842D9">
              <w:rPr>
                <w:color w:val="auto"/>
                <w:sz w:val="18"/>
                <w:szCs w:val="18"/>
              </w:rPr>
              <w:t>Moderate</w:t>
            </w:r>
          </w:p>
        </w:tc>
        <w:tc>
          <w:tcPr>
            <w:tcW w:w="4253" w:type="dxa"/>
            <w:tcBorders>
              <w:top w:val="nil"/>
              <w:left w:val="nil"/>
              <w:bottom w:val="single" w:sz="4" w:space="0" w:color="auto"/>
              <w:right w:val="single" w:sz="4" w:space="0" w:color="auto"/>
            </w:tcBorders>
            <w:shd w:val="clear" w:color="auto" w:fill="95B3D7" w:themeFill="accent1" w:themeFillTint="99"/>
            <w:vAlign w:val="center"/>
            <w:hideMark/>
          </w:tcPr>
          <w:p w14:paraId="3C6A0C1B" w14:textId="77777777" w:rsidR="00AA0841" w:rsidRPr="00D842D9" w:rsidRDefault="00AA0841" w:rsidP="00AA0841">
            <w:pPr>
              <w:jc w:val="center"/>
              <w:rPr>
                <w:color w:val="auto"/>
                <w:sz w:val="18"/>
                <w:szCs w:val="18"/>
              </w:rPr>
            </w:pPr>
            <w:r w:rsidRPr="00D842D9">
              <w:rPr>
                <w:color w:val="auto"/>
                <w:sz w:val="18"/>
                <w:szCs w:val="18"/>
              </w:rPr>
              <w:t>Option to be considered under a low to high water resource availability.</w:t>
            </w:r>
          </w:p>
        </w:tc>
        <w:tc>
          <w:tcPr>
            <w:tcW w:w="2268" w:type="dxa"/>
            <w:tcBorders>
              <w:top w:val="nil"/>
              <w:left w:val="nil"/>
              <w:bottom w:val="single" w:sz="4" w:space="0" w:color="auto"/>
              <w:right w:val="single" w:sz="12" w:space="0" w:color="auto"/>
            </w:tcBorders>
            <w:shd w:val="clear" w:color="000000" w:fill="FFC000"/>
            <w:vAlign w:val="center"/>
            <w:hideMark/>
          </w:tcPr>
          <w:p w14:paraId="4B5F3057" w14:textId="77777777" w:rsidR="00AA0841" w:rsidRPr="00D842D9" w:rsidRDefault="00AA0841" w:rsidP="00AA0841">
            <w:pPr>
              <w:jc w:val="center"/>
              <w:rPr>
                <w:color w:val="auto"/>
                <w:sz w:val="18"/>
                <w:szCs w:val="18"/>
              </w:rPr>
            </w:pPr>
            <w:r w:rsidRPr="00D842D9">
              <w:rPr>
                <w:color w:val="auto"/>
                <w:sz w:val="18"/>
                <w:szCs w:val="18"/>
              </w:rPr>
              <w:t>Moderate</w:t>
            </w:r>
          </w:p>
        </w:tc>
      </w:tr>
      <w:tr w:rsidR="00AA0841" w:rsidRPr="00D842D9" w14:paraId="33E870E9" w14:textId="77777777" w:rsidTr="00AA0841">
        <w:trPr>
          <w:trHeight w:val="2102"/>
        </w:trPr>
        <w:tc>
          <w:tcPr>
            <w:tcW w:w="2547" w:type="dxa"/>
            <w:vMerge/>
            <w:tcBorders>
              <w:top w:val="single" w:sz="4" w:space="0" w:color="auto"/>
              <w:left w:val="single" w:sz="12" w:space="0" w:color="auto"/>
              <w:bottom w:val="single" w:sz="4" w:space="0" w:color="auto"/>
              <w:right w:val="single" w:sz="4" w:space="0" w:color="auto"/>
            </w:tcBorders>
            <w:vAlign w:val="center"/>
            <w:hideMark/>
          </w:tcPr>
          <w:p w14:paraId="0E671978" w14:textId="77777777" w:rsidR="00AA0841" w:rsidRPr="00D5324D" w:rsidRDefault="00AA0841" w:rsidP="00AA0841">
            <w:pPr>
              <w:rPr>
                <w:sz w:val="18"/>
                <w:szCs w:val="18"/>
              </w:rPr>
            </w:pPr>
          </w:p>
        </w:tc>
        <w:tc>
          <w:tcPr>
            <w:tcW w:w="4111" w:type="dxa"/>
            <w:gridSpan w:val="2"/>
            <w:tcBorders>
              <w:top w:val="single" w:sz="4" w:space="0" w:color="auto"/>
              <w:left w:val="nil"/>
              <w:bottom w:val="single" w:sz="4" w:space="0" w:color="auto"/>
              <w:right w:val="single" w:sz="4" w:space="0" w:color="auto"/>
            </w:tcBorders>
            <w:shd w:val="clear" w:color="auto" w:fill="auto"/>
            <w:vAlign w:val="center"/>
            <w:hideMark/>
          </w:tcPr>
          <w:p w14:paraId="2448D501" w14:textId="77777777" w:rsidR="00AA0841" w:rsidRPr="00D5324D" w:rsidRDefault="00AA0841" w:rsidP="00AA0841">
            <w:pPr>
              <w:rPr>
                <w:sz w:val="18"/>
                <w:szCs w:val="18"/>
              </w:rPr>
            </w:pPr>
            <w:r w:rsidRPr="00D5324D">
              <w:rPr>
                <w:sz w:val="18"/>
                <w:szCs w:val="18"/>
              </w:rPr>
              <w:t>Small overbank of 12</w:t>
            </w:r>
            <w:r>
              <w:rPr>
                <w:sz w:val="18"/>
                <w:szCs w:val="18"/>
              </w:rPr>
              <w:t xml:space="preserve"> </w:t>
            </w:r>
            <w:r w:rsidRPr="00D5324D">
              <w:rPr>
                <w:sz w:val="18"/>
                <w:szCs w:val="18"/>
              </w:rPr>
              <w:t>000-15</w:t>
            </w:r>
            <w:r>
              <w:rPr>
                <w:sz w:val="18"/>
                <w:szCs w:val="18"/>
              </w:rPr>
              <w:t xml:space="preserve"> </w:t>
            </w:r>
            <w:r w:rsidRPr="00D5324D">
              <w:rPr>
                <w:sz w:val="18"/>
                <w:szCs w:val="18"/>
              </w:rPr>
              <w:t>000 ML/d</w:t>
            </w:r>
            <w:r>
              <w:rPr>
                <w:sz w:val="18"/>
                <w:szCs w:val="18"/>
              </w:rPr>
              <w:t>ay</w:t>
            </w:r>
            <w:r w:rsidRPr="00D5324D">
              <w:rPr>
                <w:sz w:val="18"/>
                <w:szCs w:val="18"/>
              </w:rPr>
              <w:t xml:space="preserve"> for a minimum of 45 days measured d/s Yarrawonga between August to November, to improve recruitment and population structures (in-channel outcomes and giant rush wetlands). Would also provide carbon/productivity benefits to </w:t>
            </w:r>
            <w:r>
              <w:rPr>
                <w:sz w:val="18"/>
                <w:szCs w:val="18"/>
              </w:rPr>
              <w:t>Edward/Kolety</w:t>
            </w:r>
            <w:r w:rsidRPr="00D5324D">
              <w:rPr>
                <w:sz w:val="18"/>
                <w:szCs w:val="18"/>
              </w:rPr>
              <w:t>-Wakool system during the cooler time of the year.</w:t>
            </w:r>
          </w:p>
        </w:tc>
        <w:tc>
          <w:tcPr>
            <w:tcW w:w="2126" w:type="dxa"/>
            <w:tcBorders>
              <w:top w:val="nil"/>
              <w:left w:val="nil"/>
              <w:bottom w:val="single" w:sz="4" w:space="0" w:color="auto"/>
              <w:right w:val="single" w:sz="4" w:space="0" w:color="auto"/>
            </w:tcBorders>
            <w:shd w:val="clear" w:color="auto" w:fill="auto"/>
            <w:vAlign w:val="center"/>
            <w:hideMark/>
          </w:tcPr>
          <w:p w14:paraId="19205AFC" w14:textId="77777777" w:rsidR="00AA0841" w:rsidRPr="00D5324D" w:rsidRDefault="00AA0841" w:rsidP="00AA0841">
            <w:pPr>
              <w:jc w:val="center"/>
              <w:rPr>
                <w:sz w:val="18"/>
                <w:szCs w:val="18"/>
              </w:rPr>
            </w:pPr>
            <w:r w:rsidRPr="00D5324D">
              <w:rPr>
                <w:sz w:val="18"/>
                <w:szCs w:val="18"/>
              </w:rPr>
              <w:t>4-8 in 10 years (2 years)</w:t>
            </w:r>
          </w:p>
        </w:tc>
        <w:tc>
          <w:tcPr>
            <w:tcW w:w="4678" w:type="dxa"/>
            <w:tcBorders>
              <w:top w:val="single" w:sz="4" w:space="0" w:color="auto"/>
              <w:left w:val="nil"/>
              <w:bottom w:val="single" w:sz="4" w:space="0" w:color="auto"/>
              <w:right w:val="single" w:sz="4" w:space="0" w:color="auto"/>
            </w:tcBorders>
            <w:shd w:val="clear" w:color="auto" w:fill="auto"/>
            <w:vAlign w:val="center"/>
            <w:hideMark/>
          </w:tcPr>
          <w:p w14:paraId="094F444D" w14:textId="77777777" w:rsidR="00AA0841" w:rsidRPr="00D5324D" w:rsidRDefault="00AA0841" w:rsidP="00AA0841">
            <w:pPr>
              <w:rPr>
                <w:sz w:val="18"/>
                <w:szCs w:val="18"/>
              </w:rPr>
            </w:pPr>
            <w:r w:rsidRPr="00D5324D">
              <w:rPr>
                <w:sz w:val="18"/>
                <w:szCs w:val="18"/>
              </w:rPr>
              <w:t>Has been met or partially met in 4 of the last 7 years. Therefore</w:t>
            </w:r>
            <w:r>
              <w:rPr>
                <w:sz w:val="18"/>
                <w:szCs w:val="18"/>
              </w:rPr>
              <w:t>,</w:t>
            </w:r>
            <w:r w:rsidRPr="00D5324D">
              <w:rPr>
                <w:sz w:val="18"/>
                <w:szCs w:val="18"/>
              </w:rPr>
              <w:t xml:space="preserve"> the environmental demands have been assessed as Moderate.</w:t>
            </w:r>
          </w:p>
        </w:tc>
        <w:tc>
          <w:tcPr>
            <w:tcW w:w="1984" w:type="dxa"/>
            <w:tcBorders>
              <w:top w:val="single" w:sz="4" w:space="0" w:color="auto"/>
              <w:left w:val="nil"/>
              <w:bottom w:val="single" w:sz="4" w:space="0" w:color="auto"/>
              <w:right w:val="single" w:sz="4" w:space="0" w:color="auto"/>
            </w:tcBorders>
            <w:shd w:val="clear" w:color="000000" w:fill="FFC000"/>
            <w:vAlign w:val="center"/>
            <w:hideMark/>
          </w:tcPr>
          <w:p w14:paraId="40FBEDC7" w14:textId="77777777" w:rsidR="00AA0841" w:rsidRPr="00D842D9" w:rsidRDefault="00AA0841" w:rsidP="00AA0841">
            <w:pPr>
              <w:jc w:val="center"/>
              <w:rPr>
                <w:color w:val="auto"/>
                <w:sz w:val="18"/>
                <w:szCs w:val="18"/>
              </w:rPr>
            </w:pPr>
            <w:r w:rsidRPr="00D842D9">
              <w:rPr>
                <w:color w:val="auto"/>
                <w:sz w:val="18"/>
                <w:szCs w:val="18"/>
              </w:rPr>
              <w:t>Moderate</w:t>
            </w:r>
          </w:p>
        </w:tc>
        <w:tc>
          <w:tcPr>
            <w:tcW w:w="4253" w:type="dxa"/>
            <w:tcBorders>
              <w:top w:val="nil"/>
              <w:left w:val="nil"/>
              <w:bottom w:val="single" w:sz="4" w:space="0" w:color="auto"/>
              <w:right w:val="single" w:sz="4" w:space="0" w:color="auto"/>
            </w:tcBorders>
            <w:shd w:val="clear" w:color="auto" w:fill="95B3D7" w:themeFill="accent1" w:themeFillTint="99"/>
            <w:vAlign w:val="center"/>
            <w:hideMark/>
          </w:tcPr>
          <w:p w14:paraId="1BDDC0CA" w14:textId="77777777" w:rsidR="00AA0841" w:rsidRPr="00D842D9" w:rsidRDefault="00AA0841" w:rsidP="00AA0841">
            <w:pPr>
              <w:jc w:val="center"/>
              <w:rPr>
                <w:color w:val="auto"/>
                <w:sz w:val="18"/>
                <w:szCs w:val="18"/>
              </w:rPr>
            </w:pPr>
            <w:r w:rsidRPr="00D842D9">
              <w:rPr>
                <w:color w:val="auto"/>
                <w:sz w:val="18"/>
                <w:szCs w:val="18"/>
              </w:rPr>
              <w:t>Option to be considered under a moderate to high water resource availability.</w:t>
            </w:r>
          </w:p>
        </w:tc>
        <w:tc>
          <w:tcPr>
            <w:tcW w:w="2268" w:type="dxa"/>
            <w:tcBorders>
              <w:top w:val="nil"/>
              <w:left w:val="nil"/>
              <w:bottom w:val="single" w:sz="4" w:space="0" w:color="auto"/>
              <w:right w:val="single" w:sz="12" w:space="0" w:color="auto"/>
            </w:tcBorders>
            <w:shd w:val="clear" w:color="000000" w:fill="FFC000"/>
            <w:vAlign w:val="center"/>
            <w:hideMark/>
          </w:tcPr>
          <w:p w14:paraId="2539C287" w14:textId="77777777" w:rsidR="00AA0841" w:rsidRPr="00D842D9" w:rsidRDefault="00AA0841" w:rsidP="00AA0841">
            <w:pPr>
              <w:jc w:val="center"/>
              <w:rPr>
                <w:color w:val="auto"/>
                <w:sz w:val="18"/>
                <w:szCs w:val="18"/>
              </w:rPr>
            </w:pPr>
            <w:r w:rsidRPr="00D842D9">
              <w:rPr>
                <w:color w:val="auto"/>
                <w:sz w:val="18"/>
                <w:szCs w:val="18"/>
              </w:rPr>
              <w:t>Moderate</w:t>
            </w:r>
          </w:p>
        </w:tc>
      </w:tr>
      <w:tr w:rsidR="00AA0841" w:rsidRPr="00D842D9" w14:paraId="144D72B5" w14:textId="77777777" w:rsidTr="00AA0841">
        <w:trPr>
          <w:trHeight w:val="1848"/>
        </w:trPr>
        <w:tc>
          <w:tcPr>
            <w:tcW w:w="2547" w:type="dxa"/>
            <w:vMerge/>
            <w:tcBorders>
              <w:top w:val="single" w:sz="4" w:space="0" w:color="auto"/>
              <w:left w:val="single" w:sz="12" w:space="0" w:color="auto"/>
              <w:bottom w:val="single" w:sz="12" w:space="0" w:color="auto"/>
              <w:right w:val="single" w:sz="4" w:space="0" w:color="auto"/>
            </w:tcBorders>
            <w:vAlign w:val="center"/>
            <w:hideMark/>
          </w:tcPr>
          <w:p w14:paraId="77407980" w14:textId="77777777" w:rsidR="00AA0841" w:rsidRPr="00D5324D" w:rsidRDefault="00AA0841" w:rsidP="00AA0841">
            <w:pPr>
              <w:rPr>
                <w:sz w:val="18"/>
                <w:szCs w:val="18"/>
              </w:rPr>
            </w:pPr>
          </w:p>
        </w:tc>
        <w:tc>
          <w:tcPr>
            <w:tcW w:w="4111" w:type="dxa"/>
            <w:gridSpan w:val="2"/>
            <w:tcBorders>
              <w:top w:val="single" w:sz="4" w:space="0" w:color="auto"/>
              <w:left w:val="nil"/>
              <w:bottom w:val="single" w:sz="12" w:space="0" w:color="auto"/>
              <w:right w:val="single" w:sz="4" w:space="0" w:color="auto"/>
            </w:tcBorders>
            <w:shd w:val="clear" w:color="auto" w:fill="auto"/>
            <w:vAlign w:val="center"/>
            <w:hideMark/>
          </w:tcPr>
          <w:p w14:paraId="7F82220D" w14:textId="77777777" w:rsidR="00AA0841" w:rsidRPr="00D5324D" w:rsidRDefault="00AA0841" w:rsidP="00AA0841">
            <w:pPr>
              <w:rPr>
                <w:sz w:val="18"/>
                <w:szCs w:val="18"/>
              </w:rPr>
            </w:pPr>
            <w:r w:rsidRPr="00D5324D">
              <w:rPr>
                <w:sz w:val="18"/>
                <w:szCs w:val="18"/>
              </w:rPr>
              <w:t>&gt; 25 000 ML/day at Yarrawonga Weir (unregulated flow) for at least 7 days (river red gum forest) and followed by flows of up to</w:t>
            </w:r>
            <w:r>
              <w:rPr>
                <w:sz w:val="18"/>
                <w:szCs w:val="18"/>
              </w:rPr>
              <w:t xml:space="preserve"> </w:t>
            </w:r>
            <w:r w:rsidRPr="00D5324D">
              <w:rPr>
                <w:sz w:val="18"/>
                <w:szCs w:val="18"/>
              </w:rPr>
              <w:t xml:space="preserve">18 000 ML/day or greater for three to five months targeting </w:t>
            </w:r>
            <w:r>
              <w:rPr>
                <w:sz w:val="18"/>
                <w:szCs w:val="18"/>
              </w:rPr>
              <w:t>M</w:t>
            </w:r>
            <w:r w:rsidRPr="00D5324D">
              <w:rPr>
                <w:sz w:val="18"/>
                <w:szCs w:val="18"/>
              </w:rPr>
              <w:t>oira grassland.</w:t>
            </w:r>
          </w:p>
        </w:tc>
        <w:tc>
          <w:tcPr>
            <w:tcW w:w="2126" w:type="dxa"/>
            <w:tcBorders>
              <w:top w:val="nil"/>
              <w:left w:val="nil"/>
              <w:bottom w:val="single" w:sz="12" w:space="0" w:color="auto"/>
              <w:right w:val="single" w:sz="4" w:space="0" w:color="auto"/>
            </w:tcBorders>
            <w:shd w:val="clear" w:color="auto" w:fill="auto"/>
            <w:vAlign w:val="center"/>
            <w:hideMark/>
          </w:tcPr>
          <w:p w14:paraId="3E6144FC" w14:textId="77777777" w:rsidR="00AA0841" w:rsidRPr="00D5324D" w:rsidRDefault="00AA0841" w:rsidP="00AA0841">
            <w:pPr>
              <w:jc w:val="center"/>
              <w:rPr>
                <w:sz w:val="18"/>
                <w:szCs w:val="18"/>
              </w:rPr>
            </w:pPr>
            <w:r w:rsidRPr="00D5324D">
              <w:rPr>
                <w:sz w:val="18"/>
                <w:szCs w:val="18"/>
              </w:rPr>
              <w:t>6-8 in 10 years (2-3 years)</w:t>
            </w:r>
            <w:r w:rsidRPr="00D5324D" w:rsidDel="00536D7E">
              <w:rPr>
                <w:sz w:val="18"/>
                <w:szCs w:val="18"/>
              </w:rPr>
              <w:t xml:space="preserve"> </w:t>
            </w:r>
            <w:r w:rsidRPr="00D5324D">
              <w:rPr>
                <w:sz w:val="18"/>
                <w:szCs w:val="18"/>
              </w:rPr>
              <w:br/>
              <w:t xml:space="preserve">Annual (2 years) for </w:t>
            </w:r>
            <w:r>
              <w:rPr>
                <w:sz w:val="18"/>
                <w:szCs w:val="18"/>
              </w:rPr>
              <w:t>M</w:t>
            </w:r>
            <w:r w:rsidRPr="00D5324D">
              <w:rPr>
                <w:sz w:val="18"/>
                <w:szCs w:val="18"/>
              </w:rPr>
              <w:t>oira grass.</w:t>
            </w:r>
          </w:p>
        </w:tc>
        <w:tc>
          <w:tcPr>
            <w:tcW w:w="4678" w:type="dxa"/>
            <w:tcBorders>
              <w:top w:val="single" w:sz="4" w:space="0" w:color="auto"/>
              <w:left w:val="nil"/>
              <w:bottom w:val="single" w:sz="12" w:space="0" w:color="auto"/>
              <w:right w:val="single" w:sz="4" w:space="0" w:color="auto"/>
            </w:tcBorders>
            <w:shd w:val="clear" w:color="auto" w:fill="auto"/>
            <w:vAlign w:val="center"/>
            <w:hideMark/>
          </w:tcPr>
          <w:p w14:paraId="34A03F8E" w14:textId="77777777" w:rsidR="00AA0841" w:rsidRPr="00D5324D" w:rsidRDefault="00AA0841" w:rsidP="00AA0841">
            <w:pPr>
              <w:rPr>
                <w:sz w:val="18"/>
                <w:szCs w:val="18"/>
              </w:rPr>
            </w:pPr>
            <w:r w:rsidRPr="00D5324D">
              <w:rPr>
                <w:sz w:val="18"/>
                <w:szCs w:val="18"/>
              </w:rPr>
              <w:t>For river red gum, the target has been met or partially met 2 in 6 years.</w:t>
            </w:r>
            <w:r w:rsidRPr="00D5324D">
              <w:rPr>
                <w:sz w:val="18"/>
                <w:szCs w:val="18"/>
              </w:rPr>
              <w:br/>
            </w:r>
            <w:r w:rsidRPr="00D5324D">
              <w:rPr>
                <w:sz w:val="18"/>
                <w:szCs w:val="18"/>
              </w:rPr>
              <w:br/>
              <w:t xml:space="preserve">For </w:t>
            </w:r>
            <w:r>
              <w:rPr>
                <w:sz w:val="18"/>
                <w:szCs w:val="18"/>
              </w:rPr>
              <w:t>M</w:t>
            </w:r>
            <w:r w:rsidRPr="00D5324D">
              <w:rPr>
                <w:sz w:val="18"/>
                <w:szCs w:val="18"/>
              </w:rPr>
              <w:t xml:space="preserve">oira grass the target has been met </w:t>
            </w:r>
            <w:r>
              <w:rPr>
                <w:sz w:val="18"/>
                <w:szCs w:val="18"/>
              </w:rPr>
              <w:t xml:space="preserve">fully </w:t>
            </w:r>
            <w:r w:rsidRPr="00D5324D">
              <w:rPr>
                <w:sz w:val="18"/>
                <w:szCs w:val="18"/>
              </w:rPr>
              <w:t>2 in 6 years.</w:t>
            </w:r>
            <w:r w:rsidRPr="00D5324D">
              <w:rPr>
                <w:sz w:val="18"/>
                <w:szCs w:val="18"/>
              </w:rPr>
              <w:br/>
            </w:r>
            <w:r w:rsidRPr="00D5324D">
              <w:rPr>
                <w:sz w:val="18"/>
                <w:szCs w:val="18"/>
              </w:rPr>
              <w:br/>
              <w:t xml:space="preserve">Not met </w:t>
            </w:r>
            <w:r>
              <w:rPr>
                <w:sz w:val="18"/>
                <w:szCs w:val="18"/>
              </w:rPr>
              <w:t>since spring 2016.</w:t>
            </w:r>
            <w:r w:rsidRPr="00D5324D">
              <w:rPr>
                <w:sz w:val="18"/>
                <w:szCs w:val="18"/>
              </w:rPr>
              <w:t xml:space="preserve"> Therefore</w:t>
            </w:r>
            <w:r>
              <w:rPr>
                <w:sz w:val="18"/>
                <w:szCs w:val="18"/>
              </w:rPr>
              <w:t>,</w:t>
            </w:r>
            <w:r w:rsidRPr="00D5324D">
              <w:rPr>
                <w:sz w:val="18"/>
                <w:szCs w:val="18"/>
              </w:rPr>
              <w:t xml:space="preserve"> the environmental demand has been assessed as High.</w:t>
            </w:r>
          </w:p>
        </w:tc>
        <w:tc>
          <w:tcPr>
            <w:tcW w:w="1984" w:type="dxa"/>
            <w:tcBorders>
              <w:top w:val="single" w:sz="4" w:space="0" w:color="auto"/>
              <w:left w:val="nil"/>
              <w:bottom w:val="single" w:sz="12" w:space="0" w:color="auto"/>
              <w:right w:val="single" w:sz="4" w:space="0" w:color="auto"/>
            </w:tcBorders>
            <w:shd w:val="clear" w:color="auto" w:fill="FF0000"/>
            <w:vAlign w:val="center"/>
            <w:hideMark/>
          </w:tcPr>
          <w:p w14:paraId="02B2F36C"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nil"/>
              <w:left w:val="nil"/>
              <w:bottom w:val="single" w:sz="12" w:space="0" w:color="auto"/>
              <w:right w:val="single" w:sz="4" w:space="0" w:color="auto"/>
            </w:tcBorders>
            <w:shd w:val="clear" w:color="auto" w:fill="A6A6A6" w:themeFill="background1" w:themeFillShade="A6"/>
            <w:vAlign w:val="center"/>
            <w:hideMark/>
          </w:tcPr>
          <w:p w14:paraId="263118A1" w14:textId="77777777" w:rsidR="00AA0841" w:rsidRPr="00D842D9" w:rsidRDefault="00AA0841" w:rsidP="00AA0841">
            <w:pPr>
              <w:jc w:val="center"/>
              <w:rPr>
                <w:color w:val="auto"/>
                <w:sz w:val="18"/>
                <w:szCs w:val="18"/>
              </w:rPr>
            </w:pPr>
            <w:r w:rsidRPr="00D842D9">
              <w:rPr>
                <w:color w:val="auto"/>
                <w:sz w:val="18"/>
                <w:szCs w:val="18"/>
              </w:rPr>
              <w:t>Reliant on large, unregulated flows. Commonwealth environmental water may extend the depth and duration of natural floods within current constraints (i.e. &lt; 15 000 ML/day), subject to ecological need, water availability and assessment of risk and potential, adverse third-party impacts.</w:t>
            </w:r>
          </w:p>
        </w:tc>
        <w:tc>
          <w:tcPr>
            <w:tcW w:w="2268" w:type="dxa"/>
            <w:tcBorders>
              <w:top w:val="nil"/>
              <w:left w:val="nil"/>
              <w:bottom w:val="single" w:sz="12" w:space="0" w:color="auto"/>
              <w:right w:val="single" w:sz="12" w:space="0" w:color="auto"/>
            </w:tcBorders>
            <w:shd w:val="clear" w:color="000000" w:fill="FF0000"/>
            <w:vAlign w:val="center"/>
            <w:hideMark/>
          </w:tcPr>
          <w:p w14:paraId="448A9A47"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5E094694" w14:textId="77777777" w:rsidTr="00AA0841">
        <w:trPr>
          <w:trHeight w:val="1539"/>
        </w:trPr>
        <w:tc>
          <w:tcPr>
            <w:tcW w:w="2547"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7A364638" w14:textId="77777777" w:rsidR="00AA0841" w:rsidRPr="00D5324D" w:rsidRDefault="00AA0841" w:rsidP="00AA0841">
            <w:pPr>
              <w:rPr>
                <w:b/>
                <w:sz w:val="18"/>
                <w:szCs w:val="18"/>
              </w:rPr>
            </w:pPr>
            <w:r w:rsidRPr="00D5324D">
              <w:rPr>
                <w:b/>
                <w:sz w:val="18"/>
                <w:szCs w:val="18"/>
              </w:rPr>
              <w:t>Gunbower Creek</w:t>
            </w:r>
          </w:p>
          <w:p w14:paraId="0F30C297" w14:textId="77777777" w:rsidR="00AA0841" w:rsidRPr="00D5324D" w:rsidRDefault="00AA0841" w:rsidP="00AA0841">
            <w:pPr>
              <w:rPr>
                <w:sz w:val="18"/>
                <w:szCs w:val="18"/>
              </w:rPr>
            </w:pPr>
          </w:p>
        </w:tc>
        <w:tc>
          <w:tcPr>
            <w:tcW w:w="4111" w:type="dxa"/>
            <w:gridSpan w:val="2"/>
            <w:tcBorders>
              <w:top w:val="single" w:sz="12" w:space="0" w:color="auto"/>
              <w:left w:val="nil"/>
              <w:bottom w:val="single" w:sz="4" w:space="0" w:color="auto"/>
              <w:right w:val="single" w:sz="4" w:space="0" w:color="auto"/>
            </w:tcBorders>
            <w:shd w:val="clear" w:color="auto" w:fill="auto"/>
            <w:vAlign w:val="center"/>
            <w:hideMark/>
          </w:tcPr>
          <w:p w14:paraId="5CA5D23A" w14:textId="77777777" w:rsidR="00AA0841" w:rsidRPr="00D5324D" w:rsidRDefault="00AA0841" w:rsidP="00AA0841">
            <w:pPr>
              <w:rPr>
                <w:sz w:val="18"/>
                <w:szCs w:val="18"/>
              </w:rPr>
            </w:pPr>
            <w:r w:rsidRPr="00D5324D">
              <w:rPr>
                <w:sz w:val="18"/>
                <w:szCs w:val="18"/>
              </w:rPr>
              <w:t>Winter low flow and summer ramp down to support juvenile fish and maintain habitat connectivity during off-irrigation season:</w:t>
            </w:r>
            <w:r w:rsidRPr="00D5324D">
              <w:rPr>
                <w:sz w:val="18"/>
                <w:szCs w:val="18"/>
              </w:rPr>
              <w:br/>
            </w:r>
            <w:r w:rsidRPr="00D5324D">
              <w:rPr>
                <w:sz w:val="18"/>
                <w:szCs w:val="18"/>
              </w:rPr>
              <w:br/>
              <w:t>· Winter base flows (</w:t>
            </w:r>
            <w:r>
              <w:rPr>
                <w:sz w:val="18"/>
                <w:szCs w:val="18"/>
              </w:rPr>
              <w:t>200</w:t>
            </w:r>
            <w:r w:rsidRPr="00D5324D">
              <w:rPr>
                <w:sz w:val="18"/>
                <w:szCs w:val="18"/>
              </w:rPr>
              <w:t xml:space="preserve"> ML/day for 5 months). </w:t>
            </w:r>
          </w:p>
        </w:tc>
        <w:tc>
          <w:tcPr>
            <w:tcW w:w="2126" w:type="dxa"/>
            <w:tcBorders>
              <w:top w:val="single" w:sz="12" w:space="0" w:color="auto"/>
              <w:left w:val="nil"/>
              <w:bottom w:val="single" w:sz="4" w:space="0" w:color="auto"/>
              <w:right w:val="single" w:sz="4" w:space="0" w:color="auto"/>
            </w:tcBorders>
            <w:shd w:val="clear" w:color="auto" w:fill="auto"/>
            <w:vAlign w:val="center"/>
            <w:hideMark/>
          </w:tcPr>
          <w:p w14:paraId="607EDDD3" w14:textId="77777777" w:rsidR="00AA0841" w:rsidRPr="00D5324D" w:rsidRDefault="00AA0841" w:rsidP="00AA0841">
            <w:pPr>
              <w:jc w:val="center"/>
              <w:rPr>
                <w:sz w:val="18"/>
                <w:szCs w:val="18"/>
              </w:rPr>
            </w:pPr>
            <w:r w:rsidRPr="00D5324D">
              <w:rPr>
                <w:sz w:val="18"/>
                <w:szCs w:val="18"/>
              </w:rPr>
              <w:t>Annually (1 year).</w:t>
            </w:r>
          </w:p>
        </w:tc>
        <w:tc>
          <w:tcPr>
            <w:tcW w:w="4678" w:type="dxa"/>
            <w:tcBorders>
              <w:top w:val="single" w:sz="12" w:space="0" w:color="auto"/>
              <w:left w:val="nil"/>
              <w:bottom w:val="single" w:sz="4" w:space="0" w:color="auto"/>
              <w:right w:val="single" w:sz="4" w:space="0" w:color="auto"/>
            </w:tcBorders>
            <w:shd w:val="clear" w:color="auto" w:fill="auto"/>
            <w:vAlign w:val="center"/>
            <w:hideMark/>
          </w:tcPr>
          <w:p w14:paraId="7E10D0EC" w14:textId="77777777" w:rsidR="00AA0841" w:rsidRPr="00D5324D" w:rsidRDefault="00AA0841" w:rsidP="00AA0841">
            <w:pPr>
              <w:rPr>
                <w:sz w:val="18"/>
                <w:szCs w:val="18"/>
              </w:rPr>
            </w:pPr>
            <w:r w:rsidRPr="00D5324D">
              <w:rPr>
                <w:sz w:val="18"/>
                <w:szCs w:val="18"/>
              </w:rPr>
              <w:t xml:space="preserve">Met or partially met </w:t>
            </w:r>
            <w:r>
              <w:rPr>
                <w:sz w:val="18"/>
                <w:szCs w:val="18"/>
              </w:rPr>
              <w:t xml:space="preserve">every year </w:t>
            </w:r>
            <w:r w:rsidRPr="00D5324D">
              <w:rPr>
                <w:sz w:val="18"/>
                <w:szCs w:val="18"/>
              </w:rPr>
              <w:t xml:space="preserve">in the last </w:t>
            </w:r>
            <w:r>
              <w:rPr>
                <w:sz w:val="18"/>
                <w:szCs w:val="18"/>
              </w:rPr>
              <w:t>5</w:t>
            </w:r>
            <w:r w:rsidRPr="00D5324D">
              <w:rPr>
                <w:sz w:val="18"/>
                <w:szCs w:val="18"/>
              </w:rPr>
              <w:t xml:space="preserve"> years. Watering required on an annual basis therefore the environmental demand has been assessed as High.</w:t>
            </w:r>
          </w:p>
        </w:tc>
        <w:tc>
          <w:tcPr>
            <w:tcW w:w="1984" w:type="dxa"/>
            <w:tcBorders>
              <w:top w:val="single" w:sz="12" w:space="0" w:color="auto"/>
              <w:left w:val="nil"/>
              <w:bottom w:val="single" w:sz="4" w:space="0" w:color="auto"/>
              <w:right w:val="single" w:sz="4" w:space="0" w:color="auto"/>
            </w:tcBorders>
            <w:shd w:val="clear" w:color="000000" w:fill="FF0000"/>
            <w:vAlign w:val="center"/>
            <w:hideMark/>
          </w:tcPr>
          <w:p w14:paraId="662BF5CD"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single" w:sz="12" w:space="0" w:color="auto"/>
              <w:left w:val="nil"/>
              <w:bottom w:val="single" w:sz="4" w:space="0" w:color="auto"/>
              <w:right w:val="single" w:sz="4" w:space="0" w:color="auto"/>
            </w:tcBorders>
            <w:shd w:val="clear" w:color="auto" w:fill="365F91" w:themeFill="accent1" w:themeFillShade="BF"/>
            <w:vAlign w:val="center"/>
            <w:hideMark/>
          </w:tcPr>
          <w:p w14:paraId="3F81B448" w14:textId="77777777" w:rsidR="00AA0841" w:rsidRPr="00D842D9" w:rsidRDefault="00AA0841" w:rsidP="00AA0841">
            <w:pPr>
              <w:jc w:val="center"/>
              <w:rPr>
                <w:color w:val="auto"/>
                <w:sz w:val="18"/>
                <w:szCs w:val="18"/>
              </w:rPr>
            </w:pPr>
            <w:r w:rsidRPr="00D842D9">
              <w:rPr>
                <w:color w:val="auto"/>
                <w:sz w:val="18"/>
                <w:szCs w:val="18"/>
              </w:rPr>
              <w:t>Priority for Commonwealth environmental watering (likely to receive water even under low water resource availability, subject to flow constraints)</w:t>
            </w:r>
          </w:p>
        </w:tc>
        <w:tc>
          <w:tcPr>
            <w:tcW w:w="2268" w:type="dxa"/>
            <w:tcBorders>
              <w:top w:val="single" w:sz="12" w:space="0" w:color="auto"/>
              <w:left w:val="nil"/>
              <w:bottom w:val="single" w:sz="4" w:space="0" w:color="auto"/>
              <w:right w:val="single" w:sz="12" w:space="0" w:color="auto"/>
            </w:tcBorders>
            <w:shd w:val="clear" w:color="000000" w:fill="FF0000"/>
            <w:vAlign w:val="center"/>
            <w:hideMark/>
          </w:tcPr>
          <w:p w14:paraId="6DEDFCD4"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28B4B82B" w14:textId="77777777" w:rsidTr="00AA0841">
        <w:trPr>
          <w:trHeight w:val="1587"/>
        </w:trPr>
        <w:tc>
          <w:tcPr>
            <w:tcW w:w="2547" w:type="dxa"/>
            <w:vMerge/>
            <w:tcBorders>
              <w:top w:val="nil"/>
              <w:left w:val="single" w:sz="12" w:space="0" w:color="auto"/>
              <w:bottom w:val="single" w:sz="12" w:space="0" w:color="auto"/>
              <w:right w:val="single" w:sz="4" w:space="0" w:color="auto"/>
            </w:tcBorders>
            <w:vAlign w:val="center"/>
            <w:hideMark/>
          </w:tcPr>
          <w:p w14:paraId="24E57575" w14:textId="77777777" w:rsidR="00AA0841" w:rsidRPr="00D5324D" w:rsidRDefault="00AA0841" w:rsidP="00AA0841">
            <w:pPr>
              <w:rPr>
                <w:sz w:val="18"/>
                <w:szCs w:val="18"/>
              </w:rPr>
            </w:pPr>
          </w:p>
        </w:tc>
        <w:tc>
          <w:tcPr>
            <w:tcW w:w="4111" w:type="dxa"/>
            <w:gridSpan w:val="2"/>
            <w:tcBorders>
              <w:top w:val="single" w:sz="4" w:space="0" w:color="auto"/>
              <w:left w:val="nil"/>
              <w:bottom w:val="single" w:sz="12" w:space="0" w:color="auto"/>
              <w:right w:val="single" w:sz="4" w:space="0" w:color="auto"/>
            </w:tcBorders>
            <w:shd w:val="clear" w:color="auto" w:fill="auto"/>
            <w:vAlign w:val="center"/>
            <w:hideMark/>
          </w:tcPr>
          <w:p w14:paraId="11D7CD3E" w14:textId="77777777" w:rsidR="00AA0841" w:rsidRPr="00D5324D" w:rsidRDefault="00AA0841" w:rsidP="00AA0841">
            <w:pPr>
              <w:rPr>
                <w:sz w:val="18"/>
                <w:szCs w:val="18"/>
              </w:rPr>
            </w:pPr>
            <w:r w:rsidRPr="00D5324D">
              <w:rPr>
                <w:sz w:val="18"/>
                <w:szCs w:val="18"/>
              </w:rPr>
              <w:t>Spring pulse and stable summer</w:t>
            </w:r>
            <w:r w:rsidRPr="00D5324D">
              <w:rPr>
                <w:sz w:val="18"/>
                <w:szCs w:val="18"/>
              </w:rPr>
              <w:br/>
              <w:t>flows for fish breeding:</w:t>
            </w:r>
            <w:r w:rsidRPr="00D5324D">
              <w:rPr>
                <w:sz w:val="18"/>
                <w:szCs w:val="18"/>
              </w:rPr>
              <w:br/>
              <w:t>· S</w:t>
            </w:r>
            <w:r>
              <w:rPr>
                <w:sz w:val="18"/>
                <w:szCs w:val="18"/>
              </w:rPr>
              <w:t>mall</w:t>
            </w:r>
            <w:r w:rsidRPr="00D5324D">
              <w:rPr>
                <w:sz w:val="18"/>
                <w:szCs w:val="18"/>
              </w:rPr>
              <w:t xml:space="preserve"> fresh up to 400 ML/day </w:t>
            </w:r>
            <w:r>
              <w:rPr>
                <w:sz w:val="18"/>
                <w:szCs w:val="18"/>
              </w:rPr>
              <w:t>in spring, reducing to 300 ML/day in summer.</w:t>
            </w:r>
          </w:p>
        </w:tc>
        <w:tc>
          <w:tcPr>
            <w:tcW w:w="2126" w:type="dxa"/>
            <w:tcBorders>
              <w:top w:val="nil"/>
              <w:left w:val="nil"/>
              <w:bottom w:val="single" w:sz="12" w:space="0" w:color="auto"/>
              <w:right w:val="single" w:sz="4" w:space="0" w:color="auto"/>
            </w:tcBorders>
            <w:shd w:val="clear" w:color="auto" w:fill="auto"/>
            <w:vAlign w:val="center"/>
            <w:hideMark/>
          </w:tcPr>
          <w:p w14:paraId="1EE97ECB" w14:textId="77777777" w:rsidR="00AA0841" w:rsidRPr="00D5324D" w:rsidRDefault="00AA0841" w:rsidP="00AA0841">
            <w:pPr>
              <w:jc w:val="center"/>
              <w:rPr>
                <w:sz w:val="18"/>
                <w:szCs w:val="18"/>
              </w:rPr>
            </w:pPr>
            <w:r w:rsidRPr="00D5324D">
              <w:rPr>
                <w:sz w:val="18"/>
                <w:szCs w:val="18"/>
              </w:rPr>
              <w:t>Fish spawning fresh 2 in 3 years.</w:t>
            </w:r>
          </w:p>
        </w:tc>
        <w:tc>
          <w:tcPr>
            <w:tcW w:w="4678" w:type="dxa"/>
            <w:tcBorders>
              <w:top w:val="single" w:sz="4" w:space="0" w:color="auto"/>
              <w:left w:val="nil"/>
              <w:bottom w:val="single" w:sz="12" w:space="0" w:color="auto"/>
              <w:right w:val="single" w:sz="4" w:space="0" w:color="auto"/>
            </w:tcBorders>
            <w:shd w:val="clear" w:color="auto" w:fill="auto"/>
            <w:vAlign w:val="center"/>
            <w:hideMark/>
          </w:tcPr>
          <w:p w14:paraId="7EB1FF38" w14:textId="77777777" w:rsidR="00AA0841" w:rsidRPr="00D5324D" w:rsidRDefault="00AA0841" w:rsidP="00AA0841">
            <w:pPr>
              <w:rPr>
                <w:sz w:val="18"/>
                <w:szCs w:val="18"/>
              </w:rPr>
            </w:pPr>
            <w:r w:rsidRPr="00D5324D">
              <w:rPr>
                <w:sz w:val="18"/>
                <w:szCs w:val="18"/>
              </w:rPr>
              <w:t xml:space="preserve">Met or partially met </w:t>
            </w:r>
            <w:r>
              <w:rPr>
                <w:sz w:val="18"/>
                <w:szCs w:val="18"/>
              </w:rPr>
              <w:t xml:space="preserve">every year </w:t>
            </w:r>
            <w:r w:rsidRPr="00D5324D">
              <w:rPr>
                <w:sz w:val="18"/>
                <w:szCs w:val="18"/>
              </w:rPr>
              <w:t xml:space="preserve">in the last </w:t>
            </w:r>
            <w:r>
              <w:rPr>
                <w:sz w:val="18"/>
                <w:szCs w:val="18"/>
              </w:rPr>
              <w:t>5</w:t>
            </w:r>
            <w:r w:rsidRPr="00D5324D">
              <w:rPr>
                <w:sz w:val="18"/>
                <w:szCs w:val="18"/>
              </w:rPr>
              <w:t xml:space="preserve"> years. The environmental demand has been assessed as Moderate.</w:t>
            </w:r>
          </w:p>
        </w:tc>
        <w:tc>
          <w:tcPr>
            <w:tcW w:w="1984" w:type="dxa"/>
            <w:tcBorders>
              <w:top w:val="single" w:sz="4" w:space="0" w:color="auto"/>
              <w:left w:val="nil"/>
              <w:bottom w:val="single" w:sz="12" w:space="0" w:color="auto"/>
              <w:right w:val="single" w:sz="4" w:space="0" w:color="auto"/>
            </w:tcBorders>
            <w:shd w:val="clear" w:color="000000" w:fill="FFC000"/>
            <w:vAlign w:val="center"/>
            <w:hideMark/>
          </w:tcPr>
          <w:p w14:paraId="0D990082" w14:textId="77777777" w:rsidR="00AA0841" w:rsidRPr="00D842D9" w:rsidRDefault="00AA0841" w:rsidP="00AA0841">
            <w:pPr>
              <w:jc w:val="center"/>
              <w:rPr>
                <w:color w:val="auto"/>
                <w:sz w:val="18"/>
                <w:szCs w:val="18"/>
              </w:rPr>
            </w:pPr>
            <w:r w:rsidRPr="00D842D9">
              <w:rPr>
                <w:color w:val="auto"/>
                <w:sz w:val="18"/>
                <w:szCs w:val="18"/>
              </w:rPr>
              <w:t>Moderate</w:t>
            </w:r>
          </w:p>
        </w:tc>
        <w:tc>
          <w:tcPr>
            <w:tcW w:w="4253" w:type="dxa"/>
            <w:tcBorders>
              <w:top w:val="single" w:sz="4" w:space="0" w:color="auto"/>
              <w:left w:val="nil"/>
              <w:bottom w:val="single" w:sz="12" w:space="0" w:color="auto"/>
              <w:right w:val="single" w:sz="4" w:space="0" w:color="auto"/>
            </w:tcBorders>
            <w:shd w:val="clear" w:color="auto" w:fill="365F91" w:themeFill="accent1" w:themeFillShade="BF"/>
            <w:vAlign w:val="center"/>
            <w:hideMark/>
          </w:tcPr>
          <w:p w14:paraId="41B523C3" w14:textId="77777777" w:rsidR="00AA0841" w:rsidRPr="00D842D9" w:rsidRDefault="00AA0841" w:rsidP="00AA0841">
            <w:pPr>
              <w:jc w:val="center"/>
              <w:rPr>
                <w:color w:val="auto"/>
                <w:sz w:val="18"/>
                <w:szCs w:val="18"/>
              </w:rPr>
            </w:pPr>
            <w:r w:rsidRPr="00D842D9">
              <w:rPr>
                <w:color w:val="auto"/>
                <w:sz w:val="18"/>
                <w:szCs w:val="18"/>
              </w:rPr>
              <w:t>Priority for Commonwealth environmental watering (likely to receive water even under low water resource availability, subject to flow constraints)</w:t>
            </w:r>
          </w:p>
        </w:tc>
        <w:tc>
          <w:tcPr>
            <w:tcW w:w="2268" w:type="dxa"/>
            <w:tcBorders>
              <w:top w:val="single" w:sz="4" w:space="0" w:color="auto"/>
              <w:left w:val="nil"/>
              <w:bottom w:val="single" w:sz="12" w:space="0" w:color="auto"/>
              <w:right w:val="single" w:sz="12" w:space="0" w:color="auto"/>
            </w:tcBorders>
            <w:shd w:val="clear" w:color="000000" w:fill="FFC000"/>
            <w:vAlign w:val="center"/>
            <w:hideMark/>
          </w:tcPr>
          <w:p w14:paraId="5D29D3F1" w14:textId="77777777" w:rsidR="00AA0841" w:rsidRPr="00D842D9" w:rsidRDefault="00AA0841" w:rsidP="00AA0841">
            <w:pPr>
              <w:jc w:val="center"/>
              <w:rPr>
                <w:color w:val="auto"/>
                <w:sz w:val="18"/>
                <w:szCs w:val="18"/>
              </w:rPr>
            </w:pPr>
            <w:r w:rsidRPr="00D842D9">
              <w:rPr>
                <w:color w:val="auto"/>
                <w:sz w:val="18"/>
                <w:szCs w:val="18"/>
              </w:rPr>
              <w:t>Moderate</w:t>
            </w:r>
          </w:p>
        </w:tc>
      </w:tr>
      <w:tr w:rsidR="00AA0841" w:rsidRPr="00D842D9" w14:paraId="5901CF0C" w14:textId="77777777" w:rsidTr="00AA0841">
        <w:trPr>
          <w:trHeight w:val="2041"/>
        </w:trPr>
        <w:tc>
          <w:tcPr>
            <w:tcW w:w="2547"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380A0783" w14:textId="77777777" w:rsidR="00AA0841" w:rsidRPr="00D5324D" w:rsidRDefault="00AA0841" w:rsidP="00AA0841">
            <w:pPr>
              <w:rPr>
                <w:sz w:val="18"/>
                <w:szCs w:val="18"/>
              </w:rPr>
            </w:pPr>
            <w:r w:rsidRPr="00D5324D">
              <w:rPr>
                <w:b/>
                <w:sz w:val="18"/>
                <w:szCs w:val="18"/>
              </w:rPr>
              <w:lastRenderedPageBreak/>
              <w:t>Gunbower Forest</w:t>
            </w:r>
          </w:p>
        </w:tc>
        <w:tc>
          <w:tcPr>
            <w:tcW w:w="2551" w:type="dxa"/>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73CF07C6" w14:textId="77777777" w:rsidR="00AA0841" w:rsidRPr="00D5324D" w:rsidRDefault="00AA0841" w:rsidP="00AA0841">
            <w:pPr>
              <w:rPr>
                <w:sz w:val="18"/>
                <w:szCs w:val="18"/>
              </w:rPr>
            </w:pPr>
            <w:r w:rsidRPr="00D5324D">
              <w:rPr>
                <w:sz w:val="18"/>
                <w:szCs w:val="18"/>
              </w:rPr>
              <w:t xml:space="preserve">Small-moderate actions </w:t>
            </w:r>
            <w:r>
              <w:rPr>
                <w:sz w:val="18"/>
                <w:szCs w:val="18"/>
              </w:rPr>
              <w:t xml:space="preserve">(~100-1 000 ML/day in late winter/early spring – duration dependant on inflow rate) </w:t>
            </w:r>
            <w:r w:rsidRPr="00D5324D">
              <w:rPr>
                <w:sz w:val="18"/>
                <w:szCs w:val="18"/>
              </w:rPr>
              <w:t>targeting permanent and semi-permanent wetlands, or targeted infrastructure use at the sites.</w:t>
            </w:r>
          </w:p>
        </w:tc>
        <w:tc>
          <w:tcPr>
            <w:tcW w:w="1560" w:type="dxa"/>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686A394E" w14:textId="77777777" w:rsidR="00AA0841" w:rsidRPr="00D5324D" w:rsidRDefault="00AA0841" w:rsidP="00AA0841">
            <w:pPr>
              <w:jc w:val="center"/>
              <w:rPr>
                <w:sz w:val="18"/>
                <w:szCs w:val="18"/>
              </w:rPr>
            </w:pPr>
            <w:r>
              <w:rPr>
                <w:sz w:val="18"/>
                <w:szCs w:val="18"/>
              </w:rPr>
              <w:t>Up to 2 500</w:t>
            </w:r>
            <w:r w:rsidRPr="00D5324D">
              <w:rPr>
                <w:sz w:val="18"/>
                <w:szCs w:val="18"/>
              </w:rPr>
              <w:t xml:space="preserve"> ha via Gunbower Forest infrastructure.</w:t>
            </w:r>
          </w:p>
        </w:tc>
        <w:tc>
          <w:tcPr>
            <w:tcW w:w="2126" w:type="dxa"/>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4E254146" w14:textId="77777777" w:rsidR="00AA0841" w:rsidRPr="00D5324D" w:rsidRDefault="00AA0841" w:rsidP="00AA0841">
            <w:pPr>
              <w:jc w:val="center"/>
              <w:rPr>
                <w:sz w:val="18"/>
                <w:szCs w:val="18"/>
              </w:rPr>
            </w:pPr>
            <w:r w:rsidRPr="00D5324D">
              <w:rPr>
                <w:sz w:val="18"/>
                <w:szCs w:val="18"/>
              </w:rPr>
              <w:t>6-9 in 10 years (2 years)</w:t>
            </w:r>
          </w:p>
        </w:tc>
        <w:tc>
          <w:tcPr>
            <w:tcW w:w="4678" w:type="dxa"/>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0645EF67" w14:textId="77777777" w:rsidR="00AA0841" w:rsidRPr="00D5324D" w:rsidRDefault="00AA0841" w:rsidP="00AA0841">
            <w:pPr>
              <w:rPr>
                <w:sz w:val="18"/>
                <w:szCs w:val="18"/>
              </w:rPr>
            </w:pPr>
            <w:r w:rsidRPr="00D5324D">
              <w:rPr>
                <w:sz w:val="18"/>
                <w:szCs w:val="18"/>
              </w:rPr>
              <w:t>Significant watering action in 2014-15 and 2015-16 and natural flood event in 2016-17 inundated various parts of the Forest. Drying phase in 2017</w:t>
            </w:r>
            <w:r>
              <w:rPr>
                <w:sz w:val="18"/>
                <w:szCs w:val="18"/>
              </w:rPr>
              <w:noBreakHyphen/>
            </w:r>
            <w:r w:rsidRPr="00D5324D">
              <w:rPr>
                <w:sz w:val="18"/>
                <w:szCs w:val="18"/>
              </w:rPr>
              <w:t>18</w:t>
            </w:r>
            <w:r>
              <w:rPr>
                <w:sz w:val="18"/>
                <w:szCs w:val="18"/>
              </w:rPr>
              <w:t>,</w:t>
            </w:r>
            <w:r w:rsidRPr="00D5324D">
              <w:rPr>
                <w:sz w:val="18"/>
                <w:szCs w:val="18"/>
              </w:rPr>
              <w:t xml:space="preserve"> with the exception of high value permanent wetlands. Watering action in 2018-19.  </w:t>
            </w:r>
            <w:r>
              <w:rPr>
                <w:sz w:val="18"/>
                <w:szCs w:val="18"/>
              </w:rPr>
              <w:t>Small throughflow event to targeted wetlands in</w:t>
            </w:r>
            <w:r w:rsidDel="00643E26">
              <w:rPr>
                <w:sz w:val="18"/>
                <w:szCs w:val="18"/>
              </w:rPr>
              <w:t xml:space="preserve"> </w:t>
            </w:r>
            <w:r>
              <w:rPr>
                <w:sz w:val="18"/>
                <w:szCs w:val="18"/>
              </w:rPr>
              <w:t xml:space="preserve">2019-20. </w:t>
            </w:r>
            <w:r w:rsidRPr="00D5324D">
              <w:rPr>
                <w:sz w:val="18"/>
                <w:szCs w:val="18"/>
              </w:rPr>
              <w:t>Environmental demand has been assessed as High.</w:t>
            </w:r>
          </w:p>
        </w:tc>
        <w:tc>
          <w:tcPr>
            <w:tcW w:w="1984" w:type="dxa"/>
            <w:vMerge w:val="restart"/>
            <w:tcBorders>
              <w:top w:val="single" w:sz="12" w:space="0" w:color="auto"/>
              <w:left w:val="single" w:sz="4" w:space="0" w:color="auto"/>
              <w:bottom w:val="single" w:sz="4" w:space="0" w:color="auto"/>
              <w:right w:val="single" w:sz="4" w:space="0" w:color="auto"/>
            </w:tcBorders>
            <w:shd w:val="clear" w:color="000000" w:fill="FF0000"/>
            <w:vAlign w:val="center"/>
            <w:hideMark/>
          </w:tcPr>
          <w:p w14:paraId="43FDF525"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vMerge w:val="restart"/>
            <w:tcBorders>
              <w:top w:val="single" w:sz="12" w:space="0" w:color="auto"/>
              <w:left w:val="single" w:sz="4" w:space="0" w:color="auto"/>
              <w:bottom w:val="single" w:sz="4" w:space="0" w:color="000000"/>
              <w:right w:val="single" w:sz="4" w:space="0" w:color="auto"/>
            </w:tcBorders>
            <w:shd w:val="clear" w:color="auto" w:fill="auto"/>
            <w:vAlign w:val="center"/>
            <w:hideMark/>
          </w:tcPr>
          <w:p w14:paraId="00B26529" w14:textId="77777777" w:rsidR="00AA0841" w:rsidRPr="00D842D9" w:rsidRDefault="00AA0841" w:rsidP="00AA0841">
            <w:pPr>
              <w:jc w:val="center"/>
              <w:rPr>
                <w:color w:val="auto"/>
                <w:sz w:val="18"/>
                <w:szCs w:val="18"/>
              </w:rPr>
            </w:pPr>
            <w:r w:rsidRPr="00D842D9">
              <w:rPr>
                <w:color w:val="auto"/>
                <w:sz w:val="18"/>
                <w:szCs w:val="18"/>
              </w:rPr>
              <w:t>It is anticipated that demands in Gunbower Forest will be met by other water holders in 2020-21.</w:t>
            </w:r>
          </w:p>
        </w:tc>
        <w:tc>
          <w:tcPr>
            <w:tcW w:w="2268" w:type="dxa"/>
            <w:vMerge w:val="restart"/>
            <w:tcBorders>
              <w:top w:val="single" w:sz="12" w:space="0" w:color="auto"/>
              <w:left w:val="single" w:sz="4" w:space="0" w:color="auto"/>
              <w:bottom w:val="single" w:sz="4" w:space="0" w:color="auto"/>
              <w:right w:val="single" w:sz="12" w:space="0" w:color="auto"/>
            </w:tcBorders>
            <w:shd w:val="clear" w:color="auto" w:fill="FF0000"/>
            <w:vAlign w:val="center"/>
            <w:hideMark/>
          </w:tcPr>
          <w:p w14:paraId="56DF8BC4"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26FD85A4" w14:textId="77777777" w:rsidTr="00AA0841">
        <w:trPr>
          <w:trHeight w:val="269"/>
        </w:trPr>
        <w:tc>
          <w:tcPr>
            <w:tcW w:w="2547" w:type="dxa"/>
            <w:vMerge/>
            <w:tcBorders>
              <w:top w:val="single" w:sz="4" w:space="0" w:color="auto"/>
              <w:left w:val="single" w:sz="12" w:space="0" w:color="auto"/>
              <w:bottom w:val="single" w:sz="4" w:space="0" w:color="auto"/>
              <w:right w:val="single" w:sz="4" w:space="0" w:color="auto"/>
            </w:tcBorders>
            <w:vAlign w:val="center"/>
            <w:hideMark/>
          </w:tcPr>
          <w:p w14:paraId="3570D36E" w14:textId="77777777" w:rsidR="00AA0841" w:rsidRPr="00D5324D" w:rsidRDefault="00AA0841" w:rsidP="00AA0841">
            <w:pPr>
              <w:rPr>
                <w:sz w:val="18"/>
                <w:szCs w:val="18"/>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446BF528" w14:textId="77777777" w:rsidR="00AA0841" w:rsidRPr="00D5324D" w:rsidRDefault="00AA0841" w:rsidP="00AA0841">
            <w:pPr>
              <w:rPr>
                <w:sz w:val="18"/>
                <w:szCs w:val="18"/>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7CA8E355" w14:textId="77777777" w:rsidR="00AA0841" w:rsidRPr="00D5324D" w:rsidRDefault="00AA0841" w:rsidP="00AA0841">
            <w:pPr>
              <w:jc w:val="center"/>
              <w:rPr>
                <w:sz w:val="18"/>
                <w:szCs w:val="18"/>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62631FB" w14:textId="77777777" w:rsidR="00AA0841" w:rsidRPr="00D5324D" w:rsidRDefault="00AA0841" w:rsidP="00AA0841">
            <w:pPr>
              <w:jc w:val="center"/>
              <w:rPr>
                <w:sz w:val="18"/>
                <w:szCs w:val="18"/>
              </w:rPr>
            </w:pPr>
          </w:p>
        </w:tc>
        <w:tc>
          <w:tcPr>
            <w:tcW w:w="4678" w:type="dxa"/>
            <w:vMerge/>
            <w:tcBorders>
              <w:top w:val="single" w:sz="4" w:space="0" w:color="auto"/>
              <w:left w:val="single" w:sz="4" w:space="0" w:color="auto"/>
              <w:bottom w:val="single" w:sz="4" w:space="0" w:color="auto"/>
              <w:right w:val="single" w:sz="4" w:space="0" w:color="auto"/>
            </w:tcBorders>
            <w:vAlign w:val="center"/>
            <w:hideMark/>
          </w:tcPr>
          <w:p w14:paraId="32585EFF" w14:textId="77777777" w:rsidR="00AA0841" w:rsidRPr="00D5324D" w:rsidRDefault="00AA0841" w:rsidP="00AA0841">
            <w:pPr>
              <w:rPr>
                <w:sz w:val="18"/>
                <w:szCs w:val="18"/>
              </w:rPr>
            </w:pPr>
          </w:p>
        </w:tc>
        <w:tc>
          <w:tcPr>
            <w:tcW w:w="1984" w:type="dxa"/>
            <w:vMerge/>
            <w:tcBorders>
              <w:top w:val="single" w:sz="4" w:space="0" w:color="auto"/>
              <w:left w:val="single" w:sz="4" w:space="0" w:color="auto"/>
              <w:bottom w:val="single" w:sz="4" w:space="0" w:color="auto"/>
              <w:right w:val="single" w:sz="4" w:space="0" w:color="auto"/>
            </w:tcBorders>
            <w:shd w:val="clear" w:color="auto" w:fill="FF0000"/>
            <w:vAlign w:val="center"/>
            <w:hideMark/>
          </w:tcPr>
          <w:p w14:paraId="03413D60" w14:textId="77777777" w:rsidR="00AA0841" w:rsidRPr="00D842D9" w:rsidRDefault="00AA0841" w:rsidP="00AA0841">
            <w:pPr>
              <w:jc w:val="center"/>
              <w:rPr>
                <w:color w:val="auto"/>
                <w:sz w:val="18"/>
                <w:szCs w:val="18"/>
              </w:rPr>
            </w:pPr>
          </w:p>
        </w:tc>
        <w:tc>
          <w:tcPr>
            <w:tcW w:w="4253" w:type="dxa"/>
            <w:vMerge/>
            <w:tcBorders>
              <w:top w:val="single" w:sz="4" w:space="0" w:color="000000"/>
              <w:left w:val="single" w:sz="4" w:space="0" w:color="auto"/>
              <w:bottom w:val="single" w:sz="4" w:space="0" w:color="000000"/>
              <w:right w:val="single" w:sz="4" w:space="0" w:color="auto"/>
            </w:tcBorders>
            <w:vAlign w:val="center"/>
            <w:hideMark/>
          </w:tcPr>
          <w:p w14:paraId="78DC2C17" w14:textId="77777777" w:rsidR="00AA0841" w:rsidRPr="00D842D9" w:rsidRDefault="00AA0841" w:rsidP="00AA0841">
            <w:pPr>
              <w:jc w:val="center"/>
              <w:rPr>
                <w:color w:val="auto"/>
                <w:sz w:val="18"/>
                <w:szCs w:val="18"/>
              </w:rPr>
            </w:pPr>
          </w:p>
        </w:tc>
        <w:tc>
          <w:tcPr>
            <w:tcW w:w="2268" w:type="dxa"/>
            <w:vMerge/>
            <w:tcBorders>
              <w:top w:val="nil"/>
              <w:left w:val="single" w:sz="4" w:space="0" w:color="auto"/>
              <w:bottom w:val="single" w:sz="4" w:space="0" w:color="auto"/>
              <w:right w:val="single" w:sz="12" w:space="0" w:color="auto"/>
            </w:tcBorders>
            <w:shd w:val="clear" w:color="auto" w:fill="FF0000"/>
            <w:vAlign w:val="center"/>
            <w:hideMark/>
          </w:tcPr>
          <w:p w14:paraId="3194729C" w14:textId="77777777" w:rsidR="00AA0841" w:rsidRPr="00D842D9" w:rsidRDefault="00AA0841" w:rsidP="00AA0841">
            <w:pPr>
              <w:jc w:val="center"/>
              <w:rPr>
                <w:color w:val="auto"/>
                <w:sz w:val="18"/>
                <w:szCs w:val="18"/>
              </w:rPr>
            </w:pPr>
          </w:p>
        </w:tc>
      </w:tr>
      <w:tr w:rsidR="00AA0841" w:rsidRPr="00D842D9" w14:paraId="4161FD2D" w14:textId="77777777" w:rsidTr="00AA0841">
        <w:trPr>
          <w:trHeight w:val="1635"/>
        </w:trPr>
        <w:tc>
          <w:tcPr>
            <w:tcW w:w="2547" w:type="dxa"/>
            <w:vMerge/>
            <w:tcBorders>
              <w:top w:val="single" w:sz="4" w:space="0" w:color="auto"/>
              <w:left w:val="single" w:sz="12" w:space="0" w:color="auto"/>
              <w:bottom w:val="single" w:sz="4" w:space="0" w:color="auto"/>
              <w:right w:val="single" w:sz="4" w:space="0" w:color="auto"/>
            </w:tcBorders>
            <w:vAlign w:val="center"/>
            <w:hideMark/>
          </w:tcPr>
          <w:p w14:paraId="66FCBC8B" w14:textId="77777777" w:rsidR="00AA0841" w:rsidRPr="00D5324D" w:rsidRDefault="00AA0841" w:rsidP="00AA0841">
            <w:pPr>
              <w:rPr>
                <w:sz w:val="18"/>
                <w:szCs w:val="18"/>
              </w:rPr>
            </w:pPr>
          </w:p>
        </w:tc>
        <w:tc>
          <w:tcPr>
            <w:tcW w:w="2551" w:type="dxa"/>
            <w:vMerge w:val="restart"/>
            <w:tcBorders>
              <w:top w:val="nil"/>
              <w:left w:val="single" w:sz="4" w:space="0" w:color="auto"/>
              <w:bottom w:val="single" w:sz="4" w:space="0" w:color="auto"/>
              <w:right w:val="single" w:sz="4" w:space="0" w:color="auto"/>
            </w:tcBorders>
            <w:shd w:val="clear" w:color="auto" w:fill="auto"/>
            <w:vAlign w:val="center"/>
            <w:hideMark/>
          </w:tcPr>
          <w:p w14:paraId="08DA03C8" w14:textId="77777777" w:rsidR="00AA0841" w:rsidRPr="00D5324D" w:rsidRDefault="00AA0841" w:rsidP="00AA0841">
            <w:pPr>
              <w:rPr>
                <w:sz w:val="18"/>
                <w:szCs w:val="18"/>
              </w:rPr>
            </w:pPr>
            <w:r w:rsidRPr="00D5324D">
              <w:rPr>
                <w:sz w:val="18"/>
                <w:szCs w:val="18"/>
              </w:rPr>
              <w:t xml:space="preserve">Infrastructure delivery to Gunbower Forest targeting river red gum forest </w:t>
            </w:r>
            <w:r>
              <w:rPr>
                <w:sz w:val="18"/>
                <w:szCs w:val="18"/>
              </w:rPr>
              <w:t>(~1 600 ML/day for 90 days in winter/spring)</w:t>
            </w: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14:paraId="2ECFB69F" w14:textId="77777777" w:rsidR="00AA0841" w:rsidRPr="00D5324D" w:rsidRDefault="00AA0841" w:rsidP="00AA0841">
            <w:pPr>
              <w:jc w:val="center"/>
              <w:rPr>
                <w:sz w:val="18"/>
                <w:szCs w:val="18"/>
              </w:rPr>
            </w:pPr>
            <w:r>
              <w:rPr>
                <w:sz w:val="18"/>
                <w:szCs w:val="18"/>
              </w:rPr>
              <w:t xml:space="preserve">Up to </w:t>
            </w:r>
            <w:r w:rsidRPr="00D5324D">
              <w:rPr>
                <w:sz w:val="18"/>
                <w:szCs w:val="18"/>
              </w:rPr>
              <w:t>4</w:t>
            </w:r>
            <w:r>
              <w:rPr>
                <w:sz w:val="18"/>
                <w:szCs w:val="18"/>
              </w:rPr>
              <w:t> 7</w:t>
            </w:r>
            <w:r w:rsidRPr="00D5324D">
              <w:rPr>
                <w:sz w:val="18"/>
                <w:szCs w:val="18"/>
              </w:rPr>
              <w:t>00 ha via Gunbower Forest infrastructure.</w:t>
            </w:r>
          </w:p>
        </w:tc>
        <w:tc>
          <w:tcPr>
            <w:tcW w:w="2126" w:type="dxa"/>
            <w:vMerge w:val="restart"/>
            <w:tcBorders>
              <w:top w:val="nil"/>
              <w:left w:val="single" w:sz="4" w:space="0" w:color="auto"/>
              <w:bottom w:val="single" w:sz="4" w:space="0" w:color="auto"/>
              <w:right w:val="single" w:sz="4" w:space="0" w:color="auto"/>
            </w:tcBorders>
            <w:shd w:val="clear" w:color="auto" w:fill="auto"/>
            <w:vAlign w:val="center"/>
            <w:hideMark/>
          </w:tcPr>
          <w:p w14:paraId="719DB69E" w14:textId="77777777" w:rsidR="00AA0841" w:rsidRPr="00D5324D" w:rsidRDefault="00AA0841" w:rsidP="00AA0841">
            <w:pPr>
              <w:jc w:val="center"/>
              <w:rPr>
                <w:sz w:val="18"/>
                <w:szCs w:val="18"/>
              </w:rPr>
            </w:pPr>
            <w:r>
              <w:rPr>
                <w:sz w:val="18"/>
                <w:szCs w:val="18"/>
              </w:rPr>
              <w:t xml:space="preserve">6-7 in 10 years </w:t>
            </w:r>
            <w:r w:rsidRPr="00D5324D">
              <w:rPr>
                <w:sz w:val="18"/>
                <w:szCs w:val="18"/>
              </w:rPr>
              <w:t>(3 years)</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73C8D4" w14:textId="77777777" w:rsidR="00AA0841" w:rsidRPr="00D5324D" w:rsidRDefault="00AA0841" w:rsidP="00AA0841">
            <w:pPr>
              <w:rPr>
                <w:sz w:val="18"/>
                <w:szCs w:val="18"/>
              </w:rPr>
            </w:pPr>
            <w:r w:rsidRPr="00643E26">
              <w:rPr>
                <w:sz w:val="18"/>
                <w:szCs w:val="18"/>
              </w:rPr>
              <w:t>Met or partially met in 5 of the past 6 years.</w:t>
            </w:r>
            <w:r w:rsidRPr="00D5324D">
              <w:rPr>
                <w:sz w:val="18"/>
                <w:szCs w:val="18"/>
              </w:rPr>
              <w:t xml:space="preserve"> The environmental demand has been assessed as </w:t>
            </w:r>
            <w:r>
              <w:rPr>
                <w:sz w:val="18"/>
                <w:szCs w:val="18"/>
              </w:rPr>
              <w:t>Moderate</w:t>
            </w:r>
            <w:r w:rsidRPr="00D5324D">
              <w:rPr>
                <w:sz w:val="18"/>
                <w:szCs w:val="18"/>
              </w:rPr>
              <w:t xml:space="preserve">. </w:t>
            </w:r>
          </w:p>
        </w:tc>
        <w:tc>
          <w:tcPr>
            <w:tcW w:w="1984" w:type="dxa"/>
            <w:vMerge w:val="restart"/>
            <w:tcBorders>
              <w:top w:val="single" w:sz="4" w:space="0" w:color="auto"/>
              <w:left w:val="single" w:sz="4" w:space="0" w:color="auto"/>
              <w:bottom w:val="single" w:sz="4" w:space="0" w:color="auto"/>
              <w:right w:val="single" w:sz="4" w:space="0" w:color="auto"/>
            </w:tcBorders>
            <w:shd w:val="clear" w:color="auto" w:fill="FFC000"/>
            <w:vAlign w:val="center"/>
            <w:hideMark/>
          </w:tcPr>
          <w:p w14:paraId="56EC498D" w14:textId="77777777" w:rsidR="00AA0841" w:rsidRPr="00D842D9" w:rsidRDefault="00AA0841" w:rsidP="00AA0841">
            <w:pPr>
              <w:jc w:val="center"/>
              <w:rPr>
                <w:color w:val="auto"/>
                <w:sz w:val="18"/>
                <w:szCs w:val="18"/>
              </w:rPr>
            </w:pPr>
            <w:r w:rsidRPr="00D842D9">
              <w:rPr>
                <w:color w:val="auto"/>
                <w:sz w:val="18"/>
                <w:szCs w:val="18"/>
              </w:rPr>
              <w:t>Moderate</w:t>
            </w:r>
          </w:p>
        </w:tc>
        <w:tc>
          <w:tcPr>
            <w:tcW w:w="4253" w:type="dxa"/>
            <w:vMerge w:val="restart"/>
            <w:tcBorders>
              <w:top w:val="nil"/>
              <w:left w:val="single" w:sz="4" w:space="0" w:color="auto"/>
              <w:bottom w:val="single" w:sz="4" w:space="0" w:color="000000"/>
              <w:right w:val="single" w:sz="4" w:space="0" w:color="auto"/>
            </w:tcBorders>
            <w:shd w:val="clear" w:color="auto" w:fill="auto"/>
            <w:vAlign w:val="center"/>
            <w:hideMark/>
          </w:tcPr>
          <w:p w14:paraId="41CE8C93" w14:textId="77777777" w:rsidR="00AA0841" w:rsidRPr="00D842D9" w:rsidRDefault="00AA0841" w:rsidP="00AA0841">
            <w:pPr>
              <w:jc w:val="center"/>
              <w:rPr>
                <w:color w:val="auto"/>
                <w:sz w:val="18"/>
                <w:szCs w:val="18"/>
              </w:rPr>
            </w:pPr>
            <w:r w:rsidRPr="00D842D9">
              <w:rPr>
                <w:color w:val="auto"/>
                <w:sz w:val="18"/>
                <w:szCs w:val="18"/>
              </w:rPr>
              <w:t>It is anticipated that demands in Gunbower Forest will be met by other water holders in 2020-21.</w:t>
            </w:r>
          </w:p>
        </w:tc>
        <w:tc>
          <w:tcPr>
            <w:tcW w:w="2268" w:type="dxa"/>
            <w:vMerge w:val="restart"/>
            <w:tcBorders>
              <w:top w:val="single" w:sz="4" w:space="0" w:color="auto"/>
              <w:left w:val="single" w:sz="4" w:space="0" w:color="auto"/>
              <w:bottom w:val="single" w:sz="4" w:space="0" w:color="auto"/>
              <w:right w:val="single" w:sz="12" w:space="0" w:color="auto"/>
            </w:tcBorders>
            <w:shd w:val="clear" w:color="auto" w:fill="FF0000"/>
            <w:vAlign w:val="center"/>
            <w:hideMark/>
          </w:tcPr>
          <w:p w14:paraId="2BF3C1E3"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70C9A1EC" w14:textId="77777777" w:rsidTr="00AA0841">
        <w:trPr>
          <w:trHeight w:val="269"/>
        </w:trPr>
        <w:tc>
          <w:tcPr>
            <w:tcW w:w="2547" w:type="dxa"/>
            <w:vMerge/>
            <w:tcBorders>
              <w:top w:val="single" w:sz="4" w:space="0" w:color="auto"/>
              <w:left w:val="single" w:sz="12" w:space="0" w:color="auto"/>
              <w:bottom w:val="single" w:sz="12" w:space="0" w:color="auto"/>
              <w:right w:val="single" w:sz="4" w:space="0" w:color="auto"/>
            </w:tcBorders>
            <w:vAlign w:val="center"/>
            <w:hideMark/>
          </w:tcPr>
          <w:p w14:paraId="673A8DC6" w14:textId="77777777" w:rsidR="00AA0841" w:rsidRPr="00D5324D" w:rsidRDefault="00AA0841" w:rsidP="00AA0841">
            <w:pPr>
              <w:rPr>
                <w:sz w:val="18"/>
                <w:szCs w:val="18"/>
              </w:rPr>
            </w:pPr>
          </w:p>
        </w:tc>
        <w:tc>
          <w:tcPr>
            <w:tcW w:w="2551" w:type="dxa"/>
            <w:vMerge/>
            <w:tcBorders>
              <w:top w:val="nil"/>
              <w:left w:val="single" w:sz="4" w:space="0" w:color="auto"/>
              <w:bottom w:val="single" w:sz="12" w:space="0" w:color="auto"/>
              <w:right w:val="single" w:sz="4" w:space="0" w:color="auto"/>
            </w:tcBorders>
            <w:vAlign w:val="center"/>
            <w:hideMark/>
          </w:tcPr>
          <w:p w14:paraId="4C5DCA62" w14:textId="77777777" w:rsidR="00AA0841" w:rsidRPr="00D5324D" w:rsidRDefault="00AA0841" w:rsidP="00AA0841">
            <w:pPr>
              <w:rPr>
                <w:sz w:val="18"/>
                <w:szCs w:val="18"/>
              </w:rPr>
            </w:pPr>
          </w:p>
        </w:tc>
        <w:tc>
          <w:tcPr>
            <w:tcW w:w="1560" w:type="dxa"/>
            <w:vMerge/>
            <w:tcBorders>
              <w:top w:val="nil"/>
              <w:left w:val="single" w:sz="4" w:space="0" w:color="auto"/>
              <w:bottom w:val="single" w:sz="12" w:space="0" w:color="auto"/>
              <w:right w:val="single" w:sz="4" w:space="0" w:color="auto"/>
            </w:tcBorders>
            <w:vAlign w:val="center"/>
            <w:hideMark/>
          </w:tcPr>
          <w:p w14:paraId="4529E931" w14:textId="77777777" w:rsidR="00AA0841" w:rsidRPr="00D5324D" w:rsidRDefault="00AA0841" w:rsidP="00AA0841">
            <w:pPr>
              <w:rPr>
                <w:sz w:val="18"/>
                <w:szCs w:val="18"/>
              </w:rPr>
            </w:pPr>
          </w:p>
        </w:tc>
        <w:tc>
          <w:tcPr>
            <w:tcW w:w="2126" w:type="dxa"/>
            <w:vMerge/>
            <w:tcBorders>
              <w:top w:val="nil"/>
              <w:left w:val="single" w:sz="4" w:space="0" w:color="auto"/>
              <w:bottom w:val="single" w:sz="12" w:space="0" w:color="auto"/>
              <w:right w:val="single" w:sz="4" w:space="0" w:color="auto"/>
            </w:tcBorders>
            <w:vAlign w:val="center"/>
            <w:hideMark/>
          </w:tcPr>
          <w:p w14:paraId="73E3E399" w14:textId="77777777" w:rsidR="00AA0841" w:rsidRPr="00D5324D" w:rsidRDefault="00AA0841" w:rsidP="00AA0841">
            <w:pPr>
              <w:rPr>
                <w:sz w:val="18"/>
                <w:szCs w:val="18"/>
              </w:rPr>
            </w:pPr>
          </w:p>
        </w:tc>
        <w:tc>
          <w:tcPr>
            <w:tcW w:w="4678" w:type="dxa"/>
            <w:vMerge/>
            <w:tcBorders>
              <w:top w:val="single" w:sz="4" w:space="0" w:color="auto"/>
              <w:left w:val="single" w:sz="4" w:space="0" w:color="auto"/>
              <w:bottom w:val="single" w:sz="12" w:space="0" w:color="auto"/>
              <w:right w:val="single" w:sz="4" w:space="0" w:color="auto"/>
            </w:tcBorders>
            <w:vAlign w:val="center"/>
            <w:hideMark/>
          </w:tcPr>
          <w:p w14:paraId="089F6CE1" w14:textId="77777777" w:rsidR="00AA0841" w:rsidRPr="00D5324D" w:rsidRDefault="00AA0841" w:rsidP="00AA0841">
            <w:pPr>
              <w:rPr>
                <w:sz w:val="18"/>
                <w:szCs w:val="18"/>
              </w:rPr>
            </w:pPr>
          </w:p>
        </w:tc>
        <w:tc>
          <w:tcPr>
            <w:tcW w:w="1984" w:type="dxa"/>
            <w:vMerge/>
            <w:tcBorders>
              <w:top w:val="single" w:sz="4" w:space="0" w:color="auto"/>
              <w:left w:val="single" w:sz="4" w:space="0" w:color="auto"/>
              <w:bottom w:val="single" w:sz="12" w:space="0" w:color="auto"/>
              <w:right w:val="single" w:sz="4" w:space="0" w:color="auto"/>
            </w:tcBorders>
            <w:shd w:val="clear" w:color="auto" w:fill="92D050"/>
            <w:vAlign w:val="center"/>
            <w:hideMark/>
          </w:tcPr>
          <w:p w14:paraId="6720B6CC" w14:textId="77777777" w:rsidR="00AA0841" w:rsidRPr="00D842D9" w:rsidRDefault="00AA0841" w:rsidP="00AA0841">
            <w:pPr>
              <w:jc w:val="center"/>
              <w:rPr>
                <w:color w:val="auto"/>
                <w:sz w:val="18"/>
                <w:szCs w:val="18"/>
              </w:rPr>
            </w:pPr>
          </w:p>
        </w:tc>
        <w:tc>
          <w:tcPr>
            <w:tcW w:w="4253" w:type="dxa"/>
            <w:vMerge/>
            <w:tcBorders>
              <w:top w:val="nil"/>
              <w:left w:val="single" w:sz="4" w:space="0" w:color="auto"/>
              <w:bottom w:val="single" w:sz="12" w:space="0" w:color="auto"/>
              <w:right w:val="single" w:sz="4" w:space="0" w:color="auto"/>
            </w:tcBorders>
            <w:vAlign w:val="center"/>
            <w:hideMark/>
          </w:tcPr>
          <w:p w14:paraId="6D119FC0" w14:textId="77777777" w:rsidR="00AA0841" w:rsidRPr="00D842D9" w:rsidRDefault="00AA0841" w:rsidP="00AA0841">
            <w:pPr>
              <w:jc w:val="center"/>
              <w:rPr>
                <w:color w:val="auto"/>
                <w:sz w:val="18"/>
                <w:szCs w:val="18"/>
              </w:rPr>
            </w:pPr>
          </w:p>
        </w:tc>
        <w:tc>
          <w:tcPr>
            <w:tcW w:w="2268" w:type="dxa"/>
            <w:vMerge/>
            <w:tcBorders>
              <w:top w:val="single" w:sz="4" w:space="0" w:color="auto"/>
              <w:left w:val="single" w:sz="4" w:space="0" w:color="auto"/>
              <w:bottom w:val="single" w:sz="12" w:space="0" w:color="auto"/>
              <w:right w:val="single" w:sz="12" w:space="0" w:color="auto"/>
            </w:tcBorders>
            <w:shd w:val="clear" w:color="auto" w:fill="FF0000"/>
            <w:vAlign w:val="center"/>
            <w:hideMark/>
          </w:tcPr>
          <w:p w14:paraId="582A7B50" w14:textId="77777777" w:rsidR="00AA0841" w:rsidRPr="00D842D9" w:rsidRDefault="00AA0841" w:rsidP="00AA0841">
            <w:pPr>
              <w:jc w:val="center"/>
              <w:rPr>
                <w:color w:val="auto"/>
                <w:sz w:val="18"/>
                <w:szCs w:val="18"/>
              </w:rPr>
            </w:pPr>
          </w:p>
        </w:tc>
      </w:tr>
      <w:tr w:rsidR="00AA0841" w:rsidRPr="00D842D9" w14:paraId="76ABE15E" w14:textId="77777777" w:rsidTr="00AA0841">
        <w:trPr>
          <w:trHeight w:val="1155"/>
        </w:trPr>
        <w:tc>
          <w:tcPr>
            <w:tcW w:w="2547"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0255D03A" w14:textId="77777777" w:rsidR="00AA0841" w:rsidRPr="00D5324D" w:rsidRDefault="00AA0841" w:rsidP="00AA0841">
            <w:pPr>
              <w:rPr>
                <w:b/>
                <w:sz w:val="18"/>
                <w:szCs w:val="18"/>
              </w:rPr>
            </w:pPr>
            <w:r w:rsidRPr="00D5324D">
              <w:rPr>
                <w:b/>
                <w:sz w:val="18"/>
                <w:szCs w:val="18"/>
              </w:rPr>
              <w:t>Mid</w:t>
            </w:r>
            <w:r w:rsidRPr="00D5324D" w:rsidDel="002009E2">
              <w:rPr>
                <w:b/>
                <w:sz w:val="18"/>
                <w:szCs w:val="18"/>
              </w:rPr>
              <w:t>-</w:t>
            </w:r>
            <w:r w:rsidRPr="00D5324D">
              <w:rPr>
                <w:b/>
                <w:sz w:val="18"/>
                <w:szCs w:val="18"/>
              </w:rPr>
              <w:t>Murray Off-Channel Wetlands and ephemeral creeks Hume to Euston</w:t>
            </w:r>
          </w:p>
        </w:tc>
        <w:tc>
          <w:tcPr>
            <w:tcW w:w="4111" w:type="dxa"/>
            <w:gridSpan w:val="2"/>
            <w:tcBorders>
              <w:top w:val="single" w:sz="12" w:space="0" w:color="auto"/>
              <w:left w:val="nil"/>
              <w:bottom w:val="single" w:sz="4" w:space="0" w:color="auto"/>
              <w:right w:val="single" w:sz="4" w:space="0" w:color="auto"/>
            </w:tcBorders>
            <w:shd w:val="clear" w:color="auto" w:fill="auto"/>
            <w:vAlign w:val="center"/>
            <w:hideMark/>
          </w:tcPr>
          <w:p w14:paraId="3121ED5B" w14:textId="77777777" w:rsidR="00AA0841" w:rsidRPr="00D5324D" w:rsidRDefault="00AA0841" w:rsidP="00AA0841">
            <w:pPr>
              <w:rPr>
                <w:sz w:val="18"/>
                <w:szCs w:val="18"/>
              </w:rPr>
            </w:pPr>
            <w:r w:rsidRPr="00D5324D">
              <w:rPr>
                <w:sz w:val="18"/>
                <w:szCs w:val="18"/>
              </w:rPr>
              <w:t>Infrastructure delivery targeting permanent off-channel wetlands.</w:t>
            </w:r>
          </w:p>
        </w:tc>
        <w:tc>
          <w:tcPr>
            <w:tcW w:w="2126" w:type="dxa"/>
            <w:tcBorders>
              <w:top w:val="single" w:sz="12" w:space="0" w:color="auto"/>
              <w:left w:val="nil"/>
              <w:bottom w:val="single" w:sz="4" w:space="0" w:color="auto"/>
              <w:right w:val="single" w:sz="4" w:space="0" w:color="000000"/>
            </w:tcBorders>
            <w:shd w:val="clear" w:color="auto" w:fill="auto"/>
            <w:vAlign w:val="center"/>
            <w:hideMark/>
          </w:tcPr>
          <w:p w14:paraId="7D9B7CF2" w14:textId="77777777" w:rsidR="00AA0841" w:rsidRPr="00D5324D" w:rsidRDefault="00AA0841" w:rsidP="00AA0841">
            <w:pPr>
              <w:jc w:val="center"/>
              <w:rPr>
                <w:sz w:val="18"/>
                <w:szCs w:val="18"/>
              </w:rPr>
            </w:pPr>
            <w:r w:rsidRPr="00D5324D">
              <w:rPr>
                <w:sz w:val="18"/>
                <w:szCs w:val="18"/>
              </w:rPr>
              <w:t>Annually</w:t>
            </w:r>
          </w:p>
        </w:tc>
        <w:tc>
          <w:tcPr>
            <w:tcW w:w="4678" w:type="dxa"/>
            <w:tcBorders>
              <w:top w:val="single" w:sz="12" w:space="0" w:color="auto"/>
              <w:left w:val="nil"/>
              <w:bottom w:val="single" w:sz="4" w:space="0" w:color="auto"/>
              <w:right w:val="single" w:sz="4" w:space="0" w:color="auto"/>
            </w:tcBorders>
            <w:shd w:val="clear" w:color="auto" w:fill="auto"/>
            <w:vAlign w:val="center"/>
            <w:hideMark/>
          </w:tcPr>
          <w:p w14:paraId="51154C4B" w14:textId="77777777" w:rsidR="00AA0841" w:rsidRPr="00D5324D" w:rsidRDefault="00AA0841" w:rsidP="00AA0841">
            <w:pPr>
              <w:rPr>
                <w:sz w:val="18"/>
                <w:szCs w:val="18"/>
              </w:rPr>
            </w:pPr>
            <w:r w:rsidRPr="00D5324D">
              <w:rPr>
                <w:sz w:val="18"/>
                <w:szCs w:val="18"/>
              </w:rPr>
              <w:t>Annual requirement therefore the environmental demand has been assessed as High.</w:t>
            </w:r>
          </w:p>
        </w:tc>
        <w:tc>
          <w:tcPr>
            <w:tcW w:w="1984" w:type="dxa"/>
            <w:tcBorders>
              <w:top w:val="single" w:sz="12" w:space="0" w:color="auto"/>
              <w:left w:val="nil"/>
              <w:bottom w:val="single" w:sz="4" w:space="0" w:color="auto"/>
              <w:right w:val="single" w:sz="4" w:space="0" w:color="auto"/>
            </w:tcBorders>
            <w:shd w:val="clear" w:color="000000" w:fill="FF0000"/>
            <w:vAlign w:val="center"/>
            <w:hideMark/>
          </w:tcPr>
          <w:p w14:paraId="391CC72B"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single" w:sz="12" w:space="0" w:color="auto"/>
              <w:left w:val="nil"/>
              <w:bottom w:val="single" w:sz="4" w:space="0" w:color="auto"/>
              <w:right w:val="single" w:sz="4" w:space="0" w:color="auto"/>
            </w:tcBorders>
            <w:shd w:val="clear" w:color="auto" w:fill="365F91" w:themeFill="accent1" w:themeFillShade="BF"/>
            <w:vAlign w:val="center"/>
            <w:hideMark/>
          </w:tcPr>
          <w:p w14:paraId="20118202" w14:textId="77777777" w:rsidR="00AA0841" w:rsidRPr="00D842D9" w:rsidRDefault="00AA0841" w:rsidP="00AA0841">
            <w:pPr>
              <w:jc w:val="center"/>
              <w:rPr>
                <w:color w:val="auto"/>
                <w:sz w:val="18"/>
                <w:szCs w:val="18"/>
              </w:rPr>
            </w:pPr>
            <w:r w:rsidRPr="00D842D9">
              <w:rPr>
                <w:color w:val="auto"/>
                <w:sz w:val="18"/>
                <w:szCs w:val="18"/>
              </w:rPr>
              <w:t>High priority for Commonwealth environmental watering (likely to receive water even under low water resource availability)</w:t>
            </w:r>
          </w:p>
        </w:tc>
        <w:tc>
          <w:tcPr>
            <w:tcW w:w="2268" w:type="dxa"/>
            <w:tcBorders>
              <w:top w:val="single" w:sz="12" w:space="0" w:color="auto"/>
              <w:left w:val="nil"/>
              <w:bottom w:val="single" w:sz="4" w:space="0" w:color="auto"/>
              <w:right w:val="single" w:sz="12" w:space="0" w:color="auto"/>
            </w:tcBorders>
            <w:shd w:val="clear" w:color="000000" w:fill="FF0000"/>
            <w:vAlign w:val="center"/>
            <w:hideMark/>
          </w:tcPr>
          <w:p w14:paraId="5AB541D8"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04A19E50" w14:textId="77777777" w:rsidTr="00AA0841">
        <w:trPr>
          <w:trHeight w:val="1155"/>
        </w:trPr>
        <w:tc>
          <w:tcPr>
            <w:tcW w:w="2547" w:type="dxa"/>
            <w:vMerge/>
            <w:tcBorders>
              <w:top w:val="single" w:sz="4" w:space="0" w:color="auto"/>
              <w:left w:val="single" w:sz="12" w:space="0" w:color="auto"/>
              <w:bottom w:val="single" w:sz="4" w:space="0" w:color="auto"/>
              <w:right w:val="single" w:sz="4" w:space="0" w:color="auto"/>
            </w:tcBorders>
            <w:vAlign w:val="center"/>
            <w:hideMark/>
          </w:tcPr>
          <w:p w14:paraId="3AF1D48D" w14:textId="77777777" w:rsidR="00AA0841" w:rsidRPr="00D5324D" w:rsidRDefault="00AA0841" w:rsidP="00AA0841">
            <w:pPr>
              <w:rPr>
                <w:sz w:val="18"/>
                <w:szCs w:val="18"/>
              </w:rPr>
            </w:pPr>
          </w:p>
        </w:tc>
        <w:tc>
          <w:tcPr>
            <w:tcW w:w="4111" w:type="dxa"/>
            <w:gridSpan w:val="2"/>
            <w:tcBorders>
              <w:top w:val="single" w:sz="4" w:space="0" w:color="auto"/>
              <w:left w:val="nil"/>
              <w:bottom w:val="single" w:sz="4" w:space="0" w:color="auto"/>
              <w:right w:val="single" w:sz="4" w:space="0" w:color="auto"/>
            </w:tcBorders>
            <w:shd w:val="clear" w:color="auto" w:fill="auto"/>
            <w:vAlign w:val="center"/>
            <w:hideMark/>
          </w:tcPr>
          <w:p w14:paraId="6A73F35F" w14:textId="77777777" w:rsidR="00AA0841" w:rsidRPr="00D5324D" w:rsidRDefault="00AA0841" w:rsidP="00AA0841">
            <w:pPr>
              <w:rPr>
                <w:sz w:val="18"/>
                <w:szCs w:val="18"/>
              </w:rPr>
            </w:pPr>
            <w:r w:rsidRPr="00D5324D">
              <w:rPr>
                <w:sz w:val="18"/>
                <w:szCs w:val="18"/>
              </w:rPr>
              <w:t>Infrastructure delivery targeting semi-permanent off-channel wetlands.</w:t>
            </w:r>
          </w:p>
        </w:tc>
        <w:tc>
          <w:tcPr>
            <w:tcW w:w="2126" w:type="dxa"/>
            <w:tcBorders>
              <w:top w:val="single" w:sz="4" w:space="0" w:color="auto"/>
              <w:left w:val="nil"/>
              <w:bottom w:val="single" w:sz="4" w:space="0" w:color="auto"/>
              <w:right w:val="single" w:sz="4" w:space="0" w:color="000000"/>
            </w:tcBorders>
            <w:shd w:val="clear" w:color="auto" w:fill="auto"/>
            <w:vAlign w:val="center"/>
            <w:hideMark/>
          </w:tcPr>
          <w:p w14:paraId="7D4C6EA8" w14:textId="77777777" w:rsidR="00AA0841" w:rsidRPr="00D5324D" w:rsidRDefault="00AA0841" w:rsidP="00AA0841">
            <w:pPr>
              <w:jc w:val="center"/>
              <w:rPr>
                <w:sz w:val="18"/>
                <w:szCs w:val="18"/>
              </w:rPr>
            </w:pPr>
            <w:r w:rsidRPr="00D5324D">
              <w:rPr>
                <w:sz w:val="18"/>
                <w:szCs w:val="18"/>
              </w:rPr>
              <w:t>3-7 in 10 years (5 years).</w:t>
            </w:r>
          </w:p>
        </w:tc>
        <w:tc>
          <w:tcPr>
            <w:tcW w:w="4678" w:type="dxa"/>
            <w:tcBorders>
              <w:top w:val="single" w:sz="4" w:space="0" w:color="auto"/>
              <w:left w:val="nil"/>
              <w:bottom w:val="single" w:sz="4" w:space="0" w:color="auto"/>
              <w:right w:val="single" w:sz="4" w:space="0" w:color="auto"/>
            </w:tcBorders>
            <w:shd w:val="clear" w:color="auto" w:fill="auto"/>
            <w:vAlign w:val="center"/>
            <w:hideMark/>
          </w:tcPr>
          <w:p w14:paraId="783E197D" w14:textId="77777777" w:rsidR="00AA0841" w:rsidRPr="00D5324D" w:rsidRDefault="00AA0841" w:rsidP="00AA0841">
            <w:pPr>
              <w:rPr>
                <w:sz w:val="18"/>
                <w:szCs w:val="18"/>
              </w:rPr>
            </w:pPr>
            <w:r>
              <w:rPr>
                <w:sz w:val="18"/>
                <w:szCs w:val="18"/>
              </w:rPr>
              <w:t>Variable across sites with last natural watering event in 2016.</w:t>
            </w:r>
            <w:r w:rsidRPr="00D5324D">
              <w:rPr>
                <w:sz w:val="18"/>
                <w:szCs w:val="18"/>
              </w:rPr>
              <w:t xml:space="preserve"> Therefore</w:t>
            </w:r>
            <w:r>
              <w:rPr>
                <w:sz w:val="18"/>
                <w:szCs w:val="18"/>
              </w:rPr>
              <w:t>,</w:t>
            </w:r>
            <w:r w:rsidRPr="00D5324D">
              <w:rPr>
                <w:sz w:val="18"/>
                <w:szCs w:val="18"/>
              </w:rPr>
              <w:t xml:space="preserve"> the environmental demand has been assessed as Moderate.</w:t>
            </w:r>
          </w:p>
        </w:tc>
        <w:tc>
          <w:tcPr>
            <w:tcW w:w="1984" w:type="dxa"/>
            <w:tcBorders>
              <w:top w:val="nil"/>
              <w:left w:val="nil"/>
              <w:bottom w:val="single" w:sz="4" w:space="0" w:color="auto"/>
              <w:right w:val="single" w:sz="4" w:space="0" w:color="auto"/>
            </w:tcBorders>
            <w:shd w:val="clear" w:color="000000" w:fill="FFC000"/>
            <w:vAlign w:val="center"/>
            <w:hideMark/>
          </w:tcPr>
          <w:p w14:paraId="0164D75C" w14:textId="77777777" w:rsidR="00AA0841" w:rsidRPr="00D842D9" w:rsidRDefault="00AA0841" w:rsidP="00AA0841">
            <w:pPr>
              <w:jc w:val="center"/>
              <w:rPr>
                <w:color w:val="auto"/>
                <w:sz w:val="18"/>
                <w:szCs w:val="18"/>
              </w:rPr>
            </w:pPr>
            <w:r w:rsidRPr="00D842D9">
              <w:rPr>
                <w:color w:val="auto"/>
                <w:sz w:val="18"/>
                <w:szCs w:val="18"/>
              </w:rPr>
              <w:t>Moderate</w:t>
            </w:r>
          </w:p>
        </w:tc>
        <w:tc>
          <w:tcPr>
            <w:tcW w:w="4253" w:type="dxa"/>
            <w:tcBorders>
              <w:top w:val="nil"/>
              <w:left w:val="nil"/>
              <w:bottom w:val="single" w:sz="4" w:space="0" w:color="auto"/>
              <w:right w:val="single" w:sz="4" w:space="0" w:color="auto"/>
            </w:tcBorders>
            <w:shd w:val="clear" w:color="auto" w:fill="95B3D7" w:themeFill="accent1" w:themeFillTint="99"/>
            <w:vAlign w:val="center"/>
            <w:hideMark/>
          </w:tcPr>
          <w:p w14:paraId="14A69D25" w14:textId="77777777" w:rsidR="00AA0841" w:rsidRPr="00D842D9" w:rsidRDefault="00AA0841" w:rsidP="00AA0841">
            <w:pPr>
              <w:jc w:val="center"/>
              <w:rPr>
                <w:color w:val="auto"/>
                <w:sz w:val="18"/>
                <w:szCs w:val="18"/>
              </w:rPr>
            </w:pPr>
            <w:r w:rsidRPr="00D842D9">
              <w:rPr>
                <w:color w:val="auto"/>
                <w:sz w:val="18"/>
                <w:szCs w:val="18"/>
              </w:rPr>
              <w:t>Option to be considered under a moderate to high water resource availability.</w:t>
            </w:r>
          </w:p>
        </w:tc>
        <w:tc>
          <w:tcPr>
            <w:tcW w:w="2268" w:type="dxa"/>
            <w:tcBorders>
              <w:top w:val="nil"/>
              <w:left w:val="nil"/>
              <w:bottom w:val="single" w:sz="4" w:space="0" w:color="auto"/>
              <w:right w:val="single" w:sz="12" w:space="0" w:color="auto"/>
            </w:tcBorders>
            <w:shd w:val="clear" w:color="000000" w:fill="FF0000"/>
            <w:vAlign w:val="center"/>
            <w:hideMark/>
          </w:tcPr>
          <w:p w14:paraId="56E75B2C"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4AFCE108" w14:textId="77777777" w:rsidTr="00AA0841">
        <w:trPr>
          <w:trHeight w:val="1155"/>
        </w:trPr>
        <w:tc>
          <w:tcPr>
            <w:tcW w:w="2547" w:type="dxa"/>
            <w:vMerge/>
            <w:tcBorders>
              <w:top w:val="single" w:sz="4" w:space="0" w:color="auto"/>
              <w:left w:val="single" w:sz="12" w:space="0" w:color="auto"/>
              <w:bottom w:val="single" w:sz="12" w:space="0" w:color="auto"/>
              <w:right w:val="single" w:sz="4" w:space="0" w:color="auto"/>
            </w:tcBorders>
            <w:vAlign w:val="center"/>
            <w:hideMark/>
          </w:tcPr>
          <w:p w14:paraId="47430D79" w14:textId="77777777" w:rsidR="00AA0841" w:rsidRPr="00D5324D" w:rsidRDefault="00AA0841" w:rsidP="00AA0841">
            <w:pPr>
              <w:rPr>
                <w:sz w:val="18"/>
                <w:szCs w:val="18"/>
              </w:rPr>
            </w:pPr>
          </w:p>
        </w:tc>
        <w:tc>
          <w:tcPr>
            <w:tcW w:w="4111" w:type="dxa"/>
            <w:gridSpan w:val="2"/>
            <w:tcBorders>
              <w:top w:val="single" w:sz="4" w:space="0" w:color="auto"/>
              <w:left w:val="nil"/>
              <w:bottom w:val="single" w:sz="12" w:space="0" w:color="auto"/>
              <w:right w:val="single" w:sz="4" w:space="0" w:color="auto"/>
            </w:tcBorders>
            <w:shd w:val="clear" w:color="auto" w:fill="auto"/>
            <w:vAlign w:val="center"/>
            <w:hideMark/>
          </w:tcPr>
          <w:p w14:paraId="7268AD73" w14:textId="77777777" w:rsidR="00AA0841" w:rsidRPr="00D5324D" w:rsidRDefault="00AA0841" w:rsidP="00AA0841">
            <w:pPr>
              <w:rPr>
                <w:sz w:val="18"/>
                <w:szCs w:val="18"/>
              </w:rPr>
            </w:pPr>
            <w:r w:rsidRPr="00D5324D">
              <w:rPr>
                <w:sz w:val="18"/>
                <w:szCs w:val="18"/>
              </w:rPr>
              <w:t>Infrastructure delivery targeting ephemeral off-channel wetlands.</w:t>
            </w:r>
          </w:p>
        </w:tc>
        <w:tc>
          <w:tcPr>
            <w:tcW w:w="2126" w:type="dxa"/>
            <w:tcBorders>
              <w:top w:val="single" w:sz="4" w:space="0" w:color="auto"/>
              <w:left w:val="nil"/>
              <w:bottom w:val="single" w:sz="12" w:space="0" w:color="auto"/>
              <w:right w:val="single" w:sz="4" w:space="0" w:color="000000"/>
            </w:tcBorders>
            <w:shd w:val="clear" w:color="auto" w:fill="auto"/>
            <w:vAlign w:val="center"/>
            <w:hideMark/>
          </w:tcPr>
          <w:p w14:paraId="34D31475" w14:textId="77777777" w:rsidR="00AA0841" w:rsidRPr="00D5324D" w:rsidRDefault="00AA0841" w:rsidP="00AA0841">
            <w:pPr>
              <w:jc w:val="center"/>
              <w:rPr>
                <w:sz w:val="18"/>
                <w:szCs w:val="18"/>
              </w:rPr>
            </w:pPr>
            <w:r w:rsidRPr="00D5324D">
              <w:rPr>
                <w:sz w:val="18"/>
                <w:szCs w:val="18"/>
              </w:rPr>
              <w:t>1 in 5 years.</w:t>
            </w:r>
          </w:p>
        </w:tc>
        <w:tc>
          <w:tcPr>
            <w:tcW w:w="4678" w:type="dxa"/>
            <w:tcBorders>
              <w:top w:val="single" w:sz="4" w:space="0" w:color="auto"/>
              <w:left w:val="nil"/>
              <w:bottom w:val="single" w:sz="12" w:space="0" w:color="auto"/>
              <w:right w:val="single" w:sz="4" w:space="0" w:color="auto"/>
            </w:tcBorders>
            <w:shd w:val="clear" w:color="auto" w:fill="auto"/>
            <w:vAlign w:val="center"/>
            <w:hideMark/>
          </w:tcPr>
          <w:p w14:paraId="20C493C3" w14:textId="77777777" w:rsidR="00AA0841" w:rsidRPr="00D5324D" w:rsidRDefault="00AA0841" w:rsidP="00AA0841">
            <w:pPr>
              <w:rPr>
                <w:sz w:val="18"/>
                <w:szCs w:val="18"/>
              </w:rPr>
            </w:pPr>
            <w:r>
              <w:rPr>
                <w:sz w:val="18"/>
                <w:szCs w:val="18"/>
              </w:rPr>
              <w:t>Variable across sites with</w:t>
            </w:r>
            <w:r w:rsidRPr="00D5324D">
              <w:rPr>
                <w:sz w:val="18"/>
                <w:szCs w:val="18"/>
              </w:rPr>
              <w:t xml:space="preserve"> last </w:t>
            </w:r>
            <w:r>
              <w:rPr>
                <w:sz w:val="18"/>
                <w:szCs w:val="18"/>
              </w:rPr>
              <w:t>natural watering event in 2016.</w:t>
            </w:r>
            <w:r w:rsidRPr="00D5324D">
              <w:rPr>
                <w:sz w:val="18"/>
                <w:szCs w:val="18"/>
              </w:rPr>
              <w:t xml:space="preserve"> Therefore the environmental demand is Low overall.</w:t>
            </w:r>
          </w:p>
        </w:tc>
        <w:tc>
          <w:tcPr>
            <w:tcW w:w="1984" w:type="dxa"/>
            <w:tcBorders>
              <w:top w:val="nil"/>
              <w:left w:val="nil"/>
              <w:bottom w:val="single" w:sz="12" w:space="0" w:color="auto"/>
              <w:right w:val="single" w:sz="4" w:space="0" w:color="auto"/>
            </w:tcBorders>
            <w:shd w:val="clear" w:color="000000" w:fill="92D050"/>
            <w:vAlign w:val="center"/>
            <w:hideMark/>
          </w:tcPr>
          <w:p w14:paraId="30656FB7" w14:textId="77777777" w:rsidR="00AA0841" w:rsidRPr="00D842D9" w:rsidRDefault="00AA0841" w:rsidP="00AA0841">
            <w:pPr>
              <w:jc w:val="center"/>
              <w:rPr>
                <w:color w:val="auto"/>
                <w:sz w:val="18"/>
                <w:szCs w:val="18"/>
              </w:rPr>
            </w:pPr>
            <w:r w:rsidRPr="00D842D9">
              <w:rPr>
                <w:color w:val="auto"/>
                <w:sz w:val="18"/>
                <w:szCs w:val="18"/>
              </w:rPr>
              <w:t>Low</w:t>
            </w:r>
          </w:p>
        </w:tc>
        <w:tc>
          <w:tcPr>
            <w:tcW w:w="4253" w:type="dxa"/>
            <w:tcBorders>
              <w:top w:val="nil"/>
              <w:left w:val="nil"/>
              <w:bottom w:val="single" w:sz="12" w:space="0" w:color="auto"/>
              <w:right w:val="single" w:sz="4" w:space="0" w:color="auto"/>
            </w:tcBorders>
            <w:shd w:val="clear" w:color="auto" w:fill="95B3D7" w:themeFill="accent1" w:themeFillTint="99"/>
            <w:vAlign w:val="center"/>
            <w:hideMark/>
          </w:tcPr>
          <w:p w14:paraId="3E7B8B15" w14:textId="77777777" w:rsidR="00AA0841" w:rsidRPr="00D842D9" w:rsidRDefault="00AA0841" w:rsidP="00AA0841">
            <w:pPr>
              <w:jc w:val="center"/>
              <w:rPr>
                <w:color w:val="auto"/>
                <w:sz w:val="18"/>
                <w:szCs w:val="18"/>
              </w:rPr>
            </w:pPr>
            <w:r w:rsidRPr="00D842D9">
              <w:rPr>
                <w:color w:val="auto"/>
                <w:sz w:val="18"/>
                <w:szCs w:val="18"/>
              </w:rPr>
              <w:t>Option to be considered under a moderate to high water resource availability.</w:t>
            </w:r>
          </w:p>
        </w:tc>
        <w:tc>
          <w:tcPr>
            <w:tcW w:w="2268" w:type="dxa"/>
            <w:tcBorders>
              <w:top w:val="nil"/>
              <w:left w:val="nil"/>
              <w:bottom w:val="single" w:sz="12" w:space="0" w:color="auto"/>
              <w:right w:val="single" w:sz="12" w:space="0" w:color="auto"/>
            </w:tcBorders>
            <w:shd w:val="clear" w:color="000000" w:fill="FFC000"/>
            <w:vAlign w:val="center"/>
            <w:hideMark/>
          </w:tcPr>
          <w:p w14:paraId="24938909" w14:textId="77777777" w:rsidR="00AA0841" w:rsidRPr="00D842D9" w:rsidRDefault="00AA0841" w:rsidP="00AA0841">
            <w:pPr>
              <w:jc w:val="center"/>
              <w:rPr>
                <w:color w:val="auto"/>
                <w:sz w:val="18"/>
                <w:szCs w:val="18"/>
              </w:rPr>
            </w:pPr>
            <w:r w:rsidRPr="00D842D9">
              <w:rPr>
                <w:color w:val="auto"/>
                <w:sz w:val="18"/>
                <w:szCs w:val="18"/>
              </w:rPr>
              <w:t>Moderate</w:t>
            </w:r>
          </w:p>
        </w:tc>
      </w:tr>
    </w:tbl>
    <w:p w14:paraId="6251C3AD" w14:textId="77777777" w:rsidR="00AA0841" w:rsidRDefault="00AA0841" w:rsidP="00AA0841">
      <w:pPr>
        <w:spacing w:after="0"/>
        <w:rPr>
          <w:b/>
          <w:u w:val="single"/>
        </w:rPr>
      </w:pPr>
      <w:r>
        <w:rPr>
          <w:noProof/>
        </w:rPr>
        <w:drawing>
          <wp:inline distT="0" distB="0" distL="0" distR="0" wp14:anchorId="338ABA7F" wp14:editId="6C217612">
            <wp:extent cx="9886950" cy="19867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0071650" cy="2023855"/>
                    </a:xfrm>
                    <a:prstGeom prst="rect">
                      <a:avLst/>
                    </a:prstGeom>
                  </pic:spPr>
                </pic:pic>
              </a:graphicData>
            </a:graphic>
          </wp:inline>
        </w:drawing>
      </w:r>
    </w:p>
    <w:p w14:paraId="75CCA088" w14:textId="3772E1DE" w:rsidR="00AA0841" w:rsidRPr="00595A3F" w:rsidRDefault="00AA0841" w:rsidP="00AA0841">
      <w:pPr>
        <w:spacing w:after="0"/>
        <w:rPr>
          <w:rFonts w:cstheme="minorHAnsi"/>
          <w:b/>
          <w:sz w:val="16"/>
          <w:szCs w:val="16"/>
        </w:rPr>
      </w:pPr>
      <w:r w:rsidRPr="00595A3F">
        <w:rPr>
          <w:rFonts w:cstheme="minorHAnsi"/>
          <w:b/>
          <w:sz w:val="16"/>
          <w:szCs w:val="16"/>
        </w:rPr>
        <w:t xml:space="preserve">References for </w:t>
      </w:r>
      <w:r>
        <w:rPr>
          <w:rFonts w:cstheme="minorHAnsi"/>
          <w:b/>
          <w:sz w:val="16"/>
          <w:szCs w:val="16"/>
        </w:rPr>
        <w:fldChar w:fldCharType="begin"/>
      </w:r>
      <w:r>
        <w:rPr>
          <w:rFonts w:cstheme="minorHAnsi"/>
          <w:b/>
          <w:sz w:val="16"/>
          <w:szCs w:val="16"/>
        </w:rPr>
        <w:instrText xml:space="preserve"> REF _Ref43131585 \h  \* MERGEFORMAT </w:instrText>
      </w:r>
      <w:r>
        <w:rPr>
          <w:rFonts w:cstheme="minorHAnsi"/>
          <w:b/>
          <w:sz w:val="16"/>
          <w:szCs w:val="16"/>
        </w:rPr>
      </w:r>
      <w:r>
        <w:rPr>
          <w:rFonts w:cstheme="minorHAnsi"/>
          <w:b/>
          <w:sz w:val="16"/>
          <w:szCs w:val="16"/>
        </w:rPr>
        <w:fldChar w:fldCharType="separate"/>
      </w:r>
      <w:r w:rsidR="001B2852" w:rsidRPr="001B2852">
        <w:rPr>
          <w:rFonts w:cstheme="minorHAnsi"/>
          <w:b/>
          <w:sz w:val="16"/>
          <w:szCs w:val="16"/>
        </w:rPr>
        <w:t>Table 47</w:t>
      </w:r>
      <w:r>
        <w:rPr>
          <w:rFonts w:cstheme="minorHAnsi"/>
          <w:b/>
          <w:sz w:val="16"/>
          <w:szCs w:val="16"/>
        </w:rPr>
        <w:fldChar w:fldCharType="end"/>
      </w:r>
      <w:r w:rsidRPr="00595A3F">
        <w:rPr>
          <w:rFonts w:cstheme="minorHAnsi"/>
          <w:b/>
          <w:sz w:val="16"/>
          <w:szCs w:val="16"/>
        </w:rPr>
        <w:t>:</w:t>
      </w:r>
    </w:p>
    <w:p w14:paraId="463775B2" w14:textId="77777777" w:rsidR="00AA0841" w:rsidRPr="00595A3F" w:rsidRDefault="00AA0841" w:rsidP="00EE5C1C">
      <w:pPr>
        <w:pStyle w:val="FootnoteText"/>
        <w:spacing w:before="0" w:after="0"/>
        <w:rPr>
          <w:rFonts w:asciiTheme="minorHAnsi" w:hAnsiTheme="minorHAnsi" w:cstheme="minorHAnsi"/>
          <w:color w:val="000000" w:themeColor="text1"/>
          <w:sz w:val="16"/>
          <w:szCs w:val="16"/>
        </w:rPr>
      </w:pPr>
      <w:r w:rsidRPr="00595A3F">
        <w:rPr>
          <w:rFonts w:asciiTheme="minorHAnsi" w:hAnsiTheme="minorHAnsi" w:cstheme="minorHAnsi"/>
          <w:color w:val="000000" w:themeColor="text1"/>
          <w:sz w:val="16"/>
          <w:szCs w:val="16"/>
        </w:rPr>
        <w:t>Murray and Barmah-Millewa Forest indicators adapted from Department of the Environment (2011</w:t>
      </w:r>
      <w:r>
        <w:rPr>
          <w:rFonts w:asciiTheme="minorHAnsi" w:hAnsiTheme="minorHAnsi" w:cstheme="minorHAnsi"/>
          <w:color w:val="000000" w:themeColor="text1"/>
          <w:sz w:val="16"/>
          <w:szCs w:val="16"/>
        </w:rPr>
        <w:t>b</w:t>
      </w:r>
      <w:r w:rsidRPr="00595A3F">
        <w:rPr>
          <w:rFonts w:asciiTheme="minorHAnsi" w:hAnsiTheme="minorHAnsi" w:cstheme="minorHAnsi"/>
          <w:color w:val="000000" w:themeColor="text1"/>
          <w:sz w:val="16"/>
          <w:szCs w:val="16"/>
        </w:rPr>
        <w:t>), MDBA (2012</w:t>
      </w:r>
      <w:r>
        <w:rPr>
          <w:rFonts w:asciiTheme="minorHAnsi" w:hAnsiTheme="minorHAnsi" w:cstheme="minorHAnsi"/>
          <w:color w:val="000000" w:themeColor="text1"/>
          <w:sz w:val="16"/>
          <w:szCs w:val="16"/>
        </w:rPr>
        <w:t>c</w:t>
      </w:r>
      <w:r w:rsidRPr="00595A3F">
        <w:rPr>
          <w:rFonts w:asciiTheme="minorHAnsi" w:hAnsiTheme="minorHAnsi" w:cstheme="minorHAnsi"/>
          <w:color w:val="000000" w:themeColor="text1"/>
          <w:sz w:val="16"/>
          <w:szCs w:val="16"/>
        </w:rPr>
        <w:t>).</w:t>
      </w:r>
    </w:p>
    <w:p w14:paraId="58AB03E8" w14:textId="77777777" w:rsidR="00AA0841" w:rsidRPr="00595A3F" w:rsidRDefault="00AA0841" w:rsidP="00EE5C1C">
      <w:pPr>
        <w:pStyle w:val="FootnoteText"/>
        <w:spacing w:before="0" w:after="0"/>
        <w:rPr>
          <w:rFonts w:asciiTheme="minorHAnsi" w:hAnsiTheme="minorHAnsi" w:cstheme="minorHAnsi"/>
          <w:color w:val="000000" w:themeColor="text1"/>
          <w:sz w:val="16"/>
          <w:szCs w:val="16"/>
        </w:rPr>
      </w:pPr>
      <w:r w:rsidRPr="00595A3F">
        <w:rPr>
          <w:rFonts w:asciiTheme="minorHAnsi" w:hAnsiTheme="minorHAnsi" w:cstheme="minorHAnsi"/>
          <w:color w:val="000000" w:themeColor="text1"/>
          <w:sz w:val="16"/>
          <w:szCs w:val="16"/>
        </w:rPr>
        <w:t>Gunbower Creek indicators sourced from North Central CMA (2013; 2014b; 2015b; 2016b; 2017).</w:t>
      </w:r>
    </w:p>
    <w:p w14:paraId="33C1B7BE" w14:textId="77777777" w:rsidR="00AA0841" w:rsidRPr="00595A3F" w:rsidRDefault="00AA0841" w:rsidP="00EE5C1C">
      <w:pPr>
        <w:pStyle w:val="FootnoteText"/>
        <w:spacing w:before="0" w:after="0"/>
        <w:rPr>
          <w:rFonts w:asciiTheme="minorHAnsi" w:hAnsiTheme="minorHAnsi" w:cstheme="minorHAnsi"/>
          <w:color w:val="000000" w:themeColor="text1"/>
          <w:sz w:val="16"/>
          <w:szCs w:val="16"/>
        </w:rPr>
      </w:pPr>
      <w:r w:rsidRPr="00595A3F">
        <w:rPr>
          <w:rFonts w:asciiTheme="minorHAnsi" w:hAnsiTheme="minorHAnsi" w:cstheme="minorHAnsi"/>
          <w:color w:val="000000" w:themeColor="text1"/>
          <w:sz w:val="16"/>
          <w:szCs w:val="16"/>
        </w:rPr>
        <w:t>Gunbower-Koondrook-Perricoota Forest indicators adapted from MDBA (2012</w:t>
      </w:r>
      <w:r>
        <w:rPr>
          <w:rFonts w:asciiTheme="minorHAnsi" w:hAnsiTheme="minorHAnsi" w:cstheme="minorHAnsi"/>
          <w:color w:val="000000" w:themeColor="text1"/>
          <w:sz w:val="16"/>
          <w:szCs w:val="16"/>
        </w:rPr>
        <w:t>a</w:t>
      </w:r>
      <w:r w:rsidRPr="00595A3F">
        <w:rPr>
          <w:rFonts w:asciiTheme="minorHAnsi" w:hAnsiTheme="minorHAnsi" w:cstheme="minorHAnsi"/>
          <w:color w:val="000000" w:themeColor="text1"/>
          <w:sz w:val="16"/>
          <w:szCs w:val="16"/>
        </w:rPr>
        <w:t xml:space="preserve">), MDBA </w:t>
      </w:r>
      <w:r>
        <w:rPr>
          <w:rFonts w:asciiTheme="minorHAnsi" w:hAnsiTheme="minorHAnsi" w:cstheme="minorHAnsi"/>
          <w:color w:val="000000" w:themeColor="text1"/>
          <w:sz w:val="16"/>
          <w:szCs w:val="16"/>
        </w:rPr>
        <w:t>(</w:t>
      </w:r>
      <w:r w:rsidRPr="00595A3F">
        <w:rPr>
          <w:rFonts w:asciiTheme="minorHAnsi" w:hAnsiTheme="minorHAnsi" w:cstheme="minorHAnsi"/>
          <w:color w:val="000000" w:themeColor="text1"/>
          <w:sz w:val="16"/>
          <w:szCs w:val="16"/>
        </w:rPr>
        <w:t>2012</w:t>
      </w:r>
      <w:r>
        <w:rPr>
          <w:rFonts w:asciiTheme="minorHAnsi" w:hAnsiTheme="minorHAnsi" w:cstheme="minorHAnsi"/>
          <w:color w:val="000000" w:themeColor="text1"/>
          <w:sz w:val="16"/>
          <w:szCs w:val="16"/>
        </w:rPr>
        <w:t xml:space="preserve"> h and i)</w:t>
      </w:r>
      <w:r w:rsidRPr="00595A3F">
        <w:rPr>
          <w:rFonts w:asciiTheme="minorHAnsi" w:hAnsiTheme="minorHAnsi" w:cstheme="minorHAnsi"/>
          <w:color w:val="000000" w:themeColor="text1"/>
          <w:sz w:val="16"/>
          <w:szCs w:val="16"/>
        </w:rPr>
        <w:t xml:space="preserve"> and Department of the Environment (2011</w:t>
      </w:r>
      <w:r>
        <w:rPr>
          <w:rFonts w:asciiTheme="minorHAnsi" w:hAnsiTheme="minorHAnsi" w:cstheme="minorHAnsi"/>
          <w:color w:val="000000" w:themeColor="text1"/>
          <w:sz w:val="16"/>
          <w:szCs w:val="16"/>
        </w:rPr>
        <w:t>a</w:t>
      </w:r>
      <w:r w:rsidRPr="00595A3F">
        <w:rPr>
          <w:rFonts w:asciiTheme="minorHAnsi" w:hAnsiTheme="minorHAnsi" w:cstheme="minorHAnsi"/>
          <w:color w:val="000000" w:themeColor="text1"/>
          <w:sz w:val="16"/>
          <w:szCs w:val="16"/>
        </w:rPr>
        <w:t>).</w:t>
      </w:r>
    </w:p>
    <w:p w14:paraId="29B2D369" w14:textId="77777777" w:rsidR="00AA0841" w:rsidRPr="00E51A34" w:rsidRDefault="00AA0841" w:rsidP="00EE5C1C">
      <w:pPr>
        <w:pStyle w:val="FootnoteText"/>
        <w:spacing w:before="0" w:after="0"/>
        <w:rPr>
          <w:rFonts w:asciiTheme="minorHAnsi" w:hAnsiTheme="minorHAnsi" w:cstheme="minorHAnsi"/>
          <w:color w:val="000000" w:themeColor="text1"/>
          <w:sz w:val="16"/>
          <w:szCs w:val="16"/>
        </w:rPr>
      </w:pPr>
      <w:r w:rsidRPr="00E51A34">
        <w:rPr>
          <w:rFonts w:asciiTheme="minorHAnsi" w:hAnsiTheme="minorHAnsi" w:cstheme="minorHAnsi"/>
          <w:color w:val="000000" w:themeColor="text1"/>
          <w:sz w:val="16"/>
          <w:szCs w:val="16"/>
        </w:rPr>
        <w:t>Mid Murray Off-Channel Wetlands and ephemeral creek indicators sourced from North Central CMA (2014a; 2015a; 2016a).</w:t>
      </w:r>
    </w:p>
    <w:p w14:paraId="4C651F63" w14:textId="2EA15983" w:rsidR="00AA0841" w:rsidRPr="00C81F74" w:rsidRDefault="00AA0841" w:rsidP="00AA0841">
      <w:pPr>
        <w:pStyle w:val="Caption"/>
        <w:keepNext/>
        <w:spacing w:after="120"/>
        <w:jc w:val="left"/>
        <w:rPr>
          <w:b w:val="0"/>
          <w:sz w:val="22"/>
          <w:szCs w:val="22"/>
        </w:rPr>
      </w:pPr>
      <w:bookmarkStart w:id="209" w:name="_Ref43377531"/>
      <w:r w:rsidRPr="00C81F74">
        <w:rPr>
          <w:sz w:val="22"/>
          <w:szCs w:val="22"/>
        </w:rPr>
        <w:lastRenderedPageBreak/>
        <w:t xml:space="preserve">Table </w:t>
      </w:r>
      <w:r w:rsidRPr="00C81F74">
        <w:rPr>
          <w:sz w:val="22"/>
          <w:szCs w:val="22"/>
        </w:rPr>
        <w:fldChar w:fldCharType="begin"/>
      </w:r>
      <w:r w:rsidRPr="00C81F74">
        <w:rPr>
          <w:sz w:val="22"/>
          <w:szCs w:val="22"/>
        </w:rPr>
        <w:instrText xml:space="preserve"> SEQ Table \* ARABIC </w:instrText>
      </w:r>
      <w:r w:rsidRPr="00C81F74">
        <w:rPr>
          <w:sz w:val="22"/>
          <w:szCs w:val="22"/>
        </w:rPr>
        <w:fldChar w:fldCharType="separate"/>
      </w:r>
      <w:r w:rsidR="001B2852">
        <w:rPr>
          <w:noProof/>
          <w:sz w:val="22"/>
          <w:szCs w:val="22"/>
        </w:rPr>
        <w:t>48</w:t>
      </w:r>
      <w:r w:rsidRPr="00C81F74">
        <w:rPr>
          <w:sz w:val="22"/>
          <w:szCs w:val="22"/>
        </w:rPr>
        <w:fldChar w:fldCharType="end"/>
      </w:r>
      <w:bookmarkEnd w:id="209"/>
      <w:r>
        <w:rPr>
          <w:b w:val="0"/>
          <w:sz w:val="22"/>
          <w:szCs w:val="22"/>
        </w:rPr>
        <w:t>.</w:t>
      </w:r>
      <w:r w:rsidRPr="00C81F74">
        <w:rPr>
          <w:b w:val="0"/>
          <w:sz w:val="22"/>
          <w:szCs w:val="22"/>
        </w:rPr>
        <w:t xml:space="preserve"> Environmental demands, priority for watering in 2020–21 and outlook for coming year in the Edward/Kolety-Wakool River system. The majority of flows listed below will be synchronised with flows in the River Murray (</w:t>
      </w:r>
      <w:r w:rsidRPr="00C81F74">
        <w:rPr>
          <w:b w:val="0"/>
          <w:sz w:val="22"/>
          <w:szCs w:val="22"/>
        </w:rPr>
        <w:fldChar w:fldCharType="begin"/>
      </w:r>
      <w:r w:rsidRPr="00C81F74">
        <w:rPr>
          <w:b w:val="0"/>
          <w:sz w:val="22"/>
          <w:szCs w:val="22"/>
        </w:rPr>
        <w:instrText xml:space="preserve"> REF _Ref43131585 \h  \* MERGEFORMAT </w:instrText>
      </w:r>
      <w:r w:rsidRPr="00C81F74">
        <w:rPr>
          <w:b w:val="0"/>
          <w:sz w:val="22"/>
          <w:szCs w:val="22"/>
        </w:rPr>
      </w:r>
      <w:r w:rsidRPr="00C81F74">
        <w:rPr>
          <w:b w:val="0"/>
          <w:sz w:val="22"/>
          <w:szCs w:val="22"/>
        </w:rPr>
        <w:fldChar w:fldCharType="separate"/>
      </w:r>
      <w:r w:rsidR="001B2852" w:rsidRPr="001B2852">
        <w:rPr>
          <w:b w:val="0"/>
          <w:sz w:val="22"/>
          <w:szCs w:val="22"/>
        </w:rPr>
        <w:t xml:space="preserve">Table </w:t>
      </w:r>
      <w:r w:rsidR="001B2852" w:rsidRPr="001B2852">
        <w:rPr>
          <w:b w:val="0"/>
          <w:noProof/>
          <w:sz w:val="22"/>
          <w:szCs w:val="22"/>
        </w:rPr>
        <w:t>47</w:t>
      </w:r>
      <w:r w:rsidRPr="00C81F74">
        <w:rPr>
          <w:b w:val="0"/>
          <w:sz w:val="22"/>
          <w:szCs w:val="22"/>
        </w:rPr>
        <w:fldChar w:fldCharType="end"/>
      </w:r>
      <w:r w:rsidRPr="00C81F74">
        <w:rPr>
          <w:b w:val="0"/>
          <w:sz w:val="22"/>
          <w:szCs w:val="22"/>
        </w:rPr>
        <w:t xml:space="preserve"> above).</w:t>
      </w:r>
    </w:p>
    <w:tbl>
      <w:tblPr>
        <w:tblW w:w="21967" w:type="dxa"/>
        <w:tblLayout w:type="fixed"/>
        <w:tblLook w:val="04A0" w:firstRow="1" w:lastRow="0" w:firstColumn="1" w:lastColumn="0" w:noHBand="0" w:noVBand="1"/>
      </w:tblPr>
      <w:tblGrid>
        <w:gridCol w:w="2547"/>
        <w:gridCol w:w="4111"/>
        <w:gridCol w:w="2126"/>
        <w:gridCol w:w="4678"/>
        <w:gridCol w:w="1984"/>
        <w:gridCol w:w="4253"/>
        <w:gridCol w:w="2268"/>
      </w:tblGrid>
      <w:tr w:rsidR="00AA0841" w:rsidRPr="00D842D9" w14:paraId="792A3FD7" w14:textId="77777777" w:rsidTr="00AA0841">
        <w:trPr>
          <w:trHeight w:val="540"/>
          <w:tblHeader/>
        </w:trPr>
        <w:tc>
          <w:tcPr>
            <w:tcW w:w="2547" w:type="dxa"/>
            <w:vMerge w:val="restart"/>
            <w:tcBorders>
              <w:top w:val="single" w:sz="12" w:space="0" w:color="auto"/>
              <w:left w:val="single" w:sz="12" w:space="0" w:color="auto"/>
              <w:bottom w:val="single" w:sz="12" w:space="0" w:color="auto"/>
              <w:right w:val="single" w:sz="4" w:space="0" w:color="auto"/>
            </w:tcBorders>
            <w:shd w:val="clear" w:color="auto" w:fill="B6DDE8" w:themeFill="accent5" w:themeFillTint="66"/>
            <w:vAlign w:val="center"/>
            <w:hideMark/>
          </w:tcPr>
          <w:p w14:paraId="5E71F44D" w14:textId="77777777" w:rsidR="00AA0841" w:rsidRPr="00F45FF4" w:rsidRDefault="00AA0841" w:rsidP="00AA0841">
            <w:pPr>
              <w:jc w:val="center"/>
              <w:rPr>
                <w:b/>
                <w:sz w:val="18"/>
                <w:szCs w:val="18"/>
              </w:rPr>
            </w:pPr>
            <w:r w:rsidRPr="00F45FF4">
              <w:rPr>
                <w:b/>
                <w:sz w:val="18"/>
                <w:szCs w:val="18"/>
              </w:rPr>
              <w:t>Environmental assets</w:t>
            </w:r>
          </w:p>
        </w:tc>
        <w:tc>
          <w:tcPr>
            <w:tcW w:w="6237" w:type="dxa"/>
            <w:gridSpan w:val="2"/>
            <w:tcBorders>
              <w:top w:val="single" w:sz="12" w:space="0" w:color="auto"/>
              <w:left w:val="nil"/>
              <w:bottom w:val="single" w:sz="12" w:space="0" w:color="auto"/>
              <w:right w:val="single" w:sz="4" w:space="0" w:color="auto"/>
            </w:tcBorders>
            <w:shd w:val="clear" w:color="auto" w:fill="B6DDE8" w:themeFill="accent5" w:themeFillTint="66"/>
            <w:vAlign w:val="center"/>
            <w:hideMark/>
          </w:tcPr>
          <w:p w14:paraId="54B617EC" w14:textId="77777777" w:rsidR="00AA0841" w:rsidRPr="00F45FF4" w:rsidRDefault="00AA0841" w:rsidP="00AA0841">
            <w:pPr>
              <w:jc w:val="center"/>
              <w:rPr>
                <w:b/>
                <w:sz w:val="18"/>
                <w:szCs w:val="18"/>
              </w:rPr>
            </w:pPr>
            <w:r w:rsidRPr="00F45FF4">
              <w:rPr>
                <w:b/>
                <w:sz w:val="18"/>
                <w:szCs w:val="18"/>
              </w:rPr>
              <w:t xml:space="preserve">Indicative demand (for </w:t>
            </w:r>
            <w:r w:rsidRPr="00F45FF4">
              <w:rPr>
                <w:b/>
                <w:sz w:val="18"/>
                <w:szCs w:val="18"/>
                <w:u w:val="single"/>
              </w:rPr>
              <w:t>all sources of water</w:t>
            </w:r>
            <w:r w:rsidRPr="00F45FF4">
              <w:rPr>
                <w:b/>
                <w:sz w:val="18"/>
                <w:szCs w:val="18"/>
              </w:rPr>
              <w:t xml:space="preserve"> in the system)</w:t>
            </w:r>
          </w:p>
        </w:tc>
        <w:tc>
          <w:tcPr>
            <w:tcW w:w="4678" w:type="dxa"/>
            <w:tcBorders>
              <w:top w:val="single" w:sz="12" w:space="0" w:color="auto"/>
              <w:left w:val="nil"/>
              <w:bottom w:val="single" w:sz="12" w:space="0" w:color="auto"/>
              <w:right w:val="single" w:sz="4" w:space="0" w:color="auto"/>
            </w:tcBorders>
            <w:shd w:val="clear" w:color="auto" w:fill="B6DDE8" w:themeFill="accent5" w:themeFillTint="66"/>
            <w:vAlign w:val="center"/>
            <w:hideMark/>
          </w:tcPr>
          <w:p w14:paraId="68C08C6D" w14:textId="77777777" w:rsidR="00AA0841" w:rsidRPr="00F45FF4" w:rsidRDefault="00AA0841" w:rsidP="00AA0841">
            <w:pPr>
              <w:jc w:val="center"/>
              <w:rPr>
                <w:b/>
                <w:sz w:val="18"/>
                <w:szCs w:val="18"/>
              </w:rPr>
            </w:pPr>
            <w:r w:rsidRPr="00F45FF4">
              <w:rPr>
                <w:b/>
                <w:sz w:val="18"/>
                <w:szCs w:val="18"/>
              </w:rPr>
              <w:t>Watering history</w:t>
            </w:r>
          </w:p>
        </w:tc>
        <w:tc>
          <w:tcPr>
            <w:tcW w:w="6237" w:type="dxa"/>
            <w:gridSpan w:val="2"/>
            <w:tcBorders>
              <w:top w:val="single" w:sz="12" w:space="0" w:color="auto"/>
              <w:left w:val="nil"/>
              <w:bottom w:val="single" w:sz="12" w:space="0" w:color="auto"/>
              <w:right w:val="single" w:sz="4" w:space="0" w:color="auto"/>
            </w:tcBorders>
            <w:shd w:val="clear" w:color="auto" w:fill="B6DDE8" w:themeFill="accent5" w:themeFillTint="66"/>
            <w:vAlign w:val="center"/>
            <w:hideMark/>
          </w:tcPr>
          <w:p w14:paraId="3DD82DAE" w14:textId="77777777" w:rsidR="00AA0841" w:rsidRPr="00D842D9" w:rsidRDefault="00AA0841" w:rsidP="00AA0841">
            <w:pPr>
              <w:jc w:val="center"/>
              <w:rPr>
                <w:b/>
                <w:color w:val="auto"/>
                <w:sz w:val="18"/>
                <w:szCs w:val="18"/>
              </w:rPr>
            </w:pPr>
            <w:r w:rsidRPr="00D842D9">
              <w:rPr>
                <w:b/>
                <w:color w:val="auto"/>
                <w:sz w:val="18"/>
                <w:szCs w:val="18"/>
              </w:rPr>
              <w:t>2020-21</w:t>
            </w:r>
          </w:p>
        </w:tc>
        <w:tc>
          <w:tcPr>
            <w:tcW w:w="2268" w:type="dxa"/>
            <w:tcBorders>
              <w:top w:val="single" w:sz="12" w:space="0" w:color="auto"/>
              <w:left w:val="nil"/>
              <w:bottom w:val="single" w:sz="12" w:space="0" w:color="auto"/>
              <w:right w:val="single" w:sz="12" w:space="0" w:color="auto"/>
            </w:tcBorders>
            <w:shd w:val="clear" w:color="auto" w:fill="B6DDE8" w:themeFill="accent5" w:themeFillTint="66"/>
            <w:vAlign w:val="center"/>
            <w:hideMark/>
          </w:tcPr>
          <w:p w14:paraId="295D3E42" w14:textId="77777777" w:rsidR="00AA0841" w:rsidRPr="00D842D9" w:rsidRDefault="00AA0841" w:rsidP="00AA0841">
            <w:pPr>
              <w:jc w:val="center"/>
              <w:rPr>
                <w:b/>
                <w:color w:val="auto"/>
                <w:sz w:val="18"/>
                <w:szCs w:val="18"/>
              </w:rPr>
            </w:pPr>
            <w:r w:rsidRPr="00D842D9">
              <w:rPr>
                <w:b/>
                <w:color w:val="auto"/>
                <w:sz w:val="18"/>
                <w:szCs w:val="18"/>
              </w:rPr>
              <w:t>Implications for future demands</w:t>
            </w:r>
          </w:p>
        </w:tc>
      </w:tr>
      <w:tr w:rsidR="00AA0841" w:rsidRPr="00D842D9" w14:paraId="1D59EFBD" w14:textId="77777777" w:rsidTr="00AA0841">
        <w:trPr>
          <w:trHeight w:val="340"/>
          <w:tblHeader/>
        </w:trPr>
        <w:tc>
          <w:tcPr>
            <w:tcW w:w="2547" w:type="dxa"/>
            <w:vMerge/>
            <w:tcBorders>
              <w:top w:val="single" w:sz="8" w:space="0" w:color="000000" w:themeColor="text1"/>
              <w:left w:val="single" w:sz="12" w:space="0" w:color="auto"/>
              <w:bottom w:val="single" w:sz="12" w:space="0" w:color="auto"/>
              <w:right w:val="single" w:sz="4" w:space="0" w:color="auto"/>
            </w:tcBorders>
            <w:shd w:val="clear" w:color="auto" w:fill="B6DDE8" w:themeFill="accent5" w:themeFillTint="66"/>
            <w:vAlign w:val="center"/>
            <w:hideMark/>
          </w:tcPr>
          <w:p w14:paraId="64E02173" w14:textId="77777777" w:rsidR="00AA0841" w:rsidRPr="00F45FF4" w:rsidRDefault="00AA0841" w:rsidP="00AA0841">
            <w:pPr>
              <w:jc w:val="center"/>
              <w:rPr>
                <w:b/>
                <w:sz w:val="18"/>
                <w:szCs w:val="18"/>
              </w:rPr>
            </w:pPr>
          </w:p>
        </w:tc>
        <w:tc>
          <w:tcPr>
            <w:tcW w:w="4111" w:type="dxa"/>
            <w:vMerge w:val="restart"/>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05702CD8" w14:textId="77777777" w:rsidR="00AA0841" w:rsidRPr="00F45FF4" w:rsidRDefault="00AA0841" w:rsidP="00AA0841">
            <w:pPr>
              <w:jc w:val="center"/>
              <w:rPr>
                <w:b/>
                <w:sz w:val="18"/>
                <w:szCs w:val="18"/>
              </w:rPr>
            </w:pPr>
            <w:r w:rsidRPr="00F45FF4">
              <w:rPr>
                <w:b/>
                <w:sz w:val="18"/>
                <w:szCs w:val="18"/>
              </w:rPr>
              <w:t>Flow/Volume</w:t>
            </w:r>
          </w:p>
        </w:tc>
        <w:tc>
          <w:tcPr>
            <w:tcW w:w="2126" w:type="dxa"/>
            <w:vMerge w:val="restart"/>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3B751BCF" w14:textId="77777777" w:rsidR="00AA0841" w:rsidRPr="00F45FF4" w:rsidRDefault="00AA0841" w:rsidP="00AA0841">
            <w:pPr>
              <w:jc w:val="center"/>
              <w:rPr>
                <w:b/>
                <w:sz w:val="18"/>
                <w:szCs w:val="18"/>
              </w:rPr>
            </w:pPr>
            <w:r w:rsidRPr="00F45FF4">
              <w:rPr>
                <w:b/>
                <w:sz w:val="18"/>
                <w:szCs w:val="18"/>
              </w:rPr>
              <w:t>Required frequency (maximum dry interval)</w:t>
            </w:r>
          </w:p>
        </w:tc>
        <w:tc>
          <w:tcPr>
            <w:tcW w:w="4678" w:type="dxa"/>
            <w:vMerge w:val="restart"/>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16B896AA" w14:textId="77777777" w:rsidR="00AA0841" w:rsidRPr="00F45FF4" w:rsidRDefault="00AA0841" w:rsidP="00AA0841">
            <w:pPr>
              <w:jc w:val="center"/>
              <w:rPr>
                <w:b/>
                <w:sz w:val="18"/>
                <w:szCs w:val="18"/>
              </w:rPr>
            </w:pPr>
            <w:r w:rsidRPr="00F45FF4">
              <w:rPr>
                <w:b/>
                <w:sz w:val="18"/>
                <w:szCs w:val="18"/>
              </w:rPr>
              <w:t>(from all sources of water)</w:t>
            </w:r>
          </w:p>
        </w:tc>
        <w:tc>
          <w:tcPr>
            <w:tcW w:w="1984" w:type="dxa"/>
            <w:vMerge w:val="restart"/>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4278AFA8" w14:textId="77777777" w:rsidR="00AA0841" w:rsidRPr="00D842D9" w:rsidRDefault="00AA0841" w:rsidP="00AA0841">
            <w:pPr>
              <w:jc w:val="center"/>
              <w:rPr>
                <w:b/>
                <w:color w:val="auto"/>
                <w:sz w:val="18"/>
                <w:szCs w:val="18"/>
              </w:rPr>
            </w:pPr>
            <w:r w:rsidRPr="00D842D9">
              <w:rPr>
                <w:b/>
                <w:color w:val="auto"/>
                <w:sz w:val="18"/>
                <w:szCs w:val="18"/>
              </w:rPr>
              <w:t>Environmental demands for water</w:t>
            </w:r>
          </w:p>
        </w:tc>
        <w:tc>
          <w:tcPr>
            <w:tcW w:w="4253" w:type="dxa"/>
            <w:vMerge w:val="restart"/>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2AF786D7" w14:textId="77777777" w:rsidR="00AA0841" w:rsidRPr="00D842D9" w:rsidRDefault="00AA0841" w:rsidP="00AA0841">
            <w:pPr>
              <w:jc w:val="center"/>
              <w:rPr>
                <w:b/>
                <w:color w:val="auto"/>
                <w:sz w:val="18"/>
                <w:szCs w:val="18"/>
              </w:rPr>
            </w:pPr>
            <w:r w:rsidRPr="00D842D9">
              <w:rPr>
                <w:b/>
                <w:color w:val="auto"/>
                <w:sz w:val="18"/>
                <w:szCs w:val="18"/>
              </w:rPr>
              <w:t>Potential Commonwealth environmental water contribution?</w:t>
            </w:r>
          </w:p>
        </w:tc>
        <w:tc>
          <w:tcPr>
            <w:tcW w:w="2268" w:type="dxa"/>
            <w:vMerge w:val="restart"/>
            <w:tcBorders>
              <w:top w:val="single" w:sz="8" w:space="0" w:color="000000" w:themeColor="text1"/>
              <w:left w:val="single" w:sz="4" w:space="0" w:color="auto"/>
              <w:bottom w:val="single" w:sz="12" w:space="0" w:color="auto"/>
              <w:right w:val="single" w:sz="12" w:space="0" w:color="auto"/>
            </w:tcBorders>
            <w:shd w:val="clear" w:color="auto" w:fill="B6DDE8" w:themeFill="accent5" w:themeFillTint="66"/>
            <w:vAlign w:val="center"/>
            <w:hideMark/>
          </w:tcPr>
          <w:p w14:paraId="74FCB288" w14:textId="77777777" w:rsidR="00AA0841" w:rsidRPr="00D842D9" w:rsidRDefault="00AA0841" w:rsidP="00AA0841">
            <w:pPr>
              <w:jc w:val="center"/>
              <w:rPr>
                <w:b/>
                <w:color w:val="auto"/>
                <w:sz w:val="18"/>
                <w:szCs w:val="18"/>
              </w:rPr>
            </w:pPr>
            <w:r w:rsidRPr="00D842D9">
              <w:rPr>
                <w:b/>
                <w:color w:val="auto"/>
                <w:sz w:val="18"/>
                <w:szCs w:val="18"/>
              </w:rPr>
              <w:t>Likely environmental demand in 2021–22 if watering occurred as planned in 2020-21</w:t>
            </w:r>
          </w:p>
        </w:tc>
      </w:tr>
      <w:tr w:rsidR="00AA0841" w:rsidRPr="00D842D9" w14:paraId="2ECB317B" w14:textId="77777777" w:rsidTr="00AA0841">
        <w:trPr>
          <w:trHeight w:val="300"/>
          <w:tblHeader/>
        </w:trPr>
        <w:tc>
          <w:tcPr>
            <w:tcW w:w="2547" w:type="dxa"/>
            <w:vMerge/>
            <w:tcBorders>
              <w:top w:val="single" w:sz="8" w:space="0" w:color="000000" w:themeColor="text1"/>
              <w:left w:val="single" w:sz="12" w:space="0" w:color="auto"/>
              <w:bottom w:val="single" w:sz="12" w:space="0" w:color="auto"/>
              <w:right w:val="single" w:sz="4" w:space="0" w:color="auto"/>
            </w:tcBorders>
            <w:shd w:val="clear" w:color="auto" w:fill="B6DDE8" w:themeFill="accent5" w:themeFillTint="66"/>
            <w:vAlign w:val="center"/>
            <w:hideMark/>
          </w:tcPr>
          <w:p w14:paraId="1E4EE188" w14:textId="77777777" w:rsidR="00AA0841" w:rsidRPr="00F45FF4" w:rsidRDefault="00AA0841" w:rsidP="00AA0841">
            <w:pPr>
              <w:rPr>
                <w:sz w:val="18"/>
                <w:szCs w:val="18"/>
              </w:rPr>
            </w:pPr>
          </w:p>
        </w:tc>
        <w:tc>
          <w:tcPr>
            <w:tcW w:w="4111" w:type="dxa"/>
            <w:vMerge/>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532ED6E7" w14:textId="77777777" w:rsidR="00AA0841" w:rsidRPr="00F45FF4" w:rsidRDefault="00AA0841" w:rsidP="00AA0841">
            <w:pPr>
              <w:rPr>
                <w:sz w:val="18"/>
                <w:szCs w:val="18"/>
              </w:rPr>
            </w:pPr>
          </w:p>
        </w:tc>
        <w:tc>
          <w:tcPr>
            <w:tcW w:w="2126"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46F7341C" w14:textId="77777777" w:rsidR="00AA0841" w:rsidRPr="00F45FF4" w:rsidRDefault="00AA0841" w:rsidP="00AA0841">
            <w:pPr>
              <w:jc w:val="center"/>
              <w:rPr>
                <w:sz w:val="18"/>
                <w:szCs w:val="18"/>
              </w:rPr>
            </w:pPr>
          </w:p>
        </w:tc>
        <w:tc>
          <w:tcPr>
            <w:tcW w:w="4678" w:type="dxa"/>
            <w:vMerge/>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1496E7FF" w14:textId="77777777" w:rsidR="00AA0841" w:rsidRPr="00F45FF4" w:rsidRDefault="00AA0841" w:rsidP="00AA0841">
            <w:pPr>
              <w:jc w:val="center"/>
              <w:rPr>
                <w:sz w:val="18"/>
                <w:szCs w:val="18"/>
              </w:rPr>
            </w:pPr>
          </w:p>
        </w:tc>
        <w:tc>
          <w:tcPr>
            <w:tcW w:w="1984"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7C4EE299" w14:textId="77777777" w:rsidR="00AA0841" w:rsidRPr="00D842D9" w:rsidRDefault="00AA0841" w:rsidP="00AA0841">
            <w:pPr>
              <w:jc w:val="center"/>
              <w:rPr>
                <w:color w:val="auto"/>
                <w:sz w:val="18"/>
                <w:szCs w:val="18"/>
              </w:rPr>
            </w:pPr>
          </w:p>
        </w:tc>
        <w:tc>
          <w:tcPr>
            <w:tcW w:w="4253"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7957F3ED" w14:textId="77777777" w:rsidR="00AA0841" w:rsidRPr="00D842D9" w:rsidRDefault="00AA0841" w:rsidP="00AA0841">
            <w:pPr>
              <w:jc w:val="center"/>
              <w:rPr>
                <w:color w:val="auto"/>
                <w:sz w:val="18"/>
                <w:szCs w:val="18"/>
              </w:rPr>
            </w:pPr>
          </w:p>
        </w:tc>
        <w:tc>
          <w:tcPr>
            <w:tcW w:w="2268" w:type="dxa"/>
            <w:vMerge/>
            <w:tcBorders>
              <w:top w:val="single" w:sz="8" w:space="0" w:color="000000" w:themeColor="text1"/>
              <w:left w:val="single" w:sz="4" w:space="0" w:color="auto"/>
              <w:bottom w:val="single" w:sz="12" w:space="0" w:color="auto"/>
              <w:right w:val="single" w:sz="12" w:space="0" w:color="auto"/>
            </w:tcBorders>
            <w:shd w:val="clear" w:color="auto" w:fill="B6DDE8" w:themeFill="accent5" w:themeFillTint="66"/>
            <w:vAlign w:val="center"/>
            <w:hideMark/>
          </w:tcPr>
          <w:p w14:paraId="3E35BE1D" w14:textId="77777777" w:rsidR="00AA0841" w:rsidRPr="00D842D9" w:rsidRDefault="00AA0841" w:rsidP="00AA0841">
            <w:pPr>
              <w:jc w:val="center"/>
              <w:rPr>
                <w:color w:val="auto"/>
                <w:sz w:val="18"/>
                <w:szCs w:val="18"/>
              </w:rPr>
            </w:pPr>
          </w:p>
        </w:tc>
      </w:tr>
      <w:tr w:rsidR="00AA0841" w:rsidRPr="00D842D9" w14:paraId="27F4772F" w14:textId="77777777" w:rsidTr="00AA0841">
        <w:trPr>
          <w:trHeight w:val="269"/>
          <w:tblHeader/>
        </w:trPr>
        <w:tc>
          <w:tcPr>
            <w:tcW w:w="2547" w:type="dxa"/>
            <w:vMerge/>
            <w:tcBorders>
              <w:top w:val="single" w:sz="8" w:space="0" w:color="000000" w:themeColor="text1"/>
              <w:left w:val="single" w:sz="12" w:space="0" w:color="auto"/>
              <w:bottom w:val="single" w:sz="12" w:space="0" w:color="auto"/>
              <w:right w:val="single" w:sz="4" w:space="0" w:color="auto"/>
            </w:tcBorders>
            <w:shd w:val="clear" w:color="auto" w:fill="B6DDE8" w:themeFill="accent5" w:themeFillTint="66"/>
            <w:vAlign w:val="center"/>
            <w:hideMark/>
          </w:tcPr>
          <w:p w14:paraId="44361872" w14:textId="77777777" w:rsidR="00AA0841" w:rsidRPr="00F45FF4" w:rsidRDefault="00AA0841" w:rsidP="00AA0841">
            <w:pPr>
              <w:rPr>
                <w:sz w:val="18"/>
                <w:szCs w:val="18"/>
              </w:rPr>
            </w:pPr>
          </w:p>
        </w:tc>
        <w:tc>
          <w:tcPr>
            <w:tcW w:w="4111" w:type="dxa"/>
            <w:vMerge/>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6A54A24E" w14:textId="77777777" w:rsidR="00AA0841" w:rsidRPr="00F45FF4" w:rsidRDefault="00AA0841" w:rsidP="00AA0841">
            <w:pPr>
              <w:rPr>
                <w:sz w:val="18"/>
                <w:szCs w:val="18"/>
              </w:rPr>
            </w:pPr>
          </w:p>
        </w:tc>
        <w:tc>
          <w:tcPr>
            <w:tcW w:w="2126"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4BE382D2" w14:textId="77777777" w:rsidR="00AA0841" w:rsidRPr="00F45FF4" w:rsidRDefault="00AA0841" w:rsidP="00AA0841">
            <w:pPr>
              <w:jc w:val="center"/>
              <w:rPr>
                <w:sz w:val="18"/>
                <w:szCs w:val="18"/>
              </w:rPr>
            </w:pPr>
          </w:p>
        </w:tc>
        <w:tc>
          <w:tcPr>
            <w:tcW w:w="4678" w:type="dxa"/>
            <w:vMerge/>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721E8F1F" w14:textId="77777777" w:rsidR="00AA0841" w:rsidRPr="00F45FF4" w:rsidRDefault="00AA0841" w:rsidP="00AA0841">
            <w:pPr>
              <w:jc w:val="center"/>
              <w:rPr>
                <w:sz w:val="18"/>
                <w:szCs w:val="18"/>
              </w:rPr>
            </w:pPr>
          </w:p>
        </w:tc>
        <w:tc>
          <w:tcPr>
            <w:tcW w:w="1984"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19659A7D" w14:textId="77777777" w:rsidR="00AA0841" w:rsidRPr="00D842D9" w:rsidRDefault="00AA0841" w:rsidP="00AA0841">
            <w:pPr>
              <w:jc w:val="center"/>
              <w:rPr>
                <w:color w:val="auto"/>
                <w:sz w:val="18"/>
                <w:szCs w:val="18"/>
              </w:rPr>
            </w:pPr>
          </w:p>
        </w:tc>
        <w:tc>
          <w:tcPr>
            <w:tcW w:w="4253"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69E47B8F" w14:textId="77777777" w:rsidR="00AA0841" w:rsidRPr="00D842D9" w:rsidRDefault="00AA0841" w:rsidP="00AA0841">
            <w:pPr>
              <w:jc w:val="center"/>
              <w:rPr>
                <w:color w:val="auto"/>
                <w:sz w:val="18"/>
                <w:szCs w:val="18"/>
              </w:rPr>
            </w:pPr>
          </w:p>
        </w:tc>
        <w:tc>
          <w:tcPr>
            <w:tcW w:w="2268" w:type="dxa"/>
            <w:vMerge/>
            <w:tcBorders>
              <w:top w:val="single" w:sz="8" w:space="0" w:color="000000" w:themeColor="text1"/>
              <w:left w:val="single" w:sz="4" w:space="0" w:color="auto"/>
              <w:bottom w:val="single" w:sz="12" w:space="0" w:color="auto"/>
              <w:right w:val="single" w:sz="12" w:space="0" w:color="auto"/>
            </w:tcBorders>
            <w:shd w:val="clear" w:color="auto" w:fill="B6DDE8" w:themeFill="accent5" w:themeFillTint="66"/>
            <w:vAlign w:val="center"/>
            <w:hideMark/>
          </w:tcPr>
          <w:p w14:paraId="7D650818" w14:textId="77777777" w:rsidR="00AA0841" w:rsidRPr="00D842D9" w:rsidRDefault="00AA0841" w:rsidP="00AA0841">
            <w:pPr>
              <w:jc w:val="center"/>
              <w:rPr>
                <w:color w:val="auto"/>
                <w:sz w:val="18"/>
                <w:szCs w:val="18"/>
              </w:rPr>
            </w:pPr>
          </w:p>
        </w:tc>
      </w:tr>
      <w:tr w:rsidR="00AA0841" w:rsidRPr="00D842D9" w14:paraId="3E006CF2" w14:textId="77777777" w:rsidTr="00AA0841">
        <w:trPr>
          <w:trHeight w:val="971"/>
        </w:trPr>
        <w:tc>
          <w:tcPr>
            <w:tcW w:w="2547"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688D004B" w14:textId="77777777" w:rsidR="00AA0841" w:rsidRPr="00F45FF4" w:rsidRDefault="00AA0841" w:rsidP="00AA0841">
            <w:pPr>
              <w:rPr>
                <w:b/>
                <w:sz w:val="18"/>
                <w:szCs w:val="18"/>
              </w:rPr>
            </w:pPr>
            <w:r w:rsidRPr="00F45FF4">
              <w:rPr>
                <w:b/>
                <w:sz w:val="18"/>
                <w:szCs w:val="18"/>
              </w:rPr>
              <w:t>Yallakool - Wakool</w:t>
            </w:r>
            <w:r w:rsidRPr="00F45FF4">
              <w:rPr>
                <w:b/>
                <w:sz w:val="18"/>
                <w:szCs w:val="18"/>
              </w:rPr>
              <w:br w:type="page"/>
            </w:r>
            <w:r w:rsidRPr="00F45FF4">
              <w:rPr>
                <w:b/>
                <w:sz w:val="18"/>
                <w:szCs w:val="18"/>
              </w:rPr>
              <w:br w:type="page"/>
            </w:r>
          </w:p>
          <w:p w14:paraId="04511C42" w14:textId="77777777" w:rsidR="00AA0841" w:rsidRPr="00F45FF4" w:rsidRDefault="00AA0841" w:rsidP="00AA0841">
            <w:pPr>
              <w:rPr>
                <w:sz w:val="18"/>
                <w:szCs w:val="18"/>
              </w:rPr>
            </w:pPr>
          </w:p>
          <w:p w14:paraId="36B5CFBE" w14:textId="77777777" w:rsidR="00AA0841" w:rsidRPr="00F45FF4" w:rsidRDefault="00AA0841" w:rsidP="00AA0841">
            <w:pPr>
              <w:rPr>
                <w:sz w:val="18"/>
                <w:szCs w:val="18"/>
              </w:rPr>
            </w:pPr>
            <w:r w:rsidRPr="00F45FF4">
              <w:rPr>
                <w:sz w:val="18"/>
                <w:szCs w:val="18"/>
              </w:rPr>
              <w:t>Maintenance of native fish habitat and instream aquatic vegetation</w:t>
            </w:r>
          </w:p>
          <w:p w14:paraId="77EF759A" w14:textId="77777777" w:rsidR="00AA0841" w:rsidRPr="00F45FF4" w:rsidRDefault="00AA0841" w:rsidP="00AA0841">
            <w:pPr>
              <w:rPr>
                <w:sz w:val="18"/>
                <w:szCs w:val="18"/>
              </w:rPr>
            </w:pPr>
            <w:r w:rsidRPr="00F45FF4">
              <w:rPr>
                <w:sz w:val="18"/>
                <w:szCs w:val="18"/>
              </w:rPr>
              <w:br w:type="page"/>
              <w:t>Longitudinal connectivity</w:t>
            </w:r>
            <w:r w:rsidRPr="00F45FF4">
              <w:rPr>
                <w:sz w:val="18"/>
                <w:szCs w:val="18"/>
              </w:rPr>
              <w:br w:type="page"/>
            </w:r>
          </w:p>
          <w:p w14:paraId="387F7D06" w14:textId="77777777" w:rsidR="00AA0841" w:rsidRPr="00F45FF4" w:rsidRDefault="00AA0841" w:rsidP="00AA0841">
            <w:pPr>
              <w:rPr>
                <w:sz w:val="18"/>
                <w:szCs w:val="18"/>
              </w:rPr>
            </w:pPr>
            <w:r w:rsidRPr="00F45FF4">
              <w:rPr>
                <w:sz w:val="18"/>
                <w:szCs w:val="18"/>
              </w:rPr>
              <w:t>Fish spawning, recruitment and movement</w:t>
            </w:r>
            <w:r w:rsidRPr="00F45FF4">
              <w:rPr>
                <w:sz w:val="18"/>
                <w:szCs w:val="18"/>
              </w:rPr>
              <w:br w:type="page"/>
            </w:r>
          </w:p>
          <w:p w14:paraId="0DEC0E33" w14:textId="77777777" w:rsidR="00AA0841" w:rsidRPr="00F45FF4" w:rsidRDefault="00AA0841" w:rsidP="00AA0841">
            <w:pPr>
              <w:rPr>
                <w:sz w:val="18"/>
                <w:szCs w:val="18"/>
              </w:rPr>
            </w:pPr>
            <w:r w:rsidRPr="00F45FF4">
              <w:rPr>
                <w:sz w:val="18"/>
                <w:szCs w:val="18"/>
              </w:rPr>
              <w:t>Nutrient cycling</w:t>
            </w:r>
            <w:r w:rsidRPr="00F45FF4">
              <w:rPr>
                <w:sz w:val="18"/>
                <w:szCs w:val="18"/>
              </w:rPr>
              <w:br w:type="page"/>
            </w:r>
          </w:p>
          <w:p w14:paraId="33E964CA" w14:textId="77777777" w:rsidR="00AA0841" w:rsidRPr="00F45FF4" w:rsidRDefault="00AA0841" w:rsidP="00AA0841">
            <w:pPr>
              <w:rPr>
                <w:sz w:val="18"/>
                <w:szCs w:val="18"/>
              </w:rPr>
            </w:pPr>
            <w:r w:rsidRPr="00F45FF4">
              <w:rPr>
                <w:sz w:val="18"/>
                <w:szCs w:val="18"/>
              </w:rPr>
              <w:t>Water quality</w:t>
            </w:r>
          </w:p>
        </w:tc>
        <w:tc>
          <w:tcPr>
            <w:tcW w:w="4111" w:type="dxa"/>
            <w:tcBorders>
              <w:top w:val="single" w:sz="12" w:space="0" w:color="auto"/>
              <w:left w:val="nil"/>
              <w:bottom w:val="single" w:sz="4" w:space="0" w:color="auto"/>
              <w:right w:val="single" w:sz="4" w:space="0" w:color="000000"/>
            </w:tcBorders>
            <w:shd w:val="clear" w:color="auto" w:fill="auto"/>
            <w:vAlign w:val="center"/>
            <w:hideMark/>
          </w:tcPr>
          <w:p w14:paraId="1BCC5DF2" w14:textId="77777777" w:rsidR="00AA0841" w:rsidRPr="00F45FF4" w:rsidRDefault="00AA0841" w:rsidP="00AA0841">
            <w:pPr>
              <w:rPr>
                <w:sz w:val="18"/>
                <w:szCs w:val="18"/>
              </w:rPr>
            </w:pPr>
            <w:r w:rsidRPr="00F45FF4">
              <w:rPr>
                <w:sz w:val="18"/>
                <w:szCs w:val="18"/>
              </w:rPr>
              <w:t xml:space="preserve">~200 ML/day base flow for ~304 days during late winter to late Autumn (~61 GL). </w:t>
            </w:r>
            <w:r w:rsidRPr="00F45FF4">
              <w:rPr>
                <w:bCs/>
                <w:sz w:val="18"/>
                <w:szCs w:val="18"/>
              </w:rPr>
              <w:t>Note: winter base flows</w:t>
            </w:r>
            <w:r w:rsidRPr="00F45FF4">
              <w:rPr>
                <w:sz w:val="18"/>
                <w:szCs w:val="18"/>
              </w:rPr>
              <w:t xml:space="preserve"> are a separate flow component and is included below.</w:t>
            </w:r>
          </w:p>
        </w:tc>
        <w:tc>
          <w:tcPr>
            <w:tcW w:w="2126" w:type="dxa"/>
            <w:tcBorders>
              <w:top w:val="single" w:sz="12" w:space="0" w:color="auto"/>
              <w:left w:val="nil"/>
              <w:bottom w:val="single" w:sz="4" w:space="0" w:color="auto"/>
              <w:right w:val="single" w:sz="4" w:space="0" w:color="auto"/>
            </w:tcBorders>
            <w:shd w:val="clear" w:color="auto" w:fill="auto"/>
            <w:vAlign w:val="center"/>
            <w:hideMark/>
          </w:tcPr>
          <w:p w14:paraId="0A3CC81C" w14:textId="77777777" w:rsidR="00AA0841" w:rsidRPr="00F45FF4" w:rsidRDefault="00AA0841" w:rsidP="00AA0841">
            <w:pPr>
              <w:jc w:val="center"/>
              <w:rPr>
                <w:sz w:val="18"/>
                <w:szCs w:val="18"/>
              </w:rPr>
            </w:pPr>
            <w:r w:rsidRPr="00F45FF4">
              <w:rPr>
                <w:sz w:val="18"/>
                <w:szCs w:val="18"/>
              </w:rPr>
              <w:t>Annual</w:t>
            </w:r>
          </w:p>
        </w:tc>
        <w:tc>
          <w:tcPr>
            <w:tcW w:w="4678" w:type="dxa"/>
            <w:tcBorders>
              <w:top w:val="single" w:sz="12" w:space="0" w:color="auto"/>
              <w:left w:val="nil"/>
              <w:bottom w:val="single" w:sz="4" w:space="0" w:color="auto"/>
              <w:right w:val="single" w:sz="4" w:space="0" w:color="000000"/>
            </w:tcBorders>
            <w:shd w:val="clear" w:color="auto" w:fill="auto"/>
            <w:vAlign w:val="center"/>
            <w:hideMark/>
          </w:tcPr>
          <w:p w14:paraId="58D5A0AE" w14:textId="77777777" w:rsidR="00AA0841" w:rsidRPr="00F45FF4" w:rsidRDefault="00AA0841" w:rsidP="00AA0841">
            <w:pPr>
              <w:jc w:val="center"/>
              <w:rPr>
                <w:sz w:val="18"/>
                <w:szCs w:val="18"/>
              </w:rPr>
            </w:pPr>
            <w:r w:rsidRPr="00F45FF4">
              <w:rPr>
                <w:sz w:val="18"/>
                <w:szCs w:val="18"/>
              </w:rPr>
              <w:t>Has been met 5 out of the past 5 years</w:t>
            </w:r>
          </w:p>
        </w:tc>
        <w:tc>
          <w:tcPr>
            <w:tcW w:w="1984" w:type="dxa"/>
            <w:tcBorders>
              <w:top w:val="single" w:sz="12" w:space="0" w:color="auto"/>
              <w:left w:val="nil"/>
              <w:bottom w:val="single" w:sz="4" w:space="0" w:color="auto"/>
              <w:right w:val="single" w:sz="4" w:space="0" w:color="auto"/>
            </w:tcBorders>
            <w:shd w:val="clear" w:color="000000" w:fill="92D050"/>
            <w:vAlign w:val="center"/>
            <w:hideMark/>
          </w:tcPr>
          <w:p w14:paraId="16820A21" w14:textId="77777777" w:rsidR="00AA0841" w:rsidRPr="00D842D9" w:rsidRDefault="00AA0841" w:rsidP="00AA0841">
            <w:pPr>
              <w:jc w:val="center"/>
              <w:rPr>
                <w:color w:val="auto"/>
                <w:sz w:val="18"/>
                <w:szCs w:val="18"/>
              </w:rPr>
            </w:pPr>
            <w:r w:rsidRPr="00D842D9">
              <w:rPr>
                <w:color w:val="auto"/>
                <w:sz w:val="18"/>
                <w:szCs w:val="18"/>
              </w:rPr>
              <w:t>Low</w:t>
            </w:r>
          </w:p>
        </w:tc>
        <w:tc>
          <w:tcPr>
            <w:tcW w:w="4253" w:type="dxa"/>
            <w:tcBorders>
              <w:top w:val="single" w:sz="12" w:space="0" w:color="auto"/>
              <w:left w:val="nil"/>
              <w:bottom w:val="single" w:sz="4" w:space="0" w:color="auto"/>
              <w:right w:val="single" w:sz="4" w:space="0" w:color="auto"/>
            </w:tcBorders>
            <w:shd w:val="clear" w:color="auto" w:fill="auto"/>
            <w:vAlign w:val="center"/>
            <w:hideMark/>
          </w:tcPr>
          <w:p w14:paraId="15CB6271" w14:textId="77777777" w:rsidR="00AA0841" w:rsidRPr="00D842D9" w:rsidRDefault="00AA0841" w:rsidP="00AA0841">
            <w:pPr>
              <w:jc w:val="center"/>
              <w:rPr>
                <w:color w:val="auto"/>
                <w:sz w:val="18"/>
                <w:szCs w:val="18"/>
              </w:rPr>
            </w:pPr>
            <w:r w:rsidRPr="00D842D9">
              <w:rPr>
                <w:color w:val="auto"/>
                <w:sz w:val="18"/>
                <w:szCs w:val="18"/>
              </w:rPr>
              <w:t xml:space="preserve">Likely to be met by operational flows except in </w:t>
            </w:r>
            <w:r w:rsidRPr="00D842D9">
              <w:rPr>
                <w:color w:val="auto"/>
                <w:sz w:val="18"/>
                <w:szCs w:val="18"/>
                <w:u w:val="single"/>
              </w:rPr>
              <w:t>a very dry year</w:t>
            </w:r>
            <w:r w:rsidRPr="00D842D9">
              <w:rPr>
                <w:color w:val="auto"/>
                <w:sz w:val="18"/>
                <w:szCs w:val="18"/>
              </w:rPr>
              <w:t xml:space="preserve"> when CEW may be use to prevent system from being cut off subject to </w:t>
            </w:r>
            <w:hyperlink r:id="rId301" w:history="1">
              <w:r w:rsidRPr="00D842D9">
                <w:rPr>
                  <w:rStyle w:val="Hyperlink"/>
                  <w:color w:val="auto"/>
                  <w:sz w:val="18"/>
                  <w:szCs w:val="18"/>
                </w:rPr>
                <w:t>NSW Extreme Events Policy</w:t>
              </w:r>
            </w:hyperlink>
          </w:p>
        </w:tc>
        <w:tc>
          <w:tcPr>
            <w:tcW w:w="2268" w:type="dxa"/>
            <w:tcBorders>
              <w:top w:val="single" w:sz="12" w:space="0" w:color="auto"/>
              <w:left w:val="nil"/>
              <w:bottom w:val="single" w:sz="4" w:space="0" w:color="auto"/>
              <w:right w:val="single" w:sz="12" w:space="0" w:color="auto"/>
            </w:tcBorders>
            <w:shd w:val="clear" w:color="000000" w:fill="92D050"/>
            <w:vAlign w:val="center"/>
            <w:hideMark/>
          </w:tcPr>
          <w:p w14:paraId="368C4359" w14:textId="77777777" w:rsidR="00AA0841" w:rsidRPr="00D842D9" w:rsidRDefault="00AA0841" w:rsidP="00AA0841">
            <w:pPr>
              <w:jc w:val="center"/>
              <w:rPr>
                <w:color w:val="auto"/>
                <w:sz w:val="18"/>
                <w:szCs w:val="18"/>
              </w:rPr>
            </w:pPr>
            <w:r w:rsidRPr="00D842D9">
              <w:rPr>
                <w:color w:val="auto"/>
                <w:sz w:val="18"/>
                <w:szCs w:val="18"/>
              </w:rPr>
              <w:t>Low</w:t>
            </w:r>
          </w:p>
        </w:tc>
      </w:tr>
      <w:tr w:rsidR="00AA0841" w:rsidRPr="00D842D9" w14:paraId="66BAD645" w14:textId="77777777" w:rsidTr="00AA0841">
        <w:trPr>
          <w:trHeight w:val="981"/>
        </w:trPr>
        <w:tc>
          <w:tcPr>
            <w:tcW w:w="2547" w:type="dxa"/>
            <w:vMerge/>
            <w:tcBorders>
              <w:top w:val="single" w:sz="4" w:space="0" w:color="auto"/>
              <w:left w:val="single" w:sz="12" w:space="0" w:color="auto"/>
              <w:bottom w:val="single" w:sz="4" w:space="0" w:color="auto"/>
              <w:right w:val="single" w:sz="4" w:space="0" w:color="auto"/>
            </w:tcBorders>
            <w:vAlign w:val="center"/>
            <w:hideMark/>
          </w:tcPr>
          <w:p w14:paraId="316061EC" w14:textId="77777777" w:rsidR="00AA0841" w:rsidRPr="00F45FF4" w:rsidRDefault="00AA0841" w:rsidP="00AA0841">
            <w:pPr>
              <w:rPr>
                <w:sz w:val="18"/>
                <w:szCs w:val="18"/>
              </w:rPr>
            </w:pPr>
          </w:p>
        </w:tc>
        <w:tc>
          <w:tcPr>
            <w:tcW w:w="4111" w:type="dxa"/>
            <w:tcBorders>
              <w:top w:val="single" w:sz="4" w:space="0" w:color="auto"/>
              <w:left w:val="nil"/>
              <w:right w:val="single" w:sz="4" w:space="0" w:color="auto"/>
            </w:tcBorders>
            <w:shd w:val="clear" w:color="auto" w:fill="auto"/>
            <w:vAlign w:val="center"/>
            <w:hideMark/>
          </w:tcPr>
          <w:p w14:paraId="599964B0" w14:textId="77777777" w:rsidR="00AA0841" w:rsidRPr="00F45FF4" w:rsidRDefault="00AA0841" w:rsidP="00AA0841">
            <w:pPr>
              <w:rPr>
                <w:sz w:val="18"/>
                <w:szCs w:val="18"/>
              </w:rPr>
            </w:pPr>
            <w:r w:rsidRPr="00F45FF4">
              <w:rPr>
                <w:sz w:val="18"/>
                <w:szCs w:val="18"/>
              </w:rPr>
              <w:t xml:space="preserve">~600 ML/day peak for 4 days pulse/fresh over 20 days in spring with gradual recession (~10 GL, includes ~200 ML/day base flow). </w:t>
            </w:r>
          </w:p>
        </w:tc>
        <w:tc>
          <w:tcPr>
            <w:tcW w:w="2126" w:type="dxa"/>
            <w:tcBorders>
              <w:top w:val="nil"/>
              <w:left w:val="nil"/>
              <w:right w:val="single" w:sz="4" w:space="0" w:color="auto"/>
            </w:tcBorders>
            <w:shd w:val="clear" w:color="auto" w:fill="auto"/>
            <w:vAlign w:val="center"/>
            <w:hideMark/>
          </w:tcPr>
          <w:p w14:paraId="6CB8987D" w14:textId="77777777" w:rsidR="00AA0841" w:rsidRPr="00F45FF4" w:rsidRDefault="00AA0841" w:rsidP="00AA0841">
            <w:pPr>
              <w:jc w:val="center"/>
              <w:rPr>
                <w:sz w:val="18"/>
                <w:szCs w:val="18"/>
              </w:rPr>
            </w:pPr>
            <w:r w:rsidRPr="00F45FF4">
              <w:rPr>
                <w:sz w:val="18"/>
                <w:szCs w:val="18"/>
              </w:rPr>
              <w:t>Annual</w:t>
            </w:r>
          </w:p>
        </w:tc>
        <w:tc>
          <w:tcPr>
            <w:tcW w:w="4678" w:type="dxa"/>
            <w:tcBorders>
              <w:top w:val="single" w:sz="4" w:space="0" w:color="auto"/>
              <w:left w:val="nil"/>
              <w:right w:val="single" w:sz="4" w:space="0" w:color="000000"/>
            </w:tcBorders>
            <w:shd w:val="clear" w:color="auto" w:fill="auto"/>
            <w:vAlign w:val="center"/>
            <w:hideMark/>
          </w:tcPr>
          <w:p w14:paraId="00BEEA7A" w14:textId="77777777" w:rsidR="00AA0841" w:rsidRPr="00F45FF4" w:rsidRDefault="00AA0841" w:rsidP="00AA0841">
            <w:pPr>
              <w:jc w:val="center"/>
              <w:rPr>
                <w:sz w:val="18"/>
                <w:szCs w:val="18"/>
              </w:rPr>
            </w:pPr>
            <w:r w:rsidRPr="00F45FF4">
              <w:rPr>
                <w:sz w:val="18"/>
                <w:szCs w:val="18"/>
              </w:rPr>
              <w:t>Has been met 5 out of the past 5 years</w:t>
            </w:r>
          </w:p>
        </w:tc>
        <w:tc>
          <w:tcPr>
            <w:tcW w:w="1984" w:type="dxa"/>
            <w:tcBorders>
              <w:top w:val="nil"/>
              <w:left w:val="nil"/>
              <w:right w:val="single" w:sz="4" w:space="0" w:color="auto"/>
            </w:tcBorders>
            <w:shd w:val="clear" w:color="000000" w:fill="FF0000"/>
            <w:vAlign w:val="center"/>
            <w:hideMark/>
          </w:tcPr>
          <w:p w14:paraId="3735EF8F"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nil"/>
              <w:left w:val="nil"/>
              <w:right w:val="single" w:sz="4" w:space="0" w:color="auto"/>
            </w:tcBorders>
            <w:shd w:val="clear" w:color="auto" w:fill="365F91" w:themeFill="accent1" w:themeFillShade="BF"/>
            <w:vAlign w:val="center"/>
            <w:hideMark/>
          </w:tcPr>
          <w:p w14:paraId="2B34255B" w14:textId="77777777" w:rsidR="00AA0841" w:rsidRPr="00D842D9" w:rsidRDefault="00AA0841" w:rsidP="00AA0841">
            <w:pPr>
              <w:jc w:val="center"/>
              <w:rPr>
                <w:color w:val="auto"/>
                <w:sz w:val="18"/>
                <w:szCs w:val="18"/>
              </w:rPr>
            </w:pPr>
            <w:r w:rsidRPr="00D842D9">
              <w:rPr>
                <w:color w:val="auto"/>
                <w:sz w:val="18"/>
                <w:szCs w:val="18"/>
              </w:rPr>
              <w:t>Priority for Commonwealth environmental water to continue ecosystem recovery</w:t>
            </w:r>
          </w:p>
        </w:tc>
        <w:tc>
          <w:tcPr>
            <w:tcW w:w="2268" w:type="dxa"/>
            <w:tcBorders>
              <w:top w:val="nil"/>
              <w:left w:val="nil"/>
              <w:right w:val="single" w:sz="12" w:space="0" w:color="auto"/>
            </w:tcBorders>
            <w:shd w:val="clear" w:color="000000" w:fill="FF0000"/>
            <w:vAlign w:val="center"/>
            <w:hideMark/>
          </w:tcPr>
          <w:p w14:paraId="0A89E24A"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6151907E" w14:textId="77777777" w:rsidTr="00AA0841">
        <w:trPr>
          <w:trHeight w:val="840"/>
        </w:trPr>
        <w:tc>
          <w:tcPr>
            <w:tcW w:w="2547" w:type="dxa"/>
            <w:vMerge/>
            <w:tcBorders>
              <w:top w:val="single" w:sz="4" w:space="0" w:color="auto"/>
              <w:left w:val="single" w:sz="12" w:space="0" w:color="auto"/>
              <w:bottom w:val="single" w:sz="4" w:space="0" w:color="auto"/>
              <w:right w:val="single" w:sz="4" w:space="0" w:color="auto"/>
            </w:tcBorders>
            <w:vAlign w:val="center"/>
            <w:hideMark/>
          </w:tcPr>
          <w:p w14:paraId="28BB0769" w14:textId="77777777" w:rsidR="00AA0841" w:rsidRPr="00F45FF4" w:rsidRDefault="00AA0841" w:rsidP="00AA0841">
            <w:pPr>
              <w:rPr>
                <w:sz w:val="18"/>
                <w:szCs w:val="18"/>
              </w:rPr>
            </w:pPr>
          </w:p>
        </w:tc>
        <w:tc>
          <w:tcPr>
            <w:tcW w:w="4111" w:type="dxa"/>
            <w:tcBorders>
              <w:top w:val="single" w:sz="4" w:space="0" w:color="auto"/>
              <w:left w:val="nil"/>
              <w:bottom w:val="single" w:sz="4" w:space="0" w:color="auto"/>
              <w:right w:val="single" w:sz="4" w:space="0" w:color="auto"/>
            </w:tcBorders>
            <w:shd w:val="clear" w:color="auto" w:fill="auto"/>
            <w:vAlign w:val="center"/>
            <w:hideMark/>
          </w:tcPr>
          <w:p w14:paraId="2A1801AA" w14:textId="77777777" w:rsidR="00AA0841" w:rsidRPr="00F45FF4" w:rsidRDefault="00AA0841" w:rsidP="00AA0841">
            <w:pPr>
              <w:rPr>
                <w:sz w:val="18"/>
                <w:szCs w:val="18"/>
              </w:rPr>
            </w:pPr>
            <w:r w:rsidRPr="00F45FF4">
              <w:rPr>
                <w:sz w:val="18"/>
                <w:szCs w:val="18"/>
              </w:rPr>
              <w:t>~430 ML/day for 41 days to maintain minimum flow for fish nesting habitat, and inundation for aquatic vegetation growth (~17 GL in total, includes ~200 ML/day base flow)</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7604AB46" w14:textId="77777777" w:rsidR="00AA0841" w:rsidRPr="00F45FF4" w:rsidRDefault="00AA0841" w:rsidP="00AA0841">
            <w:pPr>
              <w:jc w:val="center"/>
              <w:rPr>
                <w:sz w:val="18"/>
                <w:szCs w:val="18"/>
              </w:rPr>
            </w:pPr>
            <w:r w:rsidRPr="00F45FF4">
              <w:rPr>
                <w:sz w:val="18"/>
                <w:szCs w:val="18"/>
              </w:rPr>
              <w:t>Annual</w:t>
            </w:r>
          </w:p>
        </w:tc>
        <w:tc>
          <w:tcPr>
            <w:tcW w:w="4678" w:type="dxa"/>
            <w:tcBorders>
              <w:top w:val="single" w:sz="4" w:space="0" w:color="auto"/>
              <w:left w:val="nil"/>
              <w:bottom w:val="single" w:sz="4" w:space="0" w:color="auto"/>
              <w:right w:val="single" w:sz="4" w:space="0" w:color="auto"/>
            </w:tcBorders>
            <w:shd w:val="clear" w:color="auto" w:fill="auto"/>
            <w:vAlign w:val="center"/>
            <w:hideMark/>
          </w:tcPr>
          <w:p w14:paraId="2C2B9870" w14:textId="77777777" w:rsidR="00AA0841" w:rsidRPr="00F45FF4" w:rsidRDefault="00AA0841" w:rsidP="00AA0841">
            <w:pPr>
              <w:jc w:val="center"/>
              <w:rPr>
                <w:sz w:val="18"/>
                <w:szCs w:val="18"/>
              </w:rPr>
            </w:pPr>
            <w:r w:rsidRPr="00F45FF4">
              <w:rPr>
                <w:sz w:val="18"/>
                <w:szCs w:val="18"/>
              </w:rPr>
              <w:t>Has been met 5 out of the past 5 years</w:t>
            </w:r>
          </w:p>
        </w:tc>
        <w:tc>
          <w:tcPr>
            <w:tcW w:w="1984" w:type="dxa"/>
            <w:tcBorders>
              <w:top w:val="single" w:sz="4" w:space="0" w:color="auto"/>
              <w:left w:val="nil"/>
              <w:bottom w:val="single" w:sz="4" w:space="0" w:color="auto"/>
              <w:right w:val="single" w:sz="4" w:space="0" w:color="auto"/>
            </w:tcBorders>
            <w:shd w:val="clear" w:color="000000" w:fill="FF0000"/>
            <w:vAlign w:val="center"/>
            <w:hideMark/>
          </w:tcPr>
          <w:p w14:paraId="1F83CBD8"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single" w:sz="4" w:space="0" w:color="auto"/>
              <w:left w:val="nil"/>
              <w:bottom w:val="single" w:sz="4" w:space="0" w:color="auto"/>
              <w:right w:val="single" w:sz="4" w:space="0" w:color="auto"/>
            </w:tcBorders>
            <w:shd w:val="clear" w:color="auto" w:fill="365F91" w:themeFill="accent1" w:themeFillShade="BF"/>
            <w:vAlign w:val="center"/>
            <w:hideMark/>
          </w:tcPr>
          <w:p w14:paraId="1E2FD811" w14:textId="77777777" w:rsidR="00AA0841" w:rsidRPr="00D842D9" w:rsidRDefault="00AA0841" w:rsidP="00AA0841">
            <w:pPr>
              <w:jc w:val="center"/>
              <w:rPr>
                <w:color w:val="auto"/>
                <w:sz w:val="18"/>
                <w:szCs w:val="18"/>
              </w:rPr>
            </w:pPr>
            <w:r w:rsidRPr="00D842D9">
              <w:rPr>
                <w:color w:val="auto"/>
                <w:sz w:val="18"/>
                <w:szCs w:val="18"/>
              </w:rPr>
              <w:t>Priority for Commonwealth environmental water to continue ecosystem recovery</w:t>
            </w:r>
          </w:p>
        </w:tc>
        <w:tc>
          <w:tcPr>
            <w:tcW w:w="2268" w:type="dxa"/>
            <w:tcBorders>
              <w:top w:val="single" w:sz="4" w:space="0" w:color="auto"/>
              <w:left w:val="nil"/>
              <w:bottom w:val="single" w:sz="4" w:space="0" w:color="auto"/>
              <w:right w:val="single" w:sz="12" w:space="0" w:color="auto"/>
            </w:tcBorders>
            <w:shd w:val="clear" w:color="000000" w:fill="FF0000"/>
            <w:vAlign w:val="center"/>
            <w:hideMark/>
          </w:tcPr>
          <w:p w14:paraId="2C80B94D"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3B53BBAE" w14:textId="77777777" w:rsidTr="00AA0841">
        <w:trPr>
          <w:trHeight w:val="851"/>
        </w:trPr>
        <w:tc>
          <w:tcPr>
            <w:tcW w:w="2547" w:type="dxa"/>
            <w:vMerge/>
            <w:tcBorders>
              <w:top w:val="single" w:sz="4" w:space="0" w:color="auto"/>
              <w:left w:val="single" w:sz="12" w:space="0" w:color="auto"/>
              <w:bottom w:val="single" w:sz="4" w:space="0" w:color="auto"/>
              <w:right w:val="single" w:sz="4" w:space="0" w:color="auto"/>
            </w:tcBorders>
            <w:vAlign w:val="center"/>
          </w:tcPr>
          <w:p w14:paraId="11212398" w14:textId="77777777" w:rsidR="00AA0841" w:rsidRPr="00F45FF4" w:rsidRDefault="00AA0841" w:rsidP="00AA0841">
            <w:pPr>
              <w:rPr>
                <w:sz w:val="18"/>
                <w:szCs w:val="18"/>
              </w:rPr>
            </w:pPr>
          </w:p>
        </w:tc>
        <w:tc>
          <w:tcPr>
            <w:tcW w:w="4111" w:type="dxa"/>
            <w:tcBorders>
              <w:top w:val="single" w:sz="4" w:space="0" w:color="auto"/>
              <w:left w:val="nil"/>
              <w:bottom w:val="single" w:sz="4" w:space="0" w:color="auto"/>
              <w:right w:val="single" w:sz="4" w:space="0" w:color="auto"/>
            </w:tcBorders>
            <w:shd w:val="clear" w:color="auto" w:fill="auto"/>
            <w:vAlign w:val="center"/>
          </w:tcPr>
          <w:p w14:paraId="3F5F2E53" w14:textId="77777777" w:rsidR="00AA0841" w:rsidRPr="00F45FF4" w:rsidRDefault="00AA0841" w:rsidP="00AA0841">
            <w:pPr>
              <w:rPr>
                <w:sz w:val="18"/>
                <w:szCs w:val="18"/>
              </w:rPr>
            </w:pPr>
            <w:r w:rsidRPr="00F45FF4">
              <w:rPr>
                <w:sz w:val="18"/>
                <w:szCs w:val="18"/>
              </w:rPr>
              <w:t>~600 ML/day peak for 4 days undertaken 1-3 times in late spring/early summer with a gradual recession at end of fish nesting period (~10.61 GL, includes ~200 ML/day base flow).</w:t>
            </w:r>
          </w:p>
        </w:tc>
        <w:tc>
          <w:tcPr>
            <w:tcW w:w="2126" w:type="dxa"/>
            <w:tcBorders>
              <w:top w:val="nil"/>
              <w:left w:val="nil"/>
              <w:bottom w:val="single" w:sz="4" w:space="0" w:color="auto"/>
              <w:right w:val="single" w:sz="4" w:space="0" w:color="auto"/>
            </w:tcBorders>
            <w:shd w:val="clear" w:color="auto" w:fill="auto"/>
            <w:vAlign w:val="center"/>
          </w:tcPr>
          <w:p w14:paraId="4180F128" w14:textId="77777777" w:rsidR="00AA0841" w:rsidRPr="00F45FF4" w:rsidRDefault="00AA0841" w:rsidP="00AA0841">
            <w:pPr>
              <w:jc w:val="center"/>
              <w:rPr>
                <w:sz w:val="18"/>
                <w:szCs w:val="18"/>
              </w:rPr>
            </w:pPr>
            <w:r w:rsidRPr="00F45FF4">
              <w:rPr>
                <w:sz w:val="18"/>
                <w:szCs w:val="18"/>
              </w:rPr>
              <w:t>Annual</w:t>
            </w:r>
          </w:p>
        </w:tc>
        <w:tc>
          <w:tcPr>
            <w:tcW w:w="4678" w:type="dxa"/>
            <w:tcBorders>
              <w:top w:val="single" w:sz="4" w:space="0" w:color="auto"/>
              <w:left w:val="nil"/>
              <w:bottom w:val="single" w:sz="4" w:space="0" w:color="auto"/>
              <w:right w:val="single" w:sz="4" w:space="0" w:color="000000"/>
            </w:tcBorders>
            <w:shd w:val="clear" w:color="auto" w:fill="auto"/>
            <w:vAlign w:val="center"/>
          </w:tcPr>
          <w:p w14:paraId="0AB05E8E" w14:textId="77777777" w:rsidR="00AA0841" w:rsidRPr="00F45FF4" w:rsidRDefault="00AA0841" w:rsidP="00AA0841">
            <w:pPr>
              <w:jc w:val="center"/>
              <w:rPr>
                <w:sz w:val="18"/>
                <w:szCs w:val="18"/>
              </w:rPr>
            </w:pPr>
            <w:r w:rsidRPr="00F45FF4">
              <w:rPr>
                <w:sz w:val="18"/>
                <w:szCs w:val="18"/>
              </w:rPr>
              <w:t>Has been met 2 out of the past 5 years</w:t>
            </w:r>
          </w:p>
        </w:tc>
        <w:tc>
          <w:tcPr>
            <w:tcW w:w="1984" w:type="dxa"/>
            <w:tcBorders>
              <w:top w:val="nil"/>
              <w:left w:val="nil"/>
              <w:bottom w:val="single" w:sz="4" w:space="0" w:color="auto"/>
              <w:right w:val="single" w:sz="4" w:space="0" w:color="auto"/>
            </w:tcBorders>
            <w:shd w:val="clear" w:color="000000" w:fill="FFC000"/>
            <w:vAlign w:val="center"/>
          </w:tcPr>
          <w:p w14:paraId="2B282AF4" w14:textId="77777777" w:rsidR="00AA0841" w:rsidRPr="00D842D9" w:rsidRDefault="00AA0841" w:rsidP="00AA0841">
            <w:pPr>
              <w:jc w:val="center"/>
              <w:rPr>
                <w:color w:val="auto"/>
                <w:sz w:val="18"/>
                <w:szCs w:val="18"/>
              </w:rPr>
            </w:pPr>
            <w:r w:rsidRPr="00D842D9">
              <w:rPr>
                <w:color w:val="auto"/>
                <w:sz w:val="18"/>
                <w:szCs w:val="18"/>
              </w:rPr>
              <w:t>Moderate</w:t>
            </w:r>
          </w:p>
        </w:tc>
        <w:tc>
          <w:tcPr>
            <w:tcW w:w="4253" w:type="dxa"/>
            <w:tcBorders>
              <w:top w:val="nil"/>
              <w:left w:val="nil"/>
              <w:bottom w:val="single" w:sz="4" w:space="0" w:color="auto"/>
              <w:right w:val="single" w:sz="4" w:space="0" w:color="auto"/>
            </w:tcBorders>
            <w:shd w:val="clear" w:color="auto" w:fill="95B3D7" w:themeFill="accent1" w:themeFillTint="99"/>
            <w:vAlign w:val="center"/>
          </w:tcPr>
          <w:p w14:paraId="3F04A36A" w14:textId="77777777" w:rsidR="00AA0841" w:rsidRPr="00D842D9" w:rsidRDefault="00AA0841" w:rsidP="00AA0841">
            <w:pPr>
              <w:jc w:val="center"/>
              <w:rPr>
                <w:color w:val="auto"/>
                <w:sz w:val="18"/>
                <w:szCs w:val="18"/>
              </w:rPr>
            </w:pPr>
            <w:r w:rsidRPr="00D842D9">
              <w:rPr>
                <w:color w:val="auto"/>
                <w:sz w:val="18"/>
                <w:szCs w:val="18"/>
              </w:rPr>
              <w:t>Option to be considered under a moderate to high water resource availability.</w:t>
            </w:r>
          </w:p>
        </w:tc>
        <w:tc>
          <w:tcPr>
            <w:tcW w:w="2268" w:type="dxa"/>
            <w:tcBorders>
              <w:top w:val="nil"/>
              <w:left w:val="nil"/>
              <w:bottom w:val="single" w:sz="4" w:space="0" w:color="auto"/>
              <w:right w:val="single" w:sz="12" w:space="0" w:color="auto"/>
            </w:tcBorders>
            <w:shd w:val="clear" w:color="000000" w:fill="FFC000"/>
            <w:vAlign w:val="center"/>
          </w:tcPr>
          <w:p w14:paraId="2FFDEC01" w14:textId="77777777" w:rsidR="00AA0841" w:rsidRPr="00D842D9" w:rsidRDefault="00AA0841" w:rsidP="00AA0841">
            <w:pPr>
              <w:jc w:val="center"/>
              <w:rPr>
                <w:color w:val="auto"/>
                <w:sz w:val="18"/>
                <w:szCs w:val="18"/>
              </w:rPr>
            </w:pPr>
            <w:r w:rsidRPr="00D842D9">
              <w:rPr>
                <w:color w:val="auto"/>
                <w:sz w:val="18"/>
                <w:szCs w:val="18"/>
              </w:rPr>
              <w:t>Moderate</w:t>
            </w:r>
          </w:p>
        </w:tc>
      </w:tr>
      <w:tr w:rsidR="00AA0841" w:rsidRPr="00D842D9" w14:paraId="740F7848" w14:textId="77777777" w:rsidTr="00AA0841">
        <w:trPr>
          <w:trHeight w:val="822"/>
        </w:trPr>
        <w:tc>
          <w:tcPr>
            <w:tcW w:w="2547" w:type="dxa"/>
            <w:vMerge/>
            <w:tcBorders>
              <w:top w:val="single" w:sz="4" w:space="0" w:color="auto"/>
              <w:left w:val="single" w:sz="12" w:space="0" w:color="auto"/>
              <w:bottom w:val="single" w:sz="4" w:space="0" w:color="auto"/>
              <w:right w:val="single" w:sz="4" w:space="0" w:color="auto"/>
            </w:tcBorders>
            <w:vAlign w:val="center"/>
            <w:hideMark/>
          </w:tcPr>
          <w:p w14:paraId="1653C978" w14:textId="77777777" w:rsidR="00AA0841" w:rsidRPr="00F45FF4" w:rsidRDefault="00AA0841" w:rsidP="00AA0841">
            <w:pPr>
              <w:rPr>
                <w:sz w:val="18"/>
                <w:szCs w:val="18"/>
              </w:rPr>
            </w:pPr>
          </w:p>
        </w:tc>
        <w:tc>
          <w:tcPr>
            <w:tcW w:w="4111" w:type="dxa"/>
            <w:tcBorders>
              <w:top w:val="single" w:sz="4" w:space="0" w:color="auto"/>
              <w:left w:val="nil"/>
              <w:right w:val="single" w:sz="4" w:space="0" w:color="auto"/>
            </w:tcBorders>
            <w:shd w:val="clear" w:color="auto" w:fill="auto"/>
            <w:vAlign w:val="center"/>
            <w:hideMark/>
          </w:tcPr>
          <w:p w14:paraId="2764D078" w14:textId="77777777" w:rsidR="00AA0841" w:rsidRPr="00F45FF4" w:rsidRDefault="00AA0841" w:rsidP="00AA0841">
            <w:pPr>
              <w:rPr>
                <w:sz w:val="18"/>
                <w:szCs w:val="18"/>
              </w:rPr>
            </w:pPr>
            <w:r w:rsidRPr="00F45FF4">
              <w:rPr>
                <w:sz w:val="18"/>
                <w:szCs w:val="18"/>
              </w:rPr>
              <w:t xml:space="preserve">~470 ML/day peak for 3 days over 25 days pulse/fresh in autumn with a gradual recession (~7.3 GL, includes ~200 ML/day base flow). </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619E5732" w14:textId="77777777" w:rsidR="00AA0841" w:rsidRPr="00F45FF4" w:rsidRDefault="00AA0841" w:rsidP="00AA0841">
            <w:pPr>
              <w:jc w:val="center"/>
              <w:rPr>
                <w:sz w:val="18"/>
                <w:szCs w:val="18"/>
              </w:rPr>
            </w:pPr>
            <w:r w:rsidRPr="00F45FF4">
              <w:rPr>
                <w:sz w:val="18"/>
                <w:szCs w:val="18"/>
              </w:rPr>
              <w:t>2 in 3 years (2 years)</w:t>
            </w:r>
          </w:p>
        </w:tc>
        <w:tc>
          <w:tcPr>
            <w:tcW w:w="4678" w:type="dxa"/>
            <w:tcBorders>
              <w:top w:val="single" w:sz="4" w:space="0" w:color="auto"/>
              <w:left w:val="nil"/>
              <w:right w:val="single" w:sz="4" w:space="0" w:color="auto"/>
            </w:tcBorders>
            <w:shd w:val="clear" w:color="auto" w:fill="auto"/>
            <w:vAlign w:val="center"/>
            <w:hideMark/>
          </w:tcPr>
          <w:p w14:paraId="1283FD92" w14:textId="77777777" w:rsidR="00AA0841" w:rsidRPr="00F45FF4" w:rsidRDefault="00AA0841" w:rsidP="00AA0841">
            <w:pPr>
              <w:jc w:val="center"/>
              <w:rPr>
                <w:sz w:val="18"/>
                <w:szCs w:val="18"/>
              </w:rPr>
            </w:pPr>
            <w:r w:rsidRPr="00F45FF4">
              <w:rPr>
                <w:sz w:val="18"/>
                <w:szCs w:val="18"/>
              </w:rPr>
              <w:t>Has been met 2 out of the past 5 years</w:t>
            </w:r>
          </w:p>
        </w:tc>
        <w:tc>
          <w:tcPr>
            <w:tcW w:w="1984"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6CA38CCC" w14:textId="77777777" w:rsidR="00AA0841" w:rsidRPr="00D842D9" w:rsidRDefault="00AA0841" w:rsidP="00AA0841">
            <w:pPr>
              <w:jc w:val="center"/>
              <w:rPr>
                <w:color w:val="auto"/>
                <w:sz w:val="18"/>
                <w:szCs w:val="18"/>
              </w:rPr>
            </w:pPr>
            <w:r w:rsidRPr="00D842D9">
              <w:rPr>
                <w:color w:val="auto"/>
                <w:sz w:val="18"/>
                <w:szCs w:val="18"/>
              </w:rPr>
              <w:t>Moderate</w:t>
            </w:r>
          </w:p>
        </w:tc>
        <w:tc>
          <w:tcPr>
            <w:tcW w:w="4253"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14:paraId="595D683E" w14:textId="77777777" w:rsidR="00AA0841" w:rsidRPr="00D842D9" w:rsidRDefault="00AA0841" w:rsidP="00AA0841">
            <w:pPr>
              <w:jc w:val="center"/>
              <w:rPr>
                <w:color w:val="auto"/>
                <w:sz w:val="18"/>
                <w:szCs w:val="18"/>
              </w:rPr>
            </w:pPr>
            <w:r w:rsidRPr="00D842D9">
              <w:rPr>
                <w:color w:val="auto"/>
                <w:sz w:val="18"/>
                <w:szCs w:val="18"/>
              </w:rPr>
              <w:t>Option to be considered under a moderate to high water resource availability.</w:t>
            </w:r>
          </w:p>
        </w:tc>
        <w:tc>
          <w:tcPr>
            <w:tcW w:w="2268" w:type="dxa"/>
            <w:tcBorders>
              <w:top w:val="single" w:sz="4" w:space="0" w:color="auto"/>
              <w:left w:val="nil"/>
              <w:bottom w:val="single" w:sz="4" w:space="0" w:color="auto"/>
              <w:right w:val="single" w:sz="12" w:space="0" w:color="auto"/>
            </w:tcBorders>
            <w:shd w:val="clear" w:color="000000" w:fill="FFC000"/>
            <w:vAlign w:val="center"/>
            <w:hideMark/>
          </w:tcPr>
          <w:p w14:paraId="6F74EF5B" w14:textId="77777777" w:rsidR="00AA0841" w:rsidRPr="00D842D9" w:rsidRDefault="00AA0841" w:rsidP="00AA0841">
            <w:pPr>
              <w:jc w:val="center"/>
              <w:rPr>
                <w:color w:val="auto"/>
                <w:sz w:val="18"/>
                <w:szCs w:val="18"/>
              </w:rPr>
            </w:pPr>
            <w:r w:rsidRPr="00D842D9">
              <w:rPr>
                <w:color w:val="auto"/>
                <w:sz w:val="18"/>
                <w:szCs w:val="18"/>
              </w:rPr>
              <w:t>Moderate</w:t>
            </w:r>
          </w:p>
        </w:tc>
      </w:tr>
      <w:tr w:rsidR="00AA0841" w:rsidRPr="00D842D9" w14:paraId="018F6995" w14:textId="77777777" w:rsidTr="00AA0841">
        <w:trPr>
          <w:trHeight w:val="989"/>
        </w:trPr>
        <w:tc>
          <w:tcPr>
            <w:tcW w:w="2547" w:type="dxa"/>
            <w:vMerge/>
            <w:tcBorders>
              <w:top w:val="single" w:sz="4" w:space="0" w:color="auto"/>
              <w:left w:val="single" w:sz="12" w:space="0" w:color="auto"/>
              <w:bottom w:val="single" w:sz="12" w:space="0" w:color="auto"/>
              <w:right w:val="single" w:sz="4" w:space="0" w:color="auto"/>
            </w:tcBorders>
            <w:vAlign w:val="center"/>
            <w:hideMark/>
          </w:tcPr>
          <w:p w14:paraId="108656AC" w14:textId="77777777" w:rsidR="00AA0841" w:rsidRPr="00F45FF4" w:rsidRDefault="00AA0841" w:rsidP="00AA0841">
            <w:pPr>
              <w:rPr>
                <w:sz w:val="18"/>
                <w:szCs w:val="18"/>
              </w:rPr>
            </w:pPr>
          </w:p>
        </w:tc>
        <w:tc>
          <w:tcPr>
            <w:tcW w:w="4111" w:type="dxa"/>
            <w:tcBorders>
              <w:top w:val="single" w:sz="4" w:space="0" w:color="auto"/>
              <w:left w:val="nil"/>
              <w:bottom w:val="single" w:sz="12" w:space="0" w:color="auto"/>
              <w:right w:val="single" w:sz="4" w:space="0" w:color="auto"/>
            </w:tcBorders>
            <w:shd w:val="clear" w:color="auto" w:fill="auto"/>
            <w:hideMark/>
          </w:tcPr>
          <w:p w14:paraId="0CB7C959" w14:textId="77777777" w:rsidR="00AA0841" w:rsidRPr="00F45FF4" w:rsidRDefault="00AA0841" w:rsidP="00AA0841">
            <w:pPr>
              <w:rPr>
                <w:sz w:val="18"/>
                <w:szCs w:val="18"/>
              </w:rPr>
            </w:pPr>
            <w:r w:rsidRPr="00F45FF4">
              <w:rPr>
                <w:sz w:val="18"/>
                <w:szCs w:val="18"/>
              </w:rPr>
              <w:t>~170 ML/day winter base flow from early-May (irrigation shut down) until last week of July (system restarts) (~10 GL). Needs minimum of 4,000 ML/day at Yarrawonga to meet all Edward/Kolety system winter base flow requirements.</w:t>
            </w:r>
          </w:p>
        </w:tc>
        <w:tc>
          <w:tcPr>
            <w:tcW w:w="2126" w:type="dxa"/>
            <w:tcBorders>
              <w:top w:val="single" w:sz="4" w:space="0" w:color="auto"/>
              <w:left w:val="nil"/>
              <w:bottom w:val="single" w:sz="12" w:space="0" w:color="auto"/>
              <w:right w:val="single" w:sz="4" w:space="0" w:color="auto"/>
            </w:tcBorders>
            <w:shd w:val="clear" w:color="auto" w:fill="auto"/>
            <w:vAlign w:val="center"/>
            <w:hideMark/>
          </w:tcPr>
          <w:p w14:paraId="01B40C0A" w14:textId="77777777" w:rsidR="00AA0841" w:rsidRPr="00F45FF4" w:rsidRDefault="00AA0841" w:rsidP="00AA0841">
            <w:pPr>
              <w:jc w:val="center"/>
              <w:rPr>
                <w:sz w:val="18"/>
                <w:szCs w:val="18"/>
              </w:rPr>
            </w:pPr>
            <w:r w:rsidRPr="00F45FF4">
              <w:rPr>
                <w:sz w:val="18"/>
                <w:szCs w:val="18"/>
              </w:rPr>
              <w:t>Annual</w:t>
            </w:r>
          </w:p>
        </w:tc>
        <w:tc>
          <w:tcPr>
            <w:tcW w:w="4678" w:type="dxa"/>
            <w:tcBorders>
              <w:top w:val="single" w:sz="4" w:space="0" w:color="auto"/>
              <w:left w:val="nil"/>
              <w:bottom w:val="single" w:sz="12" w:space="0" w:color="auto"/>
              <w:right w:val="single" w:sz="4" w:space="0" w:color="auto"/>
            </w:tcBorders>
            <w:shd w:val="clear" w:color="auto" w:fill="auto"/>
            <w:vAlign w:val="center"/>
            <w:hideMark/>
          </w:tcPr>
          <w:p w14:paraId="733E91A7" w14:textId="77777777" w:rsidR="00AA0841" w:rsidRPr="00F45FF4" w:rsidRDefault="00AA0841" w:rsidP="00AA0841">
            <w:pPr>
              <w:jc w:val="center"/>
              <w:rPr>
                <w:sz w:val="18"/>
                <w:szCs w:val="18"/>
              </w:rPr>
            </w:pPr>
            <w:r w:rsidRPr="00F45FF4">
              <w:rPr>
                <w:sz w:val="18"/>
                <w:szCs w:val="18"/>
              </w:rPr>
              <w:t>Has been met 2 out of the past 5 years.</w:t>
            </w:r>
          </w:p>
        </w:tc>
        <w:tc>
          <w:tcPr>
            <w:tcW w:w="1984" w:type="dxa"/>
            <w:tcBorders>
              <w:top w:val="single" w:sz="4" w:space="0" w:color="auto"/>
              <w:left w:val="single" w:sz="4" w:space="0" w:color="auto"/>
              <w:bottom w:val="single" w:sz="12" w:space="0" w:color="auto"/>
              <w:right w:val="single" w:sz="4" w:space="0" w:color="auto"/>
            </w:tcBorders>
            <w:shd w:val="clear" w:color="000000" w:fill="FF0000"/>
            <w:vAlign w:val="center"/>
            <w:hideMark/>
          </w:tcPr>
          <w:p w14:paraId="4266B273"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single" w:sz="4" w:space="0" w:color="auto"/>
              <w:left w:val="nil"/>
              <w:bottom w:val="single" w:sz="12" w:space="0" w:color="auto"/>
              <w:right w:val="single" w:sz="4" w:space="0" w:color="auto"/>
            </w:tcBorders>
            <w:shd w:val="clear" w:color="auto" w:fill="365F91" w:themeFill="accent1" w:themeFillShade="BF"/>
            <w:vAlign w:val="center"/>
            <w:hideMark/>
          </w:tcPr>
          <w:p w14:paraId="78D8BD37" w14:textId="77777777" w:rsidR="00AA0841" w:rsidRPr="00D842D9" w:rsidRDefault="00AA0841" w:rsidP="00AA0841">
            <w:pPr>
              <w:jc w:val="center"/>
              <w:rPr>
                <w:color w:val="auto"/>
                <w:sz w:val="18"/>
                <w:szCs w:val="18"/>
              </w:rPr>
            </w:pPr>
            <w:r w:rsidRPr="00D842D9">
              <w:rPr>
                <w:color w:val="auto"/>
                <w:sz w:val="18"/>
                <w:szCs w:val="18"/>
              </w:rPr>
              <w:t>Priority for Commonwealth environmental water to continue ecosystem recovery.</w:t>
            </w:r>
          </w:p>
        </w:tc>
        <w:tc>
          <w:tcPr>
            <w:tcW w:w="2268" w:type="dxa"/>
            <w:tcBorders>
              <w:top w:val="single" w:sz="4" w:space="0" w:color="auto"/>
              <w:left w:val="nil"/>
              <w:bottom w:val="single" w:sz="12" w:space="0" w:color="auto"/>
              <w:right w:val="single" w:sz="12" w:space="0" w:color="auto"/>
            </w:tcBorders>
            <w:shd w:val="clear" w:color="000000" w:fill="FF0000"/>
            <w:vAlign w:val="center"/>
            <w:hideMark/>
          </w:tcPr>
          <w:p w14:paraId="2DDFE636"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3FF1B14B" w14:textId="77777777" w:rsidTr="00AA0841">
        <w:trPr>
          <w:trHeight w:val="706"/>
        </w:trPr>
        <w:tc>
          <w:tcPr>
            <w:tcW w:w="2547" w:type="dxa"/>
            <w:tcBorders>
              <w:top w:val="single" w:sz="12" w:space="0" w:color="auto"/>
              <w:left w:val="single" w:sz="12" w:space="0" w:color="auto"/>
              <w:bottom w:val="single" w:sz="12" w:space="0" w:color="auto"/>
              <w:right w:val="single" w:sz="4" w:space="0" w:color="auto"/>
            </w:tcBorders>
            <w:shd w:val="clear" w:color="auto" w:fill="auto"/>
            <w:hideMark/>
          </w:tcPr>
          <w:p w14:paraId="75D222F0" w14:textId="77777777" w:rsidR="00AA0841" w:rsidRPr="00F45FF4" w:rsidRDefault="00AA0841" w:rsidP="00AA0841">
            <w:pPr>
              <w:rPr>
                <w:sz w:val="18"/>
                <w:szCs w:val="18"/>
              </w:rPr>
            </w:pPr>
            <w:r w:rsidRPr="00F45FF4">
              <w:rPr>
                <w:b/>
                <w:sz w:val="18"/>
                <w:szCs w:val="18"/>
              </w:rPr>
              <w:t>Colligen - Niemur</w:t>
            </w:r>
            <w:r w:rsidRPr="00F45FF4">
              <w:rPr>
                <w:sz w:val="18"/>
                <w:szCs w:val="18"/>
              </w:rPr>
              <w:br/>
              <w:t>As per Yallakool-Wakool above</w:t>
            </w:r>
          </w:p>
        </w:tc>
        <w:tc>
          <w:tcPr>
            <w:tcW w:w="19420" w:type="dxa"/>
            <w:gridSpan w:val="6"/>
            <w:tcBorders>
              <w:top w:val="single" w:sz="12" w:space="0" w:color="auto"/>
              <w:left w:val="nil"/>
              <w:bottom w:val="single" w:sz="12" w:space="0" w:color="auto"/>
              <w:right w:val="single" w:sz="12" w:space="0" w:color="auto"/>
            </w:tcBorders>
            <w:shd w:val="clear" w:color="auto" w:fill="auto"/>
            <w:vAlign w:val="center"/>
            <w:hideMark/>
          </w:tcPr>
          <w:p w14:paraId="199338AB" w14:textId="77777777" w:rsidR="00AA0841" w:rsidRPr="00D842D9" w:rsidRDefault="00AA0841" w:rsidP="00AA0841">
            <w:pPr>
              <w:jc w:val="center"/>
              <w:rPr>
                <w:color w:val="auto"/>
                <w:sz w:val="18"/>
                <w:szCs w:val="18"/>
              </w:rPr>
            </w:pPr>
            <w:r w:rsidRPr="00D842D9">
              <w:rPr>
                <w:color w:val="auto"/>
                <w:sz w:val="18"/>
                <w:szCs w:val="18"/>
              </w:rPr>
              <w:t>The potential flow components for the Colligen-Niemur during 2020-21, and related assessment of demands &amp; urgency of demands are like the flow components outlined for the Yallakool-Wakool above. The primary difference is that the flows planned for the Colligen-Niemur have been scaled to fit within its constraint for environmental flows of up to 450 ML/day.</w:t>
            </w:r>
          </w:p>
        </w:tc>
      </w:tr>
      <w:tr w:rsidR="00AA0841" w:rsidRPr="00D842D9" w14:paraId="7BE2507B" w14:textId="77777777" w:rsidTr="00AA0841">
        <w:trPr>
          <w:trHeight w:val="822"/>
        </w:trPr>
        <w:tc>
          <w:tcPr>
            <w:tcW w:w="2547" w:type="dxa"/>
            <w:tcBorders>
              <w:top w:val="single" w:sz="12" w:space="0" w:color="auto"/>
              <w:left w:val="single" w:sz="12" w:space="0" w:color="auto"/>
              <w:bottom w:val="single" w:sz="12" w:space="0" w:color="auto"/>
              <w:right w:val="single" w:sz="4" w:space="0" w:color="auto"/>
            </w:tcBorders>
            <w:shd w:val="clear" w:color="auto" w:fill="auto"/>
            <w:hideMark/>
          </w:tcPr>
          <w:p w14:paraId="362B546D" w14:textId="77777777" w:rsidR="00AA0841" w:rsidRPr="00F45FF4" w:rsidRDefault="00AA0841" w:rsidP="00AA0841">
            <w:pPr>
              <w:rPr>
                <w:sz w:val="18"/>
                <w:szCs w:val="18"/>
              </w:rPr>
            </w:pPr>
            <w:r w:rsidRPr="00F45FF4">
              <w:rPr>
                <w:b/>
                <w:sz w:val="18"/>
                <w:szCs w:val="18"/>
              </w:rPr>
              <w:t>Edward/Kolety River</w:t>
            </w:r>
            <w:r w:rsidRPr="00F45FF4">
              <w:rPr>
                <w:sz w:val="18"/>
                <w:szCs w:val="18"/>
              </w:rPr>
              <w:t xml:space="preserve"> downstream of Stevens Weir</w:t>
            </w:r>
          </w:p>
        </w:tc>
        <w:tc>
          <w:tcPr>
            <w:tcW w:w="4111" w:type="dxa"/>
            <w:tcBorders>
              <w:top w:val="single" w:sz="12" w:space="0" w:color="auto"/>
              <w:left w:val="nil"/>
              <w:bottom w:val="single" w:sz="12" w:space="0" w:color="auto"/>
              <w:right w:val="single" w:sz="4" w:space="0" w:color="auto"/>
            </w:tcBorders>
            <w:shd w:val="clear" w:color="auto" w:fill="auto"/>
            <w:vAlign w:val="center"/>
            <w:hideMark/>
          </w:tcPr>
          <w:p w14:paraId="3752ACB2" w14:textId="77777777" w:rsidR="00AA0841" w:rsidRPr="00F45FF4" w:rsidRDefault="00AA0841" w:rsidP="00AA0841">
            <w:pPr>
              <w:rPr>
                <w:sz w:val="18"/>
                <w:szCs w:val="18"/>
              </w:rPr>
            </w:pPr>
            <w:r w:rsidRPr="00F45FF4">
              <w:rPr>
                <w:sz w:val="18"/>
                <w:szCs w:val="18"/>
              </w:rPr>
              <w:t>Up to 2</w:t>
            </w:r>
            <w:r>
              <w:rPr>
                <w:sz w:val="18"/>
                <w:szCs w:val="18"/>
              </w:rPr>
              <w:t xml:space="preserve"> </w:t>
            </w:r>
            <w:r w:rsidRPr="00F45FF4">
              <w:rPr>
                <w:sz w:val="18"/>
                <w:szCs w:val="18"/>
              </w:rPr>
              <w:t>700 ML/day (constraint downstream of Stevens Weir) spring-pulse (~15 GL). Will need to align with delivery of flows into Yallakool-Wakool and Colligen-Nimeur systems.</w:t>
            </w:r>
          </w:p>
        </w:tc>
        <w:tc>
          <w:tcPr>
            <w:tcW w:w="2126" w:type="dxa"/>
            <w:tcBorders>
              <w:top w:val="single" w:sz="12" w:space="0" w:color="auto"/>
              <w:left w:val="nil"/>
              <w:bottom w:val="single" w:sz="12" w:space="0" w:color="auto"/>
              <w:right w:val="single" w:sz="4" w:space="0" w:color="auto"/>
            </w:tcBorders>
            <w:shd w:val="clear" w:color="auto" w:fill="auto"/>
            <w:vAlign w:val="center"/>
            <w:hideMark/>
          </w:tcPr>
          <w:p w14:paraId="79B7ECFF" w14:textId="77777777" w:rsidR="00AA0841" w:rsidRPr="00F45FF4" w:rsidRDefault="00AA0841" w:rsidP="00AA0841">
            <w:pPr>
              <w:jc w:val="center"/>
              <w:rPr>
                <w:sz w:val="18"/>
                <w:szCs w:val="18"/>
              </w:rPr>
            </w:pPr>
            <w:r w:rsidRPr="00F45FF4">
              <w:rPr>
                <w:sz w:val="18"/>
                <w:szCs w:val="18"/>
              </w:rPr>
              <w:t>Annual</w:t>
            </w:r>
          </w:p>
        </w:tc>
        <w:tc>
          <w:tcPr>
            <w:tcW w:w="4678" w:type="dxa"/>
            <w:tcBorders>
              <w:top w:val="single" w:sz="12" w:space="0" w:color="auto"/>
              <w:left w:val="nil"/>
              <w:bottom w:val="single" w:sz="12" w:space="0" w:color="auto"/>
              <w:right w:val="single" w:sz="4" w:space="0" w:color="000000"/>
            </w:tcBorders>
            <w:shd w:val="clear" w:color="auto" w:fill="auto"/>
            <w:vAlign w:val="center"/>
            <w:hideMark/>
          </w:tcPr>
          <w:p w14:paraId="200BE5A7" w14:textId="77777777" w:rsidR="00AA0841" w:rsidRPr="00F45FF4" w:rsidRDefault="00AA0841" w:rsidP="00AA0841">
            <w:pPr>
              <w:jc w:val="center"/>
              <w:rPr>
                <w:sz w:val="18"/>
                <w:szCs w:val="18"/>
              </w:rPr>
            </w:pPr>
            <w:r w:rsidRPr="00F45FF4">
              <w:rPr>
                <w:sz w:val="18"/>
                <w:szCs w:val="18"/>
              </w:rPr>
              <w:t>Has been met 5 out of the past 5 years.</w:t>
            </w:r>
          </w:p>
        </w:tc>
        <w:tc>
          <w:tcPr>
            <w:tcW w:w="1984" w:type="dxa"/>
            <w:tcBorders>
              <w:top w:val="single" w:sz="12" w:space="0" w:color="auto"/>
              <w:left w:val="nil"/>
              <w:bottom w:val="single" w:sz="12" w:space="0" w:color="auto"/>
              <w:right w:val="single" w:sz="4" w:space="0" w:color="auto"/>
            </w:tcBorders>
            <w:shd w:val="clear" w:color="auto" w:fill="92D050"/>
            <w:vAlign w:val="center"/>
            <w:hideMark/>
          </w:tcPr>
          <w:p w14:paraId="03760A9E" w14:textId="77777777" w:rsidR="00AA0841" w:rsidRPr="00D842D9" w:rsidRDefault="00AA0841" w:rsidP="00AA0841">
            <w:pPr>
              <w:jc w:val="center"/>
              <w:rPr>
                <w:color w:val="auto"/>
                <w:sz w:val="18"/>
                <w:szCs w:val="18"/>
              </w:rPr>
            </w:pPr>
            <w:r w:rsidRPr="00D842D9">
              <w:rPr>
                <w:color w:val="auto"/>
                <w:sz w:val="18"/>
                <w:szCs w:val="18"/>
              </w:rPr>
              <w:t>Low</w:t>
            </w:r>
          </w:p>
        </w:tc>
        <w:tc>
          <w:tcPr>
            <w:tcW w:w="4253" w:type="dxa"/>
            <w:tcBorders>
              <w:top w:val="single" w:sz="12" w:space="0" w:color="auto"/>
              <w:left w:val="nil"/>
              <w:bottom w:val="single" w:sz="12" w:space="0" w:color="auto"/>
              <w:right w:val="single" w:sz="4" w:space="0" w:color="auto"/>
            </w:tcBorders>
            <w:shd w:val="clear" w:color="auto" w:fill="FFFFFF" w:themeFill="background1"/>
            <w:vAlign w:val="center"/>
            <w:hideMark/>
          </w:tcPr>
          <w:p w14:paraId="628205CB" w14:textId="77777777" w:rsidR="00AA0841" w:rsidRPr="00D842D9" w:rsidRDefault="00AA0841" w:rsidP="00AA0841">
            <w:pPr>
              <w:jc w:val="center"/>
              <w:rPr>
                <w:color w:val="auto"/>
                <w:sz w:val="18"/>
                <w:szCs w:val="18"/>
              </w:rPr>
            </w:pPr>
            <w:r w:rsidRPr="00D842D9">
              <w:rPr>
                <w:color w:val="auto"/>
                <w:sz w:val="18"/>
                <w:szCs w:val="18"/>
              </w:rPr>
              <w:t>Likely to be met by operational flows</w:t>
            </w:r>
          </w:p>
        </w:tc>
        <w:tc>
          <w:tcPr>
            <w:tcW w:w="2268" w:type="dxa"/>
            <w:tcBorders>
              <w:top w:val="single" w:sz="12" w:space="0" w:color="auto"/>
              <w:left w:val="nil"/>
              <w:bottom w:val="single" w:sz="12" w:space="0" w:color="auto"/>
              <w:right w:val="single" w:sz="12" w:space="0" w:color="auto"/>
            </w:tcBorders>
            <w:shd w:val="clear" w:color="auto" w:fill="92D050"/>
            <w:vAlign w:val="center"/>
            <w:hideMark/>
          </w:tcPr>
          <w:p w14:paraId="31253801" w14:textId="77777777" w:rsidR="00AA0841" w:rsidRPr="00D842D9" w:rsidRDefault="00AA0841" w:rsidP="00AA0841">
            <w:pPr>
              <w:jc w:val="center"/>
              <w:rPr>
                <w:color w:val="auto"/>
                <w:sz w:val="18"/>
                <w:szCs w:val="18"/>
              </w:rPr>
            </w:pPr>
            <w:r w:rsidRPr="00D842D9">
              <w:rPr>
                <w:color w:val="auto"/>
                <w:sz w:val="18"/>
                <w:szCs w:val="18"/>
              </w:rPr>
              <w:t>Low</w:t>
            </w:r>
          </w:p>
        </w:tc>
      </w:tr>
      <w:tr w:rsidR="00AA0841" w:rsidRPr="00D842D9" w14:paraId="75986841" w14:textId="77777777" w:rsidTr="00AA0841">
        <w:trPr>
          <w:trHeight w:val="918"/>
        </w:trPr>
        <w:tc>
          <w:tcPr>
            <w:tcW w:w="2547" w:type="dxa"/>
            <w:tcBorders>
              <w:top w:val="single" w:sz="12" w:space="0" w:color="auto"/>
              <w:left w:val="single" w:sz="12" w:space="0" w:color="auto"/>
              <w:bottom w:val="single" w:sz="12" w:space="0" w:color="auto"/>
              <w:right w:val="single" w:sz="4" w:space="0" w:color="auto"/>
            </w:tcBorders>
            <w:shd w:val="clear" w:color="auto" w:fill="FFFFFF" w:themeFill="background1"/>
            <w:hideMark/>
          </w:tcPr>
          <w:p w14:paraId="343681E2" w14:textId="77777777" w:rsidR="00AA0841" w:rsidRPr="00F45FF4" w:rsidRDefault="00AA0841" w:rsidP="00AA0841">
            <w:pPr>
              <w:rPr>
                <w:b/>
                <w:sz w:val="18"/>
                <w:szCs w:val="18"/>
              </w:rPr>
            </w:pPr>
            <w:r w:rsidRPr="00F45FF4">
              <w:rPr>
                <w:b/>
                <w:sz w:val="18"/>
                <w:szCs w:val="18"/>
              </w:rPr>
              <w:t>Tuppal Creek</w:t>
            </w:r>
          </w:p>
        </w:tc>
        <w:tc>
          <w:tcPr>
            <w:tcW w:w="4111" w:type="dxa"/>
            <w:tcBorders>
              <w:top w:val="single" w:sz="12" w:space="0" w:color="auto"/>
              <w:left w:val="single" w:sz="4" w:space="0" w:color="auto"/>
              <w:bottom w:val="single" w:sz="12" w:space="0" w:color="auto"/>
              <w:right w:val="single" w:sz="4" w:space="0" w:color="000000"/>
            </w:tcBorders>
            <w:shd w:val="clear" w:color="auto" w:fill="auto"/>
            <w:vAlign w:val="center"/>
            <w:hideMark/>
          </w:tcPr>
          <w:p w14:paraId="2A21970A" w14:textId="77777777" w:rsidR="00AA0841" w:rsidRPr="00F45FF4" w:rsidRDefault="00AA0841" w:rsidP="00AA0841">
            <w:pPr>
              <w:rPr>
                <w:sz w:val="18"/>
                <w:szCs w:val="18"/>
              </w:rPr>
            </w:pPr>
            <w:r w:rsidRPr="00F45FF4">
              <w:rPr>
                <w:sz w:val="18"/>
                <w:szCs w:val="18"/>
              </w:rPr>
              <w:t>Spring pulse with variability flows during the year (~3 GL of CEW + ~3 GL NSW).</w:t>
            </w:r>
          </w:p>
        </w:tc>
        <w:tc>
          <w:tcPr>
            <w:tcW w:w="2126" w:type="dxa"/>
            <w:tcBorders>
              <w:top w:val="single" w:sz="12" w:space="0" w:color="auto"/>
              <w:left w:val="nil"/>
              <w:bottom w:val="single" w:sz="12" w:space="0" w:color="auto"/>
              <w:right w:val="single" w:sz="4" w:space="0" w:color="auto"/>
            </w:tcBorders>
            <w:shd w:val="clear" w:color="auto" w:fill="auto"/>
            <w:vAlign w:val="center"/>
            <w:hideMark/>
          </w:tcPr>
          <w:p w14:paraId="65AC2F99" w14:textId="77777777" w:rsidR="00AA0841" w:rsidRPr="00F45FF4" w:rsidRDefault="00AA0841" w:rsidP="00AA0841">
            <w:pPr>
              <w:jc w:val="center"/>
              <w:rPr>
                <w:sz w:val="18"/>
                <w:szCs w:val="18"/>
              </w:rPr>
            </w:pPr>
            <w:r w:rsidRPr="00F45FF4">
              <w:rPr>
                <w:sz w:val="18"/>
                <w:szCs w:val="18"/>
              </w:rPr>
              <w:t>Annual</w:t>
            </w:r>
          </w:p>
        </w:tc>
        <w:tc>
          <w:tcPr>
            <w:tcW w:w="4678" w:type="dxa"/>
            <w:tcBorders>
              <w:top w:val="single" w:sz="12" w:space="0" w:color="auto"/>
              <w:left w:val="nil"/>
              <w:bottom w:val="single" w:sz="12" w:space="0" w:color="auto"/>
              <w:right w:val="single" w:sz="4" w:space="0" w:color="000000"/>
            </w:tcBorders>
            <w:shd w:val="clear" w:color="auto" w:fill="auto"/>
            <w:vAlign w:val="center"/>
            <w:hideMark/>
          </w:tcPr>
          <w:p w14:paraId="19AB000A" w14:textId="77777777" w:rsidR="00AA0841" w:rsidRPr="00F45FF4" w:rsidRDefault="00AA0841" w:rsidP="00AA0841">
            <w:pPr>
              <w:jc w:val="center"/>
              <w:rPr>
                <w:sz w:val="18"/>
                <w:szCs w:val="18"/>
              </w:rPr>
            </w:pPr>
            <w:r w:rsidRPr="00F45FF4">
              <w:rPr>
                <w:sz w:val="18"/>
                <w:szCs w:val="18"/>
              </w:rPr>
              <w:t>Has been met 5 out of the past 5 years</w:t>
            </w:r>
          </w:p>
        </w:tc>
        <w:tc>
          <w:tcPr>
            <w:tcW w:w="1984" w:type="dxa"/>
            <w:tcBorders>
              <w:top w:val="single" w:sz="12" w:space="0" w:color="auto"/>
              <w:left w:val="nil"/>
              <w:bottom w:val="single" w:sz="12" w:space="0" w:color="auto"/>
              <w:right w:val="single" w:sz="4" w:space="0" w:color="auto"/>
            </w:tcBorders>
            <w:shd w:val="clear" w:color="000000" w:fill="FFC000"/>
            <w:vAlign w:val="center"/>
            <w:hideMark/>
          </w:tcPr>
          <w:p w14:paraId="502D31FC" w14:textId="77777777" w:rsidR="00AA0841" w:rsidRPr="00D842D9" w:rsidRDefault="00AA0841" w:rsidP="00AA0841">
            <w:pPr>
              <w:jc w:val="center"/>
              <w:rPr>
                <w:color w:val="auto"/>
                <w:sz w:val="18"/>
                <w:szCs w:val="18"/>
              </w:rPr>
            </w:pPr>
            <w:r w:rsidRPr="00D842D9">
              <w:rPr>
                <w:color w:val="auto"/>
                <w:sz w:val="18"/>
                <w:szCs w:val="18"/>
              </w:rPr>
              <w:t>Moderate</w:t>
            </w:r>
          </w:p>
        </w:tc>
        <w:tc>
          <w:tcPr>
            <w:tcW w:w="4253" w:type="dxa"/>
            <w:tcBorders>
              <w:top w:val="single" w:sz="12" w:space="0" w:color="auto"/>
              <w:left w:val="nil"/>
              <w:bottom w:val="single" w:sz="12" w:space="0" w:color="auto"/>
              <w:right w:val="single" w:sz="4" w:space="0" w:color="auto"/>
            </w:tcBorders>
            <w:shd w:val="clear" w:color="auto" w:fill="365F91" w:themeFill="accent1" w:themeFillShade="BF"/>
            <w:vAlign w:val="center"/>
            <w:hideMark/>
          </w:tcPr>
          <w:p w14:paraId="70E36CC8" w14:textId="77777777" w:rsidR="00AA0841" w:rsidRPr="00D842D9" w:rsidRDefault="00AA0841" w:rsidP="00AA0841">
            <w:pPr>
              <w:jc w:val="center"/>
              <w:rPr>
                <w:color w:val="auto"/>
                <w:sz w:val="18"/>
                <w:szCs w:val="18"/>
              </w:rPr>
            </w:pPr>
            <w:r w:rsidRPr="00D842D9">
              <w:rPr>
                <w:color w:val="auto"/>
                <w:sz w:val="18"/>
                <w:szCs w:val="18"/>
              </w:rPr>
              <w:t>Priority for Commonwealth environmental water to maintain ecosystem health - undertaken in partnership with NSW.</w:t>
            </w:r>
          </w:p>
        </w:tc>
        <w:tc>
          <w:tcPr>
            <w:tcW w:w="2268" w:type="dxa"/>
            <w:tcBorders>
              <w:top w:val="single" w:sz="12" w:space="0" w:color="auto"/>
              <w:left w:val="nil"/>
              <w:bottom w:val="single" w:sz="12" w:space="0" w:color="auto"/>
              <w:right w:val="single" w:sz="12" w:space="0" w:color="auto"/>
            </w:tcBorders>
            <w:shd w:val="clear" w:color="000000" w:fill="FFC000"/>
            <w:vAlign w:val="center"/>
            <w:hideMark/>
          </w:tcPr>
          <w:p w14:paraId="5FD1257F" w14:textId="77777777" w:rsidR="00AA0841" w:rsidRPr="00D842D9" w:rsidRDefault="00AA0841" w:rsidP="00AA0841">
            <w:pPr>
              <w:jc w:val="center"/>
              <w:rPr>
                <w:color w:val="auto"/>
                <w:sz w:val="18"/>
                <w:szCs w:val="18"/>
              </w:rPr>
            </w:pPr>
            <w:r w:rsidRPr="00D842D9">
              <w:rPr>
                <w:color w:val="auto"/>
                <w:sz w:val="18"/>
                <w:szCs w:val="18"/>
              </w:rPr>
              <w:t>Moderate</w:t>
            </w:r>
          </w:p>
        </w:tc>
      </w:tr>
      <w:tr w:rsidR="00AA0841" w:rsidRPr="00D842D9" w14:paraId="3BA8FF57" w14:textId="77777777" w:rsidTr="00AA0841">
        <w:trPr>
          <w:trHeight w:val="892"/>
        </w:trPr>
        <w:tc>
          <w:tcPr>
            <w:tcW w:w="2547" w:type="dxa"/>
            <w:tcBorders>
              <w:top w:val="single" w:sz="12" w:space="0" w:color="auto"/>
              <w:left w:val="single" w:sz="12" w:space="0" w:color="auto"/>
              <w:bottom w:val="single" w:sz="12" w:space="0" w:color="auto"/>
              <w:right w:val="single" w:sz="4" w:space="0" w:color="auto"/>
            </w:tcBorders>
            <w:shd w:val="clear" w:color="auto" w:fill="auto"/>
            <w:hideMark/>
          </w:tcPr>
          <w:p w14:paraId="72E46DC3" w14:textId="77777777" w:rsidR="00AA0841" w:rsidRPr="00F45FF4" w:rsidRDefault="00AA0841" w:rsidP="00AA0841">
            <w:pPr>
              <w:rPr>
                <w:b/>
                <w:sz w:val="18"/>
                <w:szCs w:val="18"/>
              </w:rPr>
            </w:pPr>
            <w:r w:rsidRPr="00F45FF4">
              <w:rPr>
                <w:b/>
                <w:sz w:val="18"/>
                <w:szCs w:val="18"/>
              </w:rPr>
              <w:t>Merran Creek</w:t>
            </w:r>
          </w:p>
        </w:tc>
        <w:tc>
          <w:tcPr>
            <w:tcW w:w="4111" w:type="dxa"/>
            <w:tcBorders>
              <w:top w:val="single" w:sz="12" w:space="0" w:color="auto"/>
              <w:left w:val="single" w:sz="4" w:space="0" w:color="auto"/>
              <w:bottom w:val="single" w:sz="12" w:space="0" w:color="auto"/>
              <w:right w:val="single" w:sz="4" w:space="0" w:color="auto"/>
            </w:tcBorders>
            <w:shd w:val="clear" w:color="auto" w:fill="auto"/>
            <w:vAlign w:val="center"/>
            <w:hideMark/>
          </w:tcPr>
          <w:p w14:paraId="4053BE43" w14:textId="77777777" w:rsidR="00AA0841" w:rsidRPr="00F45FF4" w:rsidRDefault="00AA0841" w:rsidP="00AA0841">
            <w:pPr>
              <w:rPr>
                <w:sz w:val="18"/>
                <w:szCs w:val="18"/>
              </w:rPr>
            </w:pPr>
            <w:r w:rsidRPr="00F45FF4">
              <w:rPr>
                <w:sz w:val="18"/>
                <w:szCs w:val="18"/>
              </w:rPr>
              <w:t>~ 460 ML/day preferably in spring and comprised of: Merran Creek at Franklings Bridge (~250 ML/day), Waddy Cutting (~150 ML/day) and St Helena Creek (~60 ML/day).</w:t>
            </w:r>
          </w:p>
        </w:tc>
        <w:tc>
          <w:tcPr>
            <w:tcW w:w="2126" w:type="dxa"/>
            <w:tcBorders>
              <w:top w:val="single" w:sz="12" w:space="0" w:color="auto"/>
              <w:left w:val="nil"/>
              <w:bottom w:val="single" w:sz="12" w:space="0" w:color="auto"/>
              <w:right w:val="single" w:sz="4" w:space="0" w:color="auto"/>
            </w:tcBorders>
            <w:shd w:val="clear" w:color="auto" w:fill="auto"/>
            <w:vAlign w:val="center"/>
            <w:hideMark/>
          </w:tcPr>
          <w:p w14:paraId="67B6E3E2" w14:textId="77777777" w:rsidR="00AA0841" w:rsidRPr="00F45FF4" w:rsidRDefault="00AA0841" w:rsidP="00AA0841">
            <w:pPr>
              <w:jc w:val="center"/>
              <w:rPr>
                <w:sz w:val="18"/>
                <w:szCs w:val="18"/>
              </w:rPr>
            </w:pPr>
            <w:r w:rsidRPr="00F45FF4">
              <w:rPr>
                <w:sz w:val="18"/>
                <w:szCs w:val="18"/>
              </w:rPr>
              <w:t>Annual</w:t>
            </w:r>
          </w:p>
        </w:tc>
        <w:tc>
          <w:tcPr>
            <w:tcW w:w="4678" w:type="dxa"/>
            <w:tcBorders>
              <w:top w:val="single" w:sz="12" w:space="0" w:color="auto"/>
              <w:left w:val="nil"/>
              <w:bottom w:val="single" w:sz="12" w:space="0" w:color="auto"/>
              <w:right w:val="single" w:sz="4" w:space="0" w:color="000000"/>
            </w:tcBorders>
            <w:shd w:val="clear" w:color="auto" w:fill="auto"/>
            <w:vAlign w:val="center"/>
            <w:hideMark/>
          </w:tcPr>
          <w:p w14:paraId="6E51433E" w14:textId="77777777" w:rsidR="00AA0841" w:rsidRPr="00F45FF4" w:rsidRDefault="00AA0841" w:rsidP="00AA0841">
            <w:pPr>
              <w:jc w:val="center"/>
              <w:rPr>
                <w:sz w:val="18"/>
                <w:szCs w:val="18"/>
              </w:rPr>
            </w:pPr>
            <w:r w:rsidRPr="00F45FF4">
              <w:rPr>
                <w:sz w:val="18"/>
                <w:szCs w:val="18"/>
              </w:rPr>
              <w:t>Has been met 5 out of the past 5 years</w:t>
            </w:r>
          </w:p>
        </w:tc>
        <w:tc>
          <w:tcPr>
            <w:tcW w:w="1984" w:type="dxa"/>
            <w:tcBorders>
              <w:top w:val="single" w:sz="12" w:space="0" w:color="auto"/>
              <w:left w:val="nil"/>
              <w:bottom w:val="single" w:sz="12" w:space="0" w:color="auto"/>
              <w:right w:val="single" w:sz="4" w:space="0" w:color="auto"/>
            </w:tcBorders>
            <w:shd w:val="clear" w:color="auto" w:fill="FF0000"/>
            <w:vAlign w:val="center"/>
            <w:hideMark/>
          </w:tcPr>
          <w:p w14:paraId="3E8DA22D"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single" w:sz="12" w:space="0" w:color="auto"/>
              <w:left w:val="nil"/>
              <w:bottom w:val="single" w:sz="12" w:space="0" w:color="auto"/>
              <w:right w:val="single" w:sz="4" w:space="0" w:color="auto"/>
            </w:tcBorders>
            <w:shd w:val="clear" w:color="auto" w:fill="365F91" w:themeFill="accent1" w:themeFillShade="BF"/>
            <w:vAlign w:val="center"/>
            <w:hideMark/>
          </w:tcPr>
          <w:p w14:paraId="5A936D8A" w14:textId="77777777" w:rsidR="00AA0841" w:rsidRPr="00D842D9" w:rsidRDefault="00AA0841" w:rsidP="00AA0841">
            <w:pPr>
              <w:jc w:val="center"/>
              <w:rPr>
                <w:color w:val="auto"/>
                <w:sz w:val="18"/>
                <w:szCs w:val="18"/>
              </w:rPr>
            </w:pPr>
            <w:r w:rsidRPr="00D842D9">
              <w:rPr>
                <w:color w:val="auto"/>
                <w:sz w:val="18"/>
                <w:szCs w:val="18"/>
              </w:rPr>
              <w:t>Priority for Commonwealth environmental water to continue ecosystem recovery.</w:t>
            </w:r>
          </w:p>
        </w:tc>
        <w:tc>
          <w:tcPr>
            <w:tcW w:w="2268" w:type="dxa"/>
            <w:tcBorders>
              <w:top w:val="single" w:sz="12" w:space="0" w:color="auto"/>
              <w:left w:val="nil"/>
              <w:bottom w:val="single" w:sz="12" w:space="0" w:color="auto"/>
              <w:right w:val="single" w:sz="12" w:space="0" w:color="auto"/>
            </w:tcBorders>
            <w:shd w:val="clear" w:color="auto" w:fill="FF0000"/>
            <w:vAlign w:val="center"/>
            <w:hideMark/>
          </w:tcPr>
          <w:p w14:paraId="64DE3520"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16912225" w14:textId="77777777" w:rsidTr="00AA0841">
        <w:trPr>
          <w:trHeight w:val="1036"/>
        </w:trPr>
        <w:tc>
          <w:tcPr>
            <w:tcW w:w="2547" w:type="dxa"/>
            <w:tcBorders>
              <w:top w:val="single" w:sz="12" w:space="0" w:color="auto"/>
              <w:left w:val="single" w:sz="12" w:space="0" w:color="auto"/>
              <w:bottom w:val="single" w:sz="12" w:space="0" w:color="auto"/>
              <w:right w:val="single" w:sz="4" w:space="0" w:color="auto"/>
            </w:tcBorders>
            <w:shd w:val="clear" w:color="auto" w:fill="auto"/>
            <w:hideMark/>
          </w:tcPr>
          <w:p w14:paraId="5D5889F7" w14:textId="77777777" w:rsidR="00AA0841" w:rsidRPr="00F45FF4" w:rsidRDefault="00AA0841" w:rsidP="00AA0841">
            <w:pPr>
              <w:rPr>
                <w:b/>
                <w:sz w:val="18"/>
                <w:szCs w:val="18"/>
              </w:rPr>
            </w:pPr>
            <w:r w:rsidRPr="00F45FF4">
              <w:rPr>
                <w:b/>
                <w:sz w:val="18"/>
                <w:szCs w:val="18"/>
              </w:rPr>
              <w:t xml:space="preserve">Jimaringle, Cochrans </w:t>
            </w:r>
            <w:r w:rsidRPr="00F45FF4">
              <w:rPr>
                <w:sz w:val="18"/>
                <w:szCs w:val="18"/>
              </w:rPr>
              <w:t xml:space="preserve">and </w:t>
            </w:r>
            <w:r w:rsidRPr="00F45FF4">
              <w:rPr>
                <w:b/>
                <w:sz w:val="18"/>
                <w:szCs w:val="18"/>
              </w:rPr>
              <w:t>Gwynnes Creeks</w:t>
            </w:r>
          </w:p>
        </w:tc>
        <w:tc>
          <w:tcPr>
            <w:tcW w:w="4111" w:type="dxa"/>
            <w:tcBorders>
              <w:top w:val="single" w:sz="12" w:space="0" w:color="auto"/>
              <w:left w:val="single" w:sz="4" w:space="0" w:color="auto"/>
              <w:bottom w:val="single" w:sz="12" w:space="0" w:color="auto"/>
              <w:right w:val="single" w:sz="4" w:space="0" w:color="auto"/>
            </w:tcBorders>
            <w:shd w:val="clear" w:color="auto" w:fill="auto"/>
            <w:vAlign w:val="center"/>
            <w:hideMark/>
          </w:tcPr>
          <w:p w14:paraId="28B1AF02" w14:textId="77777777" w:rsidR="00AA0841" w:rsidRPr="00F45FF4" w:rsidRDefault="00AA0841" w:rsidP="00AA0841">
            <w:pPr>
              <w:rPr>
                <w:sz w:val="18"/>
                <w:szCs w:val="18"/>
              </w:rPr>
            </w:pPr>
            <w:r w:rsidRPr="00F45FF4">
              <w:rPr>
                <w:sz w:val="18"/>
                <w:szCs w:val="18"/>
              </w:rPr>
              <w:t>Total flow of ~3</w:t>
            </w:r>
            <w:r>
              <w:rPr>
                <w:sz w:val="18"/>
                <w:szCs w:val="18"/>
              </w:rPr>
              <w:t xml:space="preserve"> </w:t>
            </w:r>
            <w:r w:rsidRPr="00F45FF4">
              <w:rPr>
                <w:sz w:val="18"/>
                <w:szCs w:val="18"/>
              </w:rPr>
              <w:t>000 ML deliverable preferably in spring. May also require high flows in receiving Niemur system to dilute potential poor water quality outflows from these systems.</w:t>
            </w:r>
          </w:p>
        </w:tc>
        <w:tc>
          <w:tcPr>
            <w:tcW w:w="2126" w:type="dxa"/>
            <w:tcBorders>
              <w:top w:val="single" w:sz="12" w:space="0" w:color="auto"/>
              <w:left w:val="nil"/>
              <w:bottom w:val="single" w:sz="12" w:space="0" w:color="auto"/>
              <w:right w:val="single" w:sz="4" w:space="0" w:color="auto"/>
            </w:tcBorders>
            <w:shd w:val="clear" w:color="auto" w:fill="auto"/>
            <w:vAlign w:val="center"/>
            <w:hideMark/>
          </w:tcPr>
          <w:p w14:paraId="4393B73E" w14:textId="77777777" w:rsidR="00AA0841" w:rsidRPr="00F45FF4" w:rsidRDefault="00AA0841" w:rsidP="00AA0841">
            <w:pPr>
              <w:jc w:val="center"/>
              <w:rPr>
                <w:sz w:val="18"/>
                <w:szCs w:val="18"/>
              </w:rPr>
            </w:pPr>
            <w:r w:rsidRPr="00F45FF4">
              <w:rPr>
                <w:sz w:val="18"/>
                <w:szCs w:val="18"/>
              </w:rPr>
              <w:t>1 in 2 years (2 years)</w:t>
            </w:r>
          </w:p>
        </w:tc>
        <w:tc>
          <w:tcPr>
            <w:tcW w:w="4678" w:type="dxa"/>
            <w:tcBorders>
              <w:top w:val="single" w:sz="12" w:space="0" w:color="auto"/>
              <w:left w:val="nil"/>
              <w:bottom w:val="single" w:sz="12" w:space="0" w:color="auto"/>
              <w:right w:val="single" w:sz="4" w:space="0" w:color="000000"/>
            </w:tcBorders>
            <w:shd w:val="clear" w:color="auto" w:fill="auto"/>
            <w:vAlign w:val="center"/>
            <w:hideMark/>
          </w:tcPr>
          <w:p w14:paraId="14E9A55C" w14:textId="77777777" w:rsidR="00AA0841" w:rsidRPr="00F45FF4" w:rsidRDefault="00AA0841" w:rsidP="00AA0841">
            <w:pPr>
              <w:jc w:val="center"/>
              <w:rPr>
                <w:sz w:val="18"/>
                <w:szCs w:val="18"/>
              </w:rPr>
            </w:pPr>
            <w:r w:rsidRPr="00F45FF4">
              <w:rPr>
                <w:sz w:val="18"/>
                <w:szCs w:val="18"/>
              </w:rPr>
              <w:t>Last significant flow was the 2016 flood event.</w:t>
            </w:r>
          </w:p>
        </w:tc>
        <w:tc>
          <w:tcPr>
            <w:tcW w:w="1984" w:type="dxa"/>
            <w:tcBorders>
              <w:top w:val="single" w:sz="12" w:space="0" w:color="auto"/>
              <w:left w:val="nil"/>
              <w:bottom w:val="single" w:sz="12" w:space="0" w:color="auto"/>
              <w:right w:val="single" w:sz="4" w:space="0" w:color="auto"/>
            </w:tcBorders>
            <w:shd w:val="clear" w:color="000000" w:fill="FFC000"/>
            <w:vAlign w:val="center"/>
            <w:hideMark/>
          </w:tcPr>
          <w:p w14:paraId="62797A1C" w14:textId="77777777" w:rsidR="00AA0841" w:rsidRPr="00D842D9" w:rsidRDefault="00AA0841" w:rsidP="00AA0841">
            <w:pPr>
              <w:jc w:val="center"/>
              <w:rPr>
                <w:color w:val="auto"/>
                <w:sz w:val="18"/>
                <w:szCs w:val="18"/>
              </w:rPr>
            </w:pPr>
            <w:r w:rsidRPr="00D842D9">
              <w:rPr>
                <w:color w:val="auto"/>
                <w:sz w:val="18"/>
                <w:szCs w:val="18"/>
              </w:rPr>
              <w:t>Moderate</w:t>
            </w:r>
          </w:p>
        </w:tc>
        <w:tc>
          <w:tcPr>
            <w:tcW w:w="4253" w:type="dxa"/>
            <w:tcBorders>
              <w:top w:val="single" w:sz="12" w:space="0" w:color="auto"/>
              <w:left w:val="nil"/>
              <w:bottom w:val="single" w:sz="12" w:space="0" w:color="auto"/>
              <w:right w:val="single" w:sz="4" w:space="0" w:color="auto"/>
            </w:tcBorders>
            <w:shd w:val="clear" w:color="auto" w:fill="A6A6A6" w:themeFill="background1" w:themeFillShade="A6"/>
            <w:vAlign w:val="center"/>
            <w:hideMark/>
          </w:tcPr>
          <w:p w14:paraId="694E6D25" w14:textId="77777777" w:rsidR="00AA0841" w:rsidRPr="00D842D9" w:rsidRDefault="00AA0841" w:rsidP="00AA0841">
            <w:pPr>
              <w:jc w:val="center"/>
              <w:rPr>
                <w:color w:val="auto"/>
                <w:sz w:val="18"/>
                <w:szCs w:val="18"/>
              </w:rPr>
            </w:pPr>
            <w:r w:rsidRPr="00D842D9">
              <w:rPr>
                <w:color w:val="auto"/>
                <w:sz w:val="18"/>
                <w:szCs w:val="18"/>
              </w:rPr>
              <w:t>Use of CEW in these systems suspended pending further advice from NSW re acid sulphate soils and salinity issues.</w:t>
            </w:r>
          </w:p>
        </w:tc>
        <w:tc>
          <w:tcPr>
            <w:tcW w:w="2268" w:type="dxa"/>
            <w:tcBorders>
              <w:top w:val="single" w:sz="12" w:space="0" w:color="auto"/>
              <w:left w:val="nil"/>
              <w:bottom w:val="single" w:sz="12" w:space="0" w:color="auto"/>
              <w:right w:val="single" w:sz="12" w:space="0" w:color="auto"/>
            </w:tcBorders>
            <w:shd w:val="clear" w:color="auto" w:fill="FFC000"/>
            <w:vAlign w:val="center"/>
            <w:hideMark/>
          </w:tcPr>
          <w:p w14:paraId="00BE10A4" w14:textId="77777777" w:rsidR="00AA0841" w:rsidRPr="00D842D9" w:rsidRDefault="00AA0841" w:rsidP="00AA0841">
            <w:pPr>
              <w:jc w:val="center"/>
              <w:rPr>
                <w:color w:val="auto"/>
                <w:sz w:val="18"/>
                <w:szCs w:val="18"/>
              </w:rPr>
            </w:pPr>
            <w:r w:rsidRPr="00D842D9">
              <w:rPr>
                <w:color w:val="auto"/>
                <w:sz w:val="18"/>
                <w:szCs w:val="18"/>
              </w:rPr>
              <w:t>Moderate</w:t>
            </w:r>
          </w:p>
        </w:tc>
      </w:tr>
      <w:tr w:rsidR="00AA0841" w:rsidRPr="00D842D9" w14:paraId="47754778" w14:textId="77777777" w:rsidTr="00AA0841">
        <w:trPr>
          <w:trHeight w:val="1554"/>
        </w:trPr>
        <w:tc>
          <w:tcPr>
            <w:tcW w:w="2547" w:type="dxa"/>
            <w:tcBorders>
              <w:top w:val="single" w:sz="12" w:space="0" w:color="auto"/>
              <w:left w:val="single" w:sz="12" w:space="0" w:color="auto"/>
              <w:bottom w:val="single" w:sz="12" w:space="0" w:color="auto"/>
              <w:right w:val="single" w:sz="4" w:space="0" w:color="auto"/>
            </w:tcBorders>
            <w:shd w:val="clear" w:color="auto" w:fill="auto"/>
            <w:hideMark/>
          </w:tcPr>
          <w:p w14:paraId="58D7B29E" w14:textId="77777777" w:rsidR="00AA0841" w:rsidRPr="00F45FF4" w:rsidRDefault="00AA0841" w:rsidP="00AA0841">
            <w:pPr>
              <w:rPr>
                <w:b/>
                <w:sz w:val="18"/>
                <w:szCs w:val="18"/>
              </w:rPr>
            </w:pPr>
            <w:r w:rsidRPr="00F45FF4">
              <w:rPr>
                <w:b/>
                <w:sz w:val="18"/>
                <w:szCs w:val="18"/>
              </w:rPr>
              <w:t>Werai Forest</w:t>
            </w:r>
          </w:p>
        </w:tc>
        <w:tc>
          <w:tcPr>
            <w:tcW w:w="4111" w:type="dxa"/>
            <w:tcBorders>
              <w:top w:val="single" w:sz="12" w:space="0" w:color="auto"/>
              <w:left w:val="nil"/>
              <w:bottom w:val="single" w:sz="12" w:space="0" w:color="auto"/>
              <w:right w:val="single" w:sz="4" w:space="0" w:color="auto"/>
            </w:tcBorders>
            <w:shd w:val="clear" w:color="auto" w:fill="auto"/>
            <w:vAlign w:val="center"/>
            <w:hideMark/>
          </w:tcPr>
          <w:p w14:paraId="65EC402F" w14:textId="77777777" w:rsidR="00AA0841" w:rsidRPr="00F45FF4" w:rsidRDefault="00AA0841" w:rsidP="00AA0841">
            <w:pPr>
              <w:rPr>
                <w:sz w:val="18"/>
                <w:szCs w:val="18"/>
              </w:rPr>
            </w:pPr>
            <w:r w:rsidRPr="00F45FF4">
              <w:rPr>
                <w:sz w:val="18"/>
                <w:szCs w:val="18"/>
              </w:rPr>
              <w:t>Flows greater than ~2</w:t>
            </w:r>
            <w:r>
              <w:rPr>
                <w:sz w:val="18"/>
                <w:szCs w:val="18"/>
              </w:rPr>
              <w:t xml:space="preserve"> </w:t>
            </w:r>
            <w:r w:rsidRPr="00F45FF4">
              <w:rPr>
                <w:sz w:val="18"/>
                <w:szCs w:val="18"/>
              </w:rPr>
              <w:t>100 ML/day downstream of Stevens Weir (with forest regulators open) in late autumn-early spring when water temp is below 16 degrees (~15 GL). Will need to align with delivery of flows into Yallakool-Wakool and Colligen-Nimeur systems.</w:t>
            </w:r>
          </w:p>
        </w:tc>
        <w:tc>
          <w:tcPr>
            <w:tcW w:w="2126" w:type="dxa"/>
            <w:tcBorders>
              <w:top w:val="single" w:sz="12" w:space="0" w:color="auto"/>
              <w:left w:val="nil"/>
              <w:bottom w:val="single" w:sz="12" w:space="0" w:color="auto"/>
              <w:right w:val="single" w:sz="4" w:space="0" w:color="auto"/>
            </w:tcBorders>
            <w:shd w:val="clear" w:color="auto" w:fill="auto"/>
            <w:vAlign w:val="center"/>
            <w:hideMark/>
          </w:tcPr>
          <w:p w14:paraId="33673912" w14:textId="77777777" w:rsidR="00AA0841" w:rsidRPr="00F45FF4" w:rsidRDefault="00AA0841" w:rsidP="00AA0841">
            <w:pPr>
              <w:jc w:val="center"/>
              <w:rPr>
                <w:sz w:val="18"/>
                <w:szCs w:val="18"/>
              </w:rPr>
            </w:pPr>
            <w:r w:rsidRPr="00F45FF4">
              <w:rPr>
                <w:sz w:val="18"/>
                <w:szCs w:val="18"/>
              </w:rPr>
              <w:t>2-3 in 5 years (2 years)</w:t>
            </w:r>
          </w:p>
        </w:tc>
        <w:tc>
          <w:tcPr>
            <w:tcW w:w="4678" w:type="dxa"/>
            <w:tcBorders>
              <w:top w:val="single" w:sz="12" w:space="0" w:color="auto"/>
              <w:left w:val="nil"/>
              <w:bottom w:val="single" w:sz="12" w:space="0" w:color="auto"/>
              <w:right w:val="single" w:sz="4" w:space="0" w:color="000000"/>
            </w:tcBorders>
            <w:shd w:val="clear" w:color="auto" w:fill="auto"/>
            <w:vAlign w:val="center"/>
            <w:hideMark/>
          </w:tcPr>
          <w:p w14:paraId="1A0533E5" w14:textId="77777777" w:rsidR="00AA0841" w:rsidRPr="00F45FF4" w:rsidRDefault="00AA0841" w:rsidP="00AA0841">
            <w:pPr>
              <w:jc w:val="center"/>
              <w:rPr>
                <w:sz w:val="18"/>
                <w:szCs w:val="18"/>
              </w:rPr>
            </w:pPr>
            <w:r w:rsidRPr="00F45FF4">
              <w:rPr>
                <w:sz w:val="18"/>
                <w:szCs w:val="18"/>
              </w:rPr>
              <w:t>Has been met 5 out of the past 5 years</w:t>
            </w:r>
          </w:p>
        </w:tc>
        <w:tc>
          <w:tcPr>
            <w:tcW w:w="1984" w:type="dxa"/>
            <w:tcBorders>
              <w:top w:val="single" w:sz="12" w:space="0" w:color="auto"/>
              <w:left w:val="nil"/>
              <w:bottom w:val="single" w:sz="12" w:space="0" w:color="auto"/>
              <w:right w:val="single" w:sz="4" w:space="0" w:color="auto"/>
            </w:tcBorders>
            <w:shd w:val="clear" w:color="000000" w:fill="FFC000"/>
            <w:vAlign w:val="center"/>
            <w:hideMark/>
          </w:tcPr>
          <w:p w14:paraId="54A48F30" w14:textId="77777777" w:rsidR="00AA0841" w:rsidRPr="00D842D9" w:rsidRDefault="00AA0841" w:rsidP="00AA0841">
            <w:pPr>
              <w:jc w:val="center"/>
              <w:rPr>
                <w:color w:val="auto"/>
                <w:sz w:val="18"/>
                <w:szCs w:val="18"/>
              </w:rPr>
            </w:pPr>
            <w:r w:rsidRPr="00D842D9">
              <w:rPr>
                <w:color w:val="auto"/>
                <w:sz w:val="18"/>
                <w:szCs w:val="18"/>
              </w:rPr>
              <w:t>Moderate</w:t>
            </w:r>
          </w:p>
        </w:tc>
        <w:tc>
          <w:tcPr>
            <w:tcW w:w="4253" w:type="dxa"/>
            <w:tcBorders>
              <w:top w:val="single" w:sz="12" w:space="0" w:color="auto"/>
              <w:left w:val="nil"/>
              <w:bottom w:val="single" w:sz="12" w:space="0" w:color="auto"/>
              <w:right w:val="single" w:sz="4" w:space="0" w:color="auto"/>
            </w:tcBorders>
            <w:shd w:val="clear" w:color="auto" w:fill="95B3D7" w:themeFill="accent1" w:themeFillTint="99"/>
            <w:vAlign w:val="center"/>
            <w:hideMark/>
          </w:tcPr>
          <w:p w14:paraId="48160AB7" w14:textId="77777777" w:rsidR="00AA0841" w:rsidRPr="00D842D9" w:rsidRDefault="00AA0841" w:rsidP="00AA0841">
            <w:pPr>
              <w:jc w:val="center"/>
              <w:rPr>
                <w:color w:val="auto"/>
                <w:sz w:val="18"/>
                <w:szCs w:val="18"/>
              </w:rPr>
            </w:pPr>
            <w:r w:rsidRPr="00D842D9">
              <w:rPr>
                <w:color w:val="auto"/>
                <w:sz w:val="18"/>
                <w:szCs w:val="18"/>
              </w:rPr>
              <w:t>Use of CEW, including pumping, could be considered subject to stakeholder support, operational delivery infrastructure, third party impacts and accounting being addressed.</w:t>
            </w:r>
          </w:p>
        </w:tc>
        <w:tc>
          <w:tcPr>
            <w:tcW w:w="2268" w:type="dxa"/>
            <w:tcBorders>
              <w:top w:val="single" w:sz="12" w:space="0" w:color="auto"/>
              <w:left w:val="nil"/>
              <w:bottom w:val="single" w:sz="12" w:space="0" w:color="auto"/>
              <w:right w:val="single" w:sz="12" w:space="0" w:color="auto"/>
            </w:tcBorders>
            <w:shd w:val="clear" w:color="000000" w:fill="FFC000"/>
            <w:vAlign w:val="center"/>
            <w:hideMark/>
          </w:tcPr>
          <w:p w14:paraId="10A5E600" w14:textId="77777777" w:rsidR="00AA0841" w:rsidRPr="00D842D9" w:rsidRDefault="00AA0841" w:rsidP="00AA0841">
            <w:pPr>
              <w:jc w:val="center"/>
              <w:rPr>
                <w:color w:val="auto"/>
                <w:sz w:val="18"/>
                <w:szCs w:val="18"/>
              </w:rPr>
            </w:pPr>
            <w:r w:rsidRPr="00D842D9">
              <w:rPr>
                <w:color w:val="auto"/>
                <w:sz w:val="18"/>
                <w:szCs w:val="18"/>
              </w:rPr>
              <w:t>Moderate</w:t>
            </w:r>
          </w:p>
        </w:tc>
      </w:tr>
      <w:tr w:rsidR="00AA0841" w:rsidRPr="00D842D9" w14:paraId="3CDFF4E2" w14:textId="77777777" w:rsidTr="00AA0841">
        <w:trPr>
          <w:trHeight w:val="1501"/>
        </w:trPr>
        <w:tc>
          <w:tcPr>
            <w:tcW w:w="2547" w:type="dxa"/>
            <w:tcBorders>
              <w:top w:val="single" w:sz="12" w:space="0" w:color="auto"/>
              <w:left w:val="single" w:sz="12" w:space="0" w:color="auto"/>
              <w:bottom w:val="single" w:sz="12" w:space="0" w:color="auto"/>
              <w:right w:val="single" w:sz="4" w:space="0" w:color="auto"/>
            </w:tcBorders>
            <w:shd w:val="clear" w:color="auto" w:fill="auto"/>
            <w:hideMark/>
          </w:tcPr>
          <w:p w14:paraId="7943ACA5" w14:textId="77777777" w:rsidR="00AA0841" w:rsidRPr="00F45FF4" w:rsidRDefault="00AA0841" w:rsidP="00AA0841">
            <w:pPr>
              <w:rPr>
                <w:b/>
                <w:sz w:val="18"/>
                <w:szCs w:val="18"/>
              </w:rPr>
            </w:pPr>
            <w:r w:rsidRPr="00F45FF4">
              <w:rPr>
                <w:b/>
                <w:sz w:val="18"/>
                <w:szCs w:val="18"/>
              </w:rPr>
              <w:lastRenderedPageBreak/>
              <w:t>Koondrook-Perricoota Forest</w:t>
            </w:r>
          </w:p>
        </w:tc>
        <w:tc>
          <w:tcPr>
            <w:tcW w:w="4111" w:type="dxa"/>
            <w:tcBorders>
              <w:top w:val="single" w:sz="12" w:space="0" w:color="auto"/>
              <w:left w:val="nil"/>
              <w:bottom w:val="single" w:sz="12" w:space="0" w:color="auto"/>
              <w:right w:val="single" w:sz="4" w:space="0" w:color="auto"/>
            </w:tcBorders>
            <w:shd w:val="clear" w:color="auto" w:fill="auto"/>
            <w:vAlign w:val="center"/>
            <w:hideMark/>
          </w:tcPr>
          <w:p w14:paraId="34431EEB" w14:textId="77777777" w:rsidR="00AA0841" w:rsidRPr="00F45FF4" w:rsidRDefault="00AA0841" w:rsidP="00AA0841">
            <w:pPr>
              <w:rPr>
                <w:sz w:val="18"/>
                <w:szCs w:val="18"/>
              </w:rPr>
            </w:pPr>
            <w:r w:rsidRPr="00F45FF4">
              <w:rPr>
                <w:sz w:val="18"/>
                <w:szCs w:val="18"/>
              </w:rPr>
              <w:t>Annual watering proposals for this site are developed by Forestry NSW and can be contributed to by a number of water holders. Flow objectives may include maintaining habitat for aquatic vegetation, stimulate wetland vegetation response and the provision of carbon (productivity) during cooler times of the year.</w:t>
            </w:r>
          </w:p>
        </w:tc>
        <w:tc>
          <w:tcPr>
            <w:tcW w:w="2126" w:type="dxa"/>
            <w:tcBorders>
              <w:top w:val="single" w:sz="12" w:space="0" w:color="auto"/>
              <w:left w:val="nil"/>
              <w:bottom w:val="single" w:sz="12" w:space="0" w:color="auto"/>
              <w:right w:val="single" w:sz="4" w:space="0" w:color="auto"/>
            </w:tcBorders>
            <w:shd w:val="clear" w:color="auto" w:fill="auto"/>
            <w:vAlign w:val="center"/>
            <w:hideMark/>
          </w:tcPr>
          <w:p w14:paraId="0E05E348" w14:textId="77777777" w:rsidR="00AA0841" w:rsidRPr="00F45FF4" w:rsidRDefault="00AA0841" w:rsidP="00AA0841">
            <w:pPr>
              <w:jc w:val="center"/>
              <w:rPr>
                <w:sz w:val="18"/>
                <w:szCs w:val="18"/>
              </w:rPr>
            </w:pPr>
            <w:r w:rsidRPr="00F45FF4">
              <w:rPr>
                <w:sz w:val="18"/>
                <w:szCs w:val="18"/>
              </w:rPr>
              <w:t>2-3 in 5 years (2 years)</w:t>
            </w:r>
          </w:p>
        </w:tc>
        <w:tc>
          <w:tcPr>
            <w:tcW w:w="4678" w:type="dxa"/>
            <w:tcBorders>
              <w:top w:val="single" w:sz="12" w:space="0" w:color="auto"/>
              <w:left w:val="nil"/>
              <w:bottom w:val="single" w:sz="12" w:space="0" w:color="auto"/>
              <w:right w:val="single" w:sz="4" w:space="0" w:color="000000"/>
            </w:tcBorders>
            <w:shd w:val="clear" w:color="auto" w:fill="auto"/>
            <w:vAlign w:val="center"/>
            <w:hideMark/>
          </w:tcPr>
          <w:p w14:paraId="12ED06B1" w14:textId="77777777" w:rsidR="00AA0841" w:rsidRPr="00F45FF4" w:rsidRDefault="00AA0841" w:rsidP="00AA0841">
            <w:pPr>
              <w:jc w:val="center"/>
              <w:rPr>
                <w:sz w:val="18"/>
                <w:szCs w:val="18"/>
              </w:rPr>
            </w:pPr>
            <w:r w:rsidRPr="00F45FF4">
              <w:rPr>
                <w:sz w:val="18"/>
                <w:szCs w:val="18"/>
              </w:rPr>
              <w:t>Has been met 1 in 5 years (minimum flow provided in 2019</w:t>
            </w:r>
            <w:r>
              <w:rPr>
                <w:sz w:val="18"/>
                <w:szCs w:val="18"/>
              </w:rPr>
              <w:noBreakHyphen/>
            </w:r>
            <w:r w:rsidRPr="00F45FF4">
              <w:rPr>
                <w:sz w:val="18"/>
                <w:szCs w:val="18"/>
              </w:rPr>
              <w:t>20, similar to 2014-15 commissioning event).</w:t>
            </w:r>
          </w:p>
        </w:tc>
        <w:tc>
          <w:tcPr>
            <w:tcW w:w="1984" w:type="dxa"/>
            <w:tcBorders>
              <w:top w:val="single" w:sz="12" w:space="0" w:color="auto"/>
              <w:left w:val="nil"/>
              <w:bottom w:val="single" w:sz="12" w:space="0" w:color="auto"/>
              <w:right w:val="single" w:sz="4" w:space="0" w:color="auto"/>
            </w:tcBorders>
            <w:shd w:val="clear" w:color="auto" w:fill="FF0000"/>
            <w:vAlign w:val="center"/>
            <w:hideMark/>
          </w:tcPr>
          <w:p w14:paraId="2A267D5C"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single" w:sz="12" w:space="0" w:color="auto"/>
              <w:left w:val="nil"/>
              <w:bottom w:val="single" w:sz="12" w:space="0" w:color="auto"/>
              <w:right w:val="single" w:sz="4" w:space="0" w:color="auto"/>
            </w:tcBorders>
            <w:shd w:val="clear" w:color="auto" w:fill="A6A6A6" w:themeFill="background1" w:themeFillShade="A6"/>
            <w:vAlign w:val="center"/>
            <w:hideMark/>
          </w:tcPr>
          <w:p w14:paraId="21A3E9B9" w14:textId="77777777" w:rsidR="00AA0841" w:rsidRPr="00D842D9" w:rsidRDefault="00AA0841" w:rsidP="00AA0841">
            <w:pPr>
              <w:jc w:val="center"/>
              <w:rPr>
                <w:color w:val="auto"/>
                <w:sz w:val="18"/>
                <w:szCs w:val="18"/>
              </w:rPr>
            </w:pPr>
            <w:r w:rsidRPr="00D842D9">
              <w:rPr>
                <w:color w:val="auto"/>
                <w:sz w:val="18"/>
                <w:szCs w:val="18"/>
              </w:rPr>
              <w:t>Commonwealth environmental water could be considered in future years, subject to stakeholder support, third party impacts and return flows being addressed.</w:t>
            </w:r>
          </w:p>
        </w:tc>
        <w:tc>
          <w:tcPr>
            <w:tcW w:w="2268" w:type="dxa"/>
            <w:tcBorders>
              <w:top w:val="single" w:sz="12" w:space="0" w:color="auto"/>
              <w:left w:val="nil"/>
              <w:bottom w:val="single" w:sz="12" w:space="0" w:color="auto"/>
              <w:right w:val="single" w:sz="12" w:space="0" w:color="auto"/>
            </w:tcBorders>
            <w:shd w:val="clear" w:color="auto" w:fill="FF0000"/>
            <w:vAlign w:val="center"/>
            <w:hideMark/>
          </w:tcPr>
          <w:p w14:paraId="284A13A2" w14:textId="77777777" w:rsidR="00AA0841" w:rsidRPr="00D842D9" w:rsidRDefault="00AA0841" w:rsidP="00AA0841">
            <w:pPr>
              <w:jc w:val="center"/>
              <w:rPr>
                <w:color w:val="auto"/>
                <w:sz w:val="18"/>
                <w:szCs w:val="18"/>
              </w:rPr>
            </w:pPr>
            <w:r w:rsidRPr="00D842D9">
              <w:rPr>
                <w:color w:val="auto"/>
                <w:sz w:val="18"/>
                <w:szCs w:val="18"/>
              </w:rPr>
              <w:t>Hig-</w:t>
            </w:r>
          </w:p>
        </w:tc>
      </w:tr>
      <w:tr w:rsidR="00AA0841" w:rsidRPr="00D842D9" w14:paraId="0D45C9B5" w14:textId="77777777" w:rsidTr="00AA0841">
        <w:trPr>
          <w:trHeight w:val="1387"/>
        </w:trPr>
        <w:tc>
          <w:tcPr>
            <w:tcW w:w="2547" w:type="dxa"/>
            <w:tcBorders>
              <w:top w:val="single" w:sz="12" w:space="0" w:color="auto"/>
              <w:left w:val="single" w:sz="12" w:space="0" w:color="auto"/>
              <w:bottom w:val="single" w:sz="12" w:space="0" w:color="auto"/>
              <w:right w:val="single" w:sz="4" w:space="0" w:color="auto"/>
            </w:tcBorders>
            <w:shd w:val="clear" w:color="auto" w:fill="auto"/>
          </w:tcPr>
          <w:p w14:paraId="76C2636E" w14:textId="77777777" w:rsidR="00AA0841" w:rsidRPr="00F45FF4" w:rsidRDefault="00AA0841" w:rsidP="00AA0841">
            <w:pPr>
              <w:rPr>
                <w:b/>
                <w:sz w:val="18"/>
                <w:szCs w:val="18"/>
              </w:rPr>
            </w:pPr>
            <w:r w:rsidRPr="00F45FF4">
              <w:rPr>
                <w:b/>
                <w:sz w:val="18"/>
                <w:szCs w:val="18"/>
              </w:rPr>
              <w:t>Pollack Swamp</w:t>
            </w:r>
          </w:p>
        </w:tc>
        <w:tc>
          <w:tcPr>
            <w:tcW w:w="4111" w:type="dxa"/>
            <w:tcBorders>
              <w:top w:val="single" w:sz="12" w:space="0" w:color="auto"/>
              <w:left w:val="nil"/>
              <w:bottom w:val="single" w:sz="12" w:space="0" w:color="auto"/>
              <w:right w:val="single" w:sz="4" w:space="0" w:color="auto"/>
            </w:tcBorders>
            <w:shd w:val="clear" w:color="auto" w:fill="auto"/>
            <w:vAlign w:val="center"/>
          </w:tcPr>
          <w:p w14:paraId="1A6D714B" w14:textId="77777777" w:rsidR="00AA0841" w:rsidRPr="00F45FF4" w:rsidRDefault="00AA0841" w:rsidP="00AA0841">
            <w:pPr>
              <w:rPr>
                <w:sz w:val="18"/>
                <w:szCs w:val="18"/>
              </w:rPr>
            </w:pPr>
            <w:r w:rsidRPr="00F45FF4">
              <w:rPr>
                <w:sz w:val="18"/>
                <w:szCs w:val="18"/>
              </w:rPr>
              <w:t xml:space="preserve">~2 GL per year watering proposals for pumping to this site during late spring and summer developed by Forestry NSW and </w:t>
            </w:r>
            <w:r>
              <w:rPr>
                <w:sz w:val="18"/>
                <w:szCs w:val="18"/>
              </w:rPr>
              <w:t>DPIE</w:t>
            </w:r>
            <w:r w:rsidRPr="00F45FF4">
              <w:rPr>
                <w:sz w:val="18"/>
                <w:szCs w:val="18"/>
              </w:rPr>
              <w:t>. Flow objectives may include provide water to water stressed red gums, encourage the recruitment of terrestrial species (i.e. red gums and benefits to waterbirds and frogs) and aquatic flora (i.e. amphibious and mudflat).</w:t>
            </w:r>
          </w:p>
        </w:tc>
        <w:tc>
          <w:tcPr>
            <w:tcW w:w="2126" w:type="dxa"/>
            <w:tcBorders>
              <w:top w:val="single" w:sz="12" w:space="0" w:color="auto"/>
              <w:left w:val="nil"/>
              <w:bottom w:val="single" w:sz="12" w:space="0" w:color="auto"/>
              <w:right w:val="single" w:sz="4" w:space="0" w:color="auto"/>
            </w:tcBorders>
            <w:shd w:val="clear" w:color="auto" w:fill="auto"/>
            <w:vAlign w:val="center"/>
          </w:tcPr>
          <w:p w14:paraId="73A0074F" w14:textId="77777777" w:rsidR="00AA0841" w:rsidRPr="00F45FF4" w:rsidRDefault="00AA0841" w:rsidP="00AA0841">
            <w:pPr>
              <w:jc w:val="center"/>
              <w:rPr>
                <w:sz w:val="18"/>
                <w:szCs w:val="18"/>
              </w:rPr>
            </w:pPr>
            <w:r w:rsidRPr="00F45FF4">
              <w:rPr>
                <w:sz w:val="18"/>
                <w:szCs w:val="18"/>
              </w:rPr>
              <w:t>Annual</w:t>
            </w:r>
          </w:p>
        </w:tc>
        <w:tc>
          <w:tcPr>
            <w:tcW w:w="4678" w:type="dxa"/>
            <w:tcBorders>
              <w:top w:val="single" w:sz="12" w:space="0" w:color="auto"/>
              <w:left w:val="nil"/>
              <w:bottom w:val="single" w:sz="12" w:space="0" w:color="auto"/>
              <w:right w:val="single" w:sz="4" w:space="0" w:color="000000"/>
            </w:tcBorders>
            <w:shd w:val="clear" w:color="auto" w:fill="auto"/>
            <w:vAlign w:val="center"/>
          </w:tcPr>
          <w:p w14:paraId="5D456353" w14:textId="77777777" w:rsidR="00AA0841" w:rsidRPr="00F45FF4" w:rsidRDefault="00AA0841" w:rsidP="00AA0841">
            <w:pPr>
              <w:jc w:val="center"/>
              <w:rPr>
                <w:sz w:val="18"/>
                <w:szCs w:val="18"/>
              </w:rPr>
            </w:pPr>
            <w:r w:rsidRPr="00F45FF4">
              <w:rPr>
                <w:sz w:val="18"/>
                <w:szCs w:val="18"/>
              </w:rPr>
              <w:t>Has been met 5 out of the past 5 years</w:t>
            </w:r>
          </w:p>
        </w:tc>
        <w:tc>
          <w:tcPr>
            <w:tcW w:w="1984" w:type="dxa"/>
            <w:tcBorders>
              <w:top w:val="single" w:sz="12" w:space="0" w:color="auto"/>
              <w:left w:val="nil"/>
              <w:bottom w:val="single" w:sz="12" w:space="0" w:color="auto"/>
              <w:right w:val="single" w:sz="4" w:space="0" w:color="auto"/>
            </w:tcBorders>
            <w:shd w:val="clear" w:color="auto" w:fill="FF0000"/>
            <w:vAlign w:val="center"/>
          </w:tcPr>
          <w:p w14:paraId="4A004A48"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single" w:sz="12" w:space="0" w:color="auto"/>
              <w:left w:val="nil"/>
              <w:bottom w:val="single" w:sz="12" w:space="0" w:color="auto"/>
              <w:right w:val="single" w:sz="4" w:space="0" w:color="auto"/>
            </w:tcBorders>
            <w:shd w:val="clear" w:color="auto" w:fill="365F91" w:themeFill="accent1" w:themeFillShade="BF"/>
            <w:vAlign w:val="center"/>
          </w:tcPr>
          <w:p w14:paraId="082E91EA" w14:textId="77777777" w:rsidR="00AA0841" w:rsidRPr="00D842D9" w:rsidRDefault="00AA0841" w:rsidP="00AA0841">
            <w:pPr>
              <w:jc w:val="center"/>
              <w:rPr>
                <w:color w:val="auto"/>
                <w:sz w:val="18"/>
                <w:szCs w:val="18"/>
              </w:rPr>
            </w:pPr>
            <w:r w:rsidRPr="00D842D9">
              <w:rPr>
                <w:color w:val="auto"/>
                <w:sz w:val="18"/>
                <w:szCs w:val="18"/>
              </w:rPr>
              <w:t>Priority for Commonwealth environmental water to maintain ecosystem health - undertaken in partnership with NSW.</w:t>
            </w:r>
          </w:p>
        </w:tc>
        <w:tc>
          <w:tcPr>
            <w:tcW w:w="2268" w:type="dxa"/>
            <w:tcBorders>
              <w:top w:val="single" w:sz="12" w:space="0" w:color="auto"/>
              <w:left w:val="nil"/>
              <w:bottom w:val="single" w:sz="12" w:space="0" w:color="auto"/>
              <w:right w:val="single" w:sz="12" w:space="0" w:color="auto"/>
            </w:tcBorders>
            <w:shd w:val="clear" w:color="auto" w:fill="FF0000"/>
            <w:vAlign w:val="center"/>
          </w:tcPr>
          <w:p w14:paraId="7DA064BE"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2CB44F86" w14:textId="77777777" w:rsidTr="00AA0841">
        <w:trPr>
          <w:trHeight w:val="1556"/>
        </w:trPr>
        <w:tc>
          <w:tcPr>
            <w:tcW w:w="2547" w:type="dxa"/>
            <w:tcBorders>
              <w:top w:val="single" w:sz="12" w:space="0" w:color="auto"/>
              <w:left w:val="single" w:sz="12" w:space="0" w:color="auto"/>
              <w:bottom w:val="single" w:sz="12" w:space="0" w:color="auto"/>
              <w:right w:val="single" w:sz="4" w:space="0" w:color="auto"/>
            </w:tcBorders>
            <w:shd w:val="clear" w:color="auto" w:fill="auto"/>
            <w:hideMark/>
          </w:tcPr>
          <w:p w14:paraId="4957E1D2" w14:textId="77777777" w:rsidR="00AA0841" w:rsidRPr="00F45FF4" w:rsidRDefault="00AA0841" w:rsidP="00AA0841">
            <w:pPr>
              <w:rPr>
                <w:b/>
                <w:sz w:val="18"/>
                <w:szCs w:val="18"/>
                <w:vertAlign w:val="superscript"/>
              </w:rPr>
            </w:pPr>
            <w:r w:rsidRPr="00F45FF4">
              <w:rPr>
                <w:b/>
                <w:sz w:val="18"/>
                <w:szCs w:val="18"/>
              </w:rPr>
              <w:t>Edward/Kolety Wakool System – Recession Flows</w:t>
            </w:r>
          </w:p>
          <w:p w14:paraId="4B7F108D" w14:textId="77777777" w:rsidR="00AA0841" w:rsidRPr="00F45FF4" w:rsidRDefault="00AA0841" w:rsidP="00AA0841">
            <w:pPr>
              <w:rPr>
                <w:sz w:val="18"/>
                <w:szCs w:val="18"/>
              </w:rPr>
            </w:pPr>
            <w:r w:rsidRPr="00F45FF4">
              <w:rPr>
                <w:sz w:val="18"/>
                <w:szCs w:val="18"/>
              </w:rPr>
              <w:t xml:space="preserve">Maintenance of instream aquatic vegetation and native fish habitat </w:t>
            </w:r>
          </w:p>
        </w:tc>
        <w:tc>
          <w:tcPr>
            <w:tcW w:w="4111" w:type="dxa"/>
            <w:tcBorders>
              <w:top w:val="single" w:sz="12" w:space="0" w:color="auto"/>
              <w:left w:val="nil"/>
              <w:bottom w:val="single" w:sz="12" w:space="0" w:color="auto"/>
              <w:right w:val="single" w:sz="4" w:space="0" w:color="000000"/>
            </w:tcBorders>
            <w:shd w:val="clear" w:color="auto" w:fill="auto"/>
            <w:vAlign w:val="center"/>
            <w:hideMark/>
          </w:tcPr>
          <w:p w14:paraId="64AAD433" w14:textId="77777777" w:rsidR="00AA0841" w:rsidRPr="00F45FF4" w:rsidRDefault="00AA0841" w:rsidP="00AA0841">
            <w:pPr>
              <w:rPr>
                <w:sz w:val="18"/>
                <w:szCs w:val="18"/>
              </w:rPr>
            </w:pPr>
            <w:r w:rsidRPr="00F45FF4">
              <w:rPr>
                <w:sz w:val="18"/>
                <w:szCs w:val="18"/>
              </w:rPr>
              <w:t>~15 GL within constraints to provide more natural recession flows off rain rejection and unregulated events in the system.</w:t>
            </w:r>
          </w:p>
        </w:tc>
        <w:tc>
          <w:tcPr>
            <w:tcW w:w="2126" w:type="dxa"/>
            <w:tcBorders>
              <w:top w:val="single" w:sz="12" w:space="0" w:color="auto"/>
              <w:left w:val="nil"/>
              <w:bottom w:val="single" w:sz="12" w:space="0" w:color="auto"/>
              <w:right w:val="single" w:sz="4" w:space="0" w:color="auto"/>
            </w:tcBorders>
            <w:shd w:val="clear" w:color="auto" w:fill="auto"/>
            <w:vAlign w:val="center"/>
            <w:hideMark/>
          </w:tcPr>
          <w:p w14:paraId="089BA6B6" w14:textId="77777777" w:rsidR="00AA0841" w:rsidRPr="00F45FF4" w:rsidRDefault="00AA0841" w:rsidP="00AA0841">
            <w:pPr>
              <w:jc w:val="center"/>
              <w:rPr>
                <w:sz w:val="18"/>
                <w:szCs w:val="18"/>
              </w:rPr>
            </w:pPr>
            <w:r w:rsidRPr="00F45FF4">
              <w:rPr>
                <w:sz w:val="18"/>
                <w:szCs w:val="18"/>
              </w:rPr>
              <w:t>As required - usually triggered via advice from NSW agencies re anticipated flow rates in the system.</w:t>
            </w:r>
          </w:p>
        </w:tc>
        <w:tc>
          <w:tcPr>
            <w:tcW w:w="4678" w:type="dxa"/>
            <w:tcBorders>
              <w:top w:val="single" w:sz="12" w:space="0" w:color="auto"/>
              <w:left w:val="nil"/>
              <w:bottom w:val="single" w:sz="12" w:space="0" w:color="auto"/>
              <w:right w:val="single" w:sz="4" w:space="0" w:color="000000"/>
            </w:tcBorders>
            <w:shd w:val="clear" w:color="auto" w:fill="auto"/>
            <w:vAlign w:val="center"/>
            <w:hideMark/>
          </w:tcPr>
          <w:p w14:paraId="56574319" w14:textId="77777777" w:rsidR="00AA0841" w:rsidRPr="00F45FF4" w:rsidRDefault="00AA0841" w:rsidP="00AA0841">
            <w:pPr>
              <w:jc w:val="center"/>
              <w:rPr>
                <w:sz w:val="18"/>
                <w:szCs w:val="18"/>
              </w:rPr>
            </w:pPr>
            <w:r w:rsidRPr="00F45FF4">
              <w:rPr>
                <w:sz w:val="18"/>
                <w:szCs w:val="18"/>
              </w:rPr>
              <w:t>Has been met when required</w:t>
            </w:r>
          </w:p>
        </w:tc>
        <w:tc>
          <w:tcPr>
            <w:tcW w:w="1984" w:type="dxa"/>
            <w:tcBorders>
              <w:top w:val="single" w:sz="12" w:space="0" w:color="auto"/>
              <w:left w:val="nil"/>
              <w:bottom w:val="single" w:sz="12" w:space="0" w:color="auto"/>
              <w:right w:val="single" w:sz="4" w:space="0" w:color="auto"/>
            </w:tcBorders>
            <w:shd w:val="clear" w:color="000000" w:fill="FFC000"/>
            <w:vAlign w:val="center"/>
            <w:hideMark/>
          </w:tcPr>
          <w:p w14:paraId="6CB5EBA6" w14:textId="77777777" w:rsidR="00AA0841" w:rsidRPr="00D842D9" w:rsidRDefault="00AA0841" w:rsidP="00AA0841">
            <w:pPr>
              <w:jc w:val="center"/>
              <w:rPr>
                <w:color w:val="auto"/>
                <w:sz w:val="18"/>
                <w:szCs w:val="18"/>
              </w:rPr>
            </w:pPr>
            <w:r w:rsidRPr="00D842D9">
              <w:rPr>
                <w:color w:val="auto"/>
                <w:sz w:val="18"/>
                <w:szCs w:val="18"/>
              </w:rPr>
              <w:t>Moderate</w:t>
            </w:r>
          </w:p>
        </w:tc>
        <w:tc>
          <w:tcPr>
            <w:tcW w:w="4253" w:type="dxa"/>
            <w:tcBorders>
              <w:top w:val="single" w:sz="12" w:space="0" w:color="auto"/>
              <w:left w:val="nil"/>
              <w:bottom w:val="single" w:sz="12" w:space="0" w:color="auto"/>
              <w:right w:val="single" w:sz="4" w:space="0" w:color="auto"/>
            </w:tcBorders>
            <w:shd w:val="clear" w:color="auto" w:fill="95B3D7" w:themeFill="accent1" w:themeFillTint="99"/>
            <w:vAlign w:val="center"/>
            <w:hideMark/>
          </w:tcPr>
          <w:p w14:paraId="1A1E29C8" w14:textId="77777777" w:rsidR="00AA0841" w:rsidRPr="00D842D9" w:rsidRDefault="00AA0841" w:rsidP="00AA0841">
            <w:pPr>
              <w:jc w:val="center"/>
              <w:rPr>
                <w:color w:val="auto"/>
                <w:sz w:val="18"/>
                <w:szCs w:val="18"/>
              </w:rPr>
            </w:pPr>
            <w:r w:rsidRPr="00D842D9">
              <w:rPr>
                <w:color w:val="auto"/>
                <w:sz w:val="18"/>
                <w:szCs w:val="18"/>
              </w:rPr>
              <w:t>Commonwealth environmental water may be used to manage flow recessions associated with natural or rain-rejection events.</w:t>
            </w:r>
          </w:p>
        </w:tc>
        <w:tc>
          <w:tcPr>
            <w:tcW w:w="2268" w:type="dxa"/>
            <w:tcBorders>
              <w:top w:val="single" w:sz="12" w:space="0" w:color="auto"/>
              <w:left w:val="nil"/>
              <w:bottom w:val="single" w:sz="12" w:space="0" w:color="auto"/>
              <w:right w:val="single" w:sz="12" w:space="0" w:color="auto"/>
            </w:tcBorders>
            <w:shd w:val="clear" w:color="000000" w:fill="FFC000"/>
            <w:vAlign w:val="center"/>
            <w:hideMark/>
          </w:tcPr>
          <w:p w14:paraId="1235957B" w14:textId="77777777" w:rsidR="00AA0841" w:rsidRPr="00D842D9" w:rsidRDefault="00AA0841" w:rsidP="00AA0841">
            <w:pPr>
              <w:jc w:val="center"/>
              <w:rPr>
                <w:color w:val="auto"/>
                <w:sz w:val="18"/>
                <w:szCs w:val="18"/>
              </w:rPr>
            </w:pPr>
            <w:r w:rsidRPr="00D842D9">
              <w:rPr>
                <w:color w:val="auto"/>
                <w:sz w:val="18"/>
                <w:szCs w:val="18"/>
              </w:rPr>
              <w:t>Moderate</w:t>
            </w:r>
          </w:p>
        </w:tc>
      </w:tr>
      <w:tr w:rsidR="00AA0841" w:rsidRPr="00D842D9" w14:paraId="0390BCB7" w14:textId="77777777" w:rsidTr="00AA0841">
        <w:trPr>
          <w:trHeight w:val="1681"/>
        </w:trPr>
        <w:tc>
          <w:tcPr>
            <w:tcW w:w="2547" w:type="dxa"/>
            <w:tcBorders>
              <w:top w:val="single" w:sz="12" w:space="0" w:color="auto"/>
              <w:left w:val="single" w:sz="12" w:space="0" w:color="auto"/>
              <w:bottom w:val="single" w:sz="12" w:space="0" w:color="auto"/>
              <w:right w:val="single" w:sz="4" w:space="0" w:color="auto"/>
            </w:tcBorders>
            <w:shd w:val="clear" w:color="auto" w:fill="auto"/>
            <w:hideMark/>
          </w:tcPr>
          <w:p w14:paraId="1C5B983B" w14:textId="77777777" w:rsidR="00AA0841" w:rsidRPr="00F45FF4" w:rsidRDefault="00AA0841" w:rsidP="00AA0841">
            <w:pPr>
              <w:rPr>
                <w:b/>
                <w:sz w:val="18"/>
                <w:szCs w:val="18"/>
              </w:rPr>
            </w:pPr>
            <w:r w:rsidRPr="00F45FF4">
              <w:rPr>
                <w:b/>
                <w:sz w:val="18"/>
                <w:szCs w:val="18"/>
              </w:rPr>
              <w:t>Edward/Kolety Wakool System - Refuge Flows</w:t>
            </w:r>
          </w:p>
          <w:p w14:paraId="00EBCD07" w14:textId="77777777" w:rsidR="00AA0841" w:rsidRPr="00F45FF4" w:rsidRDefault="00AA0841" w:rsidP="00AA0841">
            <w:pPr>
              <w:rPr>
                <w:sz w:val="18"/>
                <w:szCs w:val="18"/>
              </w:rPr>
            </w:pPr>
            <w:r w:rsidRPr="00F45FF4">
              <w:rPr>
                <w:sz w:val="18"/>
                <w:szCs w:val="18"/>
              </w:rPr>
              <w:t>Habitat flows</w:t>
            </w:r>
          </w:p>
          <w:p w14:paraId="712544DB" w14:textId="77777777" w:rsidR="00AA0841" w:rsidRPr="00F45FF4" w:rsidRDefault="00AA0841" w:rsidP="00AA0841">
            <w:pPr>
              <w:rPr>
                <w:sz w:val="18"/>
                <w:szCs w:val="18"/>
              </w:rPr>
            </w:pPr>
            <w:r w:rsidRPr="00F45FF4">
              <w:rPr>
                <w:sz w:val="18"/>
                <w:szCs w:val="18"/>
              </w:rPr>
              <w:t>Water quality</w:t>
            </w:r>
          </w:p>
          <w:p w14:paraId="3DCF720E" w14:textId="77777777" w:rsidR="00AA0841" w:rsidRPr="00F45FF4" w:rsidRDefault="00AA0841" w:rsidP="00AA0841">
            <w:pPr>
              <w:rPr>
                <w:sz w:val="18"/>
                <w:szCs w:val="18"/>
              </w:rPr>
            </w:pPr>
            <w:r w:rsidRPr="00F45FF4">
              <w:rPr>
                <w:sz w:val="18"/>
                <w:szCs w:val="18"/>
              </w:rPr>
              <w:t>Provision of refuges for native fish</w:t>
            </w:r>
          </w:p>
        </w:tc>
        <w:tc>
          <w:tcPr>
            <w:tcW w:w="4111" w:type="dxa"/>
            <w:tcBorders>
              <w:top w:val="single" w:sz="12" w:space="0" w:color="auto"/>
              <w:left w:val="nil"/>
              <w:bottom w:val="single" w:sz="12" w:space="0" w:color="auto"/>
              <w:right w:val="single" w:sz="4" w:space="0" w:color="000000"/>
            </w:tcBorders>
            <w:shd w:val="clear" w:color="auto" w:fill="auto"/>
            <w:vAlign w:val="center"/>
            <w:hideMark/>
          </w:tcPr>
          <w:p w14:paraId="5A576910" w14:textId="77777777" w:rsidR="00AA0841" w:rsidRPr="00F45FF4" w:rsidRDefault="00AA0841" w:rsidP="00AA0841">
            <w:pPr>
              <w:rPr>
                <w:sz w:val="18"/>
                <w:szCs w:val="18"/>
              </w:rPr>
            </w:pPr>
            <w:r w:rsidRPr="00F45FF4">
              <w:rPr>
                <w:sz w:val="18"/>
                <w:szCs w:val="18"/>
              </w:rPr>
              <w:t>~30-120 GL a year to manage hypoxic water quality events and other critical habitat needs.</w:t>
            </w:r>
          </w:p>
        </w:tc>
        <w:tc>
          <w:tcPr>
            <w:tcW w:w="2126" w:type="dxa"/>
            <w:tcBorders>
              <w:top w:val="single" w:sz="12" w:space="0" w:color="auto"/>
              <w:left w:val="nil"/>
              <w:bottom w:val="single" w:sz="12" w:space="0" w:color="auto"/>
              <w:right w:val="single" w:sz="4" w:space="0" w:color="auto"/>
            </w:tcBorders>
            <w:shd w:val="clear" w:color="auto" w:fill="auto"/>
            <w:vAlign w:val="center"/>
            <w:hideMark/>
          </w:tcPr>
          <w:p w14:paraId="66666CD1" w14:textId="77777777" w:rsidR="00AA0841" w:rsidRPr="00F45FF4" w:rsidRDefault="00AA0841" w:rsidP="00AA0841">
            <w:pPr>
              <w:jc w:val="center"/>
              <w:rPr>
                <w:sz w:val="18"/>
                <w:szCs w:val="18"/>
              </w:rPr>
            </w:pPr>
            <w:r w:rsidRPr="00F45FF4">
              <w:rPr>
                <w:sz w:val="18"/>
                <w:szCs w:val="18"/>
              </w:rPr>
              <w:t>As required - usually triggered once dissolved oxygen levels reach 4.0 mg/l in line with Basin Plan water quality requirements.</w:t>
            </w:r>
          </w:p>
        </w:tc>
        <w:tc>
          <w:tcPr>
            <w:tcW w:w="4678" w:type="dxa"/>
            <w:tcBorders>
              <w:top w:val="single" w:sz="12" w:space="0" w:color="auto"/>
              <w:left w:val="nil"/>
              <w:bottom w:val="single" w:sz="12" w:space="0" w:color="auto"/>
              <w:right w:val="single" w:sz="4" w:space="0" w:color="000000"/>
            </w:tcBorders>
            <w:shd w:val="clear" w:color="auto" w:fill="auto"/>
            <w:vAlign w:val="center"/>
            <w:hideMark/>
          </w:tcPr>
          <w:p w14:paraId="02697E3F" w14:textId="77777777" w:rsidR="00AA0841" w:rsidRPr="00F45FF4" w:rsidRDefault="00AA0841" w:rsidP="00AA0841">
            <w:pPr>
              <w:jc w:val="center"/>
              <w:rPr>
                <w:sz w:val="18"/>
                <w:szCs w:val="18"/>
              </w:rPr>
            </w:pPr>
            <w:r w:rsidRPr="00F45FF4">
              <w:rPr>
                <w:sz w:val="18"/>
                <w:szCs w:val="18"/>
              </w:rPr>
              <w:t>Has been met when required</w:t>
            </w:r>
          </w:p>
        </w:tc>
        <w:tc>
          <w:tcPr>
            <w:tcW w:w="1984" w:type="dxa"/>
            <w:tcBorders>
              <w:top w:val="single" w:sz="12" w:space="0" w:color="auto"/>
              <w:left w:val="nil"/>
              <w:bottom w:val="single" w:sz="12" w:space="0" w:color="auto"/>
              <w:right w:val="single" w:sz="4" w:space="0" w:color="auto"/>
            </w:tcBorders>
            <w:shd w:val="clear" w:color="000000" w:fill="C00000"/>
            <w:vAlign w:val="center"/>
            <w:hideMark/>
          </w:tcPr>
          <w:p w14:paraId="241CF514" w14:textId="77777777" w:rsidR="00AA0841" w:rsidRPr="00D842D9" w:rsidRDefault="00AA0841" w:rsidP="00AA0841">
            <w:pPr>
              <w:jc w:val="center"/>
              <w:rPr>
                <w:color w:val="auto"/>
                <w:sz w:val="18"/>
                <w:szCs w:val="18"/>
              </w:rPr>
            </w:pPr>
            <w:r w:rsidRPr="00D842D9">
              <w:rPr>
                <w:color w:val="auto"/>
                <w:sz w:val="18"/>
                <w:szCs w:val="18"/>
              </w:rPr>
              <w:t>Critical once trigger is met</w:t>
            </w:r>
          </w:p>
        </w:tc>
        <w:tc>
          <w:tcPr>
            <w:tcW w:w="4253" w:type="dxa"/>
            <w:tcBorders>
              <w:top w:val="single" w:sz="12" w:space="0" w:color="auto"/>
              <w:left w:val="nil"/>
              <w:bottom w:val="single" w:sz="12" w:space="0" w:color="auto"/>
              <w:right w:val="single" w:sz="4" w:space="0" w:color="auto"/>
            </w:tcBorders>
            <w:shd w:val="clear" w:color="auto" w:fill="365F91" w:themeFill="accent1" w:themeFillShade="BF"/>
            <w:vAlign w:val="center"/>
            <w:hideMark/>
          </w:tcPr>
          <w:p w14:paraId="05F2D0F8" w14:textId="77777777" w:rsidR="00AA0841" w:rsidRPr="00D842D9" w:rsidRDefault="00AA0841" w:rsidP="00AA0841">
            <w:pPr>
              <w:jc w:val="center"/>
              <w:rPr>
                <w:color w:val="auto"/>
                <w:sz w:val="18"/>
                <w:szCs w:val="18"/>
              </w:rPr>
            </w:pPr>
            <w:r w:rsidRPr="00D842D9">
              <w:rPr>
                <w:color w:val="auto"/>
                <w:sz w:val="18"/>
                <w:szCs w:val="18"/>
              </w:rPr>
              <w:t>High priority for Commonwealth environmental water to abate the impact of potential fish kills if triggers are met.</w:t>
            </w:r>
          </w:p>
        </w:tc>
        <w:tc>
          <w:tcPr>
            <w:tcW w:w="2268" w:type="dxa"/>
            <w:tcBorders>
              <w:top w:val="single" w:sz="12" w:space="0" w:color="auto"/>
              <w:left w:val="nil"/>
              <w:bottom w:val="single" w:sz="12" w:space="0" w:color="auto"/>
              <w:right w:val="single" w:sz="12" w:space="0" w:color="auto"/>
            </w:tcBorders>
            <w:shd w:val="clear" w:color="000000" w:fill="C00000"/>
            <w:vAlign w:val="center"/>
            <w:hideMark/>
          </w:tcPr>
          <w:p w14:paraId="4F477643" w14:textId="77777777" w:rsidR="00AA0841" w:rsidRPr="00D842D9" w:rsidRDefault="00AA0841" w:rsidP="00AA0841">
            <w:pPr>
              <w:jc w:val="center"/>
              <w:rPr>
                <w:color w:val="auto"/>
                <w:sz w:val="18"/>
                <w:szCs w:val="18"/>
              </w:rPr>
            </w:pPr>
            <w:r w:rsidRPr="00D842D9">
              <w:rPr>
                <w:color w:val="auto"/>
                <w:sz w:val="18"/>
                <w:szCs w:val="18"/>
              </w:rPr>
              <w:t>Critical once trigger is met</w:t>
            </w:r>
          </w:p>
        </w:tc>
      </w:tr>
    </w:tbl>
    <w:p w14:paraId="62A459D2" w14:textId="77777777" w:rsidR="00AA0841" w:rsidRPr="009147CC" w:rsidRDefault="00AA0841" w:rsidP="00AA0841">
      <w:pPr>
        <w:rPr>
          <w:bCs/>
        </w:rPr>
      </w:pPr>
    </w:p>
    <w:p w14:paraId="5616C6F9" w14:textId="77777777" w:rsidR="00AA0841" w:rsidRDefault="00AA0841" w:rsidP="00AA0841">
      <w:pPr>
        <w:rPr>
          <w:bCs/>
        </w:rPr>
      </w:pPr>
      <w:r>
        <w:rPr>
          <w:noProof/>
        </w:rPr>
        <w:drawing>
          <wp:inline distT="0" distB="0" distL="0" distR="0" wp14:anchorId="5ABB8BDF" wp14:editId="67F1C340">
            <wp:extent cx="9877425" cy="1984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0068510" cy="2023223"/>
                    </a:xfrm>
                    <a:prstGeom prst="rect">
                      <a:avLst/>
                    </a:prstGeom>
                  </pic:spPr>
                </pic:pic>
              </a:graphicData>
            </a:graphic>
          </wp:inline>
        </w:drawing>
      </w:r>
    </w:p>
    <w:p w14:paraId="42DC17B2" w14:textId="410EB4BF" w:rsidR="00AA0841" w:rsidRPr="00595A3F" w:rsidRDefault="00AA0841" w:rsidP="00AA0841">
      <w:pPr>
        <w:spacing w:after="0"/>
        <w:rPr>
          <w:rFonts w:cstheme="minorHAnsi"/>
          <w:b/>
          <w:sz w:val="16"/>
          <w:szCs w:val="16"/>
        </w:rPr>
      </w:pPr>
      <w:r w:rsidRPr="00595A3F">
        <w:rPr>
          <w:rFonts w:cstheme="minorHAnsi"/>
          <w:b/>
          <w:sz w:val="16"/>
          <w:szCs w:val="16"/>
        </w:rPr>
        <w:t xml:space="preserve">References for </w:t>
      </w:r>
      <w:r>
        <w:rPr>
          <w:rFonts w:cstheme="minorHAnsi"/>
          <w:b/>
          <w:sz w:val="16"/>
          <w:szCs w:val="16"/>
        </w:rPr>
        <w:fldChar w:fldCharType="begin"/>
      </w:r>
      <w:r>
        <w:rPr>
          <w:rFonts w:cstheme="minorHAnsi"/>
          <w:b/>
          <w:sz w:val="16"/>
          <w:szCs w:val="16"/>
        </w:rPr>
        <w:instrText xml:space="preserve"> REF _Ref43377531 \h  \* MERGEFORMAT </w:instrText>
      </w:r>
      <w:r>
        <w:rPr>
          <w:rFonts w:cstheme="minorHAnsi"/>
          <w:b/>
          <w:sz w:val="16"/>
          <w:szCs w:val="16"/>
        </w:rPr>
      </w:r>
      <w:r>
        <w:rPr>
          <w:rFonts w:cstheme="minorHAnsi"/>
          <w:b/>
          <w:sz w:val="16"/>
          <w:szCs w:val="16"/>
        </w:rPr>
        <w:fldChar w:fldCharType="separate"/>
      </w:r>
      <w:r w:rsidR="001B2852" w:rsidRPr="001B2852">
        <w:rPr>
          <w:rFonts w:cstheme="minorHAnsi"/>
          <w:b/>
          <w:sz w:val="16"/>
          <w:szCs w:val="16"/>
        </w:rPr>
        <w:t>Table 48</w:t>
      </w:r>
      <w:r>
        <w:rPr>
          <w:rFonts w:cstheme="minorHAnsi"/>
          <w:b/>
          <w:sz w:val="16"/>
          <w:szCs w:val="16"/>
        </w:rPr>
        <w:fldChar w:fldCharType="end"/>
      </w:r>
      <w:r w:rsidRPr="00595A3F">
        <w:rPr>
          <w:rFonts w:cstheme="minorHAnsi"/>
          <w:b/>
          <w:sz w:val="16"/>
          <w:szCs w:val="16"/>
        </w:rPr>
        <w:t>:</w:t>
      </w:r>
    </w:p>
    <w:p w14:paraId="1085EE52" w14:textId="77777777" w:rsidR="00AA0841" w:rsidRPr="00595A3F" w:rsidRDefault="00AA0841" w:rsidP="00EE5C1C">
      <w:pPr>
        <w:pStyle w:val="FootnoteText"/>
        <w:spacing w:before="0" w:after="0"/>
        <w:rPr>
          <w:rFonts w:asciiTheme="minorHAnsi" w:hAnsiTheme="minorHAnsi" w:cstheme="minorHAnsi"/>
          <w:color w:val="000000" w:themeColor="text1"/>
          <w:sz w:val="16"/>
          <w:szCs w:val="16"/>
        </w:rPr>
      </w:pPr>
      <w:r w:rsidRPr="00595A3F">
        <w:rPr>
          <w:rFonts w:asciiTheme="minorHAnsi" w:hAnsiTheme="minorHAnsi" w:cstheme="minorHAnsi"/>
          <w:color w:val="000000" w:themeColor="text1"/>
          <w:sz w:val="16"/>
          <w:szCs w:val="16"/>
        </w:rPr>
        <w:t>Edward-Wakool indicators compiled from multiple sources (Hale &amp; SKM 2011; Watts et al</w:t>
      </w:r>
      <w:r>
        <w:rPr>
          <w:rFonts w:asciiTheme="minorHAnsi" w:hAnsiTheme="minorHAnsi" w:cstheme="minorHAnsi"/>
          <w:color w:val="000000" w:themeColor="text1"/>
          <w:sz w:val="16"/>
          <w:szCs w:val="16"/>
        </w:rPr>
        <w:t>.</w:t>
      </w:r>
      <w:r w:rsidRPr="00595A3F">
        <w:rPr>
          <w:rFonts w:asciiTheme="minorHAnsi" w:hAnsiTheme="minorHAnsi" w:cstheme="minorHAnsi"/>
          <w:color w:val="000000" w:themeColor="text1"/>
          <w:sz w:val="16"/>
          <w:szCs w:val="16"/>
        </w:rPr>
        <w:t xml:space="preserve"> 2013; Watts et al</w:t>
      </w:r>
      <w:r>
        <w:rPr>
          <w:rFonts w:asciiTheme="minorHAnsi" w:hAnsiTheme="minorHAnsi" w:cstheme="minorHAnsi"/>
          <w:color w:val="000000" w:themeColor="text1"/>
          <w:sz w:val="16"/>
          <w:szCs w:val="16"/>
        </w:rPr>
        <w:t>.</w:t>
      </w:r>
      <w:r w:rsidRPr="00595A3F">
        <w:rPr>
          <w:rFonts w:asciiTheme="minorHAnsi" w:hAnsiTheme="minorHAnsi" w:cstheme="minorHAnsi"/>
          <w:color w:val="000000" w:themeColor="text1"/>
          <w:sz w:val="16"/>
          <w:szCs w:val="16"/>
        </w:rPr>
        <w:t xml:space="preserve"> 2014; Watts et al</w:t>
      </w:r>
      <w:r>
        <w:rPr>
          <w:rFonts w:asciiTheme="minorHAnsi" w:hAnsiTheme="minorHAnsi" w:cstheme="minorHAnsi"/>
          <w:color w:val="000000" w:themeColor="text1"/>
          <w:sz w:val="16"/>
          <w:szCs w:val="16"/>
        </w:rPr>
        <w:t>.</w:t>
      </w:r>
      <w:r w:rsidRPr="00595A3F">
        <w:rPr>
          <w:rFonts w:asciiTheme="minorHAnsi" w:hAnsiTheme="minorHAnsi" w:cstheme="minorHAnsi"/>
          <w:color w:val="000000" w:themeColor="text1"/>
          <w:sz w:val="16"/>
          <w:szCs w:val="16"/>
        </w:rPr>
        <w:t xml:space="preserve"> 2015; Watts et al</w:t>
      </w:r>
      <w:r>
        <w:rPr>
          <w:rFonts w:asciiTheme="minorHAnsi" w:hAnsiTheme="minorHAnsi" w:cstheme="minorHAnsi"/>
          <w:color w:val="000000" w:themeColor="text1"/>
          <w:sz w:val="16"/>
          <w:szCs w:val="16"/>
        </w:rPr>
        <w:t>.</w:t>
      </w:r>
      <w:r w:rsidRPr="00595A3F">
        <w:rPr>
          <w:rFonts w:asciiTheme="minorHAnsi" w:hAnsiTheme="minorHAnsi" w:cstheme="minorHAnsi"/>
          <w:color w:val="000000" w:themeColor="text1"/>
          <w:sz w:val="16"/>
          <w:szCs w:val="16"/>
        </w:rPr>
        <w:t xml:space="preserve"> 2016; Watts et al</w:t>
      </w:r>
      <w:r>
        <w:rPr>
          <w:rFonts w:asciiTheme="minorHAnsi" w:hAnsiTheme="minorHAnsi" w:cstheme="minorHAnsi"/>
          <w:color w:val="000000" w:themeColor="text1"/>
          <w:sz w:val="16"/>
          <w:szCs w:val="16"/>
        </w:rPr>
        <w:t>.</w:t>
      </w:r>
      <w:r w:rsidRPr="00595A3F">
        <w:rPr>
          <w:rFonts w:asciiTheme="minorHAnsi" w:hAnsiTheme="minorHAnsi" w:cstheme="minorHAnsi"/>
          <w:color w:val="000000" w:themeColor="text1"/>
          <w:sz w:val="16"/>
          <w:szCs w:val="16"/>
        </w:rPr>
        <w:t xml:space="preserve"> 2017; Webster 2010). Previous watering actions and their outcomes have also been used for all indicators.</w:t>
      </w:r>
    </w:p>
    <w:p w14:paraId="7D146D6B" w14:textId="77777777" w:rsidR="00AA0841" w:rsidRPr="00595A3F" w:rsidRDefault="00AA0841" w:rsidP="00AA0841">
      <w:pPr>
        <w:rPr>
          <w:rFonts w:cstheme="minorHAnsi"/>
        </w:rPr>
      </w:pPr>
    </w:p>
    <w:p w14:paraId="13B69377" w14:textId="77777777" w:rsidR="00AA0841" w:rsidRPr="009147CC" w:rsidRDefault="00AA0841" w:rsidP="00AA0841">
      <w:pPr>
        <w:spacing w:after="0"/>
        <w:rPr>
          <w:bCs/>
        </w:rPr>
      </w:pPr>
      <w:r w:rsidRPr="009147CC">
        <w:rPr>
          <w:bCs/>
        </w:rPr>
        <w:br w:type="page"/>
      </w:r>
    </w:p>
    <w:p w14:paraId="5E43FDCB" w14:textId="34B82E90" w:rsidR="00AA0841" w:rsidRPr="00C81F74" w:rsidRDefault="00AA0841" w:rsidP="00AA0841">
      <w:pPr>
        <w:pStyle w:val="Caption"/>
        <w:keepNext/>
        <w:spacing w:after="120"/>
        <w:jc w:val="left"/>
        <w:rPr>
          <w:b w:val="0"/>
          <w:sz w:val="22"/>
          <w:szCs w:val="22"/>
        </w:rPr>
      </w:pPr>
      <w:bookmarkStart w:id="210" w:name="_Ref43377559"/>
      <w:r w:rsidRPr="00C81F74">
        <w:rPr>
          <w:sz w:val="22"/>
          <w:szCs w:val="22"/>
        </w:rPr>
        <w:lastRenderedPageBreak/>
        <w:t xml:space="preserve">Table </w:t>
      </w:r>
      <w:r w:rsidRPr="00C81F74">
        <w:rPr>
          <w:sz w:val="22"/>
          <w:szCs w:val="22"/>
        </w:rPr>
        <w:fldChar w:fldCharType="begin"/>
      </w:r>
      <w:r w:rsidRPr="00C81F74">
        <w:rPr>
          <w:sz w:val="22"/>
          <w:szCs w:val="22"/>
        </w:rPr>
        <w:instrText xml:space="preserve"> SEQ Table \* ARABIC </w:instrText>
      </w:r>
      <w:r w:rsidRPr="00C81F74">
        <w:rPr>
          <w:sz w:val="22"/>
          <w:szCs w:val="22"/>
        </w:rPr>
        <w:fldChar w:fldCharType="separate"/>
      </w:r>
      <w:r w:rsidR="001B2852">
        <w:rPr>
          <w:noProof/>
          <w:sz w:val="22"/>
          <w:szCs w:val="22"/>
        </w:rPr>
        <w:t>49</w:t>
      </w:r>
      <w:r w:rsidRPr="00C81F74">
        <w:rPr>
          <w:sz w:val="22"/>
          <w:szCs w:val="22"/>
        </w:rPr>
        <w:fldChar w:fldCharType="end"/>
      </w:r>
      <w:bookmarkEnd w:id="210"/>
      <w:r w:rsidRPr="00C81F74">
        <w:rPr>
          <w:b w:val="0"/>
          <w:sz w:val="22"/>
          <w:szCs w:val="22"/>
        </w:rPr>
        <w:t>. Environmental demands, priority for watering in 2020–21 and outlook for coming year in the Lower Murray.</w:t>
      </w:r>
    </w:p>
    <w:tbl>
      <w:tblPr>
        <w:tblW w:w="21972" w:type="dxa"/>
        <w:tblInd w:w="-5" w:type="dxa"/>
        <w:tblLayout w:type="fixed"/>
        <w:tblLook w:val="04A0" w:firstRow="1" w:lastRow="0" w:firstColumn="1" w:lastColumn="0" w:noHBand="0" w:noVBand="1"/>
      </w:tblPr>
      <w:tblGrid>
        <w:gridCol w:w="2552"/>
        <w:gridCol w:w="4111"/>
        <w:gridCol w:w="2126"/>
        <w:gridCol w:w="4678"/>
        <w:gridCol w:w="1984"/>
        <w:gridCol w:w="4253"/>
        <w:gridCol w:w="2268"/>
      </w:tblGrid>
      <w:tr w:rsidR="00AA0841" w:rsidRPr="00D842D9" w14:paraId="3ECAEE2A" w14:textId="77777777" w:rsidTr="00AA0841">
        <w:trPr>
          <w:trHeight w:val="540"/>
          <w:tblHeader/>
        </w:trPr>
        <w:tc>
          <w:tcPr>
            <w:tcW w:w="2552" w:type="dxa"/>
            <w:vMerge w:val="restart"/>
            <w:tcBorders>
              <w:top w:val="single" w:sz="12" w:space="0" w:color="auto"/>
              <w:left w:val="single" w:sz="12" w:space="0" w:color="auto"/>
              <w:bottom w:val="single" w:sz="12" w:space="0" w:color="auto"/>
              <w:right w:val="single" w:sz="4" w:space="0" w:color="auto"/>
            </w:tcBorders>
            <w:shd w:val="clear" w:color="auto" w:fill="B6DDE8" w:themeFill="accent5" w:themeFillTint="66"/>
            <w:vAlign w:val="center"/>
            <w:hideMark/>
          </w:tcPr>
          <w:p w14:paraId="716C2C1C" w14:textId="77777777" w:rsidR="00AA0841" w:rsidRPr="00F45FF4" w:rsidRDefault="00AA0841" w:rsidP="00AA0841">
            <w:pPr>
              <w:jc w:val="center"/>
              <w:rPr>
                <w:b/>
                <w:sz w:val="18"/>
                <w:szCs w:val="18"/>
              </w:rPr>
            </w:pPr>
            <w:r w:rsidRPr="00F45FF4">
              <w:rPr>
                <w:b/>
                <w:sz w:val="18"/>
                <w:szCs w:val="18"/>
              </w:rPr>
              <w:t>Environmental assets</w:t>
            </w:r>
          </w:p>
        </w:tc>
        <w:tc>
          <w:tcPr>
            <w:tcW w:w="6237" w:type="dxa"/>
            <w:gridSpan w:val="2"/>
            <w:tcBorders>
              <w:top w:val="single" w:sz="12" w:space="0" w:color="auto"/>
              <w:left w:val="nil"/>
              <w:bottom w:val="single" w:sz="12" w:space="0" w:color="auto"/>
              <w:right w:val="single" w:sz="4" w:space="0" w:color="auto"/>
            </w:tcBorders>
            <w:shd w:val="clear" w:color="auto" w:fill="B6DDE8" w:themeFill="accent5" w:themeFillTint="66"/>
            <w:vAlign w:val="center"/>
            <w:hideMark/>
          </w:tcPr>
          <w:p w14:paraId="5DE5266E" w14:textId="77777777" w:rsidR="00AA0841" w:rsidRPr="00F45FF4" w:rsidRDefault="00AA0841" w:rsidP="00AA0841">
            <w:pPr>
              <w:jc w:val="center"/>
              <w:rPr>
                <w:b/>
                <w:sz w:val="18"/>
                <w:szCs w:val="18"/>
              </w:rPr>
            </w:pPr>
            <w:r w:rsidRPr="00F45FF4">
              <w:rPr>
                <w:b/>
                <w:sz w:val="18"/>
                <w:szCs w:val="18"/>
              </w:rPr>
              <w:t xml:space="preserve">Indicative demand (for </w:t>
            </w:r>
            <w:r w:rsidRPr="00F45FF4">
              <w:rPr>
                <w:b/>
                <w:sz w:val="18"/>
                <w:szCs w:val="18"/>
                <w:u w:val="single"/>
              </w:rPr>
              <w:t>all sources of water</w:t>
            </w:r>
            <w:r w:rsidRPr="00F45FF4">
              <w:rPr>
                <w:b/>
                <w:sz w:val="18"/>
                <w:szCs w:val="18"/>
              </w:rPr>
              <w:t xml:space="preserve"> in the system)</w:t>
            </w:r>
          </w:p>
        </w:tc>
        <w:tc>
          <w:tcPr>
            <w:tcW w:w="4678" w:type="dxa"/>
            <w:tcBorders>
              <w:top w:val="single" w:sz="12" w:space="0" w:color="auto"/>
              <w:left w:val="nil"/>
              <w:bottom w:val="single" w:sz="12" w:space="0" w:color="auto"/>
              <w:right w:val="single" w:sz="4" w:space="0" w:color="auto"/>
            </w:tcBorders>
            <w:shd w:val="clear" w:color="auto" w:fill="B6DDE8" w:themeFill="accent5" w:themeFillTint="66"/>
            <w:vAlign w:val="center"/>
            <w:hideMark/>
          </w:tcPr>
          <w:p w14:paraId="3B003855" w14:textId="77777777" w:rsidR="00AA0841" w:rsidRPr="00F45FF4" w:rsidRDefault="00AA0841" w:rsidP="00AA0841">
            <w:pPr>
              <w:jc w:val="center"/>
              <w:rPr>
                <w:b/>
                <w:sz w:val="18"/>
                <w:szCs w:val="18"/>
              </w:rPr>
            </w:pPr>
            <w:r w:rsidRPr="00F45FF4">
              <w:rPr>
                <w:b/>
                <w:sz w:val="18"/>
                <w:szCs w:val="18"/>
              </w:rPr>
              <w:t>Watering history</w:t>
            </w:r>
          </w:p>
        </w:tc>
        <w:tc>
          <w:tcPr>
            <w:tcW w:w="6237" w:type="dxa"/>
            <w:gridSpan w:val="2"/>
            <w:tcBorders>
              <w:top w:val="single" w:sz="12" w:space="0" w:color="auto"/>
              <w:left w:val="nil"/>
              <w:bottom w:val="single" w:sz="12" w:space="0" w:color="auto"/>
              <w:right w:val="single" w:sz="4" w:space="0" w:color="auto"/>
            </w:tcBorders>
            <w:shd w:val="clear" w:color="auto" w:fill="B6DDE8" w:themeFill="accent5" w:themeFillTint="66"/>
            <w:vAlign w:val="center"/>
            <w:hideMark/>
          </w:tcPr>
          <w:p w14:paraId="127DDDB6" w14:textId="77777777" w:rsidR="00AA0841" w:rsidRPr="00D842D9" w:rsidRDefault="00AA0841" w:rsidP="00AA0841">
            <w:pPr>
              <w:jc w:val="center"/>
              <w:rPr>
                <w:b/>
                <w:color w:val="auto"/>
                <w:sz w:val="18"/>
                <w:szCs w:val="18"/>
              </w:rPr>
            </w:pPr>
            <w:r w:rsidRPr="00D842D9">
              <w:rPr>
                <w:b/>
                <w:color w:val="auto"/>
                <w:sz w:val="18"/>
                <w:szCs w:val="18"/>
              </w:rPr>
              <w:t>2020-21</w:t>
            </w:r>
          </w:p>
        </w:tc>
        <w:tc>
          <w:tcPr>
            <w:tcW w:w="2268" w:type="dxa"/>
            <w:tcBorders>
              <w:top w:val="single" w:sz="12" w:space="0" w:color="auto"/>
              <w:left w:val="nil"/>
              <w:bottom w:val="single" w:sz="12" w:space="0" w:color="auto"/>
              <w:right w:val="single" w:sz="12" w:space="0" w:color="auto"/>
            </w:tcBorders>
            <w:shd w:val="clear" w:color="auto" w:fill="B6DDE8" w:themeFill="accent5" w:themeFillTint="66"/>
            <w:vAlign w:val="center"/>
            <w:hideMark/>
          </w:tcPr>
          <w:p w14:paraId="01AF57E0" w14:textId="77777777" w:rsidR="00AA0841" w:rsidRPr="00D842D9" w:rsidRDefault="00AA0841" w:rsidP="00AA0841">
            <w:pPr>
              <w:jc w:val="center"/>
              <w:rPr>
                <w:b/>
                <w:color w:val="auto"/>
                <w:sz w:val="18"/>
                <w:szCs w:val="18"/>
              </w:rPr>
            </w:pPr>
            <w:r w:rsidRPr="00D842D9">
              <w:rPr>
                <w:b/>
                <w:color w:val="auto"/>
                <w:sz w:val="18"/>
                <w:szCs w:val="18"/>
              </w:rPr>
              <w:t>Implications for future demands</w:t>
            </w:r>
          </w:p>
        </w:tc>
      </w:tr>
      <w:tr w:rsidR="00AA0841" w:rsidRPr="00D842D9" w14:paraId="25C1EDF1" w14:textId="77777777" w:rsidTr="00AA0841">
        <w:trPr>
          <w:trHeight w:val="300"/>
          <w:tblHeader/>
        </w:trPr>
        <w:tc>
          <w:tcPr>
            <w:tcW w:w="2552" w:type="dxa"/>
            <w:vMerge/>
            <w:tcBorders>
              <w:top w:val="single" w:sz="8" w:space="0" w:color="000000" w:themeColor="text1"/>
              <w:left w:val="single" w:sz="12" w:space="0" w:color="auto"/>
              <w:bottom w:val="single" w:sz="12" w:space="0" w:color="auto"/>
              <w:right w:val="single" w:sz="4" w:space="0" w:color="auto"/>
            </w:tcBorders>
            <w:shd w:val="clear" w:color="auto" w:fill="B6DDE8" w:themeFill="accent5" w:themeFillTint="66"/>
            <w:vAlign w:val="center"/>
            <w:hideMark/>
          </w:tcPr>
          <w:p w14:paraId="0A1F872C" w14:textId="77777777" w:rsidR="00AA0841" w:rsidRPr="00F45FF4" w:rsidRDefault="00AA0841" w:rsidP="00AA0841">
            <w:pPr>
              <w:jc w:val="center"/>
              <w:rPr>
                <w:b/>
                <w:sz w:val="18"/>
                <w:szCs w:val="18"/>
              </w:rPr>
            </w:pPr>
          </w:p>
        </w:tc>
        <w:tc>
          <w:tcPr>
            <w:tcW w:w="4111" w:type="dxa"/>
            <w:vMerge w:val="restart"/>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76915928" w14:textId="77777777" w:rsidR="00AA0841" w:rsidRPr="00F45FF4" w:rsidRDefault="00AA0841" w:rsidP="00AA0841">
            <w:pPr>
              <w:jc w:val="center"/>
              <w:rPr>
                <w:b/>
                <w:sz w:val="18"/>
                <w:szCs w:val="18"/>
              </w:rPr>
            </w:pPr>
            <w:r w:rsidRPr="00F45FF4">
              <w:rPr>
                <w:b/>
                <w:sz w:val="18"/>
                <w:szCs w:val="18"/>
              </w:rPr>
              <w:t>Flow/Volume</w:t>
            </w:r>
          </w:p>
        </w:tc>
        <w:tc>
          <w:tcPr>
            <w:tcW w:w="2126" w:type="dxa"/>
            <w:vMerge w:val="restart"/>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411639E2" w14:textId="77777777" w:rsidR="00AA0841" w:rsidRPr="00F45FF4" w:rsidRDefault="00AA0841" w:rsidP="00AA0841">
            <w:pPr>
              <w:jc w:val="center"/>
              <w:rPr>
                <w:b/>
                <w:sz w:val="18"/>
                <w:szCs w:val="18"/>
              </w:rPr>
            </w:pPr>
            <w:r w:rsidRPr="00F45FF4">
              <w:rPr>
                <w:b/>
                <w:sz w:val="18"/>
                <w:szCs w:val="18"/>
              </w:rPr>
              <w:t>Required frequency (maximum dry interval)</w:t>
            </w:r>
          </w:p>
        </w:tc>
        <w:tc>
          <w:tcPr>
            <w:tcW w:w="4678" w:type="dxa"/>
            <w:vMerge w:val="restart"/>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0CB771BD" w14:textId="77777777" w:rsidR="00AA0841" w:rsidRPr="00F45FF4" w:rsidRDefault="00AA0841" w:rsidP="00AA0841">
            <w:pPr>
              <w:jc w:val="center"/>
              <w:rPr>
                <w:b/>
                <w:sz w:val="18"/>
                <w:szCs w:val="18"/>
              </w:rPr>
            </w:pPr>
            <w:r w:rsidRPr="00F45FF4">
              <w:rPr>
                <w:b/>
                <w:sz w:val="18"/>
                <w:szCs w:val="18"/>
              </w:rPr>
              <w:t>(from all sources of water)</w:t>
            </w:r>
          </w:p>
        </w:tc>
        <w:tc>
          <w:tcPr>
            <w:tcW w:w="1984" w:type="dxa"/>
            <w:vMerge w:val="restart"/>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749322F1" w14:textId="77777777" w:rsidR="00AA0841" w:rsidRPr="00D842D9" w:rsidRDefault="00AA0841" w:rsidP="00AA0841">
            <w:pPr>
              <w:jc w:val="center"/>
              <w:rPr>
                <w:b/>
                <w:color w:val="auto"/>
                <w:sz w:val="18"/>
                <w:szCs w:val="18"/>
              </w:rPr>
            </w:pPr>
            <w:r w:rsidRPr="00D842D9">
              <w:rPr>
                <w:b/>
                <w:color w:val="auto"/>
                <w:sz w:val="18"/>
                <w:szCs w:val="18"/>
              </w:rPr>
              <w:t>Environmental demands for water</w:t>
            </w:r>
          </w:p>
        </w:tc>
        <w:tc>
          <w:tcPr>
            <w:tcW w:w="4253" w:type="dxa"/>
            <w:vMerge w:val="restart"/>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4BB07C19" w14:textId="77777777" w:rsidR="00AA0841" w:rsidRPr="00D842D9" w:rsidRDefault="00AA0841" w:rsidP="00AA0841">
            <w:pPr>
              <w:jc w:val="center"/>
              <w:rPr>
                <w:b/>
                <w:color w:val="auto"/>
                <w:sz w:val="18"/>
                <w:szCs w:val="18"/>
              </w:rPr>
            </w:pPr>
            <w:r w:rsidRPr="00D842D9">
              <w:rPr>
                <w:b/>
                <w:color w:val="auto"/>
                <w:sz w:val="18"/>
                <w:szCs w:val="18"/>
              </w:rPr>
              <w:t>Potential Commonwealth environmental water contribution?</w:t>
            </w:r>
          </w:p>
        </w:tc>
        <w:tc>
          <w:tcPr>
            <w:tcW w:w="2268" w:type="dxa"/>
            <w:vMerge w:val="restart"/>
            <w:tcBorders>
              <w:top w:val="single" w:sz="8" w:space="0" w:color="000000" w:themeColor="text1"/>
              <w:left w:val="single" w:sz="4" w:space="0" w:color="auto"/>
              <w:bottom w:val="single" w:sz="12" w:space="0" w:color="auto"/>
              <w:right w:val="single" w:sz="12" w:space="0" w:color="auto"/>
            </w:tcBorders>
            <w:shd w:val="clear" w:color="auto" w:fill="B6DDE8" w:themeFill="accent5" w:themeFillTint="66"/>
            <w:vAlign w:val="center"/>
            <w:hideMark/>
          </w:tcPr>
          <w:p w14:paraId="4C95B15C" w14:textId="77777777" w:rsidR="00AA0841" w:rsidRPr="00D842D9" w:rsidRDefault="00AA0841" w:rsidP="00AA0841">
            <w:pPr>
              <w:jc w:val="center"/>
              <w:rPr>
                <w:b/>
                <w:color w:val="auto"/>
                <w:sz w:val="18"/>
                <w:szCs w:val="18"/>
              </w:rPr>
            </w:pPr>
            <w:r w:rsidRPr="00D842D9">
              <w:rPr>
                <w:b/>
                <w:color w:val="auto"/>
                <w:sz w:val="18"/>
                <w:szCs w:val="18"/>
              </w:rPr>
              <w:t>Likely environmental demand in 2021–22 if watering occurred as planned in 2020-21</w:t>
            </w:r>
          </w:p>
        </w:tc>
      </w:tr>
      <w:tr w:rsidR="00AA0841" w:rsidRPr="00D842D9" w14:paraId="00C692D5" w14:textId="77777777" w:rsidTr="00AA0841">
        <w:trPr>
          <w:trHeight w:val="300"/>
          <w:tblHeader/>
        </w:trPr>
        <w:tc>
          <w:tcPr>
            <w:tcW w:w="2552" w:type="dxa"/>
            <w:vMerge/>
            <w:tcBorders>
              <w:top w:val="single" w:sz="8" w:space="0" w:color="000000" w:themeColor="text1"/>
              <w:left w:val="single" w:sz="12" w:space="0" w:color="auto"/>
              <w:bottom w:val="single" w:sz="12" w:space="0" w:color="auto"/>
              <w:right w:val="single" w:sz="4" w:space="0" w:color="auto"/>
            </w:tcBorders>
            <w:shd w:val="clear" w:color="auto" w:fill="B6DDE8" w:themeFill="accent5" w:themeFillTint="66"/>
            <w:vAlign w:val="center"/>
            <w:hideMark/>
          </w:tcPr>
          <w:p w14:paraId="1BD1F006" w14:textId="77777777" w:rsidR="00AA0841" w:rsidRPr="00F45FF4" w:rsidRDefault="00AA0841" w:rsidP="00AA0841">
            <w:pPr>
              <w:rPr>
                <w:sz w:val="18"/>
                <w:szCs w:val="18"/>
              </w:rPr>
            </w:pPr>
          </w:p>
        </w:tc>
        <w:tc>
          <w:tcPr>
            <w:tcW w:w="4111" w:type="dxa"/>
            <w:vMerge/>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5FF1D5DE" w14:textId="77777777" w:rsidR="00AA0841" w:rsidRPr="00F45FF4" w:rsidRDefault="00AA0841" w:rsidP="00AA0841">
            <w:pPr>
              <w:rPr>
                <w:sz w:val="18"/>
                <w:szCs w:val="18"/>
              </w:rPr>
            </w:pPr>
          </w:p>
        </w:tc>
        <w:tc>
          <w:tcPr>
            <w:tcW w:w="2126"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5BA68E9F" w14:textId="77777777" w:rsidR="00AA0841" w:rsidRPr="00F45FF4" w:rsidRDefault="00AA0841" w:rsidP="00AA0841">
            <w:pPr>
              <w:rPr>
                <w:sz w:val="18"/>
                <w:szCs w:val="18"/>
              </w:rPr>
            </w:pPr>
          </w:p>
        </w:tc>
        <w:tc>
          <w:tcPr>
            <w:tcW w:w="4678" w:type="dxa"/>
            <w:vMerge/>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1FBA55F6" w14:textId="77777777" w:rsidR="00AA0841" w:rsidRPr="00F45FF4" w:rsidRDefault="00AA0841" w:rsidP="00AA0841">
            <w:pPr>
              <w:rPr>
                <w:sz w:val="18"/>
                <w:szCs w:val="18"/>
              </w:rPr>
            </w:pPr>
          </w:p>
        </w:tc>
        <w:tc>
          <w:tcPr>
            <w:tcW w:w="1984"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4A807CEF" w14:textId="77777777" w:rsidR="00AA0841" w:rsidRPr="00D842D9" w:rsidRDefault="00AA0841" w:rsidP="00AA0841">
            <w:pPr>
              <w:jc w:val="center"/>
              <w:rPr>
                <w:color w:val="auto"/>
                <w:sz w:val="18"/>
                <w:szCs w:val="18"/>
              </w:rPr>
            </w:pPr>
          </w:p>
        </w:tc>
        <w:tc>
          <w:tcPr>
            <w:tcW w:w="4253"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3E45AA00" w14:textId="77777777" w:rsidR="00AA0841" w:rsidRPr="00D842D9" w:rsidRDefault="00AA0841" w:rsidP="00AA0841">
            <w:pPr>
              <w:jc w:val="center"/>
              <w:rPr>
                <w:color w:val="auto"/>
                <w:sz w:val="18"/>
                <w:szCs w:val="18"/>
              </w:rPr>
            </w:pPr>
          </w:p>
        </w:tc>
        <w:tc>
          <w:tcPr>
            <w:tcW w:w="2268" w:type="dxa"/>
            <w:vMerge/>
            <w:tcBorders>
              <w:top w:val="single" w:sz="8" w:space="0" w:color="000000" w:themeColor="text1"/>
              <w:left w:val="single" w:sz="4" w:space="0" w:color="auto"/>
              <w:bottom w:val="single" w:sz="12" w:space="0" w:color="auto"/>
              <w:right w:val="single" w:sz="12" w:space="0" w:color="auto"/>
            </w:tcBorders>
            <w:shd w:val="clear" w:color="auto" w:fill="B6DDE8" w:themeFill="accent5" w:themeFillTint="66"/>
            <w:vAlign w:val="center"/>
            <w:hideMark/>
          </w:tcPr>
          <w:p w14:paraId="11979F4A" w14:textId="77777777" w:rsidR="00AA0841" w:rsidRPr="00D842D9" w:rsidRDefault="00AA0841" w:rsidP="00AA0841">
            <w:pPr>
              <w:jc w:val="center"/>
              <w:rPr>
                <w:color w:val="auto"/>
                <w:sz w:val="18"/>
                <w:szCs w:val="18"/>
              </w:rPr>
            </w:pPr>
          </w:p>
        </w:tc>
      </w:tr>
      <w:tr w:rsidR="00AA0841" w:rsidRPr="00D842D9" w14:paraId="72C6CF35" w14:textId="77777777" w:rsidTr="00AA0841">
        <w:trPr>
          <w:trHeight w:val="269"/>
          <w:tblHeader/>
        </w:trPr>
        <w:tc>
          <w:tcPr>
            <w:tcW w:w="2552" w:type="dxa"/>
            <w:vMerge/>
            <w:tcBorders>
              <w:top w:val="single" w:sz="8" w:space="0" w:color="000000" w:themeColor="text1"/>
              <w:left w:val="single" w:sz="12" w:space="0" w:color="auto"/>
              <w:bottom w:val="single" w:sz="12" w:space="0" w:color="auto"/>
              <w:right w:val="single" w:sz="4" w:space="0" w:color="auto"/>
            </w:tcBorders>
            <w:shd w:val="clear" w:color="auto" w:fill="B6DDE8" w:themeFill="accent5" w:themeFillTint="66"/>
            <w:vAlign w:val="center"/>
            <w:hideMark/>
          </w:tcPr>
          <w:p w14:paraId="5CFBAAA7" w14:textId="77777777" w:rsidR="00AA0841" w:rsidRPr="00F45FF4" w:rsidRDefault="00AA0841" w:rsidP="00AA0841">
            <w:pPr>
              <w:rPr>
                <w:sz w:val="18"/>
                <w:szCs w:val="18"/>
              </w:rPr>
            </w:pPr>
          </w:p>
        </w:tc>
        <w:tc>
          <w:tcPr>
            <w:tcW w:w="4111" w:type="dxa"/>
            <w:vMerge/>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3DCEA821" w14:textId="77777777" w:rsidR="00AA0841" w:rsidRPr="00F45FF4" w:rsidRDefault="00AA0841" w:rsidP="00AA0841">
            <w:pPr>
              <w:rPr>
                <w:sz w:val="18"/>
                <w:szCs w:val="18"/>
              </w:rPr>
            </w:pPr>
          </w:p>
        </w:tc>
        <w:tc>
          <w:tcPr>
            <w:tcW w:w="2126"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3C14C8AA" w14:textId="77777777" w:rsidR="00AA0841" w:rsidRPr="00F45FF4" w:rsidRDefault="00AA0841" w:rsidP="00AA0841">
            <w:pPr>
              <w:rPr>
                <w:sz w:val="18"/>
                <w:szCs w:val="18"/>
              </w:rPr>
            </w:pPr>
          </w:p>
        </w:tc>
        <w:tc>
          <w:tcPr>
            <w:tcW w:w="4678" w:type="dxa"/>
            <w:vMerge/>
            <w:tcBorders>
              <w:top w:val="single" w:sz="8" w:space="0" w:color="000000" w:themeColor="text1"/>
              <w:left w:val="single" w:sz="4" w:space="0" w:color="auto"/>
              <w:bottom w:val="single" w:sz="12" w:space="0" w:color="auto"/>
              <w:right w:val="single" w:sz="4" w:space="0" w:color="000000"/>
            </w:tcBorders>
            <w:shd w:val="clear" w:color="auto" w:fill="B6DDE8" w:themeFill="accent5" w:themeFillTint="66"/>
            <w:vAlign w:val="center"/>
            <w:hideMark/>
          </w:tcPr>
          <w:p w14:paraId="0462F0F6" w14:textId="77777777" w:rsidR="00AA0841" w:rsidRPr="00F45FF4" w:rsidRDefault="00AA0841" w:rsidP="00AA0841">
            <w:pPr>
              <w:rPr>
                <w:sz w:val="18"/>
                <w:szCs w:val="18"/>
              </w:rPr>
            </w:pPr>
          </w:p>
        </w:tc>
        <w:tc>
          <w:tcPr>
            <w:tcW w:w="1984"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62C2C09E" w14:textId="77777777" w:rsidR="00AA0841" w:rsidRPr="00D842D9" w:rsidRDefault="00AA0841" w:rsidP="00AA0841">
            <w:pPr>
              <w:jc w:val="center"/>
              <w:rPr>
                <w:color w:val="auto"/>
                <w:sz w:val="18"/>
                <w:szCs w:val="18"/>
              </w:rPr>
            </w:pPr>
          </w:p>
        </w:tc>
        <w:tc>
          <w:tcPr>
            <w:tcW w:w="4253" w:type="dxa"/>
            <w:vMerge/>
            <w:tcBorders>
              <w:top w:val="single" w:sz="8" w:space="0" w:color="000000" w:themeColor="text1"/>
              <w:left w:val="single" w:sz="4" w:space="0" w:color="auto"/>
              <w:bottom w:val="single" w:sz="12" w:space="0" w:color="auto"/>
              <w:right w:val="single" w:sz="4" w:space="0" w:color="auto"/>
            </w:tcBorders>
            <w:shd w:val="clear" w:color="auto" w:fill="B6DDE8" w:themeFill="accent5" w:themeFillTint="66"/>
            <w:vAlign w:val="center"/>
            <w:hideMark/>
          </w:tcPr>
          <w:p w14:paraId="64645087" w14:textId="77777777" w:rsidR="00AA0841" w:rsidRPr="00D842D9" w:rsidRDefault="00AA0841" w:rsidP="00AA0841">
            <w:pPr>
              <w:jc w:val="center"/>
              <w:rPr>
                <w:color w:val="auto"/>
                <w:sz w:val="18"/>
                <w:szCs w:val="18"/>
              </w:rPr>
            </w:pPr>
          </w:p>
        </w:tc>
        <w:tc>
          <w:tcPr>
            <w:tcW w:w="2268" w:type="dxa"/>
            <w:vMerge/>
            <w:tcBorders>
              <w:top w:val="single" w:sz="8" w:space="0" w:color="000000" w:themeColor="text1"/>
              <w:left w:val="single" w:sz="4" w:space="0" w:color="auto"/>
              <w:bottom w:val="single" w:sz="12" w:space="0" w:color="auto"/>
              <w:right w:val="single" w:sz="12" w:space="0" w:color="auto"/>
            </w:tcBorders>
            <w:shd w:val="clear" w:color="auto" w:fill="B6DDE8" w:themeFill="accent5" w:themeFillTint="66"/>
            <w:vAlign w:val="center"/>
            <w:hideMark/>
          </w:tcPr>
          <w:p w14:paraId="777230CB" w14:textId="77777777" w:rsidR="00AA0841" w:rsidRPr="00D842D9" w:rsidRDefault="00AA0841" w:rsidP="00AA0841">
            <w:pPr>
              <w:jc w:val="center"/>
              <w:rPr>
                <w:color w:val="auto"/>
                <w:sz w:val="18"/>
                <w:szCs w:val="18"/>
              </w:rPr>
            </w:pPr>
          </w:p>
        </w:tc>
      </w:tr>
      <w:tr w:rsidR="00AA0841" w:rsidRPr="00D842D9" w14:paraId="639EF3B1" w14:textId="77777777" w:rsidTr="00AA0841">
        <w:trPr>
          <w:trHeight w:val="1395"/>
        </w:trPr>
        <w:tc>
          <w:tcPr>
            <w:tcW w:w="2552" w:type="dxa"/>
            <w:vMerge w:val="restart"/>
            <w:tcBorders>
              <w:top w:val="single" w:sz="12" w:space="0" w:color="auto"/>
              <w:left w:val="single" w:sz="12" w:space="0" w:color="auto"/>
              <w:bottom w:val="single" w:sz="4" w:space="0" w:color="auto"/>
              <w:right w:val="single" w:sz="4" w:space="0" w:color="auto"/>
            </w:tcBorders>
            <w:shd w:val="clear" w:color="auto" w:fill="auto"/>
            <w:hideMark/>
          </w:tcPr>
          <w:p w14:paraId="50082102" w14:textId="77777777" w:rsidR="00AA0841" w:rsidRPr="00321973" w:rsidRDefault="00AA0841" w:rsidP="00AA0841">
            <w:pPr>
              <w:rPr>
                <w:b/>
                <w:sz w:val="18"/>
                <w:szCs w:val="18"/>
              </w:rPr>
            </w:pPr>
            <w:r w:rsidRPr="00321973">
              <w:rPr>
                <w:b/>
                <w:sz w:val="18"/>
                <w:szCs w:val="18"/>
              </w:rPr>
              <w:t>River Murray from Euston to Lower Lakes, including pool level wetlands</w:t>
            </w:r>
          </w:p>
        </w:tc>
        <w:tc>
          <w:tcPr>
            <w:tcW w:w="4111" w:type="dxa"/>
            <w:tcBorders>
              <w:top w:val="single" w:sz="12" w:space="0" w:color="auto"/>
              <w:left w:val="nil"/>
              <w:bottom w:val="single" w:sz="4" w:space="0" w:color="auto"/>
              <w:right w:val="single" w:sz="4" w:space="0" w:color="auto"/>
            </w:tcBorders>
            <w:shd w:val="clear" w:color="auto" w:fill="auto"/>
            <w:vAlign w:val="center"/>
            <w:hideMark/>
          </w:tcPr>
          <w:p w14:paraId="62E73433" w14:textId="77777777" w:rsidR="00AA0841" w:rsidRPr="00F45FF4" w:rsidRDefault="00AA0841" w:rsidP="00AA0841">
            <w:pPr>
              <w:rPr>
                <w:sz w:val="18"/>
                <w:szCs w:val="18"/>
              </w:rPr>
            </w:pPr>
            <w:r w:rsidRPr="00F45FF4">
              <w:rPr>
                <w:sz w:val="18"/>
                <w:szCs w:val="18"/>
              </w:rPr>
              <w:t>Elevated river baseflow of at least 10</w:t>
            </w:r>
            <w:r>
              <w:rPr>
                <w:sz w:val="18"/>
                <w:szCs w:val="18"/>
              </w:rPr>
              <w:t xml:space="preserve"> </w:t>
            </w:r>
            <w:r w:rsidRPr="00F45FF4">
              <w:rPr>
                <w:sz w:val="18"/>
                <w:szCs w:val="18"/>
              </w:rPr>
              <w:t xml:space="preserve">000 ML/d </w:t>
            </w:r>
            <w:r>
              <w:rPr>
                <w:sz w:val="18"/>
                <w:szCs w:val="18"/>
              </w:rPr>
              <w:t>at</w:t>
            </w:r>
            <w:r w:rsidRPr="00F45FF4">
              <w:rPr>
                <w:sz w:val="18"/>
                <w:szCs w:val="18"/>
              </w:rPr>
              <w:t xml:space="preserve"> SA</w:t>
            </w:r>
            <w:r>
              <w:rPr>
                <w:sz w:val="18"/>
                <w:szCs w:val="18"/>
              </w:rPr>
              <w:t> </w:t>
            </w:r>
            <w:r w:rsidRPr="00F45FF4">
              <w:rPr>
                <w:sz w:val="18"/>
                <w:szCs w:val="18"/>
              </w:rPr>
              <w:t>Border for up to 60 days in spring/summer for in-channel aquatic vegetation, fish and water quality.</w:t>
            </w:r>
          </w:p>
        </w:tc>
        <w:tc>
          <w:tcPr>
            <w:tcW w:w="2126" w:type="dxa"/>
            <w:tcBorders>
              <w:top w:val="single" w:sz="12" w:space="0" w:color="auto"/>
              <w:left w:val="nil"/>
              <w:bottom w:val="single" w:sz="4" w:space="0" w:color="auto"/>
              <w:right w:val="single" w:sz="4" w:space="0" w:color="auto"/>
            </w:tcBorders>
            <w:shd w:val="clear" w:color="auto" w:fill="auto"/>
            <w:vAlign w:val="center"/>
            <w:hideMark/>
          </w:tcPr>
          <w:p w14:paraId="5ACA66A3" w14:textId="77777777" w:rsidR="00AA0841" w:rsidRPr="00F45FF4" w:rsidRDefault="00AA0841" w:rsidP="00AA0841">
            <w:pPr>
              <w:jc w:val="center"/>
              <w:rPr>
                <w:sz w:val="18"/>
                <w:szCs w:val="18"/>
              </w:rPr>
            </w:pPr>
            <w:r w:rsidRPr="00F45FF4">
              <w:rPr>
                <w:sz w:val="18"/>
                <w:szCs w:val="18"/>
              </w:rPr>
              <w:t>9 in 10 years (2 years)</w:t>
            </w:r>
          </w:p>
        </w:tc>
        <w:tc>
          <w:tcPr>
            <w:tcW w:w="4678" w:type="dxa"/>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21D05A73" w14:textId="77777777" w:rsidR="00AA0841" w:rsidRPr="00F45FF4" w:rsidRDefault="00AA0841" w:rsidP="00AA0841">
            <w:pPr>
              <w:rPr>
                <w:sz w:val="18"/>
                <w:szCs w:val="18"/>
              </w:rPr>
            </w:pPr>
            <w:r w:rsidRPr="00F45FF4">
              <w:rPr>
                <w:sz w:val="18"/>
                <w:szCs w:val="18"/>
              </w:rPr>
              <w:t>All indicators met in 2010-11, 2011-12, 2012-13 and 2016-17 (high flow years during the last decade). 2013-14 and 2017-18 also saw high baseflows and moderate freshes. The drier years (2014-15, 2015-16, 2018-19 and 2019-20) saw contributions to the baseflows and a moderate fresh in 2019–20 of 15</w:t>
            </w:r>
            <w:r>
              <w:rPr>
                <w:sz w:val="18"/>
                <w:szCs w:val="18"/>
              </w:rPr>
              <w:t xml:space="preserve"> </w:t>
            </w:r>
            <w:r w:rsidRPr="00F45FF4">
              <w:rPr>
                <w:sz w:val="18"/>
                <w:szCs w:val="18"/>
              </w:rPr>
              <w:t>000 ML/day but only for a short duration</w:t>
            </w:r>
            <w:r w:rsidRPr="00F45FF4">
              <w:rPr>
                <w:sz w:val="18"/>
                <w:szCs w:val="18"/>
              </w:rPr>
              <w:br/>
            </w:r>
            <w:r w:rsidRPr="00F45FF4">
              <w:rPr>
                <w:sz w:val="18"/>
                <w:szCs w:val="18"/>
              </w:rPr>
              <w:br/>
              <w:t>All indicators have a high demand for 2020-21</w:t>
            </w:r>
          </w:p>
        </w:tc>
        <w:tc>
          <w:tcPr>
            <w:tcW w:w="1984" w:type="dxa"/>
            <w:tcBorders>
              <w:top w:val="single" w:sz="12" w:space="0" w:color="auto"/>
              <w:left w:val="single" w:sz="4" w:space="0" w:color="auto"/>
              <w:bottom w:val="single" w:sz="4" w:space="0" w:color="000000"/>
              <w:right w:val="single" w:sz="4" w:space="0" w:color="auto"/>
            </w:tcBorders>
            <w:shd w:val="clear" w:color="000000" w:fill="FF0000"/>
            <w:vAlign w:val="center"/>
            <w:hideMark/>
          </w:tcPr>
          <w:p w14:paraId="512AC272"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single" w:sz="12" w:space="0" w:color="auto"/>
              <w:left w:val="nil"/>
              <w:bottom w:val="single" w:sz="4" w:space="0" w:color="auto"/>
              <w:right w:val="single" w:sz="4" w:space="0" w:color="auto"/>
            </w:tcBorders>
            <w:shd w:val="clear" w:color="auto" w:fill="365F91" w:themeFill="accent1" w:themeFillShade="BF"/>
            <w:vAlign w:val="center"/>
            <w:hideMark/>
          </w:tcPr>
          <w:p w14:paraId="707272FE" w14:textId="77777777" w:rsidR="00AA0841" w:rsidRPr="00D842D9" w:rsidRDefault="00AA0841" w:rsidP="00AA0841">
            <w:pPr>
              <w:jc w:val="center"/>
              <w:rPr>
                <w:color w:val="auto"/>
                <w:sz w:val="18"/>
                <w:szCs w:val="18"/>
              </w:rPr>
            </w:pPr>
            <w:r w:rsidRPr="00D842D9">
              <w:rPr>
                <w:color w:val="auto"/>
                <w:sz w:val="18"/>
                <w:szCs w:val="18"/>
              </w:rPr>
              <w:t>A very high priority for watering in 2020-21, even in low resource availability.</w:t>
            </w:r>
          </w:p>
        </w:tc>
        <w:tc>
          <w:tcPr>
            <w:tcW w:w="2268" w:type="dxa"/>
            <w:tcBorders>
              <w:top w:val="single" w:sz="12" w:space="0" w:color="auto"/>
              <w:left w:val="nil"/>
              <w:bottom w:val="single" w:sz="4" w:space="0" w:color="auto"/>
              <w:right w:val="single" w:sz="12" w:space="0" w:color="auto"/>
            </w:tcBorders>
            <w:shd w:val="clear" w:color="000000" w:fill="FF0000"/>
            <w:vAlign w:val="center"/>
            <w:hideMark/>
          </w:tcPr>
          <w:p w14:paraId="71B26378"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3E340938" w14:textId="77777777" w:rsidTr="00AA0841">
        <w:trPr>
          <w:trHeight w:val="1425"/>
        </w:trPr>
        <w:tc>
          <w:tcPr>
            <w:tcW w:w="2552" w:type="dxa"/>
            <w:vMerge/>
            <w:tcBorders>
              <w:top w:val="nil"/>
              <w:left w:val="single" w:sz="12" w:space="0" w:color="auto"/>
              <w:bottom w:val="single" w:sz="4" w:space="0" w:color="auto"/>
              <w:right w:val="single" w:sz="4" w:space="0" w:color="auto"/>
            </w:tcBorders>
            <w:vAlign w:val="center"/>
            <w:hideMark/>
          </w:tcPr>
          <w:p w14:paraId="63F7CC4D" w14:textId="77777777" w:rsidR="00AA0841" w:rsidRPr="00321973" w:rsidRDefault="00AA0841" w:rsidP="00AA0841">
            <w:pPr>
              <w:rPr>
                <w:b/>
                <w:sz w:val="18"/>
                <w:szCs w:val="18"/>
              </w:rPr>
            </w:pPr>
          </w:p>
        </w:tc>
        <w:tc>
          <w:tcPr>
            <w:tcW w:w="4111" w:type="dxa"/>
            <w:tcBorders>
              <w:top w:val="nil"/>
              <w:left w:val="nil"/>
              <w:bottom w:val="single" w:sz="4" w:space="0" w:color="auto"/>
              <w:right w:val="single" w:sz="4" w:space="0" w:color="auto"/>
            </w:tcBorders>
            <w:shd w:val="clear" w:color="auto" w:fill="auto"/>
            <w:vAlign w:val="center"/>
            <w:hideMark/>
          </w:tcPr>
          <w:p w14:paraId="3465A19B" w14:textId="77777777" w:rsidR="00AA0841" w:rsidRPr="00F45FF4" w:rsidRDefault="00AA0841" w:rsidP="00AA0841">
            <w:pPr>
              <w:rPr>
                <w:sz w:val="18"/>
                <w:szCs w:val="18"/>
              </w:rPr>
            </w:pPr>
            <w:r w:rsidRPr="00F45FF4">
              <w:rPr>
                <w:sz w:val="18"/>
                <w:szCs w:val="18"/>
              </w:rPr>
              <w:t>Moderate fresh of 15</w:t>
            </w:r>
            <w:r>
              <w:rPr>
                <w:sz w:val="18"/>
                <w:szCs w:val="18"/>
              </w:rPr>
              <w:t xml:space="preserve"> </w:t>
            </w:r>
            <w:r w:rsidRPr="00F45FF4">
              <w:rPr>
                <w:sz w:val="18"/>
                <w:szCs w:val="18"/>
              </w:rPr>
              <w:t>000-25</w:t>
            </w:r>
            <w:r>
              <w:rPr>
                <w:sz w:val="18"/>
                <w:szCs w:val="18"/>
              </w:rPr>
              <w:t xml:space="preserve"> </w:t>
            </w:r>
            <w:r w:rsidRPr="00F45FF4">
              <w:rPr>
                <w:sz w:val="18"/>
                <w:szCs w:val="18"/>
              </w:rPr>
              <w:t xml:space="preserve">000 ML/day </w:t>
            </w:r>
            <w:r>
              <w:rPr>
                <w:sz w:val="18"/>
                <w:szCs w:val="18"/>
              </w:rPr>
              <w:t xml:space="preserve">at </w:t>
            </w:r>
            <w:r w:rsidRPr="00F45FF4">
              <w:rPr>
                <w:sz w:val="18"/>
                <w:szCs w:val="18"/>
              </w:rPr>
              <w:t>SA Border for up to 90 days in spring/summer for perch spawning and survival and other ecological benefits.</w:t>
            </w:r>
          </w:p>
        </w:tc>
        <w:tc>
          <w:tcPr>
            <w:tcW w:w="2126" w:type="dxa"/>
            <w:tcBorders>
              <w:top w:val="nil"/>
              <w:left w:val="nil"/>
              <w:bottom w:val="single" w:sz="4" w:space="0" w:color="auto"/>
              <w:right w:val="single" w:sz="4" w:space="0" w:color="auto"/>
            </w:tcBorders>
            <w:shd w:val="clear" w:color="auto" w:fill="auto"/>
            <w:vAlign w:val="center"/>
            <w:hideMark/>
          </w:tcPr>
          <w:p w14:paraId="39F585E9" w14:textId="77777777" w:rsidR="00AA0841" w:rsidRPr="00F45FF4" w:rsidRDefault="00AA0841" w:rsidP="00AA0841">
            <w:pPr>
              <w:jc w:val="center"/>
              <w:rPr>
                <w:sz w:val="18"/>
                <w:szCs w:val="18"/>
              </w:rPr>
            </w:pPr>
            <w:r w:rsidRPr="00F45FF4">
              <w:rPr>
                <w:sz w:val="18"/>
                <w:szCs w:val="18"/>
              </w:rPr>
              <w:t>2 in 3 years (2 years)</w:t>
            </w:r>
          </w:p>
        </w:tc>
        <w:tc>
          <w:tcPr>
            <w:tcW w:w="4678" w:type="dxa"/>
            <w:vMerge/>
            <w:tcBorders>
              <w:top w:val="nil"/>
              <w:left w:val="nil"/>
              <w:bottom w:val="single" w:sz="4" w:space="0" w:color="auto"/>
              <w:right w:val="single" w:sz="4" w:space="0" w:color="auto"/>
            </w:tcBorders>
            <w:vAlign w:val="center"/>
            <w:hideMark/>
          </w:tcPr>
          <w:p w14:paraId="1B1F03E1" w14:textId="77777777" w:rsidR="00AA0841" w:rsidRPr="00F45FF4" w:rsidRDefault="00AA0841" w:rsidP="00AA0841">
            <w:pPr>
              <w:rPr>
                <w:sz w:val="18"/>
                <w:szCs w:val="18"/>
              </w:rPr>
            </w:pPr>
          </w:p>
        </w:tc>
        <w:tc>
          <w:tcPr>
            <w:tcW w:w="1984" w:type="dxa"/>
            <w:tcBorders>
              <w:top w:val="single" w:sz="4" w:space="0" w:color="auto"/>
              <w:left w:val="single" w:sz="4" w:space="0" w:color="auto"/>
              <w:bottom w:val="single" w:sz="4" w:space="0" w:color="000000"/>
              <w:right w:val="single" w:sz="4" w:space="0" w:color="auto"/>
            </w:tcBorders>
            <w:shd w:val="clear" w:color="000000" w:fill="FF0000"/>
            <w:vAlign w:val="center"/>
            <w:hideMark/>
          </w:tcPr>
          <w:p w14:paraId="0FE4861D"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nil"/>
              <w:left w:val="nil"/>
              <w:bottom w:val="single" w:sz="4" w:space="0" w:color="auto"/>
              <w:right w:val="single" w:sz="4" w:space="0" w:color="auto"/>
            </w:tcBorders>
            <w:shd w:val="clear" w:color="auto" w:fill="365F91" w:themeFill="accent1" w:themeFillShade="BF"/>
            <w:vAlign w:val="center"/>
            <w:hideMark/>
          </w:tcPr>
          <w:p w14:paraId="4CF9C2ED" w14:textId="77777777" w:rsidR="00AA0841" w:rsidRPr="00D842D9" w:rsidRDefault="00AA0841" w:rsidP="00AA0841">
            <w:pPr>
              <w:jc w:val="center"/>
              <w:rPr>
                <w:color w:val="auto"/>
                <w:sz w:val="18"/>
                <w:szCs w:val="18"/>
              </w:rPr>
            </w:pPr>
            <w:r w:rsidRPr="00D842D9">
              <w:rPr>
                <w:color w:val="auto"/>
                <w:sz w:val="18"/>
                <w:szCs w:val="18"/>
              </w:rPr>
              <w:t>A very high priority for watering in 2020-21, noting that at least moderate resource availability (and potentially multiple water holder contributions) would be required and extended duration may be challenging.</w:t>
            </w:r>
          </w:p>
        </w:tc>
        <w:tc>
          <w:tcPr>
            <w:tcW w:w="2268" w:type="dxa"/>
            <w:tcBorders>
              <w:top w:val="nil"/>
              <w:left w:val="nil"/>
              <w:bottom w:val="single" w:sz="4" w:space="0" w:color="auto"/>
              <w:right w:val="single" w:sz="12" w:space="0" w:color="auto"/>
            </w:tcBorders>
            <w:shd w:val="clear" w:color="auto" w:fill="FF0000"/>
            <w:vAlign w:val="center"/>
            <w:hideMark/>
          </w:tcPr>
          <w:p w14:paraId="24B7E760"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5B1454AF" w14:textId="77777777" w:rsidTr="00AA0841">
        <w:trPr>
          <w:trHeight w:val="965"/>
        </w:trPr>
        <w:tc>
          <w:tcPr>
            <w:tcW w:w="2552" w:type="dxa"/>
            <w:vMerge/>
            <w:tcBorders>
              <w:top w:val="nil"/>
              <w:left w:val="single" w:sz="12" w:space="0" w:color="auto"/>
              <w:bottom w:val="single" w:sz="12" w:space="0" w:color="auto"/>
              <w:right w:val="single" w:sz="4" w:space="0" w:color="auto"/>
            </w:tcBorders>
            <w:vAlign w:val="center"/>
            <w:hideMark/>
          </w:tcPr>
          <w:p w14:paraId="6D527DC9" w14:textId="77777777" w:rsidR="00AA0841" w:rsidRPr="00321973" w:rsidRDefault="00AA0841" w:rsidP="00AA0841">
            <w:pPr>
              <w:rPr>
                <w:b/>
                <w:sz w:val="18"/>
                <w:szCs w:val="18"/>
              </w:rPr>
            </w:pPr>
          </w:p>
        </w:tc>
        <w:tc>
          <w:tcPr>
            <w:tcW w:w="4111" w:type="dxa"/>
            <w:tcBorders>
              <w:top w:val="nil"/>
              <w:left w:val="nil"/>
              <w:bottom w:val="single" w:sz="12" w:space="0" w:color="auto"/>
              <w:right w:val="single" w:sz="4" w:space="0" w:color="auto"/>
            </w:tcBorders>
            <w:shd w:val="clear" w:color="auto" w:fill="auto"/>
            <w:vAlign w:val="center"/>
            <w:hideMark/>
          </w:tcPr>
          <w:p w14:paraId="10B07D10" w14:textId="77777777" w:rsidR="00AA0841" w:rsidRPr="00F45FF4" w:rsidRDefault="00AA0841" w:rsidP="00AA0841">
            <w:pPr>
              <w:rPr>
                <w:sz w:val="18"/>
                <w:szCs w:val="18"/>
              </w:rPr>
            </w:pPr>
            <w:r w:rsidRPr="00F45FF4">
              <w:rPr>
                <w:sz w:val="18"/>
                <w:szCs w:val="18"/>
              </w:rPr>
              <w:t>Large fresh of 25</w:t>
            </w:r>
            <w:r>
              <w:rPr>
                <w:sz w:val="18"/>
                <w:szCs w:val="18"/>
              </w:rPr>
              <w:t xml:space="preserve"> </w:t>
            </w:r>
            <w:r w:rsidRPr="00F45FF4">
              <w:rPr>
                <w:sz w:val="18"/>
                <w:szCs w:val="18"/>
              </w:rPr>
              <w:t>000-35</w:t>
            </w:r>
            <w:r>
              <w:rPr>
                <w:sz w:val="18"/>
                <w:szCs w:val="18"/>
              </w:rPr>
              <w:t xml:space="preserve"> </w:t>
            </w:r>
            <w:r w:rsidRPr="00F45FF4">
              <w:rPr>
                <w:sz w:val="18"/>
                <w:szCs w:val="18"/>
              </w:rPr>
              <w:t xml:space="preserve">000 ML/day </w:t>
            </w:r>
            <w:r>
              <w:rPr>
                <w:sz w:val="18"/>
                <w:szCs w:val="18"/>
              </w:rPr>
              <w:t xml:space="preserve">at </w:t>
            </w:r>
            <w:r w:rsidRPr="00F45FF4">
              <w:rPr>
                <w:sz w:val="18"/>
                <w:szCs w:val="18"/>
              </w:rPr>
              <w:t>SA Border for up to 60 days in spring/summer for fish populations and other in-channel biota.</w:t>
            </w:r>
          </w:p>
        </w:tc>
        <w:tc>
          <w:tcPr>
            <w:tcW w:w="2126" w:type="dxa"/>
            <w:tcBorders>
              <w:top w:val="nil"/>
              <w:left w:val="nil"/>
              <w:bottom w:val="single" w:sz="12" w:space="0" w:color="auto"/>
              <w:right w:val="single" w:sz="4" w:space="0" w:color="auto"/>
            </w:tcBorders>
            <w:shd w:val="clear" w:color="auto" w:fill="auto"/>
            <w:vAlign w:val="center"/>
            <w:hideMark/>
          </w:tcPr>
          <w:p w14:paraId="5DBA77CC" w14:textId="77777777" w:rsidR="00AA0841" w:rsidRPr="00F45FF4" w:rsidRDefault="00AA0841" w:rsidP="00AA0841">
            <w:pPr>
              <w:jc w:val="center"/>
              <w:rPr>
                <w:sz w:val="18"/>
                <w:szCs w:val="18"/>
              </w:rPr>
            </w:pPr>
            <w:r w:rsidRPr="00F45FF4">
              <w:rPr>
                <w:sz w:val="18"/>
                <w:szCs w:val="18"/>
              </w:rPr>
              <w:t>1 in 2 years (3 years)</w:t>
            </w:r>
          </w:p>
        </w:tc>
        <w:tc>
          <w:tcPr>
            <w:tcW w:w="4678" w:type="dxa"/>
            <w:vMerge/>
            <w:tcBorders>
              <w:top w:val="nil"/>
              <w:left w:val="nil"/>
              <w:bottom w:val="single" w:sz="12" w:space="0" w:color="auto"/>
              <w:right w:val="single" w:sz="4" w:space="0" w:color="auto"/>
            </w:tcBorders>
            <w:vAlign w:val="center"/>
            <w:hideMark/>
          </w:tcPr>
          <w:p w14:paraId="5592B4A9" w14:textId="77777777" w:rsidR="00AA0841" w:rsidRPr="00F45FF4" w:rsidRDefault="00AA0841" w:rsidP="00AA0841">
            <w:pPr>
              <w:rPr>
                <w:sz w:val="18"/>
                <w:szCs w:val="18"/>
              </w:rPr>
            </w:pPr>
          </w:p>
        </w:tc>
        <w:tc>
          <w:tcPr>
            <w:tcW w:w="1984" w:type="dxa"/>
            <w:tcBorders>
              <w:top w:val="single" w:sz="4" w:space="0" w:color="auto"/>
              <w:left w:val="single" w:sz="4" w:space="0" w:color="auto"/>
              <w:bottom w:val="single" w:sz="12" w:space="0" w:color="auto"/>
              <w:right w:val="single" w:sz="4" w:space="0" w:color="auto"/>
            </w:tcBorders>
            <w:shd w:val="clear" w:color="000000" w:fill="FF0000"/>
            <w:vAlign w:val="center"/>
            <w:hideMark/>
          </w:tcPr>
          <w:p w14:paraId="78299248"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nil"/>
              <w:left w:val="nil"/>
              <w:bottom w:val="single" w:sz="12" w:space="0" w:color="auto"/>
              <w:right w:val="single" w:sz="4" w:space="0" w:color="auto"/>
            </w:tcBorders>
            <w:shd w:val="clear" w:color="auto" w:fill="95B3D7" w:themeFill="accent1" w:themeFillTint="99"/>
            <w:vAlign w:val="center"/>
            <w:hideMark/>
          </w:tcPr>
          <w:p w14:paraId="6DDDBAA8" w14:textId="77777777" w:rsidR="00AA0841" w:rsidRPr="00D842D9" w:rsidRDefault="00AA0841" w:rsidP="00AA0841">
            <w:pPr>
              <w:jc w:val="center"/>
              <w:rPr>
                <w:color w:val="auto"/>
                <w:sz w:val="18"/>
                <w:szCs w:val="18"/>
              </w:rPr>
            </w:pPr>
            <w:r w:rsidRPr="00D842D9">
              <w:rPr>
                <w:color w:val="auto"/>
                <w:sz w:val="18"/>
                <w:szCs w:val="18"/>
              </w:rPr>
              <w:t>High resource availability and tributary inflows would be required to deliver flows of this magnitude</w:t>
            </w:r>
          </w:p>
        </w:tc>
        <w:tc>
          <w:tcPr>
            <w:tcW w:w="2268" w:type="dxa"/>
            <w:tcBorders>
              <w:top w:val="nil"/>
              <w:left w:val="nil"/>
              <w:bottom w:val="single" w:sz="12" w:space="0" w:color="auto"/>
              <w:right w:val="single" w:sz="12" w:space="0" w:color="auto"/>
            </w:tcBorders>
            <w:shd w:val="clear" w:color="000000" w:fill="FFC000"/>
            <w:vAlign w:val="center"/>
            <w:hideMark/>
          </w:tcPr>
          <w:p w14:paraId="6E4EAB73" w14:textId="77777777" w:rsidR="00AA0841" w:rsidRPr="00D842D9" w:rsidRDefault="00AA0841" w:rsidP="00AA0841">
            <w:pPr>
              <w:jc w:val="center"/>
              <w:rPr>
                <w:color w:val="auto"/>
                <w:sz w:val="18"/>
                <w:szCs w:val="18"/>
              </w:rPr>
            </w:pPr>
            <w:r w:rsidRPr="00D842D9">
              <w:rPr>
                <w:color w:val="auto"/>
                <w:sz w:val="18"/>
                <w:szCs w:val="18"/>
              </w:rPr>
              <w:t>Moderate</w:t>
            </w:r>
          </w:p>
        </w:tc>
      </w:tr>
      <w:tr w:rsidR="00AA0841" w:rsidRPr="00D842D9" w14:paraId="500743E5" w14:textId="77777777" w:rsidTr="00AA0841">
        <w:trPr>
          <w:trHeight w:val="1710"/>
        </w:trPr>
        <w:tc>
          <w:tcPr>
            <w:tcW w:w="2552" w:type="dxa"/>
            <w:vMerge w:val="restart"/>
            <w:tcBorders>
              <w:top w:val="single" w:sz="12" w:space="0" w:color="auto"/>
              <w:left w:val="single" w:sz="12" w:space="0" w:color="auto"/>
              <w:right w:val="single" w:sz="4" w:space="0" w:color="auto"/>
            </w:tcBorders>
            <w:shd w:val="clear" w:color="auto" w:fill="auto"/>
            <w:hideMark/>
          </w:tcPr>
          <w:p w14:paraId="3601ABCB" w14:textId="77777777" w:rsidR="00AA0841" w:rsidRPr="00321973" w:rsidRDefault="00AA0841" w:rsidP="00AA0841">
            <w:pPr>
              <w:rPr>
                <w:b/>
                <w:sz w:val="18"/>
                <w:szCs w:val="18"/>
              </w:rPr>
            </w:pPr>
            <w:r w:rsidRPr="00321973">
              <w:rPr>
                <w:b/>
                <w:sz w:val="18"/>
                <w:szCs w:val="18"/>
              </w:rPr>
              <w:t>Hattah Lakes</w:t>
            </w:r>
            <w:r w:rsidRPr="00321973">
              <w:rPr>
                <w:b/>
                <w:sz w:val="18"/>
                <w:szCs w:val="18"/>
              </w:rPr>
              <w:br/>
            </w:r>
            <w:r w:rsidRPr="00321973">
              <w:rPr>
                <w:b/>
                <w:sz w:val="18"/>
                <w:szCs w:val="18"/>
              </w:rPr>
              <w:br/>
            </w:r>
          </w:p>
        </w:tc>
        <w:tc>
          <w:tcPr>
            <w:tcW w:w="4111" w:type="dxa"/>
            <w:tcBorders>
              <w:top w:val="single" w:sz="12" w:space="0" w:color="auto"/>
              <w:left w:val="nil"/>
              <w:bottom w:val="single" w:sz="4" w:space="0" w:color="auto"/>
              <w:right w:val="single" w:sz="4" w:space="0" w:color="auto"/>
            </w:tcBorders>
            <w:shd w:val="clear" w:color="auto" w:fill="auto"/>
            <w:vAlign w:val="center"/>
            <w:hideMark/>
          </w:tcPr>
          <w:p w14:paraId="79286C00" w14:textId="77777777" w:rsidR="00AA0841" w:rsidRPr="00F45FF4" w:rsidRDefault="00AA0841" w:rsidP="00AA0841">
            <w:pPr>
              <w:rPr>
                <w:sz w:val="18"/>
                <w:szCs w:val="18"/>
              </w:rPr>
            </w:pPr>
            <w:r w:rsidRPr="00F45FF4">
              <w:rPr>
                <w:sz w:val="18"/>
                <w:szCs w:val="18"/>
              </w:rPr>
              <w:t>Small action targeting temporary wetlands (inundation to 42-43 m AHD in winter/spring) - up to 22</w:t>
            </w:r>
            <w:r>
              <w:rPr>
                <w:sz w:val="18"/>
                <w:szCs w:val="18"/>
              </w:rPr>
              <w:t xml:space="preserve"> </w:t>
            </w:r>
            <w:r w:rsidRPr="00F45FF4">
              <w:rPr>
                <w:sz w:val="18"/>
                <w:szCs w:val="18"/>
              </w:rPr>
              <w:t>000 ML via infrastructure equivalent to natural event of 40</w:t>
            </w:r>
            <w:r>
              <w:rPr>
                <w:sz w:val="18"/>
                <w:szCs w:val="18"/>
              </w:rPr>
              <w:t xml:space="preserve"> </w:t>
            </w:r>
            <w:r w:rsidRPr="00F45FF4">
              <w:rPr>
                <w:sz w:val="18"/>
                <w:szCs w:val="18"/>
              </w:rPr>
              <w:t>000-50</w:t>
            </w:r>
            <w:r>
              <w:rPr>
                <w:sz w:val="18"/>
                <w:szCs w:val="18"/>
              </w:rPr>
              <w:t xml:space="preserve"> </w:t>
            </w:r>
            <w:r w:rsidRPr="00F45FF4">
              <w:rPr>
                <w:sz w:val="18"/>
                <w:szCs w:val="18"/>
              </w:rPr>
              <w:t>000 ML/day at Euston for 26-60 days.</w:t>
            </w:r>
          </w:p>
        </w:tc>
        <w:tc>
          <w:tcPr>
            <w:tcW w:w="2126" w:type="dxa"/>
            <w:tcBorders>
              <w:top w:val="single" w:sz="12" w:space="0" w:color="auto"/>
              <w:left w:val="nil"/>
              <w:bottom w:val="single" w:sz="4" w:space="0" w:color="auto"/>
              <w:right w:val="single" w:sz="4" w:space="0" w:color="auto"/>
            </w:tcBorders>
            <w:shd w:val="clear" w:color="auto" w:fill="auto"/>
            <w:vAlign w:val="center"/>
            <w:hideMark/>
          </w:tcPr>
          <w:p w14:paraId="1EC4335D" w14:textId="77777777" w:rsidR="00AA0841" w:rsidRPr="00F45FF4" w:rsidRDefault="00AA0841" w:rsidP="00AA0841">
            <w:pPr>
              <w:jc w:val="center"/>
              <w:rPr>
                <w:sz w:val="18"/>
                <w:szCs w:val="18"/>
              </w:rPr>
            </w:pPr>
            <w:r w:rsidRPr="00F45FF4">
              <w:rPr>
                <w:sz w:val="18"/>
                <w:szCs w:val="18"/>
              </w:rPr>
              <w:t>1 in 2-3 years (4 years)</w:t>
            </w:r>
          </w:p>
        </w:tc>
        <w:tc>
          <w:tcPr>
            <w:tcW w:w="4678" w:type="dxa"/>
            <w:vMerge w:val="restart"/>
            <w:tcBorders>
              <w:top w:val="single" w:sz="12" w:space="0" w:color="auto"/>
              <w:left w:val="single" w:sz="4" w:space="0" w:color="auto"/>
              <w:right w:val="single" w:sz="4" w:space="0" w:color="auto"/>
            </w:tcBorders>
            <w:shd w:val="clear" w:color="auto" w:fill="auto"/>
            <w:vAlign w:val="center"/>
            <w:hideMark/>
          </w:tcPr>
          <w:p w14:paraId="67F337E5" w14:textId="77777777" w:rsidR="00AA0841" w:rsidRPr="00F45FF4" w:rsidRDefault="00AA0841" w:rsidP="00AA0841">
            <w:pPr>
              <w:rPr>
                <w:sz w:val="18"/>
                <w:szCs w:val="18"/>
              </w:rPr>
            </w:pPr>
            <w:r w:rsidRPr="00F45FF4">
              <w:rPr>
                <w:sz w:val="18"/>
                <w:szCs w:val="18"/>
              </w:rPr>
              <w:t>All indicators met in 2016-17 (flood).</w:t>
            </w:r>
            <w:r w:rsidRPr="00F45FF4">
              <w:rPr>
                <w:sz w:val="18"/>
                <w:szCs w:val="18"/>
              </w:rPr>
              <w:br/>
            </w:r>
            <w:r w:rsidRPr="00F45FF4">
              <w:rPr>
                <w:sz w:val="18"/>
                <w:szCs w:val="18"/>
              </w:rPr>
              <w:br/>
              <w:t>Environmental water also delivered to 44.85 m AHD in 2017</w:t>
            </w:r>
            <w:r>
              <w:rPr>
                <w:sz w:val="18"/>
                <w:szCs w:val="18"/>
              </w:rPr>
              <w:noBreakHyphen/>
            </w:r>
            <w:r w:rsidRPr="00F45FF4">
              <w:rPr>
                <w:sz w:val="18"/>
                <w:szCs w:val="18"/>
              </w:rPr>
              <w:t>18.</w:t>
            </w:r>
          </w:p>
          <w:p w14:paraId="78B44679" w14:textId="77777777" w:rsidR="00AA0841" w:rsidRPr="00F45FF4" w:rsidRDefault="00AA0841" w:rsidP="00AA0841">
            <w:pPr>
              <w:rPr>
                <w:sz w:val="18"/>
                <w:szCs w:val="18"/>
              </w:rPr>
            </w:pPr>
            <w:r w:rsidRPr="00F45FF4">
              <w:rPr>
                <w:sz w:val="18"/>
                <w:szCs w:val="18"/>
              </w:rPr>
              <w:t>No additional water has been provided since then (with the exception of a small watering event at Lake Kramen in 2019</w:t>
            </w:r>
            <w:r>
              <w:rPr>
                <w:sz w:val="18"/>
                <w:szCs w:val="18"/>
              </w:rPr>
              <w:noBreakHyphen/>
            </w:r>
            <w:r w:rsidRPr="00F45FF4">
              <w:rPr>
                <w:sz w:val="18"/>
                <w:szCs w:val="18"/>
              </w:rPr>
              <w:t xml:space="preserve">20). </w:t>
            </w:r>
            <w:r w:rsidRPr="00F45FF4">
              <w:rPr>
                <w:sz w:val="18"/>
                <w:szCs w:val="18"/>
              </w:rPr>
              <w:br/>
            </w:r>
            <w:r w:rsidRPr="00F45FF4">
              <w:rPr>
                <w:sz w:val="18"/>
                <w:szCs w:val="18"/>
              </w:rPr>
              <w:br/>
            </w:r>
          </w:p>
        </w:tc>
        <w:tc>
          <w:tcPr>
            <w:tcW w:w="1984" w:type="dxa"/>
            <w:tcBorders>
              <w:top w:val="single" w:sz="12" w:space="0" w:color="auto"/>
              <w:left w:val="single" w:sz="4" w:space="0" w:color="auto"/>
              <w:bottom w:val="single" w:sz="4" w:space="0" w:color="auto"/>
              <w:right w:val="single" w:sz="4" w:space="0" w:color="auto"/>
            </w:tcBorders>
            <w:shd w:val="clear" w:color="auto" w:fill="FFC000"/>
            <w:vAlign w:val="center"/>
            <w:hideMark/>
          </w:tcPr>
          <w:p w14:paraId="37007A95" w14:textId="77777777" w:rsidR="00AA0841" w:rsidRPr="00D842D9" w:rsidRDefault="00AA0841" w:rsidP="00AA0841">
            <w:pPr>
              <w:jc w:val="center"/>
              <w:rPr>
                <w:color w:val="auto"/>
                <w:sz w:val="18"/>
                <w:szCs w:val="18"/>
              </w:rPr>
            </w:pPr>
            <w:r w:rsidRPr="00D842D9">
              <w:rPr>
                <w:color w:val="auto"/>
                <w:sz w:val="18"/>
                <w:szCs w:val="18"/>
              </w:rPr>
              <w:t>Moderate</w:t>
            </w:r>
          </w:p>
        </w:tc>
        <w:tc>
          <w:tcPr>
            <w:tcW w:w="4253" w:type="dxa"/>
            <w:tcBorders>
              <w:top w:val="single" w:sz="12" w:space="0" w:color="auto"/>
              <w:left w:val="single" w:sz="4" w:space="0" w:color="auto"/>
              <w:bottom w:val="single" w:sz="4" w:space="0" w:color="auto"/>
              <w:right w:val="single" w:sz="4" w:space="0" w:color="auto"/>
            </w:tcBorders>
            <w:shd w:val="clear" w:color="000000" w:fill="FFFFFF"/>
            <w:vAlign w:val="center"/>
            <w:hideMark/>
          </w:tcPr>
          <w:p w14:paraId="286B6BE4" w14:textId="77777777" w:rsidR="00AA0841" w:rsidRPr="00D842D9" w:rsidRDefault="00AA0841" w:rsidP="00AA0841">
            <w:pPr>
              <w:jc w:val="center"/>
              <w:rPr>
                <w:color w:val="auto"/>
                <w:sz w:val="18"/>
                <w:szCs w:val="18"/>
              </w:rPr>
            </w:pPr>
            <w:r w:rsidRPr="00D842D9">
              <w:rPr>
                <w:color w:val="auto"/>
                <w:sz w:val="18"/>
                <w:szCs w:val="18"/>
              </w:rPr>
              <w:t>Environmental needs likely to be met by other sources of environmental water.</w:t>
            </w:r>
          </w:p>
        </w:tc>
        <w:tc>
          <w:tcPr>
            <w:tcW w:w="2268" w:type="dxa"/>
            <w:tcBorders>
              <w:top w:val="single" w:sz="12" w:space="0" w:color="auto"/>
              <w:left w:val="single" w:sz="4" w:space="0" w:color="auto"/>
              <w:bottom w:val="single" w:sz="4" w:space="0" w:color="auto"/>
              <w:right w:val="single" w:sz="12" w:space="0" w:color="auto"/>
            </w:tcBorders>
            <w:shd w:val="clear" w:color="auto" w:fill="FFC000"/>
            <w:vAlign w:val="center"/>
            <w:hideMark/>
          </w:tcPr>
          <w:p w14:paraId="3C16C16D" w14:textId="77777777" w:rsidR="00AA0841" w:rsidRPr="00D842D9" w:rsidRDefault="00AA0841" w:rsidP="00AA0841">
            <w:pPr>
              <w:jc w:val="center"/>
              <w:rPr>
                <w:color w:val="auto"/>
                <w:sz w:val="18"/>
                <w:szCs w:val="18"/>
              </w:rPr>
            </w:pPr>
            <w:r w:rsidRPr="00D842D9">
              <w:rPr>
                <w:color w:val="auto"/>
                <w:sz w:val="18"/>
                <w:szCs w:val="18"/>
              </w:rPr>
              <w:t>Moderate</w:t>
            </w:r>
          </w:p>
        </w:tc>
      </w:tr>
      <w:tr w:rsidR="00AA0841" w:rsidRPr="00D842D9" w14:paraId="34B4E1C8" w14:textId="77777777" w:rsidTr="00AA0841">
        <w:trPr>
          <w:trHeight w:val="1502"/>
        </w:trPr>
        <w:tc>
          <w:tcPr>
            <w:tcW w:w="2552" w:type="dxa"/>
            <w:vMerge/>
            <w:tcBorders>
              <w:top w:val="single" w:sz="4" w:space="0" w:color="auto"/>
              <w:left w:val="single" w:sz="12" w:space="0" w:color="auto"/>
              <w:right w:val="single" w:sz="4" w:space="0" w:color="auto"/>
            </w:tcBorders>
            <w:vAlign w:val="center"/>
            <w:hideMark/>
          </w:tcPr>
          <w:p w14:paraId="41C4851A" w14:textId="77777777" w:rsidR="00AA0841" w:rsidRPr="00F45FF4" w:rsidRDefault="00AA0841" w:rsidP="00AA0841">
            <w:pPr>
              <w:rPr>
                <w:sz w:val="18"/>
                <w:szCs w:val="18"/>
              </w:rPr>
            </w:pPr>
          </w:p>
        </w:tc>
        <w:tc>
          <w:tcPr>
            <w:tcW w:w="4111" w:type="dxa"/>
            <w:tcBorders>
              <w:top w:val="single" w:sz="4" w:space="0" w:color="auto"/>
              <w:left w:val="nil"/>
              <w:bottom w:val="single" w:sz="4" w:space="0" w:color="auto"/>
              <w:right w:val="single" w:sz="4" w:space="0" w:color="auto"/>
            </w:tcBorders>
            <w:shd w:val="clear" w:color="auto" w:fill="auto"/>
            <w:vAlign w:val="center"/>
            <w:hideMark/>
          </w:tcPr>
          <w:p w14:paraId="2B331947" w14:textId="77777777" w:rsidR="00AA0841" w:rsidRPr="00F45FF4" w:rsidRDefault="00AA0841" w:rsidP="00AA0841">
            <w:pPr>
              <w:rPr>
                <w:sz w:val="18"/>
                <w:szCs w:val="18"/>
              </w:rPr>
            </w:pPr>
            <w:r w:rsidRPr="00F45FF4">
              <w:rPr>
                <w:sz w:val="18"/>
                <w:szCs w:val="18"/>
              </w:rPr>
              <w:t>Moderate action targeting wetlands and fringing river red gums (inundation to 43.5 m AHD for 90 days in winter/spring) - up to 40</w:t>
            </w:r>
            <w:r>
              <w:rPr>
                <w:sz w:val="18"/>
                <w:szCs w:val="18"/>
              </w:rPr>
              <w:t xml:space="preserve"> </w:t>
            </w:r>
            <w:r w:rsidRPr="00F45FF4">
              <w:rPr>
                <w:sz w:val="18"/>
                <w:szCs w:val="18"/>
              </w:rPr>
              <w:t>000 ML via infrastructure equivalent to natural event of 85</w:t>
            </w:r>
            <w:r>
              <w:rPr>
                <w:sz w:val="18"/>
                <w:szCs w:val="18"/>
              </w:rPr>
              <w:t xml:space="preserve"> </w:t>
            </w:r>
            <w:r w:rsidRPr="00F45FF4">
              <w:rPr>
                <w:sz w:val="18"/>
                <w:szCs w:val="18"/>
              </w:rPr>
              <w:t>000 ML/day at Euston for 7-30 days.</w:t>
            </w:r>
          </w:p>
        </w:tc>
        <w:tc>
          <w:tcPr>
            <w:tcW w:w="2126" w:type="dxa"/>
            <w:tcBorders>
              <w:top w:val="nil"/>
              <w:left w:val="nil"/>
              <w:bottom w:val="single" w:sz="4" w:space="0" w:color="auto"/>
              <w:right w:val="single" w:sz="4" w:space="0" w:color="auto"/>
            </w:tcBorders>
            <w:shd w:val="clear" w:color="auto" w:fill="auto"/>
            <w:vAlign w:val="center"/>
            <w:hideMark/>
          </w:tcPr>
          <w:p w14:paraId="625D82AC" w14:textId="77777777" w:rsidR="00AA0841" w:rsidRPr="00F45FF4" w:rsidRDefault="00AA0841" w:rsidP="00AA0841">
            <w:pPr>
              <w:jc w:val="center"/>
              <w:rPr>
                <w:sz w:val="18"/>
                <w:szCs w:val="18"/>
              </w:rPr>
            </w:pPr>
            <w:r w:rsidRPr="00F45FF4">
              <w:rPr>
                <w:sz w:val="18"/>
                <w:szCs w:val="18"/>
              </w:rPr>
              <w:t>1 in 3 years (7 years)</w:t>
            </w:r>
          </w:p>
        </w:tc>
        <w:tc>
          <w:tcPr>
            <w:tcW w:w="4678" w:type="dxa"/>
            <w:vMerge/>
            <w:tcBorders>
              <w:left w:val="single" w:sz="4" w:space="0" w:color="auto"/>
              <w:right w:val="single" w:sz="4" w:space="0" w:color="auto"/>
            </w:tcBorders>
            <w:vAlign w:val="center"/>
            <w:hideMark/>
          </w:tcPr>
          <w:p w14:paraId="386ADE12" w14:textId="77777777" w:rsidR="00AA0841" w:rsidRPr="00F45FF4" w:rsidRDefault="00AA0841" w:rsidP="00AA0841">
            <w:pPr>
              <w:rPr>
                <w:sz w:val="18"/>
                <w:szCs w:val="18"/>
              </w:rPr>
            </w:pPr>
          </w:p>
        </w:tc>
        <w:tc>
          <w:tcPr>
            <w:tcW w:w="1984"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76D62D5B" w14:textId="77777777" w:rsidR="00AA0841" w:rsidRPr="00D842D9" w:rsidRDefault="00AA0841" w:rsidP="00AA0841">
            <w:pPr>
              <w:jc w:val="center"/>
              <w:rPr>
                <w:color w:val="auto"/>
                <w:sz w:val="18"/>
                <w:szCs w:val="18"/>
              </w:rPr>
            </w:pPr>
            <w:r w:rsidRPr="00D842D9">
              <w:rPr>
                <w:color w:val="auto"/>
                <w:sz w:val="18"/>
                <w:szCs w:val="18"/>
              </w:rPr>
              <w:t>Moderate</w:t>
            </w:r>
          </w:p>
        </w:tc>
        <w:tc>
          <w:tcPr>
            <w:tcW w:w="4253"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1196ED94" w14:textId="77777777" w:rsidR="00AA0841" w:rsidRPr="00D842D9" w:rsidRDefault="00AA0841" w:rsidP="00AA0841">
            <w:pPr>
              <w:jc w:val="center"/>
              <w:rPr>
                <w:color w:val="auto"/>
                <w:sz w:val="18"/>
                <w:szCs w:val="18"/>
              </w:rPr>
            </w:pPr>
            <w:r w:rsidRPr="00D842D9">
              <w:rPr>
                <w:color w:val="auto"/>
                <w:sz w:val="18"/>
                <w:szCs w:val="18"/>
              </w:rPr>
              <w:t>Only likely to be delivered under moderate to high water resource availability</w:t>
            </w:r>
          </w:p>
        </w:tc>
        <w:tc>
          <w:tcPr>
            <w:tcW w:w="2268" w:type="dxa"/>
            <w:tcBorders>
              <w:top w:val="single" w:sz="4" w:space="0" w:color="auto"/>
              <w:left w:val="single" w:sz="4" w:space="0" w:color="auto"/>
              <w:bottom w:val="single" w:sz="4" w:space="0" w:color="auto"/>
              <w:right w:val="single" w:sz="12" w:space="0" w:color="auto"/>
            </w:tcBorders>
            <w:shd w:val="clear" w:color="auto" w:fill="FFC000"/>
            <w:vAlign w:val="center"/>
            <w:hideMark/>
          </w:tcPr>
          <w:p w14:paraId="6625016F" w14:textId="77777777" w:rsidR="00AA0841" w:rsidRPr="00D842D9" w:rsidRDefault="00AA0841" w:rsidP="00AA0841">
            <w:pPr>
              <w:jc w:val="center"/>
              <w:rPr>
                <w:color w:val="auto"/>
                <w:sz w:val="18"/>
                <w:szCs w:val="18"/>
              </w:rPr>
            </w:pPr>
            <w:r w:rsidRPr="00D842D9">
              <w:rPr>
                <w:color w:val="auto"/>
                <w:sz w:val="18"/>
                <w:szCs w:val="18"/>
              </w:rPr>
              <w:t>Moderate</w:t>
            </w:r>
          </w:p>
        </w:tc>
      </w:tr>
      <w:tr w:rsidR="00AA0841" w:rsidRPr="00D842D9" w14:paraId="32580297" w14:textId="77777777" w:rsidTr="00AA0841">
        <w:trPr>
          <w:trHeight w:val="1502"/>
        </w:trPr>
        <w:tc>
          <w:tcPr>
            <w:tcW w:w="2552" w:type="dxa"/>
            <w:tcBorders>
              <w:left w:val="single" w:sz="12" w:space="0" w:color="auto"/>
              <w:bottom w:val="single" w:sz="12" w:space="0" w:color="auto"/>
              <w:right w:val="single" w:sz="4" w:space="0" w:color="auto"/>
            </w:tcBorders>
            <w:vAlign w:val="center"/>
          </w:tcPr>
          <w:p w14:paraId="1A46830F" w14:textId="77777777" w:rsidR="00AA0841" w:rsidRPr="00F45FF4" w:rsidRDefault="00AA0841" w:rsidP="00AA0841">
            <w:pPr>
              <w:rPr>
                <w:sz w:val="18"/>
                <w:szCs w:val="18"/>
              </w:rPr>
            </w:pPr>
          </w:p>
        </w:tc>
        <w:tc>
          <w:tcPr>
            <w:tcW w:w="4111" w:type="dxa"/>
            <w:tcBorders>
              <w:top w:val="single" w:sz="4" w:space="0" w:color="auto"/>
              <w:left w:val="nil"/>
              <w:bottom w:val="single" w:sz="12" w:space="0" w:color="auto"/>
              <w:right w:val="single" w:sz="4" w:space="0" w:color="auto"/>
            </w:tcBorders>
            <w:shd w:val="clear" w:color="auto" w:fill="auto"/>
            <w:vAlign w:val="center"/>
          </w:tcPr>
          <w:p w14:paraId="1E1EA247" w14:textId="77777777" w:rsidR="00AA0841" w:rsidRPr="00F45FF4" w:rsidRDefault="00AA0841" w:rsidP="00AA0841">
            <w:pPr>
              <w:rPr>
                <w:sz w:val="18"/>
                <w:szCs w:val="18"/>
              </w:rPr>
            </w:pPr>
            <w:r w:rsidRPr="00F45FF4">
              <w:rPr>
                <w:sz w:val="18"/>
                <w:szCs w:val="18"/>
              </w:rPr>
              <w:t>Large event targeting wetland and river red gum/black box woodlands on floodplain (inundation to 45 m AHD for 90 days) - up to 120</w:t>
            </w:r>
            <w:r>
              <w:rPr>
                <w:sz w:val="18"/>
                <w:szCs w:val="18"/>
              </w:rPr>
              <w:t xml:space="preserve"> </w:t>
            </w:r>
            <w:r w:rsidRPr="00F45FF4">
              <w:rPr>
                <w:sz w:val="18"/>
                <w:szCs w:val="18"/>
              </w:rPr>
              <w:t>000 ML via infrastructure equivalent to natural event of 150</w:t>
            </w:r>
            <w:r>
              <w:rPr>
                <w:sz w:val="18"/>
                <w:szCs w:val="18"/>
              </w:rPr>
              <w:t xml:space="preserve"> </w:t>
            </w:r>
            <w:r w:rsidRPr="00F45FF4">
              <w:rPr>
                <w:sz w:val="18"/>
                <w:szCs w:val="18"/>
              </w:rPr>
              <w:t>000 ML/day at Euston for 7 days anytime in the year.</w:t>
            </w:r>
          </w:p>
        </w:tc>
        <w:tc>
          <w:tcPr>
            <w:tcW w:w="2126" w:type="dxa"/>
            <w:tcBorders>
              <w:top w:val="single" w:sz="4" w:space="0" w:color="auto"/>
              <w:left w:val="nil"/>
              <w:bottom w:val="single" w:sz="12" w:space="0" w:color="auto"/>
              <w:right w:val="single" w:sz="4" w:space="0" w:color="auto"/>
            </w:tcBorders>
            <w:shd w:val="clear" w:color="auto" w:fill="auto"/>
            <w:vAlign w:val="center"/>
          </w:tcPr>
          <w:p w14:paraId="184450BE" w14:textId="77777777" w:rsidR="00AA0841" w:rsidRPr="00F45FF4" w:rsidRDefault="00AA0841" w:rsidP="00AA0841">
            <w:pPr>
              <w:jc w:val="center"/>
              <w:rPr>
                <w:sz w:val="18"/>
                <w:szCs w:val="18"/>
              </w:rPr>
            </w:pPr>
            <w:r w:rsidRPr="00F45FF4">
              <w:rPr>
                <w:sz w:val="18"/>
                <w:szCs w:val="18"/>
              </w:rPr>
              <w:t>1 in 8 years (12 years)</w:t>
            </w:r>
          </w:p>
        </w:tc>
        <w:tc>
          <w:tcPr>
            <w:tcW w:w="4678" w:type="dxa"/>
            <w:vMerge/>
            <w:tcBorders>
              <w:left w:val="single" w:sz="4" w:space="0" w:color="auto"/>
              <w:bottom w:val="single" w:sz="12" w:space="0" w:color="auto"/>
              <w:right w:val="single" w:sz="4" w:space="0" w:color="auto"/>
            </w:tcBorders>
            <w:vAlign w:val="center"/>
          </w:tcPr>
          <w:p w14:paraId="0FDA3F6D" w14:textId="77777777" w:rsidR="00AA0841" w:rsidRPr="00F45FF4" w:rsidRDefault="00AA0841" w:rsidP="00AA0841">
            <w:pPr>
              <w:rPr>
                <w:sz w:val="18"/>
                <w:szCs w:val="18"/>
              </w:rPr>
            </w:pPr>
          </w:p>
        </w:tc>
        <w:tc>
          <w:tcPr>
            <w:tcW w:w="1984" w:type="dxa"/>
            <w:tcBorders>
              <w:top w:val="single" w:sz="4" w:space="0" w:color="auto"/>
              <w:left w:val="single" w:sz="4" w:space="0" w:color="auto"/>
              <w:bottom w:val="single" w:sz="12" w:space="0" w:color="auto"/>
              <w:right w:val="single" w:sz="4" w:space="0" w:color="auto"/>
            </w:tcBorders>
            <w:shd w:val="clear" w:color="auto" w:fill="92D050"/>
            <w:vAlign w:val="center"/>
          </w:tcPr>
          <w:p w14:paraId="42BFE721" w14:textId="77777777" w:rsidR="00AA0841" w:rsidRPr="00D842D9" w:rsidRDefault="00AA0841" w:rsidP="00AA0841">
            <w:pPr>
              <w:jc w:val="center"/>
              <w:rPr>
                <w:color w:val="auto"/>
                <w:sz w:val="18"/>
                <w:szCs w:val="18"/>
              </w:rPr>
            </w:pPr>
            <w:r w:rsidRPr="00D842D9">
              <w:rPr>
                <w:color w:val="auto"/>
                <w:sz w:val="18"/>
                <w:szCs w:val="18"/>
              </w:rPr>
              <w:t>Low</w:t>
            </w:r>
          </w:p>
        </w:tc>
        <w:tc>
          <w:tcPr>
            <w:tcW w:w="4253" w:type="dxa"/>
            <w:tcBorders>
              <w:top w:val="single" w:sz="4" w:space="0" w:color="auto"/>
              <w:left w:val="single" w:sz="4" w:space="0" w:color="auto"/>
              <w:bottom w:val="single" w:sz="12" w:space="0" w:color="auto"/>
              <w:right w:val="single" w:sz="4" w:space="0" w:color="auto"/>
            </w:tcBorders>
            <w:shd w:val="clear" w:color="auto" w:fill="95B3D7" w:themeFill="accent1" w:themeFillTint="99"/>
            <w:vAlign w:val="center"/>
          </w:tcPr>
          <w:p w14:paraId="5712AF1C" w14:textId="77777777" w:rsidR="00AA0841" w:rsidRPr="00D842D9" w:rsidRDefault="00AA0841" w:rsidP="00AA0841">
            <w:pPr>
              <w:jc w:val="center"/>
              <w:rPr>
                <w:color w:val="auto"/>
                <w:sz w:val="18"/>
                <w:szCs w:val="18"/>
              </w:rPr>
            </w:pPr>
            <w:r w:rsidRPr="00D842D9">
              <w:rPr>
                <w:color w:val="auto"/>
                <w:sz w:val="18"/>
                <w:szCs w:val="18"/>
              </w:rPr>
              <w:t>Only likely to be delivered after a large natural overbank flow</w:t>
            </w:r>
          </w:p>
        </w:tc>
        <w:tc>
          <w:tcPr>
            <w:tcW w:w="2268" w:type="dxa"/>
            <w:tcBorders>
              <w:top w:val="single" w:sz="4" w:space="0" w:color="auto"/>
              <w:left w:val="single" w:sz="4" w:space="0" w:color="auto"/>
              <w:bottom w:val="single" w:sz="12" w:space="0" w:color="auto"/>
              <w:right w:val="single" w:sz="12" w:space="0" w:color="auto"/>
            </w:tcBorders>
            <w:shd w:val="clear" w:color="auto" w:fill="92D050"/>
            <w:vAlign w:val="center"/>
          </w:tcPr>
          <w:p w14:paraId="02D4A203" w14:textId="77777777" w:rsidR="00AA0841" w:rsidRPr="00D842D9" w:rsidRDefault="00AA0841" w:rsidP="00AA0841">
            <w:pPr>
              <w:jc w:val="center"/>
              <w:rPr>
                <w:color w:val="auto"/>
                <w:sz w:val="18"/>
                <w:szCs w:val="18"/>
              </w:rPr>
            </w:pPr>
            <w:r w:rsidRPr="00D842D9">
              <w:rPr>
                <w:color w:val="auto"/>
                <w:sz w:val="18"/>
                <w:szCs w:val="18"/>
              </w:rPr>
              <w:t>Low</w:t>
            </w:r>
          </w:p>
        </w:tc>
      </w:tr>
      <w:tr w:rsidR="00AA0841" w:rsidRPr="00D842D9" w14:paraId="2B279BC7" w14:textId="77777777" w:rsidTr="00AA0841">
        <w:trPr>
          <w:trHeight w:val="1461"/>
        </w:trPr>
        <w:tc>
          <w:tcPr>
            <w:tcW w:w="2552" w:type="dxa"/>
            <w:vMerge w:val="restart"/>
            <w:tcBorders>
              <w:top w:val="single" w:sz="12" w:space="0" w:color="auto"/>
              <w:left w:val="single" w:sz="12" w:space="0" w:color="auto"/>
              <w:right w:val="single" w:sz="4" w:space="0" w:color="auto"/>
            </w:tcBorders>
            <w:shd w:val="clear" w:color="auto" w:fill="auto"/>
            <w:hideMark/>
          </w:tcPr>
          <w:p w14:paraId="756828DB" w14:textId="77777777" w:rsidR="00AA0841" w:rsidRPr="00321973" w:rsidRDefault="00AA0841" w:rsidP="00AA0841">
            <w:pPr>
              <w:rPr>
                <w:b/>
                <w:sz w:val="18"/>
                <w:szCs w:val="18"/>
              </w:rPr>
            </w:pPr>
            <w:r w:rsidRPr="00321973">
              <w:rPr>
                <w:b/>
                <w:sz w:val="18"/>
                <w:szCs w:val="18"/>
              </w:rPr>
              <w:t>Floodplain and wetlands from Euston to South Australian border</w:t>
            </w:r>
          </w:p>
        </w:tc>
        <w:tc>
          <w:tcPr>
            <w:tcW w:w="4111" w:type="dxa"/>
            <w:tcBorders>
              <w:top w:val="single" w:sz="12" w:space="0" w:color="auto"/>
              <w:left w:val="nil"/>
              <w:bottom w:val="single" w:sz="4" w:space="0" w:color="auto"/>
              <w:right w:val="single" w:sz="4" w:space="0" w:color="auto"/>
            </w:tcBorders>
            <w:shd w:val="clear" w:color="auto" w:fill="auto"/>
            <w:vAlign w:val="center"/>
            <w:hideMark/>
          </w:tcPr>
          <w:p w14:paraId="37F44DC6" w14:textId="77777777" w:rsidR="00AA0841" w:rsidRPr="00F45FF4" w:rsidRDefault="00AA0841" w:rsidP="00AA0841">
            <w:pPr>
              <w:rPr>
                <w:sz w:val="18"/>
                <w:szCs w:val="18"/>
              </w:rPr>
            </w:pPr>
            <w:r w:rsidRPr="00F45FF4">
              <w:rPr>
                <w:sz w:val="18"/>
                <w:szCs w:val="18"/>
              </w:rPr>
              <w:t>30</w:t>
            </w:r>
            <w:r>
              <w:rPr>
                <w:sz w:val="18"/>
                <w:szCs w:val="18"/>
              </w:rPr>
              <w:t xml:space="preserve"> </w:t>
            </w:r>
            <w:r w:rsidRPr="00F45FF4">
              <w:rPr>
                <w:sz w:val="18"/>
                <w:szCs w:val="18"/>
              </w:rPr>
              <w:t>000 ML/day at Lock 8 for 30-60 days targeting low lying wetlands and anabranches, or priority areas via infrastructure.</w:t>
            </w:r>
          </w:p>
        </w:tc>
        <w:tc>
          <w:tcPr>
            <w:tcW w:w="2126" w:type="dxa"/>
            <w:tcBorders>
              <w:top w:val="single" w:sz="12" w:space="0" w:color="auto"/>
              <w:left w:val="nil"/>
              <w:bottom w:val="single" w:sz="4" w:space="0" w:color="auto"/>
              <w:right w:val="single" w:sz="4" w:space="0" w:color="auto"/>
            </w:tcBorders>
            <w:shd w:val="clear" w:color="auto" w:fill="auto"/>
            <w:vAlign w:val="center"/>
            <w:hideMark/>
          </w:tcPr>
          <w:p w14:paraId="32587448" w14:textId="77777777" w:rsidR="00AA0841" w:rsidRPr="00F45FF4" w:rsidRDefault="00AA0841" w:rsidP="00AA0841">
            <w:pPr>
              <w:jc w:val="center"/>
              <w:rPr>
                <w:sz w:val="18"/>
                <w:szCs w:val="18"/>
              </w:rPr>
            </w:pPr>
            <w:r w:rsidRPr="00F45FF4">
              <w:rPr>
                <w:sz w:val="18"/>
                <w:szCs w:val="18"/>
              </w:rPr>
              <w:t>2 in 5 years (4 years)</w:t>
            </w:r>
          </w:p>
        </w:tc>
        <w:tc>
          <w:tcPr>
            <w:tcW w:w="4678" w:type="dxa"/>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0671AF59" w14:textId="77777777" w:rsidR="00AA0841" w:rsidRPr="00F45FF4" w:rsidRDefault="00AA0841" w:rsidP="00AA0841">
            <w:pPr>
              <w:rPr>
                <w:sz w:val="18"/>
                <w:szCs w:val="18"/>
              </w:rPr>
            </w:pPr>
            <w:r w:rsidRPr="00F45FF4">
              <w:rPr>
                <w:sz w:val="18"/>
                <w:szCs w:val="18"/>
              </w:rPr>
              <w:t>All indicators met in 2016-17 (flood).</w:t>
            </w:r>
          </w:p>
          <w:p w14:paraId="52609DDB" w14:textId="77777777" w:rsidR="00AA0841" w:rsidRPr="00F45FF4" w:rsidRDefault="00AA0841" w:rsidP="00AA0841">
            <w:pPr>
              <w:rPr>
                <w:sz w:val="18"/>
                <w:szCs w:val="18"/>
              </w:rPr>
            </w:pPr>
            <w:r w:rsidRPr="00F45FF4">
              <w:rPr>
                <w:sz w:val="18"/>
                <w:szCs w:val="18"/>
              </w:rPr>
              <w:t>Environmental water delivered to targeted wetland sites in 2017-18, 2018</w:t>
            </w:r>
            <w:r>
              <w:rPr>
                <w:sz w:val="18"/>
                <w:szCs w:val="18"/>
              </w:rPr>
              <w:t>-</w:t>
            </w:r>
            <w:r w:rsidRPr="00F45FF4">
              <w:rPr>
                <w:sz w:val="18"/>
                <w:szCs w:val="18"/>
              </w:rPr>
              <w:t>19 and (to a lesser extent) 2019-20 across a range of floodplain elevation levels. However, the majority of sites have not received water since 2016-17</w:t>
            </w:r>
          </w:p>
          <w:p w14:paraId="5F94C10F" w14:textId="77777777" w:rsidR="00AA0841" w:rsidRPr="00F45FF4" w:rsidRDefault="00AA0841" w:rsidP="00AA0841">
            <w:pPr>
              <w:rPr>
                <w:rFonts w:cs="Times New Roman"/>
                <w:color w:val="auto"/>
                <w:sz w:val="18"/>
                <w:szCs w:val="18"/>
              </w:rPr>
            </w:pPr>
            <w:r w:rsidRPr="00F45FF4">
              <w:rPr>
                <w:sz w:val="18"/>
                <w:szCs w:val="18"/>
              </w:rPr>
              <w:t>Therefore the environmental water demand has been assessed as high for small to medium overbank flows and moderate for larger overbank flows.</w:t>
            </w:r>
          </w:p>
          <w:p w14:paraId="68BF48DE" w14:textId="77777777" w:rsidR="00AA0841" w:rsidRPr="00F45FF4" w:rsidRDefault="00AA0841" w:rsidP="00AA0841">
            <w:pPr>
              <w:rPr>
                <w:sz w:val="18"/>
                <w:szCs w:val="18"/>
              </w:rPr>
            </w:pPr>
          </w:p>
        </w:tc>
        <w:tc>
          <w:tcPr>
            <w:tcW w:w="1984" w:type="dxa"/>
            <w:tcBorders>
              <w:top w:val="single" w:sz="12" w:space="0" w:color="auto"/>
              <w:left w:val="nil"/>
              <w:bottom w:val="single" w:sz="4" w:space="0" w:color="auto"/>
              <w:right w:val="single" w:sz="4" w:space="0" w:color="auto"/>
            </w:tcBorders>
            <w:shd w:val="clear" w:color="auto" w:fill="FF0000"/>
            <w:vAlign w:val="center"/>
            <w:hideMark/>
          </w:tcPr>
          <w:p w14:paraId="0D5B667C"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vMerge w:val="restart"/>
            <w:tcBorders>
              <w:top w:val="single" w:sz="12" w:space="0" w:color="auto"/>
              <w:left w:val="single" w:sz="4" w:space="0" w:color="auto"/>
              <w:right w:val="single" w:sz="4" w:space="0" w:color="auto"/>
            </w:tcBorders>
            <w:shd w:val="clear" w:color="auto" w:fill="95B3D7" w:themeFill="accent1" w:themeFillTint="99"/>
            <w:vAlign w:val="center"/>
            <w:hideMark/>
          </w:tcPr>
          <w:p w14:paraId="067763DD" w14:textId="77777777" w:rsidR="00AA0841" w:rsidRPr="00D842D9" w:rsidRDefault="00AA0841" w:rsidP="00AA0841">
            <w:pPr>
              <w:jc w:val="center"/>
              <w:rPr>
                <w:color w:val="auto"/>
                <w:sz w:val="18"/>
                <w:szCs w:val="18"/>
              </w:rPr>
            </w:pPr>
            <w:r w:rsidRPr="00D842D9">
              <w:rPr>
                <w:color w:val="auto"/>
                <w:sz w:val="18"/>
                <w:szCs w:val="18"/>
              </w:rPr>
              <w:t>Commonwealth environmental water is able to contribute to overbank flows only in high resource availability years with significant tributary inflows.</w:t>
            </w:r>
          </w:p>
          <w:p w14:paraId="2D3ECD55" w14:textId="77777777" w:rsidR="00AA0841" w:rsidRPr="00D842D9" w:rsidRDefault="00AA0841" w:rsidP="00AA0841">
            <w:pPr>
              <w:jc w:val="center"/>
              <w:rPr>
                <w:color w:val="auto"/>
                <w:sz w:val="18"/>
                <w:szCs w:val="18"/>
              </w:rPr>
            </w:pPr>
          </w:p>
          <w:p w14:paraId="5D580A9F" w14:textId="77777777" w:rsidR="00AA0841" w:rsidRPr="00D842D9" w:rsidRDefault="00AA0841" w:rsidP="00AA0841">
            <w:pPr>
              <w:jc w:val="center"/>
              <w:rPr>
                <w:color w:val="auto"/>
                <w:sz w:val="18"/>
                <w:szCs w:val="18"/>
              </w:rPr>
            </w:pPr>
            <w:r w:rsidRPr="00D842D9">
              <w:rPr>
                <w:color w:val="auto"/>
                <w:sz w:val="18"/>
                <w:szCs w:val="18"/>
              </w:rPr>
              <w:t>Water is likely to be delivered to priority wetland sites via infrastructure.</w:t>
            </w:r>
          </w:p>
        </w:tc>
        <w:tc>
          <w:tcPr>
            <w:tcW w:w="2268" w:type="dxa"/>
            <w:tcBorders>
              <w:top w:val="single" w:sz="12" w:space="0" w:color="auto"/>
              <w:left w:val="single" w:sz="4" w:space="0" w:color="auto"/>
              <w:bottom w:val="single" w:sz="4" w:space="0" w:color="auto"/>
              <w:right w:val="single" w:sz="12" w:space="0" w:color="auto"/>
            </w:tcBorders>
            <w:shd w:val="clear" w:color="000000" w:fill="FFC000"/>
            <w:vAlign w:val="center"/>
            <w:hideMark/>
          </w:tcPr>
          <w:p w14:paraId="159C6050" w14:textId="77777777" w:rsidR="00AA0841" w:rsidRPr="00D842D9" w:rsidRDefault="00AA0841" w:rsidP="00AA0841">
            <w:pPr>
              <w:jc w:val="center"/>
              <w:rPr>
                <w:color w:val="auto"/>
                <w:sz w:val="18"/>
                <w:szCs w:val="18"/>
              </w:rPr>
            </w:pPr>
            <w:r w:rsidRPr="00D842D9">
              <w:rPr>
                <w:color w:val="auto"/>
                <w:sz w:val="18"/>
                <w:szCs w:val="18"/>
              </w:rPr>
              <w:t>Moderate</w:t>
            </w:r>
          </w:p>
        </w:tc>
      </w:tr>
      <w:tr w:rsidR="00AA0841" w:rsidRPr="00D842D9" w14:paraId="3049C0E4" w14:textId="77777777" w:rsidTr="00AA0841">
        <w:trPr>
          <w:trHeight w:val="1620"/>
        </w:trPr>
        <w:tc>
          <w:tcPr>
            <w:tcW w:w="2552" w:type="dxa"/>
            <w:vMerge/>
            <w:tcBorders>
              <w:left w:val="single" w:sz="12" w:space="0" w:color="auto"/>
              <w:bottom w:val="single" w:sz="12" w:space="0" w:color="auto"/>
              <w:right w:val="single" w:sz="4" w:space="0" w:color="auto"/>
            </w:tcBorders>
            <w:shd w:val="clear" w:color="auto" w:fill="auto"/>
            <w:vAlign w:val="center"/>
            <w:hideMark/>
          </w:tcPr>
          <w:p w14:paraId="298FFC68" w14:textId="77777777" w:rsidR="00AA0841" w:rsidRPr="00F45FF4" w:rsidRDefault="00AA0841" w:rsidP="00AA0841">
            <w:pPr>
              <w:rPr>
                <w:sz w:val="18"/>
                <w:szCs w:val="18"/>
              </w:rPr>
            </w:pPr>
          </w:p>
        </w:tc>
        <w:tc>
          <w:tcPr>
            <w:tcW w:w="4111" w:type="dxa"/>
            <w:tcBorders>
              <w:top w:val="single" w:sz="4" w:space="0" w:color="auto"/>
              <w:left w:val="nil"/>
              <w:bottom w:val="single" w:sz="12" w:space="0" w:color="auto"/>
              <w:right w:val="single" w:sz="4" w:space="0" w:color="auto"/>
            </w:tcBorders>
            <w:shd w:val="clear" w:color="auto" w:fill="auto"/>
            <w:vAlign w:val="center"/>
            <w:hideMark/>
          </w:tcPr>
          <w:p w14:paraId="13D2F6D4" w14:textId="77777777" w:rsidR="00AA0841" w:rsidRPr="00F45FF4" w:rsidRDefault="00AA0841" w:rsidP="00AA0841">
            <w:pPr>
              <w:rPr>
                <w:sz w:val="18"/>
                <w:szCs w:val="18"/>
              </w:rPr>
            </w:pPr>
            <w:r w:rsidRPr="00F45FF4">
              <w:rPr>
                <w:sz w:val="18"/>
                <w:szCs w:val="18"/>
              </w:rPr>
              <w:t>50</w:t>
            </w:r>
            <w:r>
              <w:rPr>
                <w:sz w:val="18"/>
                <w:szCs w:val="18"/>
              </w:rPr>
              <w:t xml:space="preserve"> </w:t>
            </w:r>
            <w:r w:rsidRPr="00F45FF4">
              <w:rPr>
                <w:sz w:val="18"/>
                <w:szCs w:val="18"/>
              </w:rPr>
              <w:t>000-60</w:t>
            </w:r>
            <w:r>
              <w:rPr>
                <w:sz w:val="18"/>
                <w:szCs w:val="18"/>
              </w:rPr>
              <w:t xml:space="preserve"> </w:t>
            </w:r>
            <w:r w:rsidRPr="00F45FF4">
              <w:rPr>
                <w:sz w:val="18"/>
                <w:szCs w:val="18"/>
              </w:rPr>
              <w:t>000 ML/day at Lock 8 for 60-120 days targeting river red gum forest, lignum shrubland and associated wetlands, or priority areas via infrastructure.</w:t>
            </w:r>
          </w:p>
        </w:tc>
        <w:tc>
          <w:tcPr>
            <w:tcW w:w="2126" w:type="dxa"/>
            <w:tcBorders>
              <w:top w:val="single" w:sz="4" w:space="0" w:color="auto"/>
              <w:left w:val="nil"/>
              <w:bottom w:val="single" w:sz="12" w:space="0" w:color="auto"/>
              <w:right w:val="single" w:sz="4" w:space="0" w:color="auto"/>
            </w:tcBorders>
            <w:shd w:val="clear" w:color="auto" w:fill="auto"/>
            <w:vAlign w:val="center"/>
            <w:hideMark/>
          </w:tcPr>
          <w:p w14:paraId="1F53DCB6" w14:textId="77777777" w:rsidR="00AA0841" w:rsidRPr="00F45FF4" w:rsidRDefault="00AA0841" w:rsidP="00AA0841">
            <w:pPr>
              <w:jc w:val="center"/>
              <w:rPr>
                <w:sz w:val="18"/>
                <w:szCs w:val="18"/>
              </w:rPr>
            </w:pPr>
            <w:r w:rsidRPr="00F45FF4">
              <w:rPr>
                <w:sz w:val="18"/>
                <w:szCs w:val="18"/>
              </w:rPr>
              <w:t>1 in 5 years (5 years)</w:t>
            </w:r>
          </w:p>
        </w:tc>
        <w:tc>
          <w:tcPr>
            <w:tcW w:w="4678" w:type="dxa"/>
            <w:vMerge/>
            <w:tcBorders>
              <w:top w:val="nil"/>
              <w:left w:val="nil"/>
              <w:bottom w:val="single" w:sz="12" w:space="0" w:color="auto"/>
              <w:right w:val="single" w:sz="4" w:space="0" w:color="auto"/>
            </w:tcBorders>
            <w:vAlign w:val="center"/>
            <w:hideMark/>
          </w:tcPr>
          <w:p w14:paraId="6F4706B5" w14:textId="77777777" w:rsidR="00AA0841" w:rsidRPr="00F45FF4" w:rsidRDefault="00AA0841" w:rsidP="00AA0841">
            <w:pPr>
              <w:rPr>
                <w:sz w:val="18"/>
                <w:szCs w:val="18"/>
              </w:rPr>
            </w:pPr>
          </w:p>
        </w:tc>
        <w:tc>
          <w:tcPr>
            <w:tcW w:w="1984" w:type="dxa"/>
            <w:tcBorders>
              <w:top w:val="nil"/>
              <w:left w:val="nil"/>
              <w:bottom w:val="single" w:sz="12" w:space="0" w:color="auto"/>
              <w:right w:val="single" w:sz="4" w:space="0" w:color="auto"/>
            </w:tcBorders>
            <w:shd w:val="clear" w:color="auto" w:fill="FFC000"/>
            <w:vAlign w:val="center"/>
            <w:hideMark/>
          </w:tcPr>
          <w:p w14:paraId="12D950BB" w14:textId="77777777" w:rsidR="00AA0841" w:rsidRPr="00D842D9" w:rsidRDefault="00AA0841" w:rsidP="00AA0841">
            <w:pPr>
              <w:jc w:val="center"/>
              <w:rPr>
                <w:color w:val="auto"/>
                <w:sz w:val="18"/>
                <w:szCs w:val="18"/>
              </w:rPr>
            </w:pPr>
            <w:r w:rsidRPr="00D842D9">
              <w:rPr>
                <w:color w:val="auto"/>
                <w:sz w:val="18"/>
                <w:szCs w:val="18"/>
              </w:rPr>
              <w:t>Moderate</w:t>
            </w:r>
          </w:p>
        </w:tc>
        <w:tc>
          <w:tcPr>
            <w:tcW w:w="4253" w:type="dxa"/>
            <w:vMerge/>
            <w:tcBorders>
              <w:left w:val="single" w:sz="4" w:space="0" w:color="auto"/>
              <w:bottom w:val="single" w:sz="12" w:space="0" w:color="auto"/>
              <w:right w:val="single" w:sz="4" w:space="0" w:color="auto"/>
            </w:tcBorders>
            <w:shd w:val="clear" w:color="auto" w:fill="95B3D7" w:themeFill="accent1" w:themeFillTint="99"/>
            <w:vAlign w:val="center"/>
            <w:hideMark/>
          </w:tcPr>
          <w:p w14:paraId="35FADCE4" w14:textId="77777777" w:rsidR="00AA0841" w:rsidRPr="00D842D9" w:rsidRDefault="00AA0841" w:rsidP="00AA0841">
            <w:pPr>
              <w:jc w:val="center"/>
              <w:rPr>
                <w:color w:val="auto"/>
                <w:sz w:val="18"/>
                <w:szCs w:val="18"/>
              </w:rPr>
            </w:pPr>
          </w:p>
        </w:tc>
        <w:tc>
          <w:tcPr>
            <w:tcW w:w="2268" w:type="dxa"/>
            <w:tcBorders>
              <w:top w:val="nil"/>
              <w:left w:val="single" w:sz="4" w:space="0" w:color="auto"/>
              <w:bottom w:val="single" w:sz="12" w:space="0" w:color="auto"/>
              <w:right w:val="single" w:sz="12" w:space="0" w:color="auto"/>
            </w:tcBorders>
            <w:shd w:val="clear" w:color="000000" w:fill="92D050"/>
            <w:vAlign w:val="center"/>
            <w:hideMark/>
          </w:tcPr>
          <w:p w14:paraId="73F8F130" w14:textId="77777777" w:rsidR="00AA0841" w:rsidRPr="00D842D9" w:rsidRDefault="00AA0841" w:rsidP="00AA0841">
            <w:pPr>
              <w:jc w:val="center"/>
              <w:rPr>
                <w:color w:val="auto"/>
                <w:sz w:val="18"/>
                <w:szCs w:val="18"/>
              </w:rPr>
            </w:pPr>
            <w:r w:rsidRPr="00D842D9">
              <w:rPr>
                <w:color w:val="auto"/>
                <w:sz w:val="18"/>
                <w:szCs w:val="18"/>
              </w:rPr>
              <w:t>Low</w:t>
            </w:r>
          </w:p>
        </w:tc>
      </w:tr>
      <w:tr w:rsidR="00AA0841" w:rsidRPr="00D842D9" w14:paraId="077CA6F8" w14:textId="77777777" w:rsidTr="00AA0841">
        <w:trPr>
          <w:trHeight w:val="1218"/>
        </w:trPr>
        <w:tc>
          <w:tcPr>
            <w:tcW w:w="2552" w:type="dxa"/>
            <w:vMerge w:val="restart"/>
            <w:tcBorders>
              <w:top w:val="single" w:sz="12" w:space="0" w:color="auto"/>
              <w:left w:val="single" w:sz="12" w:space="0" w:color="auto"/>
              <w:right w:val="single" w:sz="4" w:space="0" w:color="auto"/>
            </w:tcBorders>
            <w:shd w:val="clear" w:color="auto" w:fill="auto"/>
          </w:tcPr>
          <w:p w14:paraId="1879A773" w14:textId="77777777" w:rsidR="00AA0841" w:rsidRPr="00321973" w:rsidRDefault="00AA0841" w:rsidP="00AA0841">
            <w:pPr>
              <w:rPr>
                <w:b/>
                <w:sz w:val="18"/>
                <w:szCs w:val="18"/>
                <w:vertAlign w:val="superscript"/>
              </w:rPr>
            </w:pPr>
            <w:r w:rsidRPr="00321973">
              <w:rPr>
                <w:b/>
                <w:sz w:val="18"/>
                <w:szCs w:val="18"/>
              </w:rPr>
              <w:lastRenderedPageBreak/>
              <w:t>Floodplain and wetlands from South Australian border to Lower Lakes</w:t>
            </w:r>
          </w:p>
          <w:p w14:paraId="0E19983C" w14:textId="77777777" w:rsidR="00AA0841" w:rsidRPr="00321973" w:rsidRDefault="00AA0841" w:rsidP="00AA0841">
            <w:pPr>
              <w:rPr>
                <w:b/>
                <w:sz w:val="18"/>
                <w:szCs w:val="18"/>
              </w:rPr>
            </w:pPr>
          </w:p>
        </w:tc>
        <w:tc>
          <w:tcPr>
            <w:tcW w:w="4111" w:type="dxa"/>
            <w:tcBorders>
              <w:top w:val="single" w:sz="12" w:space="0" w:color="auto"/>
              <w:left w:val="nil"/>
              <w:bottom w:val="single" w:sz="4" w:space="0" w:color="auto"/>
              <w:right w:val="single" w:sz="4" w:space="0" w:color="auto"/>
            </w:tcBorders>
            <w:shd w:val="clear" w:color="auto" w:fill="auto"/>
            <w:vAlign w:val="center"/>
            <w:hideMark/>
          </w:tcPr>
          <w:p w14:paraId="06F1E4C8" w14:textId="77777777" w:rsidR="00AA0841" w:rsidRPr="00F45FF4" w:rsidRDefault="00AA0841" w:rsidP="00AA0841">
            <w:pPr>
              <w:rPr>
                <w:sz w:val="18"/>
                <w:szCs w:val="18"/>
              </w:rPr>
            </w:pPr>
            <w:r w:rsidRPr="00F45FF4">
              <w:rPr>
                <w:sz w:val="18"/>
                <w:szCs w:val="18"/>
              </w:rPr>
              <w:t>Small overbank flow of 40</w:t>
            </w:r>
            <w:r>
              <w:rPr>
                <w:sz w:val="18"/>
                <w:szCs w:val="18"/>
              </w:rPr>
              <w:t xml:space="preserve"> </w:t>
            </w:r>
            <w:r w:rsidRPr="00F45FF4">
              <w:rPr>
                <w:sz w:val="18"/>
                <w:szCs w:val="18"/>
              </w:rPr>
              <w:t>000-50</w:t>
            </w:r>
            <w:r>
              <w:rPr>
                <w:sz w:val="18"/>
                <w:szCs w:val="18"/>
              </w:rPr>
              <w:t xml:space="preserve"> </w:t>
            </w:r>
            <w:r w:rsidRPr="00F45FF4">
              <w:rPr>
                <w:sz w:val="18"/>
                <w:szCs w:val="18"/>
              </w:rPr>
              <w:t xml:space="preserve">000 ML/day </w:t>
            </w:r>
            <w:r>
              <w:rPr>
                <w:sz w:val="18"/>
                <w:szCs w:val="18"/>
              </w:rPr>
              <w:t>at</w:t>
            </w:r>
            <w:r w:rsidRPr="00F45FF4">
              <w:rPr>
                <w:sz w:val="18"/>
                <w:szCs w:val="18"/>
              </w:rPr>
              <w:t xml:space="preserve"> S</w:t>
            </w:r>
            <w:r>
              <w:rPr>
                <w:sz w:val="18"/>
                <w:szCs w:val="18"/>
              </w:rPr>
              <w:t>A</w:t>
            </w:r>
            <w:r w:rsidRPr="00F45FF4">
              <w:rPr>
                <w:sz w:val="18"/>
                <w:szCs w:val="18"/>
              </w:rPr>
              <w:t xml:space="preserve"> border for at least 30 days targeting river red gum forest, tea tree, lignum, river cooba and associated wetlands, or priority areas via infrastructure</w:t>
            </w:r>
          </w:p>
        </w:tc>
        <w:tc>
          <w:tcPr>
            <w:tcW w:w="2126" w:type="dxa"/>
            <w:tcBorders>
              <w:top w:val="single" w:sz="12" w:space="0" w:color="auto"/>
              <w:left w:val="nil"/>
              <w:bottom w:val="single" w:sz="4" w:space="0" w:color="auto"/>
              <w:right w:val="single" w:sz="4" w:space="0" w:color="auto"/>
            </w:tcBorders>
            <w:shd w:val="clear" w:color="auto" w:fill="auto"/>
            <w:vAlign w:val="center"/>
            <w:hideMark/>
          </w:tcPr>
          <w:p w14:paraId="08E27BDD" w14:textId="77777777" w:rsidR="00AA0841" w:rsidRPr="00F45FF4" w:rsidRDefault="00AA0841" w:rsidP="00AA0841">
            <w:pPr>
              <w:jc w:val="center"/>
              <w:rPr>
                <w:sz w:val="18"/>
                <w:szCs w:val="18"/>
              </w:rPr>
            </w:pPr>
            <w:r w:rsidRPr="00F45FF4">
              <w:rPr>
                <w:sz w:val="18"/>
                <w:szCs w:val="18"/>
              </w:rPr>
              <w:t>1 in 2 years (3 years)</w:t>
            </w:r>
            <w:r w:rsidRPr="00F45FF4">
              <w:rPr>
                <w:sz w:val="18"/>
                <w:szCs w:val="18"/>
              </w:rPr>
              <w:br w:type="page"/>
            </w:r>
          </w:p>
        </w:tc>
        <w:tc>
          <w:tcPr>
            <w:tcW w:w="4678" w:type="dxa"/>
            <w:vMerge w:val="restart"/>
            <w:tcBorders>
              <w:top w:val="single" w:sz="12" w:space="0" w:color="auto"/>
              <w:left w:val="single" w:sz="4" w:space="0" w:color="auto"/>
              <w:right w:val="single" w:sz="4" w:space="0" w:color="auto"/>
            </w:tcBorders>
            <w:shd w:val="clear" w:color="auto" w:fill="auto"/>
            <w:vAlign w:val="center"/>
            <w:hideMark/>
          </w:tcPr>
          <w:p w14:paraId="73B69164" w14:textId="77777777" w:rsidR="00AA0841" w:rsidRPr="00F45FF4" w:rsidRDefault="00AA0841" w:rsidP="00AA0841">
            <w:pPr>
              <w:rPr>
                <w:sz w:val="18"/>
                <w:szCs w:val="18"/>
              </w:rPr>
            </w:pPr>
            <w:r w:rsidRPr="00F45FF4">
              <w:rPr>
                <w:sz w:val="18"/>
                <w:szCs w:val="18"/>
              </w:rPr>
              <w:t>Indicators were last met in 2016-17, with small overbank flow also achieved via 2011-12 and 2012-13 natural flows.</w:t>
            </w:r>
            <w:r w:rsidRPr="00F45FF4">
              <w:rPr>
                <w:sz w:val="18"/>
                <w:szCs w:val="18"/>
              </w:rPr>
              <w:br w:type="page"/>
            </w:r>
            <w:r w:rsidRPr="00F45FF4">
              <w:rPr>
                <w:sz w:val="18"/>
                <w:szCs w:val="18"/>
              </w:rPr>
              <w:br w:type="page"/>
              <w:t xml:space="preserve"> Environmental water has also been delivered to some priority wetland sites each year, across all floodplain elevation levels. The broader floodplain </w:t>
            </w:r>
            <w:r w:rsidRPr="00F45FF4">
              <w:rPr>
                <w:sz w:val="18"/>
                <w:szCs w:val="18"/>
              </w:rPr>
              <w:br w:type="page"/>
            </w:r>
            <w:r w:rsidRPr="00F45FF4">
              <w:rPr>
                <w:sz w:val="18"/>
                <w:szCs w:val="18"/>
              </w:rPr>
              <w:br w:type="page"/>
              <w:t>however is in poor condition with significant tree canopy loss.  There is a critical to high demand for overbank flows in 2020-21.</w:t>
            </w:r>
          </w:p>
        </w:tc>
        <w:tc>
          <w:tcPr>
            <w:tcW w:w="1984" w:type="dxa"/>
            <w:tcBorders>
              <w:top w:val="single" w:sz="12" w:space="0" w:color="auto"/>
              <w:left w:val="single" w:sz="4" w:space="0" w:color="auto"/>
              <w:bottom w:val="single" w:sz="4" w:space="0" w:color="auto"/>
              <w:right w:val="single" w:sz="4" w:space="0" w:color="auto"/>
            </w:tcBorders>
            <w:shd w:val="clear" w:color="auto" w:fill="C00000"/>
            <w:vAlign w:val="center"/>
            <w:hideMark/>
          </w:tcPr>
          <w:p w14:paraId="3DF4ADCD" w14:textId="77777777" w:rsidR="00AA0841" w:rsidRPr="00D842D9" w:rsidRDefault="00AA0841" w:rsidP="00AA0841">
            <w:pPr>
              <w:jc w:val="center"/>
              <w:rPr>
                <w:color w:val="auto"/>
                <w:sz w:val="18"/>
                <w:szCs w:val="18"/>
              </w:rPr>
            </w:pPr>
            <w:r w:rsidRPr="00D842D9">
              <w:rPr>
                <w:color w:val="auto"/>
                <w:sz w:val="18"/>
                <w:szCs w:val="18"/>
              </w:rPr>
              <w:t>Critical</w:t>
            </w:r>
          </w:p>
        </w:tc>
        <w:tc>
          <w:tcPr>
            <w:tcW w:w="4253" w:type="dxa"/>
            <w:vMerge w:val="restart"/>
            <w:tcBorders>
              <w:top w:val="single" w:sz="12" w:space="0" w:color="auto"/>
              <w:left w:val="single" w:sz="4" w:space="0" w:color="auto"/>
              <w:right w:val="single" w:sz="4" w:space="0" w:color="auto"/>
            </w:tcBorders>
            <w:shd w:val="clear" w:color="auto" w:fill="365F91" w:themeFill="accent1" w:themeFillShade="BF"/>
            <w:vAlign w:val="center"/>
          </w:tcPr>
          <w:p w14:paraId="6EBC70B4" w14:textId="77777777" w:rsidR="00AA0841" w:rsidRPr="00D842D9" w:rsidRDefault="00AA0841" w:rsidP="00AA0841">
            <w:pPr>
              <w:jc w:val="center"/>
              <w:rPr>
                <w:color w:val="auto"/>
                <w:sz w:val="18"/>
                <w:szCs w:val="18"/>
              </w:rPr>
            </w:pPr>
            <w:r w:rsidRPr="00D842D9">
              <w:rPr>
                <w:color w:val="auto"/>
                <w:sz w:val="18"/>
                <w:szCs w:val="18"/>
              </w:rPr>
              <w:t>Water use will be limited to delivery via infrastructure to priority wetland sites, in the absence of overbank flows. Commonwealth water can only contribute to overbank flows in high resource availability years with significant tributary inflows.</w:t>
            </w:r>
            <w:r w:rsidRPr="00D842D9">
              <w:rPr>
                <w:color w:val="auto"/>
                <w:sz w:val="18"/>
                <w:szCs w:val="18"/>
              </w:rPr>
              <w:br w:type="page"/>
            </w:r>
            <w:r w:rsidRPr="00D842D9">
              <w:rPr>
                <w:color w:val="auto"/>
                <w:sz w:val="18"/>
                <w:szCs w:val="18"/>
              </w:rPr>
              <w:br w:type="page"/>
            </w:r>
          </w:p>
        </w:tc>
        <w:tc>
          <w:tcPr>
            <w:tcW w:w="2268" w:type="dxa"/>
            <w:tcBorders>
              <w:top w:val="single" w:sz="12" w:space="0" w:color="auto"/>
              <w:left w:val="nil"/>
              <w:bottom w:val="single" w:sz="4" w:space="0" w:color="auto"/>
              <w:right w:val="single" w:sz="12" w:space="0" w:color="auto"/>
            </w:tcBorders>
            <w:shd w:val="clear" w:color="auto" w:fill="FF0000"/>
            <w:vAlign w:val="center"/>
            <w:hideMark/>
          </w:tcPr>
          <w:p w14:paraId="4E3CA46C"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407312B0" w14:textId="77777777" w:rsidTr="00AA0841">
        <w:trPr>
          <w:trHeight w:val="927"/>
        </w:trPr>
        <w:tc>
          <w:tcPr>
            <w:tcW w:w="2552" w:type="dxa"/>
            <w:vMerge/>
            <w:tcBorders>
              <w:left w:val="single" w:sz="12" w:space="0" w:color="auto"/>
              <w:right w:val="single" w:sz="4" w:space="0" w:color="auto"/>
            </w:tcBorders>
            <w:vAlign w:val="center"/>
            <w:hideMark/>
          </w:tcPr>
          <w:p w14:paraId="541E2281" w14:textId="77777777" w:rsidR="00AA0841" w:rsidRPr="00321973" w:rsidRDefault="00AA0841" w:rsidP="00AA0841">
            <w:pPr>
              <w:rPr>
                <w:b/>
                <w:sz w:val="18"/>
                <w:szCs w:val="18"/>
              </w:rPr>
            </w:pPr>
          </w:p>
        </w:tc>
        <w:tc>
          <w:tcPr>
            <w:tcW w:w="4111" w:type="dxa"/>
            <w:tcBorders>
              <w:top w:val="single" w:sz="4" w:space="0" w:color="auto"/>
              <w:left w:val="nil"/>
              <w:bottom w:val="single" w:sz="4" w:space="0" w:color="auto"/>
              <w:right w:val="single" w:sz="4" w:space="0" w:color="auto"/>
            </w:tcBorders>
            <w:shd w:val="clear" w:color="auto" w:fill="auto"/>
            <w:vAlign w:val="center"/>
            <w:hideMark/>
          </w:tcPr>
          <w:p w14:paraId="231E815D" w14:textId="77777777" w:rsidR="00AA0841" w:rsidRPr="00F45FF4" w:rsidRDefault="00AA0841" w:rsidP="00AA0841">
            <w:pPr>
              <w:rPr>
                <w:sz w:val="18"/>
                <w:szCs w:val="18"/>
              </w:rPr>
            </w:pPr>
            <w:r w:rsidRPr="00F45FF4">
              <w:rPr>
                <w:sz w:val="18"/>
                <w:szCs w:val="18"/>
              </w:rPr>
              <w:t>Moderate overbank flow of 50</w:t>
            </w:r>
            <w:r>
              <w:rPr>
                <w:sz w:val="18"/>
                <w:szCs w:val="18"/>
              </w:rPr>
              <w:t xml:space="preserve"> </w:t>
            </w:r>
            <w:r w:rsidRPr="00F45FF4">
              <w:rPr>
                <w:sz w:val="18"/>
                <w:szCs w:val="18"/>
              </w:rPr>
              <w:t>000-60</w:t>
            </w:r>
            <w:r>
              <w:rPr>
                <w:sz w:val="18"/>
                <w:szCs w:val="18"/>
              </w:rPr>
              <w:t xml:space="preserve"> </w:t>
            </w:r>
            <w:r w:rsidRPr="00F45FF4">
              <w:rPr>
                <w:sz w:val="18"/>
                <w:szCs w:val="18"/>
              </w:rPr>
              <w:t xml:space="preserve">000 ML/day </w:t>
            </w:r>
            <w:r>
              <w:rPr>
                <w:sz w:val="18"/>
                <w:szCs w:val="18"/>
              </w:rPr>
              <w:t xml:space="preserve">at SA </w:t>
            </w:r>
            <w:r w:rsidRPr="00F45FF4">
              <w:rPr>
                <w:sz w:val="18"/>
                <w:szCs w:val="18"/>
              </w:rPr>
              <w:t>border for at least 30 days targeting river red gum forest, tea tree, lignum, river cooba and associated wetlands, or priority areas via infrastructure</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64557FBC" w14:textId="77777777" w:rsidR="00AA0841" w:rsidRPr="00F45FF4" w:rsidRDefault="00AA0841" w:rsidP="00AA0841">
            <w:pPr>
              <w:jc w:val="center"/>
              <w:rPr>
                <w:sz w:val="18"/>
                <w:szCs w:val="18"/>
              </w:rPr>
            </w:pPr>
            <w:r w:rsidRPr="00F45FF4">
              <w:rPr>
                <w:sz w:val="18"/>
                <w:szCs w:val="18"/>
              </w:rPr>
              <w:t>1 in 2 years (5 years)</w:t>
            </w:r>
          </w:p>
        </w:tc>
        <w:tc>
          <w:tcPr>
            <w:tcW w:w="4678" w:type="dxa"/>
            <w:vMerge/>
            <w:tcBorders>
              <w:left w:val="single" w:sz="4" w:space="0" w:color="auto"/>
              <w:right w:val="single" w:sz="4" w:space="0" w:color="auto"/>
            </w:tcBorders>
            <w:vAlign w:val="center"/>
            <w:hideMark/>
          </w:tcPr>
          <w:p w14:paraId="3F123CEB" w14:textId="77777777" w:rsidR="00AA0841" w:rsidRPr="00F45FF4" w:rsidRDefault="00AA0841" w:rsidP="00AA0841">
            <w:pPr>
              <w:rPr>
                <w:sz w:val="18"/>
                <w:szCs w:val="18"/>
              </w:rPr>
            </w:pPr>
          </w:p>
        </w:tc>
        <w:tc>
          <w:tcPr>
            <w:tcW w:w="1984" w:type="dxa"/>
            <w:tcBorders>
              <w:top w:val="single" w:sz="4" w:space="0" w:color="auto"/>
              <w:left w:val="single" w:sz="4" w:space="0" w:color="auto"/>
              <w:bottom w:val="single" w:sz="4" w:space="0" w:color="auto"/>
              <w:right w:val="single" w:sz="4" w:space="0" w:color="auto"/>
            </w:tcBorders>
            <w:shd w:val="clear" w:color="auto" w:fill="C00000"/>
            <w:vAlign w:val="center"/>
            <w:hideMark/>
          </w:tcPr>
          <w:p w14:paraId="39B7D33F" w14:textId="77777777" w:rsidR="00AA0841" w:rsidRPr="00D842D9" w:rsidRDefault="00AA0841" w:rsidP="00AA0841">
            <w:pPr>
              <w:jc w:val="center"/>
              <w:rPr>
                <w:color w:val="auto"/>
                <w:sz w:val="18"/>
                <w:szCs w:val="18"/>
              </w:rPr>
            </w:pPr>
            <w:r w:rsidRPr="00D842D9">
              <w:rPr>
                <w:color w:val="auto"/>
                <w:sz w:val="18"/>
                <w:szCs w:val="18"/>
              </w:rPr>
              <w:t>Critical</w:t>
            </w:r>
          </w:p>
        </w:tc>
        <w:tc>
          <w:tcPr>
            <w:tcW w:w="4253" w:type="dxa"/>
            <w:vMerge/>
            <w:tcBorders>
              <w:left w:val="single" w:sz="4" w:space="0" w:color="auto"/>
              <w:bottom w:val="single" w:sz="4" w:space="0" w:color="auto"/>
              <w:right w:val="single" w:sz="4" w:space="0" w:color="auto"/>
            </w:tcBorders>
            <w:shd w:val="clear" w:color="auto" w:fill="365F91" w:themeFill="accent1" w:themeFillShade="BF"/>
            <w:vAlign w:val="center"/>
            <w:hideMark/>
          </w:tcPr>
          <w:p w14:paraId="5C2FE37D" w14:textId="77777777" w:rsidR="00AA0841" w:rsidRPr="00D842D9" w:rsidRDefault="00AA0841" w:rsidP="00AA0841">
            <w:pPr>
              <w:jc w:val="center"/>
              <w:rPr>
                <w:color w:val="auto"/>
                <w:sz w:val="18"/>
                <w:szCs w:val="18"/>
              </w:rPr>
            </w:pPr>
          </w:p>
        </w:tc>
        <w:tc>
          <w:tcPr>
            <w:tcW w:w="2268" w:type="dxa"/>
            <w:tcBorders>
              <w:top w:val="nil"/>
              <w:left w:val="nil"/>
              <w:bottom w:val="single" w:sz="4" w:space="0" w:color="auto"/>
              <w:right w:val="single" w:sz="12" w:space="0" w:color="auto"/>
            </w:tcBorders>
            <w:shd w:val="clear" w:color="auto" w:fill="FF0000"/>
            <w:vAlign w:val="center"/>
            <w:hideMark/>
          </w:tcPr>
          <w:p w14:paraId="343716D1"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252016F4" w14:textId="77777777" w:rsidTr="00AA0841">
        <w:trPr>
          <w:trHeight w:val="1197"/>
        </w:trPr>
        <w:tc>
          <w:tcPr>
            <w:tcW w:w="2552" w:type="dxa"/>
            <w:vMerge/>
            <w:tcBorders>
              <w:left w:val="single" w:sz="12" w:space="0" w:color="auto"/>
              <w:bottom w:val="single" w:sz="12" w:space="0" w:color="auto"/>
              <w:right w:val="single" w:sz="4" w:space="0" w:color="auto"/>
            </w:tcBorders>
            <w:vAlign w:val="center"/>
            <w:hideMark/>
          </w:tcPr>
          <w:p w14:paraId="19A0BDB6" w14:textId="77777777" w:rsidR="00AA0841" w:rsidRPr="00321973" w:rsidRDefault="00AA0841" w:rsidP="00AA0841">
            <w:pPr>
              <w:rPr>
                <w:b/>
                <w:sz w:val="18"/>
                <w:szCs w:val="18"/>
              </w:rPr>
            </w:pPr>
          </w:p>
        </w:tc>
        <w:tc>
          <w:tcPr>
            <w:tcW w:w="4111" w:type="dxa"/>
            <w:tcBorders>
              <w:top w:val="single" w:sz="4" w:space="0" w:color="auto"/>
              <w:left w:val="nil"/>
              <w:bottom w:val="single" w:sz="12" w:space="0" w:color="auto"/>
              <w:right w:val="single" w:sz="4" w:space="0" w:color="auto"/>
            </w:tcBorders>
            <w:shd w:val="clear" w:color="auto" w:fill="auto"/>
            <w:vAlign w:val="center"/>
            <w:hideMark/>
          </w:tcPr>
          <w:p w14:paraId="469AA571" w14:textId="77777777" w:rsidR="00AA0841" w:rsidRPr="00F45FF4" w:rsidRDefault="00AA0841" w:rsidP="00AA0841">
            <w:pPr>
              <w:rPr>
                <w:sz w:val="18"/>
                <w:szCs w:val="18"/>
              </w:rPr>
            </w:pPr>
            <w:r w:rsidRPr="00F45FF4">
              <w:rPr>
                <w:sz w:val="18"/>
                <w:szCs w:val="18"/>
              </w:rPr>
              <w:t>Infrastructure delivery to a priority area equivalent to 60</w:t>
            </w:r>
            <w:r>
              <w:rPr>
                <w:sz w:val="18"/>
                <w:szCs w:val="18"/>
              </w:rPr>
              <w:t xml:space="preserve"> </w:t>
            </w:r>
            <w:r w:rsidRPr="00F45FF4">
              <w:rPr>
                <w:sz w:val="18"/>
                <w:szCs w:val="18"/>
              </w:rPr>
              <w:t>000-70</w:t>
            </w:r>
            <w:r>
              <w:rPr>
                <w:sz w:val="18"/>
                <w:szCs w:val="18"/>
              </w:rPr>
              <w:t xml:space="preserve"> </w:t>
            </w:r>
            <w:r w:rsidRPr="00F45FF4">
              <w:rPr>
                <w:sz w:val="18"/>
                <w:szCs w:val="18"/>
              </w:rPr>
              <w:t xml:space="preserve">000 ML/day </w:t>
            </w:r>
            <w:r>
              <w:rPr>
                <w:sz w:val="18"/>
                <w:szCs w:val="18"/>
              </w:rPr>
              <w:t xml:space="preserve">at SA </w:t>
            </w:r>
            <w:r w:rsidRPr="00F45FF4">
              <w:rPr>
                <w:sz w:val="18"/>
                <w:szCs w:val="18"/>
              </w:rPr>
              <w:t>border unless met by unregulated flows, targeting black box, cooba, lignum and chenopod and associated wetlands</w:t>
            </w:r>
          </w:p>
        </w:tc>
        <w:tc>
          <w:tcPr>
            <w:tcW w:w="2126" w:type="dxa"/>
            <w:tcBorders>
              <w:top w:val="single" w:sz="4" w:space="0" w:color="auto"/>
              <w:left w:val="nil"/>
              <w:bottom w:val="single" w:sz="12" w:space="0" w:color="auto"/>
              <w:right w:val="single" w:sz="4" w:space="0" w:color="auto"/>
            </w:tcBorders>
            <w:shd w:val="clear" w:color="auto" w:fill="auto"/>
            <w:vAlign w:val="center"/>
            <w:hideMark/>
          </w:tcPr>
          <w:p w14:paraId="35C9ADFA" w14:textId="77777777" w:rsidR="00AA0841" w:rsidRPr="00F45FF4" w:rsidRDefault="00AA0841" w:rsidP="00AA0841">
            <w:pPr>
              <w:jc w:val="center"/>
              <w:rPr>
                <w:sz w:val="18"/>
                <w:szCs w:val="18"/>
              </w:rPr>
            </w:pPr>
            <w:r w:rsidRPr="00F45FF4">
              <w:rPr>
                <w:sz w:val="18"/>
                <w:szCs w:val="18"/>
              </w:rPr>
              <w:t>1 in 3 years (4 years)</w:t>
            </w:r>
          </w:p>
        </w:tc>
        <w:tc>
          <w:tcPr>
            <w:tcW w:w="4678" w:type="dxa"/>
            <w:vMerge/>
            <w:tcBorders>
              <w:left w:val="single" w:sz="4" w:space="0" w:color="auto"/>
              <w:bottom w:val="single" w:sz="12" w:space="0" w:color="auto"/>
              <w:right w:val="single" w:sz="4" w:space="0" w:color="auto"/>
            </w:tcBorders>
            <w:vAlign w:val="center"/>
            <w:hideMark/>
          </w:tcPr>
          <w:p w14:paraId="15242611" w14:textId="77777777" w:rsidR="00AA0841" w:rsidRPr="00F45FF4" w:rsidRDefault="00AA0841" w:rsidP="00AA0841">
            <w:pPr>
              <w:rPr>
                <w:sz w:val="18"/>
                <w:szCs w:val="18"/>
              </w:rPr>
            </w:pPr>
          </w:p>
        </w:tc>
        <w:tc>
          <w:tcPr>
            <w:tcW w:w="1984" w:type="dxa"/>
            <w:tcBorders>
              <w:top w:val="single" w:sz="4" w:space="0" w:color="auto"/>
              <w:left w:val="single" w:sz="4" w:space="0" w:color="auto"/>
              <w:bottom w:val="single" w:sz="12" w:space="0" w:color="auto"/>
              <w:right w:val="single" w:sz="4" w:space="0" w:color="auto"/>
            </w:tcBorders>
            <w:shd w:val="clear" w:color="auto" w:fill="FF0000"/>
            <w:vAlign w:val="center"/>
            <w:hideMark/>
          </w:tcPr>
          <w:p w14:paraId="26D51047"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single" w:sz="4" w:space="0" w:color="auto"/>
              <w:left w:val="single" w:sz="4" w:space="0" w:color="auto"/>
              <w:bottom w:val="single" w:sz="12" w:space="0" w:color="auto"/>
              <w:right w:val="single" w:sz="4" w:space="0" w:color="auto"/>
            </w:tcBorders>
            <w:shd w:val="clear" w:color="auto" w:fill="95B3D7" w:themeFill="accent1" w:themeFillTint="99"/>
            <w:vAlign w:val="center"/>
            <w:hideMark/>
          </w:tcPr>
          <w:p w14:paraId="56DE2CD0" w14:textId="77777777" w:rsidR="00AA0841" w:rsidRPr="00D842D9" w:rsidRDefault="00AA0841" w:rsidP="00AA0841">
            <w:pPr>
              <w:jc w:val="center"/>
              <w:rPr>
                <w:color w:val="auto"/>
                <w:sz w:val="18"/>
                <w:szCs w:val="18"/>
              </w:rPr>
            </w:pPr>
            <w:r w:rsidRPr="00D842D9">
              <w:rPr>
                <w:color w:val="auto"/>
                <w:sz w:val="18"/>
                <w:szCs w:val="18"/>
              </w:rPr>
              <w:t>Water is likely to be delivered to priority wetland sites via infrastructure.</w:t>
            </w:r>
          </w:p>
          <w:p w14:paraId="246A0A2C" w14:textId="77777777" w:rsidR="00AA0841" w:rsidRPr="00D842D9" w:rsidRDefault="00AA0841" w:rsidP="00AA0841">
            <w:pPr>
              <w:jc w:val="center"/>
              <w:rPr>
                <w:color w:val="auto"/>
                <w:sz w:val="18"/>
                <w:szCs w:val="18"/>
              </w:rPr>
            </w:pPr>
            <w:r w:rsidRPr="00D842D9">
              <w:rPr>
                <w:color w:val="auto"/>
                <w:sz w:val="18"/>
                <w:szCs w:val="18"/>
              </w:rPr>
              <w:t>Commonwealth environmental water can contribute to overbank flows only in high resource availability years with significant tributary inflows.</w:t>
            </w:r>
          </w:p>
        </w:tc>
        <w:tc>
          <w:tcPr>
            <w:tcW w:w="2268" w:type="dxa"/>
            <w:tcBorders>
              <w:top w:val="nil"/>
              <w:left w:val="nil"/>
              <w:bottom w:val="single" w:sz="12" w:space="0" w:color="auto"/>
              <w:right w:val="single" w:sz="12" w:space="0" w:color="auto"/>
            </w:tcBorders>
            <w:shd w:val="clear" w:color="000000" w:fill="92D050"/>
            <w:vAlign w:val="center"/>
            <w:hideMark/>
          </w:tcPr>
          <w:p w14:paraId="1314EEF6" w14:textId="77777777" w:rsidR="00AA0841" w:rsidRPr="00D842D9" w:rsidRDefault="00AA0841" w:rsidP="00AA0841">
            <w:pPr>
              <w:jc w:val="center"/>
              <w:rPr>
                <w:color w:val="auto"/>
                <w:sz w:val="18"/>
                <w:szCs w:val="18"/>
              </w:rPr>
            </w:pPr>
            <w:r w:rsidRPr="00D842D9">
              <w:rPr>
                <w:color w:val="auto"/>
                <w:sz w:val="18"/>
                <w:szCs w:val="18"/>
              </w:rPr>
              <w:t>Low</w:t>
            </w:r>
          </w:p>
        </w:tc>
      </w:tr>
      <w:tr w:rsidR="00AA0841" w:rsidRPr="00D842D9" w14:paraId="75B2A65B" w14:textId="77777777" w:rsidTr="00AA0841">
        <w:trPr>
          <w:trHeight w:val="1386"/>
        </w:trPr>
        <w:tc>
          <w:tcPr>
            <w:tcW w:w="2552" w:type="dxa"/>
            <w:vMerge w:val="restart"/>
            <w:tcBorders>
              <w:top w:val="single" w:sz="12" w:space="0" w:color="auto"/>
              <w:left w:val="single" w:sz="12" w:space="0" w:color="auto"/>
              <w:right w:val="single" w:sz="4" w:space="0" w:color="auto"/>
            </w:tcBorders>
            <w:shd w:val="clear" w:color="auto" w:fill="auto"/>
            <w:hideMark/>
          </w:tcPr>
          <w:p w14:paraId="5B1D6256" w14:textId="77777777" w:rsidR="00AA0841" w:rsidRPr="00321973" w:rsidRDefault="00AA0841" w:rsidP="00AA0841">
            <w:pPr>
              <w:rPr>
                <w:b/>
                <w:sz w:val="18"/>
                <w:szCs w:val="18"/>
              </w:rPr>
            </w:pPr>
            <w:r w:rsidRPr="00321973">
              <w:rPr>
                <w:b/>
                <w:sz w:val="18"/>
                <w:szCs w:val="18"/>
              </w:rPr>
              <w:t>Coorong, Lower Lakes and Murray Mouth</w:t>
            </w:r>
            <w:r w:rsidRPr="00321973">
              <w:rPr>
                <w:b/>
                <w:sz w:val="18"/>
                <w:szCs w:val="18"/>
              </w:rPr>
              <w:br/>
            </w:r>
            <w:r w:rsidRPr="00321973">
              <w:rPr>
                <w:b/>
                <w:sz w:val="18"/>
                <w:szCs w:val="18"/>
              </w:rPr>
              <w:br/>
            </w:r>
          </w:p>
        </w:tc>
        <w:tc>
          <w:tcPr>
            <w:tcW w:w="4111" w:type="dxa"/>
            <w:tcBorders>
              <w:top w:val="single" w:sz="12" w:space="0" w:color="auto"/>
              <w:left w:val="nil"/>
              <w:bottom w:val="single" w:sz="4" w:space="0" w:color="auto"/>
              <w:right w:val="single" w:sz="4" w:space="0" w:color="auto"/>
            </w:tcBorders>
            <w:shd w:val="clear" w:color="auto" w:fill="auto"/>
            <w:vAlign w:val="center"/>
            <w:hideMark/>
          </w:tcPr>
          <w:p w14:paraId="115252F7" w14:textId="77777777" w:rsidR="00AA0841" w:rsidRPr="00F45FF4" w:rsidRDefault="00AA0841" w:rsidP="00AA0841">
            <w:pPr>
              <w:rPr>
                <w:sz w:val="18"/>
                <w:szCs w:val="18"/>
              </w:rPr>
            </w:pPr>
            <w:r w:rsidRPr="00F45FF4">
              <w:rPr>
                <w:sz w:val="18"/>
                <w:szCs w:val="18"/>
              </w:rPr>
              <w:t>Minimum barrage flow of 650 GL/yr (and lake water levels maintained above 0.4 m AHD) to provide suitable conditions and refuge habitat in the lakes and north lagoon for native fish, plants and internationally important migratory birds.</w:t>
            </w:r>
          </w:p>
        </w:tc>
        <w:tc>
          <w:tcPr>
            <w:tcW w:w="2126" w:type="dxa"/>
            <w:tcBorders>
              <w:top w:val="single" w:sz="12" w:space="0" w:color="auto"/>
              <w:left w:val="nil"/>
              <w:bottom w:val="single" w:sz="4" w:space="0" w:color="auto"/>
              <w:right w:val="single" w:sz="4" w:space="0" w:color="auto"/>
            </w:tcBorders>
            <w:shd w:val="clear" w:color="auto" w:fill="auto"/>
            <w:vAlign w:val="center"/>
            <w:hideMark/>
          </w:tcPr>
          <w:p w14:paraId="1E45796B" w14:textId="77777777" w:rsidR="00AA0841" w:rsidRPr="00F45FF4" w:rsidRDefault="00AA0841" w:rsidP="00AA0841">
            <w:pPr>
              <w:jc w:val="center"/>
              <w:rPr>
                <w:sz w:val="18"/>
                <w:szCs w:val="18"/>
              </w:rPr>
            </w:pPr>
            <w:r w:rsidRPr="00F45FF4">
              <w:rPr>
                <w:sz w:val="18"/>
                <w:szCs w:val="18"/>
              </w:rPr>
              <w:t>1 in 1 year</w:t>
            </w:r>
          </w:p>
        </w:tc>
        <w:tc>
          <w:tcPr>
            <w:tcW w:w="4678" w:type="dxa"/>
            <w:vMerge w:val="restart"/>
            <w:tcBorders>
              <w:top w:val="single" w:sz="12" w:space="0" w:color="auto"/>
              <w:left w:val="single" w:sz="4" w:space="0" w:color="auto"/>
              <w:right w:val="single" w:sz="4" w:space="0" w:color="auto"/>
            </w:tcBorders>
            <w:shd w:val="clear" w:color="auto" w:fill="auto"/>
            <w:vAlign w:val="center"/>
            <w:hideMark/>
          </w:tcPr>
          <w:p w14:paraId="6A4FAD60" w14:textId="77777777" w:rsidR="00AA0841" w:rsidRPr="00F45FF4" w:rsidRDefault="00AA0841" w:rsidP="00AA0841">
            <w:pPr>
              <w:rPr>
                <w:sz w:val="18"/>
                <w:szCs w:val="18"/>
              </w:rPr>
            </w:pPr>
            <w:r w:rsidRPr="00F45FF4">
              <w:rPr>
                <w:sz w:val="18"/>
                <w:szCs w:val="18"/>
              </w:rPr>
              <w:t xml:space="preserve">Lower Lakes and Coorong north lagoon in generally good condition, with some signs of stress in the north lagoon due to three successive low-flow years (invertebrate deaths, localised algae outbreaks). </w:t>
            </w:r>
          </w:p>
          <w:p w14:paraId="0DBB1BDD" w14:textId="77777777" w:rsidR="00AA0841" w:rsidRPr="00F45FF4" w:rsidRDefault="00AA0841" w:rsidP="00AA0841">
            <w:pPr>
              <w:rPr>
                <w:sz w:val="18"/>
                <w:szCs w:val="18"/>
              </w:rPr>
            </w:pPr>
            <w:r w:rsidRPr="00F45FF4">
              <w:rPr>
                <w:sz w:val="18"/>
                <w:szCs w:val="18"/>
              </w:rPr>
              <w:t>Minimum flow (1 in 1 year) was not met in 2015-16 or 201</w:t>
            </w:r>
            <w:r>
              <w:rPr>
                <w:sz w:val="18"/>
                <w:szCs w:val="18"/>
              </w:rPr>
              <w:t>8</w:t>
            </w:r>
            <w:r>
              <w:rPr>
                <w:sz w:val="18"/>
                <w:szCs w:val="18"/>
              </w:rPr>
              <w:noBreakHyphen/>
            </w:r>
            <w:r w:rsidRPr="00F45FF4">
              <w:rPr>
                <w:sz w:val="18"/>
                <w:szCs w:val="18"/>
              </w:rPr>
              <w:t>19.</w:t>
            </w:r>
            <w:r w:rsidRPr="00F45FF4">
              <w:rPr>
                <w:sz w:val="18"/>
                <w:szCs w:val="18"/>
              </w:rPr>
              <w:br/>
            </w:r>
          </w:p>
        </w:tc>
        <w:tc>
          <w:tcPr>
            <w:tcW w:w="1984" w:type="dxa"/>
            <w:tcBorders>
              <w:top w:val="single" w:sz="12" w:space="0" w:color="auto"/>
              <w:left w:val="nil"/>
              <w:bottom w:val="single" w:sz="4" w:space="0" w:color="auto"/>
              <w:right w:val="single" w:sz="4" w:space="0" w:color="auto"/>
            </w:tcBorders>
            <w:shd w:val="clear" w:color="auto" w:fill="FF0000"/>
            <w:vAlign w:val="center"/>
            <w:hideMark/>
          </w:tcPr>
          <w:p w14:paraId="5E28948C"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single" w:sz="12" w:space="0" w:color="auto"/>
              <w:left w:val="nil"/>
              <w:bottom w:val="single" w:sz="4" w:space="0" w:color="auto"/>
              <w:right w:val="single" w:sz="4" w:space="0" w:color="auto"/>
            </w:tcBorders>
            <w:shd w:val="clear" w:color="auto" w:fill="365F91" w:themeFill="accent1" w:themeFillShade="BF"/>
            <w:vAlign w:val="center"/>
            <w:hideMark/>
          </w:tcPr>
          <w:p w14:paraId="55D79F97" w14:textId="77777777" w:rsidR="00AA0841" w:rsidRPr="00D842D9" w:rsidRDefault="00AA0841" w:rsidP="00AA0841">
            <w:pPr>
              <w:jc w:val="center"/>
              <w:rPr>
                <w:color w:val="auto"/>
                <w:sz w:val="18"/>
                <w:szCs w:val="18"/>
              </w:rPr>
            </w:pPr>
            <w:r w:rsidRPr="00D842D9">
              <w:rPr>
                <w:color w:val="auto"/>
                <w:sz w:val="18"/>
                <w:szCs w:val="18"/>
              </w:rPr>
              <w:t>A very high priority for watering in 2020–21, even in low resource availability.</w:t>
            </w:r>
          </w:p>
        </w:tc>
        <w:tc>
          <w:tcPr>
            <w:tcW w:w="2268" w:type="dxa"/>
            <w:tcBorders>
              <w:top w:val="single" w:sz="12" w:space="0" w:color="auto"/>
              <w:left w:val="nil"/>
              <w:bottom w:val="single" w:sz="4" w:space="0" w:color="auto"/>
              <w:right w:val="single" w:sz="12" w:space="0" w:color="auto"/>
            </w:tcBorders>
            <w:shd w:val="clear" w:color="000000" w:fill="FF0000"/>
            <w:vAlign w:val="center"/>
            <w:hideMark/>
          </w:tcPr>
          <w:p w14:paraId="4C1250CD" w14:textId="77777777" w:rsidR="00AA0841" w:rsidRPr="00D842D9" w:rsidRDefault="00AA0841" w:rsidP="00AA0841">
            <w:pPr>
              <w:jc w:val="center"/>
              <w:rPr>
                <w:color w:val="auto"/>
                <w:sz w:val="18"/>
                <w:szCs w:val="18"/>
              </w:rPr>
            </w:pPr>
            <w:r w:rsidRPr="00D842D9">
              <w:rPr>
                <w:color w:val="auto"/>
                <w:sz w:val="18"/>
                <w:szCs w:val="18"/>
              </w:rPr>
              <w:t>High</w:t>
            </w:r>
          </w:p>
        </w:tc>
      </w:tr>
      <w:tr w:rsidR="00AA0841" w:rsidRPr="00D842D9" w14:paraId="5F546BC8" w14:textId="77777777" w:rsidTr="00AA0841">
        <w:trPr>
          <w:trHeight w:val="1740"/>
        </w:trPr>
        <w:tc>
          <w:tcPr>
            <w:tcW w:w="2552" w:type="dxa"/>
            <w:vMerge/>
            <w:tcBorders>
              <w:left w:val="single" w:sz="12" w:space="0" w:color="auto"/>
              <w:right w:val="single" w:sz="4" w:space="0" w:color="auto"/>
            </w:tcBorders>
            <w:vAlign w:val="center"/>
            <w:hideMark/>
          </w:tcPr>
          <w:p w14:paraId="61A4E1C0" w14:textId="77777777" w:rsidR="00AA0841" w:rsidRPr="00F45FF4" w:rsidRDefault="00AA0841" w:rsidP="00AA0841">
            <w:pPr>
              <w:rPr>
                <w:sz w:val="18"/>
                <w:szCs w:val="18"/>
              </w:rPr>
            </w:pPr>
          </w:p>
        </w:tc>
        <w:tc>
          <w:tcPr>
            <w:tcW w:w="4111" w:type="dxa"/>
            <w:tcBorders>
              <w:top w:val="single" w:sz="4" w:space="0" w:color="auto"/>
              <w:left w:val="nil"/>
              <w:bottom w:val="single" w:sz="4" w:space="0" w:color="auto"/>
              <w:right w:val="single" w:sz="4" w:space="0" w:color="auto"/>
            </w:tcBorders>
            <w:shd w:val="clear" w:color="auto" w:fill="auto"/>
            <w:vAlign w:val="center"/>
            <w:hideMark/>
          </w:tcPr>
          <w:p w14:paraId="0D7563C9" w14:textId="77777777" w:rsidR="00AA0841" w:rsidRPr="00F45FF4" w:rsidRDefault="00AA0841" w:rsidP="00AA0841">
            <w:pPr>
              <w:rPr>
                <w:sz w:val="18"/>
                <w:szCs w:val="18"/>
              </w:rPr>
            </w:pPr>
            <w:r w:rsidRPr="00F45FF4">
              <w:rPr>
                <w:sz w:val="18"/>
                <w:szCs w:val="18"/>
              </w:rPr>
              <w:t>Barrage flows of 2</w:t>
            </w:r>
            <w:r>
              <w:rPr>
                <w:sz w:val="18"/>
                <w:szCs w:val="18"/>
              </w:rPr>
              <w:t xml:space="preserve"> </w:t>
            </w:r>
            <w:r w:rsidRPr="00F45FF4">
              <w:rPr>
                <w:sz w:val="18"/>
                <w:szCs w:val="18"/>
              </w:rPr>
              <w:t xml:space="preserve">000 GL/yr required to provide suitable conditions and refuge habitat for native fish, plants and internationally important migratory birds. </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6B81D21C" w14:textId="77777777" w:rsidR="00AA0841" w:rsidRPr="00F45FF4" w:rsidRDefault="00AA0841" w:rsidP="00AA0841">
            <w:pPr>
              <w:jc w:val="center"/>
              <w:rPr>
                <w:sz w:val="18"/>
                <w:szCs w:val="18"/>
              </w:rPr>
            </w:pPr>
            <w:r w:rsidRPr="00F45FF4">
              <w:rPr>
                <w:sz w:val="18"/>
                <w:szCs w:val="18"/>
              </w:rPr>
              <w:t>Rolling three-year average</w:t>
            </w:r>
          </w:p>
        </w:tc>
        <w:tc>
          <w:tcPr>
            <w:tcW w:w="4678" w:type="dxa"/>
            <w:vMerge/>
            <w:tcBorders>
              <w:left w:val="single" w:sz="4" w:space="0" w:color="auto"/>
              <w:bottom w:val="single" w:sz="4" w:space="0" w:color="auto"/>
              <w:right w:val="single" w:sz="4" w:space="0" w:color="auto"/>
            </w:tcBorders>
            <w:vAlign w:val="center"/>
            <w:hideMark/>
          </w:tcPr>
          <w:p w14:paraId="6E666FEF" w14:textId="77777777" w:rsidR="00AA0841" w:rsidRPr="00F45FF4" w:rsidRDefault="00AA0841" w:rsidP="00AA0841">
            <w:pPr>
              <w:rPr>
                <w:sz w:val="18"/>
                <w:szCs w:val="18"/>
              </w:rPr>
            </w:pPr>
          </w:p>
        </w:tc>
        <w:tc>
          <w:tcPr>
            <w:tcW w:w="1984" w:type="dxa"/>
            <w:tcBorders>
              <w:top w:val="nil"/>
              <w:left w:val="nil"/>
              <w:bottom w:val="single" w:sz="4" w:space="0" w:color="auto"/>
              <w:right w:val="single" w:sz="4" w:space="0" w:color="auto"/>
            </w:tcBorders>
            <w:shd w:val="clear" w:color="auto" w:fill="FF0000"/>
            <w:vAlign w:val="center"/>
            <w:hideMark/>
          </w:tcPr>
          <w:p w14:paraId="6AE11616" w14:textId="77777777" w:rsidR="00AA0841" w:rsidRPr="00D842D9" w:rsidRDefault="00AA0841" w:rsidP="00AA0841">
            <w:pPr>
              <w:jc w:val="center"/>
              <w:rPr>
                <w:color w:val="auto"/>
                <w:sz w:val="18"/>
                <w:szCs w:val="18"/>
              </w:rPr>
            </w:pPr>
            <w:r w:rsidRPr="00D842D9">
              <w:rPr>
                <w:color w:val="auto"/>
                <w:sz w:val="18"/>
                <w:szCs w:val="18"/>
              </w:rPr>
              <w:t>High</w:t>
            </w:r>
          </w:p>
        </w:tc>
        <w:tc>
          <w:tcPr>
            <w:tcW w:w="4253" w:type="dxa"/>
            <w:tcBorders>
              <w:top w:val="nil"/>
              <w:left w:val="nil"/>
              <w:bottom w:val="single" w:sz="4" w:space="0" w:color="auto"/>
              <w:right w:val="single" w:sz="4" w:space="0" w:color="auto"/>
            </w:tcBorders>
            <w:shd w:val="clear" w:color="auto" w:fill="95B3D7" w:themeFill="accent1" w:themeFillTint="99"/>
            <w:vAlign w:val="center"/>
            <w:hideMark/>
          </w:tcPr>
          <w:p w14:paraId="58194A58" w14:textId="77777777" w:rsidR="00AA0841" w:rsidRPr="00D842D9" w:rsidRDefault="00AA0841" w:rsidP="00AA0841">
            <w:pPr>
              <w:jc w:val="center"/>
              <w:rPr>
                <w:color w:val="auto"/>
                <w:sz w:val="18"/>
                <w:szCs w:val="18"/>
              </w:rPr>
            </w:pPr>
            <w:r w:rsidRPr="00D842D9">
              <w:rPr>
                <w:color w:val="auto"/>
                <w:sz w:val="18"/>
                <w:szCs w:val="18"/>
              </w:rPr>
              <w:t>A high priority for watering in 2020–21, even in low resource availability, noting that due to low outflows in 2018-19 and 2019-20, ~1000GL would be required to meet this target in 2020-21.</w:t>
            </w:r>
            <w:r w:rsidRPr="00D842D9">
              <w:rPr>
                <w:color w:val="auto"/>
                <w:sz w:val="18"/>
                <w:szCs w:val="18"/>
              </w:rPr>
              <w:br/>
              <w:t>Commonwealth water likely to contribute significantly, however target cannot be met by Commonwealth water alone.</w:t>
            </w:r>
          </w:p>
        </w:tc>
        <w:tc>
          <w:tcPr>
            <w:tcW w:w="2268" w:type="dxa"/>
            <w:tcBorders>
              <w:top w:val="nil"/>
              <w:left w:val="nil"/>
              <w:bottom w:val="single" w:sz="4" w:space="0" w:color="auto"/>
              <w:right w:val="single" w:sz="12" w:space="0" w:color="auto"/>
            </w:tcBorders>
            <w:shd w:val="clear" w:color="auto" w:fill="FFC000"/>
            <w:vAlign w:val="center"/>
            <w:hideMark/>
          </w:tcPr>
          <w:p w14:paraId="5D45F1A7" w14:textId="77777777" w:rsidR="00AA0841" w:rsidRPr="00D842D9" w:rsidRDefault="00AA0841" w:rsidP="00AA0841">
            <w:pPr>
              <w:jc w:val="center"/>
              <w:rPr>
                <w:color w:val="auto"/>
                <w:sz w:val="18"/>
                <w:szCs w:val="18"/>
              </w:rPr>
            </w:pPr>
            <w:r w:rsidRPr="00D842D9">
              <w:rPr>
                <w:color w:val="auto"/>
                <w:sz w:val="18"/>
                <w:szCs w:val="18"/>
              </w:rPr>
              <w:t>Moderate</w:t>
            </w:r>
          </w:p>
        </w:tc>
      </w:tr>
      <w:tr w:rsidR="00AA0841" w:rsidRPr="00D842D9" w14:paraId="6E00056C" w14:textId="77777777" w:rsidTr="00AA0841">
        <w:trPr>
          <w:trHeight w:val="1125"/>
        </w:trPr>
        <w:tc>
          <w:tcPr>
            <w:tcW w:w="2552" w:type="dxa"/>
            <w:vMerge/>
            <w:tcBorders>
              <w:left w:val="single" w:sz="12" w:space="0" w:color="auto"/>
              <w:right w:val="single" w:sz="4" w:space="0" w:color="auto"/>
            </w:tcBorders>
            <w:vAlign w:val="center"/>
            <w:hideMark/>
          </w:tcPr>
          <w:p w14:paraId="44B7C8DF" w14:textId="77777777" w:rsidR="00AA0841" w:rsidRPr="00F45FF4" w:rsidRDefault="00AA0841" w:rsidP="00AA0841">
            <w:pPr>
              <w:rPr>
                <w:sz w:val="18"/>
                <w:szCs w:val="18"/>
              </w:rPr>
            </w:pPr>
          </w:p>
        </w:tc>
        <w:tc>
          <w:tcPr>
            <w:tcW w:w="4111" w:type="dxa"/>
            <w:tcBorders>
              <w:top w:val="nil"/>
              <w:left w:val="nil"/>
              <w:bottom w:val="single" w:sz="4" w:space="0" w:color="auto"/>
              <w:right w:val="single" w:sz="4" w:space="0" w:color="auto"/>
            </w:tcBorders>
            <w:shd w:val="clear" w:color="auto" w:fill="auto"/>
            <w:vAlign w:val="center"/>
            <w:hideMark/>
          </w:tcPr>
          <w:p w14:paraId="59A1FE75" w14:textId="77777777" w:rsidR="00AA0841" w:rsidRPr="00F45FF4" w:rsidRDefault="00AA0841" w:rsidP="00AA0841">
            <w:pPr>
              <w:rPr>
                <w:sz w:val="18"/>
                <w:szCs w:val="18"/>
              </w:rPr>
            </w:pPr>
            <w:r w:rsidRPr="00F45FF4">
              <w:rPr>
                <w:sz w:val="18"/>
                <w:szCs w:val="18"/>
              </w:rPr>
              <w:t>Barrage flows of 6</w:t>
            </w:r>
            <w:r>
              <w:rPr>
                <w:sz w:val="18"/>
                <w:szCs w:val="18"/>
              </w:rPr>
              <w:t xml:space="preserve"> </w:t>
            </w:r>
            <w:r w:rsidRPr="00F45FF4">
              <w:rPr>
                <w:sz w:val="18"/>
                <w:szCs w:val="18"/>
              </w:rPr>
              <w:t>000 GL every three to five years to maintain and improve habitat conditions within the Coorong. Lake water level range between 0.4 and 0.83 m</w:t>
            </w:r>
            <w:r>
              <w:rPr>
                <w:sz w:val="18"/>
                <w:szCs w:val="18"/>
              </w:rPr>
              <w:t xml:space="preserve"> </w:t>
            </w:r>
            <w:r w:rsidRPr="00F45FF4">
              <w:rPr>
                <w:sz w:val="18"/>
                <w:szCs w:val="18"/>
              </w:rPr>
              <w:t>AHD to maintain healthy lake ecology.</w:t>
            </w:r>
          </w:p>
        </w:tc>
        <w:tc>
          <w:tcPr>
            <w:tcW w:w="2126" w:type="dxa"/>
            <w:tcBorders>
              <w:top w:val="nil"/>
              <w:left w:val="nil"/>
              <w:bottom w:val="single" w:sz="4" w:space="0" w:color="auto"/>
              <w:right w:val="single" w:sz="4" w:space="0" w:color="auto"/>
            </w:tcBorders>
            <w:shd w:val="clear" w:color="auto" w:fill="auto"/>
            <w:vAlign w:val="center"/>
            <w:hideMark/>
          </w:tcPr>
          <w:p w14:paraId="36ABBA7A" w14:textId="77777777" w:rsidR="00AA0841" w:rsidRPr="00F45FF4" w:rsidRDefault="00AA0841" w:rsidP="00AA0841">
            <w:pPr>
              <w:jc w:val="center"/>
              <w:rPr>
                <w:sz w:val="18"/>
                <w:szCs w:val="18"/>
              </w:rPr>
            </w:pPr>
            <w:r w:rsidRPr="00F45FF4">
              <w:rPr>
                <w:sz w:val="18"/>
                <w:szCs w:val="18"/>
              </w:rPr>
              <w:t>1 in 3 years</w:t>
            </w:r>
            <w:r w:rsidRPr="00F45FF4">
              <w:rPr>
                <w:sz w:val="18"/>
                <w:szCs w:val="18"/>
              </w:rPr>
              <w:br/>
              <w:t>(5 years)</w:t>
            </w:r>
          </w:p>
        </w:tc>
        <w:tc>
          <w:tcPr>
            <w:tcW w:w="4678" w:type="dxa"/>
            <w:vMerge w:val="restart"/>
            <w:tcBorders>
              <w:top w:val="single" w:sz="4" w:space="0" w:color="auto"/>
              <w:left w:val="nil"/>
              <w:bottom w:val="single" w:sz="4" w:space="0" w:color="auto"/>
              <w:right w:val="single" w:sz="4" w:space="0" w:color="auto"/>
            </w:tcBorders>
            <w:shd w:val="clear" w:color="auto" w:fill="auto"/>
            <w:vAlign w:val="center"/>
            <w:hideMark/>
          </w:tcPr>
          <w:p w14:paraId="751DAA57" w14:textId="77777777" w:rsidR="00AA0841" w:rsidRPr="00F45FF4" w:rsidRDefault="00AA0841" w:rsidP="00AA0841">
            <w:pPr>
              <w:rPr>
                <w:sz w:val="18"/>
                <w:szCs w:val="18"/>
              </w:rPr>
            </w:pPr>
            <w:r w:rsidRPr="00F45FF4">
              <w:rPr>
                <w:sz w:val="18"/>
                <w:szCs w:val="18"/>
              </w:rPr>
              <w:t>Coorong south lagoon still in poor health. While Commonwealth environmental water can help to minimise further damage, strong recovery in the Coorong South Lagoon requires significant volumes of water and will likely only occur in high resource availability years.</w:t>
            </w:r>
          </w:p>
          <w:p w14:paraId="0E1CCB83" w14:textId="77777777" w:rsidR="00AA0841" w:rsidRPr="00F45FF4" w:rsidRDefault="00AA0841" w:rsidP="00AA0841">
            <w:pPr>
              <w:rPr>
                <w:sz w:val="18"/>
                <w:szCs w:val="18"/>
              </w:rPr>
            </w:pPr>
            <w:r w:rsidRPr="00F45FF4">
              <w:rPr>
                <w:sz w:val="18"/>
                <w:szCs w:val="18"/>
              </w:rPr>
              <w:t>Large flow events in the last decade include 2010-11 (15,000+ GL), 2012-13 (6797 GL) and 2016-17 (6484 GL).</w:t>
            </w:r>
          </w:p>
        </w:tc>
        <w:tc>
          <w:tcPr>
            <w:tcW w:w="1984" w:type="dxa"/>
            <w:tcBorders>
              <w:top w:val="single" w:sz="4" w:space="0" w:color="auto"/>
              <w:left w:val="nil"/>
              <w:bottom w:val="single" w:sz="4" w:space="0" w:color="auto"/>
              <w:right w:val="single" w:sz="4" w:space="0" w:color="auto"/>
            </w:tcBorders>
            <w:shd w:val="clear" w:color="auto" w:fill="FFC000"/>
            <w:vAlign w:val="center"/>
            <w:hideMark/>
          </w:tcPr>
          <w:p w14:paraId="01B81678" w14:textId="77777777" w:rsidR="00AA0841" w:rsidRPr="00D842D9" w:rsidRDefault="00AA0841" w:rsidP="00AA0841">
            <w:pPr>
              <w:jc w:val="center"/>
              <w:rPr>
                <w:color w:val="auto"/>
                <w:sz w:val="18"/>
                <w:szCs w:val="18"/>
              </w:rPr>
            </w:pPr>
            <w:r w:rsidRPr="00D842D9" w:rsidDel="00EF228A">
              <w:rPr>
                <w:color w:val="auto"/>
                <w:sz w:val="18"/>
                <w:szCs w:val="18"/>
              </w:rPr>
              <w:t>Moderate</w:t>
            </w:r>
            <w:r w:rsidRPr="00D842D9" w:rsidDel="00EF228A">
              <w:rPr>
                <w:color w:val="auto"/>
                <w:sz w:val="18"/>
                <w:szCs w:val="18"/>
              </w:rPr>
              <w:br/>
              <w:t>(met in 2016-17)</w:t>
            </w:r>
          </w:p>
        </w:tc>
        <w:tc>
          <w:tcPr>
            <w:tcW w:w="4253" w:type="dxa"/>
            <w:vMerge w:val="restart"/>
            <w:tcBorders>
              <w:top w:val="nil"/>
              <w:left w:val="single" w:sz="4" w:space="0" w:color="auto"/>
              <w:bottom w:val="single" w:sz="4" w:space="0" w:color="auto"/>
              <w:right w:val="single" w:sz="4" w:space="0" w:color="auto"/>
            </w:tcBorders>
            <w:shd w:val="clear" w:color="000000" w:fill="FFFFFF"/>
            <w:vAlign w:val="center"/>
            <w:hideMark/>
          </w:tcPr>
          <w:p w14:paraId="0E429DB6" w14:textId="77777777" w:rsidR="00AA0841" w:rsidRPr="00D842D9" w:rsidRDefault="00AA0841" w:rsidP="00AA0841">
            <w:pPr>
              <w:jc w:val="center"/>
              <w:rPr>
                <w:color w:val="auto"/>
                <w:sz w:val="18"/>
                <w:szCs w:val="18"/>
              </w:rPr>
            </w:pPr>
            <w:r w:rsidRPr="00D842D9">
              <w:rPr>
                <w:color w:val="auto"/>
                <w:sz w:val="18"/>
                <w:szCs w:val="18"/>
              </w:rPr>
              <w:t>Commonwealth water will contribute to meeting this demand, however the targets cannot be met by Commonwealth water alone and will depend upon unregulated flow event(s).</w:t>
            </w:r>
          </w:p>
        </w:tc>
        <w:tc>
          <w:tcPr>
            <w:tcW w:w="2268" w:type="dxa"/>
            <w:tcBorders>
              <w:top w:val="nil"/>
              <w:left w:val="nil"/>
              <w:bottom w:val="single" w:sz="4" w:space="0" w:color="auto"/>
              <w:right w:val="single" w:sz="12" w:space="0" w:color="auto"/>
            </w:tcBorders>
            <w:shd w:val="clear" w:color="000000" w:fill="92D050"/>
            <w:vAlign w:val="center"/>
            <w:hideMark/>
          </w:tcPr>
          <w:p w14:paraId="2CA917BA" w14:textId="77777777" w:rsidR="00AA0841" w:rsidRPr="00D842D9" w:rsidRDefault="00AA0841" w:rsidP="00AA0841">
            <w:pPr>
              <w:jc w:val="center"/>
              <w:rPr>
                <w:color w:val="auto"/>
                <w:sz w:val="18"/>
                <w:szCs w:val="18"/>
              </w:rPr>
            </w:pPr>
            <w:r w:rsidRPr="00D842D9">
              <w:rPr>
                <w:color w:val="auto"/>
                <w:sz w:val="18"/>
                <w:szCs w:val="18"/>
              </w:rPr>
              <w:t>Low</w:t>
            </w:r>
          </w:p>
        </w:tc>
      </w:tr>
      <w:tr w:rsidR="00AA0841" w:rsidRPr="00D842D9" w14:paraId="6A672B33" w14:textId="77777777" w:rsidTr="00AA0841">
        <w:trPr>
          <w:trHeight w:val="1836"/>
        </w:trPr>
        <w:tc>
          <w:tcPr>
            <w:tcW w:w="2552" w:type="dxa"/>
            <w:vMerge/>
            <w:tcBorders>
              <w:left w:val="single" w:sz="12" w:space="0" w:color="auto"/>
              <w:bottom w:val="single" w:sz="12" w:space="0" w:color="auto"/>
              <w:right w:val="single" w:sz="4" w:space="0" w:color="auto"/>
            </w:tcBorders>
            <w:vAlign w:val="center"/>
            <w:hideMark/>
          </w:tcPr>
          <w:p w14:paraId="11DCEBAF" w14:textId="77777777" w:rsidR="00AA0841" w:rsidRPr="00F45FF4" w:rsidRDefault="00AA0841" w:rsidP="00AA0841">
            <w:pPr>
              <w:rPr>
                <w:sz w:val="18"/>
                <w:szCs w:val="18"/>
              </w:rPr>
            </w:pPr>
          </w:p>
        </w:tc>
        <w:tc>
          <w:tcPr>
            <w:tcW w:w="4111" w:type="dxa"/>
            <w:tcBorders>
              <w:top w:val="single" w:sz="4" w:space="0" w:color="auto"/>
              <w:left w:val="nil"/>
              <w:bottom w:val="single" w:sz="12" w:space="0" w:color="auto"/>
              <w:right w:val="single" w:sz="4" w:space="0" w:color="auto"/>
            </w:tcBorders>
            <w:shd w:val="clear" w:color="auto" w:fill="auto"/>
            <w:vAlign w:val="center"/>
            <w:hideMark/>
          </w:tcPr>
          <w:p w14:paraId="634A5E55" w14:textId="77777777" w:rsidR="00AA0841" w:rsidRPr="00F45FF4" w:rsidRDefault="00AA0841" w:rsidP="00AA0841">
            <w:pPr>
              <w:rPr>
                <w:sz w:val="18"/>
                <w:szCs w:val="18"/>
              </w:rPr>
            </w:pPr>
            <w:r w:rsidRPr="00F45FF4">
              <w:rPr>
                <w:sz w:val="18"/>
                <w:szCs w:val="18"/>
              </w:rPr>
              <w:t>Barrage flows of 10</w:t>
            </w:r>
            <w:r>
              <w:rPr>
                <w:sz w:val="18"/>
                <w:szCs w:val="18"/>
              </w:rPr>
              <w:t xml:space="preserve"> </w:t>
            </w:r>
            <w:r w:rsidRPr="00F45FF4">
              <w:rPr>
                <w:sz w:val="18"/>
                <w:szCs w:val="18"/>
              </w:rPr>
              <w:t>000 GL every seven to seventeen years to improve habitat conditions within the Coorong. Lake water level range between 0.4 and 0.9</w:t>
            </w:r>
            <w:r>
              <w:rPr>
                <w:sz w:val="18"/>
                <w:szCs w:val="18"/>
              </w:rPr>
              <w:t> </w:t>
            </w:r>
            <w:r w:rsidRPr="00F45FF4">
              <w:rPr>
                <w:sz w:val="18"/>
                <w:szCs w:val="18"/>
              </w:rPr>
              <w:t>m</w:t>
            </w:r>
            <w:r>
              <w:rPr>
                <w:sz w:val="18"/>
                <w:szCs w:val="18"/>
              </w:rPr>
              <w:t xml:space="preserve"> </w:t>
            </w:r>
            <w:r w:rsidRPr="00F45FF4">
              <w:rPr>
                <w:sz w:val="18"/>
                <w:szCs w:val="18"/>
              </w:rPr>
              <w:t>AHD to maintain healthy lake ecology.</w:t>
            </w:r>
          </w:p>
        </w:tc>
        <w:tc>
          <w:tcPr>
            <w:tcW w:w="2126" w:type="dxa"/>
            <w:tcBorders>
              <w:top w:val="single" w:sz="4" w:space="0" w:color="auto"/>
              <w:left w:val="nil"/>
              <w:bottom w:val="single" w:sz="12" w:space="0" w:color="auto"/>
              <w:right w:val="single" w:sz="4" w:space="0" w:color="auto"/>
            </w:tcBorders>
            <w:shd w:val="clear" w:color="auto" w:fill="auto"/>
            <w:vAlign w:val="center"/>
            <w:hideMark/>
          </w:tcPr>
          <w:p w14:paraId="3711C0D7" w14:textId="77777777" w:rsidR="00AA0841" w:rsidRPr="00F45FF4" w:rsidRDefault="00AA0841" w:rsidP="00AA0841">
            <w:pPr>
              <w:jc w:val="center"/>
              <w:rPr>
                <w:sz w:val="18"/>
                <w:szCs w:val="18"/>
              </w:rPr>
            </w:pPr>
            <w:r w:rsidRPr="00F45FF4">
              <w:rPr>
                <w:sz w:val="18"/>
                <w:szCs w:val="18"/>
              </w:rPr>
              <w:t>1 in 7 years</w:t>
            </w:r>
            <w:r w:rsidRPr="00F45FF4">
              <w:rPr>
                <w:sz w:val="18"/>
                <w:szCs w:val="18"/>
              </w:rPr>
              <w:br/>
              <w:t>(17 years)</w:t>
            </w:r>
          </w:p>
        </w:tc>
        <w:tc>
          <w:tcPr>
            <w:tcW w:w="4678" w:type="dxa"/>
            <w:vMerge/>
            <w:tcBorders>
              <w:top w:val="single" w:sz="4" w:space="0" w:color="auto"/>
              <w:left w:val="nil"/>
              <w:bottom w:val="single" w:sz="12" w:space="0" w:color="auto"/>
              <w:right w:val="single" w:sz="4" w:space="0" w:color="auto"/>
            </w:tcBorders>
            <w:vAlign w:val="center"/>
            <w:hideMark/>
          </w:tcPr>
          <w:p w14:paraId="3F1FC967" w14:textId="77777777" w:rsidR="00AA0841" w:rsidRPr="00F45FF4" w:rsidRDefault="00AA0841" w:rsidP="00AA0841">
            <w:pPr>
              <w:rPr>
                <w:sz w:val="18"/>
                <w:szCs w:val="18"/>
              </w:rPr>
            </w:pPr>
          </w:p>
        </w:tc>
        <w:tc>
          <w:tcPr>
            <w:tcW w:w="1984" w:type="dxa"/>
            <w:tcBorders>
              <w:top w:val="single" w:sz="4" w:space="0" w:color="auto"/>
              <w:left w:val="nil"/>
              <w:bottom w:val="single" w:sz="12" w:space="0" w:color="auto"/>
              <w:right w:val="single" w:sz="4" w:space="0" w:color="auto"/>
            </w:tcBorders>
            <w:shd w:val="clear" w:color="auto" w:fill="FFC000"/>
            <w:vAlign w:val="center"/>
            <w:hideMark/>
          </w:tcPr>
          <w:p w14:paraId="417E5154" w14:textId="77777777" w:rsidR="00AA0841" w:rsidRPr="00D842D9" w:rsidRDefault="00AA0841" w:rsidP="00AA0841">
            <w:pPr>
              <w:jc w:val="center"/>
              <w:rPr>
                <w:color w:val="auto"/>
                <w:sz w:val="18"/>
                <w:szCs w:val="18"/>
              </w:rPr>
            </w:pPr>
            <w:r w:rsidRPr="00D842D9" w:rsidDel="00EF228A">
              <w:rPr>
                <w:color w:val="auto"/>
                <w:sz w:val="18"/>
                <w:szCs w:val="18"/>
              </w:rPr>
              <w:t>Moderate</w:t>
            </w:r>
            <w:r w:rsidRPr="00D842D9" w:rsidDel="00EF228A">
              <w:rPr>
                <w:color w:val="auto"/>
                <w:sz w:val="18"/>
                <w:szCs w:val="18"/>
              </w:rPr>
              <w:br/>
              <w:t>(met in 2010-11)</w:t>
            </w:r>
          </w:p>
        </w:tc>
        <w:tc>
          <w:tcPr>
            <w:tcW w:w="4253" w:type="dxa"/>
            <w:vMerge/>
            <w:tcBorders>
              <w:top w:val="nil"/>
              <w:left w:val="single" w:sz="4" w:space="0" w:color="auto"/>
              <w:bottom w:val="single" w:sz="12" w:space="0" w:color="auto"/>
              <w:right w:val="single" w:sz="4" w:space="0" w:color="auto"/>
            </w:tcBorders>
            <w:vAlign w:val="center"/>
            <w:hideMark/>
          </w:tcPr>
          <w:p w14:paraId="2602E659" w14:textId="77777777" w:rsidR="00AA0841" w:rsidRPr="00D842D9" w:rsidRDefault="00AA0841" w:rsidP="00AA0841">
            <w:pPr>
              <w:jc w:val="center"/>
              <w:rPr>
                <w:color w:val="auto"/>
                <w:sz w:val="18"/>
                <w:szCs w:val="18"/>
              </w:rPr>
            </w:pPr>
          </w:p>
        </w:tc>
        <w:tc>
          <w:tcPr>
            <w:tcW w:w="2268" w:type="dxa"/>
            <w:tcBorders>
              <w:top w:val="nil"/>
              <w:left w:val="nil"/>
              <w:bottom w:val="single" w:sz="12" w:space="0" w:color="auto"/>
              <w:right w:val="single" w:sz="12" w:space="0" w:color="auto"/>
            </w:tcBorders>
            <w:shd w:val="clear" w:color="000000" w:fill="92D050"/>
            <w:vAlign w:val="center"/>
            <w:hideMark/>
          </w:tcPr>
          <w:p w14:paraId="584BAE36" w14:textId="77777777" w:rsidR="00AA0841" w:rsidRPr="00D842D9" w:rsidRDefault="00AA0841" w:rsidP="00AA0841">
            <w:pPr>
              <w:jc w:val="center"/>
              <w:rPr>
                <w:color w:val="auto"/>
                <w:sz w:val="18"/>
                <w:szCs w:val="18"/>
              </w:rPr>
            </w:pPr>
            <w:r w:rsidRPr="00D842D9">
              <w:rPr>
                <w:color w:val="auto"/>
                <w:sz w:val="18"/>
                <w:szCs w:val="18"/>
              </w:rPr>
              <w:t>Low</w:t>
            </w:r>
          </w:p>
        </w:tc>
      </w:tr>
    </w:tbl>
    <w:p w14:paraId="12F13EB6" w14:textId="77777777" w:rsidR="00AA0841" w:rsidRDefault="00AA0841" w:rsidP="00AA0841">
      <w:r>
        <w:rPr>
          <w:noProof/>
        </w:rPr>
        <mc:AlternateContent>
          <mc:Choice Requires="wps">
            <w:drawing>
              <wp:anchor distT="0" distB="0" distL="114300" distR="114300" simplePos="0" relativeHeight="251668490" behindDoc="0" locked="0" layoutInCell="1" allowOverlap="1" wp14:anchorId="40DC54E7" wp14:editId="5FB1F5E9">
                <wp:simplePos x="0" y="0"/>
                <wp:positionH relativeFrom="column">
                  <wp:posOffset>8708390</wp:posOffset>
                </wp:positionH>
                <wp:positionV relativeFrom="paragraph">
                  <wp:posOffset>10160</wp:posOffset>
                </wp:positionV>
                <wp:extent cx="5210175" cy="1781175"/>
                <wp:effectExtent l="0" t="0" r="9525" b="9525"/>
                <wp:wrapNone/>
                <wp:docPr id="37" name="Text Box 37"/>
                <wp:cNvGraphicFramePr/>
                <a:graphic xmlns:a="http://schemas.openxmlformats.org/drawingml/2006/main">
                  <a:graphicData uri="http://schemas.microsoft.com/office/word/2010/wordprocessingShape">
                    <wps:wsp>
                      <wps:cNvSpPr txBox="1"/>
                      <wps:spPr>
                        <a:xfrm>
                          <a:off x="0" y="0"/>
                          <a:ext cx="5210175" cy="1781175"/>
                        </a:xfrm>
                        <a:prstGeom prst="rect">
                          <a:avLst/>
                        </a:prstGeom>
                        <a:solidFill>
                          <a:schemeClr val="lt1"/>
                        </a:solidFill>
                        <a:ln w="6350">
                          <a:noFill/>
                        </a:ln>
                      </wps:spPr>
                      <wps:txbx>
                        <w:txbxContent>
                          <w:p w14:paraId="43B5D776" w14:textId="384872F6" w:rsidR="00583873" w:rsidRPr="00595A3F" w:rsidRDefault="00583873" w:rsidP="00AA0841">
                            <w:pPr>
                              <w:spacing w:after="0"/>
                              <w:rPr>
                                <w:rFonts w:cstheme="minorHAnsi"/>
                                <w:b/>
                                <w:sz w:val="16"/>
                                <w:szCs w:val="16"/>
                              </w:rPr>
                            </w:pPr>
                            <w:r w:rsidRPr="00595A3F">
                              <w:rPr>
                                <w:rFonts w:cstheme="minorHAnsi"/>
                                <w:b/>
                                <w:sz w:val="16"/>
                                <w:szCs w:val="16"/>
                              </w:rPr>
                              <w:t xml:space="preserve">References for </w:t>
                            </w:r>
                            <w:r>
                              <w:rPr>
                                <w:rFonts w:cstheme="minorHAnsi"/>
                                <w:b/>
                                <w:sz w:val="16"/>
                                <w:szCs w:val="16"/>
                              </w:rPr>
                              <w:fldChar w:fldCharType="begin"/>
                            </w:r>
                            <w:r>
                              <w:rPr>
                                <w:rFonts w:cstheme="minorHAnsi"/>
                                <w:b/>
                                <w:sz w:val="16"/>
                                <w:szCs w:val="16"/>
                              </w:rPr>
                              <w:instrText xml:space="preserve"> REF _Ref43377559 \h  \* MERGEFORMAT </w:instrText>
                            </w:r>
                            <w:r>
                              <w:rPr>
                                <w:rFonts w:cstheme="minorHAnsi"/>
                                <w:b/>
                                <w:sz w:val="16"/>
                                <w:szCs w:val="16"/>
                              </w:rPr>
                            </w:r>
                            <w:r>
                              <w:rPr>
                                <w:rFonts w:cstheme="minorHAnsi"/>
                                <w:b/>
                                <w:sz w:val="16"/>
                                <w:szCs w:val="16"/>
                              </w:rPr>
                              <w:fldChar w:fldCharType="separate"/>
                            </w:r>
                            <w:r w:rsidR="001B2852" w:rsidRPr="001B2852">
                              <w:rPr>
                                <w:rFonts w:cstheme="minorHAnsi"/>
                                <w:b/>
                                <w:sz w:val="16"/>
                                <w:szCs w:val="16"/>
                              </w:rPr>
                              <w:t>Table 49</w:t>
                            </w:r>
                            <w:r>
                              <w:rPr>
                                <w:rFonts w:cstheme="minorHAnsi"/>
                                <w:b/>
                                <w:sz w:val="16"/>
                                <w:szCs w:val="16"/>
                              </w:rPr>
                              <w:fldChar w:fldCharType="end"/>
                            </w:r>
                          </w:p>
                          <w:p w14:paraId="3217B4B7" w14:textId="77777777" w:rsidR="00583873" w:rsidRPr="001842E4" w:rsidRDefault="00583873" w:rsidP="00EE5C1C">
                            <w:pPr>
                              <w:spacing w:after="0"/>
                              <w:rPr>
                                <w:rFonts w:cstheme="minorHAnsi"/>
                                <w:sz w:val="16"/>
                                <w:szCs w:val="16"/>
                              </w:rPr>
                            </w:pPr>
                            <w:r w:rsidRPr="001842E4">
                              <w:rPr>
                                <w:rFonts w:cstheme="minorHAnsi"/>
                                <w:sz w:val="16"/>
                                <w:szCs w:val="16"/>
                              </w:rPr>
                              <w:t>River Murray Channel indicators sourced from Wallace et al. (2014), Ecological Associates (2015), Ecological Associates (2010), DEWNR (2015) and MDBA (2012</w:t>
                            </w:r>
                            <w:r w:rsidRPr="00847B47">
                              <w:rPr>
                                <w:rFonts w:cstheme="minorHAnsi"/>
                                <w:sz w:val="16"/>
                                <w:szCs w:val="16"/>
                              </w:rPr>
                              <w:t>g</w:t>
                            </w:r>
                            <w:r w:rsidRPr="001842E4">
                              <w:rPr>
                                <w:rFonts w:cstheme="minorHAnsi"/>
                                <w:sz w:val="16"/>
                                <w:szCs w:val="16"/>
                              </w:rPr>
                              <w:t>)</w:t>
                            </w:r>
                          </w:p>
                          <w:p w14:paraId="527CAB11" w14:textId="77777777" w:rsidR="00583873" w:rsidRPr="001842E4" w:rsidRDefault="00583873" w:rsidP="00EE5C1C">
                            <w:pPr>
                              <w:pStyle w:val="FootnoteText"/>
                              <w:spacing w:before="0" w:after="0"/>
                              <w:rPr>
                                <w:rFonts w:asciiTheme="minorHAnsi" w:hAnsiTheme="minorHAnsi" w:cstheme="minorHAnsi"/>
                                <w:color w:val="000000" w:themeColor="text1"/>
                                <w:sz w:val="16"/>
                                <w:szCs w:val="16"/>
                              </w:rPr>
                            </w:pPr>
                            <w:r w:rsidRPr="001842E4">
                              <w:rPr>
                                <w:rFonts w:asciiTheme="minorHAnsi" w:hAnsiTheme="minorHAnsi" w:cstheme="minorHAnsi"/>
                                <w:color w:val="000000" w:themeColor="text1"/>
                                <w:sz w:val="16"/>
                                <w:szCs w:val="16"/>
                              </w:rPr>
                              <w:t xml:space="preserve">Hattah Lakes </w:t>
                            </w:r>
                            <w:r w:rsidRPr="001842E4">
                              <w:rPr>
                                <w:rFonts w:asciiTheme="minorHAnsi" w:hAnsiTheme="minorHAnsi" w:cstheme="minorHAnsi"/>
                                <w:color w:val="000000"/>
                                <w:sz w:val="16"/>
                                <w:szCs w:val="16"/>
                              </w:rPr>
                              <w:t>indicators s</w:t>
                            </w:r>
                            <w:r w:rsidRPr="001842E4">
                              <w:rPr>
                                <w:rFonts w:asciiTheme="minorHAnsi" w:hAnsiTheme="minorHAnsi" w:cstheme="minorHAnsi"/>
                                <w:color w:val="000000" w:themeColor="text1"/>
                                <w:sz w:val="16"/>
                                <w:szCs w:val="16"/>
                              </w:rPr>
                              <w:t xml:space="preserve">ourced from MDBA (2012f), (2012g); Roberts and Marston (2011). </w:t>
                            </w:r>
                          </w:p>
                          <w:p w14:paraId="13BB9C2C" w14:textId="77777777" w:rsidR="00583873" w:rsidRPr="001842E4" w:rsidRDefault="00583873" w:rsidP="00EE5C1C">
                            <w:pPr>
                              <w:spacing w:after="0"/>
                              <w:rPr>
                                <w:rFonts w:cstheme="minorHAnsi"/>
                                <w:color w:val="000000" w:themeColor="text1"/>
                                <w:sz w:val="16"/>
                                <w:szCs w:val="16"/>
                              </w:rPr>
                            </w:pPr>
                            <w:r w:rsidRPr="001842E4">
                              <w:rPr>
                                <w:rFonts w:cstheme="minorHAnsi"/>
                                <w:color w:val="000000" w:themeColor="text1"/>
                                <w:sz w:val="16"/>
                                <w:szCs w:val="16"/>
                              </w:rPr>
                              <w:t xml:space="preserve">Floodplain from Euston to SA </w:t>
                            </w:r>
                            <w:r w:rsidRPr="001842E4">
                              <w:rPr>
                                <w:rFonts w:cstheme="minorHAnsi"/>
                                <w:sz w:val="16"/>
                                <w:szCs w:val="16"/>
                              </w:rPr>
                              <w:t>indicators s</w:t>
                            </w:r>
                            <w:r w:rsidRPr="001842E4">
                              <w:rPr>
                                <w:rFonts w:cstheme="minorHAnsi"/>
                                <w:color w:val="000000" w:themeColor="text1"/>
                                <w:sz w:val="16"/>
                                <w:szCs w:val="16"/>
                              </w:rPr>
                              <w:t>ourced from MDBA (2012b): 40 000 ML/day for 45-60 days or 50 000 ML/day for 26-45 days. Total duration of natural flows can include multiple discreet flow pulses above 40-50 000 ML/day with a minimum duration of individual pulses of 7 days.</w:t>
                            </w:r>
                          </w:p>
                          <w:p w14:paraId="1F62F42A" w14:textId="77777777" w:rsidR="00583873" w:rsidRPr="00595A3F" w:rsidRDefault="00583873" w:rsidP="00EE5C1C">
                            <w:pPr>
                              <w:pStyle w:val="FootnoteText"/>
                              <w:spacing w:before="0" w:after="0"/>
                              <w:rPr>
                                <w:rFonts w:asciiTheme="minorHAnsi" w:hAnsiTheme="minorHAnsi" w:cstheme="minorHAnsi"/>
                                <w:color w:val="000000"/>
                                <w:sz w:val="16"/>
                                <w:szCs w:val="16"/>
                              </w:rPr>
                            </w:pPr>
                            <w:r w:rsidRPr="001842E4">
                              <w:rPr>
                                <w:rFonts w:asciiTheme="minorHAnsi" w:hAnsiTheme="minorHAnsi" w:cstheme="minorHAnsi"/>
                                <w:color w:val="000000"/>
                                <w:sz w:val="16"/>
                                <w:szCs w:val="16"/>
                              </w:rPr>
                              <w:t>Floodplain from SA to Lower Lakes indicators sourced from MDBA (2014b), MDBA (2012d) and</w:t>
                            </w:r>
                            <w:r w:rsidRPr="00595A3F">
                              <w:rPr>
                                <w:rFonts w:asciiTheme="minorHAnsi" w:hAnsiTheme="minorHAnsi" w:cstheme="minorHAnsi"/>
                                <w:color w:val="000000"/>
                                <w:sz w:val="16"/>
                                <w:szCs w:val="16"/>
                              </w:rPr>
                              <w:t xml:space="preserve"> DEWNR (2015)</w:t>
                            </w:r>
                          </w:p>
                          <w:p w14:paraId="323DC13B" w14:textId="77777777" w:rsidR="00583873" w:rsidRPr="00365FE2" w:rsidRDefault="00583873" w:rsidP="00EE5C1C">
                            <w:pPr>
                              <w:pStyle w:val="FootnoteText"/>
                              <w:spacing w:before="0" w:after="0"/>
                              <w:rPr>
                                <w:rFonts w:hAnsi="Century Gothic"/>
                                <w:sz w:val="18"/>
                                <w:szCs w:val="18"/>
                              </w:rPr>
                            </w:pPr>
                            <w:r w:rsidRPr="00595A3F">
                              <w:rPr>
                                <w:rFonts w:asciiTheme="minorHAnsi" w:hAnsiTheme="minorHAnsi" w:cstheme="minorHAnsi"/>
                                <w:color w:val="000000"/>
                                <w:sz w:val="16"/>
                                <w:szCs w:val="16"/>
                              </w:rPr>
                              <w:t>Coorong, Lower Lakes and Murray Mouth indicators sourced from MDBA (2012</w:t>
                            </w:r>
                            <w:r>
                              <w:rPr>
                                <w:rFonts w:asciiTheme="minorHAnsi" w:hAnsiTheme="minorHAnsi" w:cstheme="minorHAnsi"/>
                                <w:color w:val="000000"/>
                                <w:sz w:val="16"/>
                                <w:szCs w:val="16"/>
                              </w:rPr>
                              <w:t>e</w:t>
                            </w:r>
                            <w:r w:rsidRPr="00595A3F">
                              <w:rPr>
                                <w:rFonts w:asciiTheme="minorHAnsi" w:hAnsiTheme="minorHAnsi" w:cstheme="minorHAnsi"/>
                                <w:color w:val="000000"/>
                                <w:sz w:val="16"/>
                                <w:szCs w:val="16"/>
                              </w:rPr>
                              <w:t>) and DEWNR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C54E7" id="Text Box 37" o:spid="_x0000_s1031" type="#_x0000_t202" style="position:absolute;margin-left:685.7pt;margin-top:.8pt;width:410.25pt;height:140.25pt;z-index:251668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" fillcolor="white [3201]" stroked="f" strokeweight=".5pt">
                <v:textbox>
                  <w:txbxContent>
                    <w:p w14:paraId="43B5D776" w14:textId="384872F6" w:rsidR="00583873" w:rsidRPr="00595A3F" w:rsidRDefault="00583873" w:rsidP="00AA0841">
                      <w:pPr>
                        <w:spacing w:after="0"/>
                        <w:rPr>
                          <w:rFonts w:cstheme="minorHAnsi"/>
                          <w:b/>
                          <w:sz w:val="16"/>
                          <w:szCs w:val="16"/>
                        </w:rPr>
                      </w:pPr>
                      <w:r w:rsidRPr="00595A3F">
                        <w:rPr>
                          <w:rFonts w:cstheme="minorHAnsi"/>
                          <w:b/>
                          <w:sz w:val="16"/>
                          <w:szCs w:val="16"/>
                        </w:rPr>
                        <w:t xml:space="preserve">References for </w:t>
                      </w:r>
                      <w:r>
                        <w:rPr>
                          <w:rFonts w:cstheme="minorHAnsi"/>
                          <w:b/>
                          <w:sz w:val="16"/>
                          <w:szCs w:val="16"/>
                        </w:rPr>
                        <w:fldChar w:fldCharType="begin"/>
                      </w:r>
                      <w:r>
                        <w:rPr>
                          <w:rFonts w:cstheme="minorHAnsi"/>
                          <w:b/>
                          <w:sz w:val="16"/>
                          <w:szCs w:val="16"/>
                        </w:rPr>
                        <w:instrText xml:space="preserve"> REF _Ref43377559 \h  \* MERGEFORMAT </w:instrText>
                      </w:r>
                      <w:r>
                        <w:rPr>
                          <w:rFonts w:cstheme="minorHAnsi"/>
                          <w:b/>
                          <w:sz w:val="16"/>
                          <w:szCs w:val="16"/>
                        </w:rPr>
                      </w:r>
                      <w:r>
                        <w:rPr>
                          <w:rFonts w:cstheme="minorHAnsi"/>
                          <w:b/>
                          <w:sz w:val="16"/>
                          <w:szCs w:val="16"/>
                        </w:rPr>
                        <w:fldChar w:fldCharType="separate"/>
                      </w:r>
                      <w:r w:rsidR="001B2852" w:rsidRPr="001B2852">
                        <w:rPr>
                          <w:rFonts w:cstheme="minorHAnsi"/>
                          <w:b/>
                          <w:sz w:val="16"/>
                          <w:szCs w:val="16"/>
                        </w:rPr>
                        <w:t>Table 49</w:t>
                      </w:r>
                      <w:r>
                        <w:rPr>
                          <w:rFonts w:cstheme="minorHAnsi"/>
                          <w:b/>
                          <w:sz w:val="16"/>
                          <w:szCs w:val="16"/>
                        </w:rPr>
                        <w:fldChar w:fldCharType="end"/>
                      </w:r>
                    </w:p>
                    <w:p w14:paraId="3217B4B7" w14:textId="77777777" w:rsidR="00583873" w:rsidRPr="001842E4" w:rsidRDefault="00583873" w:rsidP="00EE5C1C">
                      <w:pPr>
                        <w:spacing w:after="0"/>
                        <w:rPr>
                          <w:rFonts w:cstheme="minorHAnsi"/>
                          <w:sz w:val="16"/>
                          <w:szCs w:val="16"/>
                        </w:rPr>
                      </w:pPr>
                      <w:r w:rsidRPr="001842E4">
                        <w:rPr>
                          <w:rFonts w:cstheme="minorHAnsi"/>
                          <w:sz w:val="16"/>
                          <w:szCs w:val="16"/>
                        </w:rPr>
                        <w:t>River Murray Channel indicators sourced from Wallace et al. (2014), Ecological Associates (2015), Ecological Associates (2010), DEWNR (2015) and MDBA (2012</w:t>
                      </w:r>
                      <w:r w:rsidRPr="00847B47">
                        <w:rPr>
                          <w:rFonts w:cstheme="minorHAnsi"/>
                          <w:sz w:val="16"/>
                          <w:szCs w:val="16"/>
                        </w:rPr>
                        <w:t>g</w:t>
                      </w:r>
                      <w:r w:rsidRPr="001842E4">
                        <w:rPr>
                          <w:rFonts w:cstheme="minorHAnsi"/>
                          <w:sz w:val="16"/>
                          <w:szCs w:val="16"/>
                        </w:rPr>
                        <w:t>)</w:t>
                      </w:r>
                    </w:p>
                    <w:p w14:paraId="527CAB11" w14:textId="77777777" w:rsidR="00583873" w:rsidRPr="001842E4" w:rsidRDefault="00583873" w:rsidP="00EE5C1C">
                      <w:pPr>
                        <w:pStyle w:val="FootnoteText"/>
                        <w:spacing w:before="0" w:after="0"/>
                        <w:rPr>
                          <w:rFonts w:asciiTheme="minorHAnsi" w:hAnsiTheme="minorHAnsi" w:cstheme="minorHAnsi"/>
                          <w:color w:val="000000" w:themeColor="text1"/>
                          <w:sz w:val="16"/>
                          <w:szCs w:val="16"/>
                        </w:rPr>
                      </w:pPr>
                      <w:r w:rsidRPr="001842E4">
                        <w:rPr>
                          <w:rFonts w:asciiTheme="minorHAnsi" w:hAnsiTheme="minorHAnsi" w:cstheme="minorHAnsi"/>
                          <w:color w:val="000000" w:themeColor="text1"/>
                          <w:sz w:val="16"/>
                          <w:szCs w:val="16"/>
                        </w:rPr>
                        <w:t xml:space="preserve">Hattah Lakes </w:t>
                      </w:r>
                      <w:r w:rsidRPr="001842E4">
                        <w:rPr>
                          <w:rFonts w:asciiTheme="minorHAnsi" w:hAnsiTheme="minorHAnsi" w:cstheme="minorHAnsi"/>
                          <w:color w:val="000000"/>
                          <w:sz w:val="16"/>
                          <w:szCs w:val="16"/>
                        </w:rPr>
                        <w:t>indicators s</w:t>
                      </w:r>
                      <w:r w:rsidRPr="001842E4">
                        <w:rPr>
                          <w:rFonts w:asciiTheme="minorHAnsi" w:hAnsiTheme="minorHAnsi" w:cstheme="minorHAnsi"/>
                          <w:color w:val="000000" w:themeColor="text1"/>
                          <w:sz w:val="16"/>
                          <w:szCs w:val="16"/>
                        </w:rPr>
                        <w:t xml:space="preserve">ourced from MDBA (2012f), (2012g); Roberts and Marston (2011). </w:t>
                      </w:r>
                    </w:p>
                    <w:p w14:paraId="13BB9C2C" w14:textId="77777777" w:rsidR="00583873" w:rsidRPr="001842E4" w:rsidRDefault="00583873" w:rsidP="00EE5C1C">
                      <w:pPr>
                        <w:spacing w:after="0"/>
                        <w:rPr>
                          <w:rFonts w:cstheme="minorHAnsi"/>
                          <w:color w:val="000000" w:themeColor="text1"/>
                          <w:sz w:val="16"/>
                          <w:szCs w:val="16"/>
                        </w:rPr>
                      </w:pPr>
                      <w:r w:rsidRPr="001842E4">
                        <w:rPr>
                          <w:rFonts w:cstheme="minorHAnsi"/>
                          <w:color w:val="000000" w:themeColor="text1"/>
                          <w:sz w:val="16"/>
                          <w:szCs w:val="16"/>
                        </w:rPr>
                        <w:t xml:space="preserve">Floodplain from Euston to SA </w:t>
                      </w:r>
                      <w:r w:rsidRPr="001842E4">
                        <w:rPr>
                          <w:rFonts w:cstheme="minorHAnsi"/>
                          <w:sz w:val="16"/>
                          <w:szCs w:val="16"/>
                        </w:rPr>
                        <w:t>indicators s</w:t>
                      </w:r>
                      <w:r w:rsidRPr="001842E4">
                        <w:rPr>
                          <w:rFonts w:cstheme="minorHAnsi"/>
                          <w:color w:val="000000" w:themeColor="text1"/>
                          <w:sz w:val="16"/>
                          <w:szCs w:val="16"/>
                        </w:rPr>
                        <w:t>ourced from MDBA (2012b): 40 000 ML/day for 45-60 days or 50 000 ML/day for 26-45 days. Total duration of natural flows can include multiple discreet flow pulses above 40-50 000 ML/day with a minimum duration of individual pulses of 7 days.</w:t>
                      </w:r>
                    </w:p>
                    <w:p w14:paraId="1F62F42A" w14:textId="77777777" w:rsidR="00583873" w:rsidRPr="00595A3F" w:rsidRDefault="00583873" w:rsidP="00EE5C1C">
                      <w:pPr>
                        <w:pStyle w:val="FootnoteText"/>
                        <w:spacing w:before="0" w:after="0"/>
                        <w:rPr>
                          <w:rFonts w:asciiTheme="minorHAnsi" w:hAnsiTheme="minorHAnsi" w:cstheme="minorHAnsi"/>
                          <w:color w:val="000000"/>
                          <w:sz w:val="16"/>
                          <w:szCs w:val="16"/>
                        </w:rPr>
                      </w:pPr>
                      <w:r w:rsidRPr="001842E4">
                        <w:rPr>
                          <w:rFonts w:asciiTheme="minorHAnsi" w:hAnsiTheme="minorHAnsi" w:cstheme="minorHAnsi"/>
                          <w:color w:val="000000"/>
                          <w:sz w:val="16"/>
                          <w:szCs w:val="16"/>
                        </w:rPr>
                        <w:t>Floodplain from SA to Lower Lakes indicators sourced from MDBA (2014b), MDBA (2012d) and</w:t>
                      </w:r>
                      <w:r w:rsidRPr="00595A3F">
                        <w:rPr>
                          <w:rFonts w:asciiTheme="minorHAnsi" w:hAnsiTheme="minorHAnsi" w:cstheme="minorHAnsi"/>
                          <w:color w:val="000000"/>
                          <w:sz w:val="16"/>
                          <w:szCs w:val="16"/>
                        </w:rPr>
                        <w:t xml:space="preserve"> DEWNR (2015)</w:t>
                      </w:r>
                    </w:p>
                    <w:p w14:paraId="323DC13B" w14:textId="77777777" w:rsidR="00583873" w:rsidRPr="00365FE2" w:rsidRDefault="00583873" w:rsidP="00EE5C1C">
                      <w:pPr>
                        <w:pStyle w:val="FootnoteText"/>
                        <w:spacing w:before="0" w:after="0"/>
                        <w:rPr>
                          <w:rFonts w:hAnsi="Century Gothic"/>
                          <w:sz w:val="18"/>
                          <w:szCs w:val="18"/>
                        </w:rPr>
                      </w:pPr>
                      <w:r w:rsidRPr="00595A3F">
                        <w:rPr>
                          <w:rFonts w:asciiTheme="minorHAnsi" w:hAnsiTheme="minorHAnsi" w:cstheme="minorHAnsi"/>
                          <w:color w:val="000000"/>
                          <w:sz w:val="16"/>
                          <w:szCs w:val="16"/>
                        </w:rPr>
                        <w:t>Coorong, Lower Lakes and Murray Mouth indicators sourced from MDBA (2012</w:t>
                      </w:r>
                      <w:r>
                        <w:rPr>
                          <w:rFonts w:asciiTheme="minorHAnsi" w:hAnsiTheme="minorHAnsi" w:cstheme="minorHAnsi"/>
                          <w:color w:val="000000"/>
                          <w:sz w:val="16"/>
                          <w:szCs w:val="16"/>
                        </w:rPr>
                        <w:t>e</w:t>
                      </w:r>
                      <w:r w:rsidRPr="00595A3F">
                        <w:rPr>
                          <w:rFonts w:asciiTheme="minorHAnsi" w:hAnsiTheme="minorHAnsi" w:cstheme="minorHAnsi"/>
                          <w:color w:val="000000"/>
                          <w:sz w:val="16"/>
                          <w:szCs w:val="16"/>
                        </w:rPr>
                        <w:t>) and DEWNR (2015)</w:t>
                      </w:r>
                    </w:p>
                  </w:txbxContent>
                </v:textbox>
              </v:shape>
            </w:pict>
          </mc:Fallback>
        </mc:AlternateContent>
      </w:r>
      <w:r>
        <w:rPr>
          <w:noProof/>
        </w:rPr>
        <w:drawing>
          <wp:inline distT="0" distB="0" distL="0" distR="0" wp14:anchorId="4933DD3C" wp14:editId="65BB2EB8">
            <wp:extent cx="8816210" cy="1771650"/>
            <wp:effectExtent l="0" t="0" r="444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8843806" cy="1777195"/>
                    </a:xfrm>
                    <a:prstGeom prst="rect">
                      <a:avLst/>
                    </a:prstGeom>
                  </pic:spPr>
                </pic:pic>
              </a:graphicData>
            </a:graphic>
          </wp:inline>
        </w:drawing>
      </w:r>
    </w:p>
    <w:p w14:paraId="4BFF9745" w14:textId="77777777" w:rsidR="00AA0841" w:rsidRDefault="00AA0841" w:rsidP="00AA0841"/>
    <w:p w14:paraId="275B1307" w14:textId="77777777" w:rsidR="00AA0841" w:rsidRDefault="00AA0841" w:rsidP="00AA0841">
      <w:pPr>
        <w:spacing w:after="240"/>
        <w:rPr>
          <w:rStyle w:val="Hyperlink"/>
          <w:rFonts w:ascii="Century Gothic" w:hAnsi="Century Gothic" w:cs="Arial"/>
          <w:noProof/>
        </w:rPr>
        <w:sectPr w:rsidR="00AA0841" w:rsidSect="003737D8">
          <w:footerReference w:type="first" r:id="rId302"/>
          <w:footnotePr>
            <w:numFmt w:val="chicago"/>
          </w:footnotePr>
          <w:pgSz w:w="23814" w:h="16839" w:orient="landscape" w:code="8"/>
          <w:pgMar w:top="1134" w:right="992" w:bottom="851" w:left="964" w:header="567" w:footer="397" w:gutter="0"/>
          <w:cols w:space="708"/>
          <w:docGrid w:linePitch="360"/>
        </w:sectPr>
      </w:pPr>
    </w:p>
    <w:p w14:paraId="6BF5A8AA" w14:textId="77777777" w:rsidR="00AA0841" w:rsidRDefault="00AA0841" w:rsidP="00EE5C1C">
      <w:pPr>
        <w:pStyle w:val="Heading3"/>
        <w:spacing w:after="240"/>
      </w:pPr>
      <w:r>
        <w:lastRenderedPageBreak/>
        <w:t>Water delivery in 2020–21</w:t>
      </w:r>
    </w:p>
    <w:p w14:paraId="4A5479A5" w14:textId="77777777" w:rsidR="00AA0841" w:rsidRDefault="00AA0841" w:rsidP="00AA0841">
      <w:r>
        <w:t xml:space="preserve">The use of water for the environment will be responsive to prevailing conditions, water availability, and any emergent opportunities or risks. As such, our plans are flexible (as opposed to being prescriptive) and we may deviate from them in order to maximise the achievement of environmental outcomes throughout the Basin.  </w:t>
      </w:r>
    </w:p>
    <w:p w14:paraId="25CB7A65" w14:textId="77777777" w:rsidR="00AA0841" w:rsidRDefault="00AA0841" w:rsidP="00AA0841">
      <w:r w:rsidRPr="00E35F0B">
        <w:t>Where possible,</w:t>
      </w:r>
      <w:r>
        <w:t xml:space="preserve"> </w:t>
      </w:r>
      <w:r w:rsidRPr="00E35F0B">
        <w:t xml:space="preserve">water </w:t>
      </w:r>
      <w:r>
        <w:t xml:space="preserve">for the environment </w:t>
      </w:r>
      <w:r w:rsidRPr="00E35F0B">
        <w:t xml:space="preserve">will be managed to benefit multiple sites enroute </w:t>
      </w:r>
      <w:r>
        <w:t>and will be coordinated with other sources of water. This will include other</w:t>
      </w:r>
      <w:r w:rsidRPr="00E35F0B">
        <w:t xml:space="preserve"> </w:t>
      </w:r>
      <w:r>
        <w:t>e</w:t>
      </w:r>
      <w:r w:rsidRPr="00E35F0B">
        <w:t>nvironmental water portfolios</w:t>
      </w:r>
      <w:r>
        <w:t xml:space="preserve"> (such as The Living Murray program), consumptive and operational deliveries, natural flows and inflows from key tributaries such as the Ovens and Kiewa Rivers</w:t>
      </w:r>
      <w:r w:rsidRPr="00E35F0B">
        <w:t>.</w:t>
      </w:r>
    </w:p>
    <w:p w14:paraId="0A234B2A" w14:textId="77777777" w:rsidR="00AA0841" w:rsidRPr="00862269" w:rsidRDefault="00AA0841" w:rsidP="00AA0841">
      <w:r>
        <w:t xml:space="preserve">The following summary indicates how we may manage Commonwealth environmental water deliveries under various scenarios. </w:t>
      </w:r>
    </w:p>
    <w:p w14:paraId="07072EE7" w14:textId="77777777" w:rsidR="00AA0841" w:rsidRPr="00EF32FB" w:rsidRDefault="00AA0841" w:rsidP="00EE5C1C">
      <w:pPr>
        <w:pStyle w:val="Heading5"/>
        <w:spacing w:after="120"/>
      </w:pPr>
      <w:r w:rsidRPr="00EF32FB">
        <w:t>Very Dry</w:t>
      </w:r>
      <w:r>
        <w:t xml:space="preserve"> (a year that is in the driest 10 per cent of years, in terms of inflows)</w:t>
      </w:r>
    </w:p>
    <w:p w14:paraId="399F0093" w14:textId="77777777" w:rsidR="00AA0841" w:rsidRDefault="00AA0841" w:rsidP="00AA0841">
      <w:pPr>
        <w:pStyle w:val="DotStyle1"/>
      </w:pPr>
      <w:r>
        <w:t>Maintain baseflows</w:t>
      </w:r>
      <w:r w:rsidRPr="00E35F0B">
        <w:t xml:space="preserve"> </w:t>
      </w:r>
      <w:r>
        <w:t>to support in-channel species (including native fish), provide drought refuge, maintain water quality and riverine functions:</w:t>
      </w:r>
    </w:p>
    <w:p w14:paraId="23E5EB22" w14:textId="77777777" w:rsidR="00AA0841" w:rsidRDefault="00AA0841" w:rsidP="00AA0841">
      <w:pPr>
        <w:pStyle w:val="DotStyle2"/>
      </w:pPr>
      <w:r>
        <w:t xml:space="preserve">in the main river channel in winter (4 000 ML/day at Yarrawonga), spring (8 000 ML/day at Yarrawonga) and summer (6 000 ML/day at the South Australian border) </w:t>
      </w:r>
    </w:p>
    <w:p w14:paraId="467A4820" w14:textId="77777777" w:rsidR="00AA0841" w:rsidRDefault="00AA0841" w:rsidP="00AA0841">
      <w:pPr>
        <w:pStyle w:val="DotStyle2"/>
      </w:pPr>
      <w:r>
        <w:t>through the creeks and key wetlands of Barmah-Millewa Forest over spring</w:t>
      </w:r>
    </w:p>
    <w:p w14:paraId="5C2DC61F" w14:textId="77777777" w:rsidR="00AA0841" w:rsidRDefault="00AA0841" w:rsidP="00AA0841">
      <w:pPr>
        <w:pStyle w:val="DotStyle2"/>
      </w:pPr>
      <w:r>
        <w:t>through Gunbower Creek</w:t>
      </w:r>
    </w:p>
    <w:p w14:paraId="63166C93" w14:textId="77777777" w:rsidR="00AA0841" w:rsidRDefault="00AA0841" w:rsidP="00AA0841">
      <w:pPr>
        <w:pStyle w:val="DotStyle2"/>
      </w:pPr>
      <w:r>
        <w:t>through the Edward/Kolety-Wakool River system, including the Yallakool-Wakool and Colligen-Niemur Creek systems (subject decisions made by NSW agencies under the NSW Extreme Events Policy</w:t>
      </w:r>
    </w:p>
    <w:p w14:paraId="6E503105" w14:textId="77777777" w:rsidR="00AA0841" w:rsidRDefault="00AA0841" w:rsidP="00AA0841">
      <w:pPr>
        <w:pStyle w:val="DotStyle2"/>
      </w:pPr>
      <w:r>
        <w:t>provide continuous connection through the Lower Lakes and into the Coorong and maintain water levels in the Lower Lakes above 0.4 m (to avoid the risk of acidification).</w:t>
      </w:r>
    </w:p>
    <w:p w14:paraId="1575830E" w14:textId="77777777" w:rsidR="00AA0841" w:rsidRDefault="00AA0841" w:rsidP="00AA0841">
      <w:pPr>
        <w:pStyle w:val="DotStyle1"/>
      </w:pPr>
      <w:r>
        <w:t>Use infrastructure, pumps and/or weir pool manipulation to provide water to key wetlands throughout the valley that provide refuge habitat or are at risk of suffering irretrievable damage</w:t>
      </w:r>
    </w:p>
    <w:p w14:paraId="58317BD6" w14:textId="77777777" w:rsidR="00AA0841" w:rsidRDefault="00AA0841" w:rsidP="00AA0841">
      <w:pPr>
        <w:pStyle w:val="DotStyle1"/>
      </w:pPr>
      <w:r>
        <w:t>Respond to poor water quality events that may result from low flows</w:t>
      </w:r>
    </w:p>
    <w:p w14:paraId="7D68B314" w14:textId="77777777" w:rsidR="00AA0841" w:rsidRPr="00EF32FB" w:rsidRDefault="00AA0841" w:rsidP="00EE5C1C">
      <w:pPr>
        <w:pStyle w:val="Heading5"/>
        <w:spacing w:after="120"/>
      </w:pPr>
      <w:r w:rsidRPr="00EF32FB">
        <w:t>Dry to Moderate</w:t>
      </w:r>
      <w:r>
        <w:t xml:space="preserve"> (a year that is in the driest 25-50 per cent of years)</w:t>
      </w:r>
    </w:p>
    <w:p w14:paraId="34AB0D83" w14:textId="77777777" w:rsidR="00AA0841" w:rsidRDefault="00AA0841" w:rsidP="00AA0841">
      <w:r>
        <w:t>As per very dry (above), with following additional events in scope:</w:t>
      </w:r>
    </w:p>
    <w:p w14:paraId="21322F30" w14:textId="77777777" w:rsidR="00AA0841" w:rsidRDefault="00AA0841" w:rsidP="00AA0841">
      <w:pPr>
        <w:pStyle w:val="DotStyle1"/>
      </w:pPr>
      <w:r>
        <w:t xml:space="preserve">Provide a spring fresh down the River Murray to support a broad range of environmental outcomes. </w:t>
      </w:r>
    </w:p>
    <w:p w14:paraId="1D48FAB0" w14:textId="77777777" w:rsidR="00AA0841" w:rsidRDefault="00AA0841" w:rsidP="00AA0841">
      <w:pPr>
        <w:pStyle w:val="DotStyle2"/>
      </w:pPr>
      <w:r>
        <w:t>The timing, size and duration will be dependent water availability. Under drier scenarios, the fresh is likely to be of lower height and delivered later in spring to early summer. With increasing water availability, the targeted flow height and duration is likely to increase and may start earlier in spring. Even under a dry scenario, this may see flows travel through Barmah-Millewa Forest (reflecting the frequency in which this forest would naturally receive low-level flows).</w:t>
      </w:r>
    </w:p>
    <w:p w14:paraId="13C5F8E6" w14:textId="77777777" w:rsidR="00AA0841" w:rsidRDefault="00AA0841" w:rsidP="00AA0841">
      <w:pPr>
        <w:pStyle w:val="DotStyle1"/>
      </w:pPr>
      <w:r>
        <w:t>Provide spring fresh to Gunbower Creek.</w:t>
      </w:r>
    </w:p>
    <w:p w14:paraId="2CEA438E" w14:textId="77777777" w:rsidR="00AA0841" w:rsidRDefault="00AA0841" w:rsidP="00AA0841">
      <w:pPr>
        <w:pStyle w:val="DotStyle1"/>
      </w:pPr>
      <w:r>
        <w:t>In the Edward/Kolety-Wakool River system provide a spring fresh and minimum flow target during fish nesting period, followed by increase flow variability in summer and autumn and winter flows from May</w:t>
      </w:r>
      <w:r>
        <w:noBreakHyphen/>
        <w:t xml:space="preserve"> August 2021. </w:t>
      </w:r>
    </w:p>
    <w:p w14:paraId="322E7AAD" w14:textId="77777777" w:rsidR="00AA0841" w:rsidRDefault="00AA0841" w:rsidP="00AA0841">
      <w:pPr>
        <w:pStyle w:val="DotStyle1"/>
      </w:pPr>
      <w:r>
        <w:t>Target minimum end-of-system flow targets to support salt export and improve conditions in the Coorong and the Lower Lakes for native fish and waterbirds.</w:t>
      </w:r>
    </w:p>
    <w:p w14:paraId="3C24FB64" w14:textId="77777777" w:rsidR="00AA0841" w:rsidRDefault="00AA0841" w:rsidP="00AA0841">
      <w:pPr>
        <w:pStyle w:val="DotStyle1"/>
      </w:pPr>
      <w:r>
        <w:t>Increased scope (number of sites and volumes) of infrastructure-assisted water delivery to wetlands (including autumn watering).</w:t>
      </w:r>
    </w:p>
    <w:p w14:paraId="71CCFC2C" w14:textId="77777777" w:rsidR="00AA0841" w:rsidRPr="00EF32FB" w:rsidRDefault="00AA0841" w:rsidP="00EE5C1C">
      <w:pPr>
        <w:pStyle w:val="Heading5"/>
        <w:spacing w:after="120"/>
      </w:pPr>
      <w:r w:rsidRPr="00EF32FB">
        <w:t>Natural bankfull or overbank flows</w:t>
      </w:r>
    </w:p>
    <w:p w14:paraId="5FF323CF" w14:textId="77777777" w:rsidR="00AA0841" w:rsidRDefault="00AA0841" w:rsidP="00AA0841">
      <w:pPr>
        <w:pStyle w:val="DotStyle1"/>
      </w:pPr>
      <w:r>
        <w:t>Extend the duration and recession of natural overbank flows.</w:t>
      </w:r>
    </w:p>
    <w:p w14:paraId="0DB1B7E9" w14:textId="77777777" w:rsidR="00AA0841" w:rsidRPr="00EF32FB" w:rsidRDefault="00AA0841" w:rsidP="00EE5C1C">
      <w:pPr>
        <w:pStyle w:val="Heading5"/>
        <w:spacing w:after="120"/>
      </w:pPr>
      <w:r w:rsidRPr="00EF32FB">
        <w:lastRenderedPageBreak/>
        <w:t>Wet</w:t>
      </w:r>
      <w:r>
        <w:t xml:space="preserve"> (a year that is in the wettest 25 per cent of years)</w:t>
      </w:r>
    </w:p>
    <w:p w14:paraId="75E914D9" w14:textId="77777777" w:rsidR="00AA0841" w:rsidRDefault="00AA0841" w:rsidP="00AA0841">
      <w:pPr>
        <w:pStyle w:val="DotStyle1"/>
      </w:pPr>
      <w:r>
        <w:t>Extend the duration and recession of natural overbank flows, including with ‘top-up’ watering for wetlands in autumn.</w:t>
      </w:r>
    </w:p>
    <w:p w14:paraId="09D1B34F" w14:textId="77777777" w:rsidR="00AA0841" w:rsidRPr="00875CE9" w:rsidRDefault="00AA0841" w:rsidP="00AA0841">
      <w:pPr>
        <w:pStyle w:val="DotStyle1"/>
      </w:pPr>
      <w:r>
        <w:t>Provide refuge flows in response to hypoxic blackwater events.</w:t>
      </w:r>
    </w:p>
    <w:p w14:paraId="4CD89585" w14:textId="77777777" w:rsidR="00AA0841" w:rsidRPr="00862269" w:rsidRDefault="00AA0841" w:rsidP="00AA0841">
      <w:pPr>
        <w:pStyle w:val="DotStyle1"/>
        <w:rPr>
          <w:i/>
          <w:iCs/>
        </w:rPr>
      </w:pPr>
      <w:r>
        <w:t>Support elevated end-of-system flows.</w:t>
      </w:r>
    </w:p>
    <w:p w14:paraId="2BECF585" w14:textId="77777777" w:rsidR="00AA0841" w:rsidRPr="000B4649" w:rsidRDefault="00AA0841" w:rsidP="00EE5C1C">
      <w:pPr>
        <w:pStyle w:val="Heading3"/>
        <w:spacing w:after="240"/>
      </w:pPr>
      <w:r w:rsidRPr="000B4649">
        <w:t>Monitoring and Lessons learn</w:t>
      </w:r>
      <w:r>
        <w:t>ed</w:t>
      </w:r>
    </w:p>
    <w:p w14:paraId="3C93BFDD" w14:textId="77777777" w:rsidR="00AA0841" w:rsidRPr="00A75F68" w:rsidRDefault="00AA0841" w:rsidP="0057535E">
      <w:pPr>
        <w:pStyle w:val="Heading4"/>
      </w:pPr>
      <w:r w:rsidRPr="00A75F68">
        <w:t>Monitoring</w:t>
      </w:r>
    </w:p>
    <w:p w14:paraId="0B34653E" w14:textId="77777777" w:rsidR="00AA0841" w:rsidRDefault="00AA0841" w:rsidP="00AA0841">
      <w:r>
        <w:t xml:space="preserve">Operational monitoring is undertaken for all Commonwealth environmental watering actions. It involves collecting on-ground data on environmental water delivery such as volumes delivered, impact on the river systems hydrograph, area of inundation and river levels. It can also include observations of environmental outcomes. The Commonwealth Environmental Water Monitoring, Evaluation and Research program has the Lower Murray and Edward/Kolety-Wakool region as focus areas. It aims to understand the environmental response from Commonwealth environmental watering with respect to the targeted objectives by carrying out monitoring of site condition and ecological response over many years. </w:t>
      </w:r>
    </w:p>
    <w:p w14:paraId="741CBAD6" w14:textId="77777777" w:rsidR="00AA0841" w:rsidRDefault="00AA0841" w:rsidP="00AA0841">
      <w:pPr>
        <w:rPr>
          <w:rStyle w:val="Hyperlink"/>
        </w:rPr>
      </w:pPr>
      <w:r>
        <w:t xml:space="preserve">Information on the Commonwealth Environmental Water Office’s monitoring activities is available at: </w:t>
      </w:r>
      <w:hyperlink r:id="rId303" w:history="1">
        <w:r w:rsidRPr="0098575C">
          <w:rPr>
            <w:rStyle w:val="Hyperlink"/>
          </w:rPr>
          <w:t>http://www.environment.gov.au/water/cewo/catchment/mid-murray/monitoring</w:t>
        </w:r>
      </w:hyperlink>
    </w:p>
    <w:p w14:paraId="0D38903E" w14:textId="77777777" w:rsidR="00AA0841" w:rsidRDefault="00AA0841" w:rsidP="00AA0841">
      <w:pPr>
        <w:rPr>
          <w:rStyle w:val="Hyperlink"/>
        </w:rPr>
      </w:pPr>
      <w:r w:rsidRPr="00F23040">
        <w:rPr>
          <w:rStyle w:val="Hyperlink"/>
        </w:rPr>
        <w:t>https://www.environment.gov.au/water/cewo/catchment/lower-murray-darling/monitoring</w:t>
      </w:r>
    </w:p>
    <w:p w14:paraId="4E024E99" w14:textId="77777777" w:rsidR="00AA0841" w:rsidRDefault="00AA0841" w:rsidP="00AA0841">
      <w:r>
        <w:t xml:space="preserve">This monitoring is complemented by that undertaken through The Living Murray program, focussed on Barmah-Millewa Forest, Koondrook-Perricoota Forest, Gunbower Forest, Hattah Lakes, Chowilla-Lindsay–Wallpolla Floodplain, the Lower Lakes and Coorong, and the River Murray channel itself. </w:t>
      </w:r>
    </w:p>
    <w:p w14:paraId="498E26A3" w14:textId="77777777" w:rsidR="00AA0841" w:rsidRDefault="00AA0841" w:rsidP="00AA0841">
      <w:r>
        <w:t>Monitoring results from</w:t>
      </w:r>
      <w:r w:rsidDel="009B26F0">
        <w:t xml:space="preserve"> The Living Murray </w:t>
      </w:r>
      <w:r>
        <w:t>icon sites are available at:</w:t>
      </w:r>
    </w:p>
    <w:p w14:paraId="6D6D19FF" w14:textId="77777777" w:rsidR="00AA0841" w:rsidRDefault="00030BA8" w:rsidP="00AA0841">
      <w:hyperlink r:id="rId304" w:history="1">
        <w:r w:rsidR="00AA0841">
          <w:rPr>
            <w:rStyle w:val="Hyperlink"/>
          </w:rPr>
          <w:t>https://www.mdba.gov.au/managing-water/water-for-environment/progress-outcomes</w:t>
        </w:r>
      </w:hyperlink>
    </w:p>
    <w:p w14:paraId="0D8B433A" w14:textId="77777777" w:rsidR="00AA0841" w:rsidRPr="00F24369" w:rsidRDefault="00AA0841" w:rsidP="0057535E">
      <w:pPr>
        <w:pStyle w:val="Heading4"/>
      </w:pPr>
      <w:r w:rsidRPr="00F24369">
        <w:t>Lessons learn</w:t>
      </w:r>
      <w:r>
        <w:t>ed</w:t>
      </w:r>
    </w:p>
    <w:p w14:paraId="329EB7A7" w14:textId="77777777" w:rsidR="00AA0841" w:rsidRDefault="00AA0841" w:rsidP="00AA0841">
      <w:r w:rsidRPr="00D1079D">
        <w:t xml:space="preserve">Outcomes from monitoring and lessons learned in previous years are a critical component for the effective and efficient use of Commonwealth water for the environment. </w:t>
      </w:r>
    </w:p>
    <w:p w14:paraId="0DF84242" w14:textId="0AC775B7" w:rsidR="00AA0841" w:rsidRPr="00EF32FB" w:rsidRDefault="00AA0841" w:rsidP="00AA0841">
      <w:pPr>
        <w:rPr>
          <w:i/>
          <w:color w:val="5F497A" w:themeColor="accent4" w:themeShade="BF"/>
        </w:rPr>
      </w:pPr>
      <w:r>
        <w:t xml:space="preserve">Environmental water delivery is still a relatively new practice, which means </w:t>
      </w:r>
      <w:r w:rsidRPr="006C5B04">
        <w:t>trialling and learning by doing from various events and outcomes</w:t>
      </w:r>
      <w:r>
        <w:t xml:space="preserve">. </w:t>
      </w:r>
      <w:r w:rsidRPr="00D1079D">
        <w:t xml:space="preserve">These learnings </w:t>
      </w:r>
      <w:r>
        <w:t xml:space="preserve">continue to be </w:t>
      </w:r>
      <w:r w:rsidRPr="00D1079D">
        <w:t>incorporated into the way environmental water is managed.</w:t>
      </w:r>
      <w:r>
        <w:t xml:space="preserve"> While there are many learnings relating to particular locations, types of watering actions or subsets of the Murray’s ecology (some are described in </w:t>
      </w:r>
      <w:r>
        <w:fldChar w:fldCharType="begin"/>
      </w:r>
      <w:r>
        <w:instrText xml:space="preserve"> REF _Ref43131715 \h </w:instrText>
      </w:r>
      <w:r>
        <w:fldChar w:fldCharType="separate"/>
      </w:r>
      <w:r w:rsidR="001B2852" w:rsidRPr="00C81F74">
        <w:rPr>
          <w:szCs w:val="22"/>
        </w:rPr>
        <w:t xml:space="preserve">Table </w:t>
      </w:r>
      <w:r w:rsidR="001B2852">
        <w:rPr>
          <w:noProof/>
          <w:szCs w:val="22"/>
        </w:rPr>
        <w:t>50</w:t>
      </w:r>
      <w:r>
        <w:fldChar w:fldCharType="end"/>
      </w:r>
      <w:r>
        <w:t>), key learnings that apply throughout the River Murray valley are summarised as follows.</w:t>
      </w:r>
    </w:p>
    <w:p w14:paraId="0812A77C" w14:textId="77777777" w:rsidR="00AA0841" w:rsidRPr="00EF32FB" w:rsidRDefault="00AA0841" w:rsidP="00EE5C1C">
      <w:pPr>
        <w:pStyle w:val="Heading5"/>
        <w:spacing w:after="120"/>
        <w:rPr>
          <w:rFonts w:eastAsia="Calibri"/>
        </w:rPr>
      </w:pPr>
      <w:r w:rsidRPr="00EF32FB">
        <w:rPr>
          <w:rFonts w:eastAsia="Calibri"/>
        </w:rPr>
        <w:t>Environmental water coordination</w:t>
      </w:r>
    </w:p>
    <w:p w14:paraId="4EAFFACA" w14:textId="77777777" w:rsidR="00AA0841" w:rsidRPr="00E84E82" w:rsidRDefault="00AA0841" w:rsidP="00AA0841">
      <w:pPr>
        <w:pStyle w:val="DotStyle1"/>
      </w:pPr>
      <w:r>
        <w:t xml:space="preserve">Coordinating releases of water for the environmental across multiple river systems is complex. Factors such as delivery constraints, notification requirements and site-specific environmental demands or risks make it challenging to align releases of water in multiple tributaries to achieve coordinated flows downstream, however progress is being made. In spring 2019, the ‘Southern Spring Flow’ provided extensive environmental benefit </w:t>
      </w:r>
      <w:r w:rsidRPr="002118C6">
        <w:t>along the River Murray, from Hume Dam to the Coorong in South Australia</w:t>
      </w:r>
      <w:r>
        <w:t>, enhanced by its timing aligning with a spring fresh in the Goulburn River. Full details, including environmental outcomes, are described in the ‘Southern Spring Flow Wrap-up’ (CEWO 2020a).</w:t>
      </w:r>
    </w:p>
    <w:p w14:paraId="503500CE" w14:textId="77777777" w:rsidR="00AA0841" w:rsidRDefault="00AA0841" w:rsidP="00AA0841">
      <w:pPr>
        <w:spacing w:after="0"/>
        <w:rPr>
          <w:lang w:val="en-GB"/>
        </w:rPr>
      </w:pPr>
      <w:r>
        <w:br w:type="page"/>
      </w:r>
    </w:p>
    <w:p w14:paraId="1C6CCE7B" w14:textId="77777777" w:rsidR="00AA0841" w:rsidRPr="004B577D" w:rsidRDefault="00AA0841" w:rsidP="00AA0841">
      <w:pPr>
        <w:pStyle w:val="DotStyle1"/>
      </w:pPr>
      <w:r>
        <w:lastRenderedPageBreak/>
        <w:t>The 2019 Southern Spring Flow, along with previous coordinated flow events and associated monitoring activities, has shown the benefits of flows moving through the length of the river system. However, the experience has also shown that u</w:t>
      </w:r>
      <w:r w:rsidRPr="004B577D">
        <w:t>ntil delivery constraints are relaxed, either natural flows or environmental releases from additional tributaries (such as the Murrumbidgee or Lower Darling Rivers) are required to achieve particular flow targets. For example:</w:t>
      </w:r>
    </w:p>
    <w:p w14:paraId="153A10E3" w14:textId="77777777" w:rsidR="00AA0841" w:rsidRPr="00AB234F" w:rsidRDefault="00AA0841" w:rsidP="00AA0841">
      <w:pPr>
        <w:pStyle w:val="DotStyle2"/>
      </w:pPr>
      <w:r w:rsidRPr="004B577D">
        <w:t>At a maximum flow rate of 15</w:t>
      </w:r>
      <w:r>
        <w:t xml:space="preserve"> </w:t>
      </w:r>
      <w:r w:rsidRPr="004B577D">
        <w:t>000 ML/d</w:t>
      </w:r>
      <w:r>
        <w:t>ay</w:t>
      </w:r>
      <w:r w:rsidRPr="004B577D">
        <w:t xml:space="preserve"> downstream of Yarrawonga, satellite images show that only 25 per cent of Barmah-Millewa </w:t>
      </w:r>
      <w:r>
        <w:t>F</w:t>
      </w:r>
      <w:r w:rsidRPr="004B577D">
        <w:t>orest was wet as a result of the Southern Spring Flow (CEWO 2020</w:t>
      </w:r>
      <w:r>
        <w:t>a</w:t>
      </w:r>
      <w:r w:rsidRPr="004B577D">
        <w:t>).</w:t>
      </w:r>
      <w:r>
        <w:t xml:space="preserve"> Benefits from this extent of inundation are significant. For example, Moira grass growth, flowering and seed-set, river red gum condition, and generation of food for native fish in watercourses downstream of the forest as far as South Australia (CEWO 2020a, GB CMA 2020a</w:t>
      </w:r>
      <w:r>
        <w:rPr>
          <w:szCs w:val="22"/>
          <w:lang w:bidi="en-US"/>
        </w:rPr>
        <w:t>). However, additional benefits such as to vegetation in the remaining majority of Barmah-Millewa Forest, remains unattainable with water for the environment alone.</w:t>
      </w:r>
    </w:p>
    <w:p w14:paraId="6FA6A3E3" w14:textId="77777777" w:rsidR="00AA0841" w:rsidRPr="004B577D" w:rsidRDefault="00AA0841" w:rsidP="00AA0841">
      <w:pPr>
        <w:pStyle w:val="DotStyle2"/>
      </w:pPr>
      <w:r w:rsidRPr="005C00F8">
        <w:t>The combined Murray and Goulburn releases achieved a peak flow at the South Australian border of around 15</w:t>
      </w:r>
      <w:r>
        <w:t xml:space="preserve"> </w:t>
      </w:r>
      <w:r w:rsidRPr="005C00F8">
        <w:t>000 ML/d</w:t>
      </w:r>
      <w:r>
        <w:t>ay</w:t>
      </w:r>
      <w:r w:rsidRPr="005C00F8">
        <w:t>. This flow threshold has been shown to be important for shifting a noticeable proportion of the Lower River Murray from still water to flowing water habitat, which benefits native plants and animals that are adapted to a riverine environment (Ye et al. 2020). This type of flow cue, along with warmth triggers, is understood to in turn trigger spawning of golden perch. However, golden perch did not breed in the Lower River Murray in spring 2019</w:t>
      </w:r>
      <w:r>
        <w:t>, continuing a trend that has occurred over past</w:t>
      </w:r>
      <w:r w:rsidRPr="005C00F8">
        <w:t xml:space="preserve"> </w:t>
      </w:r>
      <w:r>
        <w:t>7</w:t>
      </w:r>
      <w:r w:rsidRPr="005C00F8">
        <w:t xml:space="preserve"> consecutive years</w:t>
      </w:r>
      <w:r>
        <w:t xml:space="preserve"> (Ye et al. 2020)</w:t>
      </w:r>
      <w:r w:rsidRPr="005C00F8">
        <w:t xml:space="preserve">. This result is a concern for the population health of the iconic golden perch. </w:t>
      </w:r>
      <w:r>
        <w:t>Experience suggests that aligning environmental releases from the Murray and Goulburn Rivers alone does not provide a flow pulse large enough, or for long enough, to allow golden perch to breed in the Lower Murray. Environmental releases will need to be coordinated with additional tributaries, or added to natural flow events, in order to achieve breeding success.</w:t>
      </w:r>
    </w:p>
    <w:p w14:paraId="66EA29FB" w14:textId="77777777" w:rsidR="00AA0841" w:rsidRPr="00EF32FB" w:rsidRDefault="00AA0841" w:rsidP="00EE5C1C">
      <w:pPr>
        <w:pStyle w:val="Heading5"/>
        <w:spacing w:after="120"/>
        <w:rPr>
          <w:rFonts w:eastAsia="Calibri"/>
        </w:rPr>
      </w:pPr>
      <w:bookmarkStart w:id="211" w:name="_Hlk41903219"/>
      <w:r w:rsidRPr="00EF32FB">
        <w:rPr>
          <w:rFonts w:eastAsia="Calibri"/>
        </w:rPr>
        <w:t>End of system flows</w:t>
      </w:r>
    </w:p>
    <w:p w14:paraId="40597F64" w14:textId="77777777" w:rsidR="00AA0841" w:rsidRPr="00082371" w:rsidRDefault="00AA0841" w:rsidP="00AA0841">
      <w:pPr>
        <w:contextualSpacing/>
      </w:pPr>
      <w:r w:rsidRPr="00082371">
        <w:t xml:space="preserve">The importance of delivering water for end of system flows is significant and remains amongst the highest priorities in the River Murray. Recent benefits of flows to the end of the River Murray, including new approaches to managing this water within the Lower Lakes and as it is released into the Coorong estuary, </w:t>
      </w:r>
      <w:r>
        <w:t>are as follows</w:t>
      </w:r>
      <w:r w:rsidRPr="00082371">
        <w:t>:</w:t>
      </w:r>
    </w:p>
    <w:p w14:paraId="4478E6CF" w14:textId="77777777" w:rsidR="00AA0841" w:rsidRPr="00082371" w:rsidRDefault="00AA0841" w:rsidP="00AA0841">
      <w:pPr>
        <w:pStyle w:val="DotStyle1"/>
      </w:pPr>
      <w:r w:rsidRPr="00082371">
        <w:t>Flows through the barrages to the Coorong have been almost continuous since the Millennium Drought</w:t>
      </w:r>
      <w:r>
        <w:t xml:space="preserve"> (Ye et al. 2020)</w:t>
      </w:r>
      <w:r w:rsidRPr="00082371">
        <w:t>. Without water for the environment, barrages would need to have been closed for extended periods, effectively disconnecting the River Murray from its estuary.</w:t>
      </w:r>
      <w:r>
        <w:t xml:space="preserve"> Connection to the estuary and sea is vitally important for many fish </w:t>
      </w:r>
      <w:r w:rsidRPr="00082371">
        <w:t>species to move between fresh and saltwater habitats to successfully reproduce</w:t>
      </w:r>
      <w:r>
        <w:t>, and for providing suitable food and habitat for migratory shorebirds</w:t>
      </w:r>
      <w:r w:rsidRPr="00082371">
        <w:t>.</w:t>
      </w:r>
    </w:p>
    <w:p w14:paraId="6D3B77FA" w14:textId="77777777" w:rsidR="00AA0841" w:rsidRPr="00DB3E46" w:rsidRDefault="00AA0841" w:rsidP="00AA0841">
      <w:pPr>
        <w:pStyle w:val="DotStyle1"/>
      </w:pPr>
      <w:r w:rsidRPr="00082371">
        <w:t>Environmental flows substantially increased salt export out of the Basin, reduced salt import into the Coorong and reduced salinity concentrations in the Coorong.</w:t>
      </w:r>
      <w:r w:rsidRPr="0020102E">
        <w:t xml:space="preserve"> </w:t>
      </w:r>
      <w:r>
        <w:t>Flows have prevented 20 million tonnes of salt building up in the Coorong from 2014 to 2019, avoiding catastrophic impacts that would have been reminiscent of those experienced during the Millennium Drought (Ye et al. 2020).</w:t>
      </w:r>
      <w:r w:rsidRPr="00082371">
        <w:t xml:space="preserve"> </w:t>
      </w:r>
      <w:r w:rsidRPr="00DB3E46">
        <w:t>In some years, environmental water has contributed to over 500</w:t>
      </w:r>
      <w:r>
        <w:t xml:space="preserve"> </w:t>
      </w:r>
      <w:r w:rsidRPr="00DB3E46">
        <w:t xml:space="preserve">000 tonnes of salt being exported </w:t>
      </w:r>
      <w:r>
        <w:t>from the river and</w:t>
      </w:r>
      <w:r w:rsidRPr="00DB3E46">
        <w:t xml:space="preserve"> out the Murray Mouth (Ye et</w:t>
      </w:r>
      <w:r>
        <w:t xml:space="preserve"> </w:t>
      </w:r>
      <w:r w:rsidRPr="00DB3E46">
        <w:t>al. 2018). This is the equivalent of 25</w:t>
      </w:r>
      <w:r>
        <w:t xml:space="preserve"> </w:t>
      </w:r>
      <w:r w:rsidRPr="00DB3E46">
        <w:t>000 semi-trailers each carrying a full load of salt (around 20 tonnes). Reducing salinity levels has benefits for native plants and animals, as well as for stock, domestic and irrigation purposes.</w:t>
      </w:r>
      <w:r w:rsidRPr="003515FA">
        <w:t xml:space="preserve"> </w:t>
      </w:r>
    </w:p>
    <w:p w14:paraId="1D76976D" w14:textId="77777777" w:rsidR="00AA0841" w:rsidRPr="00DB3E46" w:rsidRDefault="00AA0841" w:rsidP="00AA0841">
      <w:pPr>
        <w:pStyle w:val="DotStyle1"/>
      </w:pPr>
      <w:r>
        <w:t>Without water for the environment water, w</w:t>
      </w:r>
      <w:r w:rsidRPr="00DB3E46">
        <w:t xml:space="preserve">ater levels in the Lower Lakes would have dropped to levels that are ecologically devastating without water for the environment several times since the Millennium Drought. </w:t>
      </w:r>
      <w:r>
        <w:t xml:space="preserve">Environmental water stored temporarily in the Lower Lakes, prior to its release into the Coorong, has provided significant benefits to the health of the Lower Lakes. This is through provision of increased variability in the water levels of the Lower Lakes. Benefits have included improved diversity and extent of fringing and submergent vegetation, improved populations of some small-bodied native fish species and increased habitat for waterbirds and migratory shorebirds </w:t>
      </w:r>
      <w:r w:rsidRPr="0080691C">
        <w:t>(</w:t>
      </w:r>
      <w:r w:rsidRPr="00697E6C">
        <w:t>SA DEW, 2020</w:t>
      </w:r>
      <w:r w:rsidRPr="0068395A">
        <w:t>).</w:t>
      </w:r>
    </w:p>
    <w:p w14:paraId="699BEFC3" w14:textId="77777777" w:rsidR="00AA0841" w:rsidRDefault="00AA0841" w:rsidP="00AA0841">
      <w:pPr>
        <w:spacing w:after="0"/>
        <w:rPr>
          <w:lang w:val="en-GB"/>
        </w:rPr>
      </w:pPr>
      <w:r>
        <w:br w:type="page"/>
      </w:r>
    </w:p>
    <w:p w14:paraId="1E49EA67" w14:textId="77777777" w:rsidR="00AA0841" w:rsidRPr="00D55AA9" w:rsidRDefault="00AA0841" w:rsidP="00AA0841">
      <w:pPr>
        <w:pStyle w:val="DotStyle1"/>
      </w:pPr>
      <w:r w:rsidRPr="00D55AA9">
        <w:lastRenderedPageBreak/>
        <w:t>While large volumes of freshwater are required to manage the health of the entire Coorong, new approaches to managing small releases of water through the barrages to the Coorong can have significant benefits. For example:</w:t>
      </w:r>
    </w:p>
    <w:p w14:paraId="14B22DBD" w14:textId="77777777" w:rsidR="00AA0841" w:rsidRPr="00D55AA9" w:rsidRDefault="00AA0841" w:rsidP="00AA0841">
      <w:pPr>
        <w:pStyle w:val="DotStyle2"/>
      </w:pPr>
      <w:r>
        <w:t>Strategically releasing p</w:t>
      </w:r>
      <w:r w:rsidRPr="00D55AA9">
        <w:t>uls</w:t>
      </w:r>
      <w:r>
        <w:t>es</w:t>
      </w:r>
      <w:r w:rsidRPr="00D55AA9">
        <w:t xml:space="preserve"> </w:t>
      </w:r>
      <w:r>
        <w:t>of</w:t>
      </w:r>
      <w:r w:rsidRPr="00D55AA9">
        <w:t xml:space="preserve"> water through Tauwitchere barrages to coincide with favourable wind</w:t>
      </w:r>
      <w:r>
        <w:t>, tide</w:t>
      </w:r>
      <w:r w:rsidRPr="00D55AA9">
        <w:t xml:space="preserve"> and swell conditions has </w:t>
      </w:r>
      <w:r>
        <w:t>proven</w:t>
      </w:r>
      <w:r w:rsidRPr="00D55AA9">
        <w:t xml:space="preserve"> effective in reducing </w:t>
      </w:r>
      <w:r>
        <w:t>Coorong</w:t>
      </w:r>
      <w:r w:rsidRPr="00D55AA9">
        <w:t xml:space="preserve"> salinity levels</w:t>
      </w:r>
      <w:r w:rsidRPr="00D55AA9" w:rsidDel="00B74682">
        <w:t xml:space="preserve"> </w:t>
      </w:r>
      <w:r>
        <w:t>along the full length of the North Lagoon (CEWO 2020b)</w:t>
      </w:r>
      <w:r w:rsidRPr="00D55AA9">
        <w:t>.</w:t>
      </w:r>
    </w:p>
    <w:p w14:paraId="1291679B" w14:textId="77777777" w:rsidR="00AA0841" w:rsidRDefault="00AA0841" w:rsidP="00AA0841">
      <w:pPr>
        <w:pStyle w:val="DotStyle2"/>
      </w:pPr>
      <w:r w:rsidRPr="00D55AA9">
        <w:t>Water delivered to the Coorong estuary in spring and summer 2017-18 for black bream breeding was successful, with 100 young-of-year black bream detected in autumn 2018, and good numbers of age 1+ black bream subsequently reported in autumn 2019.</w:t>
      </w:r>
      <w:r>
        <w:t xml:space="preserve"> Recent research suggests that successful black bream cohorts are associated with low to moderate barrage flows during spring and early summer (Ye et al. 2019). </w:t>
      </w:r>
      <w:r w:rsidRPr="00D55AA9">
        <w:t xml:space="preserve"> </w:t>
      </w:r>
    </w:p>
    <w:p w14:paraId="6F4064C5" w14:textId="77777777" w:rsidR="00AA0841" w:rsidRDefault="00AA0841" w:rsidP="00AA0841">
      <w:pPr>
        <w:pStyle w:val="DotStyle2"/>
      </w:pPr>
      <w:r>
        <w:t>Lamprey have been detected migrating</w:t>
      </w:r>
      <w:r w:rsidRPr="00D55AA9">
        <w:t xml:space="preserve"> even under</w:t>
      </w:r>
      <w:r>
        <w:t xml:space="preserve"> low flow conditions (e.g. 2018). As such they remain a legitimate objective in similar conditions </w:t>
      </w:r>
      <w:bookmarkStart w:id="212" w:name="_Hlk42683630"/>
      <w:r>
        <w:t>during winter/early spring</w:t>
      </w:r>
      <w:bookmarkEnd w:id="212"/>
      <w:r>
        <w:t xml:space="preserve">, though more </w:t>
      </w:r>
      <w:r w:rsidRPr="00D55AA9">
        <w:t>moderate flow</w:t>
      </w:r>
      <w:r>
        <w:t>s are likely to enhance attraction to barrages and passage upstream (Bice et al. 2020).</w:t>
      </w:r>
      <w:r w:rsidRPr="00D55AA9">
        <w:t xml:space="preserve"> </w:t>
      </w:r>
    </w:p>
    <w:bookmarkEnd w:id="211"/>
    <w:p w14:paraId="1466D401" w14:textId="77777777" w:rsidR="00AA0841" w:rsidRPr="00EF32FB" w:rsidRDefault="00AA0841" w:rsidP="00EE5C1C">
      <w:pPr>
        <w:pStyle w:val="Heading5"/>
        <w:spacing w:after="120"/>
        <w:rPr>
          <w:rFonts w:eastAsia="Calibri"/>
        </w:rPr>
      </w:pPr>
      <w:r w:rsidRPr="00EF32FB">
        <w:rPr>
          <w:rFonts w:eastAsia="Calibri"/>
        </w:rPr>
        <w:t>The value of flows all year round</w:t>
      </w:r>
    </w:p>
    <w:p w14:paraId="47DFD659" w14:textId="77777777" w:rsidR="00AA0841" w:rsidRPr="00D7516C" w:rsidRDefault="00AA0841" w:rsidP="00AA0841">
      <w:pPr>
        <w:contextualSpacing/>
      </w:pPr>
      <w:r w:rsidRPr="00D7516C">
        <w:t xml:space="preserve">Environmental flows have moved in scope from being </w:t>
      </w:r>
      <w:r>
        <w:t xml:space="preserve">solely </w:t>
      </w:r>
      <w:r w:rsidRPr="00D7516C">
        <w:t xml:space="preserve">delivered to specific sites at specific times (during drought times and when environmental water holdings were relatively small). Water for the environment is now </w:t>
      </w:r>
      <w:r>
        <w:t xml:space="preserve">also being </w:t>
      </w:r>
      <w:r w:rsidRPr="00D7516C">
        <w:t>delivered in a manner that aims to provide benefits through the length of the river system, as discussed above. Recent experience has also demonstrated the benefit of delivering water through the entire year, particularly when ecological needs would otherwise not be met due to limited demand for operational flow resulting in flows ceasing unnaturally. For example</w:t>
      </w:r>
      <w:r>
        <w:t>:</w:t>
      </w:r>
      <w:r w:rsidRPr="00D7516C">
        <w:t xml:space="preserve"> </w:t>
      </w:r>
    </w:p>
    <w:p w14:paraId="712EDFB5" w14:textId="77777777" w:rsidR="00AA0841" w:rsidRPr="006A6FBF" w:rsidRDefault="00AA0841" w:rsidP="00AA0841">
      <w:pPr>
        <w:pStyle w:val="DotStyle1"/>
      </w:pPr>
      <w:r>
        <w:t>Several consecutive years of stable winter flows in Gunbower Creek, along with a spring rise, are considered to have been key to the observed improvement in the structure of Murray cod populations (Bloink et al. 2019).</w:t>
      </w:r>
    </w:p>
    <w:p w14:paraId="2E49189E" w14:textId="77777777" w:rsidR="00AA0841" w:rsidRDefault="00AA0841" w:rsidP="00AA0841">
      <w:pPr>
        <w:pStyle w:val="DotStyle1"/>
      </w:pPr>
      <w:r w:rsidRPr="00A42A44">
        <w:t>Winter flows</w:t>
      </w:r>
      <w:r>
        <w:t>, supported by water for the environment,</w:t>
      </w:r>
      <w:r w:rsidRPr="00A42A44">
        <w:t xml:space="preserve"> in the Edward/Kolety-Wakool River system </w:t>
      </w:r>
      <w:r>
        <w:t xml:space="preserve">have prevented cease to flow conditions (caused by the winter shut down of the irrigation season) This has resulted in in over a hundred kilometres of instream habitat throughout Yallakool Creek-Wakool River and Colligen Creek-Niemur River systems. The provision of winter flows </w:t>
      </w:r>
      <w:r w:rsidRPr="00A42A44">
        <w:t>h</w:t>
      </w:r>
      <w:r>
        <w:t>as</w:t>
      </w:r>
      <w:r w:rsidRPr="00A42A44">
        <w:t xml:space="preserve"> assisted with the movement of native fish, such as silver perch, throughout the system</w:t>
      </w:r>
      <w:r>
        <w:t xml:space="preserve"> (Watts et. al., 2019)</w:t>
      </w:r>
      <w:r w:rsidRPr="00A42A44">
        <w:t>.</w:t>
      </w:r>
      <w:r>
        <w:t xml:space="preserve"> It is also expected that </w:t>
      </w:r>
      <w:r w:rsidRPr="00907BCE">
        <w:t xml:space="preserve">winter flows </w:t>
      </w:r>
      <w:r>
        <w:t>into the Edward/Kolety-Wakool River system will</w:t>
      </w:r>
      <w:r w:rsidRPr="002A1E10">
        <w:t xml:space="preserve"> protect aquatic plants from frost damage and improve their rate of recovery in the following spring, </w:t>
      </w:r>
      <w:r>
        <w:t xml:space="preserve">however, </w:t>
      </w:r>
      <w:r w:rsidRPr="002A1E10">
        <w:t>will take more time to observe over mu</w:t>
      </w:r>
      <w:r w:rsidRPr="004342C2">
        <w:t>ltiple seasons</w:t>
      </w:r>
      <w:r>
        <w:t xml:space="preserve"> (Watts et al. 2018)</w:t>
      </w:r>
      <w:r w:rsidRPr="004342C2">
        <w:t>.</w:t>
      </w:r>
    </w:p>
    <w:p w14:paraId="45423499" w14:textId="77777777" w:rsidR="00AA0841" w:rsidRPr="00F85B15" w:rsidRDefault="00AA0841" w:rsidP="00AA0841">
      <w:pPr>
        <w:pStyle w:val="DotStyle1"/>
      </w:pPr>
      <w:r>
        <w:t>Further downstream, flows in winter enabling releases over the barrages and through fishways to the Coorong are essential for allowing pouched lamprey to complete their life cycle. P</w:t>
      </w:r>
      <w:r w:rsidRPr="006A6FBF">
        <w:t>eak migration</w:t>
      </w:r>
      <w:r w:rsidRPr="00CA0779">
        <w:rPr>
          <w:szCs w:val="22"/>
        </w:rPr>
        <w:t xml:space="preserve"> for pouched lamprey</w:t>
      </w:r>
      <w:r>
        <w:rPr>
          <w:szCs w:val="22"/>
        </w:rPr>
        <w:t xml:space="preserve"> is understood to occur in August (Bice et al. 2020)</w:t>
      </w:r>
      <w:r w:rsidRPr="00CA0779">
        <w:rPr>
          <w:szCs w:val="22"/>
        </w:rPr>
        <w:t>.</w:t>
      </w:r>
    </w:p>
    <w:p w14:paraId="17E8AB33" w14:textId="77777777" w:rsidR="00AA0841" w:rsidRDefault="00AA0841" w:rsidP="00AA0841">
      <w:pPr>
        <w:pStyle w:val="DotStyle1"/>
      </w:pPr>
      <w:r>
        <w:t>In late summer and autumn, at a time when the majority of flow in the river is used for consumptive purposes, limited flows reach the end of system., Providing environmental water for the end of system during this period is highly important, however at times, system constraints have made this difficult to achieve. Environmental flow at this time of year has been critical in maintaining Lower Lakes water levels above 0.5 m AHD while still providing some connectivity to the Coorong through fishway flows. A sharp drop in lake levels over summer and autumn 2020 may have limited recruitment and health of small bodied fish in the Lower Lakes, which had spawned strongly during the 2019 spring pulse (Scott Wedderburn pers. comm. 2020).</w:t>
      </w:r>
    </w:p>
    <w:p w14:paraId="53FC804B" w14:textId="77777777" w:rsidR="00AA0841" w:rsidRDefault="00AA0841" w:rsidP="00AA0841">
      <w:pPr>
        <w:spacing w:after="0"/>
      </w:pPr>
      <w:r>
        <w:br w:type="page"/>
      </w:r>
    </w:p>
    <w:p w14:paraId="18D2A300" w14:textId="6552DB82" w:rsidR="00AA0841" w:rsidRPr="00D1079D" w:rsidRDefault="00AA0841" w:rsidP="00AA0841">
      <w:r>
        <w:lastRenderedPageBreak/>
        <w:t>Additional k</w:t>
      </w:r>
      <w:r w:rsidRPr="00D1079D">
        <w:t xml:space="preserve">ey findings </w:t>
      </w:r>
      <w:r>
        <w:t>that are specific to</w:t>
      </w:r>
      <w:r w:rsidRPr="00D1079D">
        <w:t xml:space="preserve"> </w:t>
      </w:r>
      <w:r>
        <w:t xml:space="preserve">locations </w:t>
      </w:r>
      <w:r w:rsidRPr="00D1079D">
        <w:t xml:space="preserve">in the </w:t>
      </w:r>
      <w:r>
        <w:t>River</w:t>
      </w:r>
      <w:r w:rsidRPr="00D1079D">
        <w:t xml:space="preserve"> </w:t>
      </w:r>
      <w:r>
        <w:t>Murray are</w:t>
      </w:r>
      <w:r w:rsidRPr="00D1079D">
        <w:t xml:space="preserve"> summarised in </w:t>
      </w:r>
      <w:r>
        <w:fldChar w:fldCharType="begin"/>
      </w:r>
      <w:r>
        <w:instrText xml:space="preserve"> REF _Ref43131715 \h </w:instrText>
      </w:r>
      <w:r>
        <w:fldChar w:fldCharType="separate"/>
      </w:r>
      <w:r w:rsidR="001B2852" w:rsidRPr="00C81F74">
        <w:rPr>
          <w:szCs w:val="22"/>
        </w:rPr>
        <w:t xml:space="preserve">Table </w:t>
      </w:r>
      <w:r w:rsidR="001B2852">
        <w:rPr>
          <w:noProof/>
          <w:szCs w:val="22"/>
        </w:rPr>
        <w:t>50</w:t>
      </w:r>
      <w:r>
        <w:fldChar w:fldCharType="end"/>
      </w:r>
      <w:r w:rsidRPr="00D1079D">
        <w:t>.</w:t>
      </w:r>
    </w:p>
    <w:p w14:paraId="63C40419" w14:textId="3FFCF4E4" w:rsidR="00AA0841" w:rsidRPr="00C81F74" w:rsidRDefault="00AA0841" w:rsidP="00AA0841">
      <w:pPr>
        <w:pStyle w:val="Caption"/>
        <w:keepNext/>
        <w:spacing w:before="240" w:after="120"/>
        <w:jc w:val="left"/>
        <w:rPr>
          <w:b w:val="0"/>
          <w:sz w:val="22"/>
          <w:szCs w:val="22"/>
        </w:rPr>
      </w:pPr>
      <w:bookmarkStart w:id="213" w:name="_Ref43131715"/>
      <w:r w:rsidRPr="00C81F74">
        <w:rPr>
          <w:sz w:val="22"/>
          <w:szCs w:val="22"/>
        </w:rPr>
        <w:t xml:space="preserve">Table </w:t>
      </w:r>
      <w:r w:rsidRPr="00C81F74">
        <w:rPr>
          <w:sz w:val="22"/>
          <w:szCs w:val="22"/>
        </w:rPr>
        <w:fldChar w:fldCharType="begin"/>
      </w:r>
      <w:r w:rsidRPr="00C81F74">
        <w:rPr>
          <w:sz w:val="22"/>
          <w:szCs w:val="22"/>
        </w:rPr>
        <w:instrText xml:space="preserve"> SEQ Table \* ARABIC </w:instrText>
      </w:r>
      <w:r w:rsidRPr="00C81F74">
        <w:rPr>
          <w:sz w:val="22"/>
          <w:szCs w:val="22"/>
        </w:rPr>
        <w:fldChar w:fldCharType="separate"/>
      </w:r>
      <w:r w:rsidR="001B2852">
        <w:rPr>
          <w:noProof/>
          <w:sz w:val="22"/>
          <w:szCs w:val="22"/>
        </w:rPr>
        <w:t>50</w:t>
      </w:r>
      <w:r w:rsidRPr="00C81F74">
        <w:rPr>
          <w:sz w:val="22"/>
          <w:szCs w:val="22"/>
        </w:rPr>
        <w:fldChar w:fldCharType="end"/>
      </w:r>
      <w:bookmarkEnd w:id="213"/>
      <w:r>
        <w:rPr>
          <w:sz w:val="22"/>
          <w:szCs w:val="22"/>
        </w:rPr>
        <w:t>:</w:t>
      </w:r>
      <w:r w:rsidRPr="00C81F74">
        <w:rPr>
          <w:b w:val="0"/>
          <w:sz w:val="22"/>
          <w:szCs w:val="22"/>
        </w:rPr>
        <w:t xml:space="preserve"> Key lessons learned in the Murray River</w:t>
      </w:r>
    </w:p>
    <w:tbl>
      <w:tblPr>
        <w:tblStyle w:val="TableGrid"/>
        <w:tblW w:w="0" w:type="auto"/>
        <w:tblLook w:val="04A0" w:firstRow="1" w:lastRow="0" w:firstColumn="1" w:lastColumn="0" w:noHBand="0" w:noVBand="1"/>
      </w:tblPr>
      <w:tblGrid>
        <w:gridCol w:w="1680"/>
        <w:gridCol w:w="8090"/>
      </w:tblGrid>
      <w:tr w:rsidR="00AA0841" w:rsidRPr="00D1079D" w14:paraId="3AB14568" w14:textId="77777777" w:rsidTr="00AA0841">
        <w:trPr>
          <w:cnfStyle w:val="100000000000" w:firstRow="1" w:lastRow="0" w:firstColumn="0" w:lastColumn="0" w:oddVBand="0" w:evenVBand="0" w:oddHBand="0" w:evenHBand="0" w:firstRowFirstColumn="0" w:firstRowLastColumn="0" w:lastRowFirstColumn="0" w:lastRowLastColumn="0"/>
          <w:tblHeader/>
        </w:trPr>
        <w:tc>
          <w:tcPr>
            <w:tcW w:w="1680" w:type="dxa"/>
            <w:shd w:val="clear" w:color="auto" w:fill="B6DDE8" w:themeFill="accent5" w:themeFillTint="66"/>
          </w:tcPr>
          <w:p w14:paraId="71DE2FC3" w14:textId="77777777" w:rsidR="00AA0841" w:rsidRPr="009835DA" w:rsidRDefault="00AA0841" w:rsidP="00AA0841">
            <w:pPr>
              <w:rPr>
                <w:b/>
              </w:rPr>
            </w:pPr>
            <w:r w:rsidRPr="009835DA">
              <w:rPr>
                <w:b/>
              </w:rPr>
              <w:t>Theme</w:t>
            </w:r>
          </w:p>
        </w:tc>
        <w:tc>
          <w:tcPr>
            <w:tcW w:w="8090" w:type="dxa"/>
            <w:shd w:val="clear" w:color="auto" w:fill="B6DDE8" w:themeFill="accent5" w:themeFillTint="66"/>
          </w:tcPr>
          <w:p w14:paraId="73DB2F44" w14:textId="77777777" w:rsidR="00AA0841" w:rsidRPr="009835DA" w:rsidRDefault="00AA0841" w:rsidP="00AA0841">
            <w:pPr>
              <w:rPr>
                <w:b/>
              </w:rPr>
            </w:pPr>
            <w:r w:rsidRPr="009835DA">
              <w:rPr>
                <w:b/>
              </w:rPr>
              <w:t>Lesson learned</w:t>
            </w:r>
          </w:p>
        </w:tc>
      </w:tr>
      <w:tr w:rsidR="00AA0841" w:rsidRPr="00D1079D" w14:paraId="37C58332" w14:textId="77777777" w:rsidTr="00AA0841">
        <w:trPr>
          <w:cnfStyle w:val="000000100000" w:firstRow="0" w:lastRow="0" w:firstColumn="0" w:lastColumn="0" w:oddVBand="0" w:evenVBand="0" w:oddHBand="1" w:evenHBand="0" w:firstRowFirstColumn="0" w:firstRowLastColumn="0" w:lastRowFirstColumn="0" w:lastRowLastColumn="0"/>
          <w:trHeight w:val="13039"/>
        </w:trPr>
        <w:tc>
          <w:tcPr>
            <w:tcW w:w="1680" w:type="dxa"/>
            <w:shd w:val="clear" w:color="auto" w:fill="B6DDE8" w:themeFill="accent5" w:themeFillTint="66"/>
          </w:tcPr>
          <w:p w14:paraId="3DC06A71" w14:textId="77777777" w:rsidR="00AA0841" w:rsidRPr="00D1079D" w:rsidRDefault="00AA0841" w:rsidP="00AA0841">
            <w:r w:rsidRPr="00D1079D">
              <w:t>Native fish</w:t>
            </w:r>
          </w:p>
        </w:tc>
        <w:tc>
          <w:tcPr>
            <w:tcW w:w="8090" w:type="dxa"/>
          </w:tcPr>
          <w:p w14:paraId="19C04BB7" w14:textId="77777777" w:rsidR="00AA0841" w:rsidRDefault="00AA0841" w:rsidP="00AA0841">
            <w:pPr>
              <w:pStyle w:val="DotStyle1"/>
            </w:pPr>
            <w:r>
              <w:t xml:space="preserve">The results of Murray cod movement and survival, in response to the natural flooding event and associated hypoxic conditions in November and December 2016, has provided strong evidence for the importance of providing connectivity between the River Murray and its anabranch systems (Watts et al. 2019). Specifically, it is vital that connectivity is maintained prior to, during and after these events to allow fish to disperse and seek refuge and then return to the anabranch after the event has passed (Watts et al. 2019). </w:t>
            </w:r>
          </w:p>
          <w:p w14:paraId="01257D15" w14:textId="77777777" w:rsidR="00AA0841" w:rsidRDefault="00AA0841" w:rsidP="00AA0841">
            <w:pPr>
              <w:pStyle w:val="DotStyle1"/>
            </w:pPr>
            <w:r>
              <w:t xml:space="preserve">Despite necessary reductions in the large body native fish hydrograph in Gunbower Creek due to constraints in the system, monitoring in winter 2018 indicated that a reduced flow rate of 200 ML/day still provided adequate habitat and connectivity for Murray cod (NCCMA, 2020). This reduced flow rate will be targeted again in 2020-21 hydrograph. </w:t>
            </w:r>
          </w:p>
          <w:p w14:paraId="163C3AB1" w14:textId="77777777" w:rsidR="00AA0841" w:rsidRPr="00F85B15" w:rsidRDefault="00AA0841" w:rsidP="00AA0841">
            <w:pPr>
              <w:pStyle w:val="DotStyle1"/>
              <w:rPr>
                <w:szCs w:val="22"/>
              </w:rPr>
            </w:pPr>
            <w:r>
              <w:rPr>
                <w:szCs w:val="22"/>
              </w:rPr>
              <w:t xml:space="preserve">Water for the environment has been successfully delivered to stimulating native fish spawning in several river systems, including in the River Murray valley. In the Mid-Murray, excellent recruitment has been observed across several native species over multiple years (Raymond et al. 2018). However, evidence of recruitment is more limited in other areas that are less permanently flowing </w:t>
            </w:r>
            <w:r w:rsidRPr="00F85B15">
              <w:rPr>
                <w:szCs w:val="22"/>
              </w:rPr>
              <w:t>(Watts et al. 2019</w:t>
            </w:r>
            <w:r>
              <w:rPr>
                <w:szCs w:val="22"/>
              </w:rPr>
              <w:t>,</w:t>
            </w:r>
            <w:r w:rsidRPr="00F85B15">
              <w:rPr>
                <w:szCs w:val="22"/>
              </w:rPr>
              <w:t xml:space="preserve"> Ye</w:t>
            </w:r>
            <w:r>
              <w:rPr>
                <w:szCs w:val="22"/>
              </w:rPr>
              <w:t> </w:t>
            </w:r>
            <w:r w:rsidRPr="00F85B15">
              <w:rPr>
                <w:szCs w:val="22"/>
              </w:rPr>
              <w:t>et al. 2020)</w:t>
            </w:r>
            <w:r>
              <w:rPr>
                <w:szCs w:val="22"/>
              </w:rPr>
              <w:t xml:space="preserve">. This has implications for increasing efforts to coordinate flows to achieve flow cues required to stimulate successful breeding in other areas, such as for golden perch in the Lower River Murray.  </w:t>
            </w:r>
          </w:p>
          <w:p w14:paraId="1FA4444A" w14:textId="77777777" w:rsidR="00AA0841" w:rsidRPr="00B74E11" w:rsidRDefault="00AA0841" w:rsidP="00AA0841">
            <w:pPr>
              <w:pStyle w:val="DotStyle1"/>
            </w:pPr>
            <w:r>
              <w:rPr>
                <w:szCs w:val="22"/>
              </w:rPr>
              <w:t xml:space="preserve">In the Edward/Kolety-Wakool River system, a slow recovery of the Murray cod population appears to be underway after the 2016 flood and related fish kills. This system also appears to provide a nursery area for silver perch, with periods of high flow in summer seeming to trigger spawning </w:t>
            </w:r>
            <w:r>
              <w:t>(Watts et. al., 2018)</w:t>
            </w:r>
            <w:r>
              <w:rPr>
                <w:szCs w:val="22"/>
              </w:rPr>
              <w:t xml:space="preserve">. Concerns remain about the lack of golden perch spawning or recruitment in this system over the past six years (particularly if a natural blackwater event similar to summer 2016 were to occur), highlighting the importance of golden perch migration into this system from the Darling and/or the Murray systems </w:t>
            </w:r>
            <w:r>
              <w:t>(Watts et al. 2019)</w:t>
            </w:r>
            <w:r>
              <w:rPr>
                <w:szCs w:val="22"/>
              </w:rPr>
              <w:t>.</w:t>
            </w:r>
          </w:p>
          <w:p w14:paraId="7BDC7B65" w14:textId="77777777" w:rsidR="00AA0841" w:rsidRPr="00F85B15" w:rsidRDefault="00AA0841" w:rsidP="00AA0841">
            <w:pPr>
              <w:pStyle w:val="DotStyle1"/>
              <w:rPr>
                <w:szCs w:val="22"/>
              </w:rPr>
            </w:pPr>
            <w:bookmarkStart w:id="214" w:name="_Hlk41463755"/>
            <w:bookmarkStart w:id="215" w:name="_Hlk41487808"/>
            <w:r w:rsidRPr="00F85B15">
              <w:rPr>
                <w:szCs w:val="22"/>
              </w:rPr>
              <w:t xml:space="preserve">Monitoring of lamprey in winter-spring of 2019 has demonstrated that the migration season for lampreys </w:t>
            </w:r>
            <w:r w:rsidRPr="00F85B15" w:rsidDel="003A2F99">
              <w:rPr>
                <w:szCs w:val="22"/>
              </w:rPr>
              <w:t>is longer</w:t>
            </w:r>
            <w:r w:rsidRPr="00F85B15">
              <w:rPr>
                <w:szCs w:val="22"/>
              </w:rPr>
              <w:t xml:space="preserve"> than previously understood, extending into late spring with peak migrations of short headed lamprey in September and October and August for pouched lamprey (Bice et al. 2020). During periods of limited water availability, releases through Goolwa and Mundoo barrages may elicit greater outcomes in relation to lamprey migrations compared to Tauwitchere, given the proximity of these barrages to the Murray Mouth and fresher environment downstream of these barrages (Bice et al. 2020). </w:t>
            </w:r>
            <w:bookmarkEnd w:id="214"/>
          </w:p>
          <w:p w14:paraId="5476D634" w14:textId="77777777" w:rsidR="00AA0841" w:rsidRDefault="00AA0841" w:rsidP="00AA0841">
            <w:pPr>
              <w:pStyle w:val="DotStyle1"/>
            </w:pPr>
            <w:r>
              <w:t>Successful spawning of black bream is known to occur in summer (late December to early February) with barrage releases between 600-5 000 ML/day and temperature of 18-25 degrees Celsius, 1-2 weeks after a ~10 000-20 000 ML/day pulse out the barrages.</w:t>
            </w:r>
          </w:p>
          <w:p w14:paraId="6E045889" w14:textId="77777777" w:rsidR="00AA0841" w:rsidRPr="00D1079D" w:rsidRDefault="00AA0841" w:rsidP="00AA0841">
            <w:pPr>
              <w:pStyle w:val="DotStyle1"/>
            </w:pPr>
            <w:r>
              <w:t>Flows of greater than 20 000 ML/day at the SA border are found to be required to create a flowing river in the lower Murray, requiring coordination of Murray and tributary flows in dry years</w:t>
            </w:r>
            <w:bookmarkEnd w:id="215"/>
            <w:r>
              <w:rPr>
                <w:szCs w:val="22"/>
              </w:rPr>
              <w:t>.</w:t>
            </w:r>
          </w:p>
        </w:tc>
      </w:tr>
      <w:tr w:rsidR="00AA0841" w:rsidRPr="00D1079D" w14:paraId="2C2EA114" w14:textId="77777777" w:rsidTr="00AA0841">
        <w:trPr>
          <w:cnfStyle w:val="000000010000" w:firstRow="0" w:lastRow="0" w:firstColumn="0" w:lastColumn="0" w:oddVBand="0" w:evenVBand="0" w:oddHBand="0" w:evenHBand="1" w:firstRowFirstColumn="0" w:firstRowLastColumn="0" w:lastRowFirstColumn="0" w:lastRowLastColumn="0"/>
          <w:trHeight w:val="180"/>
        </w:trPr>
        <w:tc>
          <w:tcPr>
            <w:tcW w:w="1680" w:type="dxa"/>
            <w:shd w:val="clear" w:color="auto" w:fill="B6DDE8" w:themeFill="accent5" w:themeFillTint="66"/>
          </w:tcPr>
          <w:p w14:paraId="2F46DFB8" w14:textId="77777777" w:rsidR="00AA0841" w:rsidRPr="00D1079D" w:rsidRDefault="00AA0841" w:rsidP="00AA0841">
            <w:r>
              <w:lastRenderedPageBreak/>
              <w:t>Native Vegetation</w:t>
            </w:r>
          </w:p>
        </w:tc>
        <w:tc>
          <w:tcPr>
            <w:tcW w:w="8090" w:type="dxa"/>
          </w:tcPr>
          <w:p w14:paraId="4D01656B" w14:textId="77777777" w:rsidR="00AA0841" w:rsidRDefault="00AA0841" w:rsidP="00AA0841">
            <w:pPr>
              <w:pStyle w:val="DotStyle1"/>
            </w:pPr>
            <w:bookmarkStart w:id="216" w:name="_Hlk41903697"/>
            <w:r>
              <w:t xml:space="preserve">Areas of floodplain and wetland vegetation that have been able to be inundated for several consecutive years are showing benefit. </w:t>
            </w:r>
          </w:p>
          <w:p w14:paraId="499C8FF7" w14:textId="77777777" w:rsidR="00AA0841" w:rsidRDefault="00AA0841" w:rsidP="00AA0841">
            <w:pPr>
              <w:pStyle w:val="DotStyle2"/>
            </w:pPr>
            <w:r>
              <w:t xml:space="preserve">In Barmah Forest, low-level overbank spring flows have resulted in exceptionally good Moira grass growth and flowering was (particularly within grazing exclusion zones) during 2018-19 and 2019-20 </w:t>
            </w:r>
            <w:r>
              <w:rPr>
                <w:lang w:bidi="en-US"/>
              </w:rPr>
              <w:t>(</w:t>
            </w:r>
            <w:r>
              <w:t>GB CMA 2020a</w:t>
            </w:r>
            <w:r>
              <w:rPr>
                <w:lang w:bidi="en-US"/>
              </w:rPr>
              <w:t xml:space="preserve">). </w:t>
            </w:r>
          </w:p>
          <w:p w14:paraId="164BC542" w14:textId="77777777" w:rsidR="00AA0841" w:rsidRDefault="00AA0841" w:rsidP="00AA0841">
            <w:pPr>
              <w:pStyle w:val="DotStyle2"/>
            </w:pPr>
            <w:r>
              <w:t>Wetland vegetation cover and diversity of species within wetlands in Gunbower Forest, indicates that environmental water delivery has provided an opportunity for wetland plants to germinate, flower and set seed (</w:t>
            </w:r>
            <w:r w:rsidRPr="00697E6C">
              <w:t>NCCMA 2020</w:t>
            </w:r>
            <w:r>
              <w:t xml:space="preserve">). </w:t>
            </w:r>
          </w:p>
          <w:p w14:paraId="73DB363C" w14:textId="77777777" w:rsidR="00AA0841" w:rsidRDefault="00AA0841" w:rsidP="00AA0841">
            <w:pPr>
              <w:pStyle w:val="DotStyle2"/>
            </w:pPr>
            <w:r>
              <w:t>River red gums that have received water following the 2016-17 flood have healthier canopies than those red gums in areas that remained dry (</w:t>
            </w:r>
            <w:r w:rsidRPr="00697E6C">
              <w:t>Mallee CMA 2020, North Central CMA 2020</w:t>
            </w:r>
            <w:r>
              <w:t>).</w:t>
            </w:r>
            <w:bookmarkEnd w:id="216"/>
            <w:r>
              <w:rPr>
                <w:highlight w:val="yellow"/>
              </w:rPr>
              <w:t xml:space="preserve"> </w:t>
            </w:r>
          </w:p>
          <w:p w14:paraId="3BBCA404" w14:textId="77777777" w:rsidR="00AA0841" w:rsidRDefault="00AA0841" w:rsidP="00AA0841">
            <w:pPr>
              <w:pStyle w:val="DotStyle1"/>
            </w:pPr>
            <w:r>
              <w:t>Vegetation located at higher elevation floodplain and wetlands, or vegetation that has not been able to have follow-up water delivered, are more stressed. These results demonstrate the importance of consecutive watering events to consolidate the outcomes from natural floods to see sustained improvements in vegetation condition.</w:t>
            </w:r>
          </w:p>
          <w:p w14:paraId="4EED0FFC" w14:textId="77777777" w:rsidR="00AA0841" w:rsidRDefault="00AA0841" w:rsidP="00AA0841">
            <w:pPr>
              <w:pStyle w:val="DotStyle1"/>
            </w:pPr>
            <w:r>
              <w:t>Providing a slow rate of recession to flows enables native water plants to avoid being stranded and drying out prior to completing their life-cycle (Watts et al. 2015).</w:t>
            </w:r>
          </w:p>
          <w:p w14:paraId="778B0AEA" w14:textId="77777777" w:rsidR="00AA0841" w:rsidRPr="00176D3E" w:rsidRDefault="00AA0841" w:rsidP="00AA0841">
            <w:pPr>
              <w:pStyle w:val="DotStyle1"/>
            </w:pPr>
            <w:r w:rsidRPr="00946EF8">
              <w:t>The duration and extent of the 2016 flood wiped out many areas of in-stream aquatic plants (Watts et al. 2018)</w:t>
            </w:r>
            <w:r>
              <w:t xml:space="preserve">. This </w:t>
            </w:r>
            <w:r w:rsidRPr="00946EF8">
              <w:t>highlights the importance of understanding the impact of duration and depth of flows on aquatic plant</w:t>
            </w:r>
            <w:r>
              <w:t xml:space="preserve"> communities as noted in other MER monitoring sites (Dyer et al. 2018)</w:t>
            </w:r>
            <w:r w:rsidRPr="00134BB4">
              <w:t>.</w:t>
            </w:r>
          </w:p>
        </w:tc>
      </w:tr>
      <w:tr w:rsidR="00AA0841" w:rsidRPr="00D1079D" w14:paraId="3CBD847A" w14:textId="77777777" w:rsidTr="00AA0841">
        <w:trPr>
          <w:cnfStyle w:val="000000100000" w:firstRow="0" w:lastRow="0" w:firstColumn="0" w:lastColumn="0" w:oddVBand="0" w:evenVBand="0" w:oddHBand="1" w:evenHBand="0" w:firstRowFirstColumn="0" w:firstRowLastColumn="0" w:lastRowFirstColumn="0" w:lastRowLastColumn="0"/>
        </w:trPr>
        <w:tc>
          <w:tcPr>
            <w:tcW w:w="1680" w:type="dxa"/>
            <w:shd w:val="clear" w:color="auto" w:fill="B6DDE8" w:themeFill="accent5" w:themeFillTint="66"/>
          </w:tcPr>
          <w:p w14:paraId="13E64FAA" w14:textId="77777777" w:rsidR="00AA0841" w:rsidRPr="00D1079D" w:rsidRDefault="00AA0841" w:rsidP="00AA0841">
            <w:r w:rsidRPr="00D1079D">
              <w:t>Waterbirds</w:t>
            </w:r>
          </w:p>
        </w:tc>
        <w:tc>
          <w:tcPr>
            <w:tcW w:w="8090" w:type="dxa"/>
          </w:tcPr>
          <w:p w14:paraId="058AE69B" w14:textId="77777777" w:rsidR="00AA0841" w:rsidRPr="00176D3E" w:rsidRDefault="00AA0841" w:rsidP="00AA0841">
            <w:pPr>
              <w:pStyle w:val="DotStyle1"/>
              <w:rPr>
                <w:rFonts w:ascii="Calibri" w:hAnsi="Calibri" w:cs="Calibri"/>
                <w:color w:val="auto"/>
                <w:szCs w:val="22"/>
              </w:rPr>
            </w:pPr>
            <w:r>
              <w:t>During dry and moderate years water for the environment can assist in maintaining foraging and breeding habitat and support localised bird breeding events. Recent research indicates that regular small-scale breeding events are likely to be key in maintaining populations. While unlikely to be contributing to population growth, they are important in maintaining genetic diversity in the population and providing some new recruits each year (McGinness et al. 2019). It is likely that large scale breeding events will only occur in wetter years where more broader landscape cues apply.</w:t>
            </w:r>
          </w:p>
        </w:tc>
      </w:tr>
      <w:tr w:rsidR="00AA0841" w:rsidRPr="00D1079D" w14:paraId="558F20DD" w14:textId="77777777" w:rsidTr="00AA0841">
        <w:trPr>
          <w:cnfStyle w:val="000000010000" w:firstRow="0" w:lastRow="0" w:firstColumn="0" w:lastColumn="0" w:oddVBand="0" w:evenVBand="0" w:oddHBand="0" w:evenHBand="1" w:firstRowFirstColumn="0" w:firstRowLastColumn="0" w:lastRowFirstColumn="0" w:lastRowLastColumn="0"/>
          <w:trHeight w:val="558"/>
        </w:trPr>
        <w:tc>
          <w:tcPr>
            <w:tcW w:w="1680" w:type="dxa"/>
            <w:shd w:val="clear" w:color="auto" w:fill="B6DDE8" w:themeFill="accent5" w:themeFillTint="66"/>
          </w:tcPr>
          <w:p w14:paraId="4D9010B0" w14:textId="77777777" w:rsidR="00AA0841" w:rsidRPr="00D1079D" w:rsidRDefault="00AA0841" w:rsidP="00AA0841">
            <w:r>
              <w:t>Water quality</w:t>
            </w:r>
          </w:p>
        </w:tc>
        <w:tc>
          <w:tcPr>
            <w:tcW w:w="8090" w:type="dxa"/>
          </w:tcPr>
          <w:p w14:paraId="2ADD1E02" w14:textId="77777777" w:rsidR="00AA0841" w:rsidRDefault="00AA0841" w:rsidP="00AA0841">
            <w:pPr>
              <w:pStyle w:val="DotStyle1"/>
            </w:pPr>
            <w:r>
              <w:t xml:space="preserve">High flows through Millewa Forest have been demonstrated to provide a productivity boost into the Edward/Kolety-Wakool River system </w:t>
            </w:r>
            <w:r w:rsidRPr="00361E8A">
              <w:t>(Watts et al. 2016)</w:t>
            </w:r>
            <w:r>
              <w:t>. If delivered at a cooler time of year to avoid poor water quality, the NSW Mid-Murray forests can play a role in providing food resources to the adjacent rivers and creeks.</w:t>
            </w:r>
          </w:p>
          <w:p w14:paraId="7FD5060B" w14:textId="77777777" w:rsidR="00AA0841" w:rsidRPr="00DD7E4D" w:rsidRDefault="00AA0841" w:rsidP="00AA0841">
            <w:pPr>
              <w:pStyle w:val="DotStyle1"/>
            </w:pPr>
            <w:r w:rsidRPr="00DD7E4D">
              <w:t>Refuge flows during floods can also be effective in mitigating the risk of hypoxic water conditions caused by heatwave conditions during summer</w:t>
            </w:r>
            <w:r>
              <w:t xml:space="preserve"> </w:t>
            </w:r>
            <w:r w:rsidRPr="00361E8A">
              <w:t>(Watts et al. 2019), particularly in the Niemur Creek and Wakool River systems</w:t>
            </w:r>
            <w:r w:rsidRPr="00DD7E4D">
              <w:t xml:space="preserve">. Similarly, water for the environment maintained oxygen levels in the Rufus River (flows into the River Murray from Lake Victoria), </w:t>
            </w:r>
            <w:r>
              <w:t xml:space="preserve">during a period of low oxygen in the water during natural flood in 2016-17 (Ye et al. 2018). Maintaining oxygen levels in localised areas can provide refuge habitats for aquatic organisms. </w:t>
            </w:r>
          </w:p>
          <w:p w14:paraId="2A55D39A" w14:textId="77777777" w:rsidR="00AA0841" w:rsidRPr="00566A37" w:rsidRDefault="00AA0841" w:rsidP="00AA0841">
            <w:pPr>
              <w:pStyle w:val="DotStyle1"/>
            </w:pPr>
            <w:bookmarkStart w:id="217" w:name="_Hlk41463885"/>
            <w:r w:rsidRPr="00566A37">
              <w:t>Pulsing water through Tauwitchere barrages to opportunistically coincide with favourable wind and swell conditions has demonstrated to be effective in providing freshwater flow into the Coorong and reducing salinity levels albeit briefly.</w:t>
            </w:r>
          </w:p>
          <w:p w14:paraId="39A37B4F" w14:textId="77777777" w:rsidR="00AA0841" w:rsidRPr="00361E8A" w:rsidRDefault="00AA0841" w:rsidP="00AA0841">
            <w:pPr>
              <w:pStyle w:val="DotStyle1"/>
            </w:pPr>
            <w:bookmarkStart w:id="218" w:name="_Hlk41487894"/>
            <w:bookmarkEnd w:id="217"/>
            <w:r>
              <w:lastRenderedPageBreak/>
              <w:t xml:space="preserve">Maintaining flow through the fishway at the barrages for extended periods (e.g. 3 months during 2019-20 summer) are insufficient to prevent Coorong salinities </w:t>
            </w:r>
            <w:bookmarkEnd w:id="218"/>
            <w:r>
              <w:t>increasing to 45 grams per litre. This represents a management threshold with levels above becoming lethal for some estuarine plants and animals (Taylor 2010).</w:t>
            </w:r>
          </w:p>
          <w:p w14:paraId="4FBE60A9" w14:textId="77777777" w:rsidR="00AA0841" w:rsidRDefault="00AA0841" w:rsidP="00AA0841">
            <w:pPr>
              <w:pStyle w:val="DotStyle1"/>
            </w:pPr>
            <w:r w:rsidRPr="00361E8A">
              <w:t>Following three consecutive years of low barrage flows (average ~650 GL/y</w:t>
            </w:r>
            <w:r>
              <w:t>ear</w:t>
            </w:r>
            <w:r w:rsidRPr="00361E8A">
              <w:t>), South Lagoon salinities rose well above the 100 grams per litre management threshold during the 2019-20 summer, indicating that significantly more barrage flows are required to maintain a healthy South Lagoon.</w:t>
            </w:r>
          </w:p>
        </w:tc>
      </w:tr>
      <w:tr w:rsidR="00AA0841" w:rsidRPr="00D1079D" w14:paraId="4C736039" w14:textId="77777777" w:rsidTr="00AA0841">
        <w:trPr>
          <w:cnfStyle w:val="000000100000" w:firstRow="0" w:lastRow="0" w:firstColumn="0" w:lastColumn="0" w:oddVBand="0" w:evenVBand="0" w:oddHBand="1" w:evenHBand="0" w:firstRowFirstColumn="0" w:firstRowLastColumn="0" w:lastRowFirstColumn="0" w:lastRowLastColumn="0"/>
          <w:trHeight w:val="108"/>
        </w:trPr>
        <w:tc>
          <w:tcPr>
            <w:tcW w:w="1680" w:type="dxa"/>
            <w:shd w:val="clear" w:color="auto" w:fill="B6DDE8" w:themeFill="accent5" w:themeFillTint="66"/>
          </w:tcPr>
          <w:p w14:paraId="6EECA695" w14:textId="77777777" w:rsidR="00AA0841" w:rsidRDefault="00AA0841" w:rsidP="00AA0841">
            <w:r w:rsidRPr="00D1079D">
              <w:lastRenderedPageBreak/>
              <w:t>Connectivity</w:t>
            </w:r>
            <w:r>
              <w:t xml:space="preserve"> and water delivery</w:t>
            </w:r>
          </w:p>
        </w:tc>
        <w:tc>
          <w:tcPr>
            <w:tcW w:w="8090" w:type="dxa"/>
          </w:tcPr>
          <w:p w14:paraId="07BF9C57" w14:textId="77777777" w:rsidR="00AA0841" w:rsidRPr="00361E8A" w:rsidRDefault="00AA0841" w:rsidP="00AA0841">
            <w:pPr>
              <w:pStyle w:val="DotStyle1"/>
            </w:pPr>
            <w:r w:rsidRPr="00D61DDD">
              <w:t xml:space="preserve">Monitoring results from the Southern Spring </w:t>
            </w:r>
            <w:r>
              <w:t>F</w:t>
            </w:r>
            <w:r w:rsidRPr="00D61DDD">
              <w:t>low in 2019</w:t>
            </w:r>
            <w:r>
              <w:t>-</w:t>
            </w:r>
            <w:r w:rsidRPr="00D61DDD">
              <w:t>20 indicated environmental watering</w:t>
            </w:r>
            <w:r>
              <w:t xml:space="preserve"> resulted in a significant</w:t>
            </w:r>
            <w:r w:rsidRPr="005B4914">
              <w:t xml:space="preserve"> generation of carbon and nutrients from Barmah-Millewa floodplain</w:t>
            </w:r>
            <w:r>
              <w:t xml:space="preserve"> and a</w:t>
            </w:r>
            <w:r w:rsidRPr="005B4914">
              <w:t xml:space="preserve">n increase in </w:t>
            </w:r>
            <w:r>
              <w:t>z</w:t>
            </w:r>
            <w:r w:rsidRPr="005B4914">
              <w:t>ooplankton abundance downstream of forest</w:t>
            </w:r>
            <w:r>
              <w:t xml:space="preserve"> and in the Lower River Murray </w:t>
            </w:r>
            <w:bookmarkStart w:id="219" w:name="_Hlk41904852"/>
            <w:r>
              <w:t>(CEWO 2020a)</w:t>
            </w:r>
            <w:bookmarkEnd w:id="219"/>
            <w:r>
              <w:t>. R</w:t>
            </w:r>
            <w:r w:rsidRPr="00361E8A">
              <w:t xml:space="preserve">educing the carbon load on the floodplain will </w:t>
            </w:r>
            <w:r>
              <w:t xml:space="preserve">also </w:t>
            </w:r>
            <w:r w:rsidRPr="00361E8A">
              <w:t>reduce the risk of black water events during future flo</w:t>
            </w:r>
            <w:r>
              <w:t>ws</w:t>
            </w:r>
            <w:r w:rsidRPr="00361E8A">
              <w:t xml:space="preserve">. </w:t>
            </w:r>
          </w:p>
          <w:p w14:paraId="5CDD72F8" w14:textId="77777777" w:rsidR="00AA0841" w:rsidRPr="00DD7E4D" w:rsidRDefault="00AA0841" w:rsidP="00AA0841">
            <w:pPr>
              <w:pStyle w:val="DotStyle1"/>
            </w:pPr>
            <w:r>
              <w:t>A</w:t>
            </w:r>
            <w:r w:rsidRPr="00DD7E4D">
              <w:t xml:space="preserve"> trial in the Yallakool Creek-Wakool River system during August-September 2018</w:t>
            </w:r>
            <w:r>
              <w:t xml:space="preserve"> (trialled delivery of flow at 800 ML/day instead of the existing limit of 600 ML/day)</w:t>
            </w:r>
            <w:r w:rsidRPr="00DD7E4D">
              <w:t xml:space="preserve"> highlighted:</w:t>
            </w:r>
          </w:p>
          <w:p w14:paraId="36908B3B" w14:textId="77777777" w:rsidR="00AA0841" w:rsidRDefault="00AA0841" w:rsidP="00AA0841">
            <w:pPr>
              <w:pStyle w:val="DotStyle2"/>
            </w:pPr>
            <w:r>
              <w:t>the importance of having a long lead in time for planning such an event with local land holders, agencies, community members and monitoring providers</w:t>
            </w:r>
          </w:p>
          <w:p w14:paraId="623A28EE" w14:textId="77777777" w:rsidR="00AA0841" w:rsidRDefault="00AA0841" w:rsidP="00AA0841">
            <w:pPr>
              <w:pStyle w:val="DotStyle2"/>
            </w:pPr>
            <w:r>
              <w:t>the need to have access to alternative delivery arrangements (such as the Murray Irrigation network) to deliver target flow rates in the event that WaterNSW infrastructure is unable to meet those flow rates</w:t>
            </w:r>
          </w:p>
          <w:p w14:paraId="6C410BC6" w14:textId="77777777" w:rsidR="00AA0841" w:rsidRDefault="00AA0841" w:rsidP="00AA0841">
            <w:pPr>
              <w:pStyle w:val="DotStyle2"/>
            </w:pPr>
            <w:r>
              <w:t>the flow inundated one low level bridge in the Bookit Island area in the mid Wakool River and one creek crossing on Black Dog Creek, but this did not limit landholders access to their properties</w:t>
            </w:r>
          </w:p>
          <w:p w14:paraId="166D988D" w14:textId="77777777" w:rsidR="00AA0841" w:rsidRDefault="00AA0841" w:rsidP="00AA0841">
            <w:pPr>
              <w:pStyle w:val="DotStyle2"/>
            </w:pPr>
            <w:bookmarkStart w:id="220" w:name="_Hlk41638399"/>
            <w:r>
              <w:t xml:space="preserve">the flow trial increased lateral connectivity within the river system, increasing the wetted area by an average of 10.2 per cent </w:t>
            </w:r>
            <w:bookmarkEnd w:id="220"/>
            <w:r>
              <w:t>(Watts et al. 2018).</w:t>
            </w:r>
          </w:p>
          <w:p w14:paraId="0582292D" w14:textId="77777777" w:rsidR="00AA0841" w:rsidRPr="00DD7E4D" w:rsidRDefault="00AA0841" w:rsidP="00AA0841">
            <w:pPr>
              <w:pStyle w:val="DotStyle1"/>
            </w:pPr>
            <w:r>
              <w:t xml:space="preserve">Where water availability allows and there are suitable natural triggers, early season delivery of environmental water assists in </w:t>
            </w:r>
            <w:r w:rsidRPr="00DD7E4D">
              <w:t>avoid</w:t>
            </w:r>
            <w:r>
              <w:t>ing</w:t>
            </w:r>
            <w:r w:rsidRPr="00DD7E4D">
              <w:t xml:space="preserve"> delivery constraints </w:t>
            </w:r>
            <w:r>
              <w:t xml:space="preserve">that arise </w:t>
            </w:r>
            <w:r w:rsidRPr="00DD7E4D">
              <w:t>during the irrigation season</w:t>
            </w:r>
            <w:r>
              <w:t xml:space="preserve"> (spring-summer)</w:t>
            </w:r>
            <w:r w:rsidRPr="00DD7E4D">
              <w:t>.</w:t>
            </w:r>
          </w:p>
          <w:p w14:paraId="6D724F8E" w14:textId="77777777" w:rsidR="00AA0841" w:rsidRPr="00361E8A" w:rsidRDefault="00AA0841" w:rsidP="00AA0841">
            <w:pPr>
              <w:pStyle w:val="DotStyle1"/>
            </w:pPr>
            <w:r>
              <w:t>Fishways at the barrages (rock ramp and trapezoidal) continued to operate when</w:t>
            </w:r>
            <w:r w:rsidRPr="00DD7E4D">
              <w:t xml:space="preserve"> Lower Lake levels </w:t>
            </w:r>
            <w:r>
              <w:t xml:space="preserve">fell </w:t>
            </w:r>
            <w:r w:rsidRPr="00DD7E4D">
              <w:t>below 0.6</w:t>
            </w:r>
            <w:r>
              <w:t xml:space="preserve"> </w:t>
            </w:r>
            <w:r w:rsidRPr="00DD7E4D">
              <w:t>m AHD</w:t>
            </w:r>
            <w:r>
              <w:t>, when previously thought to become non-functional. This provides future option of managing water levels below 0.6 m while continuing releases through the fishways.</w:t>
            </w:r>
          </w:p>
          <w:p w14:paraId="5562DADE" w14:textId="77777777" w:rsidR="00AA0841" w:rsidRPr="00361E8A" w:rsidRDefault="00AA0841" w:rsidP="00AA0841">
            <w:pPr>
              <w:pStyle w:val="DotStyle1"/>
            </w:pPr>
            <w:r w:rsidRPr="00DD7E4D">
              <w:t>Particularly in dry years, environmental water is critically important in supporting continuous flows through the barrages to the Coorong throughout the year, maintaining a connection between the river and the Coorong estuary to support a functioning river system.</w:t>
            </w:r>
          </w:p>
        </w:tc>
      </w:tr>
    </w:tbl>
    <w:p w14:paraId="013F41ED" w14:textId="77777777" w:rsidR="00AA0841" w:rsidRDefault="00AA0841" w:rsidP="00AA0841">
      <w:pPr>
        <w:spacing w:after="0"/>
        <w:rPr>
          <w:rFonts w:ascii="Century Gothic" w:hAnsi="Century Gothic" w:cs="Times New Roman"/>
          <w:color w:val="auto"/>
          <w:sz w:val="20"/>
          <w:lang w:val="en-US" w:eastAsia="en-US"/>
        </w:rPr>
      </w:pPr>
    </w:p>
    <w:p w14:paraId="72D0E50E" w14:textId="77777777" w:rsidR="00AA0841" w:rsidRDefault="00AA0841" w:rsidP="00AA0841">
      <w:pPr>
        <w:spacing w:after="0"/>
        <w:rPr>
          <w:color w:val="5F497A" w:themeColor="accent4" w:themeShade="BF"/>
          <w:sz w:val="26"/>
          <w:szCs w:val="24"/>
          <w:lang w:val="en-GB"/>
        </w:rPr>
      </w:pPr>
      <w:r>
        <w:br w:type="page"/>
      </w:r>
    </w:p>
    <w:p w14:paraId="52F0409F" w14:textId="77777777" w:rsidR="00AA0841" w:rsidRPr="00764C2A" w:rsidRDefault="00AA0841" w:rsidP="00EE5C1C">
      <w:pPr>
        <w:pStyle w:val="Heading3"/>
        <w:spacing w:after="240"/>
      </w:pPr>
      <w:r w:rsidRPr="00D1079D">
        <w:lastRenderedPageBreak/>
        <w:t>Bibliography</w:t>
      </w:r>
    </w:p>
    <w:p w14:paraId="65EC06C6" w14:textId="77777777" w:rsidR="00AA0841" w:rsidRPr="00D50AFC" w:rsidRDefault="00AA0841" w:rsidP="00AA0841">
      <w:pPr>
        <w:autoSpaceDE w:val="0"/>
        <w:autoSpaceDN w:val="0"/>
        <w:adjustRightInd w:val="0"/>
        <w:rPr>
          <w:noProof/>
          <w:color w:val="000000" w:themeColor="text1"/>
        </w:rPr>
      </w:pPr>
      <w:bookmarkStart w:id="221" w:name="_Hlk40953987"/>
      <w:r w:rsidRPr="00D50AFC">
        <w:rPr>
          <w:noProof/>
          <w:color w:val="000000" w:themeColor="text1"/>
        </w:rPr>
        <w:t xml:space="preserve">Belcher, </w:t>
      </w:r>
      <w:r>
        <w:rPr>
          <w:noProof/>
          <w:color w:val="000000" w:themeColor="text1"/>
        </w:rPr>
        <w:t xml:space="preserve">C., </w:t>
      </w:r>
      <w:r w:rsidRPr="00D50AFC">
        <w:rPr>
          <w:noProof/>
          <w:color w:val="000000" w:themeColor="text1"/>
        </w:rPr>
        <w:t xml:space="preserve">Borrell, </w:t>
      </w:r>
      <w:r>
        <w:rPr>
          <w:noProof/>
          <w:color w:val="000000" w:themeColor="text1"/>
        </w:rPr>
        <w:t xml:space="preserve">A., </w:t>
      </w:r>
      <w:r w:rsidRPr="00D50AFC">
        <w:rPr>
          <w:noProof/>
          <w:color w:val="000000" w:themeColor="text1"/>
        </w:rPr>
        <w:t>Davidson</w:t>
      </w:r>
      <w:r>
        <w:rPr>
          <w:noProof/>
          <w:color w:val="000000" w:themeColor="text1"/>
        </w:rPr>
        <w:t>, I.</w:t>
      </w:r>
      <w:r w:rsidRPr="00D50AFC">
        <w:rPr>
          <w:noProof/>
          <w:color w:val="000000" w:themeColor="text1"/>
        </w:rPr>
        <w:t xml:space="preserve"> and Webster</w:t>
      </w:r>
      <w:r>
        <w:rPr>
          <w:noProof/>
          <w:color w:val="000000" w:themeColor="text1"/>
        </w:rPr>
        <w:t>, R.</w:t>
      </w:r>
      <w:r w:rsidRPr="00D50AFC">
        <w:rPr>
          <w:noProof/>
          <w:color w:val="000000" w:themeColor="text1"/>
        </w:rPr>
        <w:t xml:space="preserve"> (2018), Australasian Bittern Surveys in the Murray Valley and Barmah National Parks 2018</w:t>
      </w:r>
    </w:p>
    <w:p w14:paraId="2ACCD32A" w14:textId="77777777" w:rsidR="00AA0841" w:rsidRPr="00D50AFC" w:rsidRDefault="00AA0841" w:rsidP="00AA0841">
      <w:pPr>
        <w:autoSpaceDE w:val="0"/>
        <w:autoSpaceDN w:val="0"/>
        <w:adjustRightInd w:val="0"/>
        <w:rPr>
          <w:color w:val="000000" w:themeColor="text1"/>
        </w:rPr>
      </w:pPr>
      <w:r w:rsidRPr="00D50AFC">
        <w:rPr>
          <w:color w:val="000000" w:themeColor="text1"/>
        </w:rPr>
        <w:t>Bice, C</w:t>
      </w:r>
      <w:r>
        <w:rPr>
          <w:color w:val="000000" w:themeColor="text1"/>
        </w:rPr>
        <w:t>.</w:t>
      </w:r>
      <w:r w:rsidRPr="00D50AFC">
        <w:rPr>
          <w:color w:val="000000" w:themeColor="text1"/>
        </w:rPr>
        <w:t>, Zampatti, B</w:t>
      </w:r>
      <w:r>
        <w:rPr>
          <w:color w:val="000000" w:themeColor="text1"/>
        </w:rPr>
        <w:t>.</w:t>
      </w:r>
      <w:r w:rsidRPr="00D50AFC">
        <w:rPr>
          <w:color w:val="000000" w:themeColor="text1"/>
        </w:rPr>
        <w:t>, Ye, Q</w:t>
      </w:r>
      <w:r>
        <w:rPr>
          <w:color w:val="000000" w:themeColor="text1"/>
        </w:rPr>
        <w:t>.</w:t>
      </w:r>
      <w:r w:rsidRPr="00D50AFC">
        <w:rPr>
          <w:color w:val="000000" w:themeColor="text1"/>
        </w:rPr>
        <w:t xml:space="preserve"> and Giatas, G</w:t>
      </w:r>
      <w:r>
        <w:rPr>
          <w:color w:val="000000" w:themeColor="text1"/>
        </w:rPr>
        <w:t>.</w:t>
      </w:r>
      <w:r w:rsidRPr="00D50AFC">
        <w:rPr>
          <w:color w:val="000000" w:themeColor="text1"/>
        </w:rPr>
        <w:t xml:space="preserve"> (2020). Lamprey migration in the lower River Murray in association with Commonwealth environmental water delivery in 2019. South Australian Research and Development Institute (Aquatic Sciences), Adelaide. </w:t>
      </w:r>
    </w:p>
    <w:p w14:paraId="0ECDC80E" w14:textId="77777777" w:rsidR="00AA0841" w:rsidRDefault="00AA0841" w:rsidP="00AA0841">
      <w:pPr>
        <w:spacing w:before="120" w:line="288" w:lineRule="auto"/>
        <w:rPr>
          <w:rFonts w:eastAsia="Times"/>
          <w:b/>
          <w:lang w:val="en-US"/>
        </w:rPr>
      </w:pPr>
      <w:r>
        <w:rPr>
          <w:rFonts w:eastAsia="Times"/>
          <w:lang w:val="en-US"/>
        </w:rPr>
        <w:t>Bloink C., Halliday B., Robinson W. and Stevenson K. (2019). Gunbower TLM fish monitoring 2019. A report to the North Central Catchment Management Authority by Ecology Australia.</w:t>
      </w:r>
      <w:r>
        <w:rPr>
          <w:rFonts w:eastAsia="Times"/>
          <w:b/>
          <w:lang w:val="en-US"/>
        </w:rPr>
        <w:t xml:space="preserve"> </w:t>
      </w:r>
    </w:p>
    <w:p w14:paraId="078073BE" w14:textId="77777777" w:rsidR="00AA0841" w:rsidRPr="00E57908" w:rsidRDefault="00AA0841" w:rsidP="00AA0841">
      <w:pPr>
        <w:pStyle w:val="CommentText"/>
        <w:rPr>
          <w:sz w:val="22"/>
          <w:szCs w:val="22"/>
        </w:rPr>
      </w:pPr>
      <w:r w:rsidRPr="00E57908">
        <w:rPr>
          <w:sz w:val="22"/>
          <w:szCs w:val="22"/>
        </w:rPr>
        <w:t>Bureau of Meteorology (BoM)</w:t>
      </w:r>
      <w:r>
        <w:rPr>
          <w:sz w:val="22"/>
          <w:szCs w:val="22"/>
        </w:rPr>
        <w:t xml:space="preserve"> </w:t>
      </w:r>
      <w:r w:rsidRPr="00E57908">
        <w:rPr>
          <w:sz w:val="22"/>
          <w:szCs w:val="22"/>
        </w:rPr>
        <w:t xml:space="preserve">(2020) Climate outlooks – weeks, months and seasons. [ONLINE] Available at </w:t>
      </w:r>
      <w:hyperlink r:id="rId305" w:anchor="/temperature/maximum/anomaly/fortnightly/0" w:history="1">
        <w:r w:rsidRPr="00E57908">
          <w:rPr>
            <w:rStyle w:val="Hyperlink"/>
            <w:sz w:val="22"/>
          </w:rPr>
          <w:t>http://www.bom.gov.au/climate/outlooks/#/temperature/maximum/anomaly/fortnightly/0</w:t>
        </w:r>
      </w:hyperlink>
      <w:r w:rsidRPr="00E57908">
        <w:rPr>
          <w:sz w:val="22"/>
          <w:szCs w:val="22"/>
        </w:rPr>
        <w:t xml:space="preserve">. [Accessed </w:t>
      </w:r>
      <w:r>
        <w:rPr>
          <w:sz w:val="22"/>
          <w:szCs w:val="22"/>
        </w:rPr>
        <w:t>11 June</w:t>
      </w:r>
      <w:r w:rsidRPr="00E57908">
        <w:rPr>
          <w:sz w:val="22"/>
          <w:szCs w:val="22"/>
        </w:rPr>
        <w:t xml:space="preserve"> 2020]</w:t>
      </w:r>
      <w:r>
        <w:rPr>
          <w:sz w:val="22"/>
          <w:szCs w:val="22"/>
        </w:rPr>
        <w:t>.</w:t>
      </w:r>
    </w:p>
    <w:bookmarkEnd w:id="221"/>
    <w:p w14:paraId="65E4EB68" w14:textId="77777777" w:rsidR="00AA0841" w:rsidRDefault="00AA0841" w:rsidP="00AA0841">
      <w:pPr>
        <w:rPr>
          <w:rFonts w:ascii="CIDFont+F1" w:hAnsi="CIDFont+F1" w:cs="CIDFont+F1"/>
          <w:color w:val="auto"/>
          <w:sz w:val="38"/>
          <w:szCs w:val="38"/>
        </w:rPr>
      </w:pPr>
      <w:r w:rsidRPr="00F00581">
        <w:rPr>
          <w:noProof/>
          <w:color w:val="000000" w:themeColor="text1"/>
        </w:rPr>
        <w:t>Commonwealth Environmental Water Office (2020</w:t>
      </w:r>
      <w:r>
        <w:rPr>
          <w:noProof/>
          <w:color w:val="000000" w:themeColor="text1"/>
        </w:rPr>
        <w:t>a</w:t>
      </w:r>
      <w:r w:rsidRPr="00F00581">
        <w:rPr>
          <w:noProof/>
          <w:color w:val="000000" w:themeColor="text1"/>
        </w:rPr>
        <w:t xml:space="preserve">). Southern Spring Flow 2019 – Wrap-up </w:t>
      </w:r>
      <w:hyperlink r:id="rId306" w:history="1">
        <w:r w:rsidRPr="00F00581">
          <w:rPr>
            <w:rStyle w:val="Hyperlink"/>
          </w:rPr>
          <w:t>https://www.environment.gov.au/water/cewo/publications/southern-spring-flow-2019-wrap-up</w:t>
        </w:r>
      </w:hyperlink>
      <w:r>
        <w:rPr>
          <w:rFonts w:ascii="CIDFont+F1" w:hAnsi="CIDFont+F1" w:cs="CIDFont+F1"/>
          <w:color w:val="auto"/>
          <w:sz w:val="38"/>
          <w:szCs w:val="38"/>
        </w:rPr>
        <w:t xml:space="preserve"> </w:t>
      </w:r>
    </w:p>
    <w:p w14:paraId="1A27D524" w14:textId="77777777" w:rsidR="00AA0841" w:rsidRDefault="00AA0841" w:rsidP="00AA0841">
      <w:pPr>
        <w:rPr>
          <w:rStyle w:val="Hyperlink"/>
        </w:rPr>
      </w:pPr>
      <w:r w:rsidRPr="00F00581">
        <w:rPr>
          <w:noProof/>
          <w:color w:val="000000" w:themeColor="text1"/>
        </w:rPr>
        <w:t>Commonwealth Environmental Water Office (2020</w:t>
      </w:r>
      <w:r>
        <w:rPr>
          <w:noProof/>
          <w:color w:val="000000" w:themeColor="text1"/>
        </w:rPr>
        <w:t>b</w:t>
      </w:r>
      <w:r w:rsidRPr="00F00581">
        <w:rPr>
          <w:noProof/>
          <w:color w:val="000000" w:themeColor="text1"/>
        </w:rPr>
        <w:t xml:space="preserve">). </w:t>
      </w:r>
      <w:r w:rsidRPr="00B74682">
        <w:rPr>
          <w:noProof/>
          <w:color w:val="000000" w:themeColor="text1"/>
        </w:rPr>
        <w:t>Wind, waves and wi-fi – A winning combination for the Coorong</w:t>
      </w:r>
      <w:r w:rsidRPr="00F00581">
        <w:rPr>
          <w:noProof/>
          <w:color w:val="000000" w:themeColor="text1"/>
        </w:rPr>
        <w:t xml:space="preserve"> </w:t>
      </w:r>
      <w:hyperlink r:id="rId307" w:history="1">
        <w:r>
          <w:rPr>
            <w:rStyle w:val="Hyperlink"/>
          </w:rPr>
          <w:t>https://www.environment.gov.au/cewo/media-release/wind-waves-wi-fi</w:t>
        </w:r>
      </w:hyperlink>
    </w:p>
    <w:p w14:paraId="05289030" w14:textId="77777777" w:rsidR="00AA0841" w:rsidRPr="0003524D" w:rsidRDefault="00AA0841" w:rsidP="00AA0841">
      <w:r w:rsidRPr="0003524D">
        <w:t xml:space="preserve">Department of Environment, Land, Water and Planning (DELWP) (2015). </w:t>
      </w:r>
      <w:r w:rsidRPr="0003524D">
        <w:rPr>
          <w:i/>
          <w:iCs/>
        </w:rPr>
        <w:t>Long Term Watering Plan: Victorian Murray</w:t>
      </w:r>
      <w:r w:rsidRPr="0003524D">
        <w:t>, The State of Victoria Department of Environment, Land, Water and Planning, Melbourne.</w:t>
      </w:r>
    </w:p>
    <w:p w14:paraId="00302735" w14:textId="77777777" w:rsidR="00AA0841" w:rsidRDefault="00AA0841" w:rsidP="00AA0841">
      <w:pPr>
        <w:rPr>
          <w:rStyle w:val="Hyperlink"/>
        </w:rPr>
      </w:pPr>
      <w:r>
        <w:t xml:space="preserve">Department for Environment and Water (2020) Native fish recovery </w:t>
      </w:r>
      <w:hyperlink r:id="rId308" w:history="1">
        <w:r w:rsidRPr="00503A5D">
          <w:rPr>
            <w:rStyle w:val="Hyperlink"/>
          </w:rPr>
          <w:t>https://</w:t>
        </w:r>
        <w:r w:rsidRPr="00D55461">
          <w:rPr>
            <w:rStyle w:val="Hyperlink"/>
          </w:rPr>
          <w:t>www.environment.sa.gov.au/news-hub/news/articles/2020/01/native-fish-recovery-congolli</w:t>
        </w:r>
      </w:hyperlink>
      <w:r>
        <w:rPr>
          <w:rStyle w:val="Hyperlink"/>
        </w:rPr>
        <w:t xml:space="preserve"> </w:t>
      </w:r>
    </w:p>
    <w:p w14:paraId="525CBE58" w14:textId="77777777" w:rsidR="00AA0841" w:rsidRPr="000E221E" w:rsidRDefault="00AA0841" w:rsidP="00AA0841">
      <w:pPr>
        <w:rPr>
          <w:rStyle w:val="Hyperlink"/>
        </w:rPr>
      </w:pPr>
      <w:r w:rsidRPr="007E6B4A">
        <w:t>Department of the Environment (2011</w:t>
      </w:r>
      <w:r>
        <w:t>a</w:t>
      </w:r>
      <w:r w:rsidRPr="007E6B4A">
        <w:t>). Environmental Water Delivery: Koondrook-Perricoota Forest, prepared by SKM and Hale, J., Commonwealth Environmental Water Office.</w:t>
      </w:r>
    </w:p>
    <w:p w14:paraId="4AFF289C" w14:textId="77777777" w:rsidR="00AA0841" w:rsidDel="007E6B4A" w:rsidRDefault="00AA0841" w:rsidP="00AA0841">
      <w:r w:rsidRPr="00237834">
        <w:t>Department of the Environment (2011</w:t>
      </w:r>
      <w:r>
        <w:t>b</w:t>
      </w:r>
      <w:r w:rsidRPr="00237834">
        <w:t>). Environmental Water Delivery: Yarrawonga to Tocumwal and Barmah-Millewa, prepared by Ecological Associates and SKM, Commonwealth Environmental Water Office.</w:t>
      </w:r>
    </w:p>
    <w:p w14:paraId="39C5CD73" w14:textId="77777777" w:rsidR="00AA0841" w:rsidRDefault="00AA0841" w:rsidP="00AA0841">
      <w:r w:rsidRPr="00774B58">
        <w:t>Department of Environment, Water and Natural Resources [DEWNR]. (2015). Long Term Environmental Watering Plan for the South Australian River Murray Water Resource Plan Area.</w:t>
      </w:r>
    </w:p>
    <w:p w14:paraId="74679A61" w14:textId="77777777" w:rsidR="00AA0841" w:rsidRDefault="00AA0841" w:rsidP="00AA0841">
      <w:r>
        <w:t>Dyer, F., Broadhurst, B., Tschierschke, A., Thiem, J., Thompson, R., Driver, P., and Bowen, S. (2018). Commonwealth Environmental Water Office Long Term Intervention Monitoring Project: Lower Lachlan river system Selected Area 2017-18 Monitoring and Evaluation Technical Report. Commonwealth of Australia, 2018.</w:t>
      </w:r>
    </w:p>
    <w:p w14:paraId="459A60C4" w14:textId="77777777" w:rsidR="00AA0841" w:rsidRPr="0003524D" w:rsidRDefault="00AA0841" w:rsidP="00AA0841">
      <w:pPr>
        <w:rPr>
          <w:bCs/>
        </w:rPr>
      </w:pPr>
      <w:r w:rsidRPr="0003524D">
        <w:rPr>
          <w:bCs/>
        </w:rPr>
        <w:t>Ecological Associates. (2010). The Environmental Watering Requirements of the South Australian River Murray.</w:t>
      </w:r>
    </w:p>
    <w:p w14:paraId="4E7F1DD6" w14:textId="77777777" w:rsidR="00AA0841" w:rsidRPr="0003524D" w:rsidRDefault="00AA0841" w:rsidP="00AA0841">
      <w:pPr>
        <w:rPr>
          <w:bCs/>
        </w:rPr>
      </w:pPr>
      <w:r w:rsidRPr="0003524D">
        <w:rPr>
          <w:bCs/>
        </w:rPr>
        <w:t>Ecological Associates. (2015). Environmental Water Management Plan for the River Murray from Lock 6 to Lock 10 – System Characterisation.</w:t>
      </w:r>
    </w:p>
    <w:p w14:paraId="7DA88463" w14:textId="77777777" w:rsidR="00AA0841" w:rsidRDefault="00AA0841" w:rsidP="00AA0841">
      <w:pPr>
        <w:rPr>
          <w:bCs/>
        </w:rPr>
      </w:pPr>
      <w:r w:rsidRPr="00A02A02">
        <w:rPr>
          <w:bCs/>
        </w:rPr>
        <w:t>Gehrig</w:t>
      </w:r>
      <w:r>
        <w:rPr>
          <w:bCs/>
        </w:rPr>
        <w:t>,</w:t>
      </w:r>
      <w:r w:rsidRPr="00A02A02">
        <w:rPr>
          <w:bCs/>
        </w:rPr>
        <w:t xml:space="preserve"> S</w:t>
      </w:r>
      <w:r>
        <w:rPr>
          <w:bCs/>
        </w:rPr>
        <w:t>.</w:t>
      </w:r>
      <w:r w:rsidRPr="00A02A02">
        <w:rPr>
          <w:bCs/>
        </w:rPr>
        <w:t xml:space="preserve"> (2018) Assessment of the responses of littoral and riparian vegetation to weir pool manipulations in Weir Pools: 7, 8, 9 and 15 of the River Murray. Final Report prepared for the Murray–Darling Basin Authority by the School of Life Sciences Albury–Wodonga and Mildura</w:t>
      </w:r>
    </w:p>
    <w:p w14:paraId="44EBCE83" w14:textId="77777777" w:rsidR="00AA0841" w:rsidRPr="006A0ABD" w:rsidRDefault="00AA0841" w:rsidP="00AA0841">
      <w:pPr>
        <w:autoSpaceDE w:val="0"/>
        <w:autoSpaceDN w:val="0"/>
        <w:adjustRightInd w:val="0"/>
        <w:rPr>
          <w:noProof/>
          <w:color w:val="000000" w:themeColor="text1"/>
        </w:rPr>
      </w:pPr>
      <w:bookmarkStart w:id="222" w:name="_Hlk42239409"/>
      <w:r>
        <w:t>Goulburn Broken Catchment Management Authority (2020a</w:t>
      </w:r>
      <w:r w:rsidRPr="006A0ABD">
        <w:rPr>
          <w:noProof/>
          <w:color w:val="000000" w:themeColor="text1"/>
        </w:rPr>
        <w:t xml:space="preserve">). Barmah Forest Seasonal Watering Proposal </w:t>
      </w:r>
      <w:r>
        <w:rPr>
          <w:noProof/>
          <w:color w:val="000000" w:themeColor="text1"/>
        </w:rPr>
        <w:t xml:space="preserve">(SWP) </w:t>
      </w:r>
      <w:r w:rsidRPr="006A0ABD">
        <w:rPr>
          <w:noProof/>
          <w:color w:val="000000" w:themeColor="text1"/>
        </w:rPr>
        <w:t>20</w:t>
      </w:r>
      <w:r>
        <w:rPr>
          <w:noProof/>
          <w:color w:val="000000" w:themeColor="text1"/>
        </w:rPr>
        <w:t>20</w:t>
      </w:r>
      <w:r w:rsidRPr="006A0ABD">
        <w:rPr>
          <w:noProof/>
          <w:color w:val="000000" w:themeColor="text1"/>
        </w:rPr>
        <w:t>-202</w:t>
      </w:r>
      <w:r>
        <w:rPr>
          <w:noProof/>
          <w:color w:val="000000" w:themeColor="text1"/>
        </w:rPr>
        <w:t>1</w:t>
      </w:r>
      <w:r w:rsidRPr="006A0ABD">
        <w:rPr>
          <w:noProof/>
          <w:color w:val="000000" w:themeColor="text1"/>
        </w:rPr>
        <w:t xml:space="preserve"> (VEWH Addendum). Goulburn Broken Catchment Management Authority, Shepparton.</w:t>
      </w:r>
    </w:p>
    <w:bookmarkEnd w:id="222"/>
    <w:p w14:paraId="255E5DDE" w14:textId="77777777" w:rsidR="00AA0841" w:rsidRPr="002E4072" w:rsidRDefault="00AA0841" w:rsidP="00AA0841">
      <w:pPr>
        <w:autoSpaceDE w:val="0"/>
        <w:autoSpaceDN w:val="0"/>
        <w:adjustRightInd w:val="0"/>
      </w:pPr>
      <w:r>
        <w:t>Goulburn Broken Catchment Management Authority (2020b). Barmah Forest Early Observations for 2019-20.</w:t>
      </w:r>
      <w:r w:rsidRPr="00FB2A5D">
        <w:rPr>
          <w:noProof/>
          <w:color w:val="000000" w:themeColor="text1"/>
        </w:rPr>
        <w:t xml:space="preserve"> </w:t>
      </w:r>
      <w:r w:rsidRPr="006A0ABD">
        <w:rPr>
          <w:noProof/>
          <w:color w:val="000000" w:themeColor="text1"/>
        </w:rPr>
        <w:t>Goulburn Broken Catchment Management Authority, Shepparton.</w:t>
      </w:r>
    </w:p>
    <w:p w14:paraId="3043E52A" w14:textId="77777777" w:rsidR="00AA0841" w:rsidRPr="002E4072" w:rsidRDefault="00AA0841" w:rsidP="00AA0841">
      <w:r w:rsidRPr="00237834">
        <w:t>Hale, J. and SKM (2011). Environmental Water Delivery: Edward-Wakool. Commonwealth Environmental Water Holder for the Australian Government. Canberra.</w:t>
      </w:r>
    </w:p>
    <w:p w14:paraId="37BB5C18" w14:textId="77777777" w:rsidR="00AA0841" w:rsidRDefault="00AA0841" w:rsidP="00AA0841">
      <w:pPr>
        <w:rPr>
          <w:bCs/>
        </w:rPr>
      </w:pPr>
      <w:r w:rsidRPr="00E7343F">
        <w:rPr>
          <w:bCs/>
        </w:rPr>
        <w:t xml:space="preserve">Kingsford, </w:t>
      </w:r>
      <w:r>
        <w:rPr>
          <w:bCs/>
        </w:rPr>
        <w:t xml:space="preserve">R., </w:t>
      </w:r>
      <w:r w:rsidRPr="00E7343F">
        <w:rPr>
          <w:bCs/>
        </w:rPr>
        <w:t>Porter</w:t>
      </w:r>
      <w:r>
        <w:rPr>
          <w:bCs/>
        </w:rPr>
        <w:t xml:space="preserve">, J. and </w:t>
      </w:r>
      <w:r w:rsidRPr="00E7343F">
        <w:rPr>
          <w:bCs/>
        </w:rPr>
        <w:t>Brandis</w:t>
      </w:r>
      <w:r>
        <w:rPr>
          <w:bCs/>
        </w:rPr>
        <w:t xml:space="preserve">, K. (2019). </w:t>
      </w:r>
      <w:r w:rsidRPr="00E7343F">
        <w:rPr>
          <w:bCs/>
        </w:rPr>
        <w:t>Aerial Waterbird Survey of Specified Environmental Assets</w:t>
      </w:r>
      <w:r>
        <w:rPr>
          <w:bCs/>
        </w:rPr>
        <w:t xml:space="preserve">: </w:t>
      </w:r>
      <w:r w:rsidRPr="00E7343F">
        <w:rPr>
          <w:bCs/>
        </w:rPr>
        <w:t>Notification of survey completion and 2019 Summary report</w:t>
      </w:r>
    </w:p>
    <w:p w14:paraId="29C8C469" w14:textId="77777777" w:rsidR="00AA0841" w:rsidRDefault="00AA0841" w:rsidP="00AA0841">
      <w:bookmarkStart w:id="223" w:name="_Hlk42239443"/>
      <w:r>
        <w:lastRenderedPageBreak/>
        <w:t>Mallee Catchment Management Authority. (2020). (in prep) Hattah Lakes &amp; Lindsay Mulcra Walpolla Early Observations for 2019-20.</w:t>
      </w:r>
    </w:p>
    <w:bookmarkEnd w:id="223"/>
    <w:p w14:paraId="1623B2C2" w14:textId="77777777" w:rsidR="00AA0841" w:rsidRPr="0003524D" w:rsidRDefault="00AA0841" w:rsidP="00AA0841">
      <w:pPr>
        <w:tabs>
          <w:tab w:val="left" w:pos="851"/>
        </w:tabs>
        <w:spacing w:after="240"/>
      </w:pPr>
      <w:r w:rsidRPr="0003524D">
        <w:t xml:space="preserve">Murray–Darling Basin Authority (MDBA) (2019). Basin-wide environmental watering strategy. Second edition. Murray–Darling Basin Authority, Canberra.  </w:t>
      </w:r>
    </w:p>
    <w:p w14:paraId="728D824F" w14:textId="77777777" w:rsidR="00AA0841" w:rsidRDefault="00AA0841" w:rsidP="00AA0841">
      <w:r w:rsidRPr="007E6B4A">
        <w:t>Murray–Darling Basin Authority (MDBA) (2012</w:t>
      </w:r>
      <w:r>
        <w:t>a</w:t>
      </w:r>
      <w:r w:rsidRPr="007E6B4A">
        <w:t xml:space="preserve">). Assessment of environmental water requirements for the proposed Basin Plan: Gunbower-Koondrook-Perricoota Forest. Murray–Darling Basin Authority, Canberra.  </w:t>
      </w:r>
    </w:p>
    <w:p w14:paraId="39CCF5A1" w14:textId="77777777" w:rsidR="00AA0841" w:rsidRDefault="00AA0841" w:rsidP="00AA0841">
      <w:r w:rsidRPr="0045540E">
        <w:t>Murray–Darling Basin Authority. (2012</w:t>
      </w:r>
      <w:r>
        <w:t>b</w:t>
      </w:r>
      <w:r w:rsidRPr="0045540E">
        <w:t>). Assessment of environmental water requirements for the proposed Basin Plan: Riverland Chowilla Floodplain. Murray–Darling Basin Authority, Canberra.</w:t>
      </w:r>
    </w:p>
    <w:p w14:paraId="06F7EEBE" w14:textId="77777777" w:rsidR="00AA0841" w:rsidRDefault="00AA0841" w:rsidP="00AA0841">
      <w:r w:rsidRPr="00237834">
        <w:t>Murray–Darling Basin Authority (MDBA) (2012</w:t>
      </w:r>
      <w:r>
        <w:t>c</w:t>
      </w:r>
      <w:r w:rsidRPr="00237834">
        <w:t xml:space="preserve">). Barmah-Millewa Forest Environmental Water Management Plan. Murray–Darling Basin Authority, Canberra.  </w:t>
      </w:r>
    </w:p>
    <w:p w14:paraId="708EACE9" w14:textId="77777777" w:rsidR="00AA0841" w:rsidRDefault="00AA0841" w:rsidP="00AA0841">
      <w:r w:rsidRPr="00274A4B">
        <w:t>Murray–Darling Basin Authority. (2012</w:t>
      </w:r>
      <w:r>
        <w:t>d</w:t>
      </w:r>
      <w:r w:rsidRPr="00274A4B">
        <w:t>). Chowilla Floodplain Environmental Water Management Plan. Murray–Darling Basin Authority, Canberra.</w:t>
      </w:r>
    </w:p>
    <w:p w14:paraId="2C8C6832" w14:textId="77777777" w:rsidR="00AA0841" w:rsidRDefault="00AA0841" w:rsidP="00AA0841">
      <w:r w:rsidRPr="00274A4B">
        <w:t>Murray–Darling Basin Authority. (2012</w:t>
      </w:r>
      <w:r>
        <w:t>e</w:t>
      </w:r>
      <w:r w:rsidRPr="00274A4B">
        <w:t>). Coorong, Lower Lakes and Murray Mouth Environmental Water Management Plan. Murray–Darling Basin Authority, Canberra.</w:t>
      </w:r>
    </w:p>
    <w:p w14:paraId="21862241" w14:textId="77777777" w:rsidR="00AA0841" w:rsidRDefault="00AA0841" w:rsidP="00AA0841">
      <w:r w:rsidRPr="0045540E">
        <w:t>Murray–Darling Basin Authority. (2012</w:t>
      </w:r>
      <w:r>
        <w:t>f</w:t>
      </w:r>
      <w:r w:rsidRPr="0045540E">
        <w:t>). Hattah Lakes Environmental Water Management Plan. Murray–Darling Basin Authority, Canberra.</w:t>
      </w:r>
    </w:p>
    <w:p w14:paraId="31DCD428" w14:textId="77777777" w:rsidR="00AA0841" w:rsidRDefault="00AA0841" w:rsidP="00AA0841">
      <w:r w:rsidRPr="00462F8E">
        <w:t>Murray–Darling Basin Authority. (2012</w:t>
      </w:r>
      <w:r>
        <w:t>g</w:t>
      </w:r>
      <w:r w:rsidRPr="00462F8E">
        <w:t>).  Hydrologic modelling to inform the proposed Basin Plan: Methods and results. Murray–Darling Basin Authority, Canberra.</w:t>
      </w:r>
    </w:p>
    <w:p w14:paraId="7FC3D360" w14:textId="77777777" w:rsidR="00AA0841" w:rsidRDefault="00AA0841" w:rsidP="00AA0841">
      <w:r w:rsidRPr="007E6B4A">
        <w:t>Murray–Darling Basin Authority (MDBA) (2012</w:t>
      </w:r>
      <w:r>
        <w:t>h</w:t>
      </w:r>
      <w:r w:rsidRPr="007E6B4A">
        <w:t xml:space="preserve">). Koondrook-Perricoota Forest Environmental Water Management Plan. Murray–Darling Basin Authority, Canberra.  </w:t>
      </w:r>
    </w:p>
    <w:p w14:paraId="169109B5" w14:textId="77777777" w:rsidR="00AA0841" w:rsidRDefault="00AA0841" w:rsidP="00AA0841">
      <w:r w:rsidRPr="007E6B4A">
        <w:t>Murray–Darling Basin Authority (MDBA) (2012</w:t>
      </w:r>
      <w:r>
        <w:t>i</w:t>
      </w:r>
      <w:r w:rsidRPr="007E6B4A">
        <w:t xml:space="preserve">). </w:t>
      </w:r>
      <w:r>
        <w:t>Gunbower</w:t>
      </w:r>
      <w:r w:rsidRPr="007E6B4A">
        <w:t xml:space="preserve"> Forest Environmental Water Management Plan. Murray–Darling Basin Authority, Canberra.  </w:t>
      </w:r>
    </w:p>
    <w:p w14:paraId="552E13BC" w14:textId="77777777" w:rsidR="00AA0841" w:rsidRDefault="00AA0841" w:rsidP="00AA0841">
      <w:pPr>
        <w:rPr>
          <w:rStyle w:val="Hyperlink"/>
        </w:rPr>
      </w:pPr>
      <w:r>
        <w:t xml:space="preserve">Murray-Darling Basin Authority. (2018). </w:t>
      </w:r>
      <w:r w:rsidRPr="00C11FB0">
        <w:t>Chowilla Floodplain Report Card 2017-18</w:t>
      </w:r>
      <w:r>
        <w:t xml:space="preserve"> </w:t>
      </w:r>
      <w:hyperlink r:id="rId309" w:history="1">
        <w:r w:rsidRPr="00770DD2">
          <w:rPr>
            <w:rStyle w:val="Hyperlink"/>
          </w:rPr>
          <w:t>https://www.mdba.gov.au/managing-water/water-for-environment/chowilla-floodplain-report-card-2017-18</w:t>
        </w:r>
      </w:hyperlink>
    </w:p>
    <w:p w14:paraId="63B7E8DD" w14:textId="77777777" w:rsidR="00AA0841" w:rsidRDefault="00AA0841" w:rsidP="00AA0841">
      <w:r w:rsidRPr="007A3F4E">
        <w:t>Murray-Darling Basin Authority (2020), Discover the Basin – Catchments: https://www.mdba.gov.au/discover-basin/catchments.[Accessed 2 June 2020].</w:t>
      </w:r>
    </w:p>
    <w:p w14:paraId="216D50C3" w14:textId="77777777" w:rsidR="00AA0841" w:rsidRPr="00FF35AD" w:rsidRDefault="00AA0841" w:rsidP="00AA0841">
      <w:pPr>
        <w:pStyle w:val="imprintheading"/>
        <w:rPr>
          <w:rFonts w:asciiTheme="minorHAnsi" w:hAnsiTheme="minorHAnsi" w:cstheme="minorHAnsi"/>
          <w:b w:val="0"/>
          <w:sz w:val="22"/>
          <w:szCs w:val="22"/>
        </w:rPr>
      </w:pPr>
      <w:r>
        <w:rPr>
          <w:rFonts w:asciiTheme="minorHAnsi" w:hAnsiTheme="minorHAnsi" w:cstheme="minorHAnsi"/>
          <w:b w:val="0"/>
          <w:sz w:val="22"/>
          <w:szCs w:val="22"/>
        </w:rPr>
        <w:t>Murray Lower Darling Rivers Indigenous Nations (MLDRIN) (2020).</w:t>
      </w:r>
      <w:r w:rsidRPr="00DE4C34">
        <w:t xml:space="preserve"> </w:t>
      </w:r>
      <w:r w:rsidRPr="00DE4C34">
        <w:rPr>
          <w:rFonts w:asciiTheme="minorHAnsi" w:hAnsiTheme="minorHAnsi" w:cstheme="minorHAnsi"/>
          <w:b w:val="0"/>
          <w:i/>
          <w:iCs/>
          <w:sz w:val="22"/>
          <w:szCs w:val="22"/>
        </w:rPr>
        <w:t xml:space="preserve">First Nations Environmental Water Guidance Project. MLDRIN Member Nations 2020‐21 Priorities. </w:t>
      </w:r>
      <w:r w:rsidRPr="00F8531D">
        <w:rPr>
          <w:rFonts w:asciiTheme="minorHAnsi" w:hAnsiTheme="minorHAnsi" w:cstheme="minorHAnsi"/>
          <w:b w:val="0"/>
          <w:sz w:val="22"/>
          <w:szCs w:val="22"/>
        </w:rPr>
        <w:t>Report provided to Commonwealth Environmental Water Office</w:t>
      </w:r>
      <w:r>
        <w:rPr>
          <w:rFonts w:asciiTheme="minorHAnsi" w:hAnsiTheme="minorHAnsi" w:cstheme="minorHAnsi"/>
          <w:b w:val="0"/>
          <w:sz w:val="22"/>
          <w:szCs w:val="22"/>
        </w:rPr>
        <w:t>.</w:t>
      </w:r>
    </w:p>
    <w:p w14:paraId="79C00095" w14:textId="77777777" w:rsidR="00AA0841" w:rsidRDefault="00AA0841" w:rsidP="00AA0841">
      <w:r>
        <w:t xml:space="preserve">New South Wales Forests. (2020). (in prep) Koondrook-Perricoota Forest Early Observations for 2019-20. </w:t>
      </w:r>
    </w:p>
    <w:p w14:paraId="55E359BA" w14:textId="77777777" w:rsidR="00AA0841" w:rsidRDefault="00AA0841" w:rsidP="00AA0841">
      <w:r>
        <w:t>North Central Catchment Management Authority. (2020). (in prep) Gunbower Early Observations for 2019-20.</w:t>
      </w:r>
    </w:p>
    <w:p w14:paraId="0DF60951" w14:textId="77777777" w:rsidR="00AA0841" w:rsidRDefault="00AA0841" w:rsidP="00AA0841">
      <w:r>
        <w:t>North Central Catchment Management Authority (CMA) (2020). Draft Seasonal Watering Proposal for Gunbower Forest and Gunbower Creek 2020-21. North Central Catchment Management Authority, Huntly, Victoria.</w:t>
      </w:r>
    </w:p>
    <w:p w14:paraId="32D02C9D" w14:textId="77777777" w:rsidR="00AA0841" w:rsidRDefault="00AA0841" w:rsidP="00AA0841">
      <w:r>
        <w:t>North Central Catchment Management Authority (CMA) (2017). Draft Seasonal Watering Proposal for Gunbower Forest and Gunbower Creek 2017–18. North Central Catchment Management Authority, Huntly, Victoria.</w:t>
      </w:r>
    </w:p>
    <w:p w14:paraId="774C41BF" w14:textId="77777777" w:rsidR="00AA0841" w:rsidRDefault="00AA0841" w:rsidP="00AA0841">
      <w:r>
        <w:t>North Central Catchment Management Authority (CMA) (2016a). Seasonal Watering Proposal for the Central Murray Wetland Complex 2016–17. North Central Catchment Management Authority, Huntly, Victoria.</w:t>
      </w:r>
    </w:p>
    <w:p w14:paraId="43833DDD" w14:textId="77777777" w:rsidR="00AA0841" w:rsidRDefault="00AA0841" w:rsidP="00AA0841">
      <w:r>
        <w:t>North Central Catchment Management Authority (CMA) (2016b). Seasonal Watering Proposal for Gunbower Forest and Gunbower Creek 2016–17. North Central Catchment Management Authority, Huntly, Victoria.</w:t>
      </w:r>
    </w:p>
    <w:p w14:paraId="1CE91C55" w14:textId="77777777" w:rsidR="00AA0841" w:rsidRDefault="00AA0841" w:rsidP="00AA0841">
      <w:r>
        <w:t>North Central Catchment Management Authority (CMA) (2015a). Seasonal Watering Proposal for the Central Murray Wetland Complex 2015–16. North Central Catchment Management Authority, Huntly, Victoria.</w:t>
      </w:r>
    </w:p>
    <w:p w14:paraId="35F0A293" w14:textId="77777777" w:rsidR="00AA0841" w:rsidRDefault="00AA0841" w:rsidP="00AA0841">
      <w:r>
        <w:lastRenderedPageBreak/>
        <w:t>North Central Catchment Management Authority (CMA) (2015b). Seasonal Watering Proposal for Gunbower Forest and Gunbower Creek 2015–16. North Central Catchment Management Authority, Huntly, Victoria.</w:t>
      </w:r>
    </w:p>
    <w:p w14:paraId="6B99B5FE" w14:textId="77777777" w:rsidR="00AA0841" w:rsidRDefault="00AA0841" w:rsidP="00AA0841">
      <w:r>
        <w:t>North Central Catchment Management Authority (CMA) (2014a). Seasonal Watering Proposal for the Central Murray Wetland Complex 2014–15. North Central Catchment Management Authority, Huntly, Victoria.</w:t>
      </w:r>
    </w:p>
    <w:p w14:paraId="02E7D441" w14:textId="77777777" w:rsidR="00AA0841" w:rsidRDefault="00AA0841" w:rsidP="00AA0841">
      <w:r>
        <w:t>North Central Catchment Management Authority (CMA) (2014b). Seasonal Watering Proposal for Gunbower Forest and Gunbower Creek 2014–15. North Central Catchment Management Authority, Huntly, Victoria.</w:t>
      </w:r>
    </w:p>
    <w:p w14:paraId="12C66236" w14:textId="77777777" w:rsidR="00AA0841" w:rsidRPr="002E4072" w:rsidRDefault="00AA0841" w:rsidP="00AA0841">
      <w:r>
        <w:t>North Central Catchment Management Authority (CMA) (2013). Seasonal Watering Proposal for Gunbower Forest and Gunbower Creek 2013–14. North Central Catchment Management Authority, Huntly, Victoria.</w:t>
      </w:r>
    </w:p>
    <w:p w14:paraId="5FB2659E" w14:textId="77777777" w:rsidR="00AA0841" w:rsidRDefault="00AA0841" w:rsidP="00AA0841">
      <w:r w:rsidRPr="00D50AFC">
        <w:rPr>
          <w:bCs/>
        </w:rPr>
        <w:t>Nicol, J.M., Frahn, K.A., Gehrig, S.I., and Marsland, K.B. (2019). Lower Lakes Vegetation Condition Monitoring – 2018-19. South Australian Research and Development Institute (Aquatic Sciences), Adelaide.</w:t>
      </w:r>
    </w:p>
    <w:p w14:paraId="59F1517D" w14:textId="77777777" w:rsidR="00AA0841" w:rsidRDefault="00AA0841" w:rsidP="00AA0841">
      <w:pPr>
        <w:rPr>
          <w:bCs/>
        </w:rPr>
      </w:pPr>
      <w:r w:rsidRPr="00DD6833">
        <w:rPr>
          <w:bCs/>
        </w:rPr>
        <w:t>Paton, D</w:t>
      </w:r>
      <w:r>
        <w:rPr>
          <w:bCs/>
        </w:rPr>
        <w:t>.</w:t>
      </w:r>
      <w:r w:rsidRPr="00DD6833">
        <w:rPr>
          <w:bCs/>
        </w:rPr>
        <w:t>C.</w:t>
      </w:r>
      <w:r>
        <w:rPr>
          <w:bCs/>
        </w:rPr>
        <w:t>,</w:t>
      </w:r>
      <w:r w:rsidRPr="00DD6833">
        <w:rPr>
          <w:bCs/>
        </w:rPr>
        <w:t xml:space="preserve"> Paton F</w:t>
      </w:r>
      <w:r>
        <w:rPr>
          <w:bCs/>
        </w:rPr>
        <w:t>.</w:t>
      </w:r>
      <w:r w:rsidRPr="00DD6833">
        <w:rPr>
          <w:bCs/>
        </w:rPr>
        <w:t xml:space="preserve">L. </w:t>
      </w:r>
      <w:r>
        <w:rPr>
          <w:bCs/>
        </w:rPr>
        <w:t>and</w:t>
      </w:r>
      <w:r w:rsidRPr="00DD6833">
        <w:rPr>
          <w:bCs/>
        </w:rPr>
        <w:t xml:space="preserve"> Bailey</w:t>
      </w:r>
      <w:r>
        <w:rPr>
          <w:bCs/>
        </w:rPr>
        <w:t xml:space="preserve"> </w:t>
      </w:r>
      <w:r w:rsidRPr="00DD6833">
        <w:rPr>
          <w:bCs/>
        </w:rPr>
        <w:t>C</w:t>
      </w:r>
      <w:r>
        <w:rPr>
          <w:bCs/>
        </w:rPr>
        <w:t>.</w:t>
      </w:r>
      <w:r w:rsidRPr="00DD6833">
        <w:rPr>
          <w:bCs/>
        </w:rPr>
        <w:t>P.</w:t>
      </w:r>
      <w:r>
        <w:rPr>
          <w:bCs/>
        </w:rPr>
        <w:t xml:space="preserve"> (2018)</w:t>
      </w:r>
      <w:r w:rsidRPr="00DD6833">
        <w:rPr>
          <w:bCs/>
        </w:rPr>
        <w:t xml:space="preserve"> Condition Monitoring of the Lower Lakes, Coorong and Murray Mouth Icon Site:</w:t>
      </w:r>
      <w:r>
        <w:rPr>
          <w:bCs/>
        </w:rPr>
        <w:t xml:space="preserve"> </w:t>
      </w:r>
      <w:r w:rsidRPr="00DD6833">
        <w:rPr>
          <w:bCs/>
        </w:rPr>
        <w:t>Waterbirds in the Coorong and Lower Lakes 2018.</w:t>
      </w:r>
      <w:r>
        <w:rPr>
          <w:bCs/>
        </w:rPr>
        <w:t xml:space="preserve"> </w:t>
      </w:r>
      <w:r w:rsidRPr="00DD6833">
        <w:rPr>
          <w:bCs/>
        </w:rPr>
        <w:t>The University of Adelaide and The Department for Environment and Water</w:t>
      </w:r>
      <w:r>
        <w:rPr>
          <w:bCs/>
        </w:rPr>
        <w:t>.</w:t>
      </w:r>
    </w:p>
    <w:p w14:paraId="19D00240" w14:textId="77777777" w:rsidR="00AA0841" w:rsidRPr="005E5276" w:rsidRDefault="00AA0841" w:rsidP="00AA0841">
      <w:pPr>
        <w:tabs>
          <w:tab w:val="num" w:pos="1276"/>
          <w:tab w:val="num" w:pos="1440"/>
        </w:tabs>
        <w:spacing w:after="60" w:line="276" w:lineRule="auto"/>
        <w:ind w:right="-270"/>
        <w:rPr>
          <w:color w:val="000000" w:themeColor="text1"/>
          <w:szCs w:val="22"/>
          <w:highlight w:val="yellow"/>
        </w:rPr>
      </w:pPr>
      <w:bookmarkStart w:id="224" w:name="_Hlk42249869"/>
      <w:r w:rsidRPr="000A637D">
        <w:rPr>
          <w:color w:val="000000" w:themeColor="text1"/>
          <w:szCs w:val="22"/>
        </w:rPr>
        <w:t xml:space="preserve">Raymond, S. Tonkin, Z. Duncan, M. and Robinson, W. (in prep). </w:t>
      </w:r>
      <w:r w:rsidRPr="000A637D">
        <w:rPr>
          <w:noProof/>
          <w:color w:val="000000" w:themeColor="text1"/>
          <w:szCs w:val="22"/>
        </w:rPr>
        <w:t xml:space="preserve">Barmah-Millewa Fish Condition Monitoring: 2019. </w:t>
      </w:r>
      <w:bookmarkEnd w:id="224"/>
    </w:p>
    <w:p w14:paraId="5BF322EC" w14:textId="77777777" w:rsidR="00AA0841" w:rsidRDefault="00AA0841" w:rsidP="00AA0841">
      <w:r w:rsidRPr="00D50AFC">
        <w:t>Raymond, S. Duncan, M. Tonkin, Z. and Robinson, W. (2018). Barmah-Millewa Fish Condition</w:t>
      </w:r>
      <w:r w:rsidRPr="00D50AFC">
        <w:rPr>
          <w:bCs/>
        </w:rPr>
        <w:t xml:space="preserve"> </w:t>
      </w:r>
      <w:r w:rsidRPr="00D50AFC">
        <w:t>Monitoring: 2018.</w:t>
      </w:r>
    </w:p>
    <w:p w14:paraId="198F9120" w14:textId="77777777" w:rsidR="00AA0841" w:rsidRPr="00D50AFC" w:rsidRDefault="00AA0841" w:rsidP="00AA0841">
      <w:r w:rsidRPr="00462F8E">
        <w:t>Roberts, J. and Marston, F. (2011). Water regime for wetlands and floodplain plants: A source book for the Murray–Darling Basin.</w:t>
      </w:r>
    </w:p>
    <w:p w14:paraId="33BF46DA" w14:textId="77777777" w:rsidR="00AA0841" w:rsidRPr="00D50AFC" w:rsidRDefault="00AA0841" w:rsidP="00AA0841">
      <w:r>
        <w:t>South Australia Department for Environment &amp; Water. (2020). (in prep) Early Observations for 2019-20.</w:t>
      </w:r>
    </w:p>
    <w:p w14:paraId="4C0DE4F3" w14:textId="77777777" w:rsidR="00AA0841" w:rsidRDefault="00AA0841" w:rsidP="00AA0841">
      <w:r>
        <w:t xml:space="preserve">Taylor, B. (2010). Ecological Justification for the South Lagoon Salinity Reduction Scheme – A Discussion Paper. Department of Environment and Natural Resources, Adelaide, South Australia. </w:t>
      </w:r>
    </w:p>
    <w:p w14:paraId="4C150A41" w14:textId="77777777" w:rsidR="00AA0841" w:rsidRPr="00D50AFC" w:rsidRDefault="00AA0841" w:rsidP="00AA0841">
      <w:pPr>
        <w:rPr>
          <w:bCs/>
        </w:rPr>
      </w:pPr>
      <w:r w:rsidRPr="00D50AFC">
        <w:rPr>
          <w:bCs/>
        </w:rPr>
        <w:t>Ye, Q., Giatas, G., Aldridge, K., Busch, B., Brookes, J., Gibbs, M., Hipsey, M., Lorenz, Z., Maas, R., Oliver, R., Shiel, R., Woodhead, J. and Zampatti, B. (2018). Long-term Intervention Monitoring of the Ecological Responses to Commonwealth Environmental Water Delivered to the Lower Murray River Selected Area in 2016/17. A report prepared for the Commonwealth Environmental Water Office by the South Australian Research and Development Institute, Aquatic Sciences.</w:t>
      </w:r>
    </w:p>
    <w:p w14:paraId="5E37407E" w14:textId="77777777" w:rsidR="00AA0841" w:rsidRPr="00F00581" w:rsidRDefault="00AA0841" w:rsidP="00AA0841">
      <w:r w:rsidRPr="00F00581">
        <w:t>Ye, Q</w:t>
      </w:r>
      <w:r w:rsidRPr="00F00581">
        <w:rPr>
          <w:bCs/>
        </w:rPr>
        <w:t>.,</w:t>
      </w:r>
      <w:r w:rsidRPr="00F00581">
        <w:t xml:space="preserve"> Giatas, G</w:t>
      </w:r>
      <w:r w:rsidRPr="00F00581">
        <w:rPr>
          <w:bCs/>
        </w:rPr>
        <w:t>.,</w:t>
      </w:r>
      <w:r w:rsidRPr="00F00581">
        <w:t xml:space="preserve"> Brookes, J</w:t>
      </w:r>
      <w:r w:rsidRPr="00F00581">
        <w:rPr>
          <w:bCs/>
        </w:rPr>
        <w:t>.,</w:t>
      </w:r>
      <w:r w:rsidRPr="00F00581">
        <w:t xml:space="preserve"> Furst, D</w:t>
      </w:r>
      <w:r w:rsidRPr="00F00581">
        <w:rPr>
          <w:bCs/>
        </w:rPr>
        <w:t>.,</w:t>
      </w:r>
      <w:r w:rsidRPr="00F00581">
        <w:t xml:space="preserve"> Gibbs, M</w:t>
      </w:r>
      <w:r w:rsidRPr="00F00581">
        <w:rPr>
          <w:bCs/>
        </w:rPr>
        <w:t>.,</w:t>
      </w:r>
      <w:r w:rsidRPr="00F00581">
        <w:t xml:space="preserve"> Oliver, R</w:t>
      </w:r>
      <w:r w:rsidRPr="00F00581">
        <w:rPr>
          <w:bCs/>
        </w:rPr>
        <w:t>.,</w:t>
      </w:r>
      <w:r w:rsidRPr="00F00581">
        <w:t xml:space="preserve"> Shiel, R</w:t>
      </w:r>
      <w:r w:rsidRPr="00F00581">
        <w:rPr>
          <w:bCs/>
        </w:rPr>
        <w:t>.,</w:t>
      </w:r>
      <w:r w:rsidRPr="00F00581">
        <w:t xml:space="preserve"> Zampatti,</w:t>
      </w:r>
      <w:r>
        <w:rPr>
          <w:bCs/>
        </w:rPr>
        <w:t xml:space="preserve"> </w:t>
      </w:r>
      <w:r w:rsidRPr="00F00581">
        <w:t>B</w:t>
      </w:r>
      <w:r w:rsidRPr="00F00581">
        <w:rPr>
          <w:bCs/>
        </w:rPr>
        <w:t>.,</w:t>
      </w:r>
      <w:r w:rsidRPr="00F00581">
        <w:t xml:space="preserve"> Aldridge, K</w:t>
      </w:r>
      <w:r w:rsidRPr="00F00581">
        <w:rPr>
          <w:bCs/>
        </w:rPr>
        <w:t>.,</w:t>
      </w:r>
      <w:r w:rsidRPr="00F00581">
        <w:t xml:space="preserve"> Bucater, L</w:t>
      </w:r>
      <w:r w:rsidRPr="00F00581">
        <w:rPr>
          <w:bCs/>
        </w:rPr>
        <w:t>.,</w:t>
      </w:r>
      <w:r w:rsidRPr="00F00581">
        <w:t xml:space="preserve"> Busch, B</w:t>
      </w:r>
      <w:r w:rsidRPr="00F00581">
        <w:rPr>
          <w:bCs/>
        </w:rPr>
        <w:t>.,</w:t>
      </w:r>
      <w:r w:rsidRPr="00F00581">
        <w:t xml:space="preserve"> Hipsey, M</w:t>
      </w:r>
      <w:r w:rsidRPr="00F00581">
        <w:rPr>
          <w:bCs/>
        </w:rPr>
        <w:t>.,</w:t>
      </w:r>
      <w:r w:rsidRPr="00F00581">
        <w:t xml:space="preserve"> Lorenz, Z</w:t>
      </w:r>
      <w:r w:rsidRPr="00F00581">
        <w:rPr>
          <w:bCs/>
        </w:rPr>
        <w:t>.,</w:t>
      </w:r>
      <w:r w:rsidRPr="00F00581">
        <w:t xml:space="preserve"> Maas, R</w:t>
      </w:r>
      <w:r w:rsidRPr="00F00581">
        <w:rPr>
          <w:bCs/>
        </w:rPr>
        <w:t>.,</w:t>
      </w:r>
      <w:r w:rsidRPr="00F00581">
        <w:t xml:space="preserve"> and</w:t>
      </w:r>
      <w:r>
        <w:rPr>
          <w:bCs/>
        </w:rPr>
        <w:t xml:space="preserve"> </w:t>
      </w:r>
      <w:r w:rsidRPr="00F00581">
        <w:t>Woodhead, J. (2020). Commonwealth Environmental Water Office Long-Term Intervention</w:t>
      </w:r>
      <w:r>
        <w:rPr>
          <w:bCs/>
        </w:rPr>
        <w:t xml:space="preserve"> </w:t>
      </w:r>
      <w:r w:rsidRPr="00F00581">
        <w:t>Monitoring Project 2014–2019: Lower Murray River Technical Report. A report prepared for</w:t>
      </w:r>
      <w:r>
        <w:rPr>
          <w:bCs/>
        </w:rPr>
        <w:t xml:space="preserve"> </w:t>
      </w:r>
      <w:r w:rsidRPr="00F00581">
        <w:t>the Commonwealth Environmental Water Office by the South Australian Research and</w:t>
      </w:r>
      <w:r>
        <w:rPr>
          <w:bCs/>
        </w:rPr>
        <w:t xml:space="preserve"> </w:t>
      </w:r>
      <w:r w:rsidRPr="00F00581">
        <w:t>Development Institute, Aquatic Sciences.</w:t>
      </w:r>
    </w:p>
    <w:p w14:paraId="08B21CA9" w14:textId="77777777" w:rsidR="00AA0841" w:rsidRDefault="00AA0841" w:rsidP="00AA0841">
      <w:pPr>
        <w:rPr>
          <w:bCs/>
        </w:rPr>
      </w:pPr>
      <w:r w:rsidRPr="00F00581">
        <w:rPr>
          <w:bCs/>
        </w:rPr>
        <w:t>Ye, Q., Bucater, L., Furst, D., Lorenz, Z., and Giatas, G. and Short, D. (2019). Monitoring salt wedge dynamics, food availability and black bream (</w:t>
      </w:r>
      <w:r w:rsidRPr="00F00581">
        <w:rPr>
          <w:bCs/>
          <w:i/>
          <w:iCs/>
        </w:rPr>
        <w:t>Acanthopagrus butcheri</w:t>
      </w:r>
      <w:r w:rsidRPr="00F00581">
        <w:rPr>
          <w:bCs/>
        </w:rPr>
        <w:t>) recruitment in the Coorong during 2018-19. South Australian Research and Development Institute (Aquatic Sciences), Adelaide.</w:t>
      </w:r>
    </w:p>
    <w:p w14:paraId="34022EAD" w14:textId="77777777" w:rsidR="00AA0841" w:rsidRDefault="00AA0841" w:rsidP="00AA0841">
      <w:pPr>
        <w:rPr>
          <w:bCs/>
        </w:rPr>
      </w:pPr>
      <w:r w:rsidRPr="007E24D6">
        <w:rPr>
          <w:bCs/>
        </w:rPr>
        <w:t>Wallace, T., Daly, R., Aldridge, K., Cox, J., Gibbs, M., Nicol, J., Oliver, R., Walker, K., Ye, Q. &amp; Zampatti, B. (2014). River Murray Channel Environmental Water Requirements: Ecological Objectives and Targets.</w:t>
      </w:r>
    </w:p>
    <w:p w14:paraId="52C56DED" w14:textId="77777777" w:rsidR="00AA0841" w:rsidRDefault="00AA0841" w:rsidP="00AA0841">
      <w:r>
        <w:rPr>
          <w:bCs/>
        </w:rPr>
        <w:t>Watts R.J., Bond N.R, Grace M.R., Healy S., Howitt</w:t>
      </w:r>
      <w:r w:rsidRPr="00BC4426">
        <w:rPr>
          <w:bCs/>
        </w:rPr>
        <w:t xml:space="preserve"> J</w:t>
      </w:r>
      <w:r>
        <w:rPr>
          <w:bCs/>
        </w:rPr>
        <w:t>.A., Liu X., McCasker</w:t>
      </w:r>
      <w:r w:rsidRPr="00BC4426">
        <w:rPr>
          <w:bCs/>
        </w:rPr>
        <w:t xml:space="preserve"> N.</w:t>
      </w:r>
      <w:r>
        <w:rPr>
          <w:bCs/>
        </w:rPr>
        <w:t>G., Thiem J.D., Trethewie J.A. (2019</w:t>
      </w:r>
      <w:r w:rsidRPr="00BC4426">
        <w:rPr>
          <w:bCs/>
        </w:rPr>
        <w:t>).</w:t>
      </w:r>
      <w:r>
        <w:rPr>
          <w:bCs/>
        </w:rPr>
        <w:t xml:space="preserve"> </w:t>
      </w:r>
      <w:r>
        <w:rPr>
          <w:rFonts w:cstheme="minorHAnsi"/>
        </w:rPr>
        <w:t>‘Commonwealth Environmental Water Office Long Term Intervention Monitoring Project: Edward-Wakool River System Selected Area Technical Report, 2018-19</w:t>
      </w:r>
      <w:r w:rsidRPr="00BC4426">
        <w:rPr>
          <w:rFonts w:cstheme="minorHAnsi"/>
        </w:rPr>
        <w:t xml:space="preserve">’. </w:t>
      </w:r>
      <w:r>
        <w:rPr>
          <w:bCs/>
        </w:rPr>
        <w:t xml:space="preserve">Report prepared for </w:t>
      </w:r>
      <w:r w:rsidRPr="00BC4426">
        <w:t>Commonwealth Environmental Water</w:t>
      </w:r>
      <w:r>
        <w:t xml:space="preserve"> Office</w:t>
      </w:r>
      <w:r w:rsidRPr="00BC4426">
        <w:t>.</w:t>
      </w:r>
      <w:r>
        <w:t xml:space="preserve"> Commonwealth of Australia</w:t>
      </w:r>
    </w:p>
    <w:p w14:paraId="7B16F715" w14:textId="77777777" w:rsidR="00AA0841" w:rsidRDefault="00AA0841" w:rsidP="00AA0841">
      <w:pPr>
        <w:rPr>
          <w:bCs/>
        </w:rPr>
      </w:pPr>
      <w:r w:rsidRPr="00901508">
        <w:rPr>
          <w:bCs/>
        </w:rPr>
        <w:t>Watts, R.J., McCasker, N., Baumgartner, L., Bowen, P., Burns, A. , Conallin, A., Dyer, J.G., Grace, M., Healy, S., Howitt, J.A., Kopf, R.K., Wassens, S., Watkins, S. and Wooden I. (2013). Monitoring the ecosystem responses to Commonwealth environmental water delivered to the Edward-Wakool river system, 2012–13. Institute for Land, Water and Society, Charles Sturt University, Final Report. Prepared for Commonwealth Environmental Water Office. Commonwealth of Australia.</w:t>
      </w:r>
    </w:p>
    <w:p w14:paraId="3B11E69A" w14:textId="77777777" w:rsidR="00AA0841" w:rsidRDefault="00AA0841" w:rsidP="00AA0841">
      <w:pPr>
        <w:rPr>
          <w:bCs/>
        </w:rPr>
      </w:pPr>
      <w:r w:rsidRPr="00237834">
        <w:rPr>
          <w:bCs/>
        </w:rPr>
        <w:lastRenderedPageBreak/>
        <w:t>Watts, R.J., McCasker, N., Howitt, J.A., Thiem, J., Grace, M., Kopf, R.K., Healy, S., Bond, N. (2017). Commonwealth Environmental Water Office Long Term Intervention Monitoring Project: Edward-Wakool River System Selected Area Evaluation Report, 2016–17. Report prepared for Commonwealth Environmental Water Office. Commonwealth of Australia.</w:t>
      </w:r>
    </w:p>
    <w:p w14:paraId="38C87318" w14:textId="77777777" w:rsidR="00AA0841" w:rsidRPr="00F00581" w:rsidRDefault="00AA0841" w:rsidP="00AA0841">
      <w:pPr>
        <w:rPr>
          <w:bCs/>
        </w:rPr>
      </w:pPr>
      <w:r w:rsidRPr="00237834">
        <w:rPr>
          <w:bCs/>
        </w:rPr>
        <w:t>Watts, R.J., McCasker, N., Howitt, J.A., Thiem, J., Grace, M., Kopf, R.K., Healy, S., Bond, N. (2016). ‘Commonwealth Environmental Water Office Long Term Intervention Monitoring Project: Edward-Wakool River System Selected Area Evaluation Report, 2015-16’. Report prepared for Commonwealth Environmental Water Office. Commonwealth of Australia.</w:t>
      </w:r>
    </w:p>
    <w:p w14:paraId="7CF42EB1" w14:textId="77777777" w:rsidR="00AA0841" w:rsidRDefault="00AA0841" w:rsidP="00AA0841">
      <w:r>
        <w:t>Watts, R.J., McCasker, N., Thiem, J., Howitt, J.A., Grace, M., Kopf, R.K., Healy, S., Bond, N. (2015). Commonwealth Environmental Water Office Long Term Intervention Monitoring Project: Edward-Wakool Selected Area Technical Report, 2014-15. Institute for Land, Water and Society, Charles Sturt University, Prepared for Commonwealth Environmental Water.</w:t>
      </w:r>
    </w:p>
    <w:p w14:paraId="3EB02760" w14:textId="77777777" w:rsidR="00AA0841" w:rsidRDefault="00AA0841" w:rsidP="00AA0841">
      <w:r>
        <w:t>Watts, R.J., McCasker, N., Thiem, J., Howitt, J.A., Grace, M., Healy, S., Kopf, R.K., Dyer, J.G. Conallin, A., Wooden I., Baumgartner L. and Bowen P. (2014). Monitoring the ecosystem responses to Commonwealth environmental water delivered to the Edward-Wakool river system, 2013–14. Institute for Land, Water and Society, Charles Sturt University, Final Report. Prepared for Commonwealth Environmental Water Office. Commonwealth of Australia.</w:t>
      </w:r>
    </w:p>
    <w:p w14:paraId="06E35715" w14:textId="77777777" w:rsidR="00AA0841" w:rsidRDefault="00AA0841" w:rsidP="00AA0841">
      <w:r>
        <w:rPr>
          <w:bCs/>
        </w:rPr>
        <w:t>Watts R.J., McCasker</w:t>
      </w:r>
      <w:r w:rsidRPr="00BC4426">
        <w:rPr>
          <w:bCs/>
        </w:rPr>
        <w:t xml:space="preserve"> N.</w:t>
      </w:r>
      <w:r>
        <w:rPr>
          <w:bCs/>
        </w:rPr>
        <w:t>G., Howitt</w:t>
      </w:r>
      <w:r w:rsidRPr="00BC4426">
        <w:rPr>
          <w:bCs/>
        </w:rPr>
        <w:t xml:space="preserve"> J</w:t>
      </w:r>
      <w:r>
        <w:rPr>
          <w:bCs/>
        </w:rPr>
        <w:t>.A., Thiem J.D., Grace M.R., Trethewie J.A., Healy S., Bond N.R. (2018</w:t>
      </w:r>
      <w:r w:rsidRPr="00BC4426">
        <w:rPr>
          <w:bCs/>
        </w:rPr>
        <w:t>).</w:t>
      </w:r>
      <w:r>
        <w:rPr>
          <w:bCs/>
        </w:rPr>
        <w:t xml:space="preserve"> </w:t>
      </w:r>
      <w:r>
        <w:rPr>
          <w:rFonts w:cstheme="minorHAnsi"/>
        </w:rPr>
        <w:t>‘Commonwealth Environmental Water Office Long Term Intervention Monitoring Project: Edward-Wakool River System Selected Area Technical Report, 2017-18</w:t>
      </w:r>
      <w:r w:rsidRPr="00BC4426">
        <w:rPr>
          <w:rFonts w:cstheme="minorHAnsi"/>
        </w:rPr>
        <w:t xml:space="preserve">’. </w:t>
      </w:r>
      <w:r>
        <w:rPr>
          <w:bCs/>
        </w:rPr>
        <w:t xml:space="preserve">Report prepared for </w:t>
      </w:r>
      <w:r w:rsidRPr="00BC4426">
        <w:t>Commonwealth Environmental Water</w:t>
      </w:r>
      <w:r>
        <w:t xml:space="preserve"> Office</w:t>
      </w:r>
      <w:r w:rsidRPr="00BC4426">
        <w:t>.</w:t>
      </w:r>
      <w:r>
        <w:t xml:space="preserve"> Commonwealth of Australia.</w:t>
      </w:r>
    </w:p>
    <w:p w14:paraId="5A9085DD" w14:textId="77777777" w:rsidR="00AA0841" w:rsidRDefault="00AA0841" w:rsidP="00AA0841">
      <w:r w:rsidRPr="00237834">
        <w:t>Webster, R (2010). Environmental monitoring of Werai forest environmental flow: 2009–2010. Report prepared for NSW Department of Environment, Climate Change and Water by Ecosurveys Pty Ltd.</w:t>
      </w:r>
    </w:p>
    <w:p w14:paraId="756C42D4" w14:textId="77777777" w:rsidR="00AA0841" w:rsidRPr="00787A37" w:rsidRDefault="00AA0841" w:rsidP="00AA0841">
      <w:pPr>
        <w:rPr>
          <w:bCs/>
        </w:rPr>
      </w:pPr>
      <w:r w:rsidRPr="00787A37">
        <w:rPr>
          <w:bCs/>
        </w:rPr>
        <w:t xml:space="preserve">Wedderburn, </w:t>
      </w:r>
      <w:r>
        <w:rPr>
          <w:bCs/>
        </w:rPr>
        <w:t xml:space="preserve">S., </w:t>
      </w:r>
      <w:r w:rsidRPr="00787A37">
        <w:rPr>
          <w:bCs/>
        </w:rPr>
        <w:t>Whiterod</w:t>
      </w:r>
      <w:r>
        <w:rPr>
          <w:bCs/>
        </w:rPr>
        <w:t>, N.</w:t>
      </w:r>
      <w:r w:rsidRPr="00787A37">
        <w:rPr>
          <w:bCs/>
        </w:rPr>
        <w:t xml:space="preserve"> and Gwinn</w:t>
      </w:r>
      <w:r>
        <w:rPr>
          <w:bCs/>
        </w:rPr>
        <w:t xml:space="preserve">, D. (2019). </w:t>
      </w:r>
      <w:r w:rsidRPr="00787A37">
        <w:rPr>
          <w:bCs/>
        </w:rPr>
        <w:t>Determining the status of Yarra Pygmy Perch in the Murray–Darling Basin</w:t>
      </w:r>
    </w:p>
    <w:sectPr w:rsidR="00AA0841" w:rsidRPr="00787A37" w:rsidSect="003737D8">
      <w:headerReference w:type="even" r:id="rId310"/>
      <w:headerReference w:type="default" r:id="rId311"/>
      <w:footerReference w:type="even" r:id="rId312"/>
      <w:headerReference w:type="first" r:id="rId313"/>
      <w:pgSz w:w="11906" w:h="16838"/>
      <w:pgMar w:top="1134" w:right="1133" w:bottom="851" w:left="964" w:header="425"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071A30" w14:textId="77777777" w:rsidR="00583873" w:rsidRDefault="00583873">
      <w:pPr>
        <w:spacing w:after="0"/>
      </w:pPr>
      <w:r>
        <w:separator/>
      </w:r>
    </w:p>
  </w:endnote>
  <w:endnote w:type="continuationSeparator" w:id="0">
    <w:p w14:paraId="0BEC684C" w14:textId="77777777" w:rsidR="00583873" w:rsidRDefault="00583873">
      <w:pPr>
        <w:spacing w:after="0"/>
      </w:pPr>
      <w:r>
        <w:continuationSeparator/>
      </w:r>
    </w:p>
  </w:endnote>
  <w:endnote w:type="continuationNotice" w:id="1">
    <w:p w14:paraId="04805695" w14:textId="77777777" w:rsidR="00583873" w:rsidRDefault="00583873">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pitch w:val="variable"/>
    <w:sig w:usb0="81000003" w:usb1="00000000" w:usb2="00000000" w:usb3="00000000" w:csb0="00010001" w:csb1="00000000"/>
  </w:font>
  <w:font w:name="Consolas">
    <w:panose1 w:val="020B0609020204030204"/>
    <w:charset w:val="00"/>
    <w:family w:val="modern"/>
    <w:pitch w:val="fixed"/>
    <w:sig w:usb0="E00006FF" w:usb1="0000FCFF" w:usb2="00000001" w:usb3="00000000" w:csb0="0000019F" w:csb1="00000000"/>
  </w:font>
  <w:font w:name="Adobe Garamond Pro">
    <w:altName w:val="Times New Roman"/>
    <w:panose1 w:val="00000000000000000000"/>
    <w:charset w:val="00"/>
    <w:family w:val="roman"/>
    <w:notTrueType/>
    <w:pitch w:val="variable"/>
    <w:sig w:usb0="00000001" w:usb1="00000001" w:usb2="00000000" w:usb3="00000000" w:csb0="00000093" w:csb1="00000000"/>
  </w:font>
  <w:font w:name="Verdana">
    <w:panose1 w:val="020B0604030504040204"/>
    <w:charset w:val="00"/>
    <w:family w:val="swiss"/>
    <w:pitch w:val="variable"/>
    <w:sig w:usb0="A00006FF" w:usb1="4000205B" w:usb2="00000010" w:usb3="00000000" w:csb0="0000019F" w:csb1="00000000"/>
  </w:font>
  <w:font w:name="Myriad Pro Light">
    <w:altName w:val="Arial"/>
    <w:panose1 w:val="00000000000000000000"/>
    <w:charset w:val="00"/>
    <w:family w:val="swiss"/>
    <w:notTrueType/>
    <w:pitch w:val="variable"/>
    <w:sig w:usb0="00000287" w:usb1="00000000" w:usb2="00000000" w:usb3="00000000" w:csb0="0000009F" w:csb1="00000000"/>
  </w:font>
  <w:font w:name="AvantGarde">
    <w:altName w:val="Century Gothic"/>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FIFMV M+ Gotham">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MT">
    <w:altName w:val="MS Mincho"/>
    <w:panose1 w:val="00000000000000000000"/>
    <w:charset w:val="80"/>
    <w:family w:val="auto"/>
    <w:notTrueType/>
    <w:pitch w:val="default"/>
    <w:sig w:usb0="00000003" w:usb1="08070000" w:usb2="00000010" w:usb3="00000000" w:csb0="00020001" w:csb1="00000000"/>
  </w:font>
  <w:font w:name="Times">
    <w:panose1 w:val="02020603050405020304"/>
    <w:charset w:val="00"/>
    <w:family w:val="roman"/>
    <w:pitch w:val="variable"/>
    <w:sig w:usb0="E0002EFF" w:usb1="C000785B" w:usb2="00000009" w:usb3="00000000" w:csb0="000001FF" w:csb1="00000000"/>
  </w:font>
  <w:font w:name="CIDFont+F1">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E87623" w14:textId="77777777" w:rsidR="00583873" w:rsidRDefault="00583873" w:rsidP="00E23B8C">
    <w:pPr>
      <w:pStyle w:val="Foote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27237247"/>
      <w:docPartObj>
        <w:docPartGallery w:val="Page Numbers (Bottom of Page)"/>
        <w:docPartUnique/>
      </w:docPartObj>
    </w:sdtPr>
    <w:sdtEndPr>
      <w:rPr>
        <w:noProof/>
        <w:sz w:val="20"/>
      </w:rPr>
    </w:sdtEndPr>
    <w:sdtContent>
      <w:p w14:paraId="1C07E459"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75CFE2AD" w14:textId="77777777" w:rsidR="00583873" w:rsidRDefault="00583873">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05520363"/>
      <w:docPartObj>
        <w:docPartGallery w:val="Page Numbers (Bottom of Page)"/>
        <w:docPartUnique/>
      </w:docPartObj>
    </w:sdtPr>
    <w:sdtEndPr>
      <w:rPr>
        <w:noProof/>
        <w:sz w:val="20"/>
      </w:rPr>
    </w:sdtEndPr>
    <w:sdtContent>
      <w:p w14:paraId="551D6A5E"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648685B1" w14:textId="77777777" w:rsidR="00583873" w:rsidRDefault="00583873">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E29C03" w14:textId="77777777" w:rsidR="00583873" w:rsidRDefault="00583873">
    <w:pPr>
      <w:pStyle w:val="Footer"/>
    </w:pPr>
  </w:p>
  <w:p w14:paraId="3187D3EA" w14:textId="77777777" w:rsidR="00583873" w:rsidRDefault="00583873"/>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5322421"/>
      <w:docPartObj>
        <w:docPartGallery w:val="Page Numbers (Bottom of Page)"/>
        <w:docPartUnique/>
      </w:docPartObj>
    </w:sdtPr>
    <w:sdtEndPr>
      <w:rPr>
        <w:noProof/>
      </w:rPr>
    </w:sdtEndPr>
    <w:sdtContent>
      <w:sdt>
        <w:sdtPr>
          <w:id w:val="-1672943764"/>
          <w:docPartObj>
            <w:docPartGallery w:val="Page Numbers (Bottom of Page)"/>
            <w:docPartUnique/>
          </w:docPartObj>
        </w:sdtPr>
        <w:sdtEndPr>
          <w:rPr>
            <w:color w:val="A6A6A6" w:themeColor="background1" w:themeShade="A6"/>
          </w:rPr>
        </w:sdtEndPr>
        <w:sdtContent>
          <w:p w14:paraId="30105FC1" w14:textId="77777777" w:rsidR="00583873" w:rsidRDefault="00583873" w:rsidP="00AA0841">
            <w:pPr>
              <w:pStyle w:val="Footer"/>
              <w:pBdr>
                <w:top w:val="single" w:sz="8" w:space="1" w:color="8064A2" w:themeColor="accent4"/>
              </w:pBdr>
              <w:jc w:val="center"/>
            </w:pPr>
            <w:r w:rsidRPr="00346AF5">
              <w:rPr>
                <w:noProof/>
                <w:color w:val="A6A6A6" w:themeColor="background1" w:themeShade="A6"/>
              </w:rPr>
              <w:fldChar w:fldCharType="begin"/>
            </w:r>
            <w:r w:rsidRPr="00346AF5">
              <w:rPr>
                <w:noProof/>
                <w:color w:val="A6A6A6" w:themeColor="background1" w:themeShade="A6"/>
              </w:rPr>
              <w:instrText xml:space="preserve"> PAGE   \* MERGEFORMAT </w:instrText>
            </w:r>
            <w:r w:rsidRPr="00346AF5">
              <w:rPr>
                <w:noProof/>
                <w:color w:val="A6A6A6" w:themeColor="background1" w:themeShade="A6"/>
              </w:rPr>
              <w:fldChar w:fldCharType="separate"/>
            </w:r>
            <w:r>
              <w:rPr>
                <w:noProof/>
                <w:color w:val="A6A6A6" w:themeColor="background1" w:themeShade="A6"/>
              </w:rPr>
              <w:t>1</w:t>
            </w:r>
            <w:r w:rsidRPr="00346AF5">
              <w:rPr>
                <w:noProof/>
                <w:color w:val="A6A6A6" w:themeColor="background1" w:themeShade="A6"/>
              </w:rPr>
              <w:fldChar w:fldCharType="end"/>
            </w:r>
          </w:p>
        </w:sdtContent>
      </w:sdt>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61146128"/>
      <w:docPartObj>
        <w:docPartGallery w:val="Page Numbers (Bottom of Page)"/>
        <w:docPartUnique/>
      </w:docPartObj>
    </w:sdtPr>
    <w:sdtEndPr>
      <w:rPr>
        <w:color w:val="A6A6A6" w:themeColor="background1" w:themeShade="A6"/>
      </w:rPr>
    </w:sdtEndPr>
    <w:sdtContent>
      <w:p w14:paraId="510EF707" w14:textId="77777777" w:rsidR="00583873" w:rsidRDefault="00583873" w:rsidP="00AA0841">
        <w:pPr>
          <w:pStyle w:val="Footer"/>
          <w:pBdr>
            <w:top w:val="single" w:sz="8" w:space="1" w:color="8064A2" w:themeColor="accent4"/>
          </w:pBdr>
          <w:jc w:val="center"/>
        </w:pPr>
        <w:r w:rsidRPr="00346AF5">
          <w:rPr>
            <w:noProof/>
            <w:color w:val="A6A6A6" w:themeColor="background1" w:themeShade="A6"/>
          </w:rPr>
          <w:fldChar w:fldCharType="begin"/>
        </w:r>
        <w:r w:rsidRPr="00346AF5">
          <w:rPr>
            <w:noProof/>
            <w:color w:val="A6A6A6" w:themeColor="background1" w:themeShade="A6"/>
          </w:rPr>
          <w:instrText xml:space="preserve"> PAGE   \* MERGEFORMAT </w:instrText>
        </w:r>
        <w:r w:rsidRPr="00346AF5">
          <w:rPr>
            <w:noProof/>
            <w:color w:val="A6A6A6" w:themeColor="background1" w:themeShade="A6"/>
          </w:rPr>
          <w:fldChar w:fldCharType="separate"/>
        </w:r>
        <w:r>
          <w:rPr>
            <w:noProof/>
            <w:color w:val="A6A6A6" w:themeColor="background1" w:themeShade="A6"/>
          </w:rPr>
          <w:t>1</w:t>
        </w:r>
        <w:r w:rsidRPr="00346AF5">
          <w:rPr>
            <w:noProof/>
            <w:color w:val="A6A6A6" w:themeColor="background1" w:themeShade="A6"/>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85100805"/>
      <w:docPartObj>
        <w:docPartGallery w:val="Page Numbers (Bottom of Page)"/>
        <w:docPartUnique/>
      </w:docPartObj>
    </w:sdtPr>
    <w:sdtEndPr>
      <w:rPr>
        <w:noProof/>
        <w:sz w:val="20"/>
      </w:rPr>
    </w:sdtEndPr>
    <w:sdtContent>
      <w:p w14:paraId="7A80B199"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8</w:t>
        </w:r>
        <w:r w:rsidRPr="001F63CB">
          <w:rPr>
            <w:noProof/>
            <w:sz w:val="20"/>
          </w:rPr>
          <w:fldChar w:fldCharType="end"/>
        </w:r>
      </w:p>
    </w:sdtContent>
  </w:sdt>
  <w:p w14:paraId="362A261B" w14:textId="77777777" w:rsidR="00583873" w:rsidRDefault="00583873">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9737357"/>
      <w:docPartObj>
        <w:docPartGallery w:val="Page Numbers (Bottom of Page)"/>
        <w:docPartUnique/>
      </w:docPartObj>
    </w:sdtPr>
    <w:sdtEndPr>
      <w:rPr>
        <w:color w:val="A6A6A6" w:themeColor="background1" w:themeShade="A6"/>
      </w:rPr>
    </w:sdtEndPr>
    <w:sdtContent>
      <w:p w14:paraId="3BCAD195" w14:textId="77777777" w:rsidR="00583873" w:rsidRDefault="00583873" w:rsidP="00AA0841">
        <w:pPr>
          <w:pStyle w:val="Footer"/>
          <w:pBdr>
            <w:top w:val="single" w:sz="8" w:space="1" w:color="8064A2" w:themeColor="accent4"/>
          </w:pBdr>
          <w:jc w:val="center"/>
        </w:pPr>
        <w:r w:rsidRPr="00346AF5">
          <w:rPr>
            <w:noProof/>
            <w:color w:val="A6A6A6" w:themeColor="background1" w:themeShade="A6"/>
          </w:rPr>
          <w:fldChar w:fldCharType="begin"/>
        </w:r>
        <w:r w:rsidRPr="00346AF5">
          <w:rPr>
            <w:noProof/>
            <w:color w:val="A6A6A6" w:themeColor="background1" w:themeShade="A6"/>
          </w:rPr>
          <w:instrText xml:space="preserve"> PAGE   \* MERGEFORMAT </w:instrText>
        </w:r>
        <w:r w:rsidRPr="00346AF5">
          <w:rPr>
            <w:noProof/>
            <w:color w:val="A6A6A6" w:themeColor="background1" w:themeShade="A6"/>
          </w:rPr>
          <w:fldChar w:fldCharType="separate"/>
        </w:r>
        <w:r>
          <w:rPr>
            <w:noProof/>
            <w:color w:val="A6A6A6" w:themeColor="background1" w:themeShade="A6"/>
          </w:rPr>
          <w:t>2</w:t>
        </w:r>
        <w:r w:rsidRPr="00346AF5">
          <w:rPr>
            <w:noProof/>
            <w:color w:val="A6A6A6" w:themeColor="background1" w:themeShade="A6"/>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93591659"/>
      <w:docPartObj>
        <w:docPartGallery w:val="Page Numbers (Bottom of Page)"/>
        <w:docPartUnique/>
      </w:docPartObj>
    </w:sdtPr>
    <w:sdtEndPr>
      <w:rPr>
        <w:noProof/>
        <w:sz w:val="20"/>
      </w:rPr>
    </w:sdtEndPr>
    <w:sdtContent>
      <w:p w14:paraId="4C57F798"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65C2620D" w14:textId="77777777" w:rsidR="00583873" w:rsidRDefault="00583873">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06351360"/>
      <w:docPartObj>
        <w:docPartGallery w:val="Page Numbers (Bottom of Page)"/>
        <w:docPartUnique/>
      </w:docPartObj>
    </w:sdtPr>
    <w:sdtEndPr>
      <w:rPr>
        <w:noProof/>
        <w:sz w:val="20"/>
      </w:rPr>
    </w:sdtEndPr>
    <w:sdtContent>
      <w:p w14:paraId="2997FEE8"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471AD030" w14:textId="77777777" w:rsidR="00583873" w:rsidRDefault="00583873">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71196107"/>
      <w:docPartObj>
        <w:docPartGallery w:val="Page Numbers (Bottom of Page)"/>
        <w:docPartUnique/>
      </w:docPartObj>
    </w:sdtPr>
    <w:sdtEndPr>
      <w:rPr>
        <w:color w:val="A6A6A6" w:themeColor="background1" w:themeShade="A6"/>
      </w:rPr>
    </w:sdtEndPr>
    <w:sdtContent>
      <w:p w14:paraId="04539166" w14:textId="77777777" w:rsidR="00583873" w:rsidRDefault="00583873" w:rsidP="00AA0841">
        <w:pPr>
          <w:pStyle w:val="Footer"/>
          <w:pBdr>
            <w:top w:val="single" w:sz="8" w:space="1" w:color="8064A2" w:themeColor="accent4"/>
          </w:pBdr>
          <w:jc w:val="center"/>
        </w:pPr>
        <w:r w:rsidRPr="00346AF5">
          <w:rPr>
            <w:noProof/>
            <w:color w:val="A6A6A6" w:themeColor="background1" w:themeShade="A6"/>
          </w:rPr>
          <w:fldChar w:fldCharType="begin"/>
        </w:r>
        <w:r w:rsidRPr="00346AF5">
          <w:rPr>
            <w:noProof/>
            <w:color w:val="A6A6A6" w:themeColor="background1" w:themeShade="A6"/>
          </w:rPr>
          <w:instrText xml:space="preserve"> PAGE   \* MERGEFORMAT </w:instrText>
        </w:r>
        <w:r w:rsidRPr="00346AF5">
          <w:rPr>
            <w:noProof/>
            <w:color w:val="A6A6A6" w:themeColor="background1" w:themeShade="A6"/>
          </w:rPr>
          <w:fldChar w:fldCharType="separate"/>
        </w:r>
        <w:r>
          <w:rPr>
            <w:noProof/>
            <w:color w:val="A6A6A6" w:themeColor="background1" w:themeShade="A6"/>
          </w:rPr>
          <w:t>2</w:t>
        </w:r>
        <w:r w:rsidRPr="00346AF5">
          <w:rPr>
            <w:noProof/>
            <w:color w:val="A6A6A6" w:themeColor="background1" w:themeShade="A6"/>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952F74" w14:textId="77777777" w:rsidR="00583873" w:rsidRDefault="00583873" w:rsidP="00E23B8C">
    <w:pPr>
      <w:pStyle w:val="Footer"/>
      <w:jc w:val="cen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05622114"/>
      <w:docPartObj>
        <w:docPartGallery w:val="Page Numbers (Bottom of Page)"/>
        <w:docPartUnique/>
      </w:docPartObj>
    </w:sdtPr>
    <w:sdtEndPr>
      <w:rPr>
        <w:noProof/>
        <w:sz w:val="20"/>
      </w:rPr>
    </w:sdtEndPr>
    <w:sdtContent>
      <w:p w14:paraId="6007B2FA"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226A0766" w14:textId="77777777" w:rsidR="00583873" w:rsidRDefault="00583873">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538D8E" w14:textId="77777777" w:rsidR="00583873" w:rsidRDefault="00583873">
    <w:pPr>
      <w:pStyle w:val="Footer"/>
    </w:pPr>
  </w:p>
  <w:p w14:paraId="456A6D02" w14:textId="77777777" w:rsidR="00583873" w:rsidRDefault="00583873"/>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900621"/>
      <w:docPartObj>
        <w:docPartGallery w:val="Page Numbers (Bottom of Page)"/>
        <w:docPartUnique/>
      </w:docPartObj>
    </w:sdtPr>
    <w:sdtEndPr>
      <w:rPr>
        <w:color w:val="A6A6A6" w:themeColor="background1" w:themeShade="A6"/>
      </w:rPr>
    </w:sdtEndPr>
    <w:sdtContent>
      <w:p w14:paraId="445A2195" w14:textId="77777777" w:rsidR="00583873" w:rsidRPr="003A1BCC" w:rsidRDefault="00583873" w:rsidP="00B27BEC">
        <w:pPr>
          <w:pStyle w:val="Footer"/>
          <w:pBdr>
            <w:top w:val="single" w:sz="4" w:space="1" w:color="5F497A" w:themeColor="accent4" w:themeShade="BF"/>
          </w:pBdr>
          <w:jc w:val="center"/>
          <w:rPr>
            <w:color w:val="A6A6A6" w:themeColor="background1" w:themeShade="A6"/>
          </w:rPr>
        </w:pPr>
        <w:r w:rsidRPr="003A1BCC">
          <w:rPr>
            <w:noProof/>
            <w:color w:val="A6A6A6" w:themeColor="background1" w:themeShade="A6"/>
          </w:rPr>
          <w:fldChar w:fldCharType="begin"/>
        </w:r>
        <w:r w:rsidRPr="003A1BCC">
          <w:rPr>
            <w:noProof/>
            <w:color w:val="A6A6A6" w:themeColor="background1" w:themeShade="A6"/>
          </w:rPr>
          <w:instrText xml:space="preserve"> PAGE   \* MERGEFORMAT </w:instrText>
        </w:r>
        <w:r w:rsidRPr="003A1BCC">
          <w:rPr>
            <w:noProof/>
            <w:color w:val="A6A6A6" w:themeColor="background1" w:themeShade="A6"/>
          </w:rPr>
          <w:fldChar w:fldCharType="separate"/>
        </w:r>
        <w:r w:rsidRPr="003A1BCC">
          <w:rPr>
            <w:noProof/>
            <w:color w:val="A6A6A6" w:themeColor="background1" w:themeShade="A6"/>
          </w:rPr>
          <w:t>1</w:t>
        </w:r>
        <w:r w:rsidRPr="003A1BCC">
          <w:rPr>
            <w:noProof/>
            <w:color w:val="A6A6A6" w:themeColor="background1" w:themeShade="A6"/>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72797034"/>
      <w:docPartObj>
        <w:docPartGallery w:val="Page Numbers (Bottom of Page)"/>
        <w:docPartUnique/>
      </w:docPartObj>
    </w:sdtPr>
    <w:sdtEndPr>
      <w:rPr>
        <w:noProof/>
      </w:rPr>
    </w:sdtEndPr>
    <w:sdtContent>
      <w:p w14:paraId="01137CF0" w14:textId="77777777" w:rsidR="00583873" w:rsidRPr="001F63CB" w:rsidRDefault="00583873" w:rsidP="00B27BEC">
        <w:pPr>
          <w:pStyle w:val="Footer"/>
        </w:pPr>
        <w:r w:rsidRPr="001F63CB">
          <w:fldChar w:fldCharType="begin"/>
        </w:r>
        <w:r w:rsidRPr="001F63CB">
          <w:instrText xml:space="preserve"> PAGE   \* MERGEFORMAT </w:instrText>
        </w:r>
        <w:r w:rsidRPr="001F63CB">
          <w:fldChar w:fldCharType="separate"/>
        </w:r>
        <w:r>
          <w:rPr>
            <w:noProof/>
          </w:rPr>
          <w:t>9</w:t>
        </w:r>
        <w:r w:rsidRPr="001F63CB">
          <w:rPr>
            <w:noProof/>
          </w:rPr>
          <w:fldChar w:fldCharType="end"/>
        </w:r>
      </w:p>
    </w:sdtContent>
  </w:sdt>
  <w:p w14:paraId="63ACB1F1" w14:textId="77777777" w:rsidR="00583873" w:rsidRDefault="00583873" w:rsidP="00B27BEC">
    <w:pPr>
      <w:pStyle w:val="Footer"/>
    </w:pPr>
  </w:p>
  <w:p w14:paraId="7BDE430D" w14:textId="77777777" w:rsidR="00583873" w:rsidRDefault="00583873"/>
  <w:p w14:paraId="2C44F2D9" w14:textId="77777777" w:rsidR="00583873" w:rsidRDefault="00583873"/>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91900640"/>
      <w:docPartObj>
        <w:docPartGallery w:val="Page Numbers (Bottom of Page)"/>
        <w:docPartUnique/>
      </w:docPartObj>
    </w:sdtPr>
    <w:sdtEndPr>
      <w:rPr>
        <w:noProof/>
      </w:rPr>
    </w:sdtEndPr>
    <w:sdtContent>
      <w:p w14:paraId="12CD76B5" w14:textId="77777777" w:rsidR="00583873" w:rsidRPr="001F63CB" w:rsidRDefault="00583873" w:rsidP="00B27BEC">
        <w:pPr>
          <w:pStyle w:val="Footer"/>
        </w:pPr>
        <w:r w:rsidRPr="001F63CB">
          <w:fldChar w:fldCharType="begin"/>
        </w:r>
        <w:r w:rsidRPr="001F63CB">
          <w:instrText xml:space="preserve"> PAGE   \* MERGEFORMAT </w:instrText>
        </w:r>
        <w:r w:rsidRPr="001F63CB">
          <w:fldChar w:fldCharType="separate"/>
        </w:r>
        <w:r>
          <w:rPr>
            <w:noProof/>
          </w:rPr>
          <w:t>9</w:t>
        </w:r>
        <w:r w:rsidRPr="001F63CB">
          <w:rPr>
            <w:noProof/>
          </w:rPr>
          <w:fldChar w:fldCharType="end"/>
        </w:r>
      </w:p>
    </w:sdtContent>
  </w:sdt>
  <w:p w14:paraId="6F4FAC6F" w14:textId="77777777" w:rsidR="00583873" w:rsidRDefault="00583873" w:rsidP="00B27BEC">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56925400"/>
      <w:docPartObj>
        <w:docPartGallery w:val="Page Numbers (Bottom of Page)"/>
        <w:docPartUnique/>
      </w:docPartObj>
    </w:sdtPr>
    <w:sdtEndPr>
      <w:rPr>
        <w:color w:val="A6A6A6" w:themeColor="background1" w:themeShade="A6"/>
      </w:rPr>
    </w:sdtEndPr>
    <w:sdtContent>
      <w:p w14:paraId="2FAA37BF" w14:textId="77777777" w:rsidR="00583873" w:rsidRDefault="00583873" w:rsidP="00AA0841">
        <w:pPr>
          <w:pStyle w:val="Footer"/>
          <w:pBdr>
            <w:top w:val="single" w:sz="8" w:space="1" w:color="8064A2" w:themeColor="accent4"/>
          </w:pBdr>
          <w:jc w:val="center"/>
        </w:pPr>
        <w:r w:rsidRPr="00346AF5">
          <w:rPr>
            <w:noProof/>
            <w:color w:val="A6A6A6" w:themeColor="background1" w:themeShade="A6"/>
          </w:rPr>
          <w:fldChar w:fldCharType="begin"/>
        </w:r>
        <w:r w:rsidRPr="00346AF5">
          <w:rPr>
            <w:noProof/>
            <w:color w:val="A6A6A6" w:themeColor="background1" w:themeShade="A6"/>
          </w:rPr>
          <w:instrText xml:space="preserve"> PAGE   \* MERGEFORMAT </w:instrText>
        </w:r>
        <w:r w:rsidRPr="00346AF5">
          <w:rPr>
            <w:noProof/>
            <w:color w:val="A6A6A6" w:themeColor="background1" w:themeShade="A6"/>
          </w:rPr>
          <w:fldChar w:fldCharType="separate"/>
        </w:r>
        <w:r>
          <w:rPr>
            <w:noProof/>
            <w:color w:val="A6A6A6" w:themeColor="background1" w:themeShade="A6"/>
          </w:rPr>
          <w:t>2</w:t>
        </w:r>
        <w:r w:rsidRPr="00346AF5">
          <w:rPr>
            <w:noProof/>
            <w:color w:val="A6A6A6" w:themeColor="background1" w:themeShade="A6"/>
          </w:rPr>
          <w:fldChar w:fldCharType="end"/>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30273111"/>
      <w:docPartObj>
        <w:docPartGallery w:val="Page Numbers (Bottom of Page)"/>
        <w:docPartUnique/>
      </w:docPartObj>
    </w:sdtPr>
    <w:sdtEndPr>
      <w:rPr>
        <w:noProof/>
        <w:sz w:val="20"/>
      </w:rPr>
    </w:sdtEndPr>
    <w:sdtContent>
      <w:p w14:paraId="413D082A"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5D6F139D" w14:textId="77777777" w:rsidR="00583873" w:rsidRDefault="00583873">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97826452"/>
      <w:docPartObj>
        <w:docPartGallery w:val="Page Numbers (Bottom of Page)"/>
        <w:docPartUnique/>
      </w:docPartObj>
    </w:sdtPr>
    <w:sdtEndPr>
      <w:rPr>
        <w:noProof/>
        <w:sz w:val="20"/>
      </w:rPr>
    </w:sdtEndPr>
    <w:sdtContent>
      <w:p w14:paraId="6B4646FD"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021E46BC" w14:textId="77777777" w:rsidR="00583873" w:rsidRDefault="00583873">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4DDB98" w14:textId="517504BE" w:rsidR="00583873" w:rsidRDefault="00030BA8" w:rsidP="00E37166">
    <w:pPr>
      <w:pStyle w:val="Footer"/>
      <w:pBdr>
        <w:top w:val="single" w:sz="8" w:space="1" w:color="8064A2" w:themeColor="accent4"/>
      </w:pBdr>
      <w:tabs>
        <w:tab w:val="center" w:pos="5244"/>
        <w:tab w:val="left" w:pos="7080"/>
      </w:tabs>
      <w:jc w:val="center"/>
    </w:pPr>
    <w:sdt>
      <w:sdtPr>
        <w:id w:val="479653206"/>
        <w:docPartObj>
          <w:docPartGallery w:val="Page Numbers (Bottom of Page)"/>
          <w:docPartUnique/>
        </w:docPartObj>
      </w:sdtPr>
      <w:sdtEndPr>
        <w:rPr>
          <w:color w:val="A6A6A6" w:themeColor="background1" w:themeShade="A6"/>
        </w:rPr>
      </w:sdtEndPr>
      <w:sdtContent>
        <w:r w:rsidR="00583873" w:rsidRPr="00346AF5">
          <w:rPr>
            <w:noProof/>
            <w:color w:val="A6A6A6" w:themeColor="background1" w:themeShade="A6"/>
          </w:rPr>
          <w:fldChar w:fldCharType="begin"/>
        </w:r>
        <w:r w:rsidR="00583873" w:rsidRPr="00346AF5">
          <w:rPr>
            <w:noProof/>
            <w:color w:val="A6A6A6" w:themeColor="background1" w:themeShade="A6"/>
          </w:rPr>
          <w:instrText xml:space="preserve"> PAGE   \* MERGEFORMAT </w:instrText>
        </w:r>
        <w:r w:rsidR="00583873" w:rsidRPr="00346AF5">
          <w:rPr>
            <w:noProof/>
            <w:color w:val="A6A6A6" w:themeColor="background1" w:themeShade="A6"/>
          </w:rPr>
          <w:fldChar w:fldCharType="separate"/>
        </w:r>
        <w:r w:rsidR="00583873">
          <w:rPr>
            <w:noProof/>
            <w:color w:val="A6A6A6" w:themeColor="background1" w:themeShade="A6"/>
          </w:rPr>
          <w:t>2</w:t>
        </w:r>
        <w:r w:rsidR="00583873" w:rsidRPr="00346AF5">
          <w:rPr>
            <w:noProof/>
            <w:color w:val="A6A6A6" w:themeColor="background1" w:themeShade="A6"/>
          </w:rPr>
          <w:fldChar w:fldCharType="end"/>
        </w:r>
      </w:sdtContent>
    </w:sdt>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65038943"/>
      <w:docPartObj>
        <w:docPartGallery w:val="Page Numbers (Bottom of Page)"/>
        <w:docPartUnique/>
      </w:docPartObj>
    </w:sdtPr>
    <w:sdtEndPr>
      <w:rPr>
        <w:noProof/>
        <w:sz w:val="20"/>
      </w:rPr>
    </w:sdtEndPr>
    <w:sdtContent>
      <w:p w14:paraId="2157FC69"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477B14B9" w14:textId="77777777" w:rsidR="00583873" w:rsidRDefault="0058387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9F3B56" w14:textId="77777777" w:rsidR="00583873" w:rsidRDefault="00583873">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04389131"/>
      <w:docPartObj>
        <w:docPartGallery w:val="Page Numbers (Bottom of Page)"/>
        <w:docPartUnique/>
      </w:docPartObj>
    </w:sdtPr>
    <w:sdtEndPr>
      <w:rPr>
        <w:noProof/>
        <w:sz w:val="20"/>
      </w:rPr>
    </w:sdtEndPr>
    <w:sdtContent>
      <w:p w14:paraId="65EE1115"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791251A1" w14:textId="77777777" w:rsidR="00583873" w:rsidRDefault="00583873">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6728959"/>
      <w:docPartObj>
        <w:docPartGallery w:val="Page Numbers (Bottom of Page)"/>
        <w:docPartUnique/>
      </w:docPartObj>
    </w:sdtPr>
    <w:sdtEndPr>
      <w:rPr>
        <w:color w:val="A6A6A6" w:themeColor="background1" w:themeShade="A6"/>
      </w:rPr>
    </w:sdtEndPr>
    <w:sdtContent>
      <w:p w14:paraId="5DC195A8" w14:textId="77777777" w:rsidR="00583873" w:rsidRDefault="00583873" w:rsidP="00583873">
        <w:pPr>
          <w:pStyle w:val="Footer"/>
          <w:pBdr>
            <w:top w:val="single" w:sz="8" w:space="1" w:color="8064A2" w:themeColor="accent4"/>
          </w:pBdr>
          <w:jc w:val="center"/>
        </w:pPr>
        <w:r w:rsidRPr="00346AF5">
          <w:rPr>
            <w:noProof/>
            <w:color w:val="A6A6A6" w:themeColor="background1" w:themeShade="A6"/>
          </w:rPr>
          <w:fldChar w:fldCharType="begin"/>
        </w:r>
        <w:r w:rsidRPr="00346AF5">
          <w:rPr>
            <w:noProof/>
            <w:color w:val="A6A6A6" w:themeColor="background1" w:themeShade="A6"/>
          </w:rPr>
          <w:instrText xml:space="preserve"> PAGE   \* MERGEFORMAT </w:instrText>
        </w:r>
        <w:r w:rsidRPr="00346AF5">
          <w:rPr>
            <w:noProof/>
            <w:color w:val="A6A6A6" w:themeColor="background1" w:themeShade="A6"/>
          </w:rPr>
          <w:fldChar w:fldCharType="separate"/>
        </w:r>
        <w:r>
          <w:rPr>
            <w:noProof/>
            <w:color w:val="A6A6A6" w:themeColor="background1" w:themeShade="A6"/>
          </w:rPr>
          <w:t>2</w:t>
        </w:r>
        <w:r w:rsidRPr="00346AF5">
          <w:rPr>
            <w:noProof/>
            <w:color w:val="A6A6A6" w:themeColor="background1" w:themeShade="A6"/>
          </w:rPr>
          <w:fldChar w:fldCharType="end"/>
        </w:r>
      </w:p>
    </w:sdtContent>
  </w:sdt>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07885704"/>
      <w:docPartObj>
        <w:docPartGallery w:val="Page Numbers (Bottom of Page)"/>
        <w:docPartUnique/>
      </w:docPartObj>
    </w:sdtPr>
    <w:sdtEndPr>
      <w:rPr>
        <w:noProof/>
        <w:sz w:val="20"/>
      </w:rPr>
    </w:sdtEndPr>
    <w:sdtContent>
      <w:p w14:paraId="530C0336"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0EE42322" w14:textId="77777777" w:rsidR="00583873" w:rsidRDefault="00583873">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98935381"/>
      <w:docPartObj>
        <w:docPartGallery w:val="Page Numbers (Bottom of Page)"/>
        <w:docPartUnique/>
      </w:docPartObj>
    </w:sdtPr>
    <w:sdtEndPr>
      <w:rPr>
        <w:noProof/>
        <w:sz w:val="20"/>
      </w:rPr>
    </w:sdtEndPr>
    <w:sdtContent>
      <w:p w14:paraId="5353D2D0"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51CB5612" w14:textId="77777777" w:rsidR="00583873" w:rsidRDefault="00583873">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77725524"/>
      <w:docPartObj>
        <w:docPartGallery w:val="Page Numbers (Bottom of Page)"/>
        <w:docPartUnique/>
      </w:docPartObj>
    </w:sdtPr>
    <w:sdtEndPr>
      <w:rPr>
        <w:color w:val="A6A6A6" w:themeColor="background1" w:themeShade="A6"/>
      </w:rPr>
    </w:sdtEndPr>
    <w:sdtContent>
      <w:p w14:paraId="351B8BCF" w14:textId="77777777" w:rsidR="00583873" w:rsidRDefault="00583873" w:rsidP="00583873">
        <w:pPr>
          <w:pStyle w:val="Footer"/>
          <w:pBdr>
            <w:top w:val="single" w:sz="8" w:space="1" w:color="8064A2" w:themeColor="accent4"/>
          </w:pBdr>
          <w:jc w:val="center"/>
        </w:pPr>
        <w:r w:rsidRPr="00346AF5">
          <w:rPr>
            <w:noProof/>
            <w:color w:val="A6A6A6" w:themeColor="background1" w:themeShade="A6"/>
          </w:rPr>
          <w:fldChar w:fldCharType="begin"/>
        </w:r>
        <w:r w:rsidRPr="00346AF5">
          <w:rPr>
            <w:noProof/>
            <w:color w:val="A6A6A6" w:themeColor="background1" w:themeShade="A6"/>
          </w:rPr>
          <w:instrText xml:space="preserve"> PAGE   \* MERGEFORMAT </w:instrText>
        </w:r>
        <w:r w:rsidRPr="00346AF5">
          <w:rPr>
            <w:noProof/>
            <w:color w:val="A6A6A6" w:themeColor="background1" w:themeShade="A6"/>
          </w:rPr>
          <w:fldChar w:fldCharType="separate"/>
        </w:r>
        <w:r>
          <w:rPr>
            <w:noProof/>
            <w:color w:val="A6A6A6" w:themeColor="background1" w:themeShade="A6"/>
          </w:rPr>
          <w:t>2</w:t>
        </w:r>
        <w:r w:rsidRPr="00346AF5">
          <w:rPr>
            <w:noProof/>
            <w:color w:val="A6A6A6" w:themeColor="background1" w:themeShade="A6"/>
          </w:rPr>
          <w:fldChar w:fldCharType="end"/>
        </w:r>
      </w:p>
    </w:sdtContent>
  </w:sdt>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15752022"/>
      <w:docPartObj>
        <w:docPartGallery w:val="Page Numbers (Bottom of Page)"/>
        <w:docPartUnique/>
      </w:docPartObj>
    </w:sdtPr>
    <w:sdtEndPr>
      <w:rPr>
        <w:noProof/>
        <w:sz w:val="20"/>
      </w:rPr>
    </w:sdtEndPr>
    <w:sdtContent>
      <w:p w14:paraId="37D67425"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3932872F" w14:textId="77777777" w:rsidR="00583873" w:rsidRDefault="00583873">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9122664"/>
      <w:docPartObj>
        <w:docPartGallery w:val="Page Numbers (Bottom of Page)"/>
        <w:docPartUnique/>
      </w:docPartObj>
    </w:sdtPr>
    <w:sdtEndPr>
      <w:rPr>
        <w:noProof/>
        <w:sz w:val="20"/>
      </w:rPr>
    </w:sdtEndPr>
    <w:sdtContent>
      <w:p w14:paraId="52E0E977"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19696455" w14:textId="77777777" w:rsidR="00583873" w:rsidRDefault="00583873">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4153817"/>
      <w:docPartObj>
        <w:docPartGallery w:val="Page Numbers (Bottom of Page)"/>
        <w:docPartUnique/>
      </w:docPartObj>
    </w:sdtPr>
    <w:sdtEndPr>
      <w:rPr>
        <w:color w:val="A6A6A6" w:themeColor="background1" w:themeShade="A6"/>
      </w:rPr>
    </w:sdtEndPr>
    <w:sdtContent>
      <w:p w14:paraId="0439B226" w14:textId="77777777" w:rsidR="00583873" w:rsidRDefault="00583873" w:rsidP="00AA0841">
        <w:pPr>
          <w:pStyle w:val="Footer"/>
          <w:pBdr>
            <w:top w:val="single" w:sz="8" w:space="1" w:color="8064A2" w:themeColor="accent4"/>
          </w:pBdr>
          <w:jc w:val="center"/>
        </w:pPr>
        <w:r w:rsidRPr="00346AF5">
          <w:rPr>
            <w:noProof/>
            <w:color w:val="A6A6A6" w:themeColor="background1" w:themeShade="A6"/>
          </w:rPr>
          <w:fldChar w:fldCharType="begin"/>
        </w:r>
        <w:r w:rsidRPr="00346AF5">
          <w:rPr>
            <w:noProof/>
            <w:color w:val="A6A6A6" w:themeColor="background1" w:themeShade="A6"/>
          </w:rPr>
          <w:instrText xml:space="preserve"> PAGE   \* MERGEFORMAT </w:instrText>
        </w:r>
        <w:r w:rsidRPr="00346AF5">
          <w:rPr>
            <w:noProof/>
            <w:color w:val="A6A6A6" w:themeColor="background1" w:themeShade="A6"/>
          </w:rPr>
          <w:fldChar w:fldCharType="separate"/>
        </w:r>
        <w:r>
          <w:rPr>
            <w:noProof/>
            <w:color w:val="A6A6A6" w:themeColor="background1" w:themeShade="A6"/>
          </w:rPr>
          <w:t>26</w:t>
        </w:r>
        <w:r w:rsidRPr="00346AF5">
          <w:rPr>
            <w:noProof/>
            <w:color w:val="A6A6A6" w:themeColor="background1" w:themeShade="A6"/>
          </w:rPr>
          <w:fldChar w:fldCharType="end"/>
        </w:r>
      </w:p>
    </w:sdtContent>
  </w:sdt>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75565127"/>
      <w:docPartObj>
        <w:docPartGallery w:val="Page Numbers (Bottom of Page)"/>
        <w:docPartUnique/>
      </w:docPartObj>
    </w:sdtPr>
    <w:sdtEndPr>
      <w:rPr>
        <w:noProof/>
        <w:sz w:val="20"/>
      </w:rPr>
    </w:sdtEndPr>
    <w:sdtContent>
      <w:p w14:paraId="618CA512"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6BA58F35" w14:textId="77777777" w:rsidR="00583873" w:rsidRDefault="00583873">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73138646"/>
      <w:docPartObj>
        <w:docPartGallery w:val="Page Numbers (Bottom of Page)"/>
        <w:docPartUnique/>
      </w:docPartObj>
    </w:sdtPr>
    <w:sdtEndPr>
      <w:rPr>
        <w:color w:val="A6A6A6" w:themeColor="background1" w:themeShade="A6"/>
      </w:rPr>
    </w:sdtEndPr>
    <w:sdtContent>
      <w:p w14:paraId="3609EBDC" w14:textId="77777777" w:rsidR="00583873" w:rsidRDefault="00583873" w:rsidP="00AA0841">
        <w:pPr>
          <w:pStyle w:val="Footer"/>
          <w:pBdr>
            <w:top w:val="single" w:sz="8" w:space="1" w:color="8064A2" w:themeColor="accent4"/>
          </w:pBdr>
          <w:jc w:val="center"/>
        </w:pPr>
        <w:r w:rsidRPr="00346AF5">
          <w:rPr>
            <w:noProof/>
            <w:color w:val="A6A6A6" w:themeColor="background1" w:themeShade="A6"/>
          </w:rPr>
          <w:fldChar w:fldCharType="begin"/>
        </w:r>
        <w:r w:rsidRPr="00346AF5">
          <w:rPr>
            <w:noProof/>
            <w:color w:val="A6A6A6" w:themeColor="background1" w:themeShade="A6"/>
          </w:rPr>
          <w:instrText xml:space="preserve"> PAGE   \* MERGEFORMAT </w:instrText>
        </w:r>
        <w:r w:rsidRPr="00346AF5">
          <w:rPr>
            <w:noProof/>
            <w:color w:val="A6A6A6" w:themeColor="background1" w:themeShade="A6"/>
          </w:rPr>
          <w:fldChar w:fldCharType="separate"/>
        </w:r>
        <w:r>
          <w:rPr>
            <w:noProof/>
            <w:color w:val="A6A6A6" w:themeColor="background1" w:themeShade="A6"/>
          </w:rPr>
          <w:t>26</w:t>
        </w:r>
        <w:r w:rsidRPr="00346AF5">
          <w:rPr>
            <w:noProof/>
            <w:color w:val="A6A6A6" w:themeColor="background1" w:themeShade="A6"/>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8C2E29" w14:textId="3DAA1B2A" w:rsidR="00583873" w:rsidRPr="00B22545" w:rsidRDefault="00583873" w:rsidP="00E23B8C">
    <w:pPr>
      <w:pStyle w:val="Footer"/>
      <w:jc w:val="center"/>
      <w:rPr>
        <w:lang w:val="en-US"/>
      </w:rPr>
    </w:pPr>
    <w:r w:rsidRPr="00B22545">
      <w:rPr>
        <w:lang w:val="en-US"/>
      </w:rPr>
      <w:fldChar w:fldCharType="begin"/>
    </w:r>
    <w:r w:rsidRPr="00B22545">
      <w:rPr>
        <w:lang w:val="en-US"/>
      </w:rPr>
      <w:instrText xml:space="preserve"> PAGE   \* MERGEFORMAT </w:instrText>
    </w:r>
    <w:r w:rsidRPr="00B22545">
      <w:rPr>
        <w:lang w:val="en-US"/>
      </w:rPr>
      <w:fldChar w:fldCharType="separate"/>
    </w:r>
    <w:r>
      <w:rPr>
        <w:noProof/>
        <w:lang w:val="en-US"/>
      </w:rPr>
      <w:t>ii</w:t>
    </w:r>
    <w:r w:rsidRPr="00B22545">
      <w:rPr>
        <w:noProof/>
        <w:lang w:val="en-US"/>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03898776"/>
      <w:docPartObj>
        <w:docPartGallery w:val="Page Numbers (Bottom of Page)"/>
        <w:docPartUnique/>
      </w:docPartObj>
    </w:sdtPr>
    <w:sdtEndPr>
      <w:rPr>
        <w:noProof/>
        <w:sz w:val="20"/>
      </w:rPr>
    </w:sdtEndPr>
    <w:sdtContent>
      <w:p w14:paraId="5E178F42"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48DFC977" w14:textId="77777777" w:rsidR="00583873" w:rsidRDefault="00583873">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6534246"/>
      <w:docPartObj>
        <w:docPartGallery w:val="Page Numbers (Bottom of Page)"/>
        <w:docPartUnique/>
      </w:docPartObj>
    </w:sdtPr>
    <w:sdtEndPr>
      <w:rPr>
        <w:noProof/>
        <w:sz w:val="20"/>
      </w:rPr>
    </w:sdtEndPr>
    <w:sdtContent>
      <w:p w14:paraId="6C6DC3FF"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4A050A64" w14:textId="77777777" w:rsidR="00583873" w:rsidRDefault="00583873">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4C2544" w14:textId="77777777" w:rsidR="00583873" w:rsidRDefault="00583873">
    <w:pPr>
      <w:pStyle w:val="Footer"/>
    </w:pPr>
  </w:p>
  <w:p w14:paraId="7A3E9889" w14:textId="77777777" w:rsidR="00583873" w:rsidRDefault="00583873"/>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84611600"/>
      <w:docPartObj>
        <w:docPartGallery w:val="Page Numbers (Bottom of Page)"/>
        <w:docPartUnique/>
      </w:docPartObj>
    </w:sdtPr>
    <w:sdtEndPr>
      <w:rPr>
        <w:color w:val="A6A6A6" w:themeColor="background1" w:themeShade="A6"/>
      </w:rPr>
    </w:sdtEndPr>
    <w:sdtContent>
      <w:p w14:paraId="3357B548" w14:textId="77777777" w:rsidR="00583873" w:rsidRDefault="00583873" w:rsidP="00346AF5">
        <w:pPr>
          <w:pStyle w:val="Footer"/>
          <w:pBdr>
            <w:top w:val="single" w:sz="8" w:space="1" w:color="8064A2" w:themeColor="accent4"/>
          </w:pBdr>
          <w:jc w:val="center"/>
        </w:pPr>
        <w:r w:rsidRPr="00346AF5">
          <w:rPr>
            <w:noProof/>
            <w:color w:val="A6A6A6" w:themeColor="background1" w:themeShade="A6"/>
          </w:rPr>
          <w:fldChar w:fldCharType="begin"/>
        </w:r>
        <w:r w:rsidRPr="00346AF5">
          <w:rPr>
            <w:noProof/>
            <w:color w:val="A6A6A6" w:themeColor="background1" w:themeShade="A6"/>
          </w:rPr>
          <w:instrText xml:space="preserve"> PAGE   \* MERGEFORMAT </w:instrText>
        </w:r>
        <w:r w:rsidRPr="00346AF5">
          <w:rPr>
            <w:noProof/>
            <w:color w:val="A6A6A6" w:themeColor="background1" w:themeShade="A6"/>
          </w:rPr>
          <w:fldChar w:fldCharType="separate"/>
        </w:r>
        <w:r>
          <w:rPr>
            <w:noProof/>
            <w:color w:val="A6A6A6" w:themeColor="background1" w:themeShade="A6"/>
          </w:rPr>
          <w:t>19</w:t>
        </w:r>
        <w:r w:rsidRPr="00346AF5">
          <w:rPr>
            <w:noProof/>
            <w:color w:val="A6A6A6" w:themeColor="background1" w:themeShade="A6"/>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03635817"/>
      <w:docPartObj>
        <w:docPartGallery w:val="Page Numbers (Bottom of Page)"/>
        <w:docPartUnique/>
      </w:docPartObj>
    </w:sdtPr>
    <w:sdtEndPr>
      <w:rPr>
        <w:color w:val="A6A6A6" w:themeColor="background1" w:themeShade="A6"/>
      </w:rPr>
    </w:sdtEndPr>
    <w:sdtContent>
      <w:p w14:paraId="3A3E3D76" w14:textId="77777777" w:rsidR="00583873" w:rsidRDefault="00583873" w:rsidP="00B27BEC">
        <w:pPr>
          <w:pStyle w:val="Footer"/>
          <w:pBdr>
            <w:top w:val="single" w:sz="8" w:space="1" w:color="8064A2" w:themeColor="accent4"/>
          </w:pBdr>
          <w:jc w:val="center"/>
        </w:pPr>
        <w:r w:rsidRPr="00346AF5">
          <w:rPr>
            <w:noProof/>
            <w:color w:val="A6A6A6" w:themeColor="background1" w:themeShade="A6"/>
          </w:rPr>
          <w:fldChar w:fldCharType="begin"/>
        </w:r>
        <w:r w:rsidRPr="00346AF5">
          <w:rPr>
            <w:noProof/>
            <w:color w:val="A6A6A6" w:themeColor="background1" w:themeShade="A6"/>
          </w:rPr>
          <w:instrText xml:space="preserve"> PAGE   \* MERGEFORMAT </w:instrText>
        </w:r>
        <w:r w:rsidRPr="00346AF5">
          <w:rPr>
            <w:noProof/>
            <w:color w:val="A6A6A6" w:themeColor="background1" w:themeShade="A6"/>
          </w:rPr>
          <w:fldChar w:fldCharType="separate"/>
        </w:r>
        <w:r>
          <w:rPr>
            <w:noProof/>
            <w:color w:val="A6A6A6" w:themeColor="background1" w:themeShade="A6"/>
          </w:rPr>
          <w:t>5</w:t>
        </w:r>
        <w:r w:rsidRPr="00346AF5">
          <w:rPr>
            <w:noProof/>
            <w:color w:val="A6A6A6" w:themeColor="background1" w:themeShade="A6"/>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13437418"/>
      <w:docPartObj>
        <w:docPartGallery w:val="Page Numbers (Bottom of Page)"/>
        <w:docPartUnique/>
      </w:docPartObj>
    </w:sdtPr>
    <w:sdtEndPr>
      <w:rPr>
        <w:noProof/>
        <w:sz w:val="20"/>
      </w:rPr>
    </w:sdtEndPr>
    <w:sdtContent>
      <w:p w14:paraId="2F8F9055"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31A0CB12" w14:textId="77777777" w:rsidR="00583873" w:rsidRDefault="00583873">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28584318"/>
      <w:docPartObj>
        <w:docPartGallery w:val="Page Numbers (Bottom of Page)"/>
        <w:docPartUnique/>
      </w:docPartObj>
    </w:sdtPr>
    <w:sdtEndPr>
      <w:rPr>
        <w:noProof/>
        <w:sz w:val="20"/>
      </w:rPr>
    </w:sdtEndPr>
    <w:sdtContent>
      <w:p w14:paraId="610225D6" w14:textId="77777777" w:rsidR="00583873" w:rsidRPr="001F63CB" w:rsidRDefault="00583873">
        <w:pPr>
          <w:pStyle w:val="Footer"/>
          <w:jc w:val="center"/>
          <w:rPr>
            <w:sz w:val="20"/>
          </w:rPr>
        </w:pPr>
        <w:r w:rsidRPr="001F63CB">
          <w:rPr>
            <w:sz w:val="20"/>
          </w:rPr>
          <w:fldChar w:fldCharType="begin"/>
        </w:r>
        <w:r w:rsidRPr="001F63CB">
          <w:rPr>
            <w:sz w:val="20"/>
          </w:rPr>
          <w:instrText xml:space="preserve"> PAGE   \* MERGEFORMAT </w:instrText>
        </w:r>
        <w:r w:rsidRPr="001F63CB">
          <w:rPr>
            <w:sz w:val="20"/>
          </w:rPr>
          <w:fldChar w:fldCharType="separate"/>
        </w:r>
        <w:r>
          <w:rPr>
            <w:noProof/>
            <w:sz w:val="20"/>
          </w:rPr>
          <w:t>9</w:t>
        </w:r>
        <w:r w:rsidRPr="001F63CB">
          <w:rPr>
            <w:noProof/>
            <w:sz w:val="20"/>
          </w:rPr>
          <w:fldChar w:fldCharType="end"/>
        </w:r>
      </w:p>
    </w:sdtContent>
  </w:sdt>
  <w:p w14:paraId="2A726098" w14:textId="77777777" w:rsidR="00583873" w:rsidRDefault="00583873">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73665053"/>
      <w:docPartObj>
        <w:docPartGallery w:val="Page Numbers (Bottom of Page)"/>
        <w:docPartUnique/>
      </w:docPartObj>
    </w:sdtPr>
    <w:sdtEndPr>
      <w:rPr>
        <w:color w:val="A6A6A6" w:themeColor="background1" w:themeShade="A6"/>
      </w:rPr>
    </w:sdtEndPr>
    <w:sdtContent>
      <w:p w14:paraId="7F7A9864" w14:textId="77777777" w:rsidR="00583873" w:rsidRDefault="00583873" w:rsidP="00AA0841">
        <w:pPr>
          <w:pStyle w:val="Footer"/>
          <w:pBdr>
            <w:top w:val="single" w:sz="8" w:space="1" w:color="8064A2" w:themeColor="accent4"/>
          </w:pBdr>
          <w:jc w:val="center"/>
        </w:pPr>
        <w:r w:rsidRPr="00346AF5">
          <w:rPr>
            <w:noProof/>
            <w:color w:val="A6A6A6" w:themeColor="background1" w:themeShade="A6"/>
          </w:rPr>
          <w:fldChar w:fldCharType="begin"/>
        </w:r>
        <w:r w:rsidRPr="00346AF5">
          <w:rPr>
            <w:noProof/>
            <w:color w:val="A6A6A6" w:themeColor="background1" w:themeShade="A6"/>
          </w:rPr>
          <w:instrText xml:space="preserve"> PAGE   \* MERGEFORMAT </w:instrText>
        </w:r>
        <w:r w:rsidRPr="00346AF5">
          <w:rPr>
            <w:noProof/>
            <w:color w:val="A6A6A6" w:themeColor="background1" w:themeShade="A6"/>
          </w:rPr>
          <w:fldChar w:fldCharType="separate"/>
        </w:r>
        <w:r>
          <w:rPr>
            <w:noProof/>
            <w:color w:val="A6A6A6" w:themeColor="background1" w:themeShade="A6"/>
          </w:rPr>
          <w:t>2</w:t>
        </w:r>
        <w:r w:rsidRPr="00346AF5">
          <w:rPr>
            <w:noProof/>
            <w:color w:val="A6A6A6" w:themeColor="background1" w:themeShade="A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593E38" w14:textId="77777777" w:rsidR="00583873" w:rsidRDefault="00583873">
      <w:pPr>
        <w:spacing w:after="0"/>
      </w:pPr>
      <w:r>
        <w:separator/>
      </w:r>
    </w:p>
  </w:footnote>
  <w:footnote w:type="continuationSeparator" w:id="0">
    <w:p w14:paraId="54C8B164" w14:textId="77777777" w:rsidR="00583873" w:rsidRDefault="00583873">
      <w:pPr>
        <w:spacing w:after="0"/>
      </w:pPr>
      <w:r>
        <w:continuationSeparator/>
      </w:r>
    </w:p>
  </w:footnote>
  <w:footnote w:type="continuationNotice" w:id="1">
    <w:p w14:paraId="643C1760" w14:textId="77777777" w:rsidR="00583873" w:rsidRDefault="00583873">
      <w:pPr>
        <w:spacing w:after="0"/>
      </w:pPr>
    </w:p>
  </w:footnote>
  <w:footnote w:id="2">
    <w:p w14:paraId="53346C0E" w14:textId="1C1983A1" w:rsidR="00583873" w:rsidRPr="00EB7C54" w:rsidRDefault="00583873" w:rsidP="00F53A6B">
      <w:pPr>
        <w:pStyle w:val="FootnoteText"/>
        <w:spacing w:before="0"/>
        <w:contextualSpacing/>
        <w:rPr>
          <w:rFonts w:asciiTheme="minorHAnsi" w:hAnsiTheme="minorHAnsi" w:cstheme="minorHAnsi"/>
          <w:i/>
          <w:iCs/>
          <w:sz w:val="18"/>
          <w:szCs w:val="18"/>
        </w:rPr>
      </w:pPr>
      <w:r w:rsidRPr="0003038A">
        <w:rPr>
          <w:rStyle w:val="FootnoteReference"/>
          <w:rFonts w:asciiTheme="minorHAnsi" w:hAnsiTheme="minorHAnsi" w:cstheme="minorHAnsi"/>
        </w:rPr>
        <w:footnoteRef/>
      </w:r>
      <w:r w:rsidRPr="0003038A">
        <w:rPr>
          <w:rFonts w:asciiTheme="minorHAnsi" w:hAnsiTheme="minorHAnsi" w:cstheme="minorHAnsi"/>
          <w:i/>
          <w:iCs/>
        </w:rPr>
        <w:t xml:space="preserve"> </w:t>
      </w:r>
      <w:r w:rsidRPr="00EB7C54">
        <w:rPr>
          <w:rFonts w:asciiTheme="minorHAnsi" w:hAnsiTheme="minorHAnsi" w:cstheme="minorHAnsi"/>
          <w:i/>
          <w:iCs/>
          <w:sz w:val="18"/>
          <w:szCs w:val="18"/>
        </w:rPr>
        <w:t xml:space="preserve">Water Act 2007 </w:t>
      </w:r>
      <w:r w:rsidRPr="00EB7C54">
        <w:rPr>
          <w:rFonts w:asciiTheme="minorHAnsi" w:hAnsiTheme="minorHAnsi" w:cstheme="minorHAnsi"/>
          <w:sz w:val="18"/>
          <w:szCs w:val="18"/>
        </w:rPr>
        <w:t>s105(3a)</w:t>
      </w:r>
    </w:p>
  </w:footnote>
  <w:footnote w:id="3">
    <w:p w14:paraId="415B5EE9" w14:textId="30964C88" w:rsidR="00583873" w:rsidRPr="00EB7C54" w:rsidRDefault="00583873" w:rsidP="00F53A6B">
      <w:pPr>
        <w:pStyle w:val="FootnoteText"/>
        <w:spacing w:before="0"/>
        <w:contextualSpacing/>
        <w:rPr>
          <w:rFonts w:asciiTheme="minorHAnsi" w:hAnsiTheme="minorHAnsi" w:cstheme="minorHAnsi"/>
          <w:i/>
          <w:iCs/>
          <w:sz w:val="18"/>
          <w:szCs w:val="18"/>
        </w:rPr>
      </w:pPr>
      <w:r w:rsidRPr="00EB7C54">
        <w:rPr>
          <w:rStyle w:val="FootnoteReference"/>
          <w:rFonts w:asciiTheme="minorHAnsi" w:hAnsiTheme="minorHAnsi" w:cstheme="minorHAnsi"/>
          <w:sz w:val="18"/>
          <w:szCs w:val="18"/>
        </w:rPr>
        <w:footnoteRef/>
      </w:r>
      <w:r w:rsidRPr="00EB7C54">
        <w:rPr>
          <w:rStyle w:val="FootnoteReference"/>
          <w:rFonts w:asciiTheme="minorHAnsi" w:hAnsiTheme="minorHAnsi" w:cstheme="minorHAnsi"/>
          <w:sz w:val="18"/>
          <w:szCs w:val="18"/>
        </w:rPr>
        <w:t xml:space="preserve"> </w:t>
      </w:r>
      <w:r w:rsidRPr="00EB7C54">
        <w:rPr>
          <w:rFonts w:asciiTheme="minorHAnsi" w:hAnsiTheme="minorHAnsi" w:cstheme="minorHAnsi"/>
          <w:i/>
          <w:iCs/>
          <w:sz w:val="18"/>
          <w:szCs w:val="18"/>
        </w:rPr>
        <w:t xml:space="preserve">Water Act 2007 </w:t>
      </w:r>
      <w:r w:rsidRPr="00EB7C54">
        <w:rPr>
          <w:rFonts w:asciiTheme="minorHAnsi" w:hAnsiTheme="minorHAnsi" w:cstheme="minorHAnsi"/>
          <w:sz w:val="18"/>
          <w:szCs w:val="18"/>
        </w:rPr>
        <w:t>s105(4a)</w:t>
      </w:r>
    </w:p>
  </w:footnote>
  <w:footnote w:id="4">
    <w:p w14:paraId="56281FFD" w14:textId="78C5831E" w:rsidR="00583873" w:rsidRPr="00EB7C54" w:rsidRDefault="00583873" w:rsidP="00F53A6B">
      <w:pPr>
        <w:pStyle w:val="FootnoteText"/>
        <w:spacing w:before="0"/>
        <w:contextualSpacing/>
        <w:rPr>
          <w:rFonts w:asciiTheme="minorHAnsi" w:hAnsiTheme="minorHAnsi" w:cstheme="minorHAnsi"/>
          <w:i/>
          <w:sz w:val="18"/>
          <w:szCs w:val="18"/>
          <w:lang w:val="en-US"/>
        </w:rPr>
      </w:pPr>
      <w:r w:rsidRPr="00EB7C54">
        <w:rPr>
          <w:rStyle w:val="FootnoteReference"/>
          <w:rFonts w:asciiTheme="minorHAnsi" w:hAnsiTheme="minorHAnsi" w:cstheme="minorHAnsi"/>
          <w:sz w:val="18"/>
          <w:szCs w:val="18"/>
        </w:rPr>
        <w:footnoteRef/>
      </w:r>
      <w:r w:rsidRPr="00EB7C54">
        <w:rPr>
          <w:rFonts w:asciiTheme="minorHAnsi" w:hAnsiTheme="minorHAnsi" w:cstheme="minorHAnsi"/>
          <w:i/>
          <w:iCs/>
          <w:sz w:val="18"/>
          <w:szCs w:val="18"/>
        </w:rPr>
        <w:t xml:space="preserve"> </w:t>
      </w:r>
      <w:r w:rsidRPr="00EB7C54">
        <w:rPr>
          <w:rFonts w:asciiTheme="minorHAnsi" w:hAnsiTheme="minorHAnsi" w:cstheme="minorHAnsi"/>
          <w:sz w:val="18"/>
          <w:szCs w:val="18"/>
        </w:rPr>
        <w:t>Chapter 8 of the</w:t>
      </w:r>
      <w:r w:rsidRPr="00EB7C54">
        <w:rPr>
          <w:rFonts w:asciiTheme="minorHAnsi" w:hAnsiTheme="minorHAnsi" w:cstheme="minorHAnsi"/>
          <w:i/>
          <w:iCs/>
          <w:sz w:val="18"/>
          <w:szCs w:val="18"/>
        </w:rPr>
        <w:t xml:space="preserve"> Murray-Darling Basin Plan 2012</w:t>
      </w:r>
    </w:p>
  </w:footnote>
  <w:footnote w:id="5">
    <w:p w14:paraId="620766CB" w14:textId="4C43FC06" w:rsidR="00583873" w:rsidRPr="00EB7C54" w:rsidRDefault="00583873" w:rsidP="00F53A6B">
      <w:pPr>
        <w:pStyle w:val="FootnoteText"/>
        <w:spacing w:before="0"/>
        <w:rPr>
          <w:rFonts w:asciiTheme="minorHAnsi" w:hAnsiTheme="minorHAnsi" w:cstheme="minorHAnsi"/>
          <w:sz w:val="18"/>
          <w:szCs w:val="18"/>
        </w:rPr>
      </w:pPr>
      <w:r w:rsidRPr="00EB7C54">
        <w:rPr>
          <w:rStyle w:val="FootnoteReference"/>
          <w:rFonts w:asciiTheme="minorHAnsi" w:hAnsiTheme="minorHAnsi" w:cstheme="minorHAnsi"/>
          <w:sz w:val="18"/>
          <w:szCs w:val="18"/>
        </w:rPr>
        <w:footnoteRef/>
      </w:r>
      <w:r w:rsidRPr="00EB7C54">
        <w:rPr>
          <w:rFonts w:asciiTheme="minorHAnsi" w:hAnsiTheme="minorHAnsi" w:cstheme="minorHAnsi"/>
          <w:i/>
          <w:iCs/>
          <w:sz w:val="18"/>
          <w:szCs w:val="18"/>
        </w:rPr>
        <w:t xml:space="preserve"> Murray</w:t>
      </w:r>
      <w:r>
        <w:rPr>
          <w:rFonts w:asciiTheme="minorHAnsi" w:hAnsiTheme="minorHAnsi" w:cstheme="minorHAnsi"/>
          <w:i/>
          <w:iCs/>
          <w:sz w:val="18"/>
          <w:szCs w:val="18"/>
        </w:rPr>
        <w:t>-</w:t>
      </w:r>
      <w:r w:rsidRPr="00EB7C54">
        <w:rPr>
          <w:rFonts w:asciiTheme="minorHAnsi" w:hAnsiTheme="minorHAnsi" w:cstheme="minorHAnsi"/>
          <w:i/>
          <w:iCs/>
          <w:sz w:val="18"/>
          <w:szCs w:val="18"/>
        </w:rPr>
        <w:t>Darling Basin Plan 2012</w:t>
      </w:r>
      <w:r w:rsidRPr="00EB7C54">
        <w:rPr>
          <w:rFonts w:asciiTheme="minorHAnsi" w:hAnsiTheme="minorHAnsi" w:cstheme="minorHAnsi"/>
          <w:sz w:val="18"/>
          <w:szCs w:val="18"/>
        </w:rPr>
        <w:t xml:space="preserve"> s8.08 and Schedule 7</w:t>
      </w:r>
    </w:p>
  </w:footnote>
  <w:footnote w:id="6">
    <w:p w14:paraId="23797C45" w14:textId="61A40298" w:rsidR="00583873" w:rsidRPr="00440184" w:rsidRDefault="00583873">
      <w:pPr>
        <w:pStyle w:val="FootnoteText"/>
        <w:rPr>
          <w:lang w:val="en-US"/>
        </w:rPr>
      </w:pPr>
      <w:r>
        <w:rPr>
          <w:rStyle w:val="FootnoteReference"/>
        </w:rPr>
        <w:footnoteRef/>
      </w:r>
      <w:r>
        <w:t xml:space="preserve"> </w:t>
      </w:r>
      <w:r w:rsidRPr="00440184">
        <w:rPr>
          <w:rFonts w:asciiTheme="minorHAnsi" w:hAnsiTheme="minorHAnsi" w:cstheme="minorHAnsi"/>
          <w:i/>
          <w:iCs/>
          <w:sz w:val="18"/>
          <w:szCs w:val="18"/>
        </w:rPr>
        <w:t xml:space="preserve">Basin-wide environmental watering strategy </w:t>
      </w:r>
      <w:r w:rsidRPr="00440184">
        <w:rPr>
          <w:rFonts w:asciiTheme="minorHAnsi" w:hAnsiTheme="minorHAnsi" w:cstheme="minorHAnsi"/>
          <w:sz w:val="18"/>
          <w:szCs w:val="18"/>
        </w:rPr>
        <w:t>(MDBA, 2019)</w:t>
      </w:r>
    </w:p>
  </w:footnote>
  <w:footnote w:id="7">
    <w:p w14:paraId="2427D0BE" w14:textId="78F0C406" w:rsidR="00583873" w:rsidRPr="00F53A6B" w:rsidRDefault="00583873" w:rsidP="00F53A6B">
      <w:pPr>
        <w:pStyle w:val="FootnoteText"/>
        <w:spacing w:before="0"/>
        <w:contextualSpacing/>
        <w:rPr>
          <w:rFonts w:asciiTheme="minorHAnsi" w:hAnsiTheme="minorHAnsi" w:cstheme="minorHAnsi"/>
          <w:lang w:val="en-US"/>
        </w:rPr>
      </w:pPr>
      <w:r w:rsidRPr="00F53A6B">
        <w:rPr>
          <w:rStyle w:val="FootnoteReference"/>
          <w:rFonts w:asciiTheme="minorHAnsi" w:hAnsiTheme="minorHAnsi" w:cstheme="minorHAnsi"/>
        </w:rPr>
        <w:footnoteRef/>
      </w:r>
      <w:r w:rsidRPr="00F53A6B">
        <w:rPr>
          <w:rFonts w:asciiTheme="minorHAnsi" w:hAnsiTheme="minorHAnsi" w:cstheme="minorHAnsi"/>
        </w:rPr>
        <w:t xml:space="preserve"> </w:t>
      </w:r>
      <w:r w:rsidRPr="00F53A6B">
        <w:rPr>
          <w:rFonts w:asciiTheme="minorHAnsi" w:hAnsiTheme="minorHAnsi" w:cstheme="minorHAnsi"/>
          <w:i/>
          <w:iCs/>
          <w:sz w:val="18"/>
          <w:szCs w:val="18"/>
        </w:rPr>
        <w:t xml:space="preserve">Water Act 2007 </w:t>
      </w:r>
      <w:r w:rsidRPr="00F53A6B">
        <w:rPr>
          <w:rFonts w:asciiTheme="minorHAnsi" w:hAnsiTheme="minorHAnsi" w:cstheme="minorHAnsi"/>
          <w:sz w:val="18"/>
          <w:szCs w:val="18"/>
        </w:rPr>
        <w:t>s106(2)</w:t>
      </w:r>
    </w:p>
  </w:footnote>
  <w:footnote w:id="8">
    <w:p w14:paraId="6F43C7C7" w14:textId="3F5F9BC0" w:rsidR="00583873" w:rsidRPr="00F53A6B" w:rsidRDefault="00583873" w:rsidP="00F53A6B">
      <w:pPr>
        <w:pStyle w:val="FootnoteText"/>
        <w:spacing w:before="0"/>
        <w:contextualSpacing/>
        <w:rPr>
          <w:lang w:val="en-US"/>
        </w:rPr>
      </w:pPr>
      <w:r w:rsidRPr="00F53A6B">
        <w:rPr>
          <w:rStyle w:val="FootnoteReference"/>
          <w:rFonts w:asciiTheme="minorHAnsi" w:hAnsiTheme="minorHAnsi" w:cstheme="minorHAnsi"/>
        </w:rPr>
        <w:footnoteRef/>
      </w:r>
      <w:r w:rsidRPr="00F53A6B">
        <w:rPr>
          <w:rFonts w:asciiTheme="minorHAnsi" w:hAnsiTheme="minorHAnsi" w:cstheme="minorHAnsi"/>
        </w:rPr>
        <w:t xml:space="preserve"> </w:t>
      </w:r>
      <w:r w:rsidRPr="00F53A6B">
        <w:rPr>
          <w:rFonts w:asciiTheme="minorHAnsi" w:hAnsiTheme="minorHAnsi" w:cstheme="minorHAnsi"/>
          <w:i/>
          <w:iCs/>
          <w:sz w:val="18"/>
          <w:szCs w:val="18"/>
        </w:rPr>
        <w:t>Water</w:t>
      </w:r>
      <w:r w:rsidRPr="00EB7C54">
        <w:rPr>
          <w:rFonts w:asciiTheme="minorHAnsi" w:hAnsiTheme="minorHAnsi" w:cstheme="minorHAnsi"/>
          <w:i/>
          <w:iCs/>
          <w:sz w:val="18"/>
          <w:szCs w:val="18"/>
        </w:rPr>
        <w:t xml:space="preserve"> Act 2007 </w:t>
      </w:r>
      <w:r w:rsidRPr="00EB7C54">
        <w:rPr>
          <w:rFonts w:asciiTheme="minorHAnsi" w:hAnsiTheme="minorHAnsi" w:cstheme="minorHAnsi"/>
          <w:sz w:val="18"/>
          <w:szCs w:val="18"/>
        </w:rPr>
        <w:t>s10</w:t>
      </w:r>
      <w:r>
        <w:rPr>
          <w:rFonts w:asciiTheme="minorHAnsi" w:hAnsiTheme="minorHAnsi" w:cstheme="minorHAnsi"/>
          <w:sz w:val="18"/>
          <w:szCs w:val="18"/>
        </w:rPr>
        <w:t>6</w:t>
      </w:r>
      <w:r w:rsidRPr="00EB7C54">
        <w:rPr>
          <w:rFonts w:asciiTheme="minorHAnsi" w:hAnsiTheme="minorHAnsi" w:cstheme="minorHAnsi"/>
          <w:sz w:val="18"/>
          <w:szCs w:val="18"/>
        </w:rPr>
        <w:t>(3)</w:t>
      </w:r>
    </w:p>
  </w:footnote>
  <w:footnote w:id="9">
    <w:p w14:paraId="12664A96" w14:textId="2626A942" w:rsidR="00583873" w:rsidRPr="00636679" w:rsidRDefault="00583873" w:rsidP="00636679">
      <w:pPr>
        <w:rPr>
          <w:rFonts w:ascii="Calibri" w:hAnsi="Calibri" w:cs="Calibri"/>
          <w:color w:val="auto"/>
          <w:sz w:val="18"/>
          <w:szCs w:val="18"/>
          <w:lang w:val="en-US"/>
        </w:rPr>
      </w:pPr>
      <w:r w:rsidRPr="00D0379F">
        <w:rPr>
          <w:rStyle w:val="FootnoteReference"/>
          <w:sz w:val="18"/>
          <w:szCs w:val="18"/>
        </w:rPr>
        <w:footnoteRef/>
      </w:r>
      <w:r w:rsidRPr="00D0379F">
        <w:rPr>
          <w:sz w:val="18"/>
          <w:szCs w:val="18"/>
        </w:rPr>
        <w:t xml:space="preserve"> The Southern-connected Basin </w:t>
      </w:r>
      <w:r w:rsidRPr="00D0379F">
        <w:rPr>
          <w:sz w:val="18"/>
          <w:szCs w:val="18"/>
          <w:lang w:val="en-US"/>
        </w:rPr>
        <w:t>is the network of rivers that feed into the Murray River between the Hume Dam and the sea. This includes the Lower Darling</w:t>
      </w:r>
      <w:r>
        <w:rPr>
          <w:sz w:val="18"/>
          <w:szCs w:val="18"/>
          <w:lang w:val="en-US"/>
        </w:rPr>
        <w:t>,</w:t>
      </w:r>
      <w:r w:rsidRPr="0063418C">
        <w:rPr>
          <w:sz w:val="18"/>
          <w:szCs w:val="18"/>
          <w:lang w:val="en-US"/>
        </w:rPr>
        <w:t xml:space="preserve"> </w:t>
      </w:r>
      <w:r w:rsidRPr="00D0379F">
        <w:rPr>
          <w:sz w:val="18"/>
          <w:szCs w:val="18"/>
          <w:lang w:val="en-US"/>
        </w:rPr>
        <w:t>Murrumbidgee, Murray, Ovens, Goulburn-Broken, Campaspe and Loddon valleys.</w:t>
      </w:r>
    </w:p>
  </w:footnote>
  <w:footnote w:id="10">
    <w:p w14:paraId="395C4E30" w14:textId="77777777" w:rsidR="00583873" w:rsidRPr="00B27BEC" w:rsidRDefault="00583873" w:rsidP="00B27BEC">
      <w:pPr>
        <w:pStyle w:val="FootnoteText"/>
        <w:spacing w:before="0" w:after="0"/>
        <w:rPr>
          <w:rFonts w:asciiTheme="minorHAnsi" w:hAnsiTheme="minorHAnsi" w:cstheme="minorHAnsi"/>
          <w:lang w:val="en-US"/>
        </w:rPr>
      </w:pPr>
      <w:r w:rsidRPr="00B27BEC">
        <w:rPr>
          <w:rStyle w:val="FootnoteReference"/>
          <w:rFonts w:asciiTheme="minorHAnsi" w:hAnsiTheme="minorHAnsi" w:cstheme="minorHAnsi"/>
        </w:rPr>
        <w:footnoteRef/>
      </w:r>
      <w:r w:rsidRPr="00B27BEC">
        <w:rPr>
          <w:rFonts w:asciiTheme="minorHAnsi" w:hAnsiTheme="minorHAnsi" w:cstheme="minorHAnsi"/>
        </w:rPr>
        <w:t xml:space="preserve"> NSW DPI and Q DAF 2019</w:t>
      </w:r>
    </w:p>
  </w:footnote>
  <w:footnote w:id="11">
    <w:p w14:paraId="25304DF2" w14:textId="77777777" w:rsidR="00583873" w:rsidRPr="00B27BEC" w:rsidRDefault="00583873" w:rsidP="00B27BEC">
      <w:pPr>
        <w:pStyle w:val="FootnoteText"/>
        <w:spacing w:before="0" w:after="0"/>
        <w:rPr>
          <w:rFonts w:asciiTheme="minorHAnsi" w:hAnsiTheme="minorHAnsi" w:cstheme="minorHAnsi"/>
          <w:lang w:val="en-US"/>
        </w:rPr>
      </w:pPr>
      <w:r w:rsidRPr="00B27BEC">
        <w:rPr>
          <w:rStyle w:val="FootnoteReference"/>
          <w:rFonts w:asciiTheme="minorHAnsi" w:hAnsiTheme="minorHAnsi" w:cstheme="minorHAnsi"/>
        </w:rPr>
        <w:footnoteRef/>
      </w:r>
      <w:r w:rsidRPr="00B27BEC">
        <w:rPr>
          <w:rFonts w:asciiTheme="minorHAnsi" w:hAnsiTheme="minorHAnsi" w:cstheme="minorHAnsi"/>
        </w:rPr>
        <w:t xml:space="preserve"> NSW DPI 2018b</w:t>
      </w:r>
    </w:p>
  </w:footnote>
  <w:footnote w:id="12">
    <w:p w14:paraId="492B13D5" w14:textId="77777777" w:rsidR="00583873" w:rsidRPr="00570C64" w:rsidRDefault="00583873" w:rsidP="00B27BEC">
      <w:pPr>
        <w:pStyle w:val="FootnoteText"/>
        <w:spacing w:before="0" w:after="0"/>
        <w:rPr>
          <w:lang w:val="en-US"/>
        </w:rPr>
      </w:pPr>
      <w:r w:rsidRPr="00B27BEC">
        <w:rPr>
          <w:rStyle w:val="FootnoteReference"/>
          <w:rFonts w:asciiTheme="minorHAnsi" w:hAnsiTheme="minorHAnsi" w:cstheme="minorHAnsi"/>
        </w:rPr>
        <w:footnoteRef/>
      </w:r>
      <w:r w:rsidRPr="00B27BEC">
        <w:rPr>
          <w:rFonts w:asciiTheme="minorHAnsi" w:hAnsiTheme="minorHAnsi" w:cstheme="minorHAnsi"/>
        </w:rPr>
        <w:t xml:space="preserve"> DAWE 2020</w:t>
      </w:r>
      <w:r>
        <w:t xml:space="preserve"> </w:t>
      </w:r>
    </w:p>
  </w:footnote>
  <w:footnote w:id="13">
    <w:p w14:paraId="34C11A9E" w14:textId="77777777" w:rsidR="00583873" w:rsidRPr="00CD6F25" w:rsidRDefault="00583873" w:rsidP="00CD6F25">
      <w:pPr>
        <w:pStyle w:val="FootnoteText"/>
        <w:spacing w:before="0" w:after="0"/>
        <w:rPr>
          <w:rFonts w:asciiTheme="minorHAnsi" w:hAnsiTheme="minorHAnsi" w:cstheme="minorHAnsi"/>
          <w:lang w:val="en-US"/>
        </w:rPr>
      </w:pPr>
      <w:r>
        <w:rPr>
          <w:rStyle w:val="FootnoteReference"/>
        </w:rPr>
        <w:footnoteRef/>
      </w:r>
      <w:r>
        <w:t xml:space="preserve"> </w:t>
      </w:r>
      <w:r w:rsidRPr="00CD6F25">
        <w:rPr>
          <w:rFonts w:asciiTheme="minorHAnsi" w:hAnsiTheme="minorHAnsi" w:cstheme="minorHAnsi"/>
          <w:lang w:val="en-US"/>
        </w:rPr>
        <w:t>MDBA 2016</w:t>
      </w:r>
    </w:p>
  </w:footnote>
  <w:footnote w:id="14">
    <w:p w14:paraId="6F26FB1C" w14:textId="77777777" w:rsidR="00583873" w:rsidRPr="00CD6F25" w:rsidRDefault="00583873" w:rsidP="00CD6F25">
      <w:pPr>
        <w:pStyle w:val="FootnoteText"/>
        <w:spacing w:before="0" w:after="0"/>
        <w:rPr>
          <w:rFonts w:asciiTheme="minorHAnsi" w:hAnsiTheme="minorHAnsi" w:cstheme="minorHAnsi"/>
          <w:lang w:val="en-US"/>
        </w:rPr>
      </w:pPr>
      <w:r w:rsidRPr="00CD6F25">
        <w:rPr>
          <w:rStyle w:val="FootnoteReference"/>
          <w:rFonts w:asciiTheme="minorHAnsi" w:hAnsiTheme="minorHAnsi" w:cstheme="minorHAnsi"/>
        </w:rPr>
        <w:footnoteRef/>
      </w:r>
      <w:r w:rsidRPr="00CD6F25">
        <w:rPr>
          <w:rFonts w:asciiTheme="minorHAnsi" w:hAnsiTheme="minorHAnsi" w:cstheme="minorHAnsi"/>
        </w:rPr>
        <w:t xml:space="preserve"> (C</w:t>
      </w:r>
      <w:r w:rsidRPr="00CD6F25">
        <w:rPr>
          <w:rFonts w:asciiTheme="minorHAnsi" w:hAnsiTheme="minorHAnsi" w:cstheme="minorHAnsi"/>
          <w:lang w:val="en-US"/>
        </w:rPr>
        <w:t xml:space="preserve">EWO 2019, Mynott and Balcombe 2019, Dunne 2019, Senior 2019). </w:t>
      </w:r>
    </w:p>
  </w:footnote>
  <w:footnote w:id="15">
    <w:p w14:paraId="457C4799" w14:textId="77777777" w:rsidR="00583873" w:rsidRPr="00CD6F25" w:rsidRDefault="00583873" w:rsidP="00CD6F25">
      <w:pPr>
        <w:pStyle w:val="FootnoteText"/>
        <w:spacing w:before="0" w:after="0"/>
        <w:rPr>
          <w:rFonts w:asciiTheme="minorHAnsi" w:hAnsiTheme="minorHAnsi" w:cstheme="minorHAnsi"/>
          <w:lang w:val="en-US"/>
        </w:rPr>
      </w:pPr>
      <w:r w:rsidRPr="00CD6F25">
        <w:rPr>
          <w:rStyle w:val="FootnoteReference"/>
          <w:rFonts w:asciiTheme="minorHAnsi" w:hAnsiTheme="minorHAnsi" w:cstheme="minorHAnsi"/>
        </w:rPr>
        <w:footnoteRef/>
      </w:r>
      <w:r w:rsidRPr="00CD6F25">
        <w:rPr>
          <w:rFonts w:asciiTheme="minorHAnsi" w:hAnsiTheme="minorHAnsi" w:cstheme="minorHAnsi"/>
        </w:rPr>
        <w:t xml:space="preserve"> (Benson 2004, QDES 2018, SoNSW and NSW DPIE 2019, Mynott and Balcombe 2019, QDES and CEWO unpublished)</w:t>
      </w:r>
    </w:p>
  </w:footnote>
  <w:footnote w:id="16">
    <w:p w14:paraId="4BD39E1C" w14:textId="77777777" w:rsidR="00583873" w:rsidRPr="00CD6F25" w:rsidRDefault="00583873" w:rsidP="00CD6F25">
      <w:pPr>
        <w:pStyle w:val="FootnoteText"/>
        <w:spacing w:before="0" w:after="0"/>
        <w:rPr>
          <w:rFonts w:asciiTheme="minorHAnsi" w:hAnsiTheme="minorHAnsi" w:cstheme="minorHAnsi"/>
          <w:lang w:val="en-US"/>
        </w:rPr>
      </w:pPr>
      <w:r w:rsidRPr="00CD6F25">
        <w:rPr>
          <w:rStyle w:val="FootnoteReference"/>
          <w:rFonts w:asciiTheme="minorHAnsi" w:hAnsiTheme="minorHAnsi" w:cstheme="minorHAnsi"/>
        </w:rPr>
        <w:footnoteRef/>
      </w:r>
      <w:r w:rsidRPr="00CD6F25">
        <w:rPr>
          <w:rFonts w:asciiTheme="minorHAnsi" w:hAnsiTheme="minorHAnsi" w:cstheme="minorHAnsi"/>
        </w:rPr>
        <w:t xml:space="preserve"> (QDSITI and QDNRM 2017, UNE unpublished)</w:t>
      </w:r>
    </w:p>
  </w:footnote>
  <w:footnote w:id="17">
    <w:p w14:paraId="106576BC" w14:textId="77777777" w:rsidR="00583873" w:rsidRPr="00CD6F25" w:rsidRDefault="00583873" w:rsidP="00CD6F25">
      <w:pPr>
        <w:pStyle w:val="FootnoteText"/>
        <w:spacing w:before="0" w:after="0"/>
        <w:rPr>
          <w:rFonts w:asciiTheme="minorHAnsi" w:hAnsiTheme="minorHAnsi" w:cstheme="minorHAnsi"/>
          <w:lang w:val="en-US"/>
        </w:rPr>
      </w:pPr>
      <w:r w:rsidRPr="00CD6F25">
        <w:rPr>
          <w:rStyle w:val="FootnoteReference"/>
          <w:rFonts w:asciiTheme="minorHAnsi" w:hAnsiTheme="minorHAnsi" w:cstheme="minorHAnsi"/>
        </w:rPr>
        <w:footnoteRef/>
      </w:r>
      <w:r w:rsidRPr="00CD6F25">
        <w:rPr>
          <w:rFonts w:asciiTheme="minorHAnsi" w:hAnsiTheme="minorHAnsi" w:cstheme="minorHAnsi"/>
        </w:rPr>
        <w:t xml:space="preserve"> (</w:t>
      </w:r>
      <w:r w:rsidRPr="00CD6F25">
        <w:rPr>
          <w:rFonts w:asciiTheme="minorHAnsi" w:hAnsiTheme="minorHAnsi" w:cstheme="minorHAnsi"/>
          <w:lang w:val="en-US"/>
        </w:rPr>
        <w:t>CEWO 2020, BOM 2020)</w:t>
      </w:r>
    </w:p>
  </w:footnote>
  <w:footnote w:id="18">
    <w:p w14:paraId="1F88C69E" w14:textId="77777777" w:rsidR="00583873" w:rsidRPr="00CD6F25" w:rsidRDefault="00583873" w:rsidP="00CD6F25">
      <w:pPr>
        <w:pStyle w:val="FootnoteText"/>
        <w:spacing w:before="0" w:after="0"/>
        <w:rPr>
          <w:rFonts w:asciiTheme="minorHAnsi" w:hAnsiTheme="minorHAnsi" w:cstheme="minorHAnsi"/>
          <w:lang w:val="en-US"/>
        </w:rPr>
      </w:pPr>
      <w:r w:rsidRPr="00CD6F25">
        <w:rPr>
          <w:rStyle w:val="FootnoteReference"/>
          <w:rFonts w:asciiTheme="minorHAnsi" w:hAnsiTheme="minorHAnsi" w:cstheme="minorHAnsi"/>
        </w:rPr>
        <w:footnoteRef/>
      </w:r>
      <w:r w:rsidRPr="00CD6F25">
        <w:rPr>
          <w:rFonts w:asciiTheme="minorHAnsi" w:hAnsiTheme="minorHAnsi" w:cstheme="minorHAnsi"/>
        </w:rPr>
        <w:t xml:space="preserve"> (</w:t>
      </w:r>
      <w:r w:rsidRPr="00CD6F25">
        <w:rPr>
          <w:rFonts w:asciiTheme="minorHAnsi" w:hAnsiTheme="minorHAnsi" w:cstheme="minorHAnsi"/>
          <w:lang w:val="en-US"/>
        </w:rPr>
        <w:t>CEWO 2020)</w:t>
      </w:r>
    </w:p>
  </w:footnote>
  <w:footnote w:id="19">
    <w:p w14:paraId="41DC6536" w14:textId="77777777" w:rsidR="00583873" w:rsidRPr="00BB0617" w:rsidRDefault="00583873" w:rsidP="00AA0841">
      <w:pPr>
        <w:spacing w:after="0"/>
        <w:rPr>
          <w:sz w:val="18"/>
          <w:szCs w:val="18"/>
          <w:lang w:val="en-US"/>
        </w:rPr>
      </w:pPr>
      <w:r w:rsidRPr="00867245">
        <w:rPr>
          <w:rStyle w:val="FootnoteReference"/>
        </w:rPr>
        <w:sym w:font="Symbol" w:char="F02A"/>
      </w:r>
      <w:r>
        <w:t xml:space="preserve"> </w:t>
      </w:r>
      <w:r w:rsidRPr="00BB0617">
        <w:rPr>
          <w:sz w:val="18"/>
          <w:szCs w:val="18"/>
        </w:rPr>
        <w:t>Objectives determined through recent and past engagement activities by local engagement officers from the CEWO as well as through reports completed based on input from local Aboriginal community members.</w:t>
      </w:r>
    </w:p>
  </w:footnote>
  <w:footnote w:id="20">
    <w:p w14:paraId="3F2395A5" w14:textId="77777777" w:rsidR="00583873" w:rsidRPr="00BB0617" w:rsidRDefault="00583873" w:rsidP="00AA0841">
      <w:pPr>
        <w:spacing w:after="0"/>
        <w:rPr>
          <w:sz w:val="18"/>
          <w:szCs w:val="18"/>
          <w:lang w:val="en-US"/>
        </w:rPr>
      </w:pPr>
      <w:r w:rsidRPr="00BB0617">
        <w:rPr>
          <w:rStyle w:val="FootnoteReference"/>
          <w:sz w:val="18"/>
          <w:szCs w:val="18"/>
        </w:rPr>
        <w:footnoteRef/>
      </w:r>
      <w:r w:rsidRPr="00BB0617">
        <w:rPr>
          <w:sz w:val="18"/>
          <w:szCs w:val="18"/>
        </w:rPr>
        <w:t xml:space="preserve"> </w:t>
      </w:r>
      <w:r w:rsidRPr="00BB0617">
        <w:rPr>
          <w:spacing w:val="-1"/>
          <w:sz w:val="18"/>
          <w:szCs w:val="18"/>
        </w:rPr>
        <w:t>Currently some fish movement may occur via secondary channels including the Western Bywash around Booka Dam and breaches in embankments when flows are large enough to activate these channels.</w:t>
      </w:r>
    </w:p>
  </w:footnote>
  <w:footnote w:id="21">
    <w:p w14:paraId="5330AA4A" w14:textId="77777777" w:rsidR="00583873" w:rsidRPr="00253F9F" w:rsidRDefault="00583873" w:rsidP="00AA0841">
      <w:pPr>
        <w:spacing w:after="0"/>
        <w:rPr>
          <w:sz w:val="2"/>
          <w:szCs w:val="18"/>
          <w:lang w:val="en-US"/>
        </w:rPr>
      </w:pPr>
    </w:p>
  </w:footnote>
  <w:footnote w:id="22">
    <w:p w14:paraId="0D01C070" w14:textId="77777777" w:rsidR="00583873" w:rsidRPr="00BB0617" w:rsidRDefault="00583873" w:rsidP="00AA0841">
      <w:pPr>
        <w:spacing w:after="0"/>
        <w:rPr>
          <w:sz w:val="18"/>
          <w:szCs w:val="18"/>
          <w:lang w:val="en-US"/>
        </w:rPr>
      </w:pPr>
      <w:r w:rsidRPr="00BB0617">
        <w:rPr>
          <w:rStyle w:val="FootnoteReference"/>
          <w:sz w:val="18"/>
          <w:szCs w:val="18"/>
        </w:rPr>
        <w:footnoteRef/>
      </w:r>
      <w:r w:rsidRPr="00BB0617">
        <w:rPr>
          <w:sz w:val="18"/>
          <w:szCs w:val="18"/>
        </w:rPr>
        <w:t xml:space="preserve"> Demands in the Darling which flows from the Warrego may contribute to downstream of Louth. Other environmental demands in the Darling are described in the </w:t>
      </w:r>
      <w:r w:rsidRPr="00BB0617">
        <w:rPr>
          <w:i/>
          <w:iCs/>
          <w:sz w:val="18"/>
          <w:szCs w:val="18"/>
        </w:rPr>
        <w:t>Barwon–Darling Long Term Watering Plan</w:t>
      </w:r>
      <w:r w:rsidRPr="00BB0617">
        <w:rPr>
          <w:sz w:val="18"/>
          <w:szCs w:val="18"/>
        </w:rPr>
        <w:t>.</w:t>
      </w:r>
    </w:p>
  </w:footnote>
  <w:footnote w:id="23">
    <w:p w14:paraId="17403D37" w14:textId="77777777" w:rsidR="00583873" w:rsidRPr="00BB0617" w:rsidRDefault="00583873" w:rsidP="00AA0841">
      <w:pPr>
        <w:spacing w:after="0"/>
        <w:rPr>
          <w:sz w:val="18"/>
          <w:szCs w:val="18"/>
        </w:rPr>
      </w:pPr>
      <w:r w:rsidRPr="00BB0617">
        <w:rPr>
          <w:rStyle w:val="FootnoteReference"/>
          <w:sz w:val="18"/>
          <w:szCs w:val="18"/>
        </w:rPr>
        <w:t>3</w:t>
      </w:r>
      <w:r w:rsidRPr="00BB0617">
        <w:rPr>
          <w:sz w:val="18"/>
          <w:szCs w:val="18"/>
        </w:rPr>
        <w:t xml:space="preserve"> Eco Logical Australia (2019b)</w:t>
      </w:r>
    </w:p>
  </w:footnote>
  <w:footnote w:id="24">
    <w:p w14:paraId="1679271F" w14:textId="77777777" w:rsidR="00583873" w:rsidRPr="00BB0617" w:rsidRDefault="00583873" w:rsidP="00AA0841">
      <w:pPr>
        <w:spacing w:after="0"/>
        <w:rPr>
          <w:sz w:val="18"/>
          <w:szCs w:val="18"/>
          <w:lang w:val="en-US"/>
        </w:rPr>
      </w:pPr>
      <w:r w:rsidRPr="00BB0617">
        <w:rPr>
          <w:rStyle w:val="FootnoteReference"/>
          <w:sz w:val="18"/>
          <w:szCs w:val="18"/>
        </w:rPr>
        <w:t>4</w:t>
      </w:r>
      <w:r w:rsidRPr="00BB0617">
        <w:rPr>
          <w:sz w:val="18"/>
          <w:szCs w:val="18"/>
        </w:rPr>
        <w:t xml:space="preserve"> </w:t>
      </w:r>
      <w:r w:rsidRPr="00BB0617">
        <w:rPr>
          <w:sz w:val="18"/>
          <w:szCs w:val="18"/>
          <w:lang w:val="en-US"/>
        </w:rPr>
        <w:t xml:space="preserve">UNE unpublished </w:t>
      </w:r>
    </w:p>
  </w:footnote>
  <w:footnote w:id="25">
    <w:p w14:paraId="40DE9652" w14:textId="77777777" w:rsidR="00583873" w:rsidRPr="00BB0617" w:rsidRDefault="00583873" w:rsidP="00AA0841">
      <w:pPr>
        <w:spacing w:after="0"/>
        <w:rPr>
          <w:sz w:val="18"/>
          <w:szCs w:val="18"/>
          <w:lang w:val="en-US"/>
        </w:rPr>
      </w:pPr>
      <w:r w:rsidRPr="00BB0617">
        <w:rPr>
          <w:rStyle w:val="FootnoteReference"/>
          <w:sz w:val="18"/>
          <w:szCs w:val="18"/>
        </w:rPr>
        <w:t>5</w:t>
      </w:r>
      <w:r w:rsidRPr="00BB0617">
        <w:rPr>
          <w:sz w:val="18"/>
          <w:szCs w:val="18"/>
        </w:rPr>
        <w:t xml:space="preserve"> </w:t>
      </w:r>
      <w:r w:rsidRPr="00BB0617">
        <w:rPr>
          <w:sz w:val="18"/>
          <w:szCs w:val="18"/>
          <w:lang w:val="en-US"/>
        </w:rPr>
        <w:t>CEWO 2020</w:t>
      </w:r>
    </w:p>
  </w:footnote>
  <w:footnote w:id="26">
    <w:p w14:paraId="2CF84738" w14:textId="7E2123FA" w:rsidR="00583873" w:rsidRPr="00B044C3" w:rsidRDefault="00583873" w:rsidP="00B044C3">
      <w:pPr>
        <w:pStyle w:val="FootnoteText"/>
        <w:spacing w:before="120"/>
        <w:rPr>
          <w:rFonts w:asciiTheme="minorHAnsi" w:hAnsiTheme="minorHAnsi" w:cstheme="minorHAnsi"/>
          <w:lang w:val="en-US"/>
        </w:rPr>
      </w:pPr>
      <w:r w:rsidRPr="00B044C3">
        <w:rPr>
          <w:rStyle w:val="FootnoteReference"/>
          <w:rFonts w:asciiTheme="minorHAnsi" w:hAnsiTheme="minorHAnsi" w:cstheme="minorHAnsi"/>
        </w:rPr>
        <w:footnoteRef/>
      </w:r>
      <w:r w:rsidRPr="00B044C3">
        <w:rPr>
          <w:rFonts w:asciiTheme="minorHAnsi" w:hAnsiTheme="minorHAnsi" w:cstheme="minorHAnsi"/>
        </w:rPr>
        <w:t xml:space="preserve"> </w:t>
      </w:r>
      <w:r w:rsidRPr="00B044C3">
        <w:rPr>
          <w:rFonts w:asciiTheme="minorHAnsi" w:hAnsiTheme="minorHAnsi" w:cstheme="minorHAnsi"/>
          <w:color w:val="222222"/>
        </w:rPr>
        <w:t>Objectives determined through recent and past engagement activities by LEOs from the CEWO as well as through reports completed based on input from local Aboriginal community members.</w:t>
      </w:r>
    </w:p>
  </w:footnote>
  <w:footnote w:id="27">
    <w:p w14:paraId="2D539A3D" w14:textId="77777777" w:rsidR="00583873" w:rsidRPr="00DF55C2" w:rsidRDefault="00583873" w:rsidP="00AA0841">
      <w:pPr>
        <w:pStyle w:val="FootnoteText"/>
        <w:rPr>
          <w:rFonts w:asciiTheme="minorHAnsi" w:hAnsiTheme="minorHAnsi" w:cstheme="minorHAnsi"/>
          <w:lang w:val="en-US"/>
        </w:rPr>
      </w:pPr>
      <w:r w:rsidRPr="00DF55C2">
        <w:rPr>
          <w:rStyle w:val="FootnoteReference"/>
          <w:rFonts w:asciiTheme="minorHAnsi" w:hAnsiTheme="minorHAnsi" w:cstheme="minorHAnsi"/>
        </w:rPr>
        <w:sym w:font="Symbol" w:char="F02A"/>
      </w:r>
      <w:r w:rsidRPr="00DF55C2">
        <w:rPr>
          <w:rFonts w:asciiTheme="minorHAnsi" w:hAnsiTheme="minorHAnsi" w:cstheme="minorHAnsi"/>
        </w:rPr>
        <w:t xml:space="preserve"> The Castlereagh River is currently out of scope for use of environmental water entitlements.</w:t>
      </w:r>
    </w:p>
  </w:footnote>
  <w:footnote w:id="28">
    <w:p w14:paraId="7B50D46C" w14:textId="77777777" w:rsidR="00583873" w:rsidRPr="00DF55C2" w:rsidRDefault="00583873" w:rsidP="00DF55C2">
      <w:pPr>
        <w:pStyle w:val="FootnoteText"/>
        <w:spacing w:before="0" w:after="0"/>
        <w:rPr>
          <w:rFonts w:asciiTheme="minorHAnsi" w:hAnsiTheme="minorHAnsi" w:cstheme="minorHAnsi"/>
        </w:rPr>
      </w:pPr>
      <w:r w:rsidRPr="00DF55C2">
        <w:rPr>
          <w:rStyle w:val="FootnoteReference"/>
          <w:rFonts w:asciiTheme="minorHAnsi" w:hAnsiTheme="minorHAnsi" w:cstheme="minorHAnsi"/>
        </w:rPr>
        <w:footnoteRef/>
      </w:r>
      <w:r w:rsidRPr="00DF55C2">
        <w:rPr>
          <w:rFonts w:asciiTheme="minorHAnsi" w:hAnsiTheme="minorHAnsi" w:cstheme="minorHAnsi"/>
        </w:rPr>
        <w:t xml:space="preserve"> Very low flows in the mid-Macquarie River have the same flow rate and requirements as baseflows (&gt;200 ML/day). Cease to flow events should be avoided because they no longer occur, and fish, plant and animal communities are dependent on regular flows.</w:t>
      </w:r>
    </w:p>
  </w:footnote>
  <w:footnote w:id="29">
    <w:p w14:paraId="66F23143" w14:textId="77777777" w:rsidR="00583873" w:rsidRDefault="00583873" w:rsidP="00AA0841">
      <w:pPr>
        <w:pStyle w:val="FootnoteText"/>
      </w:pPr>
      <w:r w:rsidRPr="00DF55C2">
        <w:rPr>
          <w:rStyle w:val="FootnoteReference"/>
          <w:rFonts w:asciiTheme="minorHAnsi" w:hAnsiTheme="minorHAnsi" w:cstheme="minorHAnsi"/>
        </w:rPr>
        <w:footnoteRef/>
      </w:r>
      <w:r w:rsidRPr="00DF55C2">
        <w:rPr>
          <w:rFonts w:asciiTheme="minorHAnsi" w:hAnsiTheme="minorHAnsi" w:cstheme="minorHAnsi"/>
        </w:rPr>
        <w:t xml:space="preserve"> There are still knowledge gaps related to spawning requirements and hotspots in the Macquarie catchment for flow specialists.</w:t>
      </w:r>
      <w:r>
        <w:t xml:space="preserve"> </w:t>
      </w:r>
    </w:p>
  </w:footnote>
  <w:footnote w:id="30">
    <w:p w14:paraId="7458C542" w14:textId="77777777" w:rsidR="00583873" w:rsidRPr="00DF55C2" w:rsidRDefault="00583873" w:rsidP="00AA0841">
      <w:pPr>
        <w:pStyle w:val="FootnoteText"/>
        <w:rPr>
          <w:rFonts w:asciiTheme="minorHAnsi" w:hAnsiTheme="minorHAnsi" w:cstheme="minorHAnsi"/>
        </w:rPr>
      </w:pPr>
      <w:r w:rsidRPr="00DF55C2">
        <w:rPr>
          <w:rStyle w:val="FootnoteReference"/>
          <w:rFonts w:asciiTheme="minorHAnsi" w:hAnsiTheme="minorHAnsi" w:cstheme="minorHAnsi"/>
        </w:rPr>
        <w:footnoteRef/>
      </w:r>
      <w:r w:rsidRPr="00DF55C2">
        <w:rPr>
          <w:rFonts w:asciiTheme="minorHAnsi" w:hAnsiTheme="minorHAnsi" w:cstheme="minorHAnsi"/>
        </w:rPr>
        <w:t xml:space="preserve"> Volume required to meet demands may vary depending on antecedent conditions.</w:t>
      </w:r>
    </w:p>
  </w:footnote>
  <w:footnote w:id="31">
    <w:p w14:paraId="0C9460BA" w14:textId="77777777" w:rsidR="00583873" w:rsidRDefault="00583873" w:rsidP="00AA0841">
      <w:pPr>
        <w:pStyle w:val="FootnoteText"/>
      </w:pPr>
      <w:r w:rsidRPr="00DF55C2">
        <w:rPr>
          <w:rStyle w:val="FootnoteReference"/>
          <w:rFonts w:asciiTheme="minorHAnsi" w:hAnsiTheme="minorHAnsi" w:cstheme="minorHAnsi"/>
        </w:rPr>
        <w:footnoteRef/>
      </w:r>
      <w:r w:rsidRPr="00DF55C2">
        <w:rPr>
          <w:rFonts w:asciiTheme="minorHAnsi" w:hAnsiTheme="minorHAnsi" w:cstheme="minorHAnsi"/>
        </w:rPr>
        <w:t xml:space="preserve"> Vegetation types/communities that are identified as critical components of the Ramsar site include water couch, river red gum forest and woodland, reed beds, cumbungi, mixed marsh, coolibah and blackbox woodland. By maintaining this wetland vegetation, other critical components of the Ramsar site may be supported, including frogs, fish, waterbird breeding and foraging habitat.</w:t>
      </w:r>
    </w:p>
  </w:footnote>
  <w:footnote w:id="32">
    <w:p w14:paraId="334F7AD7" w14:textId="77777777" w:rsidR="00583873" w:rsidRPr="00DF55C2" w:rsidRDefault="00583873" w:rsidP="00AA0841">
      <w:pPr>
        <w:pStyle w:val="FootnoteText"/>
        <w:rPr>
          <w:rFonts w:asciiTheme="minorHAnsi" w:hAnsiTheme="minorHAnsi" w:cstheme="minorHAnsi"/>
        </w:rPr>
      </w:pPr>
      <w:r w:rsidRPr="00DF55C2">
        <w:rPr>
          <w:rStyle w:val="FootnoteReference"/>
          <w:rFonts w:asciiTheme="minorHAnsi" w:hAnsiTheme="minorHAnsi" w:cstheme="minorHAnsi"/>
        </w:rPr>
        <w:footnoteRef/>
      </w:r>
      <w:r w:rsidRPr="00DF55C2">
        <w:rPr>
          <w:rFonts w:asciiTheme="minorHAnsi" w:hAnsiTheme="minorHAnsi" w:cstheme="minorHAnsi"/>
        </w:rPr>
        <w:t xml:space="preserve"> Broader system connectivity may be achieved by other flows in the system and operational management of environmental/other water (e.g. via the Bogan River, Gunningbar Creek, the Castlereagh River, and Marthaguy Creek (including through the Gum Cowal)).</w:t>
      </w:r>
    </w:p>
  </w:footnote>
  <w:footnote w:id="33">
    <w:p w14:paraId="0B285796" w14:textId="77777777" w:rsidR="00583873" w:rsidRPr="003E6F6B" w:rsidRDefault="00583873" w:rsidP="003E6F6B">
      <w:pPr>
        <w:pStyle w:val="FootnoteText"/>
        <w:spacing w:before="0" w:after="0"/>
        <w:rPr>
          <w:rFonts w:asciiTheme="minorHAnsi" w:hAnsiTheme="minorHAnsi" w:cstheme="minorHAnsi"/>
        </w:rPr>
      </w:pPr>
      <w:r>
        <w:rPr>
          <w:rStyle w:val="FootnoteReference"/>
        </w:rPr>
        <w:footnoteRef/>
      </w:r>
      <w:r>
        <w:t xml:space="preserve"> </w:t>
      </w:r>
      <w:r w:rsidRPr="003E6F6B">
        <w:rPr>
          <w:rFonts w:asciiTheme="minorHAnsi" w:hAnsiTheme="minorHAnsi" w:cstheme="minorHAnsi"/>
        </w:rPr>
        <w:t>Stocks et al. 2015, Davis et al. 2017</w:t>
      </w:r>
    </w:p>
  </w:footnote>
  <w:footnote w:id="34">
    <w:p w14:paraId="25B4C1ED" w14:textId="77777777" w:rsidR="00583873" w:rsidRPr="003E6F6B" w:rsidRDefault="00583873" w:rsidP="003E6F6B">
      <w:pPr>
        <w:pStyle w:val="FootnoteText"/>
        <w:spacing w:before="0" w:after="0"/>
        <w:rPr>
          <w:rFonts w:asciiTheme="minorHAnsi" w:hAnsiTheme="minorHAnsi" w:cstheme="minorHAnsi"/>
        </w:rPr>
      </w:pPr>
      <w:r w:rsidRPr="003E6F6B">
        <w:rPr>
          <w:rStyle w:val="FootnoteReference"/>
          <w:rFonts w:asciiTheme="minorHAnsi" w:hAnsiTheme="minorHAnsi" w:cstheme="minorHAnsi"/>
        </w:rPr>
        <w:footnoteRef/>
      </w:r>
      <w:r w:rsidRPr="003E6F6B">
        <w:rPr>
          <w:rFonts w:asciiTheme="minorHAnsi" w:hAnsiTheme="minorHAnsi" w:cstheme="minorHAnsi"/>
        </w:rPr>
        <w:t xml:space="preserve"> WaterNSW 2017</w:t>
      </w:r>
    </w:p>
  </w:footnote>
  <w:footnote w:id="35">
    <w:p w14:paraId="22806FED" w14:textId="77777777" w:rsidR="00583873" w:rsidRPr="003E6F6B" w:rsidRDefault="00583873" w:rsidP="003E6F6B">
      <w:pPr>
        <w:pStyle w:val="FootnoteText"/>
        <w:spacing w:before="0" w:after="0"/>
        <w:rPr>
          <w:rFonts w:asciiTheme="minorHAnsi" w:hAnsiTheme="minorHAnsi" w:cstheme="minorHAnsi"/>
        </w:rPr>
      </w:pPr>
      <w:r w:rsidRPr="003E6F6B">
        <w:rPr>
          <w:rStyle w:val="FootnoteReference"/>
          <w:rFonts w:asciiTheme="minorHAnsi" w:hAnsiTheme="minorHAnsi" w:cstheme="minorHAnsi"/>
        </w:rPr>
        <w:footnoteRef/>
      </w:r>
      <w:r w:rsidRPr="003E6F6B">
        <w:rPr>
          <w:rFonts w:asciiTheme="minorHAnsi" w:hAnsiTheme="minorHAnsi" w:cstheme="minorHAnsi"/>
        </w:rPr>
        <w:t xml:space="preserve"> NSW OEH 2017, Ocock and Spencer 2017, NSW OEH 2019a</w:t>
      </w:r>
    </w:p>
  </w:footnote>
  <w:footnote w:id="36">
    <w:p w14:paraId="34528DDF" w14:textId="77777777" w:rsidR="00583873" w:rsidRPr="003E6F6B" w:rsidRDefault="00583873" w:rsidP="003E6F6B">
      <w:pPr>
        <w:pStyle w:val="FootnoteText"/>
        <w:spacing w:before="0" w:after="0"/>
        <w:rPr>
          <w:rFonts w:asciiTheme="minorHAnsi" w:hAnsiTheme="minorHAnsi" w:cstheme="minorHAnsi"/>
        </w:rPr>
      </w:pPr>
      <w:r w:rsidRPr="003E6F6B">
        <w:rPr>
          <w:rStyle w:val="FootnoteReference"/>
          <w:rFonts w:asciiTheme="minorHAnsi" w:hAnsiTheme="minorHAnsi" w:cstheme="minorHAnsi"/>
        </w:rPr>
        <w:footnoteRef/>
      </w:r>
      <w:r w:rsidRPr="003E6F6B">
        <w:rPr>
          <w:rFonts w:asciiTheme="minorHAnsi" w:hAnsiTheme="minorHAnsi" w:cstheme="minorHAnsi"/>
        </w:rPr>
        <w:t xml:space="preserve"> Spencer et al. 2016, McGinness et al. 2017, Brandis 2017, NSW OEH 2019b</w:t>
      </w:r>
    </w:p>
  </w:footnote>
  <w:footnote w:id="37">
    <w:p w14:paraId="0C7207B5" w14:textId="77777777" w:rsidR="00583873" w:rsidRPr="006A11B1" w:rsidRDefault="00583873" w:rsidP="006A11B1">
      <w:pPr>
        <w:pStyle w:val="FootnoteText"/>
        <w:spacing w:before="0" w:after="0"/>
        <w:rPr>
          <w:rFonts w:asciiTheme="minorHAnsi" w:hAnsiTheme="minorHAnsi" w:cstheme="minorHAnsi"/>
          <w:lang w:val="en-US"/>
        </w:rPr>
      </w:pPr>
      <w:r w:rsidRPr="006A11B1">
        <w:rPr>
          <w:rStyle w:val="FootnoteReference"/>
          <w:rFonts w:asciiTheme="minorHAnsi" w:hAnsiTheme="minorHAnsi" w:cstheme="minorHAnsi"/>
        </w:rPr>
        <w:footnoteRef/>
      </w:r>
      <w:r w:rsidRPr="006A11B1">
        <w:rPr>
          <w:rFonts w:asciiTheme="minorHAnsi" w:hAnsiTheme="minorHAnsi" w:cstheme="minorHAnsi"/>
        </w:rPr>
        <w:t xml:space="preserve"> Half of Lake Menindee in Kinchega National Park</w:t>
      </w:r>
    </w:p>
  </w:footnote>
  <w:footnote w:id="38">
    <w:p w14:paraId="527EC330" w14:textId="77777777" w:rsidR="00583873" w:rsidRPr="00450436" w:rsidRDefault="00583873" w:rsidP="00450436">
      <w:pPr>
        <w:pStyle w:val="FootnoteText"/>
        <w:spacing w:before="0" w:after="0"/>
        <w:rPr>
          <w:rFonts w:asciiTheme="minorHAnsi" w:hAnsiTheme="minorHAnsi" w:cstheme="minorHAnsi"/>
        </w:rPr>
      </w:pPr>
      <w:r w:rsidRPr="00667B3F">
        <w:footnoteRef/>
      </w:r>
      <w:r w:rsidRPr="00667B3F">
        <w:t xml:space="preserve"> </w:t>
      </w:r>
      <w:r w:rsidRPr="00450436">
        <w:rPr>
          <w:rFonts w:asciiTheme="minorHAnsi" w:hAnsiTheme="minorHAnsi" w:cstheme="minorHAnsi"/>
        </w:rPr>
        <w:t>Volumes may be limited by current channel constraints. Roberts and Marston (2011), Hardwick and Maguire (2012), Alluvium (2013)</w:t>
      </w:r>
    </w:p>
  </w:footnote>
  <w:footnote w:id="39">
    <w:p w14:paraId="6412E473" w14:textId="77777777" w:rsidR="00583873" w:rsidRPr="00450436" w:rsidRDefault="00583873" w:rsidP="00450436">
      <w:pPr>
        <w:pStyle w:val="FootnoteText"/>
        <w:spacing w:before="0" w:after="0"/>
        <w:rPr>
          <w:rFonts w:asciiTheme="minorHAnsi" w:hAnsiTheme="minorHAnsi" w:cstheme="minorHAnsi"/>
        </w:rPr>
      </w:pPr>
      <w:r w:rsidRPr="00450436">
        <w:rPr>
          <w:rFonts w:asciiTheme="minorHAnsi" w:hAnsiTheme="minorHAnsi" w:cstheme="minorHAnsi"/>
        </w:rPr>
        <w:footnoteRef/>
      </w:r>
      <w:r w:rsidRPr="00450436">
        <w:rPr>
          <w:rFonts w:asciiTheme="minorHAnsi" w:hAnsiTheme="minorHAnsi" w:cstheme="minorHAnsi"/>
        </w:rPr>
        <w:t xml:space="preserve"> Note: Difference in filling height (i.e. flows required to fill a wetland) vary among the lagoons that make up the mid-Murrumbidgee wetlands, and so their condition and watering requirements vary accordingly</w:t>
      </w:r>
    </w:p>
  </w:footnote>
  <w:footnote w:id="40">
    <w:p w14:paraId="43D2EBB7" w14:textId="77777777" w:rsidR="00583873" w:rsidRPr="00450436" w:rsidRDefault="00583873" w:rsidP="00450436">
      <w:pPr>
        <w:pStyle w:val="FootnoteText"/>
        <w:spacing w:before="0" w:after="0"/>
        <w:rPr>
          <w:rFonts w:asciiTheme="minorHAnsi" w:hAnsiTheme="minorHAnsi" w:cstheme="minorHAnsi"/>
        </w:rPr>
      </w:pPr>
      <w:r>
        <w:rPr>
          <w:rStyle w:val="FootnoteReference"/>
        </w:rPr>
        <w:footnoteRef/>
      </w:r>
      <w:r>
        <w:t xml:space="preserve"> </w:t>
      </w:r>
      <w:r w:rsidRPr="00450436">
        <w:rPr>
          <w:rFonts w:asciiTheme="minorHAnsi" w:hAnsiTheme="minorHAnsi" w:cstheme="minorHAnsi"/>
        </w:rPr>
        <w:t>Cumulative volume - includes volume allocated for this asset under Lowbidgee Core refuge and permanent aquatic habitat</w:t>
      </w:r>
    </w:p>
  </w:footnote>
  <w:footnote w:id="41">
    <w:p w14:paraId="0DA9A074" w14:textId="77777777" w:rsidR="00583873" w:rsidRDefault="00583873" w:rsidP="00450436">
      <w:pPr>
        <w:pStyle w:val="FootnoteText"/>
        <w:spacing w:before="0" w:after="0"/>
      </w:pPr>
      <w:r w:rsidRPr="00450436">
        <w:rPr>
          <w:rStyle w:val="FootnoteReference"/>
          <w:rFonts w:asciiTheme="minorHAnsi" w:hAnsiTheme="minorHAnsi" w:cstheme="minorHAnsi"/>
        </w:rPr>
        <w:footnoteRef/>
      </w:r>
      <w:r w:rsidRPr="00450436">
        <w:rPr>
          <w:rFonts w:asciiTheme="minorHAnsi" w:hAnsiTheme="minorHAnsi" w:cstheme="minorHAnsi"/>
        </w:rPr>
        <w:t xml:space="preserve"> Cumulative volume - includes volume allocated for this asset under Lowbidgee Core refuge and permanent aquatic habitat</w:t>
      </w:r>
    </w:p>
  </w:footnote>
  <w:footnote w:id="42">
    <w:p w14:paraId="3F7D34DE" w14:textId="77777777" w:rsidR="00583873" w:rsidRPr="00450436" w:rsidRDefault="00583873" w:rsidP="00450436">
      <w:pPr>
        <w:pStyle w:val="FootnoteText"/>
        <w:spacing w:before="0" w:after="0"/>
        <w:rPr>
          <w:rFonts w:asciiTheme="minorHAnsi" w:hAnsiTheme="minorHAnsi" w:cstheme="minorHAnsi"/>
        </w:rPr>
      </w:pPr>
      <w:r w:rsidRPr="00450436">
        <w:rPr>
          <w:rStyle w:val="FootnoteReference"/>
          <w:rFonts w:asciiTheme="minorHAnsi" w:hAnsiTheme="minorHAnsi" w:cstheme="minorHAnsi"/>
        </w:rPr>
        <w:footnoteRef/>
      </w:r>
      <w:r w:rsidRPr="00450436">
        <w:rPr>
          <w:rFonts w:asciiTheme="minorHAnsi" w:hAnsiTheme="minorHAnsi" w:cstheme="minorHAnsi"/>
        </w:rPr>
        <w:t xml:space="preserve"> Cumulative volume – includes volumes of all Lowbidgee wetland actions listed above.</w:t>
      </w:r>
    </w:p>
  </w:footnote>
  <w:footnote w:id="43">
    <w:p w14:paraId="14EA2A4C" w14:textId="77777777" w:rsidR="00583873" w:rsidRPr="0024331D" w:rsidRDefault="00583873" w:rsidP="0024331D">
      <w:pPr>
        <w:pStyle w:val="FootnoteText"/>
        <w:spacing w:before="0" w:after="0"/>
        <w:rPr>
          <w:rFonts w:asciiTheme="minorHAnsi" w:hAnsiTheme="minorHAnsi" w:cstheme="minorHAnsi"/>
          <w:lang w:val="en-US"/>
        </w:rPr>
      </w:pPr>
      <w:r w:rsidRPr="0024331D">
        <w:rPr>
          <w:rStyle w:val="FootnoteReference"/>
          <w:rFonts w:asciiTheme="minorHAnsi" w:hAnsiTheme="minorHAnsi" w:cstheme="minorHAnsi"/>
        </w:rPr>
        <w:footnoteRef/>
      </w:r>
      <w:r w:rsidRPr="0024331D">
        <w:rPr>
          <w:rFonts w:asciiTheme="minorHAnsi" w:hAnsiTheme="minorHAnsi" w:cstheme="minorHAnsi"/>
        </w:rPr>
        <w:t xml:space="preserve"> </w:t>
      </w:r>
      <w:r w:rsidRPr="0024331D">
        <w:rPr>
          <w:rFonts w:asciiTheme="minorHAnsi" w:hAnsiTheme="minorHAnsi" w:cstheme="minorHAnsi"/>
          <w:lang w:val="en-US"/>
        </w:rPr>
        <w:t xml:space="preserve">Southern-connected Basin is the network of rivers that feed into the Murray River between the Hume Dam and the sea. This includes the Murray, Murrumbidgee, Lower Darling, Ovens, Goulburn-Broken, Campaspe and Loddon valleys. </w:t>
      </w:r>
    </w:p>
  </w:footnote>
  <w:footnote w:id="44">
    <w:p w14:paraId="2C254F7D" w14:textId="7437402D" w:rsidR="00583873" w:rsidRPr="0024331D" w:rsidRDefault="00583873" w:rsidP="0024331D">
      <w:pPr>
        <w:spacing w:after="0"/>
        <w:rPr>
          <w:rFonts w:cstheme="minorHAnsi"/>
          <w:noProof/>
        </w:rPr>
      </w:pPr>
      <w:r>
        <w:rPr>
          <w:rStyle w:val="FootnoteReference"/>
        </w:rPr>
        <w:footnoteRef/>
      </w:r>
      <w:r>
        <w:t xml:space="preserve"> </w:t>
      </w:r>
      <w:r w:rsidRPr="0026786D">
        <w:rPr>
          <w:rFonts w:cstheme="minorHAnsi"/>
          <w:color w:val="000000" w:themeColor="text1"/>
          <w:sz w:val="18"/>
          <w:szCs w:val="18"/>
        </w:rPr>
        <w:t xml:space="preserve">Note the peak flow achievable with environmental water under current operating </w:t>
      </w:r>
      <w:r>
        <w:rPr>
          <w:rFonts w:cstheme="minorHAnsi"/>
          <w:color w:val="000000" w:themeColor="text1"/>
          <w:sz w:val="18"/>
          <w:szCs w:val="18"/>
        </w:rPr>
        <w:t>rule</w:t>
      </w:r>
      <w:r w:rsidRPr="0026786D">
        <w:rPr>
          <w:rFonts w:cstheme="minorHAnsi"/>
          <w:color w:val="000000" w:themeColor="text1"/>
          <w:sz w:val="18"/>
          <w:szCs w:val="18"/>
        </w:rPr>
        <w:t>s is approximately 9</w:t>
      </w:r>
      <w:r>
        <w:rPr>
          <w:rFonts w:cstheme="minorHAnsi"/>
          <w:color w:val="000000" w:themeColor="text1"/>
          <w:sz w:val="18"/>
          <w:szCs w:val="18"/>
        </w:rPr>
        <w:t xml:space="preserve"> </w:t>
      </w:r>
      <w:r w:rsidRPr="0026786D">
        <w:rPr>
          <w:rFonts w:cstheme="minorHAnsi"/>
          <w:color w:val="000000" w:themeColor="text1"/>
          <w:sz w:val="18"/>
          <w:szCs w:val="18"/>
        </w:rPr>
        <w:t>500 ML/d in the lower Goulburn. The full target flow of 15</w:t>
      </w:r>
      <w:r>
        <w:rPr>
          <w:rFonts w:cstheme="minorHAnsi"/>
          <w:color w:val="000000" w:themeColor="text1"/>
          <w:sz w:val="18"/>
          <w:szCs w:val="18"/>
        </w:rPr>
        <w:t xml:space="preserve"> </w:t>
      </w:r>
      <w:r w:rsidRPr="0026786D">
        <w:rPr>
          <w:rFonts w:cstheme="minorHAnsi"/>
          <w:color w:val="000000" w:themeColor="text1"/>
          <w:sz w:val="18"/>
          <w:szCs w:val="18"/>
        </w:rPr>
        <w:t>000 ML/d can however be met with unregulated tributary inflows.</w:t>
      </w:r>
    </w:p>
  </w:footnote>
  <w:footnote w:id="45">
    <w:p w14:paraId="58FC4692" w14:textId="77777777" w:rsidR="00583873" w:rsidRPr="00B942C1" w:rsidRDefault="00583873" w:rsidP="00EE5C1C">
      <w:pPr>
        <w:pStyle w:val="FootnoteText"/>
        <w:spacing w:before="120"/>
        <w:rPr>
          <w:lang w:val="en-US"/>
        </w:rPr>
      </w:pPr>
      <w:r w:rsidRPr="00EE5C1C">
        <w:rPr>
          <w:rStyle w:val="FootnoteReference"/>
          <w:rFonts w:asciiTheme="minorHAnsi" w:hAnsiTheme="minorHAnsi" w:cstheme="minorHAnsi"/>
        </w:rPr>
        <w:footnoteRef/>
      </w:r>
      <w:r w:rsidRPr="00EE5C1C">
        <w:rPr>
          <w:rFonts w:asciiTheme="minorHAnsi" w:hAnsiTheme="minorHAnsi" w:cstheme="minorHAnsi"/>
        </w:rPr>
        <w:t xml:space="preserve"> </w:t>
      </w:r>
      <w:bookmarkStart w:id="206" w:name="_Hlk43361565"/>
      <w:bookmarkStart w:id="207" w:name="_Hlk43361566"/>
      <w:r w:rsidRPr="00EE5C1C">
        <w:rPr>
          <w:rFonts w:asciiTheme="minorHAnsi" w:hAnsiTheme="minorHAnsi" w:cstheme="minorHAnsi"/>
          <w:lang w:val="en-US"/>
        </w:rPr>
        <w:t>Southern-connected Basin is the network of rivers that feed into the Murray River between the Hume Dam and the sea. This includes the Murray, Murrumbidgee</w:t>
      </w:r>
      <w:r>
        <w:rPr>
          <w:rFonts w:asciiTheme="minorHAnsi" w:hAnsiTheme="minorHAnsi" w:cstheme="minorHAnsi"/>
          <w:lang w:val="en-US"/>
        </w:rPr>
        <w:t>, Lower Darling, Ovens, Goulburn-Broken, Campaspe and Loddon valleys.</w:t>
      </w:r>
      <w:r>
        <w:rPr>
          <w:lang w:val="en-US"/>
        </w:rPr>
        <w:t xml:space="preserve"> </w:t>
      </w:r>
      <w:bookmarkEnd w:id="206"/>
      <w:bookmarkEnd w:id="207"/>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CE4428" w14:textId="2049E78D" w:rsidR="00583873" w:rsidRPr="009A77BC" w:rsidRDefault="00583873">
    <w:pPr>
      <w:pStyle w:val="Header"/>
      <w:rPr>
        <w:sz w:val="12"/>
      </w:rPr>
    </w:pPr>
    <w:r w:rsidRPr="009A77BC">
      <w:rPr>
        <w:noProof/>
        <w:sz w:val="12"/>
      </w:rPr>
      <w:drawing>
        <wp:anchor distT="0" distB="0" distL="114300" distR="114300" simplePos="0" relativeHeight="251658240" behindDoc="1" locked="0" layoutInCell="0" allowOverlap="1" wp14:anchorId="0E5A14C1" wp14:editId="7DE8F08F">
          <wp:simplePos x="0" y="0"/>
          <wp:positionH relativeFrom="page">
            <wp:align>center</wp:align>
          </wp:positionH>
          <wp:positionV relativeFrom="page">
            <wp:posOffset>257175</wp:posOffset>
          </wp:positionV>
          <wp:extent cx="7115175" cy="10131234"/>
          <wp:effectExtent l="0" t="0" r="0" b="3810"/>
          <wp:wrapNone/>
          <wp:docPr id="13" name="Picture 13" descr="CEWO-FS-Word-Template-HeadersFoo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248599839" descr="CEWO-FS-Word-Template-HeadersFooter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15175" cy="10131234"/>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385757" w14:textId="77777777" w:rsidR="00583873" w:rsidRPr="00346AF5" w:rsidRDefault="00583873" w:rsidP="00AA0841">
    <w:pPr>
      <w:pStyle w:val="Header"/>
      <w:pBdr>
        <w:bottom w:val="single" w:sz="8" w:space="1" w:color="8064A2" w:themeColor="accent4"/>
      </w:pBdr>
      <w:jc w:val="center"/>
      <w:rPr>
        <w:i/>
        <w:color w:val="A6A6A6" w:themeColor="background1" w:themeShade="A6"/>
        <w:lang w:val="en-US"/>
      </w:rPr>
    </w:pPr>
    <w:r w:rsidRPr="00346AF5">
      <w:rPr>
        <w:i/>
        <w:color w:val="A6A6A6" w:themeColor="background1" w:themeShade="A6"/>
        <w:lang w:val="en-US"/>
      </w:rPr>
      <w:t>Water Management Plan 2020</w:t>
    </w:r>
    <w:r>
      <w:rPr>
        <w:i/>
        <w:color w:val="A6A6A6" w:themeColor="background1" w:themeShade="A6"/>
        <w:lang w:val="en-US"/>
      </w:rPr>
      <w:t>–</w:t>
    </w:r>
    <w:r w:rsidRPr="00346AF5">
      <w:rPr>
        <w:i/>
        <w:color w:val="A6A6A6" w:themeColor="background1" w:themeShade="A6"/>
        <w:lang w:val="en-US"/>
      </w:rPr>
      <w:t>21</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399B43" w14:textId="77777777" w:rsidR="00583873" w:rsidRPr="009A6DB7" w:rsidRDefault="00583873" w:rsidP="009A6DB7">
    <w:pPr>
      <w:pStyle w:val="Header"/>
    </w:pPr>
  </w:p>
  <w:p w14:paraId="5B061A27" w14:textId="77777777" w:rsidR="00583873" w:rsidRDefault="00583873"/>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EF8A83" w14:textId="77777777" w:rsidR="00583873" w:rsidRPr="00A14EC0" w:rsidRDefault="00583873" w:rsidP="00AA0841">
    <w:pPr>
      <w:pBdr>
        <w:bottom w:val="single" w:sz="8" w:space="1" w:color="8064A2" w:themeColor="accent4"/>
      </w:pBdr>
      <w:tabs>
        <w:tab w:val="center" w:pos="4513"/>
        <w:tab w:val="right" w:pos="9026"/>
      </w:tabs>
      <w:spacing w:after="0"/>
      <w:jc w:val="center"/>
      <w:rPr>
        <w:i/>
        <w:color w:val="A6A6A6" w:themeColor="background1" w:themeShade="A6"/>
        <w:lang w:val="en-US"/>
      </w:rPr>
    </w:pPr>
    <w:r w:rsidRPr="00A14EC0">
      <w:rPr>
        <w:i/>
        <w:color w:val="A6A6A6" w:themeColor="background1" w:themeShade="A6"/>
        <w:lang w:val="en-US"/>
      </w:rPr>
      <w:t>Water Management Plan 2020–21</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D0EE48" w14:textId="77777777" w:rsidR="00583873" w:rsidRPr="00346AF5" w:rsidRDefault="00583873" w:rsidP="00AA0841">
    <w:pPr>
      <w:pStyle w:val="Header"/>
      <w:pBdr>
        <w:bottom w:val="single" w:sz="8" w:space="1" w:color="8064A2" w:themeColor="accent4"/>
      </w:pBdr>
      <w:jc w:val="center"/>
      <w:rPr>
        <w:i/>
        <w:color w:val="A6A6A6" w:themeColor="background1" w:themeShade="A6"/>
        <w:lang w:val="en-US"/>
      </w:rPr>
    </w:pPr>
    <w:r w:rsidRPr="00346AF5">
      <w:rPr>
        <w:i/>
        <w:color w:val="A6A6A6" w:themeColor="background1" w:themeShade="A6"/>
        <w:lang w:val="en-US"/>
      </w:rPr>
      <w:t>Water Management Plan 2020</w:t>
    </w:r>
    <w:r>
      <w:rPr>
        <w:i/>
        <w:color w:val="A6A6A6" w:themeColor="background1" w:themeShade="A6"/>
        <w:lang w:val="en-US"/>
      </w:rPr>
      <w:t>–</w:t>
    </w:r>
    <w:r w:rsidRPr="00346AF5">
      <w:rPr>
        <w:i/>
        <w:color w:val="A6A6A6" w:themeColor="background1" w:themeShade="A6"/>
        <w:lang w:val="en-US"/>
      </w:rPr>
      <w:t>21</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10E21D" w14:textId="77777777" w:rsidR="00583873" w:rsidRPr="00346AF5" w:rsidRDefault="00583873" w:rsidP="00AA0841">
    <w:pPr>
      <w:pStyle w:val="Header"/>
      <w:pBdr>
        <w:bottom w:val="single" w:sz="8" w:space="1" w:color="8064A2" w:themeColor="accent4"/>
      </w:pBdr>
      <w:jc w:val="center"/>
      <w:rPr>
        <w:i/>
        <w:color w:val="A6A6A6" w:themeColor="background1" w:themeShade="A6"/>
        <w:lang w:val="en-US"/>
      </w:rPr>
    </w:pPr>
    <w:r w:rsidRPr="00346AF5">
      <w:rPr>
        <w:i/>
        <w:color w:val="A6A6A6" w:themeColor="background1" w:themeShade="A6"/>
        <w:lang w:val="en-US"/>
      </w:rPr>
      <w:t>Water Management Plan 2020</w:t>
    </w:r>
    <w:r>
      <w:rPr>
        <w:i/>
        <w:color w:val="A6A6A6" w:themeColor="background1" w:themeShade="A6"/>
        <w:lang w:val="en-US"/>
      </w:rPr>
      <w:t>–</w:t>
    </w:r>
    <w:r w:rsidRPr="00346AF5">
      <w:rPr>
        <w:i/>
        <w:color w:val="A6A6A6" w:themeColor="background1" w:themeShade="A6"/>
        <w:lang w:val="en-US"/>
      </w:rPr>
      <w:t>21</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197562" w14:textId="77777777" w:rsidR="00583873" w:rsidRPr="00346AF5" w:rsidRDefault="00583873" w:rsidP="00AA0841">
    <w:pPr>
      <w:pStyle w:val="Header"/>
      <w:pBdr>
        <w:bottom w:val="single" w:sz="8" w:space="1" w:color="8064A2" w:themeColor="accent4"/>
      </w:pBdr>
      <w:jc w:val="center"/>
      <w:rPr>
        <w:i/>
        <w:color w:val="A6A6A6" w:themeColor="background1" w:themeShade="A6"/>
        <w:lang w:val="en-US"/>
      </w:rPr>
    </w:pPr>
    <w:r w:rsidRPr="00346AF5">
      <w:rPr>
        <w:i/>
        <w:color w:val="A6A6A6" w:themeColor="background1" w:themeShade="A6"/>
        <w:lang w:val="en-US"/>
      </w:rPr>
      <w:t>Water Management Plan 2020</w:t>
    </w:r>
    <w:r>
      <w:rPr>
        <w:i/>
        <w:color w:val="A6A6A6" w:themeColor="background1" w:themeShade="A6"/>
        <w:lang w:val="en-US"/>
      </w:rPr>
      <w:t>–</w:t>
    </w:r>
    <w:r w:rsidRPr="00346AF5">
      <w:rPr>
        <w:i/>
        <w:color w:val="A6A6A6" w:themeColor="background1" w:themeShade="A6"/>
        <w:lang w:val="en-US"/>
      </w:rPr>
      <w:t>21</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F271FB" w14:textId="77777777" w:rsidR="00583873" w:rsidRPr="009A6DB7" w:rsidRDefault="00583873" w:rsidP="009A6DB7">
    <w:pPr>
      <w:pStyle w:val="Header"/>
    </w:pPr>
  </w:p>
  <w:p w14:paraId="040B6B60" w14:textId="77777777" w:rsidR="00583873" w:rsidRDefault="00583873"/>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2A9FD4" w14:textId="77777777" w:rsidR="00583873" w:rsidRPr="003A1BCC" w:rsidRDefault="00583873" w:rsidP="00B27BEC">
    <w:pPr>
      <w:pStyle w:val="Header"/>
      <w:pBdr>
        <w:bottom w:val="single" w:sz="4" w:space="1" w:color="5F497A" w:themeColor="accent4" w:themeShade="BF"/>
      </w:pBdr>
      <w:jc w:val="center"/>
      <w:rPr>
        <w:i/>
        <w:color w:val="A6A6A6" w:themeColor="background1" w:themeShade="A6"/>
        <w:lang w:val="en-US"/>
      </w:rPr>
    </w:pPr>
    <w:r w:rsidRPr="003A1BCC">
      <w:rPr>
        <w:i/>
        <w:color w:val="A6A6A6" w:themeColor="background1" w:themeShade="A6"/>
        <w:lang w:val="en-US"/>
      </w:rPr>
      <w:t>Water Management Plan 2020–21</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28E9E8" w14:textId="77777777" w:rsidR="00583873" w:rsidRPr="00346AF5" w:rsidRDefault="00583873" w:rsidP="00AA0841">
    <w:pPr>
      <w:pStyle w:val="Header"/>
      <w:pBdr>
        <w:bottom w:val="single" w:sz="8" w:space="1" w:color="8064A2" w:themeColor="accent4"/>
      </w:pBdr>
      <w:jc w:val="center"/>
      <w:rPr>
        <w:i/>
        <w:color w:val="A6A6A6" w:themeColor="background1" w:themeShade="A6"/>
        <w:lang w:val="en-US"/>
      </w:rPr>
    </w:pPr>
    <w:r w:rsidRPr="00346AF5">
      <w:rPr>
        <w:i/>
        <w:color w:val="A6A6A6" w:themeColor="background1" w:themeShade="A6"/>
        <w:lang w:val="en-US"/>
      </w:rPr>
      <w:t>Water Management Plan 2020-21</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3BEAA2" w14:textId="77777777" w:rsidR="00583873" w:rsidRPr="00346AF5" w:rsidRDefault="00583873" w:rsidP="00583873">
    <w:pPr>
      <w:pStyle w:val="Header"/>
      <w:pBdr>
        <w:bottom w:val="single" w:sz="8" w:space="1" w:color="8064A2" w:themeColor="accent4"/>
      </w:pBdr>
      <w:jc w:val="center"/>
      <w:rPr>
        <w:i/>
        <w:color w:val="A6A6A6" w:themeColor="background1" w:themeShade="A6"/>
        <w:lang w:val="en-US"/>
      </w:rPr>
    </w:pPr>
    <w:r w:rsidRPr="00346AF5">
      <w:rPr>
        <w:i/>
        <w:color w:val="A6A6A6" w:themeColor="background1" w:themeShade="A6"/>
        <w:lang w:val="en-US"/>
      </w:rPr>
      <w:t>Water Management Plan 2020-21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B46FFF" w14:textId="40669196" w:rsidR="00583873" w:rsidRDefault="00583873">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62015D" w14:textId="77777777" w:rsidR="00583873" w:rsidRPr="00346AF5" w:rsidRDefault="00583873" w:rsidP="00583873">
    <w:pPr>
      <w:pStyle w:val="Header"/>
      <w:pBdr>
        <w:bottom w:val="single" w:sz="8" w:space="1" w:color="8064A2" w:themeColor="accent4"/>
      </w:pBdr>
      <w:jc w:val="center"/>
      <w:rPr>
        <w:i/>
        <w:color w:val="A6A6A6" w:themeColor="background1" w:themeShade="A6"/>
        <w:lang w:val="en-US"/>
      </w:rPr>
    </w:pPr>
    <w:r w:rsidRPr="00346AF5">
      <w:rPr>
        <w:i/>
        <w:color w:val="A6A6A6" w:themeColor="background1" w:themeShade="A6"/>
        <w:lang w:val="en-US"/>
      </w:rPr>
      <w:t>Water Management Plan 2020-21</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673F8F" w14:textId="77777777" w:rsidR="00583873" w:rsidRPr="00346AF5" w:rsidRDefault="00583873" w:rsidP="00583873">
    <w:pPr>
      <w:pStyle w:val="Header"/>
      <w:pBdr>
        <w:bottom w:val="single" w:sz="8" w:space="1" w:color="8064A2" w:themeColor="accent4"/>
      </w:pBdr>
      <w:jc w:val="center"/>
      <w:rPr>
        <w:i/>
        <w:color w:val="A6A6A6" w:themeColor="background1" w:themeShade="A6"/>
        <w:lang w:val="en-US"/>
      </w:rPr>
    </w:pPr>
    <w:r w:rsidRPr="00346AF5">
      <w:rPr>
        <w:i/>
        <w:color w:val="A6A6A6" w:themeColor="background1" w:themeShade="A6"/>
        <w:lang w:val="en-US"/>
      </w:rPr>
      <w:t>Water Management Plan 2020-21</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2C474C" w14:textId="77777777" w:rsidR="00583873" w:rsidRPr="00346AF5" w:rsidRDefault="00583873" w:rsidP="00AA0841">
    <w:pPr>
      <w:pStyle w:val="Header"/>
      <w:pBdr>
        <w:bottom w:val="single" w:sz="8" w:space="1" w:color="8064A2" w:themeColor="accent4"/>
      </w:pBdr>
      <w:jc w:val="center"/>
      <w:rPr>
        <w:i/>
        <w:color w:val="A6A6A6" w:themeColor="background1" w:themeShade="A6"/>
        <w:lang w:val="en-US"/>
      </w:rPr>
    </w:pPr>
    <w:r w:rsidRPr="00346AF5">
      <w:rPr>
        <w:i/>
        <w:color w:val="A6A6A6" w:themeColor="background1" w:themeShade="A6"/>
        <w:lang w:val="en-US"/>
      </w:rPr>
      <w:t>Water Management Plan 2020-21</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2A0D02" w14:textId="77777777" w:rsidR="00583873" w:rsidRPr="00346AF5" w:rsidRDefault="00583873" w:rsidP="00AA0841">
    <w:pPr>
      <w:pStyle w:val="Header"/>
      <w:pBdr>
        <w:bottom w:val="single" w:sz="8" w:space="1" w:color="8064A2" w:themeColor="accent4"/>
      </w:pBdr>
      <w:jc w:val="center"/>
      <w:rPr>
        <w:i/>
        <w:color w:val="A6A6A6" w:themeColor="background1" w:themeShade="A6"/>
        <w:lang w:val="en-US"/>
      </w:rPr>
    </w:pPr>
    <w:r w:rsidRPr="00346AF5">
      <w:rPr>
        <w:i/>
        <w:color w:val="A6A6A6" w:themeColor="background1" w:themeShade="A6"/>
        <w:lang w:val="en-US"/>
      </w:rPr>
      <w:t>Water Management Plan 2020-21</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5C5B24" w14:textId="1F268B24" w:rsidR="00583873" w:rsidRPr="009A6DB7" w:rsidRDefault="00583873" w:rsidP="009A6DB7">
    <w:pPr>
      <w:pStyle w:val="Header"/>
    </w:pPr>
  </w:p>
  <w:p w14:paraId="612153C3" w14:textId="77777777" w:rsidR="00583873" w:rsidRDefault="00583873"/>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CCB726" w14:textId="24B4A5F1" w:rsidR="00583873" w:rsidRDefault="00583873" w:rsidP="002400BD">
    <w:pPr>
      <w:pStyle w:val="Header"/>
      <w:pBdr>
        <w:bottom w:val="single" w:sz="4" w:space="1" w:color="A6A6A6" w:themeColor="background1" w:themeShade="A6"/>
      </w:pBdr>
      <w:jc w:val="center"/>
    </w:pPr>
    <w:r w:rsidRPr="00346AF5">
      <w:rPr>
        <w:i/>
        <w:color w:val="A6A6A6" w:themeColor="background1" w:themeShade="A6"/>
        <w:lang w:val="en-US"/>
      </w:rPr>
      <w:t>Water Management Plan 20</w:t>
    </w:r>
    <w:r>
      <w:rPr>
        <w:i/>
        <w:color w:val="A6A6A6" w:themeColor="background1" w:themeShade="A6"/>
        <w:lang w:val="en-US"/>
      </w:rPr>
      <w:t>20-21</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45FF84" w14:textId="6AC192B8" w:rsidR="00583873" w:rsidRDefault="0058387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D8C0E2" w14:textId="2DEA1633" w:rsidR="00583873" w:rsidRPr="002400BD" w:rsidRDefault="00583873" w:rsidP="002400B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C2F4E5" w14:textId="4E44CC83" w:rsidR="00583873" w:rsidRDefault="0058387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02AACA" w14:textId="77777777" w:rsidR="00583873" w:rsidRPr="002400BD" w:rsidRDefault="00583873" w:rsidP="002400B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909998" w14:textId="2BCB64C5" w:rsidR="00583873" w:rsidRDefault="0058387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B014E9" w14:textId="34E5B0EF" w:rsidR="00583873" w:rsidRDefault="0058387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76B960" w14:textId="39EBF2B9" w:rsidR="00583873" w:rsidRDefault="0058387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A4A0D5" w14:textId="77777777" w:rsidR="00583873" w:rsidRPr="00346AF5" w:rsidRDefault="00583873" w:rsidP="00B27BEC">
    <w:pPr>
      <w:pStyle w:val="Header"/>
      <w:pBdr>
        <w:bottom w:val="single" w:sz="8" w:space="1" w:color="8064A2" w:themeColor="accent4"/>
      </w:pBdr>
      <w:jc w:val="center"/>
      <w:rPr>
        <w:i/>
        <w:color w:val="A6A6A6" w:themeColor="background1" w:themeShade="A6"/>
        <w:lang w:val="en-US"/>
      </w:rPr>
    </w:pPr>
    <w:r w:rsidRPr="00346AF5">
      <w:rPr>
        <w:i/>
        <w:color w:val="A6A6A6" w:themeColor="background1" w:themeShade="A6"/>
        <w:lang w:val="en-US"/>
      </w:rPr>
      <w:t>Water Management Plan 2020</w:t>
    </w:r>
    <w:r>
      <w:rPr>
        <w:i/>
        <w:color w:val="A6A6A6" w:themeColor="background1" w:themeShade="A6"/>
        <w:lang w:val="en-US"/>
      </w:rPr>
      <w:t>–</w:t>
    </w:r>
    <w:r w:rsidRPr="00346AF5">
      <w:rPr>
        <w:i/>
        <w:color w:val="A6A6A6" w:themeColor="background1" w:themeShade="A6"/>
        <w:lang w:val="en-US"/>
      </w:rPr>
      <w:t>21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995CEE98"/>
    <w:styleLink w:val="KeyPoints11"/>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00032DB9"/>
    <w:multiLevelType w:val="multilevel"/>
    <w:tmpl w:val="E5E89F92"/>
    <w:styleLink w:val="Attach2"/>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2" w15:restartNumberingAfterBreak="0">
    <w:nsid w:val="005A2E66"/>
    <w:multiLevelType w:val="hybridMultilevel"/>
    <w:tmpl w:val="7E749960"/>
    <w:lvl w:ilvl="0" w:tplc="6524A038">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2CE4F49"/>
    <w:multiLevelType w:val="multilevel"/>
    <w:tmpl w:val="D98AFEB0"/>
    <w:lvl w:ilvl="0">
      <w:start w:val="1"/>
      <w:numFmt w:val="bullet"/>
      <w:pStyle w:val="Bullet"/>
      <w:lvlText w:val="•"/>
      <w:lvlJc w:val="left"/>
      <w:pPr>
        <w:tabs>
          <w:tab w:val="num" w:pos="747"/>
        </w:tabs>
        <w:ind w:left="747" w:hanging="567"/>
      </w:pPr>
      <w:rPr>
        <w:rFonts w:ascii="Times New Roman" w:hAnsi="Times New Roman"/>
      </w:rPr>
    </w:lvl>
    <w:lvl w:ilvl="1">
      <w:start w:val="1"/>
      <w:numFmt w:val="bullet"/>
      <w:pStyle w:val="Dash"/>
      <w:lvlText w:val="–"/>
      <w:lvlJc w:val="left"/>
      <w:pPr>
        <w:tabs>
          <w:tab w:val="num" w:pos="1134"/>
        </w:tabs>
        <w:ind w:left="1134" w:hanging="567"/>
      </w:pPr>
      <w:rPr>
        <w:rFonts w:ascii="Times New Roman" w:hAnsi="Times New Roman"/>
      </w:rPr>
    </w:lvl>
    <w:lvl w:ilvl="2">
      <w:start w:val="1"/>
      <w:numFmt w:val="bullet"/>
      <w:pStyle w:val="DoubleDot"/>
      <w:lvlText w:val=":"/>
      <w:lvlJc w:val="left"/>
      <w:pPr>
        <w:tabs>
          <w:tab w:val="num" w:pos="1701"/>
        </w:tabs>
        <w:ind w:left="1701" w:hanging="567"/>
      </w:pPr>
      <w:rPr>
        <w:rFonts w:ascii="Times New Roman" w:hAnsi="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 w15:restartNumberingAfterBreak="0">
    <w:nsid w:val="0E422808"/>
    <w:multiLevelType w:val="hybridMultilevel"/>
    <w:tmpl w:val="BE8A296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6097DE7"/>
    <w:multiLevelType w:val="singleLevel"/>
    <w:tmpl w:val="9B94E4FC"/>
    <w:styleLink w:val="KeyPoints115"/>
    <w:lvl w:ilvl="0">
      <w:start w:val="1"/>
      <w:numFmt w:val="bullet"/>
      <w:pStyle w:val="Para0bullet"/>
      <w:lvlText w:val=""/>
      <w:lvlJc w:val="left"/>
      <w:pPr>
        <w:tabs>
          <w:tab w:val="num" w:pos="430"/>
        </w:tabs>
        <w:ind w:left="430" w:hanging="397"/>
      </w:pPr>
      <w:rPr>
        <w:rFonts w:ascii="Wingdings" w:hAnsi="Wingdings" w:hint="default"/>
        <w:sz w:val="12"/>
      </w:rPr>
    </w:lvl>
  </w:abstractNum>
  <w:abstractNum w:abstractNumId="6" w15:restartNumberingAfterBreak="0">
    <w:nsid w:val="16EE69D3"/>
    <w:multiLevelType w:val="hybridMultilevel"/>
    <w:tmpl w:val="2336224E"/>
    <w:lvl w:ilvl="0" w:tplc="EBC6BD5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784511A"/>
    <w:multiLevelType w:val="multilevel"/>
    <w:tmpl w:val="E898CC72"/>
    <w:styleLink w:val="BulletList6"/>
    <w:lvl w:ilvl="0">
      <w:start w:val="1"/>
      <w:numFmt w:val="decimal"/>
      <w:lvlText w:val="%1."/>
      <w:lvlJc w:val="left"/>
      <w:pPr>
        <w:ind w:left="369" w:hanging="369"/>
      </w:pPr>
      <w:rPr>
        <w:rFonts w:ascii="Arial" w:hAnsi="Arial" w:hint="default"/>
        <w:sz w:val="22"/>
      </w:rPr>
    </w:lvl>
    <w:lvl w:ilvl="1">
      <w:start w:val="1"/>
      <w:numFmt w:val="lowerLetter"/>
      <w:lvlText w:val="%2."/>
      <w:lvlJc w:val="left"/>
      <w:pPr>
        <w:ind w:left="738" w:hanging="369"/>
      </w:pPr>
      <w:rPr>
        <w:rFonts w:hint="default"/>
      </w:rPr>
    </w:lvl>
    <w:lvl w:ilvl="2">
      <w:start w:val="1"/>
      <w:numFmt w:val="lowerRoman"/>
      <w:lvlText w:val="%3."/>
      <w:lvlJc w:val="left"/>
      <w:pPr>
        <w:ind w:left="1107" w:hanging="369"/>
      </w:pPr>
      <w:rPr>
        <w:rFonts w:hint="default"/>
      </w:rPr>
    </w:lvl>
    <w:lvl w:ilvl="3">
      <w:start w:val="1"/>
      <w:numFmt w:val="none"/>
      <w:lvlText w:val="%4"/>
      <w:lvlJc w:val="left"/>
      <w:pPr>
        <w:ind w:left="1476" w:hanging="369"/>
      </w:pPr>
      <w:rPr>
        <w:rFonts w:hint="default"/>
      </w:rPr>
    </w:lvl>
    <w:lvl w:ilvl="4">
      <w:start w:val="1"/>
      <w:numFmt w:val="none"/>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8" w15:restartNumberingAfterBreak="0">
    <w:nsid w:val="17960D8D"/>
    <w:multiLevelType w:val="hybridMultilevel"/>
    <w:tmpl w:val="0F22084E"/>
    <w:styleLink w:val="BulletList111"/>
    <w:lvl w:ilvl="0" w:tplc="F5B4C226">
      <w:start w:val="1"/>
      <w:numFmt w:val="bullet"/>
      <w:lvlText w:val=""/>
      <w:lvlJc w:val="left"/>
      <w:pPr>
        <w:ind w:left="360" w:hanging="360"/>
      </w:pPr>
      <w:rPr>
        <w:rFonts w:ascii="Symbol" w:hAnsi="Symbol" w:hint="default"/>
      </w:rPr>
    </w:lvl>
    <w:lvl w:ilvl="1" w:tplc="A1FCD3DA">
      <w:start w:val="1"/>
      <w:numFmt w:val="bullet"/>
      <w:lvlText w:val="o"/>
      <w:lvlJc w:val="left"/>
      <w:pPr>
        <w:ind w:left="1080" w:hanging="360"/>
      </w:pPr>
      <w:rPr>
        <w:rFonts w:ascii="Courier New" w:hAnsi="Courier New" w:cs="Courier New" w:hint="default"/>
      </w:rPr>
    </w:lvl>
    <w:lvl w:ilvl="2" w:tplc="CD8887E4">
      <w:start w:val="1"/>
      <w:numFmt w:val="bullet"/>
      <w:lvlText w:val=""/>
      <w:lvlJc w:val="left"/>
      <w:pPr>
        <w:ind w:left="1800" w:hanging="360"/>
      </w:pPr>
      <w:rPr>
        <w:rFonts w:ascii="Wingdings" w:hAnsi="Wingdings" w:hint="default"/>
      </w:rPr>
    </w:lvl>
    <w:lvl w:ilvl="3" w:tplc="B17C8A5A">
      <w:start w:val="1"/>
      <w:numFmt w:val="bullet"/>
      <w:lvlText w:val=""/>
      <w:lvlJc w:val="left"/>
      <w:pPr>
        <w:ind w:left="2520" w:hanging="360"/>
      </w:pPr>
      <w:rPr>
        <w:rFonts w:ascii="Symbol" w:hAnsi="Symbol" w:hint="default"/>
      </w:rPr>
    </w:lvl>
    <w:lvl w:ilvl="4" w:tplc="2216FABE" w:tentative="1">
      <w:start w:val="1"/>
      <w:numFmt w:val="bullet"/>
      <w:lvlText w:val="o"/>
      <w:lvlJc w:val="left"/>
      <w:pPr>
        <w:ind w:left="3240" w:hanging="360"/>
      </w:pPr>
      <w:rPr>
        <w:rFonts w:ascii="Courier New" w:hAnsi="Courier New" w:cs="Courier New" w:hint="default"/>
      </w:rPr>
    </w:lvl>
    <w:lvl w:ilvl="5" w:tplc="1304C03E" w:tentative="1">
      <w:start w:val="1"/>
      <w:numFmt w:val="bullet"/>
      <w:lvlText w:val=""/>
      <w:lvlJc w:val="left"/>
      <w:pPr>
        <w:ind w:left="3960" w:hanging="360"/>
      </w:pPr>
      <w:rPr>
        <w:rFonts w:ascii="Wingdings" w:hAnsi="Wingdings" w:hint="default"/>
      </w:rPr>
    </w:lvl>
    <w:lvl w:ilvl="6" w:tplc="998289C6" w:tentative="1">
      <w:start w:val="1"/>
      <w:numFmt w:val="bullet"/>
      <w:lvlText w:val=""/>
      <w:lvlJc w:val="left"/>
      <w:pPr>
        <w:ind w:left="4680" w:hanging="360"/>
      </w:pPr>
      <w:rPr>
        <w:rFonts w:ascii="Symbol" w:hAnsi="Symbol" w:hint="default"/>
      </w:rPr>
    </w:lvl>
    <w:lvl w:ilvl="7" w:tplc="D2E65FDE" w:tentative="1">
      <w:start w:val="1"/>
      <w:numFmt w:val="bullet"/>
      <w:lvlText w:val="o"/>
      <w:lvlJc w:val="left"/>
      <w:pPr>
        <w:ind w:left="5400" w:hanging="360"/>
      </w:pPr>
      <w:rPr>
        <w:rFonts w:ascii="Courier New" w:hAnsi="Courier New" w:cs="Courier New" w:hint="default"/>
      </w:rPr>
    </w:lvl>
    <w:lvl w:ilvl="8" w:tplc="31E8E524" w:tentative="1">
      <w:start w:val="1"/>
      <w:numFmt w:val="bullet"/>
      <w:lvlText w:val=""/>
      <w:lvlJc w:val="left"/>
      <w:pPr>
        <w:ind w:left="6120" w:hanging="360"/>
      </w:pPr>
      <w:rPr>
        <w:rFonts w:ascii="Wingdings" w:hAnsi="Wingdings" w:hint="default"/>
      </w:rPr>
    </w:lvl>
  </w:abstractNum>
  <w:abstractNum w:abstractNumId="9" w15:restartNumberingAfterBreak="0">
    <w:nsid w:val="19714C3B"/>
    <w:multiLevelType w:val="multilevel"/>
    <w:tmpl w:val="8982B118"/>
    <w:styleLink w:val="WMPheadings"/>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lowerLetter"/>
      <w:lvlText w:val="(%4)"/>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0" w15:restartNumberingAfterBreak="0">
    <w:nsid w:val="19A27EB3"/>
    <w:multiLevelType w:val="multilevel"/>
    <w:tmpl w:val="E76C9AB8"/>
    <w:lvl w:ilvl="0">
      <w:start w:val="1"/>
      <w:numFmt w:val="bullet"/>
      <w:pStyle w:val="StyleStylePara12Arial11ptAfter0pt10ptAuto"/>
      <w:lvlText w:val=""/>
      <w:lvlJc w:val="left"/>
      <w:pPr>
        <w:tabs>
          <w:tab w:val="num" w:pos="284"/>
        </w:tabs>
        <w:ind w:left="284" w:hanging="284"/>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C366B45"/>
    <w:multiLevelType w:val="hybridMultilevel"/>
    <w:tmpl w:val="206409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F745BC2"/>
    <w:multiLevelType w:val="multilevel"/>
    <w:tmpl w:val="FFE0C282"/>
    <w:lvl w:ilvl="0">
      <w:start w:val="1"/>
      <w:numFmt w:val="bullet"/>
      <w:pStyle w:val="ListBullet"/>
      <w:lvlText w:val=""/>
      <w:lvlJc w:val="left"/>
      <w:pPr>
        <w:ind w:left="369" w:hanging="369"/>
      </w:pPr>
      <w:rPr>
        <w:rFonts w:ascii="Symbol" w:hAnsi="Symbol" w:hint="default"/>
        <w:color w:val="000000" w:themeColor="text1"/>
      </w:rPr>
    </w:lvl>
    <w:lvl w:ilvl="1">
      <w:start w:val="1"/>
      <w:numFmt w:val="none"/>
      <w:lvlText w:val="-"/>
      <w:lvlJc w:val="left"/>
      <w:pPr>
        <w:ind w:left="737" w:hanging="368"/>
      </w:pPr>
      <w:rPr>
        <w:rFonts w:cs="Times New Roman" w:hint="default"/>
      </w:rPr>
    </w:lvl>
    <w:lvl w:ilvl="2">
      <w:start w:val="1"/>
      <w:numFmt w:val="none"/>
      <w:lvlText w:val=":"/>
      <w:lvlJc w:val="left"/>
      <w:pPr>
        <w:ind w:left="1106" w:hanging="369"/>
      </w:pPr>
      <w:rPr>
        <w:rFonts w:cs="Times New Roman" w:hint="default"/>
      </w:rPr>
    </w:lvl>
    <w:lvl w:ilvl="3">
      <w:start w:val="1"/>
      <w:numFmt w:val="none"/>
      <w:lvlText w:val=""/>
      <w:lvlJc w:val="left"/>
      <w:pPr>
        <w:ind w:left="1474" w:hanging="368"/>
      </w:pPr>
      <w:rPr>
        <w:rFonts w:cs="Times New Roman" w:hint="default"/>
        <w:color w:val="auto"/>
      </w:rPr>
    </w:lvl>
    <w:lvl w:ilvl="4">
      <w:start w:val="1"/>
      <w:numFmt w:val="none"/>
      <w:lvlText w:val=""/>
      <w:lvlJc w:val="left"/>
      <w:pPr>
        <w:ind w:left="1800" w:hanging="360"/>
      </w:pPr>
      <w:rPr>
        <w:rFonts w:cs="Times New Roman" w:hint="default"/>
        <w:color w:val="auto"/>
      </w:rPr>
    </w:lvl>
    <w:lvl w:ilvl="5">
      <w:start w:val="1"/>
      <w:numFmt w:val="none"/>
      <w:lvlText w:val=""/>
      <w:lvlJc w:val="left"/>
      <w:pPr>
        <w:ind w:left="2160" w:hanging="360"/>
      </w:pPr>
      <w:rPr>
        <w:rFonts w:cs="Times New Roman" w:hint="default"/>
        <w:color w:val="auto"/>
      </w:rPr>
    </w:lvl>
    <w:lvl w:ilvl="6">
      <w:start w:val="1"/>
      <w:numFmt w:val="none"/>
      <w:lvlText w:val=""/>
      <w:lvlJc w:val="left"/>
      <w:pPr>
        <w:ind w:left="2520" w:hanging="360"/>
      </w:pPr>
      <w:rPr>
        <w:rFonts w:cs="Times New Roman" w:hint="default"/>
        <w:color w:val="auto"/>
      </w:rPr>
    </w:lvl>
    <w:lvl w:ilvl="7">
      <w:start w:val="1"/>
      <w:numFmt w:val="none"/>
      <w:lvlText w:val=""/>
      <w:lvlJc w:val="left"/>
      <w:pPr>
        <w:ind w:left="2880" w:hanging="360"/>
      </w:pPr>
      <w:rPr>
        <w:rFonts w:cs="Times New Roman" w:hint="default"/>
        <w:color w:val="auto"/>
      </w:rPr>
    </w:lvl>
    <w:lvl w:ilvl="8">
      <w:start w:val="1"/>
      <w:numFmt w:val="none"/>
      <w:lvlText w:val=""/>
      <w:lvlJc w:val="left"/>
      <w:pPr>
        <w:ind w:left="3240" w:hanging="360"/>
      </w:pPr>
      <w:rPr>
        <w:rFonts w:cs="Times New Roman" w:hint="default"/>
        <w:color w:val="auto"/>
      </w:rPr>
    </w:lvl>
  </w:abstractNum>
  <w:abstractNum w:abstractNumId="13" w15:restartNumberingAfterBreak="0">
    <w:nsid w:val="21404221"/>
    <w:multiLevelType w:val="hybridMultilevel"/>
    <w:tmpl w:val="1722C18E"/>
    <w:lvl w:ilvl="0" w:tplc="08B6A2E8">
      <w:start w:val="1"/>
      <w:numFmt w:val="bullet"/>
      <w:pStyle w:val="DotStyle2"/>
      <w:lvlText w:val="o"/>
      <w:lvlJc w:val="left"/>
      <w:pPr>
        <w:ind w:left="843" w:hanging="360"/>
      </w:pPr>
      <w:rPr>
        <w:rFonts w:ascii="Courier New" w:hAnsi="Courier New" w:cs="Courier New" w:hint="default"/>
      </w:rPr>
    </w:lvl>
    <w:lvl w:ilvl="1" w:tplc="0C090003" w:tentative="1">
      <w:start w:val="1"/>
      <w:numFmt w:val="bullet"/>
      <w:lvlText w:val="o"/>
      <w:lvlJc w:val="left"/>
      <w:pPr>
        <w:ind w:left="1563" w:hanging="360"/>
      </w:pPr>
      <w:rPr>
        <w:rFonts w:ascii="Courier New" w:hAnsi="Courier New" w:cs="Courier New" w:hint="default"/>
      </w:rPr>
    </w:lvl>
    <w:lvl w:ilvl="2" w:tplc="0C090005" w:tentative="1">
      <w:start w:val="1"/>
      <w:numFmt w:val="bullet"/>
      <w:lvlText w:val=""/>
      <w:lvlJc w:val="left"/>
      <w:pPr>
        <w:ind w:left="2283" w:hanging="360"/>
      </w:pPr>
      <w:rPr>
        <w:rFonts w:ascii="Wingdings" w:hAnsi="Wingdings" w:hint="default"/>
      </w:rPr>
    </w:lvl>
    <w:lvl w:ilvl="3" w:tplc="0C090001" w:tentative="1">
      <w:start w:val="1"/>
      <w:numFmt w:val="bullet"/>
      <w:lvlText w:val=""/>
      <w:lvlJc w:val="left"/>
      <w:pPr>
        <w:ind w:left="3003" w:hanging="360"/>
      </w:pPr>
      <w:rPr>
        <w:rFonts w:ascii="Symbol" w:hAnsi="Symbol" w:hint="default"/>
      </w:rPr>
    </w:lvl>
    <w:lvl w:ilvl="4" w:tplc="0C090003" w:tentative="1">
      <w:start w:val="1"/>
      <w:numFmt w:val="bullet"/>
      <w:lvlText w:val="o"/>
      <w:lvlJc w:val="left"/>
      <w:pPr>
        <w:ind w:left="3723" w:hanging="360"/>
      </w:pPr>
      <w:rPr>
        <w:rFonts w:ascii="Courier New" w:hAnsi="Courier New" w:cs="Courier New" w:hint="default"/>
      </w:rPr>
    </w:lvl>
    <w:lvl w:ilvl="5" w:tplc="0C090005" w:tentative="1">
      <w:start w:val="1"/>
      <w:numFmt w:val="bullet"/>
      <w:lvlText w:val=""/>
      <w:lvlJc w:val="left"/>
      <w:pPr>
        <w:ind w:left="4443" w:hanging="360"/>
      </w:pPr>
      <w:rPr>
        <w:rFonts w:ascii="Wingdings" w:hAnsi="Wingdings" w:hint="default"/>
      </w:rPr>
    </w:lvl>
    <w:lvl w:ilvl="6" w:tplc="0C090001" w:tentative="1">
      <w:start w:val="1"/>
      <w:numFmt w:val="bullet"/>
      <w:lvlText w:val=""/>
      <w:lvlJc w:val="left"/>
      <w:pPr>
        <w:ind w:left="5163" w:hanging="360"/>
      </w:pPr>
      <w:rPr>
        <w:rFonts w:ascii="Symbol" w:hAnsi="Symbol" w:hint="default"/>
      </w:rPr>
    </w:lvl>
    <w:lvl w:ilvl="7" w:tplc="0C090003" w:tentative="1">
      <w:start w:val="1"/>
      <w:numFmt w:val="bullet"/>
      <w:lvlText w:val="o"/>
      <w:lvlJc w:val="left"/>
      <w:pPr>
        <w:ind w:left="5883" w:hanging="360"/>
      </w:pPr>
      <w:rPr>
        <w:rFonts w:ascii="Courier New" w:hAnsi="Courier New" w:cs="Courier New" w:hint="default"/>
      </w:rPr>
    </w:lvl>
    <w:lvl w:ilvl="8" w:tplc="0C090005" w:tentative="1">
      <w:start w:val="1"/>
      <w:numFmt w:val="bullet"/>
      <w:lvlText w:val=""/>
      <w:lvlJc w:val="left"/>
      <w:pPr>
        <w:ind w:left="6603" w:hanging="360"/>
      </w:pPr>
      <w:rPr>
        <w:rFonts w:ascii="Wingdings" w:hAnsi="Wingdings" w:hint="default"/>
      </w:rPr>
    </w:lvl>
  </w:abstractNum>
  <w:abstractNum w:abstractNumId="14" w15:restartNumberingAfterBreak="0">
    <w:nsid w:val="25E86407"/>
    <w:multiLevelType w:val="hybridMultilevel"/>
    <w:tmpl w:val="75966574"/>
    <w:lvl w:ilvl="0" w:tplc="33EEB8B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73F45FE"/>
    <w:multiLevelType w:val="hybridMultilevel"/>
    <w:tmpl w:val="F864D268"/>
    <w:styleLink w:val="Attach116"/>
    <w:lvl w:ilvl="0" w:tplc="E6748FEA">
      <w:start w:val="1"/>
      <w:numFmt w:val="decimal"/>
      <w:pStyle w:val="Para1number"/>
      <w:lvlText w:val="%1)"/>
      <w:lvlJc w:val="left"/>
      <w:pPr>
        <w:tabs>
          <w:tab w:val="num" w:pos="794"/>
        </w:tabs>
        <w:ind w:left="794" w:hanging="397"/>
      </w:pPr>
      <w:rPr>
        <w:rFonts w:cs="Times New Roman" w:hint="default"/>
      </w:rPr>
    </w:lvl>
    <w:lvl w:ilvl="1" w:tplc="75AA8DBC" w:tentative="1">
      <w:start w:val="1"/>
      <w:numFmt w:val="lowerLetter"/>
      <w:lvlText w:val="%2."/>
      <w:lvlJc w:val="left"/>
      <w:pPr>
        <w:tabs>
          <w:tab w:val="num" w:pos="1440"/>
        </w:tabs>
        <w:ind w:left="1440" w:hanging="360"/>
      </w:pPr>
      <w:rPr>
        <w:rFonts w:cs="Times New Roman"/>
      </w:rPr>
    </w:lvl>
    <w:lvl w:ilvl="2" w:tplc="0F569F52" w:tentative="1">
      <w:start w:val="1"/>
      <w:numFmt w:val="lowerRoman"/>
      <w:lvlText w:val="%3."/>
      <w:lvlJc w:val="right"/>
      <w:pPr>
        <w:tabs>
          <w:tab w:val="num" w:pos="2160"/>
        </w:tabs>
        <w:ind w:left="2160" w:hanging="180"/>
      </w:pPr>
      <w:rPr>
        <w:rFonts w:cs="Times New Roman"/>
      </w:rPr>
    </w:lvl>
    <w:lvl w:ilvl="3" w:tplc="AF782C76" w:tentative="1">
      <w:start w:val="1"/>
      <w:numFmt w:val="decimal"/>
      <w:lvlText w:val="%4."/>
      <w:lvlJc w:val="left"/>
      <w:pPr>
        <w:tabs>
          <w:tab w:val="num" w:pos="2880"/>
        </w:tabs>
        <w:ind w:left="2880" w:hanging="360"/>
      </w:pPr>
      <w:rPr>
        <w:rFonts w:cs="Times New Roman"/>
      </w:rPr>
    </w:lvl>
    <w:lvl w:ilvl="4" w:tplc="38DCA02C" w:tentative="1">
      <w:start w:val="1"/>
      <w:numFmt w:val="lowerLetter"/>
      <w:lvlText w:val="%5."/>
      <w:lvlJc w:val="left"/>
      <w:pPr>
        <w:tabs>
          <w:tab w:val="num" w:pos="3600"/>
        </w:tabs>
        <w:ind w:left="3600" w:hanging="360"/>
      </w:pPr>
      <w:rPr>
        <w:rFonts w:cs="Times New Roman"/>
      </w:rPr>
    </w:lvl>
    <w:lvl w:ilvl="5" w:tplc="40BAA044" w:tentative="1">
      <w:start w:val="1"/>
      <w:numFmt w:val="lowerRoman"/>
      <w:lvlText w:val="%6."/>
      <w:lvlJc w:val="right"/>
      <w:pPr>
        <w:tabs>
          <w:tab w:val="num" w:pos="4320"/>
        </w:tabs>
        <w:ind w:left="4320" w:hanging="180"/>
      </w:pPr>
      <w:rPr>
        <w:rFonts w:cs="Times New Roman"/>
      </w:rPr>
    </w:lvl>
    <w:lvl w:ilvl="6" w:tplc="02086902" w:tentative="1">
      <w:start w:val="1"/>
      <w:numFmt w:val="decimal"/>
      <w:lvlText w:val="%7."/>
      <w:lvlJc w:val="left"/>
      <w:pPr>
        <w:tabs>
          <w:tab w:val="num" w:pos="5040"/>
        </w:tabs>
        <w:ind w:left="5040" w:hanging="360"/>
      </w:pPr>
      <w:rPr>
        <w:rFonts w:cs="Times New Roman"/>
      </w:rPr>
    </w:lvl>
    <w:lvl w:ilvl="7" w:tplc="EDF0CBF8" w:tentative="1">
      <w:start w:val="1"/>
      <w:numFmt w:val="lowerLetter"/>
      <w:lvlText w:val="%8."/>
      <w:lvlJc w:val="left"/>
      <w:pPr>
        <w:tabs>
          <w:tab w:val="num" w:pos="5760"/>
        </w:tabs>
        <w:ind w:left="5760" w:hanging="360"/>
      </w:pPr>
      <w:rPr>
        <w:rFonts w:cs="Times New Roman"/>
      </w:rPr>
    </w:lvl>
    <w:lvl w:ilvl="8" w:tplc="845ACE9C" w:tentative="1">
      <w:start w:val="1"/>
      <w:numFmt w:val="lowerRoman"/>
      <w:lvlText w:val="%9."/>
      <w:lvlJc w:val="right"/>
      <w:pPr>
        <w:tabs>
          <w:tab w:val="num" w:pos="6480"/>
        </w:tabs>
        <w:ind w:left="6480" w:hanging="180"/>
      </w:pPr>
      <w:rPr>
        <w:rFonts w:cs="Times New Roman"/>
      </w:rPr>
    </w:lvl>
  </w:abstractNum>
  <w:abstractNum w:abstractNumId="16" w15:restartNumberingAfterBreak="0">
    <w:nsid w:val="2E3A1779"/>
    <w:multiLevelType w:val="multilevel"/>
    <w:tmpl w:val="4B6E4D8E"/>
    <w:lvl w:ilvl="0">
      <w:start w:val="1"/>
      <w:numFmt w:val="bullet"/>
      <w:lvlText w:val=""/>
      <w:lvlJc w:val="left"/>
      <w:pPr>
        <w:ind w:left="369" w:hanging="369"/>
      </w:pPr>
      <w:rPr>
        <w:rFonts w:ascii="Symbol" w:hAnsi="Symbol" w:hint="default"/>
      </w:rPr>
    </w:lvl>
    <w:lvl w:ilvl="1">
      <w:start w:val="1"/>
      <w:numFmt w:val="bullet"/>
      <w:lvlText w:val=""/>
      <w:lvlJc w:val="left"/>
      <w:pPr>
        <w:ind w:left="737" w:hanging="368"/>
      </w:pPr>
      <w:rPr>
        <w:rFonts w:ascii="Symbol" w:hAnsi="Symbol" w:hint="default"/>
      </w:rPr>
    </w:lvl>
    <w:lvl w:ilvl="2">
      <w:start w:val="1"/>
      <w:numFmt w:val="none"/>
      <w:lvlText w:val=":"/>
      <w:lvlJc w:val="left"/>
      <w:pPr>
        <w:ind w:left="1106" w:hanging="369"/>
      </w:pPr>
      <w:rPr>
        <w:rFonts w:cs="Times New Roman" w:hint="default"/>
      </w:rPr>
    </w:lvl>
    <w:lvl w:ilvl="3">
      <w:start w:val="1"/>
      <w:numFmt w:val="none"/>
      <w:lvlText w:val=""/>
      <w:lvlJc w:val="left"/>
      <w:pPr>
        <w:ind w:left="1474" w:hanging="368"/>
      </w:pPr>
      <w:rPr>
        <w:rFonts w:cs="Times New Roman" w:hint="default"/>
        <w:color w:val="auto"/>
      </w:rPr>
    </w:lvl>
    <w:lvl w:ilvl="4">
      <w:start w:val="1"/>
      <w:numFmt w:val="none"/>
      <w:lvlText w:val=""/>
      <w:lvlJc w:val="left"/>
      <w:pPr>
        <w:ind w:left="1800" w:hanging="360"/>
      </w:pPr>
      <w:rPr>
        <w:rFonts w:cs="Times New Roman" w:hint="default"/>
        <w:color w:val="auto"/>
      </w:rPr>
    </w:lvl>
    <w:lvl w:ilvl="5">
      <w:start w:val="1"/>
      <w:numFmt w:val="none"/>
      <w:lvlText w:val=""/>
      <w:lvlJc w:val="left"/>
      <w:pPr>
        <w:ind w:left="2160" w:hanging="360"/>
      </w:pPr>
      <w:rPr>
        <w:rFonts w:cs="Times New Roman" w:hint="default"/>
        <w:color w:val="auto"/>
      </w:rPr>
    </w:lvl>
    <w:lvl w:ilvl="6">
      <w:start w:val="1"/>
      <w:numFmt w:val="none"/>
      <w:lvlText w:val=""/>
      <w:lvlJc w:val="left"/>
      <w:pPr>
        <w:ind w:left="2520" w:hanging="360"/>
      </w:pPr>
      <w:rPr>
        <w:rFonts w:cs="Times New Roman" w:hint="default"/>
        <w:color w:val="auto"/>
      </w:rPr>
    </w:lvl>
    <w:lvl w:ilvl="7">
      <w:start w:val="1"/>
      <w:numFmt w:val="none"/>
      <w:lvlText w:val=""/>
      <w:lvlJc w:val="left"/>
      <w:pPr>
        <w:ind w:left="2880" w:hanging="360"/>
      </w:pPr>
      <w:rPr>
        <w:rFonts w:cs="Times New Roman" w:hint="default"/>
        <w:color w:val="auto"/>
      </w:rPr>
    </w:lvl>
    <w:lvl w:ilvl="8">
      <w:start w:val="1"/>
      <w:numFmt w:val="none"/>
      <w:lvlText w:val=""/>
      <w:lvlJc w:val="left"/>
      <w:pPr>
        <w:ind w:left="3240" w:hanging="360"/>
      </w:pPr>
      <w:rPr>
        <w:rFonts w:cs="Times New Roman" w:hint="default"/>
        <w:color w:val="auto"/>
      </w:rPr>
    </w:lvl>
  </w:abstractNum>
  <w:abstractNum w:abstractNumId="17" w15:restartNumberingAfterBreak="0">
    <w:nsid w:val="2FFB67DA"/>
    <w:multiLevelType w:val="hybridMultilevel"/>
    <w:tmpl w:val="E8127A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098052F"/>
    <w:multiLevelType w:val="multilevel"/>
    <w:tmpl w:val="473EA67C"/>
    <w:lvl w:ilvl="0">
      <w:start w:val="1"/>
      <w:numFmt w:val="decimal"/>
      <w:lvlText w:val="%1."/>
      <w:lvlJc w:val="left"/>
      <w:pPr>
        <w:ind w:left="369" w:hanging="369"/>
      </w:pPr>
      <w:rPr>
        <w:rFonts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361C7DAA"/>
    <w:multiLevelType w:val="multilevel"/>
    <w:tmpl w:val="CAA83148"/>
    <w:styleLink w:val="Attach"/>
    <w:lvl w:ilvl="0">
      <w:start w:val="1"/>
      <w:numFmt w:val="upperLetter"/>
      <w:lvlText w:val="Attachment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6A76CC8"/>
    <w:multiLevelType w:val="hybridMultilevel"/>
    <w:tmpl w:val="8F0EB164"/>
    <w:lvl w:ilvl="0" w:tplc="B5C6F3C4">
      <w:start w:val="1"/>
      <w:numFmt w:val="bullet"/>
      <w:pStyle w:val="DotStyle1"/>
      <w:lvlText w:val=""/>
      <w:lvlJc w:val="left"/>
      <w:pPr>
        <w:ind w:left="36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7C12224"/>
    <w:multiLevelType w:val="singleLevel"/>
    <w:tmpl w:val="3D72CD9C"/>
    <w:lvl w:ilvl="0">
      <w:start w:val="1"/>
      <w:numFmt w:val="decimal"/>
      <w:lvlText w:val="%1."/>
      <w:lvlJc w:val="left"/>
      <w:pPr>
        <w:ind w:left="369" w:hanging="369"/>
      </w:pPr>
      <w:rPr>
        <w:rFonts w:ascii="Calibri" w:hAnsi="Calibri" w:hint="default"/>
        <w:sz w:val="18"/>
      </w:rPr>
    </w:lvl>
  </w:abstractNum>
  <w:abstractNum w:abstractNumId="22" w15:restartNumberingAfterBreak="0">
    <w:nsid w:val="3D5E6D15"/>
    <w:multiLevelType w:val="hybridMultilevel"/>
    <w:tmpl w:val="3EB06A12"/>
    <w:styleLink w:val="Attach113"/>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F7A5AF0"/>
    <w:multiLevelType w:val="hybridMultilevel"/>
    <w:tmpl w:val="C46CF71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3C107DA"/>
    <w:multiLevelType w:val="multilevel"/>
    <w:tmpl w:val="FE943B62"/>
    <w:lvl w:ilvl="0">
      <w:start w:val="1"/>
      <w:numFmt w:val="upperLetter"/>
      <w:pStyle w:val="Appendix1"/>
      <w:lvlText w:val="Appendix %1"/>
      <w:lvlJc w:val="left"/>
      <w:pPr>
        <w:tabs>
          <w:tab w:val="num" w:pos="2268"/>
        </w:tabs>
        <w:ind w:left="2268" w:hanging="2268"/>
      </w:pPr>
      <w:rPr>
        <w:rFonts w:ascii="Calibri" w:hAnsi="Calibri" w:cs="Arial" w:hint="default"/>
        <w:b/>
        <w:i w:val="0"/>
        <w:color w:val="auto"/>
        <w:sz w:val="36"/>
      </w:rPr>
    </w:lvl>
    <w:lvl w:ilvl="1">
      <w:start w:val="1"/>
      <w:numFmt w:val="decimal"/>
      <w:pStyle w:val="Appendix2"/>
      <w:lvlText w:val="%1.%2"/>
      <w:lvlJc w:val="left"/>
      <w:pPr>
        <w:tabs>
          <w:tab w:val="num" w:pos="851"/>
        </w:tabs>
        <w:ind w:left="851" w:hanging="851"/>
      </w:pPr>
      <w:rPr>
        <w:rFonts w:ascii="Arial" w:hAnsi="Arial" w:cs="Times New Roman" w:hint="default"/>
        <w:b/>
        <w:i w:val="0"/>
        <w:sz w:val="22"/>
      </w:rPr>
    </w:lvl>
    <w:lvl w:ilvl="2">
      <w:start w:val="1"/>
      <w:numFmt w:val="decimal"/>
      <w:pStyle w:val="Appendix3"/>
      <w:lvlText w:val="%1.%2.%3"/>
      <w:lvlJc w:val="left"/>
      <w:pPr>
        <w:tabs>
          <w:tab w:val="num" w:pos="851"/>
        </w:tabs>
        <w:ind w:left="851" w:hanging="851"/>
      </w:pPr>
      <w:rPr>
        <w:rFonts w:ascii="Arial" w:hAnsi="Arial" w:cs="Times New Roman" w:hint="default"/>
        <w:b/>
        <w:i w:val="0"/>
        <w:sz w:val="22"/>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5" w15:restartNumberingAfterBreak="0">
    <w:nsid w:val="489257B0"/>
    <w:multiLevelType w:val="hybridMultilevel"/>
    <w:tmpl w:val="3DD44D32"/>
    <w:lvl w:ilvl="0" w:tplc="BDA848CA">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6" w15:restartNumberingAfterBreak="0">
    <w:nsid w:val="4D61465A"/>
    <w:multiLevelType w:val="multilevel"/>
    <w:tmpl w:val="52AADCF0"/>
    <w:styleLink w:val="BulletList116"/>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lowerLetter"/>
      <w:pStyle w:val="Heading4"/>
      <w:lvlText w:val="(%4)"/>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7" w15:restartNumberingAfterBreak="0">
    <w:nsid w:val="587255EC"/>
    <w:multiLevelType w:val="hybridMultilevel"/>
    <w:tmpl w:val="250CC24A"/>
    <w:lvl w:ilvl="0" w:tplc="0C090001">
      <w:start w:val="1"/>
      <w:numFmt w:val="bullet"/>
      <w:lvlText w:val=""/>
      <w:lvlJc w:val="left"/>
      <w:pPr>
        <w:ind w:left="829" w:hanging="360"/>
      </w:pPr>
      <w:rPr>
        <w:rFonts w:ascii="Symbol" w:hAnsi="Symbol" w:hint="default"/>
      </w:rPr>
    </w:lvl>
    <w:lvl w:ilvl="1" w:tplc="0C090003" w:tentative="1">
      <w:start w:val="1"/>
      <w:numFmt w:val="bullet"/>
      <w:lvlText w:val="o"/>
      <w:lvlJc w:val="left"/>
      <w:pPr>
        <w:ind w:left="1549" w:hanging="360"/>
      </w:pPr>
      <w:rPr>
        <w:rFonts w:ascii="Courier New" w:hAnsi="Courier New" w:cs="Courier New" w:hint="default"/>
      </w:rPr>
    </w:lvl>
    <w:lvl w:ilvl="2" w:tplc="0C090005" w:tentative="1">
      <w:start w:val="1"/>
      <w:numFmt w:val="bullet"/>
      <w:lvlText w:val=""/>
      <w:lvlJc w:val="left"/>
      <w:pPr>
        <w:ind w:left="2269" w:hanging="360"/>
      </w:pPr>
      <w:rPr>
        <w:rFonts w:ascii="Wingdings" w:hAnsi="Wingdings" w:hint="default"/>
      </w:rPr>
    </w:lvl>
    <w:lvl w:ilvl="3" w:tplc="0C090001" w:tentative="1">
      <w:start w:val="1"/>
      <w:numFmt w:val="bullet"/>
      <w:lvlText w:val=""/>
      <w:lvlJc w:val="left"/>
      <w:pPr>
        <w:ind w:left="2989" w:hanging="360"/>
      </w:pPr>
      <w:rPr>
        <w:rFonts w:ascii="Symbol" w:hAnsi="Symbol" w:hint="default"/>
      </w:rPr>
    </w:lvl>
    <w:lvl w:ilvl="4" w:tplc="0C090003" w:tentative="1">
      <w:start w:val="1"/>
      <w:numFmt w:val="bullet"/>
      <w:lvlText w:val="o"/>
      <w:lvlJc w:val="left"/>
      <w:pPr>
        <w:ind w:left="3709" w:hanging="360"/>
      </w:pPr>
      <w:rPr>
        <w:rFonts w:ascii="Courier New" w:hAnsi="Courier New" w:cs="Courier New" w:hint="default"/>
      </w:rPr>
    </w:lvl>
    <w:lvl w:ilvl="5" w:tplc="0C090005" w:tentative="1">
      <w:start w:val="1"/>
      <w:numFmt w:val="bullet"/>
      <w:lvlText w:val=""/>
      <w:lvlJc w:val="left"/>
      <w:pPr>
        <w:ind w:left="4429" w:hanging="360"/>
      </w:pPr>
      <w:rPr>
        <w:rFonts w:ascii="Wingdings" w:hAnsi="Wingdings" w:hint="default"/>
      </w:rPr>
    </w:lvl>
    <w:lvl w:ilvl="6" w:tplc="0C090001" w:tentative="1">
      <w:start w:val="1"/>
      <w:numFmt w:val="bullet"/>
      <w:lvlText w:val=""/>
      <w:lvlJc w:val="left"/>
      <w:pPr>
        <w:ind w:left="5149" w:hanging="360"/>
      </w:pPr>
      <w:rPr>
        <w:rFonts w:ascii="Symbol" w:hAnsi="Symbol" w:hint="default"/>
      </w:rPr>
    </w:lvl>
    <w:lvl w:ilvl="7" w:tplc="0C090003" w:tentative="1">
      <w:start w:val="1"/>
      <w:numFmt w:val="bullet"/>
      <w:lvlText w:val="o"/>
      <w:lvlJc w:val="left"/>
      <w:pPr>
        <w:ind w:left="5869" w:hanging="360"/>
      </w:pPr>
      <w:rPr>
        <w:rFonts w:ascii="Courier New" w:hAnsi="Courier New" w:cs="Courier New" w:hint="default"/>
      </w:rPr>
    </w:lvl>
    <w:lvl w:ilvl="8" w:tplc="0C090005" w:tentative="1">
      <w:start w:val="1"/>
      <w:numFmt w:val="bullet"/>
      <w:lvlText w:val=""/>
      <w:lvlJc w:val="left"/>
      <w:pPr>
        <w:ind w:left="6589" w:hanging="360"/>
      </w:pPr>
      <w:rPr>
        <w:rFonts w:ascii="Wingdings" w:hAnsi="Wingdings" w:hint="default"/>
      </w:rPr>
    </w:lvl>
  </w:abstractNum>
  <w:abstractNum w:abstractNumId="28" w15:restartNumberingAfterBreak="0">
    <w:nsid w:val="604867E5"/>
    <w:multiLevelType w:val="hybridMultilevel"/>
    <w:tmpl w:val="F44240DC"/>
    <w:lvl w:ilvl="0" w:tplc="6D3E4970">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621C2A93"/>
    <w:multiLevelType w:val="multilevel"/>
    <w:tmpl w:val="0C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Heading9"/>
      <w:lvlText w:val="%1.%2.%3.%4.%5.%6.%7.%8.%9"/>
      <w:lvlJc w:val="left"/>
      <w:pPr>
        <w:ind w:left="1584" w:hanging="1584"/>
      </w:pPr>
    </w:lvl>
  </w:abstractNum>
  <w:abstractNum w:abstractNumId="30" w15:restartNumberingAfterBreak="0">
    <w:nsid w:val="630F0AEA"/>
    <w:multiLevelType w:val="hybridMultilevel"/>
    <w:tmpl w:val="87A42C6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5456429"/>
    <w:multiLevelType w:val="multilevel"/>
    <w:tmpl w:val="E898CC72"/>
    <w:lvl w:ilvl="0">
      <w:numFmt w:val="decimal"/>
      <w:pStyle w:val="ListNumber"/>
      <w:lvlText w:val=""/>
      <w:lvlJc w:val="left"/>
    </w:lvl>
    <w:lvl w:ilvl="1">
      <w:numFmt w:val="decimal"/>
      <w:pStyle w:val="ListNumber2"/>
      <w:lvlText w:val=""/>
      <w:lvlJc w:val="left"/>
    </w:lvl>
    <w:lvl w:ilvl="2">
      <w:numFmt w:val="decimal"/>
      <w:pStyle w:val="ListNumber3"/>
      <w:lvlText w:val=""/>
      <w:lvlJc w:val="left"/>
    </w:lvl>
    <w:lvl w:ilvl="3">
      <w:numFmt w:val="decimal"/>
      <w:pStyle w:val="ListNumber4"/>
      <w:lvlText w:val=""/>
      <w:lvlJc w:val="left"/>
    </w:lvl>
    <w:lvl w:ilvl="4">
      <w:numFmt w:val="decimal"/>
      <w:pStyle w:val="ListNumber5"/>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6C91360D"/>
    <w:multiLevelType w:val="hybridMultilevel"/>
    <w:tmpl w:val="A77CD8AE"/>
    <w:lvl w:ilvl="0" w:tplc="B9046A5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0234610"/>
    <w:multiLevelType w:val="hybridMultilevel"/>
    <w:tmpl w:val="1AAA4A68"/>
    <w:styleLink w:val="KeyPoints1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4D01D58"/>
    <w:multiLevelType w:val="singleLevel"/>
    <w:tmpl w:val="5978BFA0"/>
    <w:lvl w:ilvl="0">
      <w:start w:val="1"/>
      <w:numFmt w:val="decimal"/>
      <w:pStyle w:val="Para0number"/>
      <w:lvlText w:val="%1)"/>
      <w:lvlJc w:val="left"/>
      <w:pPr>
        <w:tabs>
          <w:tab w:val="num" w:pos="397"/>
        </w:tabs>
        <w:ind w:left="397" w:hanging="397"/>
      </w:pPr>
      <w:rPr>
        <w:rFonts w:cs="Times New Roman" w:hint="default"/>
      </w:rPr>
    </w:lvl>
  </w:abstractNum>
  <w:abstractNum w:abstractNumId="35" w15:restartNumberingAfterBreak="0">
    <w:nsid w:val="762964D5"/>
    <w:multiLevelType w:val="multilevel"/>
    <w:tmpl w:val="E898CC72"/>
    <w:styleLink w:val="KeyPoints5"/>
    <w:lvl w:ilvl="0">
      <w:start w:val="1"/>
      <w:numFmt w:val="decimal"/>
      <w:lvlText w:val="%1."/>
      <w:lvlJc w:val="left"/>
      <w:pPr>
        <w:ind w:left="369" w:hanging="369"/>
      </w:pPr>
      <w:rPr>
        <w:rFonts w:ascii="Arial" w:hAnsi="Arial" w:hint="default"/>
        <w:sz w:val="22"/>
      </w:rPr>
    </w:lvl>
    <w:lvl w:ilvl="1">
      <w:start w:val="1"/>
      <w:numFmt w:val="lowerLetter"/>
      <w:lvlText w:val="%2."/>
      <w:lvlJc w:val="left"/>
      <w:pPr>
        <w:ind w:left="738" w:hanging="369"/>
      </w:pPr>
      <w:rPr>
        <w:rFonts w:hint="default"/>
      </w:rPr>
    </w:lvl>
    <w:lvl w:ilvl="2">
      <w:start w:val="1"/>
      <w:numFmt w:val="lowerRoman"/>
      <w:lvlText w:val="%3."/>
      <w:lvlJc w:val="left"/>
      <w:pPr>
        <w:ind w:left="1107" w:hanging="369"/>
      </w:pPr>
      <w:rPr>
        <w:rFonts w:hint="default"/>
      </w:rPr>
    </w:lvl>
    <w:lvl w:ilvl="3">
      <w:start w:val="1"/>
      <w:numFmt w:val="none"/>
      <w:lvlText w:val="%4"/>
      <w:lvlJc w:val="left"/>
      <w:pPr>
        <w:ind w:left="1476" w:hanging="369"/>
      </w:pPr>
      <w:rPr>
        <w:rFonts w:hint="default"/>
      </w:rPr>
    </w:lvl>
    <w:lvl w:ilvl="4">
      <w:start w:val="1"/>
      <w:numFmt w:val="none"/>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36" w15:restartNumberingAfterBreak="0">
    <w:nsid w:val="78A52985"/>
    <w:multiLevelType w:val="multilevel"/>
    <w:tmpl w:val="0C09001D"/>
    <w:styleLink w:val="Attach11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798772D6"/>
    <w:multiLevelType w:val="multilevel"/>
    <w:tmpl w:val="FD8A649C"/>
    <w:lvl w:ilvl="0">
      <w:start w:val="1"/>
      <w:numFmt w:val="decimal"/>
      <w:pStyle w:val="LegalClauseLevel1"/>
      <w:lvlText w:val="%1."/>
      <w:lvlJc w:val="left"/>
      <w:pPr>
        <w:tabs>
          <w:tab w:val="num" w:pos="851"/>
        </w:tabs>
        <w:ind w:left="851" w:hanging="851"/>
      </w:pPr>
      <w:rPr>
        <w:rFonts w:ascii="Arial" w:hAnsi="Arial" w:cs="Times New Roman" w:hint="default"/>
        <w:b/>
        <w:sz w:val="32"/>
      </w:rPr>
    </w:lvl>
    <w:lvl w:ilvl="1">
      <w:start w:val="1"/>
      <w:numFmt w:val="decimal"/>
      <w:pStyle w:val="LegalClauseLevel2"/>
      <w:lvlText w:val="%1.%2"/>
      <w:lvlJc w:val="left"/>
      <w:pPr>
        <w:tabs>
          <w:tab w:val="num" w:pos="851"/>
        </w:tabs>
        <w:ind w:left="851" w:hanging="851"/>
      </w:pPr>
      <w:rPr>
        <w:rFonts w:ascii="Arial" w:hAnsi="Arial" w:cs="Times New Roman" w:hint="default"/>
        <w:b/>
        <w:i w:val="0"/>
        <w:sz w:val="24"/>
      </w:rPr>
    </w:lvl>
    <w:lvl w:ilvl="2">
      <w:start w:val="1"/>
      <w:numFmt w:val="lowerLetter"/>
      <w:lvlText w:val="(%3)"/>
      <w:lvlJc w:val="left"/>
      <w:pPr>
        <w:tabs>
          <w:tab w:val="num" w:pos="1702"/>
        </w:tabs>
        <w:ind w:left="1702" w:hanging="567"/>
      </w:pPr>
      <w:rPr>
        <w:rFonts w:ascii="Arial" w:hAnsi="Arial" w:cs="Times New Roman" w:hint="default"/>
        <w:b w:val="0"/>
        <w:i w:val="0"/>
        <w:sz w:val="22"/>
      </w:rPr>
    </w:lvl>
    <w:lvl w:ilvl="3">
      <w:start w:val="1"/>
      <w:numFmt w:val="lowerRoman"/>
      <w:lvlText w:val="(%4)"/>
      <w:lvlJc w:val="left"/>
      <w:pPr>
        <w:tabs>
          <w:tab w:val="num" w:pos="1985"/>
        </w:tabs>
        <w:ind w:left="1985" w:hanging="567"/>
      </w:pPr>
      <w:rPr>
        <w:rFonts w:ascii="Arial" w:hAnsi="Arial" w:cs="Times New Roman" w:hint="default"/>
        <w:b w:val="0"/>
        <w:i w:val="0"/>
        <w:sz w:val="22"/>
      </w:rPr>
    </w:lvl>
    <w:lvl w:ilvl="4">
      <w:start w:val="1"/>
      <w:numFmt w:val="upperLetter"/>
      <w:lvlText w:val="(%5)"/>
      <w:lvlJc w:val="left"/>
      <w:pPr>
        <w:tabs>
          <w:tab w:val="num" w:pos="2552"/>
        </w:tabs>
        <w:ind w:left="2552" w:hanging="567"/>
      </w:pPr>
      <w:rPr>
        <w:rFonts w:ascii="Arial" w:hAnsi="Arial" w:cs="Times New Roman" w:hint="default"/>
        <w:b w:val="0"/>
        <w:i w:val="0"/>
        <w:sz w:val="22"/>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7BFD703E"/>
    <w:multiLevelType w:val="hybridMultilevel"/>
    <w:tmpl w:val="9A52E374"/>
    <w:styleLink w:val="BulletList113"/>
    <w:lvl w:ilvl="0" w:tplc="5660145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35"/>
  </w:num>
  <w:num w:numId="2">
    <w:abstractNumId w:val="7"/>
    <w:lvlOverride w:ilvl="0">
      <w:lvl w:ilvl="0">
        <w:start w:val="1"/>
        <w:numFmt w:val="decimal"/>
        <w:lvlText w:val="%1."/>
        <w:lvlJc w:val="left"/>
        <w:pPr>
          <w:ind w:left="369" w:hanging="369"/>
        </w:pPr>
        <w:rPr>
          <w:rFonts w:ascii="Arial" w:hAnsi="Arial" w:cs="Arial" w:hint="default"/>
          <w:sz w:val="22"/>
        </w:rPr>
      </w:lvl>
    </w:lvlOverride>
  </w:num>
  <w:num w:numId="3">
    <w:abstractNumId w:val="1"/>
  </w:num>
  <w:num w:numId="4">
    <w:abstractNumId w:val="19"/>
  </w:num>
  <w:num w:numId="5">
    <w:abstractNumId w:val="31"/>
  </w:num>
  <w:num w:numId="6">
    <w:abstractNumId w:val="12"/>
  </w:num>
  <w:num w:numId="7">
    <w:abstractNumId w:val="10"/>
  </w:num>
  <w:num w:numId="8">
    <w:abstractNumId w:val="23"/>
  </w:num>
  <w:num w:numId="9">
    <w:abstractNumId w:val="38"/>
  </w:num>
  <w:num w:numId="10">
    <w:abstractNumId w:val="33"/>
  </w:num>
  <w:num w:numId="11">
    <w:abstractNumId w:val="22"/>
  </w:num>
  <w:num w:numId="12">
    <w:abstractNumId w:val="9"/>
  </w:num>
  <w:num w:numId="13">
    <w:abstractNumId w:val="26"/>
  </w:num>
  <w:num w:numId="14">
    <w:abstractNumId w:val="5"/>
  </w:num>
  <w:num w:numId="15">
    <w:abstractNumId w:val="15"/>
  </w:num>
  <w:num w:numId="16">
    <w:abstractNumId w:val="24"/>
  </w:num>
  <w:num w:numId="17">
    <w:abstractNumId w:val="34"/>
  </w:num>
  <w:num w:numId="18">
    <w:abstractNumId w:val="3"/>
  </w:num>
  <w:num w:numId="19">
    <w:abstractNumId w:val="8"/>
  </w:num>
  <w:num w:numId="20">
    <w:abstractNumId w:val="0"/>
  </w:num>
  <w:num w:numId="21">
    <w:abstractNumId w:val="36"/>
  </w:num>
  <w:num w:numId="2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num>
  <w:num w:numId="24">
    <w:abstractNumId w:val="2"/>
  </w:num>
  <w:num w:numId="25">
    <w:abstractNumId w:val="20"/>
  </w:num>
  <w:num w:numId="26">
    <w:abstractNumId w:val="13"/>
  </w:num>
  <w:num w:numId="27">
    <w:abstractNumId w:val="26"/>
    <w:lvlOverride w:ilvl="0">
      <w:lvl w:ilvl="0">
        <w:start w:val="1"/>
        <w:numFmt w:val="decimal"/>
        <w:pStyle w:val="Heading1"/>
        <w:lvlText w:val="%1"/>
        <w:lvlJc w:val="left"/>
        <w:pPr>
          <w:ind w:left="0" w:firstLine="0"/>
        </w:pPr>
        <w:rPr>
          <w:rFonts w:hint="default"/>
        </w:rPr>
      </w:lvl>
    </w:lvlOverride>
    <w:lvlOverride w:ilvl="1">
      <w:lvl w:ilvl="1">
        <w:start w:val="1"/>
        <w:numFmt w:val="decimal"/>
        <w:pStyle w:val="Heading2"/>
        <w:lvlText w:val="%1.%2"/>
        <w:lvlJc w:val="left"/>
        <w:pPr>
          <w:ind w:left="0" w:firstLine="0"/>
        </w:pPr>
        <w:rPr>
          <w:rFonts w:asciiTheme="minorHAnsi" w:hAnsiTheme="minorHAnsi" w:cstheme="minorHAnsi" w:hint="default"/>
        </w:rPr>
      </w:lvl>
    </w:lvlOverride>
    <w:lvlOverride w:ilvl="2">
      <w:lvl w:ilvl="2">
        <w:start w:val="1"/>
        <w:numFmt w:val="decimal"/>
        <w:pStyle w:val="Heading3"/>
        <w:lvlText w:val="%1.%2.%3"/>
        <w:lvlJc w:val="left"/>
        <w:pPr>
          <w:ind w:left="0" w:firstLine="0"/>
        </w:pPr>
        <w:rPr>
          <w:rFonts w:hint="default"/>
        </w:rPr>
      </w:lvl>
    </w:lvlOverride>
    <w:lvlOverride w:ilvl="3">
      <w:lvl w:ilvl="3">
        <w:start w:val="1"/>
        <w:numFmt w:val="lowerLetter"/>
        <w:pStyle w:val="Heading4"/>
        <w:lvlText w:val="(%4)"/>
        <w:lvlJc w:val="left"/>
        <w:pPr>
          <w:ind w:left="0" w:firstLine="0"/>
        </w:pPr>
        <w:rPr>
          <w:rFonts w:hint="default"/>
        </w:rPr>
      </w:lvl>
    </w:lvlOverride>
    <w:lvlOverride w:ilvl="4">
      <w:lvl w:ilvl="4">
        <w:start w:val="1"/>
        <w:numFmt w:val="none"/>
        <w:lvlText w:val=""/>
        <w:lvlJc w:val="left"/>
        <w:pPr>
          <w:ind w:left="0" w:firstLine="0"/>
        </w:pPr>
        <w:rPr>
          <w:rFonts w:hint="default"/>
        </w:rPr>
      </w:lvl>
    </w:lvlOverride>
    <w:lvlOverride w:ilvl="5">
      <w:lvl w:ilvl="5">
        <w:start w:val="1"/>
        <w:numFmt w:val="none"/>
        <w:lvlText w:val=""/>
        <w:lvlJc w:val="left"/>
        <w:pPr>
          <w:ind w:left="0" w:firstLine="0"/>
        </w:pPr>
        <w:rPr>
          <w:rFonts w:hint="default"/>
        </w:rPr>
      </w:lvl>
    </w:lvlOverride>
    <w:lvlOverride w:ilvl="6">
      <w:lvl w:ilvl="6">
        <w:start w:val="1"/>
        <w:numFmt w:val="none"/>
        <w:lvlText w:val=""/>
        <w:lvlJc w:val="left"/>
        <w:pPr>
          <w:ind w:left="0" w:firstLine="0"/>
        </w:pPr>
        <w:rPr>
          <w:rFonts w:hint="default"/>
        </w:rPr>
      </w:lvl>
    </w:lvlOverride>
    <w:lvlOverride w:ilvl="7">
      <w:lvl w:ilvl="7">
        <w:start w:val="1"/>
        <w:numFmt w:val="none"/>
        <w:lvlText w:val=""/>
        <w:lvlJc w:val="left"/>
        <w:pPr>
          <w:ind w:left="0" w:firstLine="0"/>
        </w:pPr>
        <w:rPr>
          <w:rFonts w:hint="default"/>
        </w:rPr>
      </w:lvl>
    </w:lvlOverride>
    <w:lvlOverride w:ilvl="8">
      <w:lvl w:ilvl="8">
        <w:start w:val="1"/>
        <w:numFmt w:val="none"/>
        <w:lvlText w:val=""/>
        <w:lvlJc w:val="left"/>
        <w:pPr>
          <w:ind w:left="0" w:firstLine="0"/>
        </w:pPr>
        <w:rPr>
          <w:rFonts w:hint="default"/>
        </w:rPr>
      </w:lvl>
    </w:lvlOverride>
  </w:num>
  <w:num w:numId="28">
    <w:abstractNumId w:val="28"/>
  </w:num>
  <w:num w:numId="29">
    <w:abstractNumId w:val="26"/>
    <w:lvlOverride w:ilvl="0">
      <w:lvl w:ilvl="0">
        <w:start w:val="1"/>
        <w:numFmt w:val="decimal"/>
        <w:pStyle w:val="Heading1"/>
        <w:lvlText w:val="%1"/>
        <w:lvlJc w:val="left"/>
        <w:pPr>
          <w:ind w:left="0" w:firstLine="0"/>
        </w:pPr>
        <w:rPr>
          <w:rFonts w:hint="default"/>
        </w:rPr>
      </w:lvl>
    </w:lvlOverride>
    <w:lvlOverride w:ilvl="1">
      <w:lvl w:ilvl="1">
        <w:start w:val="1"/>
        <w:numFmt w:val="decimal"/>
        <w:pStyle w:val="Heading2"/>
        <w:lvlText w:val="%1.%2"/>
        <w:lvlJc w:val="left"/>
        <w:pPr>
          <w:ind w:left="0" w:firstLine="0"/>
        </w:pPr>
        <w:rPr>
          <w:rFonts w:asciiTheme="minorHAnsi" w:hAnsiTheme="minorHAnsi" w:cstheme="minorHAnsi" w:hint="default"/>
        </w:rPr>
      </w:lvl>
    </w:lvlOverride>
    <w:lvlOverride w:ilvl="2">
      <w:lvl w:ilvl="2">
        <w:start w:val="1"/>
        <w:numFmt w:val="decimal"/>
        <w:pStyle w:val="Heading3"/>
        <w:lvlText w:val="%1.%2.%3"/>
        <w:lvlJc w:val="left"/>
        <w:pPr>
          <w:ind w:left="0" w:firstLine="0"/>
        </w:pPr>
        <w:rPr>
          <w:rFonts w:hint="default"/>
        </w:rPr>
      </w:lvl>
    </w:lvlOverride>
    <w:lvlOverride w:ilvl="3">
      <w:lvl w:ilvl="3">
        <w:start w:val="1"/>
        <w:numFmt w:val="lowerLetter"/>
        <w:pStyle w:val="Heading4"/>
        <w:lvlText w:val="(%4)"/>
        <w:lvlJc w:val="left"/>
        <w:pPr>
          <w:ind w:left="0" w:firstLine="0"/>
        </w:pPr>
        <w:rPr>
          <w:rFonts w:hint="default"/>
        </w:rPr>
      </w:lvl>
    </w:lvlOverride>
    <w:lvlOverride w:ilvl="4">
      <w:lvl w:ilvl="4">
        <w:start w:val="1"/>
        <w:numFmt w:val="none"/>
        <w:lvlText w:val=""/>
        <w:lvlJc w:val="left"/>
        <w:pPr>
          <w:ind w:left="0" w:firstLine="0"/>
        </w:pPr>
        <w:rPr>
          <w:rFonts w:hint="default"/>
        </w:rPr>
      </w:lvl>
    </w:lvlOverride>
    <w:lvlOverride w:ilvl="5">
      <w:lvl w:ilvl="5">
        <w:start w:val="1"/>
        <w:numFmt w:val="none"/>
        <w:lvlText w:val=""/>
        <w:lvlJc w:val="left"/>
        <w:pPr>
          <w:ind w:left="0" w:firstLine="0"/>
        </w:pPr>
        <w:rPr>
          <w:rFonts w:hint="default"/>
        </w:rPr>
      </w:lvl>
    </w:lvlOverride>
    <w:lvlOverride w:ilvl="6">
      <w:lvl w:ilvl="6">
        <w:start w:val="1"/>
        <w:numFmt w:val="none"/>
        <w:lvlText w:val=""/>
        <w:lvlJc w:val="left"/>
        <w:pPr>
          <w:ind w:left="0" w:firstLine="0"/>
        </w:pPr>
        <w:rPr>
          <w:rFonts w:hint="default"/>
        </w:rPr>
      </w:lvl>
    </w:lvlOverride>
    <w:lvlOverride w:ilvl="7">
      <w:lvl w:ilvl="7">
        <w:start w:val="1"/>
        <w:numFmt w:val="none"/>
        <w:lvlText w:val=""/>
        <w:lvlJc w:val="left"/>
        <w:pPr>
          <w:ind w:left="0" w:firstLine="0"/>
        </w:pPr>
        <w:rPr>
          <w:rFonts w:hint="default"/>
        </w:rPr>
      </w:lvl>
    </w:lvlOverride>
    <w:lvlOverride w:ilvl="8">
      <w:lvl w:ilvl="8">
        <w:start w:val="1"/>
        <w:numFmt w:val="none"/>
        <w:lvlText w:val=""/>
        <w:lvlJc w:val="left"/>
        <w:pPr>
          <w:ind w:left="0" w:firstLine="0"/>
        </w:pPr>
        <w:rPr>
          <w:rFonts w:hint="default"/>
        </w:rPr>
      </w:lvl>
    </w:lvlOverride>
  </w:num>
  <w:num w:numId="30">
    <w:abstractNumId w:val="26"/>
    <w:lvlOverride w:ilvl="0">
      <w:lvl w:ilvl="0">
        <w:start w:val="1"/>
        <w:numFmt w:val="decimal"/>
        <w:pStyle w:val="Heading1"/>
        <w:lvlText w:val="%1"/>
        <w:lvlJc w:val="left"/>
        <w:pPr>
          <w:ind w:left="0" w:firstLine="0"/>
        </w:pPr>
        <w:rPr>
          <w:rFonts w:hint="default"/>
        </w:rPr>
      </w:lvl>
    </w:lvlOverride>
    <w:lvlOverride w:ilvl="1">
      <w:lvl w:ilvl="1">
        <w:start w:val="1"/>
        <w:numFmt w:val="decimal"/>
        <w:pStyle w:val="Heading2"/>
        <w:lvlText w:val="%1.%2"/>
        <w:lvlJc w:val="left"/>
        <w:pPr>
          <w:ind w:left="0" w:firstLine="0"/>
        </w:pPr>
        <w:rPr>
          <w:rFonts w:asciiTheme="minorHAnsi" w:hAnsiTheme="minorHAnsi" w:cstheme="minorHAnsi" w:hint="default"/>
        </w:rPr>
      </w:lvl>
    </w:lvlOverride>
    <w:lvlOverride w:ilvl="2">
      <w:lvl w:ilvl="2">
        <w:start w:val="1"/>
        <w:numFmt w:val="decimal"/>
        <w:pStyle w:val="Heading3"/>
        <w:lvlText w:val="%1.%2.%3"/>
        <w:lvlJc w:val="left"/>
        <w:pPr>
          <w:ind w:left="0" w:firstLine="0"/>
        </w:pPr>
        <w:rPr>
          <w:rFonts w:hint="default"/>
          <w:color w:val="5F497A" w:themeColor="accent4" w:themeShade="BF"/>
          <w:sz w:val="26"/>
          <w:szCs w:val="26"/>
        </w:rPr>
      </w:lvl>
    </w:lvlOverride>
    <w:lvlOverride w:ilvl="3">
      <w:lvl w:ilvl="3">
        <w:start w:val="1"/>
        <w:numFmt w:val="lowerLetter"/>
        <w:pStyle w:val="Heading4"/>
        <w:lvlText w:val="(%4)"/>
        <w:lvlJc w:val="left"/>
        <w:pPr>
          <w:ind w:left="0" w:firstLine="0"/>
        </w:pPr>
        <w:rPr>
          <w:rFonts w:hint="default"/>
        </w:rPr>
      </w:lvl>
    </w:lvlOverride>
    <w:lvlOverride w:ilvl="4">
      <w:lvl w:ilvl="4">
        <w:start w:val="1"/>
        <w:numFmt w:val="none"/>
        <w:lvlText w:val=""/>
        <w:lvlJc w:val="left"/>
        <w:pPr>
          <w:ind w:left="0" w:firstLine="0"/>
        </w:pPr>
        <w:rPr>
          <w:rFonts w:hint="default"/>
        </w:rPr>
      </w:lvl>
    </w:lvlOverride>
    <w:lvlOverride w:ilvl="5">
      <w:lvl w:ilvl="5">
        <w:start w:val="1"/>
        <w:numFmt w:val="none"/>
        <w:lvlText w:val=""/>
        <w:lvlJc w:val="left"/>
        <w:pPr>
          <w:ind w:left="0" w:firstLine="0"/>
        </w:pPr>
        <w:rPr>
          <w:rFonts w:hint="default"/>
        </w:rPr>
      </w:lvl>
    </w:lvlOverride>
    <w:lvlOverride w:ilvl="6">
      <w:lvl w:ilvl="6">
        <w:start w:val="1"/>
        <w:numFmt w:val="none"/>
        <w:lvlText w:val=""/>
        <w:lvlJc w:val="left"/>
        <w:pPr>
          <w:ind w:left="0" w:firstLine="0"/>
        </w:pPr>
        <w:rPr>
          <w:rFonts w:hint="default"/>
        </w:rPr>
      </w:lvl>
    </w:lvlOverride>
    <w:lvlOverride w:ilvl="7">
      <w:lvl w:ilvl="7">
        <w:start w:val="1"/>
        <w:numFmt w:val="none"/>
        <w:lvlText w:val=""/>
        <w:lvlJc w:val="left"/>
        <w:pPr>
          <w:ind w:left="0" w:firstLine="0"/>
        </w:pPr>
        <w:rPr>
          <w:rFonts w:hint="default"/>
        </w:rPr>
      </w:lvl>
    </w:lvlOverride>
    <w:lvlOverride w:ilvl="8">
      <w:lvl w:ilvl="8">
        <w:start w:val="1"/>
        <w:numFmt w:val="none"/>
        <w:lvlText w:val=""/>
        <w:lvlJc w:val="left"/>
        <w:pPr>
          <w:ind w:left="0" w:firstLine="0"/>
        </w:pPr>
        <w:rPr>
          <w:rFonts w:hint="default"/>
        </w:rPr>
      </w:lvl>
    </w:lvlOverride>
  </w:num>
  <w:num w:numId="31">
    <w:abstractNumId w:val="26"/>
    <w:lvlOverride w:ilvl="0">
      <w:startOverride w:val="1"/>
      <w:lvl w:ilvl="0">
        <w:start w:val="1"/>
        <w:numFmt w:val="decimal"/>
        <w:pStyle w:val="Heading1"/>
        <w:lvlText w:val="%1"/>
        <w:lvlJc w:val="left"/>
        <w:pPr>
          <w:ind w:left="0" w:firstLine="0"/>
        </w:pPr>
        <w:rPr>
          <w:rFonts w:hint="default"/>
        </w:rPr>
      </w:lvl>
    </w:lvlOverride>
    <w:lvlOverride w:ilvl="1">
      <w:startOverride w:val="1"/>
      <w:lvl w:ilvl="1">
        <w:start w:val="1"/>
        <w:numFmt w:val="decimal"/>
        <w:pStyle w:val="Heading2"/>
        <w:lvlText w:val="%1.%2"/>
        <w:lvlJc w:val="left"/>
        <w:pPr>
          <w:ind w:left="0" w:firstLine="0"/>
        </w:pPr>
        <w:rPr>
          <w:rFonts w:asciiTheme="minorHAnsi" w:hAnsiTheme="minorHAnsi" w:cstheme="minorHAnsi" w:hint="default"/>
        </w:rPr>
      </w:lvl>
    </w:lvlOverride>
    <w:lvlOverride w:ilvl="2">
      <w:startOverride w:val="1"/>
      <w:lvl w:ilvl="2">
        <w:start w:val="1"/>
        <w:numFmt w:val="decimal"/>
        <w:pStyle w:val="Heading3"/>
        <w:lvlText w:val="%1.%2.%3"/>
        <w:lvlJc w:val="left"/>
        <w:pPr>
          <w:ind w:left="0" w:firstLine="0"/>
        </w:pPr>
        <w:rPr>
          <w:rFonts w:hint="default"/>
        </w:rPr>
      </w:lvl>
    </w:lvlOverride>
    <w:lvlOverride w:ilvl="3">
      <w:startOverride w:val="2"/>
      <w:lvl w:ilvl="3">
        <w:start w:val="2"/>
        <w:numFmt w:val="lowerLetter"/>
        <w:pStyle w:val="Heading4"/>
        <w:lvlText w:val="(%4)"/>
        <w:lvlJc w:val="left"/>
        <w:pPr>
          <w:ind w:left="0" w:firstLine="0"/>
        </w:pPr>
        <w:rPr>
          <w:rFonts w:hint="default"/>
        </w:rPr>
      </w:lvl>
    </w:lvlOverride>
  </w:num>
  <w:num w:numId="32">
    <w:abstractNumId w:val="27"/>
  </w:num>
  <w:num w:numId="33">
    <w:abstractNumId w:val="6"/>
  </w:num>
  <w:num w:numId="34">
    <w:abstractNumId w:val="32"/>
  </w:num>
  <w:num w:numId="35">
    <w:abstractNumId w:val="11"/>
  </w:num>
  <w:num w:numId="36">
    <w:abstractNumId w:val="17"/>
  </w:num>
  <w:num w:numId="37">
    <w:abstractNumId w:val="4"/>
  </w:num>
  <w:num w:numId="38">
    <w:abstractNumId w:val="16"/>
  </w:num>
  <w:num w:numId="39">
    <w:abstractNumId w:val="30"/>
  </w:num>
  <w:num w:numId="40">
    <w:abstractNumId w:val="14"/>
  </w:num>
  <w:num w:numId="41">
    <w:abstractNumId w:val="21"/>
  </w:num>
  <w:num w:numId="42">
    <w:abstractNumId w:val="29"/>
  </w:num>
  <w:num w:numId="43">
    <w:abstractNumId w:val="25"/>
  </w:num>
  <w:num w:numId="44">
    <w:abstractNumId w:val="26"/>
  </w:num>
  <w:num w:numId="45">
    <w:abstractNumId w:val="18"/>
  </w:num>
  <w:num w:numId="46">
    <w:abstractNumId w:val="26"/>
    <w:lvlOverride w:ilvl="0">
      <w:lvl w:ilvl="0">
        <w:start w:val="1"/>
        <w:numFmt w:val="decimal"/>
        <w:pStyle w:val="Heading1"/>
        <w:lvlText w:val="%1"/>
        <w:lvlJc w:val="left"/>
        <w:pPr>
          <w:ind w:left="0" w:firstLine="0"/>
        </w:pPr>
        <w:rPr>
          <w:rFonts w:hint="default"/>
        </w:rPr>
      </w:lvl>
    </w:lvlOverride>
    <w:lvlOverride w:ilvl="1">
      <w:lvl w:ilvl="1">
        <w:start w:val="1"/>
        <w:numFmt w:val="decimal"/>
        <w:pStyle w:val="Heading2"/>
        <w:lvlText w:val="%1.%2"/>
        <w:lvlJc w:val="left"/>
        <w:pPr>
          <w:ind w:left="0" w:firstLine="0"/>
        </w:pPr>
        <w:rPr>
          <w:rFonts w:asciiTheme="minorHAnsi" w:hAnsiTheme="minorHAnsi" w:cstheme="minorHAnsi" w:hint="default"/>
        </w:rPr>
      </w:lvl>
    </w:lvlOverride>
    <w:lvlOverride w:ilvl="2">
      <w:lvl w:ilvl="2">
        <w:start w:val="1"/>
        <w:numFmt w:val="decimal"/>
        <w:pStyle w:val="Heading3"/>
        <w:lvlText w:val="%1.%2.%3"/>
        <w:lvlJc w:val="left"/>
        <w:pPr>
          <w:ind w:left="0" w:firstLine="0"/>
        </w:pPr>
        <w:rPr>
          <w:rFonts w:hint="default"/>
        </w:rPr>
      </w:lvl>
    </w:lvlOverride>
    <w:lvlOverride w:ilvl="3">
      <w:lvl w:ilvl="3">
        <w:start w:val="1"/>
        <w:numFmt w:val="lowerLetter"/>
        <w:pStyle w:val="Heading4"/>
        <w:lvlText w:val="(%4)"/>
        <w:lvlJc w:val="left"/>
        <w:pPr>
          <w:ind w:left="2127" w:firstLine="0"/>
        </w:pPr>
        <w:rPr>
          <w:rFonts w:hint="default"/>
        </w:rPr>
      </w:lvl>
    </w:lvlOverride>
    <w:lvlOverride w:ilvl="4">
      <w:lvl w:ilvl="4">
        <w:start w:val="1"/>
        <w:numFmt w:val="none"/>
        <w:lvlText w:val=""/>
        <w:lvlJc w:val="left"/>
        <w:pPr>
          <w:ind w:left="0" w:firstLine="0"/>
        </w:pPr>
        <w:rPr>
          <w:rFonts w:hint="default"/>
        </w:rPr>
      </w:lvl>
    </w:lvlOverride>
    <w:lvlOverride w:ilvl="5">
      <w:lvl w:ilvl="5">
        <w:start w:val="1"/>
        <w:numFmt w:val="none"/>
        <w:lvlText w:val=""/>
        <w:lvlJc w:val="left"/>
        <w:pPr>
          <w:ind w:left="0" w:firstLine="0"/>
        </w:pPr>
        <w:rPr>
          <w:rFonts w:hint="default"/>
        </w:rPr>
      </w:lvl>
    </w:lvlOverride>
    <w:lvlOverride w:ilvl="6">
      <w:lvl w:ilvl="6">
        <w:start w:val="1"/>
        <w:numFmt w:val="none"/>
        <w:lvlText w:val=""/>
        <w:lvlJc w:val="left"/>
        <w:pPr>
          <w:ind w:left="0" w:firstLine="0"/>
        </w:pPr>
        <w:rPr>
          <w:rFonts w:hint="default"/>
        </w:rPr>
      </w:lvl>
    </w:lvlOverride>
    <w:lvlOverride w:ilvl="7">
      <w:lvl w:ilvl="7">
        <w:start w:val="1"/>
        <w:numFmt w:val="none"/>
        <w:lvlText w:val=""/>
        <w:lvlJc w:val="left"/>
        <w:pPr>
          <w:ind w:left="0" w:firstLine="0"/>
        </w:pPr>
        <w:rPr>
          <w:rFonts w:hint="default"/>
        </w:rPr>
      </w:lvl>
    </w:lvlOverride>
    <w:lvlOverride w:ilvl="8">
      <w:lvl w:ilvl="8">
        <w:start w:val="1"/>
        <w:numFmt w:val="none"/>
        <w:lvlText w:val=""/>
        <w:lvlJc w:val="left"/>
        <w:pPr>
          <w:ind w:left="0" w:firstLine="0"/>
        </w:pPr>
        <w:rPr>
          <w:rFonts w:hint="default"/>
        </w:rPr>
      </w:lvl>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hideSpellingErrors/>
  <w:hideGrammaticalErrors/>
  <w:defaultTabStop w:val="720"/>
  <w:drawingGridHorizontalSpacing w:val="110"/>
  <w:displayHorizontalDrawingGridEvery w:val="2"/>
  <w:displayVerticalDrawingGridEvery w:val="2"/>
  <w:characterSpacingControl w:val="doNotCompress"/>
  <w:hdrShapeDefaults>
    <o:shapedefaults v:ext="edit" spidmax="2170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SecurityClassificationInHeader" w:val="False"/>
  </w:docVars>
  <w:rsids>
    <w:rsidRoot w:val="0068146A"/>
    <w:rsid w:val="0000105E"/>
    <w:rsid w:val="00004184"/>
    <w:rsid w:val="00004A00"/>
    <w:rsid w:val="00004AEE"/>
    <w:rsid w:val="000057E9"/>
    <w:rsid w:val="00005CAA"/>
    <w:rsid w:val="00010210"/>
    <w:rsid w:val="00012D66"/>
    <w:rsid w:val="00015A98"/>
    <w:rsid w:val="00015ADA"/>
    <w:rsid w:val="000161B8"/>
    <w:rsid w:val="00017D91"/>
    <w:rsid w:val="00020C99"/>
    <w:rsid w:val="00020DE9"/>
    <w:rsid w:val="000219B8"/>
    <w:rsid w:val="00021B5B"/>
    <w:rsid w:val="000238D5"/>
    <w:rsid w:val="0002556B"/>
    <w:rsid w:val="0002707B"/>
    <w:rsid w:val="00030059"/>
    <w:rsid w:val="0003038A"/>
    <w:rsid w:val="00030BA8"/>
    <w:rsid w:val="0003497E"/>
    <w:rsid w:val="000363EF"/>
    <w:rsid w:val="0003686A"/>
    <w:rsid w:val="000404D7"/>
    <w:rsid w:val="00041359"/>
    <w:rsid w:val="00042F19"/>
    <w:rsid w:val="0004593D"/>
    <w:rsid w:val="0004634E"/>
    <w:rsid w:val="00050752"/>
    <w:rsid w:val="0005148E"/>
    <w:rsid w:val="000518E9"/>
    <w:rsid w:val="00054C3A"/>
    <w:rsid w:val="000564C5"/>
    <w:rsid w:val="000566F1"/>
    <w:rsid w:val="00057F07"/>
    <w:rsid w:val="00057FDB"/>
    <w:rsid w:val="00061203"/>
    <w:rsid w:val="000634C6"/>
    <w:rsid w:val="00065005"/>
    <w:rsid w:val="000668F9"/>
    <w:rsid w:val="00066962"/>
    <w:rsid w:val="0007054C"/>
    <w:rsid w:val="00072C5A"/>
    <w:rsid w:val="00074AFF"/>
    <w:rsid w:val="000759E5"/>
    <w:rsid w:val="00077399"/>
    <w:rsid w:val="00080C89"/>
    <w:rsid w:val="00083093"/>
    <w:rsid w:val="00084AC6"/>
    <w:rsid w:val="0008519B"/>
    <w:rsid w:val="00086BB0"/>
    <w:rsid w:val="00087A2B"/>
    <w:rsid w:val="00091608"/>
    <w:rsid w:val="00092518"/>
    <w:rsid w:val="0009333C"/>
    <w:rsid w:val="00095152"/>
    <w:rsid w:val="0009627B"/>
    <w:rsid w:val="0009704F"/>
    <w:rsid w:val="000A0F11"/>
    <w:rsid w:val="000A125A"/>
    <w:rsid w:val="000A3A2A"/>
    <w:rsid w:val="000A57CD"/>
    <w:rsid w:val="000A78EB"/>
    <w:rsid w:val="000B0B2E"/>
    <w:rsid w:val="000B3758"/>
    <w:rsid w:val="000B54FE"/>
    <w:rsid w:val="000B5A1A"/>
    <w:rsid w:val="000B7681"/>
    <w:rsid w:val="000B78F8"/>
    <w:rsid w:val="000B7B42"/>
    <w:rsid w:val="000C02B7"/>
    <w:rsid w:val="000C477C"/>
    <w:rsid w:val="000C5100"/>
    <w:rsid w:val="000C5342"/>
    <w:rsid w:val="000C620C"/>
    <w:rsid w:val="000C706A"/>
    <w:rsid w:val="000C773B"/>
    <w:rsid w:val="000D0249"/>
    <w:rsid w:val="000D2887"/>
    <w:rsid w:val="000D5177"/>
    <w:rsid w:val="000D6D63"/>
    <w:rsid w:val="000D76A2"/>
    <w:rsid w:val="000E0081"/>
    <w:rsid w:val="000E00D0"/>
    <w:rsid w:val="000E0530"/>
    <w:rsid w:val="000E07CF"/>
    <w:rsid w:val="000E1690"/>
    <w:rsid w:val="000E230F"/>
    <w:rsid w:val="000E2B98"/>
    <w:rsid w:val="000E31C1"/>
    <w:rsid w:val="000E65BE"/>
    <w:rsid w:val="000E6B21"/>
    <w:rsid w:val="000F2CF2"/>
    <w:rsid w:val="000F3C96"/>
    <w:rsid w:val="000F578B"/>
    <w:rsid w:val="000F6150"/>
    <w:rsid w:val="000F7D90"/>
    <w:rsid w:val="00100BEF"/>
    <w:rsid w:val="00102E77"/>
    <w:rsid w:val="00103D06"/>
    <w:rsid w:val="0010423D"/>
    <w:rsid w:val="00107A5B"/>
    <w:rsid w:val="00107E1C"/>
    <w:rsid w:val="00111326"/>
    <w:rsid w:val="00113E77"/>
    <w:rsid w:val="0011498E"/>
    <w:rsid w:val="00117A45"/>
    <w:rsid w:val="00117E4B"/>
    <w:rsid w:val="001224AE"/>
    <w:rsid w:val="00124DA4"/>
    <w:rsid w:val="00124EDA"/>
    <w:rsid w:val="001310D4"/>
    <w:rsid w:val="001337D4"/>
    <w:rsid w:val="0014099E"/>
    <w:rsid w:val="00143C85"/>
    <w:rsid w:val="00144D75"/>
    <w:rsid w:val="00147366"/>
    <w:rsid w:val="001474E8"/>
    <w:rsid w:val="00147C12"/>
    <w:rsid w:val="00151B09"/>
    <w:rsid w:val="001527A1"/>
    <w:rsid w:val="001530DC"/>
    <w:rsid w:val="001533FC"/>
    <w:rsid w:val="001548E2"/>
    <w:rsid w:val="00154989"/>
    <w:rsid w:val="00154D61"/>
    <w:rsid w:val="00154D84"/>
    <w:rsid w:val="00155A9F"/>
    <w:rsid w:val="00156496"/>
    <w:rsid w:val="00156695"/>
    <w:rsid w:val="00160262"/>
    <w:rsid w:val="001619D1"/>
    <w:rsid w:val="00163445"/>
    <w:rsid w:val="001650D6"/>
    <w:rsid w:val="0016553E"/>
    <w:rsid w:val="00166154"/>
    <w:rsid w:val="00166418"/>
    <w:rsid w:val="0016780A"/>
    <w:rsid w:val="00167CD8"/>
    <w:rsid w:val="001713FA"/>
    <w:rsid w:val="00171D7E"/>
    <w:rsid w:val="0017211D"/>
    <w:rsid w:val="00173EBF"/>
    <w:rsid w:val="001752FC"/>
    <w:rsid w:val="00175ED3"/>
    <w:rsid w:val="00176174"/>
    <w:rsid w:val="00177330"/>
    <w:rsid w:val="00181825"/>
    <w:rsid w:val="00181A89"/>
    <w:rsid w:val="00182619"/>
    <w:rsid w:val="00183CB7"/>
    <w:rsid w:val="001842A2"/>
    <w:rsid w:val="00187FA8"/>
    <w:rsid w:val="00190356"/>
    <w:rsid w:val="001909DC"/>
    <w:rsid w:val="0019259D"/>
    <w:rsid w:val="00192F5E"/>
    <w:rsid w:val="001934E6"/>
    <w:rsid w:val="00193907"/>
    <w:rsid w:val="00197772"/>
    <w:rsid w:val="001A26B8"/>
    <w:rsid w:val="001A3E4F"/>
    <w:rsid w:val="001A51C8"/>
    <w:rsid w:val="001B01E4"/>
    <w:rsid w:val="001B2852"/>
    <w:rsid w:val="001B4CA8"/>
    <w:rsid w:val="001B5EA1"/>
    <w:rsid w:val="001B6EE4"/>
    <w:rsid w:val="001C0C59"/>
    <w:rsid w:val="001C4557"/>
    <w:rsid w:val="001C4F3D"/>
    <w:rsid w:val="001D026C"/>
    <w:rsid w:val="001D0CDC"/>
    <w:rsid w:val="001D1D82"/>
    <w:rsid w:val="001D240F"/>
    <w:rsid w:val="001D5953"/>
    <w:rsid w:val="001D5EEF"/>
    <w:rsid w:val="001E01B3"/>
    <w:rsid w:val="001E1182"/>
    <w:rsid w:val="001E5C45"/>
    <w:rsid w:val="001E629B"/>
    <w:rsid w:val="001F0693"/>
    <w:rsid w:val="001F135F"/>
    <w:rsid w:val="001F78F4"/>
    <w:rsid w:val="001F7ADF"/>
    <w:rsid w:val="002004D6"/>
    <w:rsid w:val="00200CAE"/>
    <w:rsid w:val="00202C90"/>
    <w:rsid w:val="002078ED"/>
    <w:rsid w:val="00207ABB"/>
    <w:rsid w:val="00212428"/>
    <w:rsid w:val="002134C9"/>
    <w:rsid w:val="00213DE8"/>
    <w:rsid w:val="0021416A"/>
    <w:rsid w:val="00214632"/>
    <w:rsid w:val="00216118"/>
    <w:rsid w:val="00220420"/>
    <w:rsid w:val="002209AB"/>
    <w:rsid w:val="00220DF0"/>
    <w:rsid w:val="00222537"/>
    <w:rsid w:val="00222D56"/>
    <w:rsid w:val="00224078"/>
    <w:rsid w:val="0022456C"/>
    <w:rsid w:val="00225192"/>
    <w:rsid w:val="002251E3"/>
    <w:rsid w:val="00227A95"/>
    <w:rsid w:val="00231532"/>
    <w:rsid w:val="002316BD"/>
    <w:rsid w:val="00232A24"/>
    <w:rsid w:val="002400BD"/>
    <w:rsid w:val="002420C5"/>
    <w:rsid w:val="00242262"/>
    <w:rsid w:val="0024331D"/>
    <w:rsid w:val="00245947"/>
    <w:rsid w:val="002473FC"/>
    <w:rsid w:val="00250AD2"/>
    <w:rsid w:val="00251171"/>
    <w:rsid w:val="00252E3C"/>
    <w:rsid w:val="00252FB9"/>
    <w:rsid w:val="0025763D"/>
    <w:rsid w:val="00257AB9"/>
    <w:rsid w:val="00262198"/>
    <w:rsid w:val="002646C7"/>
    <w:rsid w:val="002649D9"/>
    <w:rsid w:val="00272067"/>
    <w:rsid w:val="002767F2"/>
    <w:rsid w:val="00277D5D"/>
    <w:rsid w:val="00280DA6"/>
    <w:rsid w:val="002834D3"/>
    <w:rsid w:val="00285F1B"/>
    <w:rsid w:val="00292283"/>
    <w:rsid w:val="00292B81"/>
    <w:rsid w:val="00294F89"/>
    <w:rsid w:val="002A2D9C"/>
    <w:rsid w:val="002A53EB"/>
    <w:rsid w:val="002A554D"/>
    <w:rsid w:val="002A69B0"/>
    <w:rsid w:val="002A6FBA"/>
    <w:rsid w:val="002A7D4B"/>
    <w:rsid w:val="002B18AE"/>
    <w:rsid w:val="002B21CF"/>
    <w:rsid w:val="002B32BA"/>
    <w:rsid w:val="002B34DF"/>
    <w:rsid w:val="002B5438"/>
    <w:rsid w:val="002B5E9C"/>
    <w:rsid w:val="002B74F8"/>
    <w:rsid w:val="002C1C93"/>
    <w:rsid w:val="002C27E1"/>
    <w:rsid w:val="002C2B97"/>
    <w:rsid w:val="002C5066"/>
    <w:rsid w:val="002C5813"/>
    <w:rsid w:val="002D4AAC"/>
    <w:rsid w:val="002E3F6A"/>
    <w:rsid w:val="002E6D6E"/>
    <w:rsid w:val="002F045A"/>
    <w:rsid w:val="002F2F65"/>
    <w:rsid w:val="0030039D"/>
    <w:rsid w:val="00300ECD"/>
    <w:rsid w:val="0030326F"/>
    <w:rsid w:val="00304F2F"/>
    <w:rsid w:val="00306CFF"/>
    <w:rsid w:val="00310701"/>
    <w:rsid w:val="00313852"/>
    <w:rsid w:val="00313C7A"/>
    <w:rsid w:val="00315980"/>
    <w:rsid w:val="00316685"/>
    <w:rsid w:val="00316977"/>
    <w:rsid w:val="00316D31"/>
    <w:rsid w:val="00316F7F"/>
    <w:rsid w:val="00316F8D"/>
    <w:rsid w:val="003218E8"/>
    <w:rsid w:val="00322844"/>
    <w:rsid w:val="003230BE"/>
    <w:rsid w:val="003239BF"/>
    <w:rsid w:val="00324D54"/>
    <w:rsid w:val="00325E34"/>
    <w:rsid w:val="00326731"/>
    <w:rsid w:val="0032736B"/>
    <w:rsid w:val="00327D58"/>
    <w:rsid w:val="00330DCE"/>
    <w:rsid w:val="00331024"/>
    <w:rsid w:val="00331E11"/>
    <w:rsid w:val="0033384E"/>
    <w:rsid w:val="00334761"/>
    <w:rsid w:val="0033485A"/>
    <w:rsid w:val="00335E22"/>
    <w:rsid w:val="003365DD"/>
    <w:rsid w:val="00337728"/>
    <w:rsid w:val="00337EBC"/>
    <w:rsid w:val="00340E54"/>
    <w:rsid w:val="00341DCD"/>
    <w:rsid w:val="0034563E"/>
    <w:rsid w:val="00346AF5"/>
    <w:rsid w:val="003475AB"/>
    <w:rsid w:val="00350FF8"/>
    <w:rsid w:val="003518D6"/>
    <w:rsid w:val="0035460C"/>
    <w:rsid w:val="003556BD"/>
    <w:rsid w:val="003560B8"/>
    <w:rsid w:val="003566B9"/>
    <w:rsid w:val="00357675"/>
    <w:rsid w:val="00363174"/>
    <w:rsid w:val="00363C00"/>
    <w:rsid w:val="00364BC9"/>
    <w:rsid w:val="00365147"/>
    <w:rsid w:val="003658F0"/>
    <w:rsid w:val="0037016E"/>
    <w:rsid w:val="00371A5F"/>
    <w:rsid w:val="00372908"/>
    <w:rsid w:val="003737D8"/>
    <w:rsid w:val="0037601E"/>
    <w:rsid w:val="00383020"/>
    <w:rsid w:val="003845EF"/>
    <w:rsid w:val="00384DEB"/>
    <w:rsid w:val="00384F6E"/>
    <w:rsid w:val="00394D7E"/>
    <w:rsid w:val="00395EE9"/>
    <w:rsid w:val="00396717"/>
    <w:rsid w:val="003975FD"/>
    <w:rsid w:val="003A24A2"/>
    <w:rsid w:val="003A2DC7"/>
    <w:rsid w:val="003A416E"/>
    <w:rsid w:val="003B057D"/>
    <w:rsid w:val="003B3E14"/>
    <w:rsid w:val="003B60CC"/>
    <w:rsid w:val="003B6945"/>
    <w:rsid w:val="003B7281"/>
    <w:rsid w:val="003B7BC1"/>
    <w:rsid w:val="003C0B26"/>
    <w:rsid w:val="003C146C"/>
    <w:rsid w:val="003C1B25"/>
    <w:rsid w:val="003C2443"/>
    <w:rsid w:val="003C3B7B"/>
    <w:rsid w:val="003C5AD7"/>
    <w:rsid w:val="003C5DA3"/>
    <w:rsid w:val="003C604D"/>
    <w:rsid w:val="003C6B50"/>
    <w:rsid w:val="003C7D13"/>
    <w:rsid w:val="003D19FD"/>
    <w:rsid w:val="003D37C1"/>
    <w:rsid w:val="003D4BCD"/>
    <w:rsid w:val="003D4D8E"/>
    <w:rsid w:val="003D5258"/>
    <w:rsid w:val="003D6C2B"/>
    <w:rsid w:val="003E01D8"/>
    <w:rsid w:val="003E2100"/>
    <w:rsid w:val="003E2C29"/>
    <w:rsid w:val="003E45E1"/>
    <w:rsid w:val="003E4A31"/>
    <w:rsid w:val="003E545A"/>
    <w:rsid w:val="003E6F6B"/>
    <w:rsid w:val="003E75A4"/>
    <w:rsid w:val="003F03A3"/>
    <w:rsid w:val="003F139B"/>
    <w:rsid w:val="003F1593"/>
    <w:rsid w:val="003F4296"/>
    <w:rsid w:val="003F476A"/>
    <w:rsid w:val="003F6A7D"/>
    <w:rsid w:val="003F6F5B"/>
    <w:rsid w:val="0040342D"/>
    <w:rsid w:val="00407943"/>
    <w:rsid w:val="0041192D"/>
    <w:rsid w:val="00413EE1"/>
    <w:rsid w:val="00414147"/>
    <w:rsid w:val="00420641"/>
    <w:rsid w:val="00420AB3"/>
    <w:rsid w:val="00421069"/>
    <w:rsid w:val="0042128E"/>
    <w:rsid w:val="004227BC"/>
    <w:rsid w:val="00422C9E"/>
    <w:rsid w:val="00424BC3"/>
    <w:rsid w:val="00430267"/>
    <w:rsid w:val="00432B60"/>
    <w:rsid w:val="004332BB"/>
    <w:rsid w:val="00437933"/>
    <w:rsid w:val="00440184"/>
    <w:rsid w:val="00440698"/>
    <w:rsid w:val="00440D14"/>
    <w:rsid w:val="00442362"/>
    <w:rsid w:val="004448B9"/>
    <w:rsid w:val="004462FE"/>
    <w:rsid w:val="00447EA6"/>
    <w:rsid w:val="00450436"/>
    <w:rsid w:val="00453846"/>
    <w:rsid w:val="004540E2"/>
    <w:rsid w:val="00454454"/>
    <w:rsid w:val="00455912"/>
    <w:rsid w:val="004578B9"/>
    <w:rsid w:val="004616BC"/>
    <w:rsid w:val="004633EB"/>
    <w:rsid w:val="00466B00"/>
    <w:rsid w:val="004676D8"/>
    <w:rsid w:val="00467924"/>
    <w:rsid w:val="004712A5"/>
    <w:rsid w:val="0047266F"/>
    <w:rsid w:val="0047463F"/>
    <w:rsid w:val="00476D6B"/>
    <w:rsid w:val="00480D35"/>
    <w:rsid w:val="004829CA"/>
    <w:rsid w:val="00483E92"/>
    <w:rsid w:val="00490564"/>
    <w:rsid w:val="00490B91"/>
    <w:rsid w:val="00492C16"/>
    <w:rsid w:val="004A0678"/>
    <w:rsid w:val="004A08E4"/>
    <w:rsid w:val="004A48A3"/>
    <w:rsid w:val="004A6F68"/>
    <w:rsid w:val="004A7988"/>
    <w:rsid w:val="004B0D92"/>
    <w:rsid w:val="004B0EC0"/>
    <w:rsid w:val="004B458B"/>
    <w:rsid w:val="004B590E"/>
    <w:rsid w:val="004B66F1"/>
    <w:rsid w:val="004C3EA0"/>
    <w:rsid w:val="004C42C9"/>
    <w:rsid w:val="004C498C"/>
    <w:rsid w:val="004C7BA9"/>
    <w:rsid w:val="004D3E6F"/>
    <w:rsid w:val="004D4C88"/>
    <w:rsid w:val="004D5EBB"/>
    <w:rsid w:val="004D66A0"/>
    <w:rsid w:val="004D6883"/>
    <w:rsid w:val="004D7F53"/>
    <w:rsid w:val="004E3ED8"/>
    <w:rsid w:val="004E686A"/>
    <w:rsid w:val="004F1844"/>
    <w:rsid w:val="004F246A"/>
    <w:rsid w:val="004F32B4"/>
    <w:rsid w:val="004F644D"/>
    <w:rsid w:val="004F7169"/>
    <w:rsid w:val="00500D66"/>
    <w:rsid w:val="00502683"/>
    <w:rsid w:val="005072D3"/>
    <w:rsid w:val="00510EB2"/>
    <w:rsid w:val="00511146"/>
    <w:rsid w:val="00514C8E"/>
    <w:rsid w:val="0052025B"/>
    <w:rsid w:val="00524B3A"/>
    <w:rsid w:val="00527588"/>
    <w:rsid w:val="0052770B"/>
    <w:rsid w:val="00530DCD"/>
    <w:rsid w:val="00531040"/>
    <w:rsid w:val="00531DBF"/>
    <w:rsid w:val="00533C7F"/>
    <w:rsid w:val="00533FC3"/>
    <w:rsid w:val="005406A2"/>
    <w:rsid w:val="00540BDF"/>
    <w:rsid w:val="005424AF"/>
    <w:rsid w:val="00543A5A"/>
    <w:rsid w:val="00545759"/>
    <w:rsid w:val="00545BE0"/>
    <w:rsid w:val="00546686"/>
    <w:rsid w:val="00546930"/>
    <w:rsid w:val="005524B2"/>
    <w:rsid w:val="00554C6A"/>
    <w:rsid w:val="00556091"/>
    <w:rsid w:val="005563F5"/>
    <w:rsid w:val="00556B9D"/>
    <w:rsid w:val="005576DC"/>
    <w:rsid w:val="00562E85"/>
    <w:rsid w:val="0056332F"/>
    <w:rsid w:val="00563C0C"/>
    <w:rsid w:val="00567810"/>
    <w:rsid w:val="00567CAB"/>
    <w:rsid w:val="005719B3"/>
    <w:rsid w:val="00572783"/>
    <w:rsid w:val="0057295E"/>
    <w:rsid w:val="0057535E"/>
    <w:rsid w:val="00581C39"/>
    <w:rsid w:val="00581D66"/>
    <w:rsid w:val="00582ED7"/>
    <w:rsid w:val="00583873"/>
    <w:rsid w:val="005865D4"/>
    <w:rsid w:val="00586C5E"/>
    <w:rsid w:val="005903B6"/>
    <w:rsid w:val="005A0247"/>
    <w:rsid w:val="005A126E"/>
    <w:rsid w:val="005A417E"/>
    <w:rsid w:val="005A452F"/>
    <w:rsid w:val="005A671A"/>
    <w:rsid w:val="005B08BF"/>
    <w:rsid w:val="005B140D"/>
    <w:rsid w:val="005B5032"/>
    <w:rsid w:val="005B5F35"/>
    <w:rsid w:val="005B7074"/>
    <w:rsid w:val="005B7083"/>
    <w:rsid w:val="005C0005"/>
    <w:rsid w:val="005C07E9"/>
    <w:rsid w:val="005C1FEA"/>
    <w:rsid w:val="005C3495"/>
    <w:rsid w:val="005C4442"/>
    <w:rsid w:val="005C5E5F"/>
    <w:rsid w:val="005C6F5E"/>
    <w:rsid w:val="005D1DEF"/>
    <w:rsid w:val="005D2EAA"/>
    <w:rsid w:val="005D5700"/>
    <w:rsid w:val="005D6A1A"/>
    <w:rsid w:val="005D6B24"/>
    <w:rsid w:val="005D79EF"/>
    <w:rsid w:val="005E3DFC"/>
    <w:rsid w:val="005E5942"/>
    <w:rsid w:val="005E60AF"/>
    <w:rsid w:val="005E66EC"/>
    <w:rsid w:val="005E7B7B"/>
    <w:rsid w:val="005F1011"/>
    <w:rsid w:val="005F1DEA"/>
    <w:rsid w:val="005F58BB"/>
    <w:rsid w:val="005F5ED2"/>
    <w:rsid w:val="005F6BE4"/>
    <w:rsid w:val="006039B2"/>
    <w:rsid w:val="00607FC9"/>
    <w:rsid w:val="00610710"/>
    <w:rsid w:val="00611677"/>
    <w:rsid w:val="00617448"/>
    <w:rsid w:val="00621DEA"/>
    <w:rsid w:val="00622FE1"/>
    <w:rsid w:val="00623096"/>
    <w:rsid w:val="0062521C"/>
    <w:rsid w:val="00630A2B"/>
    <w:rsid w:val="00632DC7"/>
    <w:rsid w:val="0063418C"/>
    <w:rsid w:val="006345D0"/>
    <w:rsid w:val="006357FB"/>
    <w:rsid w:val="00636679"/>
    <w:rsid w:val="00636A43"/>
    <w:rsid w:val="006406FC"/>
    <w:rsid w:val="00640E57"/>
    <w:rsid w:val="00641E5D"/>
    <w:rsid w:val="00642DE7"/>
    <w:rsid w:val="00644C6B"/>
    <w:rsid w:val="00646122"/>
    <w:rsid w:val="006465BF"/>
    <w:rsid w:val="00646A60"/>
    <w:rsid w:val="0064794E"/>
    <w:rsid w:val="00653E16"/>
    <w:rsid w:val="00655B90"/>
    <w:rsid w:val="00656826"/>
    <w:rsid w:val="00657220"/>
    <w:rsid w:val="00657362"/>
    <w:rsid w:val="00657504"/>
    <w:rsid w:val="0066104B"/>
    <w:rsid w:val="00662A69"/>
    <w:rsid w:val="006652BB"/>
    <w:rsid w:val="006655EE"/>
    <w:rsid w:val="006668BD"/>
    <w:rsid w:val="00666C6D"/>
    <w:rsid w:val="00667C10"/>
    <w:rsid w:val="00667EF4"/>
    <w:rsid w:val="006706CE"/>
    <w:rsid w:val="006727ED"/>
    <w:rsid w:val="00672CDE"/>
    <w:rsid w:val="00675DE8"/>
    <w:rsid w:val="00676F20"/>
    <w:rsid w:val="00676FCA"/>
    <w:rsid w:val="00677177"/>
    <w:rsid w:val="0068146A"/>
    <w:rsid w:val="006821CB"/>
    <w:rsid w:val="006828FD"/>
    <w:rsid w:val="006836EB"/>
    <w:rsid w:val="00685DD7"/>
    <w:rsid w:val="0068612E"/>
    <w:rsid w:val="00687C92"/>
    <w:rsid w:val="00694458"/>
    <w:rsid w:val="0069534E"/>
    <w:rsid w:val="00695381"/>
    <w:rsid w:val="0069669C"/>
    <w:rsid w:val="00697FBA"/>
    <w:rsid w:val="006A03FD"/>
    <w:rsid w:val="006A069A"/>
    <w:rsid w:val="006A11B1"/>
    <w:rsid w:val="006A1200"/>
    <w:rsid w:val="006A1BD9"/>
    <w:rsid w:val="006A2A9D"/>
    <w:rsid w:val="006A4F4E"/>
    <w:rsid w:val="006A56C4"/>
    <w:rsid w:val="006A6C23"/>
    <w:rsid w:val="006B14DB"/>
    <w:rsid w:val="006B21C4"/>
    <w:rsid w:val="006B3168"/>
    <w:rsid w:val="006B3193"/>
    <w:rsid w:val="006B53B7"/>
    <w:rsid w:val="006B75E9"/>
    <w:rsid w:val="006C11D8"/>
    <w:rsid w:val="006C2CF6"/>
    <w:rsid w:val="006C4A1A"/>
    <w:rsid w:val="006C578F"/>
    <w:rsid w:val="006C793A"/>
    <w:rsid w:val="006D0393"/>
    <w:rsid w:val="006D1A83"/>
    <w:rsid w:val="006D213D"/>
    <w:rsid w:val="006D4A58"/>
    <w:rsid w:val="006E109D"/>
    <w:rsid w:val="006E1CFE"/>
    <w:rsid w:val="006E3436"/>
    <w:rsid w:val="006E388C"/>
    <w:rsid w:val="006E61A1"/>
    <w:rsid w:val="006E6356"/>
    <w:rsid w:val="006E7FE4"/>
    <w:rsid w:val="006F10C4"/>
    <w:rsid w:val="006F40E9"/>
    <w:rsid w:val="006F4F3C"/>
    <w:rsid w:val="006F5603"/>
    <w:rsid w:val="006F6493"/>
    <w:rsid w:val="006F7B87"/>
    <w:rsid w:val="00701400"/>
    <w:rsid w:val="007037CF"/>
    <w:rsid w:val="00706C61"/>
    <w:rsid w:val="007071B1"/>
    <w:rsid w:val="00710FD5"/>
    <w:rsid w:val="007120AC"/>
    <w:rsid w:val="0071217B"/>
    <w:rsid w:val="0071446C"/>
    <w:rsid w:val="00714DB0"/>
    <w:rsid w:val="007167C0"/>
    <w:rsid w:val="00720481"/>
    <w:rsid w:val="00720BA1"/>
    <w:rsid w:val="007210A6"/>
    <w:rsid w:val="00723442"/>
    <w:rsid w:val="007246BE"/>
    <w:rsid w:val="00725EE4"/>
    <w:rsid w:val="00733193"/>
    <w:rsid w:val="0073373C"/>
    <w:rsid w:val="00736AC7"/>
    <w:rsid w:val="00737668"/>
    <w:rsid w:val="00742D02"/>
    <w:rsid w:val="00742DB8"/>
    <w:rsid w:val="00744DDA"/>
    <w:rsid w:val="00745E03"/>
    <w:rsid w:val="00753595"/>
    <w:rsid w:val="00756243"/>
    <w:rsid w:val="0075732A"/>
    <w:rsid w:val="00757A5C"/>
    <w:rsid w:val="00757B83"/>
    <w:rsid w:val="007600F8"/>
    <w:rsid w:val="00760262"/>
    <w:rsid w:val="0076273B"/>
    <w:rsid w:val="0076310C"/>
    <w:rsid w:val="00764AC4"/>
    <w:rsid w:val="0076744F"/>
    <w:rsid w:val="00767BCE"/>
    <w:rsid w:val="00767EFC"/>
    <w:rsid w:val="00770624"/>
    <w:rsid w:val="007707DE"/>
    <w:rsid w:val="00770B5D"/>
    <w:rsid w:val="00771B9C"/>
    <w:rsid w:val="007752F1"/>
    <w:rsid w:val="00775A9F"/>
    <w:rsid w:val="0077611C"/>
    <w:rsid w:val="007763BC"/>
    <w:rsid w:val="00776768"/>
    <w:rsid w:val="007813DA"/>
    <w:rsid w:val="0078187A"/>
    <w:rsid w:val="00782DC6"/>
    <w:rsid w:val="00783335"/>
    <w:rsid w:val="00786977"/>
    <w:rsid w:val="007901DF"/>
    <w:rsid w:val="00790FE2"/>
    <w:rsid w:val="00792684"/>
    <w:rsid w:val="00792C67"/>
    <w:rsid w:val="0079370E"/>
    <w:rsid w:val="00794ED8"/>
    <w:rsid w:val="00796139"/>
    <w:rsid w:val="00797864"/>
    <w:rsid w:val="007A2573"/>
    <w:rsid w:val="007A408B"/>
    <w:rsid w:val="007A4D54"/>
    <w:rsid w:val="007A7120"/>
    <w:rsid w:val="007A79C5"/>
    <w:rsid w:val="007A7CAF"/>
    <w:rsid w:val="007B0FE2"/>
    <w:rsid w:val="007B106C"/>
    <w:rsid w:val="007B1A4E"/>
    <w:rsid w:val="007B3D05"/>
    <w:rsid w:val="007B5503"/>
    <w:rsid w:val="007C179C"/>
    <w:rsid w:val="007C4AB9"/>
    <w:rsid w:val="007C6BB3"/>
    <w:rsid w:val="007D14B4"/>
    <w:rsid w:val="007D3AD7"/>
    <w:rsid w:val="007D3D7C"/>
    <w:rsid w:val="007D419E"/>
    <w:rsid w:val="007D474E"/>
    <w:rsid w:val="007D4DBF"/>
    <w:rsid w:val="007D6AB8"/>
    <w:rsid w:val="007E0E1A"/>
    <w:rsid w:val="007E1CA1"/>
    <w:rsid w:val="007E23E8"/>
    <w:rsid w:val="007E24F6"/>
    <w:rsid w:val="007E2C57"/>
    <w:rsid w:val="007E3771"/>
    <w:rsid w:val="007E438B"/>
    <w:rsid w:val="007E5892"/>
    <w:rsid w:val="007E683D"/>
    <w:rsid w:val="007E7048"/>
    <w:rsid w:val="007F01C6"/>
    <w:rsid w:val="007F2E68"/>
    <w:rsid w:val="007F4B65"/>
    <w:rsid w:val="007F6129"/>
    <w:rsid w:val="008008E4"/>
    <w:rsid w:val="00800F64"/>
    <w:rsid w:val="00801050"/>
    <w:rsid w:val="00802F0B"/>
    <w:rsid w:val="00807FE4"/>
    <w:rsid w:val="008106DC"/>
    <w:rsid w:val="00810A67"/>
    <w:rsid w:val="00812EBC"/>
    <w:rsid w:val="0081343B"/>
    <w:rsid w:val="008149AC"/>
    <w:rsid w:val="0081563C"/>
    <w:rsid w:val="00815D40"/>
    <w:rsid w:val="00815F38"/>
    <w:rsid w:val="00822126"/>
    <w:rsid w:val="0082283F"/>
    <w:rsid w:val="0082298F"/>
    <w:rsid w:val="0082574D"/>
    <w:rsid w:val="008259B1"/>
    <w:rsid w:val="00830458"/>
    <w:rsid w:val="00833CF7"/>
    <w:rsid w:val="00834CDE"/>
    <w:rsid w:val="0083509E"/>
    <w:rsid w:val="00837AE3"/>
    <w:rsid w:val="00842464"/>
    <w:rsid w:val="00845601"/>
    <w:rsid w:val="00847CA2"/>
    <w:rsid w:val="00854455"/>
    <w:rsid w:val="00855C5C"/>
    <w:rsid w:val="00865C42"/>
    <w:rsid w:val="008664F3"/>
    <w:rsid w:val="008724B6"/>
    <w:rsid w:val="008731B6"/>
    <w:rsid w:val="008806AD"/>
    <w:rsid w:val="008813A4"/>
    <w:rsid w:val="00884CB7"/>
    <w:rsid w:val="008857F4"/>
    <w:rsid w:val="00885860"/>
    <w:rsid w:val="008864A7"/>
    <w:rsid w:val="00886F6A"/>
    <w:rsid w:val="00890B43"/>
    <w:rsid w:val="00895968"/>
    <w:rsid w:val="00895AF5"/>
    <w:rsid w:val="00897270"/>
    <w:rsid w:val="00897597"/>
    <w:rsid w:val="00897D72"/>
    <w:rsid w:val="008A1B4D"/>
    <w:rsid w:val="008A1E60"/>
    <w:rsid w:val="008A3C96"/>
    <w:rsid w:val="008A51FC"/>
    <w:rsid w:val="008B0A4B"/>
    <w:rsid w:val="008B2D47"/>
    <w:rsid w:val="008B3361"/>
    <w:rsid w:val="008B4019"/>
    <w:rsid w:val="008B42F7"/>
    <w:rsid w:val="008B46AC"/>
    <w:rsid w:val="008B5B7C"/>
    <w:rsid w:val="008B65C9"/>
    <w:rsid w:val="008B6ED4"/>
    <w:rsid w:val="008B6EE9"/>
    <w:rsid w:val="008C0634"/>
    <w:rsid w:val="008C197A"/>
    <w:rsid w:val="008C21F2"/>
    <w:rsid w:val="008C2D4A"/>
    <w:rsid w:val="008C47F8"/>
    <w:rsid w:val="008C7A65"/>
    <w:rsid w:val="008D0670"/>
    <w:rsid w:val="008D2D94"/>
    <w:rsid w:val="008D3900"/>
    <w:rsid w:val="008D4B52"/>
    <w:rsid w:val="008D5B42"/>
    <w:rsid w:val="008D6426"/>
    <w:rsid w:val="008D6E1D"/>
    <w:rsid w:val="008D7BB1"/>
    <w:rsid w:val="008E19E7"/>
    <w:rsid w:val="008E2CB4"/>
    <w:rsid w:val="008E5EDC"/>
    <w:rsid w:val="008E5FA9"/>
    <w:rsid w:val="008E6E91"/>
    <w:rsid w:val="008E7C2E"/>
    <w:rsid w:val="008F01A7"/>
    <w:rsid w:val="008F03DC"/>
    <w:rsid w:val="008F0CF2"/>
    <w:rsid w:val="008F3847"/>
    <w:rsid w:val="008F388B"/>
    <w:rsid w:val="008F39B4"/>
    <w:rsid w:val="008F4162"/>
    <w:rsid w:val="008F7724"/>
    <w:rsid w:val="00902897"/>
    <w:rsid w:val="00903E02"/>
    <w:rsid w:val="009047A5"/>
    <w:rsid w:val="009047F5"/>
    <w:rsid w:val="0090639D"/>
    <w:rsid w:val="009107E7"/>
    <w:rsid w:val="00910AF0"/>
    <w:rsid w:val="009114FB"/>
    <w:rsid w:val="00912BE1"/>
    <w:rsid w:val="00913175"/>
    <w:rsid w:val="00914AA5"/>
    <w:rsid w:val="00914B3D"/>
    <w:rsid w:val="00916EDB"/>
    <w:rsid w:val="0091783D"/>
    <w:rsid w:val="009202D8"/>
    <w:rsid w:val="00920861"/>
    <w:rsid w:val="00921320"/>
    <w:rsid w:val="00921AD6"/>
    <w:rsid w:val="00922B13"/>
    <w:rsid w:val="009242EF"/>
    <w:rsid w:val="00932291"/>
    <w:rsid w:val="00932861"/>
    <w:rsid w:val="0093408E"/>
    <w:rsid w:val="009343C0"/>
    <w:rsid w:val="00937E5C"/>
    <w:rsid w:val="00943ADA"/>
    <w:rsid w:val="009447CD"/>
    <w:rsid w:val="009464AC"/>
    <w:rsid w:val="009478B7"/>
    <w:rsid w:val="00952DDF"/>
    <w:rsid w:val="0095635C"/>
    <w:rsid w:val="009602A4"/>
    <w:rsid w:val="009610A3"/>
    <w:rsid w:val="009617D7"/>
    <w:rsid w:val="009622B5"/>
    <w:rsid w:val="009633E9"/>
    <w:rsid w:val="00963B6A"/>
    <w:rsid w:val="00964CDE"/>
    <w:rsid w:val="00964D8B"/>
    <w:rsid w:val="00965B38"/>
    <w:rsid w:val="00970950"/>
    <w:rsid w:val="00974084"/>
    <w:rsid w:val="0097498A"/>
    <w:rsid w:val="009812D4"/>
    <w:rsid w:val="0098299B"/>
    <w:rsid w:val="009860C3"/>
    <w:rsid w:val="009862EE"/>
    <w:rsid w:val="00986466"/>
    <w:rsid w:val="00986A87"/>
    <w:rsid w:val="00986ACB"/>
    <w:rsid w:val="009874A5"/>
    <w:rsid w:val="00991788"/>
    <w:rsid w:val="009920D8"/>
    <w:rsid w:val="009924FC"/>
    <w:rsid w:val="00994001"/>
    <w:rsid w:val="009952F5"/>
    <w:rsid w:val="0099608F"/>
    <w:rsid w:val="00997124"/>
    <w:rsid w:val="009979D0"/>
    <w:rsid w:val="009A60AE"/>
    <w:rsid w:val="009A6839"/>
    <w:rsid w:val="009A6A15"/>
    <w:rsid w:val="009A6DB7"/>
    <w:rsid w:val="009A77BC"/>
    <w:rsid w:val="009B237B"/>
    <w:rsid w:val="009B38BE"/>
    <w:rsid w:val="009C0B5A"/>
    <w:rsid w:val="009C3D0F"/>
    <w:rsid w:val="009C5213"/>
    <w:rsid w:val="009C7CFF"/>
    <w:rsid w:val="009D6FFC"/>
    <w:rsid w:val="009D772D"/>
    <w:rsid w:val="009E0BAD"/>
    <w:rsid w:val="009E1B19"/>
    <w:rsid w:val="009E1BFD"/>
    <w:rsid w:val="009E1FFA"/>
    <w:rsid w:val="009E3EA9"/>
    <w:rsid w:val="009E3FC7"/>
    <w:rsid w:val="009E58AE"/>
    <w:rsid w:val="009E5B5A"/>
    <w:rsid w:val="009E7A7D"/>
    <w:rsid w:val="009F0B86"/>
    <w:rsid w:val="009F136F"/>
    <w:rsid w:val="009F2273"/>
    <w:rsid w:val="009F2EB8"/>
    <w:rsid w:val="009F35E2"/>
    <w:rsid w:val="009F65F9"/>
    <w:rsid w:val="009F68BA"/>
    <w:rsid w:val="009F706A"/>
    <w:rsid w:val="00A01336"/>
    <w:rsid w:val="00A014D7"/>
    <w:rsid w:val="00A056F1"/>
    <w:rsid w:val="00A0624D"/>
    <w:rsid w:val="00A06277"/>
    <w:rsid w:val="00A06F2C"/>
    <w:rsid w:val="00A070D5"/>
    <w:rsid w:val="00A079DC"/>
    <w:rsid w:val="00A10B36"/>
    <w:rsid w:val="00A111C2"/>
    <w:rsid w:val="00A20C88"/>
    <w:rsid w:val="00A21EA6"/>
    <w:rsid w:val="00A25105"/>
    <w:rsid w:val="00A279C6"/>
    <w:rsid w:val="00A3107E"/>
    <w:rsid w:val="00A338E7"/>
    <w:rsid w:val="00A33CBA"/>
    <w:rsid w:val="00A3409B"/>
    <w:rsid w:val="00A35CAA"/>
    <w:rsid w:val="00A36E7F"/>
    <w:rsid w:val="00A400D1"/>
    <w:rsid w:val="00A41187"/>
    <w:rsid w:val="00A41E65"/>
    <w:rsid w:val="00A43910"/>
    <w:rsid w:val="00A43E0A"/>
    <w:rsid w:val="00A4558C"/>
    <w:rsid w:val="00A45B09"/>
    <w:rsid w:val="00A468A9"/>
    <w:rsid w:val="00A46B91"/>
    <w:rsid w:val="00A530C7"/>
    <w:rsid w:val="00A5486D"/>
    <w:rsid w:val="00A55918"/>
    <w:rsid w:val="00A55F5B"/>
    <w:rsid w:val="00A561DC"/>
    <w:rsid w:val="00A60185"/>
    <w:rsid w:val="00A65C8A"/>
    <w:rsid w:val="00A661EA"/>
    <w:rsid w:val="00A70770"/>
    <w:rsid w:val="00A73005"/>
    <w:rsid w:val="00A733B4"/>
    <w:rsid w:val="00A75338"/>
    <w:rsid w:val="00A8127A"/>
    <w:rsid w:val="00A827F7"/>
    <w:rsid w:val="00A830E5"/>
    <w:rsid w:val="00A83BC2"/>
    <w:rsid w:val="00A86113"/>
    <w:rsid w:val="00A865A4"/>
    <w:rsid w:val="00A87135"/>
    <w:rsid w:val="00A87586"/>
    <w:rsid w:val="00A93280"/>
    <w:rsid w:val="00A951EA"/>
    <w:rsid w:val="00A95821"/>
    <w:rsid w:val="00A96C9F"/>
    <w:rsid w:val="00AA0841"/>
    <w:rsid w:val="00AA2548"/>
    <w:rsid w:val="00AA434E"/>
    <w:rsid w:val="00AA48E2"/>
    <w:rsid w:val="00AA58C4"/>
    <w:rsid w:val="00AA7003"/>
    <w:rsid w:val="00AB0444"/>
    <w:rsid w:val="00AB1057"/>
    <w:rsid w:val="00AB11C8"/>
    <w:rsid w:val="00AB51BF"/>
    <w:rsid w:val="00AB6F65"/>
    <w:rsid w:val="00AB7897"/>
    <w:rsid w:val="00AC08A8"/>
    <w:rsid w:val="00AC14F3"/>
    <w:rsid w:val="00AC4155"/>
    <w:rsid w:val="00AC58CB"/>
    <w:rsid w:val="00AD0AD6"/>
    <w:rsid w:val="00AD56C8"/>
    <w:rsid w:val="00AD58F2"/>
    <w:rsid w:val="00AE1C74"/>
    <w:rsid w:val="00AE3E4C"/>
    <w:rsid w:val="00AE51E4"/>
    <w:rsid w:val="00AE5F6F"/>
    <w:rsid w:val="00AF3181"/>
    <w:rsid w:val="00AF3532"/>
    <w:rsid w:val="00AF356D"/>
    <w:rsid w:val="00AF44E3"/>
    <w:rsid w:val="00B0044E"/>
    <w:rsid w:val="00B0055F"/>
    <w:rsid w:val="00B010D8"/>
    <w:rsid w:val="00B03FAB"/>
    <w:rsid w:val="00B044C3"/>
    <w:rsid w:val="00B0512A"/>
    <w:rsid w:val="00B0529F"/>
    <w:rsid w:val="00B055D2"/>
    <w:rsid w:val="00B063EF"/>
    <w:rsid w:val="00B07DE5"/>
    <w:rsid w:val="00B1418B"/>
    <w:rsid w:val="00B21195"/>
    <w:rsid w:val="00B21D0A"/>
    <w:rsid w:val="00B22545"/>
    <w:rsid w:val="00B24B22"/>
    <w:rsid w:val="00B25310"/>
    <w:rsid w:val="00B26881"/>
    <w:rsid w:val="00B27BEC"/>
    <w:rsid w:val="00B32F8F"/>
    <w:rsid w:val="00B3492A"/>
    <w:rsid w:val="00B42585"/>
    <w:rsid w:val="00B4497F"/>
    <w:rsid w:val="00B46845"/>
    <w:rsid w:val="00B4697E"/>
    <w:rsid w:val="00B50712"/>
    <w:rsid w:val="00B51C2F"/>
    <w:rsid w:val="00B54DE9"/>
    <w:rsid w:val="00B553EC"/>
    <w:rsid w:val="00B55E3F"/>
    <w:rsid w:val="00B63C1E"/>
    <w:rsid w:val="00B6709B"/>
    <w:rsid w:val="00B70A2F"/>
    <w:rsid w:val="00B718C4"/>
    <w:rsid w:val="00B72A35"/>
    <w:rsid w:val="00B7346B"/>
    <w:rsid w:val="00B7630A"/>
    <w:rsid w:val="00B77043"/>
    <w:rsid w:val="00B77645"/>
    <w:rsid w:val="00B779E9"/>
    <w:rsid w:val="00B814F3"/>
    <w:rsid w:val="00B81B25"/>
    <w:rsid w:val="00B82787"/>
    <w:rsid w:val="00B8372E"/>
    <w:rsid w:val="00B84501"/>
    <w:rsid w:val="00B878C4"/>
    <w:rsid w:val="00B90653"/>
    <w:rsid w:val="00B90C78"/>
    <w:rsid w:val="00B910A1"/>
    <w:rsid w:val="00B91DF3"/>
    <w:rsid w:val="00B92A5D"/>
    <w:rsid w:val="00B93ABC"/>
    <w:rsid w:val="00B93DD0"/>
    <w:rsid w:val="00B95DEF"/>
    <w:rsid w:val="00B96D00"/>
    <w:rsid w:val="00B97732"/>
    <w:rsid w:val="00BA30E3"/>
    <w:rsid w:val="00BA3695"/>
    <w:rsid w:val="00BA42AC"/>
    <w:rsid w:val="00BA55FE"/>
    <w:rsid w:val="00BA65A8"/>
    <w:rsid w:val="00BA6D19"/>
    <w:rsid w:val="00BA7461"/>
    <w:rsid w:val="00BA755B"/>
    <w:rsid w:val="00BA7CE7"/>
    <w:rsid w:val="00BA7DA9"/>
    <w:rsid w:val="00BB279B"/>
    <w:rsid w:val="00BB5A1B"/>
    <w:rsid w:val="00BC1AA0"/>
    <w:rsid w:val="00BC3A2B"/>
    <w:rsid w:val="00BC4215"/>
    <w:rsid w:val="00BC5CFE"/>
    <w:rsid w:val="00BC6F5D"/>
    <w:rsid w:val="00BD1433"/>
    <w:rsid w:val="00BD1A6F"/>
    <w:rsid w:val="00BD2665"/>
    <w:rsid w:val="00BD3005"/>
    <w:rsid w:val="00BD3636"/>
    <w:rsid w:val="00BD7ECC"/>
    <w:rsid w:val="00BE387A"/>
    <w:rsid w:val="00BE6D3C"/>
    <w:rsid w:val="00BE7852"/>
    <w:rsid w:val="00BF028D"/>
    <w:rsid w:val="00BF0A69"/>
    <w:rsid w:val="00BF2C11"/>
    <w:rsid w:val="00BF3171"/>
    <w:rsid w:val="00BF454C"/>
    <w:rsid w:val="00BF634B"/>
    <w:rsid w:val="00BF7896"/>
    <w:rsid w:val="00BF7CEE"/>
    <w:rsid w:val="00C03880"/>
    <w:rsid w:val="00C07101"/>
    <w:rsid w:val="00C0729A"/>
    <w:rsid w:val="00C07F39"/>
    <w:rsid w:val="00C11265"/>
    <w:rsid w:val="00C135CF"/>
    <w:rsid w:val="00C14560"/>
    <w:rsid w:val="00C15E8E"/>
    <w:rsid w:val="00C16F7E"/>
    <w:rsid w:val="00C20EEE"/>
    <w:rsid w:val="00C246C3"/>
    <w:rsid w:val="00C2683F"/>
    <w:rsid w:val="00C268EB"/>
    <w:rsid w:val="00C27F65"/>
    <w:rsid w:val="00C30990"/>
    <w:rsid w:val="00C316A6"/>
    <w:rsid w:val="00C3184D"/>
    <w:rsid w:val="00C36BF0"/>
    <w:rsid w:val="00C422D6"/>
    <w:rsid w:val="00C4241F"/>
    <w:rsid w:val="00C45EEE"/>
    <w:rsid w:val="00C45FA8"/>
    <w:rsid w:val="00C4714E"/>
    <w:rsid w:val="00C51679"/>
    <w:rsid w:val="00C51CCA"/>
    <w:rsid w:val="00C52760"/>
    <w:rsid w:val="00C5504F"/>
    <w:rsid w:val="00C55E2C"/>
    <w:rsid w:val="00C5644B"/>
    <w:rsid w:val="00C573F6"/>
    <w:rsid w:val="00C57B55"/>
    <w:rsid w:val="00C601E3"/>
    <w:rsid w:val="00C63376"/>
    <w:rsid w:val="00C64F84"/>
    <w:rsid w:val="00C708FC"/>
    <w:rsid w:val="00C725DE"/>
    <w:rsid w:val="00C72BB4"/>
    <w:rsid w:val="00C73B1B"/>
    <w:rsid w:val="00C74F97"/>
    <w:rsid w:val="00C7548E"/>
    <w:rsid w:val="00C772B7"/>
    <w:rsid w:val="00C8276E"/>
    <w:rsid w:val="00C82DE4"/>
    <w:rsid w:val="00C842AC"/>
    <w:rsid w:val="00C86594"/>
    <w:rsid w:val="00C9076A"/>
    <w:rsid w:val="00C93130"/>
    <w:rsid w:val="00C939B0"/>
    <w:rsid w:val="00C94D93"/>
    <w:rsid w:val="00C962F1"/>
    <w:rsid w:val="00C96688"/>
    <w:rsid w:val="00C96A2B"/>
    <w:rsid w:val="00C96AAB"/>
    <w:rsid w:val="00CA0723"/>
    <w:rsid w:val="00CA22FC"/>
    <w:rsid w:val="00CA5987"/>
    <w:rsid w:val="00CA63A6"/>
    <w:rsid w:val="00CA6C58"/>
    <w:rsid w:val="00CA7C76"/>
    <w:rsid w:val="00CA7EDB"/>
    <w:rsid w:val="00CB1690"/>
    <w:rsid w:val="00CC0EC4"/>
    <w:rsid w:val="00CC239D"/>
    <w:rsid w:val="00CC4365"/>
    <w:rsid w:val="00CC4459"/>
    <w:rsid w:val="00CD0EE3"/>
    <w:rsid w:val="00CD0FF8"/>
    <w:rsid w:val="00CD11B0"/>
    <w:rsid w:val="00CD1566"/>
    <w:rsid w:val="00CD2F01"/>
    <w:rsid w:val="00CD3AF4"/>
    <w:rsid w:val="00CD4521"/>
    <w:rsid w:val="00CD6F25"/>
    <w:rsid w:val="00CE1054"/>
    <w:rsid w:val="00CE2754"/>
    <w:rsid w:val="00CE2A67"/>
    <w:rsid w:val="00CE2C57"/>
    <w:rsid w:val="00CE4D1E"/>
    <w:rsid w:val="00CE5661"/>
    <w:rsid w:val="00CE71C2"/>
    <w:rsid w:val="00CF34E9"/>
    <w:rsid w:val="00CF3609"/>
    <w:rsid w:val="00CF42D5"/>
    <w:rsid w:val="00CF4EDA"/>
    <w:rsid w:val="00CF5D1E"/>
    <w:rsid w:val="00D021CB"/>
    <w:rsid w:val="00D02D63"/>
    <w:rsid w:val="00D0379F"/>
    <w:rsid w:val="00D038E3"/>
    <w:rsid w:val="00D041D2"/>
    <w:rsid w:val="00D04A2A"/>
    <w:rsid w:val="00D075B1"/>
    <w:rsid w:val="00D10F1A"/>
    <w:rsid w:val="00D114B9"/>
    <w:rsid w:val="00D116F8"/>
    <w:rsid w:val="00D12167"/>
    <w:rsid w:val="00D15941"/>
    <w:rsid w:val="00D15A64"/>
    <w:rsid w:val="00D17596"/>
    <w:rsid w:val="00D17A90"/>
    <w:rsid w:val="00D2106D"/>
    <w:rsid w:val="00D21D54"/>
    <w:rsid w:val="00D22640"/>
    <w:rsid w:val="00D23951"/>
    <w:rsid w:val="00D250AC"/>
    <w:rsid w:val="00D26D3A"/>
    <w:rsid w:val="00D30A61"/>
    <w:rsid w:val="00D31CD4"/>
    <w:rsid w:val="00D328D4"/>
    <w:rsid w:val="00D346C8"/>
    <w:rsid w:val="00D34A04"/>
    <w:rsid w:val="00D45B6B"/>
    <w:rsid w:val="00D45EE3"/>
    <w:rsid w:val="00D47E28"/>
    <w:rsid w:val="00D50618"/>
    <w:rsid w:val="00D509E9"/>
    <w:rsid w:val="00D50F76"/>
    <w:rsid w:val="00D52C0A"/>
    <w:rsid w:val="00D53AEE"/>
    <w:rsid w:val="00D53B1C"/>
    <w:rsid w:val="00D573D2"/>
    <w:rsid w:val="00D60A58"/>
    <w:rsid w:val="00D657D1"/>
    <w:rsid w:val="00D724A1"/>
    <w:rsid w:val="00D72BBC"/>
    <w:rsid w:val="00D744AA"/>
    <w:rsid w:val="00D74856"/>
    <w:rsid w:val="00D74CB4"/>
    <w:rsid w:val="00D74FB0"/>
    <w:rsid w:val="00D75D02"/>
    <w:rsid w:val="00D806BA"/>
    <w:rsid w:val="00D80FE5"/>
    <w:rsid w:val="00D82058"/>
    <w:rsid w:val="00D840A2"/>
    <w:rsid w:val="00D84FD2"/>
    <w:rsid w:val="00D8518D"/>
    <w:rsid w:val="00D90B60"/>
    <w:rsid w:val="00D92E25"/>
    <w:rsid w:val="00D94804"/>
    <w:rsid w:val="00D978D3"/>
    <w:rsid w:val="00D97AEA"/>
    <w:rsid w:val="00DA0015"/>
    <w:rsid w:val="00DA1A1A"/>
    <w:rsid w:val="00DA1B12"/>
    <w:rsid w:val="00DA3B3E"/>
    <w:rsid w:val="00DA54C9"/>
    <w:rsid w:val="00DA6739"/>
    <w:rsid w:val="00DA6CAE"/>
    <w:rsid w:val="00DA7E76"/>
    <w:rsid w:val="00DB1A9E"/>
    <w:rsid w:val="00DB31D6"/>
    <w:rsid w:val="00DB31FD"/>
    <w:rsid w:val="00DB4005"/>
    <w:rsid w:val="00DB5847"/>
    <w:rsid w:val="00DB6833"/>
    <w:rsid w:val="00DC07A6"/>
    <w:rsid w:val="00DC34EB"/>
    <w:rsid w:val="00DC4028"/>
    <w:rsid w:val="00DC42B8"/>
    <w:rsid w:val="00DC42ED"/>
    <w:rsid w:val="00DC4D69"/>
    <w:rsid w:val="00DC63E5"/>
    <w:rsid w:val="00DC7C77"/>
    <w:rsid w:val="00DD319D"/>
    <w:rsid w:val="00DD3680"/>
    <w:rsid w:val="00DD45B3"/>
    <w:rsid w:val="00DD5DBC"/>
    <w:rsid w:val="00DD691E"/>
    <w:rsid w:val="00DD7BCA"/>
    <w:rsid w:val="00DE04D5"/>
    <w:rsid w:val="00DE30F7"/>
    <w:rsid w:val="00DE38AE"/>
    <w:rsid w:val="00DE4321"/>
    <w:rsid w:val="00DF0654"/>
    <w:rsid w:val="00DF1E5B"/>
    <w:rsid w:val="00DF2275"/>
    <w:rsid w:val="00DF2A3A"/>
    <w:rsid w:val="00DF3F5E"/>
    <w:rsid w:val="00DF460D"/>
    <w:rsid w:val="00DF55C2"/>
    <w:rsid w:val="00DF5653"/>
    <w:rsid w:val="00DF7167"/>
    <w:rsid w:val="00E00C24"/>
    <w:rsid w:val="00E02872"/>
    <w:rsid w:val="00E0534D"/>
    <w:rsid w:val="00E05609"/>
    <w:rsid w:val="00E0596E"/>
    <w:rsid w:val="00E06B0B"/>
    <w:rsid w:val="00E06F66"/>
    <w:rsid w:val="00E131BC"/>
    <w:rsid w:val="00E140CF"/>
    <w:rsid w:val="00E1421F"/>
    <w:rsid w:val="00E14456"/>
    <w:rsid w:val="00E17493"/>
    <w:rsid w:val="00E175FE"/>
    <w:rsid w:val="00E21F7E"/>
    <w:rsid w:val="00E23B8C"/>
    <w:rsid w:val="00E26C35"/>
    <w:rsid w:val="00E275D2"/>
    <w:rsid w:val="00E31CF6"/>
    <w:rsid w:val="00E3512D"/>
    <w:rsid w:val="00E356E5"/>
    <w:rsid w:val="00E35ABE"/>
    <w:rsid w:val="00E36F81"/>
    <w:rsid w:val="00E37166"/>
    <w:rsid w:val="00E415B2"/>
    <w:rsid w:val="00E4305B"/>
    <w:rsid w:val="00E45765"/>
    <w:rsid w:val="00E47F0A"/>
    <w:rsid w:val="00E5098C"/>
    <w:rsid w:val="00E50A7B"/>
    <w:rsid w:val="00E512DF"/>
    <w:rsid w:val="00E51C62"/>
    <w:rsid w:val="00E526C9"/>
    <w:rsid w:val="00E54759"/>
    <w:rsid w:val="00E56623"/>
    <w:rsid w:val="00E57CB8"/>
    <w:rsid w:val="00E60213"/>
    <w:rsid w:val="00E615F0"/>
    <w:rsid w:val="00E61C65"/>
    <w:rsid w:val="00E61D35"/>
    <w:rsid w:val="00E644AE"/>
    <w:rsid w:val="00E661B2"/>
    <w:rsid w:val="00E668F7"/>
    <w:rsid w:val="00E67CCB"/>
    <w:rsid w:val="00E70BC3"/>
    <w:rsid w:val="00E72BD9"/>
    <w:rsid w:val="00E74D29"/>
    <w:rsid w:val="00E778BF"/>
    <w:rsid w:val="00E83C74"/>
    <w:rsid w:val="00E83CEE"/>
    <w:rsid w:val="00E91F18"/>
    <w:rsid w:val="00E91F59"/>
    <w:rsid w:val="00E9226D"/>
    <w:rsid w:val="00E96A5B"/>
    <w:rsid w:val="00E97425"/>
    <w:rsid w:val="00E975CD"/>
    <w:rsid w:val="00EA416C"/>
    <w:rsid w:val="00EA5941"/>
    <w:rsid w:val="00EA74CA"/>
    <w:rsid w:val="00EA7BB8"/>
    <w:rsid w:val="00EB0681"/>
    <w:rsid w:val="00EB093E"/>
    <w:rsid w:val="00EB1A4C"/>
    <w:rsid w:val="00EB27B5"/>
    <w:rsid w:val="00EB396F"/>
    <w:rsid w:val="00EB3988"/>
    <w:rsid w:val="00EB60CE"/>
    <w:rsid w:val="00EB7C54"/>
    <w:rsid w:val="00EB7D53"/>
    <w:rsid w:val="00EC132E"/>
    <w:rsid w:val="00EC1FEA"/>
    <w:rsid w:val="00EC5762"/>
    <w:rsid w:val="00EC7C8C"/>
    <w:rsid w:val="00ED3F1B"/>
    <w:rsid w:val="00ED468C"/>
    <w:rsid w:val="00ED659C"/>
    <w:rsid w:val="00ED7A0D"/>
    <w:rsid w:val="00EE1CA0"/>
    <w:rsid w:val="00EE2C49"/>
    <w:rsid w:val="00EE2CB7"/>
    <w:rsid w:val="00EE2ED3"/>
    <w:rsid w:val="00EE3146"/>
    <w:rsid w:val="00EE4834"/>
    <w:rsid w:val="00EE5C1C"/>
    <w:rsid w:val="00EF066A"/>
    <w:rsid w:val="00EF0F56"/>
    <w:rsid w:val="00EF483F"/>
    <w:rsid w:val="00EF4AAE"/>
    <w:rsid w:val="00EF50BB"/>
    <w:rsid w:val="00EF53FF"/>
    <w:rsid w:val="00EF704B"/>
    <w:rsid w:val="00EF7A1C"/>
    <w:rsid w:val="00F00192"/>
    <w:rsid w:val="00F01DF6"/>
    <w:rsid w:val="00F0340D"/>
    <w:rsid w:val="00F04E6B"/>
    <w:rsid w:val="00F053B9"/>
    <w:rsid w:val="00F05408"/>
    <w:rsid w:val="00F0567D"/>
    <w:rsid w:val="00F059A6"/>
    <w:rsid w:val="00F06A83"/>
    <w:rsid w:val="00F06CE4"/>
    <w:rsid w:val="00F10090"/>
    <w:rsid w:val="00F10E8D"/>
    <w:rsid w:val="00F17919"/>
    <w:rsid w:val="00F23138"/>
    <w:rsid w:val="00F23756"/>
    <w:rsid w:val="00F24F70"/>
    <w:rsid w:val="00F2523A"/>
    <w:rsid w:val="00F25A3C"/>
    <w:rsid w:val="00F25FFA"/>
    <w:rsid w:val="00F30FA6"/>
    <w:rsid w:val="00F310D2"/>
    <w:rsid w:val="00F353B1"/>
    <w:rsid w:val="00F36389"/>
    <w:rsid w:val="00F36F3D"/>
    <w:rsid w:val="00F408CF"/>
    <w:rsid w:val="00F43402"/>
    <w:rsid w:val="00F4544C"/>
    <w:rsid w:val="00F462DF"/>
    <w:rsid w:val="00F477BD"/>
    <w:rsid w:val="00F53491"/>
    <w:rsid w:val="00F53A6B"/>
    <w:rsid w:val="00F6022B"/>
    <w:rsid w:val="00F60C05"/>
    <w:rsid w:val="00F63F1C"/>
    <w:rsid w:val="00F64451"/>
    <w:rsid w:val="00F65A1C"/>
    <w:rsid w:val="00F65EB8"/>
    <w:rsid w:val="00F66F50"/>
    <w:rsid w:val="00F73D95"/>
    <w:rsid w:val="00F75FAB"/>
    <w:rsid w:val="00F76FEC"/>
    <w:rsid w:val="00F771AC"/>
    <w:rsid w:val="00F82FF8"/>
    <w:rsid w:val="00F8330D"/>
    <w:rsid w:val="00F84305"/>
    <w:rsid w:val="00F8485C"/>
    <w:rsid w:val="00F84C22"/>
    <w:rsid w:val="00F86627"/>
    <w:rsid w:val="00F87149"/>
    <w:rsid w:val="00F87FFE"/>
    <w:rsid w:val="00F92A5E"/>
    <w:rsid w:val="00F954C9"/>
    <w:rsid w:val="00F970DA"/>
    <w:rsid w:val="00F97F1C"/>
    <w:rsid w:val="00FA30ED"/>
    <w:rsid w:val="00FA48E5"/>
    <w:rsid w:val="00FA4CF0"/>
    <w:rsid w:val="00FA4F72"/>
    <w:rsid w:val="00FA61AA"/>
    <w:rsid w:val="00FA69A4"/>
    <w:rsid w:val="00FB1279"/>
    <w:rsid w:val="00FB1495"/>
    <w:rsid w:val="00FB4385"/>
    <w:rsid w:val="00FB7C28"/>
    <w:rsid w:val="00FC0FBB"/>
    <w:rsid w:val="00FC4734"/>
    <w:rsid w:val="00FC5530"/>
    <w:rsid w:val="00FC65B1"/>
    <w:rsid w:val="00FC71AC"/>
    <w:rsid w:val="00FD0B90"/>
    <w:rsid w:val="00FD1241"/>
    <w:rsid w:val="00FD1694"/>
    <w:rsid w:val="00FD45CA"/>
    <w:rsid w:val="00FD6284"/>
    <w:rsid w:val="00FD7636"/>
    <w:rsid w:val="00FE0642"/>
    <w:rsid w:val="00FE087E"/>
    <w:rsid w:val="00FE1C9B"/>
    <w:rsid w:val="00FE3229"/>
    <w:rsid w:val="00FE4CAE"/>
    <w:rsid w:val="00FE5523"/>
    <w:rsid w:val="00FE74C3"/>
    <w:rsid w:val="00FE7A5C"/>
    <w:rsid w:val="00FF102C"/>
    <w:rsid w:val="00FF215C"/>
    <w:rsid w:val="00FF49E8"/>
    <w:rsid w:val="00FF50FD"/>
    <w:rsid w:val="00FF5C43"/>
    <w:rsid w:val="00FF672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17089"/>
    <o:shapelayout v:ext="edit">
      <o:idmap v:ext="edit" data="1"/>
    </o:shapelayout>
  </w:shapeDefaults>
  <w:decimalSymbol w:val="."/>
  <w:listSeparator w:val=","/>
  <w14:docId w14:val="410FF758"/>
  <w15:chartTrackingRefBased/>
  <w15:docId w15:val="{E3520F42-D4AA-42D4-8D69-0589728E06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2262"/>
    <w:pPr>
      <w:spacing w:after="120"/>
    </w:pPr>
    <w:rPr>
      <w:rFonts w:asciiTheme="minorHAnsi" w:hAnsiTheme="minorHAnsi" w:cs="Century Gothic"/>
      <w:color w:val="000000"/>
      <w:sz w:val="22"/>
    </w:rPr>
  </w:style>
  <w:style w:type="paragraph" w:styleId="Heading1">
    <w:name w:val="heading 1"/>
    <w:next w:val="Normal"/>
    <w:link w:val="Heading1Char"/>
    <w:qFormat/>
    <w:rsid w:val="00533FC3"/>
    <w:pPr>
      <w:keepNext/>
      <w:numPr>
        <w:numId w:val="13"/>
      </w:numPr>
      <w:spacing w:before="120" w:after="120"/>
      <w:ind w:left="604" w:hanging="604"/>
      <w:outlineLvl w:val="0"/>
    </w:pPr>
    <w:rPr>
      <w:rFonts w:asciiTheme="minorHAnsi" w:hAnsiTheme="minorHAnsi" w:cs="Century Gothic"/>
      <w:b/>
      <w:color w:val="31849B" w:themeColor="accent5" w:themeShade="BF"/>
      <w:sz w:val="42"/>
      <w:lang w:val="en-GB"/>
    </w:rPr>
  </w:style>
  <w:style w:type="paragraph" w:styleId="Heading2">
    <w:name w:val="heading 2"/>
    <w:basedOn w:val="Normal"/>
    <w:next w:val="Normal"/>
    <w:link w:val="Heading2Char"/>
    <w:qFormat/>
    <w:rsid w:val="0057535E"/>
    <w:pPr>
      <w:keepNext/>
      <w:numPr>
        <w:ilvl w:val="1"/>
        <w:numId w:val="13"/>
      </w:numPr>
      <w:spacing w:before="240" w:after="240"/>
      <w:outlineLvl w:val="1"/>
    </w:pPr>
    <w:rPr>
      <w:b/>
      <w:color w:val="5F497A" w:themeColor="accent4" w:themeShade="BF"/>
      <w:sz w:val="36"/>
      <w:szCs w:val="36"/>
      <w:lang w:val="en-GB"/>
    </w:rPr>
  </w:style>
  <w:style w:type="paragraph" w:styleId="Heading3">
    <w:name w:val="heading 3"/>
    <w:basedOn w:val="Normal"/>
    <w:next w:val="Normal"/>
    <w:link w:val="Heading3Char"/>
    <w:qFormat/>
    <w:rsid w:val="0057535E"/>
    <w:pPr>
      <w:keepNext/>
      <w:numPr>
        <w:ilvl w:val="2"/>
        <w:numId w:val="13"/>
      </w:numPr>
      <w:spacing w:before="240"/>
      <w:outlineLvl w:val="2"/>
    </w:pPr>
    <w:rPr>
      <w:noProof/>
      <w:color w:val="5F497A" w:themeColor="accent4" w:themeShade="BF"/>
      <w:sz w:val="26"/>
      <w:szCs w:val="24"/>
      <w:lang w:val="en-GB"/>
    </w:rPr>
  </w:style>
  <w:style w:type="paragraph" w:styleId="Heading4">
    <w:name w:val="heading 4"/>
    <w:basedOn w:val="Normal"/>
    <w:next w:val="Normal"/>
    <w:link w:val="Heading4Char"/>
    <w:qFormat/>
    <w:rsid w:val="0057535E"/>
    <w:pPr>
      <w:keepNext/>
      <w:numPr>
        <w:ilvl w:val="3"/>
        <w:numId w:val="29"/>
      </w:numPr>
      <w:spacing w:before="240" w:after="240"/>
      <w:outlineLvl w:val="3"/>
    </w:pPr>
    <w:rPr>
      <w:rFonts w:cs="Arial"/>
      <w:i/>
      <w:color w:val="5F497A" w:themeColor="accent4" w:themeShade="BF"/>
      <w:sz w:val="26"/>
      <w:szCs w:val="24"/>
      <w:lang w:val="en-GB"/>
    </w:rPr>
  </w:style>
  <w:style w:type="paragraph" w:styleId="Heading5">
    <w:name w:val="heading 5"/>
    <w:basedOn w:val="Heading4"/>
    <w:next w:val="Para0"/>
    <w:link w:val="Heading5Char"/>
    <w:qFormat/>
    <w:rsid w:val="00F53A6B"/>
    <w:pPr>
      <w:numPr>
        <w:ilvl w:val="0"/>
        <w:numId w:val="0"/>
      </w:numPr>
      <w:outlineLvl w:val="4"/>
    </w:pPr>
    <w:rPr>
      <w:rFonts w:ascii="Calibri" w:hAnsi="Calibri" w:cs="Calibri"/>
      <w:sz w:val="22"/>
      <w:szCs w:val="22"/>
      <w:lang w:eastAsia="en-US"/>
    </w:rPr>
  </w:style>
  <w:style w:type="paragraph" w:styleId="Heading6">
    <w:name w:val="heading 6"/>
    <w:basedOn w:val="Heading5"/>
    <w:next w:val="Para0"/>
    <w:link w:val="Heading6Char"/>
    <w:qFormat/>
    <w:rsid w:val="00AB6F65"/>
    <w:pPr>
      <w:tabs>
        <w:tab w:val="left" w:pos="1276"/>
      </w:tabs>
      <w:ind w:left="2736" w:hanging="936"/>
      <w:outlineLvl w:val="5"/>
    </w:pPr>
  </w:style>
  <w:style w:type="paragraph" w:styleId="Heading7">
    <w:name w:val="heading 7"/>
    <w:basedOn w:val="Heading6"/>
    <w:next w:val="Para0"/>
    <w:link w:val="Heading7Char"/>
    <w:qFormat/>
    <w:rsid w:val="00AB6F65"/>
    <w:pPr>
      <w:tabs>
        <w:tab w:val="clear" w:pos="1276"/>
        <w:tab w:val="left" w:pos="1418"/>
      </w:tabs>
      <w:ind w:left="3240" w:hanging="1080"/>
      <w:outlineLvl w:val="6"/>
    </w:pPr>
  </w:style>
  <w:style w:type="paragraph" w:styleId="Heading8">
    <w:name w:val="heading 8"/>
    <w:basedOn w:val="Heading7"/>
    <w:next w:val="Para0"/>
    <w:link w:val="Heading8Char"/>
    <w:qFormat/>
    <w:rsid w:val="00AB6F65"/>
    <w:pPr>
      <w:tabs>
        <w:tab w:val="clear" w:pos="1418"/>
        <w:tab w:val="left" w:pos="1560"/>
      </w:tabs>
      <w:ind w:left="3744" w:hanging="1224"/>
      <w:outlineLvl w:val="7"/>
    </w:pPr>
  </w:style>
  <w:style w:type="paragraph" w:styleId="Heading9">
    <w:name w:val="heading 9"/>
    <w:basedOn w:val="Normal"/>
    <w:next w:val="Normal"/>
    <w:link w:val="Heading9Char"/>
    <w:uiPriority w:val="9"/>
    <w:semiHidden/>
    <w:unhideWhenUsed/>
    <w:qFormat/>
    <w:rsid w:val="00AA0841"/>
    <w:pPr>
      <w:keepNext/>
      <w:keepLines/>
      <w:numPr>
        <w:ilvl w:val="8"/>
        <w:numId w:val="4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60185"/>
    <w:pPr>
      <w:tabs>
        <w:tab w:val="center" w:pos="4513"/>
        <w:tab w:val="right" w:pos="9026"/>
      </w:tabs>
      <w:spacing w:after="0"/>
    </w:pPr>
  </w:style>
  <w:style w:type="character" w:customStyle="1" w:styleId="HeaderChar">
    <w:name w:val="Header Char"/>
    <w:basedOn w:val="DefaultParagraphFont"/>
    <w:link w:val="Header"/>
    <w:uiPriority w:val="99"/>
    <w:rsid w:val="00A60185"/>
  </w:style>
  <w:style w:type="paragraph" w:styleId="Footer">
    <w:name w:val="footer"/>
    <w:basedOn w:val="Normal"/>
    <w:link w:val="FooterChar"/>
    <w:uiPriority w:val="99"/>
    <w:unhideWhenUsed/>
    <w:rsid w:val="00A60185"/>
    <w:pPr>
      <w:tabs>
        <w:tab w:val="center" w:pos="4513"/>
        <w:tab w:val="right" w:pos="9026"/>
      </w:tabs>
      <w:spacing w:after="0"/>
    </w:pPr>
  </w:style>
  <w:style w:type="character" w:customStyle="1" w:styleId="FooterChar">
    <w:name w:val="Footer Char"/>
    <w:basedOn w:val="DefaultParagraphFont"/>
    <w:link w:val="Footer"/>
    <w:uiPriority w:val="99"/>
    <w:rsid w:val="00A60185"/>
  </w:style>
  <w:style w:type="paragraph" w:styleId="BalloonText">
    <w:name w:val="Balloon Text"/>
    <w:basedOn w:val="Normal"/>
    <w:link w:val="BalloonTextChar"/>
    <w:uiPriority w:val="99"/>
    <w:semiHidden/>
    <w:unhideWhenUsed/>
    <w:rsid w:val="00A60185"/>
    <w:pPr>
      <w:spacing w:after="0"/>
    </w:pPr>
    <w:rPr>
      <w:rFonts w:cs="Tahoma"/>
      <w:sz w:val="16"/>
      <w:szCs w:val="16"/>
    </w:rPr>
  </w:style>
  <w:style w:type="character" w:customStyle="1" w:styleId="BalloonTextChar">
    <w:name w:val="Balloon Text Char"/>
    <w:basedOn w:val="DefaultParagraphFont"/>
    <w:link w:val="BalloonText"/>
    <w:uiPriority w:val="99"/>
    <w:semiHidden/>
    <w:rsid w:val="00A60185"/>
    <w:rPr>
      <w:rFonts w:ascii="Tahoma" w:hAnsi="Tahoma" w:cs="Tahoma"/>
      <w:sz w:val="16"/>
      <w:szCs w:val="16"/>
    </w:rPr>
  </w:style>
  <w:style w:type="numbering" w:customStyle="1" w:styleId="KeyPoints">
    <w:name w:val="Key Points"/>
    <w:basedOn w:val="NoList"/>
    <w:uiPriority w:val="99"/>
    <w:rsid w:val="00005CAA"/>
  </w:style>
  <w:style w:type="paragraph" w:customStyle="1" w:styleId="1NumberedPointsStyle">
    <w:name w:val="1. Numbered Points Style"/>
    <w:basedOn w:val="ListParagraph"/>
    <w:rsid w:val="00BD1A6F"/>
    <w:pPr>
      <w:ind w:left="0" w:firstLine="0"/>
    </w:pPr>
  </w:style>
  <w:style w:type="numbering" w:customStyle="1" w:styleId="BulletList">
    <w:name w:val="Bullet List"/>
    <w:rsid w:val="00091608"/>
  </w:style>
  <w:style w:type="paragraph" w:customStyle="1" w:styleId="1BulletStyleList">
    <w:name w:val="1. Bullet Style List"/>
    <w:basedOn w:val="Normal"/>
    <w:rsid w:val="00CE71C2"/>
  </w:style>
  <w:style w:type="character" w:customStyle="1" w:styleId="Heading1Char">
    <w:name w:val="Heading 1 Char"/>
    <w:basedOn w:val="DefaultParagraphFont"/>
    <w:link w:val="Heading1"/>
    <w:rsid w:val="00533FC3"/>
    <w:rPr>
      <w:rFonts w:asciiTheme="minorHAnsi" w:hAnsiTheme="minorHAnsi" w:cs="Century Gothic"/>
      <w:b/>
      <w:color w:val="31849B" w:themeColor="accent5" w:themeShade="BF"/>
      <w:sz w:val="42"/>
      <w:lang w:val="en-GB"/>
    </w:rPr>
  </w:style>
  <w:style w:type="character" w:customStyle="1" w:styleId="Heading2Char">
    <w:name w:val="Heading 2 Char"/>
    <w:basedOn w:val="DefaultParagraphFont"/>
    <w:link w:val="Heading2"/>
    <w:rsid w:val="0057535E"/>
    <w:rPr>
      <w:rFonts w:asciiTheme="minorHAnsi" w:hAnsiTheme="minorHAnsi" w:cs="Century Gothic"/>
      <w:b/>
      <w:color w:val="5F497A" w:themeColor="accent4" w:themeShade="BF"/>
      <w:sz w:val="36"/>
      <w:szCs w:val="36"/>
      <w:lang w:val="en-GB"/>
    </w:rPr>
  </w:style>
  <w:style w:type="character" w:customStyle="1" w:styleId="Heading3Char">
    <w:name w:val="Heading 3 Char"/>
    <w:basedOn w:val="DefaultParagraphFont"/>
    <w:link w:val="Heading3"/>
    <w:rsid w:val="0057535E"/>
    <w:rPr>
      <w:rFonts w:asciiTheme="minorHAnsi" w:hAnsiTheme="minorHAnsi" w:cs="Century Gothic"/>
      <w:noProof/>
      <w:color w:val="5F497A" w:themeColor="accent4" w:themeShade="BF"/>
      <w:sz w:val="26"/>
      <w:szCs w:val="24"/>
      <w:lang w:val="en-GB"/>
    </w:rPr>
  </w:style>
  <w:style w:type="character" w:customStyle="1" w:styleId="Heading4Char">
    <w:name w:val="Heading 4 Char"/>
    <w:basedOn w:val="DefaultParagraphFont"/>
    <w:link w:val="Heading4"/>
    <w:rsid w:val="0057535E"/>
    <w:rPr>
      <w:rFonts w:asciiTheme="minorHAnsi" w:hAnsiTheme="minorHAnsi" w:cs="Arial"/>
      <w:i/>
      <w:color w:val="5F497A" w:themeColor="accent4" w:themeShade="BF"/>
      <w:sz w:val="26"/>
      <w:szCs w:val="24"/>
      <w:lang w:val="en-GB"/>
    </w:rPr>
  </w:style>
  <w:style w:type="paragraph" w:styleId="ListBullet">
    <w:name w:val="List Bullet"/>
    <w:basedOn w:val="Normal"/>
    <w:uiPriority w:val="99"/>
    <w:qFormat/>
    <w:rsid w:val="00AA434E"/>
    <w:pPr>
      <w:numPr>
        <w:numId w:val="6"/>
      </w:numPr>
      <w:contextualSpacing/>
    </w:pPr>
  </w:style>
  <w:style w:type="paragraph" w:styleId="ListBullet2">
    <w:name w:val="List Bullet 2"/>
    <w:basedOn w:val="Normal"/>
    <w:uiPriority w:val="99"/>
    <w:unhideWhenUsed/>
    <w:rsid w:val="00AA434E"/>
  </w:style>
  <w:style w:type="paragraph" w:styleId="ListBullet3">
    <w:name w:val="List Bullet 3"/>
    <w:basedOn w:val="Normal"/>
    <w:uiPriority w:val="99"/>
    <w:unhideWhenUsed/>
    <w:rsid w:val="00AA434E"/>
  </w:style>
  <w:style w:type="paragraph" w:styleId="ListBullet4">
    <w:name w:val="List Bullet 4"/>
    <w:basedOn w:val="Normal"/>
    <w:uiPriority w:val="99"/>
    <w:unhideWhenUsed/>
    <w:rsid w:val="00AA434E"/>
  </w:style>
  <w:style w:type="paragraph" w:styleId="ListBullet5">
    <w:name w:val="List Bullet 5"/>
    <w:basedOn w:val="Normal"/>
    <w:uiPriority w:val="99"/>
    <w:unhideWhenUsed/>
    <w:rsid w:val="00AA434E"/>
  </w:style>
  <w:style w:type="numbering" w:customStyle="1" w:styleId="Attach">
    <w:name w:val="Attach"/>
    <w:basedOn w:val="NoList"/>
    <w:uiPriority w:val="99"/>
    <w:rsid w:val="00607FC9"/>
    <w:pPr>
      <w:numPr>
        <w:numId w:val="4"/>
      </w:numPr>
    </w:pPr>
  </w:style>
  <w:style w:type="paragraph" w:customStyle="1" w:styleId="Classification">
    <w:name w:val="Classification"/>
    <w:basedOn w:val="Normal"/>
    <w:uiPriority w:val="10"/>
    <w:qFormat/>
    <w:rsid w:val="00646122"/>
    <w:pPr>
      <w:tabs>
        <w:tab w:val="center" w:pos="4536"/>
        <w:tab w:val="center" w:pos="4819"/>
        <w:tab w:val="right" w:pos="9356"/>
      </w:tabs>
      <w:spacing w:after="240"/>
      <w:jc w:val="center"/>
    </w:pPr>
    <w:rPr>
      <w:rFonts w:cs="Arial"/>
      <w:color w:val="FF0000"/>
      <w:sz w:val="28"/>
      <w:szCs w:val="28"/>
    </w:rPr>
  </w:style>
  <w:style w:type="paragraph" w:styleId="ListParagraph">
    <w:name w:val="List Paragraph"/>
    <w:aliases w:val="Bullet list,1 heading,DDM Gen Text,List Paragraph1,List Paragraph11,Recommendation,List 1,table text,Bullet 1,Bullet 11,Bullet list1,table text1,Recommendation1,1 heading1,DDM Gen Text1,List Paragraph12,List Paragraph111"/>
    <w:basedOn w:val="Normal"/>
    <w:link w:val="ListParagraphChar"/>
    <w:uiPriority w:val="34"/>
    <w:qFormat/>
    <w:rsid w:val="003556BD"/>
    <w:pPr>
      <w:ind w:left="369" w:hanging="369"/>
    </w:pPr>
  </w:style>
  <w:style w:type="character" w:styleId="BookTitle">
    <w:name w:val="Book Title"/>
    <w:basedOn w:val="DefaultParagraphFont"/>
    <w:uiPriority w:val="33"/>
    <w:rsid w:val="00383020"/>
    <w:rPr>
      <w:bCs/>
      <w:i/>
      <w:smallCaps/>
      <w:spacing w:val="5"/>
    </w:rPr>
  </w:style>
  <w:style w:type="paragraph" w:styleId="ListNumber">
    <w:name w:val="List Number"/>
    <w:basedOn w:val="Normal"/>
    <w:uiPriority w:val="99"/>
    <w:qFormat/>
    <w:rsid w:val="00005CAA"/>
    <w:pPr>
      <w:numPr>
        <w:numId w:val="5"/>
      </w:numPr>
    </w:pPr>
  </w:style>
  <w:style w:type="paragraph" w:styleId="ListNumber2">
    <w:name w:val="List Number 2"/>
    <w:basedOn w:val="Normal"/>
    <w:uiPriority w:val="99"/>
    <w:rsid w:val="00005CAA"/>
    <w:pPr>
      <w:numPr>
        <w:ilvl w:val="1"/>
        <w:numId w:val="5"/>
      </w:numPr>
    </w:pPr>
  </w:style>
  <w:style w:type="paragraph" w:styleId="ListNumber3">
    <w:name w:val="List Number 3"/>
    <w:basedOn w:val="Normal"/>
    <w:uiPriority w:val="99"/>
    <w:rsid w:val="00005CAA"/>
    <w:pPr>
      <w:numPr>
        <w:ilvl w:val="2"/>
        <w:numId w:val="5"/>
      </w:numPr>
    </w:pPr>
  </w:style>
  <w:style w:type="paragraph" w:styleId="ListNumber4">
    <w:name w:val="List Number 4"/>
    <w:basedOn w:val="Normal"/>
    <w:uiPriority w:val="99"/>
    <w:rsid w:val="00005CAA"/>
    <w:pPr>
      <w:numPr>
        <w:ilvl w:val="3"/>
        <w:numId w:val="5"/>
      </w:numPr>
    </w:pPr>
  </w:style>
  <w:style w:type="paragraph" w:styleId="ListNumber5">
    <w:name w:val="List Number 5"/>
    <w:basedOn w:val="Normal"/>
    <w:uiPriority w:val="99"/>
    <w:rsid w:val="00005CAA"/>
    <w:pPr>
      <w:numPr>
        <w:ilvl w:val="4"/>
        <w:numId w:val="5"/>
      </w:numPr>
    </w:pPr>
  </w:style>
  <w:style w:type="paragraph" w:customStyle="1" w:styleId="Footerclassification">
    <w:name w:val="Footer classification"/>
    <w:basedOn w:val="Classification"/>
    <w:rsid w:val="00D021CB"/>
    <w:pPr>
      <w:spacing w:before="240" w:after="0"/>
    </w:pPr>
  </w:style>
  <w:style w:type="table" w:styleId="TableGrid">
    <w:name w:val="Table Grid"/>
    <w:basedOn w:val="TableNormal"/>
    <w:uiPriority w:val="39"/>
    <w:rsid w:val="00100BEF"/>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paragraph" w:customStyle="1" w:styleId="Tabletext">
    <w:name w:val="Table text"/>
    <w:basedOn w:val="Normal"/>
    <w:link w:val="TabletextChar"/>
    <w:uiPriority w:val="9"/>
    <w:qFormat/>
    <w:rsid w:val="005A126E"/>
    <w:pPr>
      <w:spacing w:after="0"/>
    </w:pPr>
  </w:style>
  <w:style w:type="paragraph" w:customStyle="1" w:styleId="Classificationsensitivity">
    <w:name w:val="Classification sensitivity"/>
    <w:basedOn w:val="Classification"/>
    <w:rsid w:val="002C5813"/>
    <w:rPr>
      <w:sz w:val="22"/>
    </w:rPr>
  </w:style>
  <w:style w:type="paragraph" w:styleId="Title">
    <w:name w:val="Title"/>
    <w:aliases w:val="Cover"/>
    <w:basedOn w:val="Normal"/>
    <w:next w:val="Normal"/>
    <w:link w:val="TitleChar"/>
    <w:qFormat/>
    <w:rsid w:val="00AA434E"/>
    <w:pPr>
      <w:spacing w:after="0"/>
      <w:jc w:val="center"/>
    </w:pPr>
    <w:rPr>
      <w:b/>
      <w:color w:val="5F497A" w:themeColor="accent4" w:themeShade="BF"/>
      <w:sz w:val="52"/>
      <w:szCs w:val="52"/>
      <w:lang w:val="en-GB"/>
    </w:rPr>
  </w:style>
  <w:style w:type="character" w:customStyle="1" w:styleId="TitleChar">
    <w:name w:val="Title Char"/>
    <w:aliases w:val="Cover Char"/>
    <w:basedOn w:val="DefaultParagraphFont"/>
    <w:link w:val="Title"/>
    <w:rsid w:val="00AA434E"/>
    <w:rPr>
      <w:rFonts w:ascii="Century Gothic" w:hAnsi="Century Gothic"/>
      <w:b/>
      <w:color w:val="5F497A" w:themeColor="accent4" w:themeShade="BF"/>
      <w:sz w:val="52"/>
      <w:szCs w:val="52"/>
      <w:lang w:val="en-GB" w:eastAsia="en-US"/>
    </w:rPr>
  </w:style>
  <w:style w:type="paragraph" w:customStyle="1" w:styleId="Title2">
    <w:name w:val="Title 2"/>
    <w:basedOn w:val="Title"/>
    <w:link w:val="Title2Char"/>
    <w:qFormat/>
    <w:rsid w:val="00AA434E"/>
    <w:pPr>
      <w:spacing w:after="120"/>
      <w:jc w:val="left"/>
    </w:pPr>
    <w:rPr>
      <w:rFonts w:eastAsia="Calibri"/>
      <w:sz w:val="24"/>
      <w:szCs w:val="24"/>
      <w:lang w:eastAsia="en-US"/>
    </w:rPr>
  </w:style>
  <w:style w:type="character" w:customStyle="1" w:styleId="Title2Char">
    <w:name w:val="Title 2 Char"/>
    <w:basedOn w:val="DefaultParagraphFont"/>
    <w:link w:val="Title2"/>
    <w:rsid w:val="00AA434E"/>
    <w:rPr>
      <w:rFonts w:ascii="Century Gothic" w:hAnsi="Century Gothic" w:cs="Century Gothic"/>
      <w:b/>
      <w:color w:val="5F497A" w:themeColor="accent4" w:themeShade="BF"/>
      <w:sz w:val="24"/>
      <w:szCs w:val="24"/>
      <w:lang w:val="en-GB" w:eastAsia="en-US"/>
    </w:rPr>
  </w:style>
  <w:style w:type="paragraph" w:customStyle="1" w:styleId="Title1">
    <w:name w:val="Title 1"/>
    <w:basedOn w:val="Normal"/>
    <w:link w:val="Title1Char"/>
    <w:qFormat/>
    <w:rsid w:val="00AA434E"/>
    <w:rPr>
      <w:rFonts w:eastAsia="Calibri"/>
      <w:sz w:val="40"/>
      <w:szCs w:val="40"/>
      <w:lang w:val="en-GB" w:eastAsia="en-US"/>
    </w:rPr>
  </w:style>
  <w:style w:type="character" w:customStyle="1" w:styleId="Title1Char">
    <w:name w:val="Title 1 Char"/>
    <w:basedOn w:val="Title2Char"/>
    <w:link w:val="Title1"/>
    <w:rsid w:val="00AA434E"/>
    <w:rPr>
      <w:rFonts w:ascii="Century Gothic" w:hAnsi="Century Gothic" w:cs="Century Gothic"/>
      <w:b w:val="0"/>
      <w:color w:val="000000"/>
      <w:sz w:val="40"/>
      <w:szCs w:val="40"/>
      <w:lang w:val="en-GB" w:eastAsia="en-US"/>
    </w:rPr>
  </w:style>
  <w:style w:type="character" w:styleId="CommentReference">
    <w:name w:val="annotation reference"/>
    <w:basedOn w:val="DefaultParagraphFont"/>
    <w:uiPriority w:val="99"/>
    <w:unhideWhenUsed/>
    <w:rsid w:val="0068146A"/>
    <w:rPr>
      <w:sz w:val="16"/>
      <w:szCs w:val="16"/>
    </w:rPr>
  </w:style>
  <w:style w:type="paragraph" w:styleId="CommentText">
    <w:name w:val="annotation text"/>
    <w:basedOn w:val="Normal"/>
    <w:link w:val="CommentTextChar"/>
    <w:uiPriority w:val="99"/>
    <w:unhideWhenUsed/>
    <w:rsid w:val="0068146A"/>
    <w:rPr>
      <w:sz w:val="20"/>
    </w:rPr>
  </w:style>
  <w:style w:type="character" w:customStyle="1" w:styleId="CommentTextChar">
    <w:name w:val="Comment Text Char"/>
    <w:basedOn w:val="DefaultParagraphFont"/>
    <w:link w:val="CommentText"/>
    <w:uiPriority w:val="99"/>
    <w:rsid w:val="0068146A"/>
    <w:rPr>
      <w:rFonts w:ascii="Tahoma" w:hAnsi="Tahoma" w:cs="Century Gothic"/>
      <w:color w:val="000000"/>
    </w:rPr>
  </w:style>
  <w:style w:type="paragraph" w:styleId="CommentSubject">
    <w:name w:val="annotation subject"/>
    <w:basedOn w:val="CommentText"/>
    <w:next w:val="CommentText"/>
    <w:link w:val="CommentSubjectChar"/>
    <w:uiPriority w:val="99"/>
    <w:semiHidden/>
    <w:unhideWhenUsed/>
    <w:rsid w:val="00655B90"/>
    <w:rPr>
      <w:b/>
      <w:bCs/>
    </w:rPr>
  </w:style>
  <w:style w:type="character" w:customStyle="1" w:styleId="CommentSubjectChar">
    <w:name w:val="Comment Subject Char"/>
    <w:basedOn w:val="CommentTextChar"/>
    <w:link w:val="CommentSubject"/>
    <w:uiPriority w:val="99"/>
    <w:semiHidden/>
    <w:rsid w:val="00655B90"/>
    <w:rPr>
      <w:rFonts w:ascii="Tahoma" w:hAnsi="Tahoma" w:cs="Century Gothic"/>
      <w:b/>
      <w:bCs/>
      <w:color w:val="000000"/>
    </w:rPr>
  </w:style>
  <w:style w:type="paragraph" w:styleId="FootnoteText">
    <w:name w:val="footnote text"/>
    <w:aliases w:val="ft,Footnote Text Char3,Footnote Text Char Char1,Footnote Text Char1 Char Char,Footnote Text Char Char Char Char,Footnote Text Char1 Char Char Char Char,Footnote Text Char Char Char Char Char Char,(NECG) Footnote Text,fn"/>
    <w:basedOn w:val="Normal"/>
    <w:link w:val="FootnoteTextChar"/>
    <w:uiPriority w:val="99"/>
    <w:unhideWhenUsed/>
    <w:rsid w:val="00CA6C58"/>
    <w:pPr>
      <w:spacing w:before="240"/>
    </w:pPr>
    <w:rPr>
      <w:rFonts w:ascii="Times New Roman" w:hAnsi="Times New Roman" w:cs="Times New Roman"/>
      <w:color w:val="auto"/>
      <w:sz w:val="20"/>
      <w:lang w:eastAsia="en-US"/>
    </w:rPr>
  </w:style>
  <w:style w:type="character" w:customStyle="1" w:styleId="FootnoteTextChar">
    <w:name w:val="Footnote Text Char"/>
    <w:aliases w:val="ft Char,Footnote Text Char3 Char,Footnote Text Char Char1 Char,Footnote Text Char1 Char Char Char,Footnote Text Char Char Char Char Char,Footnote Text Char1 Char Char Char Char Char,Footnote Text Char Char Char Char Char Char Char"/>
    <w:basedOn w:val="DefaultParagraphFont"/>
    <w:link w:val="FootnoteText"/>
    <w:uiPriority w:val="99"/>
    <w:rsid w:val="00CA6C58"/>
    <w:rPr>
      <w:rFonts w:ascii="Times New Roman" w:hAnsi="Times New Roman"/>
      <w:lang w:eastAsia="en-US"/>
    </w:rPr>
  </w:style>
  <w:style w:type="character" w:styleId="SubtleEmphasis">
    <w:name w:val="Subtle Emphasis"/>
    <w:basedOn w:val="DefaultParagraphFont"/>
    <w:uiPriority w:val="19"/>
    <w:qFormat/>
    <w:rsid w:val="007E0E1A"/>
    <w:rPr>
      <w:i/>
      <w:iCs/>
      <w:color w:val="404040" w:themeColor="text1" w:themeTint="BF"/>
    </w:rPr>
  </w:style>
  <w:style w:type="character" w:styleId="Hyperlink">
    <w:name w:val="Hyperlink"/>
    <w:basedOn w:val="DefaultParagraphFont"/>
    <w:uiPriority w:val="99"/>
    <w:unhideWhenUsed/>
    <w:rsid w:val="007F4B65"/>
    <w:rPr>
      <w:color w:val="0000FF" w:themeColor="hyperlink"/>
      <w:u w:val="single"/>
    </w:rPr>
  </w:style>
  <w:style w:type="character" w:styleId="FollowedHyperlink">
    <w:name w:val="FollowedHyperlink"/>
    <w:basedOn w:val="DefaultParagraphFont"/>
    <w:uiPriority w:val="99"/>
    <w:unhideWhenUsed/>
    <w:rsid w:val="007F4B65"/>
    <w:rPr>
      <w:color w:val="800080" w:themeColor="followedHyperlink"/>
      <w:u w:val="single"/>
    </w:rPr>
  </w:style>
  <w:style w:type="paragraph" w:customStyle="1" w:styleId="Para12">
    <w:name w:val="Para 12"/>
    <w:basedOn w:val="Normal"/>
    <w:rsid w:val="009F706A"/>
    <w:pPr>
      <w:spacing w:after="240"/>
    </w:pPr>
    <w:rPr>
      <w:rFonts w:ascii="Times New Roman" w:hAnsi="Times New Roman" w:cs="Angsana New"/>
      <w:sz w:val="24"/>
      <w:szCs w:val="24"/>
      <w:lang w:eastAsia="zh-CN" w:bidi="th-TH"/>
    </w:rPr>
  </w:style>
  <w:style w:type="paragraph" w:customStyle="1" w:styleId="Para0">
    <w:name w:val="Para 0"/>
    <w:basedOn w:val="Normal"/>
    <w:link w:val="Para0Char"/>
    <w:qFormat/>
    <w:rsid w:val="00C45EEE"/>
    <w:pPr>
      <w:spacing w:after="220" w:line="300" w:lineRule="auto"/>
      <w:jc w:val="both"/>
    </w:pPr>
    <w:rPr>
      <w:rFonts w:ascii="Arial" w:hAnsi="Arial" w:cs="Times New Roman"/>
      <w:sz w:val="20"/>
      <w:lang w:val="en-GB" w:eastAsia="en-US"/>
    </w:rPr>
  </w:style>
  <w:style w:type="character" w:customStyle="1" w:styleId="Para0Char">
    <w:name w:val="Para 0 Char"/>
    <w:basedOn w:val="DefaultParagraphFont"/>
    <w:link w:val="Para0"/>
    <w:locked/>
    <w:rsid w:val="00C45EEE"/>
    <w:rPr>
      <w:color w:val="000000"/>
      <w:lang w:val="en-GB" w:eastAsia="en-US"/>
    </w:rPr>
  </w:style>
  <w:style w:type="paragraph" w:customStyle="1" w:styleId="Heading11">
    <w:name w:val="Heading 1.1"/>
    <w:basedOn w:val="Heading1"/>
    <w:next w:val="Heading2"/>
    <w:link w:val="Heading11Char"/>
    <w:rsid w:val="00324D54"/>
    <w:pPr>
      <w:numPr>
        <w:numId w:val="0"/>
      </w:numPr>
    </w:pPr>
    <w:rPr>
      <w:rFonts w:ascii="Calibri" w:hAnsi="Calibri"/>
      <w:sz w:val="28"/>
      <w:szCs w:val="40"/>
      <w:lang w:eastAsia="en-US"/>
    </w:rPr>
  </w:style>
  <w:style w:type="character" w:customStyle="1" w:styleId="Heading11Char">
    <w:name w:val="Heading 1.1 Char"/>
    <w:basedOn w:val="Heading1Char"/>
    <w:link w:val="Heading11"/>
    <w:rsid w:val="00324D54"/>
    <w:rPr>
      <w:rFonts w:ascii="Calibri" w:hAnsi="Calibri" w:cs="Century Gothic"/>
      <w:b/>
      <w:color w:val="31849B" w:themeColor="accent5" w:themeShade="BF"/>
      <w:sz w:val="28"/>
      <w:szCs w:val="40"/>
      <w:lang w:val="en-GB" w:eastAsia="en-US"/>
    </w:rPr>
  </w:style>
  <w:style w:type="character" w:styleId="FootnoteReference">
    <w:name w:val="footnote reference"/>
    <w:basedOn w:val="DefaultParagraphFont"/>
    <w:uiPriority w:val="99"/>
    <w:rsid w:val="00D02D63"/>
    <w:rPr>
      <w:rFonts w:cs="Times New Roman"/>
      <w:vertAlign w:val="superscript"/>
    </w:rPr>
  </w:style>
  <w:style w:type="paragraph" w:customStyle="1" w:styleId="StyleStylePara12Arial11ptAfter0pt10ptAuto">
    <w:name w:val="Style Style Para 12 + Arial 11 pt After:  0 pt + 10 pt Auto"/>
    <w:basedOn w:val="Normal"/>
    <w:uiPriority w:val="99"/>
    <w:rsid w:val="00DC4D69"/>
    <w:pPr>
      <w:numPr>
        <w:numId w:val="7"/>
      </w:numPr>
      <w:spacing w:after="0"/>
    </w:pPr>
    <w:rPr>
      <w:rFonts w:ascii="Times New Roman" w:hAnsi="Times New Roman" w:cs="Times New Roman"/>
      <w:color w:val="auto"/>
      <w:sz w:val="24"/>
      <w:lang w:eastAsia="en-US"/>
    </w:rPr>
  </w:style>
  <w:style w:type="paragraph" w:styleId="NormalWeb">
    <w:name w:val="Normal (Web)"/>
    <w:basedOn w:val="Normal"/>
    <w:uiPriority w:val="99"/>
    <w:unhideWhenUsed/>
    <w:rsid w:val="00E3512D"/>
    <w:pPr>
      <w:spacing w:after="180"/>
      <w:textAlignment w:val="baseline"/>
    </w:pPr>
    <w:rPr>
      <w:rFonts w:ascii="Times New Roman" w:hAnsi="Times New Roman" w:cs="Times New Roman"/>
      <w:color w:val="auto"/>
      <w:sz w:val="24"/>
      <w:szCs w:val="24"/>
    </w:rPr>
  </w:style>
  <w:style w:type="paragraph" w:styleId="PlainText">
    <w:name w:val="Plain Text"/>
    <w:basedOn w:val="Normal"/>
    <w:link w:val="PlainTextChar"/>
    <w:uiPriority w:val="99"/>
    <w:unhideWhenUsed/>
    <w:rsid w:val="00E3512D"/>
    <w:pPr>
      <w:spacing w:after="0"/>
    </w:pPr>
    <w:rPr>
      <w:rFonts w:ascii="Consolas" w:eastAsiaTheme="minorHAnsi" w:hAnsi="Consolas" w:cs="Consolas"/>
      <w:color w:val="auto"/>
      <w:sz w:val="21"/>
      <w:szCs w:val="21"/>
    </w:rPr>
  </w:style>
  <w:style w:type="character" w:customStyle="1" w:styleId="PlainTextChar">
    <w:name w:val="Plain Text Char"/>
    <w:basedOn w:val="DefaultParagraphFont"/>
    <w:link w:val="PlainText"/>
    <w:uiPriority w:val="99"/>
    <w:rsid w:val="00E3512D"/>
    <w:rPr>
      <w:rFonts w:ascii="Consolas" w:eastAsiaTheme="minorHAnsi" w:hAnsi="Consolas" w:cs="Consolas"/>
      <w:sz w:val="21"/>
      <w:szCs w:val="21"/>
    </w:rPr>
  </w:style>
  <w:style w:type="paragraph" w:styleId="Caption">
    <w:name w:val="caption"/>
    <w:aliases w:val="Figure,CDM B/Caption,Table Caption,TABLE,Char,Item,Figure1,CDM B/Caption1,Table Caption1,TABLE1,Char1,Item1"/>
    <w:basedOn w:val="Normal"/>
    <w:next w:val="Normal"/>
    <w:link w:val="CaptionChar"/>
    <w:uiPriority w:val="35"/>
    <w:qFormat/>
    <w:rsid w:val="00414147"/>
    <w:pPr>
      <w:spacing w:after="220"/>
      <w:jc w:val="both"/>
    </w:pPr>
    <w:rPr>
      <w:rFonts w:ascii="Calibri" w:hAnsi="Calibri" w:cs="Times New Roman"/>
      <w:b/>
      <w:bCs/>
      <w:color w:val="auto"/>
      <w:sz w:val="20"/>
    </w:rPr>
  </w:style>
  <w:style w:type="character" w:customStyle="1" w:styleId="CaptionChar">
    <w:name w:val="Caption Char"/>
    <w:aliases w:val="Figure Char,CDM B/Caption Char,Table Caption Char,TABLE Char,Char Char,Item Char,Figure1 Char,CDM B/Caption1 Char,Table Caption1 Char,TABLE1 Char,Char1 Char,Item1 Char"/>
    <w:basedOn w:val="DefaultParagraphFont"/>
    <w:link w:val="Caption"/>
    <w:uiPriority w:val="35"/>
    <w:locked/>
    <w:rsid w:val="00414147"/>
    <w:rPr>
      <w:rFonts w:ascii="Calibri" w:hAnsi="Calibri"/>
      <w:b/>
      <w:bCs/>
    </w:rPr>
  </w:style>
  <w:style w:type="paragraph" w:customStyle="1" w:styleId="Default">
    <w:name w:val="Default"/>
    <w:rsid w:val="00AB6F65"/>
    <w:pPr>
      <w:autoSpaceDE w:val="0"/>
      <w:autoSpaceDN w:val="0"/>
      <w:adjustRightInd w:val="0"/>
    </w:pPr>
    <w:rPr>
      <w:rFonts w:ascii="Times New Roman" w:hAnsi="Times New Roman"/>
      <w:color w:val="000000"/>
      <w:sz w:val="24"/>
      <w:szCs w:val="24"/>
    </w:rPr>
  </w:style>
  <w:style w:type="character" w:customStyle="1" w:styleId="ListParagraphChar">
    <w:name w:val="List Paragraph Char"/>
    <w:aliases w:val="Bullet list Char,1 heading Char,DDM Gen Text Char,List Paragraph1 Char,List Paragraph11 Char,Recommendation Char,List 1 Char,table text Char,Bullet 1 Char,Bullet 11 Char,Bullet list1 Char,table text1 Char,Recommendation1 Char"/>
    <w:link w:val="ListParagraph"/>
    <w:uiPriority w:val="34"/>
    <w:locked/>
    <w:rsid w:val="00AB6F65"/>
    <w:rPr>
      <w:rFonts w:asciiTheme="minorHAnsi" w:hAnsiTheme="minorHAnsi" w:cs="Century Gothic"/>
      <w:color w:val="000000"/>
      <w:sz w:val="22"/>
    </w:rPr>
  </w:style>
  <w:style w:type="character" w:customStyle="1" w:styleId="Heading5Char">
    <w:name w:val="Heading 5 Char"/>
    <w:basedOn w:val="DefaultParagraphFont"/>
    <w:link w:val="Heading5"/>
    <w:rsid w:val="00F53A6B"/>
    <w:rPr>
      <w:rFonts w:ascii="Calibri" w:hAnsi="Calibri" w:cs="Calibri"/>
      <w:i/>
      <w:color w:val="5F497A" w:themeColor="accent4" w:themeShade="BF"/>
      <w:sz w:val="22"/>
      <w:szCs w:val="22"/>
      <w:lang w:val="en-GB" w:eastAsia="en-US"/>
    </w:rPr>
  </w:style>
  <w:style w:type="character" w:customStyle="1" w:styleId="Heading6Char">
    <w:name w:val="Heading 6 Char"/>
    <w:basedOn w:val="DefaultParagraphFont"/>
    <w:link w:val="Heading6"/>
    <w:rsid w:val="00AB6F65"/>
    <w:rPr>
      <w:rFonts w:ascii="Calibri" w:hAnsi="Calibri" w:cs="Calibri"/>
      <w:b/>
      <w:sz w:val="24"/>
      <w:szCs w:val="22"/>
      <w:lang w:val="en-GB" w:eastAsia="en-US"/>
    </w:rPr>
  </w:style>
  <w:style w:type="character" w:customStyle="1" w:styleId="Heading7Char">
    <w:name w:val="Heading 7 Char"/>
    <w:basedOn w:val="DefaultParagraphFont"/>
    <w:link w:val="Heading7"/>
    <w:rsid w:val="00AB6F65"/>
    <w:rPr>
      <w:rFonts w:ascii="Calibri" w:hAnsi="Calibri" w:cs="Calibri"/>
      <w:b/>
      <w:sz w:val="24"/>
      <w:szCs w:val="22"/>
      <w:lang w:val="en-GB" w:eastAsia="en-US"/>
    </w:rPr>
  </w:style>
  <w:style w:type="character" w:customStyle="1" w:styleId="Heading8Char">
    <w:name w:val="Heading 8 Char"/>
    <w:basedOn w:val="DefaultParagraphFont"/>
    <w:link w:val="Heading8"/>
    <w:rsid w:val="00AB6F65"/>
    <w:rPr>
      <w:rFonts w:ascii="Calibri" w:hAnsi="Calibri" w:cs="Calibri"/>
      <w:b/>
      <w:sz w:val="24"/>
      <w:szCs w:val="22"/>
      <w:lang w:val="en-GB" w:eastAsia="en-US"/>
    </w:rPr>
  </w:style>
  <w:style w:type="paragraph" w:styleId="BodyText">
    <w:name w:val="Body Text"/>
    <w:link w:val="BodyTextChar"/>
    <w:rsid w:val="00AB6F65"/>
    <w:pPr>
      <w:tabs>
        <w:tab w:val="left" w:pos="425"/>
        <w:tab w:val="left" w:pos="851"/>
        <w:tab w:val="left" w:pos="1276"/>
        <w:tab w:val="left" w:pos="1701"/>
        <w:tab w:val="left" w:pos="2126"/>
        <w:tab w:val="left" w:pos="2552"/>
        <w:tab w:val="left" w:pos="2977"/>
        <w:tab w:val="left" w:pos="3402"/>
        <w:tab w:val="left" w:pos="3827"/>
        <w:tab w:val="left" w:pos="4253"/>
        <w:tab w:val="left" w:pos="4678"/>
        <w:tab w:val="left" w:pos="5103"/>
        <w:tab w:val="left" w:pos="5528"/>
        <w:tab w:val="left" w:pos="5954"/>
        <w:tab w:val="left" w:pos="6379"/>
        <w:tab w:val="left" w:pos="6804"/>
        <w:tab w:val="left" w:pos="7229"/>
        <w:tab w:val="left" w:pos="7655"/>
        <w:tab w:val="left" w:pos="8505"/>
        <w:tab w:val="right" w:pos="9072"/>
      </w:tabs>
      <w:spacing w:before="120" w:after="120"/>
    </w:pPr>
    <w:rPr>
      <w:sz w:val="22"/>
      <w:szCs w:val="22"/>
    </w:rPr>
  </w:style>
  <w:style w:type="character" w:customStyle="1" w:styleId="BodyTextChar">
    <w:name w:val="Body Text Char"/>
    <w:basedOn w:val="DefaultParagraphFont"/>
    <w:link w:val="BodyText"/>
    <w:rsid w:val="00AB6F65"/>
    <w:rPr>
      <w:sz w:val="22"/>
      <w:szCs w:val="22"/>
    </w:rPr>
  </w:style>
  <w:style w:type="paragraph" w:customStyle="1" w:styleId="Pa4">
    <w:name w:val="Pa4"/>
    <w:basedOn w:val="Normal"/>
    <w:next w:val="Normal"/>
    <w:uiPriority w:val="99"/>
    <w:rsid w:val="00BC3A2B"/>
    <w:pPr>
      <w:autoSpaceDE w:val="0"/>
      <w:autoSpaceDN w:val="0"/>
      <w:adjustRightInd w:val="0"/>
      <w:spacing w:after="0" w:line="181" w:lineRule="atLeast"/>
    </w:pPr>
    <w:rPr>
      <w:rFonts w:ascii="Adobe Garamond Pro" w:hAnsi="Adobe Garamond Pro" w:cs="Times New Roman"/>
      <w:color w:val="auto"/>
      <w:sz w:val="24"/>
      <w:szCs w:val="24"/>
    </w:rPr>
  </w:style>
  <w:style w:type="character" w:customStyle="1" w:styleId="UnresolvedMention1">
    <w:name w:val="Unresolved Mention1"/>
    <w:basedOn w:val="DefaultParagraphFont"/>
    <w:uiPriority w:val="99"/>
    <w:semiHidden/>
    <w:unhideWhenUsed/>
    <w:rsid w:val="006D4A58"/>
    <w:rPr>
      <w:color w:val="605E5C"/>
      <w:shd w:val="clear" w:color="auto" w:fill="E1DFDD"/>
    </w:rPr>
  </w:style>
  <w:style w:type="paragraph" w:styleId="Revision">
    <w:name w:val="Revision"/>
    <w:hidden/>
    <w:uiPriority w:val="99"/>
    <w:semiHidden/>
    <w:rsid w:val="005F5ED2"/>
    <w:rPr>
      <w:rFonts w:ascii="Tahoma" w:hAnsi="Tahoma" w:cs="Century Gothic"/>
      <w:color w:val="000000"/>
      <w:sz w:val="22"/>
    </w:rPr>
  </w:style>
  <w:style w:type="paragraph" w:styleId="TOCHeading">
    <w:name w:val="TOC Heading"/>
    <w:basedOn w:val="Heading1"/>
    <w:next w:val="Normal"/>
    <w:uiPriority w:val="99"/>
    <w:unhideWhenUsed/>
    <w:qFormat/>
    <w:rsid w:val="004D5EBB"/>
    <w:pPr>
      <w:keepLines/>
      <w:numPr>
        <w:numId w:val="0"/>
      </w:numPr>
      <w:spacing w:after="0" w:line="259" w:lineRule="auto"/>
      <w:outlineLvl w:val="9"/>
    </w:pPr>
    <w:rPr>
      <w:rFonts w:eastAsiaTheme="majorEastAsia" w:cstheme="majorBidi"/>
      <w:sz w:val="32"/>
      <w:szCs w:val="32"/>
      <w:lang w:val="en-US" w:eastAsia="en-US"/>
    </w:rPr>
  </w:style>
  <w:style w:type="paragraph" w:styleId="TOC1">
    <w:name w:val="toc 1"/>
    <w:basedOn w:val="Normal"/>
    <w:next w:val="Normal"/>
    <w:autoRedefine/>
    <w:uiPriority w:val="39"/>
    <w:unhideWhenUsed/>
    <w:rsid w:val="00F0567D"/>
    <w:pPr>
      <w:spacing w:after="100"/>
    </w:pPr>
  </w:style>
  <w:style w:type="paragraph" w:styleId="TOC2">
    <w:name w:val="toc 2"/>
    <w:basedOn w:val="Normal"/>
    <w:next w:val="Normal"/>
    <w:autoRedefine/>
    <w:uiPriority w:val="39"/>
    <w:unhideWhenUsed/>
    <w:rsid w:val="00424BC3"/>
    <w:pPr>
      <w:tabs>
        <w:tab w:val="left" w:pos="880"/>
        <w:tab w:val="right" w:leader="dot" w:pos="9202"/>
      </w:tabs>
      <w:spacing w:after="100"/>
      <w:ind w:left="220"/>
    </w:pPr>
  </w:style>
  <w:style w:type="paragraph" w:styleId="TOC3">
    <w:name w:val="toc 3"/>
    <w:basedOn w:val="Normal"/>
    <w:next w:val="Normal"/>
    <w:autoRedefine/>
    <w:uiPriority w:val="39"/>
    <w:unhideWhenUsed/>
    <w:rsid w:val="00220DF0"/>
    <w:pPr>
      <w:spacing w:after="100" w:line="259" w:lineRule="auto"/>
      <w:ind w:left="440"/>
    </w:pPr>
    <w:rPr>
      <w:rFonts w:eastAsiaTheme="minorEastAsia" w:cs="Times New Roman"/>
      <w:color w:val="auto"/>
      <w:szCs w:val="22"/>
      <w:lang w:val="en-US" w:eastAsia="en-US"/>
    </w:rPr>
  </w:style>
  <w:style w:type="numbering" w:customStyle="1" w:styleId="WMPheadings">
    <w:name w:val="WMP headings"/>
    <w:uiPriority w:val="99"/>
    <w:rsid w:val="009E7A7D"/>
    <w:pPr>
      <w:numPr>
        <w:numId w:val="12"/>
      </w:numPr>
    </w:pPr>
  </w:style>
  <w:style w:type="paragraph" w:customStyle="1" w:styleId="1NumberedPointsStyle1">
    <w:name w:val="1. Numbered Points Style1"/>
    <w:basedOn w:val="ListParagraph"/>
    <w:rsid w:val="00316F8D"/>
    <w:pPr>
      <w:ind w:left="0" w:firstLine="0"/>
    </w:pPr>
  </w:style>
  <w:style w:type="numbering" w:customStyle="1" w:styleId="BulletList1">
    <w:name w:val="Bullet List1"/>
    <w:uiPriority w:val="99"/>
    <w:rsid w:val="00316F8D"/>
  </w:style>
  <w:style w:type="character" w:customStyle="1" w:styleId="Heading3Char1">
    <w:name w:val="Heading 3 Char1"/>
    <w:basedOn w:val="DefaultParagraphFont"/>
    <w:rsid w:val="00316F8D"/>
    <w:rPr>
      <w:rFonts w:asciiTheme="minorHAnsi" w:hAnsiTheme="minorHAnsi" w:cs="Century Gothic"/>
      <w:color w:val="5F497A" w:themeColor="accent4" w:themeShade="BF"/>
      <w:sz w:val="26"/>
      <w:szCs w:val="24"/>
      <w:lang w:val="en-GB"/>
    </w:rPr>
  </w:style>
  <w:style w:type="numbering" w:customStyle="1" w:styleId="Attach1">
    <w:name w:val="Attach1"/>
    <w:basedOn w:val="NoList"/>
    <w:uiPriority w:val="99"/>
    <w:rsid w:val="00316F8D"/>
  </w:style>
  <w:style w:type="character" w:customStyle="1" w:styleId="CaptionChar1">
    <w:name w:val="Caption Char1"/>
    <w:aliases w:val="Figure Char1,CDM B/Caption Char1,Table Caption Char1,TABLE Char1,Char Char1,Item Char1"/>
    <w:basedOn w:val="DefaultParagraphFont"/>
    <w:uiPriority w:val="35"/>
    <w:locked/>
    <w:rsid w:val="00316F8D"/>
    <w:rPr>
      <w:rFonts w:ascii="Calibri" w:hAnsi="Calibri"/>
      <w:b/>
      <w:bCs/>
    </w:rPr>
  </w:style>
  <w:style w:type="character" w:customStyle="1" w:styleId="Heading7Char1">
    <w:name w:val="Heading 7 Char1"/>
    <w:basedOn w:val="DefaultParagraphFont"/>
    <w:rsid w:val="00316F8D"/>
    <w:rPr>
      <w:rFonts w:ascii="Calibri" w:hAnsi="Calibri" w:cs="Calibri"/>
      <w:b/>
      <w:sz w:val="24"/>
      <w:szCs w:val="22"/>
      <w:lang w:val="en-GB" w:eastAsia="en-US"/>
    </w:rPr>
  </w:style>
  <w:style w:type="character" w:customStyle="1" w:styleId="InstructionText">
    <w:name w:val="Instruction Text"/>
    <w:uiPriority w:val="99"/>
    <w:rsid w:val="00316F8D"/>
    <w:rPr>
      <w:i/>
      <w:color w:val="0070C0"/>
    </w:rPr>
  </w:style>
  <w:style w:type="character" w:styleId="PageNumber">
    <w:name w:val="page number"/>
    <w:basedOn w:val="DefaultParagraphFont"/>
    <w:uiPriority w:val="99"/>
    <w:rsid w:val="00316F8D"/>
    <w:rPr>
      <w:rFonts w:cs="Times New Roman"/>
    </w:rPr>
  </w:style>
  <w:style w:type="paragraph" w:styleId="DocumentMap">
    <w:name w:val="Document Map"/>
    <w:basedOn w:val="Normal"/>
    <w:link w:val="DocumentMapChar"/>
    <w:uiPriority w:val="99"/>
    <w:semiHidden/>
    <w:rsid w:val="00316F8D"/>
    <w:pPr>
      <w:shd w:val="clear" w:color="auto" w:fill="000080"/>
      <w:spacing w:after="220"/>
      <w:jc w:val="both"/>
    </w:pPr>
    <w:rPr>
      <w:rFonts w:cs="Tahoma"/>
      <w:color w:val="auto"/>
      <w:sz w:val="20"/>
    </w:rPr>
  </w:style>
  <w:style w:type="character" w:customStyle="1" w:styleId="DocumentMapChar">
    <w:name w:val="Document Map Char"/>
    <w:basedOn w:val="DefaultParagraphFont"/>
    <w:link w:val="DocumentMap"/>
    <w:uiPriority w:val="99"/>
    <w:semiHidden/>
    <w:rsid w:val="00316F8D"/>
    <w:rPr>
      <w:rFonts w:asciiTheme="minorHAnsi" w:hAnsiTheme="minorHAnsi" w:cs="Tahoma"/>
      <w:shd w:val="clear" w:color="auto" w:fill="000080"/>
    </w:rPr>
  </w:style>
  <w:style w:type="character" w:customStyle="1" w:styleId="DocumentMapChar1">
    <w:name w:val="Document Map Char1"/>
    <w:basedOn w:val="DefaultParagraphFont"/>
    <w:uiPriority w:val="99"/>
    <w:semiHidden/>
    <w:rsid w:val="00316F8D"/>
    <w:rPr>
      <w:rFonts w:ascii="Tahoma" w:hAnsi="Tahoma" w:cs="Tahoma"/>
      <w:shd w:val="clear" w:color="auto" w:fill="000080"/>
    </w:rPr>
  </w:style>
  <w:style w:type="character" w:customStyle="1" w:styleId="FootnoteTextChar1">
    <w:name w:val="Footnote Text Char1"/>
    <w:basedOn w:val="DefaultParagraphFont"/>
    <w:uiPriority w:val="99"/>
    <w:rsid w:val="00316F8D"/>
    <w:rPr>
      <w:rFonts w:ascii="Calibri" w:hAnsi="Calibri"/>
    </w:rPr>
  </w:style>
  <w:style w:type="paragraph" w:customStyle="1" w:styleId="Para01">
    <w:name w:val="Para 01"/>
    <w:basedOn w:val="Normal"/>
    <w:qFormat/>
    <w:rsid w:val="00316F8D"/>
    <w:pPr>
      <w:spacing w:after="220" w:line="300" w:lineRule="auto"/>
      <w:jc w:val="both"/>
    </w:pPr>
    <w:rPr>
      <w:rFonts w:ascii="Arial" w:hAnsi="Arial" w:cs="Times New Roman"/>
      <w:sz w:val="20"/>
      <w:lang w:val="en-GB" w:eastAsia="en-US"/>
    </w:rPr>
  </w:style>
  <w:style w:type="character" w:customStyle="1" w:styleId="Para0Char1">
    <w:name w:val="Para 0 Char1"/>
    <w:basedOn w:val="DefaultParagraphFont"/>
    <w:locked/>
    <w:rsid w:val="00316F8D"/>
    <w:rPr>
      <w:color w:val="000000"/>
      <w:lang w:val="en-GB" w:eastAsia="en-US"/>
    </w:rPr>
  </w:style>
  <w:style w:type="paragraph" w:customStyle="1" w:styleId="Para0bullet">
    <w:name w:val="Para 0 bullet"/>
    <w:basedOn w:val="Para0"/>
    <w:link w:val="Para0bulletChar"/>
    <w:uiPriority w:val="99"/>
    <w:rsid w:val="00316F8D"/>
    <w:pPr>
      <w:numPr>
        <w:numId w:val="14"/>
      </w:numPr>
      <w:spacing w:after="60"/>
    </w:pPr>
    <w:rPr>
      <w:rFonts w:ascii="Calibri" w:hAnsi="Calibri"/>
    </w:rPr>
  </w:style>
  <w:style w:type="character" w:customStyle="1" w:styleId="Para0bulletChar">
    <w:name w:val="Para 0 bullet Char"/>
    <w:basedOn w:val="DefaultParagraphFont"/>
    <w:link w:val="Para0bullet"/>
    <w:uiPriority w:val="99"/>
    <w:locked/>
    <w:rsid w:val="00316F8D"/>
    <w:rPr>
      <w:rFonts w:ascii="Calibri" w:hAnsi="Calibri"/>
      <w:color w:val="000000"/>
      <w:lang w:val="en-GB" w:eastAsia="en-US"/>
    </w:rPr>
  </w:style>
  <w:style w:type="paragraph" w:customStyle="1" w:styleId="Para1number">
    <w:name w:val="Para 1 number"/>
    <w:basedOn w:val="Normal"/>
    <w:uiPriority w:val="99"/>
    <w:rsid w:val="00316F8D"/>
    <w:pPr>
      <w:numPr>
        <w:numId w:val="15"/>
      </w:numPr>
      <w:spacing w:after="60" w:line="300" w:lineRule="auto"/>
      <w:jc w:val="both"/>
    </w:pPr>
    <w:rPr>
      <w:rFonts w:ascii="Arial" w:hAnsi="Arial" w:cs="Times New Roman"/>
      <w:sz w:val="20"/>
      <w:lang w:val="en-GB" w:eastAsia="en-US"/>
    </w:rPr>
  </w:style>
  <w:style w:type="paragraph" w:customStyle="1" w:styleId="prodtitlesub">
    <w:name w:val="prodtitlesub"/>
    <w:basedOn w:val="Normal"/>
    <w:uiPriority w:val="99"/>
    <w:rsid w:val="00316F8D"/>
    <w:pPr>
      <w:spacing w:after="220"/>
      <w:jc w:val="both"/>
    </w:pPr>
    <w:rPr>
      <w:rFonts w:ascii="Verdana" w:hAnsi="Verdana" w:cs="Times New Roman"/>
      <w:b/>
      <w:bCs/>
      <w:color w:val="006699"/>
      <w:sz w:val="26"/>
      <w:szCs w:val="26"/>
      <w:lang w:val="en-US" w:eastAsia="en-US"/>
    </w:rPr>
  </w:style>
  <w:style w:type="character" w:styleId="Emphasis">
    <w:name w:val="Emphasis"/>
    <w:basedOn w:val="DefaultParagraphFont"/>
    <w:uiPriority w:val="20"/>
    <w:qFormat/>
    <w:rsid w:val="00316F8D"/>
    <w:rPr>
      <w:rFonts w:cs="Times New Roman"/>
      <w:i/>
      <w:iCs/>
    </w:rPr>
  </w:style>
  <w:style w:type="character" w:customStyle="1" w:styleId="external">
    <w:name w:val="external"/>
    <w:basedOn w:val="DefaultParagraphFont"/>
    <w:uiPriority w:val="99"/>
    <w:rsid w:val="00316F8D"/>
    <w:rPr>
      <w:rFonts w:cs="Times New Roman"/>
    </w:rPr>
  </w:style>
  <w:style w:type="character" w:styleId="HTMLAcronym">
    <w:name w:val="HTML Acronym"/>
    <w:basedOn w:val="DefaultParagraphFont"/>
    <w:uiPriority w:val="99"/>
    <w:rsid w:val="00316F8D"/>
    <w:rPr>
      <w:rFonts w:cs="Times New Roman"/>
    </w:rPr>
  </w:style>
  <w:style w:type="paragraph" w:customStyle="1" w:styleId="Appendix1">
    <w:name w:val="Appendix 1"/>
    <w:basedOn w:val="Heading1"/>
    <w:next w:val="Para0"/>
    <w:uiPriority w:val="99"/>
    <w:rsid w:val="00316F8D"/>
    <w:pPr>
      <w:numPr>
        <w:numId w:val="16"/>
      </w:numPr>
      <w:spacing w:before="0"/>
      <w:jc w:val="both"/>
    </w:pPr>
    <w:rPr>
      <w:rFonts w:ascii="Times New Roman" w:hAnsi="Times New Roman" w:cs="Times New Roman"/>
      <w:color w:val="6CB9DC"/>
      <w:lang w:eastAsia="en-US"/>
    </w:rPr>
  </w:style>
  <w:style w:type="paragraph" w:customStyle="1" w:styleId="Appendix2">
    <w:name w:val="Appendix 2"/>
    <w:basedOn w:val="Appendix1"/>
    <w:next w:val="Para0"/>
    <w:uiPriority w:val="99"/>
    <w:rsid w:val="00316F8D"/>
    <w:pPr>
      <w:numPr>
        <w:ilvl w:val="1"/>
      </w:numPr>
      <w:spacing w:before="120" w:after="40"/>
      <w:outlineLvl w:val="1"/>
    </w:pPr>
    <w:rPr>
      <w:sz w:val="22"/>
    </w:rPr>
  </w:style>
  <w:style w:type="paragraph" w:customStyle="1" w:styleId="Appendix3">
    <w:name w:val="Appendix 3"/>
    <w:basedOn w:val="Appendix1"/>
    <w:next w:val="Para0"/>
    <w:uiPriority w:val="99"/>
    <w:rsid w:val="00316F8D"/>
    <w:pPr>
      <w:numPr>
        <w:ilvl w:val="2"/>
      </w:numPr>
      <w:spacing w:before="120" w:after="40"/>
      <w:outlineLvl w:val="2"/>
    </w:pPr>
    <w:rPr>
      <w:sz w:val="22"/>
    </w:rPr>
  </w:style>
  <w:style w:type="paragraph" w:customStyle="1" w:styleId="Head2manual">
    <w:name w:val="Head 2 manual"/>
    <w:basedOn w:val="Normal"/>
    <w:next w:val="Para0"/>
    <w:uiPriority w:val="99"/>
    <w:rsid w:val="00316F8D"/>
    <w:pPr>
      <w:keepNext/>
      <w:spacing w:before="120" w:line="360" w:lineRule="auto"/>
      <w:jc w:val="both"/>
    </w:pPr>
    <w:rPr>
      <w:rFonts w:ascii="Calibri" w:hAnsi="Calibri" w:cs="Times New Roman"/>
      <w:b/>
      <w:color w:val="auto"/>
      <w:sz w:val="24"/>
      <w:lang w:val="en-GB" w:eastAsia="en-US"/>
    </w:rPr>
  </w:style>
  <w:style w:type="paragraph" w:customStyle="1" w:styleId="Para0number">
    <w:name w:val="Para 0 number"/>
    <w:basedOn w:val="Para0"/>
    <w:uiPriority w:val="99"/>
    <w:rsid w:val="00316F8D"/>
    <w:pPr>
      <w:numPr>
        <w:numId w:val="17"/>
      </w:numPr>
      <w:tabs>
        <w:tab w:val="clear" w:pos="397"/>
      </w:tabs>
      <w:spacing w:after="60"/>
      <w:ind w:left="369" w:hanging="369"/>
    </w:pPr>
  </w:style>
  <w:style w:type="character" w:styleId="Strong">
    <w:name w:val="Strong"/>
    <w:basedOn w:val="DefaultParagraphFont"/>
    <w:uiPriority w:val="22"/>
    <w:qFormat/>
    <w:rsid w:val="00316F8D"/>
    <w:rPr>
      <w:rFonts w:cs="Times New Roman"/>
      <w:b/>
      <w:bCs/>
    </w:rPr>
  </w:style>
  <w:style w:type="paragraph" w:customStyle="1" w:styleId="para0bullet0">
    <w:name w:val="para0bullet"/>
    <w:basedOn w:val="Normal"/>
    <w:uiPriority w:val="99"/>
    <w:rsid w:val="00316F8D"/>
    <w:pPr>
      <w:spacing w:before="100" w:beforeAutospacing="1" w:after="100" w:afterAutospacing="1"/>
    </w:pPr>
    <w:rPr>
      <w:rFonts w:ascii="Times New Roman" w:hAnsi="Times New Roman" w:cs="Times New Roman"/>
      <w:color w:val="auto"/>
      <w:sz w:val="24"/>
      <w:szCs w:val="24"/>
    </w:rPr>
  </w:style>
  <w:style w:type="character" w:customStyle="1" w:styleId="PlainTextChar1">
    <w:name w:val="Plain Text Char1"/>
    <w:basedOn w:val="DefaultParagraphFont"/>
    <w:uiPriority w:val="99"/>
    <w:rsid w:val="00316F8D"/>
    <w:rPr>
      <w:rFonts w:ascii="Consolas" w:hAnsi="Consolas"/>
      <w:sz w:val="21"/>
      <w:szCs w:val="21"/>
      <w:lang w:eastAsia="en-US"/>
    </w:rPr>
  </w:style>
  <w:style w:type="paragraph" w:customStyle="1" w:styleId="StyleStylePara12Arial11ptAfter0pt10ptAuto1">
    <w:name w:val="Style Style Para 12 + Arial 11 pt After:  0 pt + 10 pt Auto1"/>
    <w:basedOn w:val="Normal"/>
    <w:uiPriority w:val="99"/>
    <w:rsid w:val="00316F8D"/>
    <w:pPr>
      <w:tabs>
        <w:tab w:val="num" w:pos="284"/>
      </w:tabs>
      <w:spacing w:after="0"/>
      <w:ind w:left="284" w:hanging="284"/>
    </w:pPr>
    <w:rPr>
      <w:rFonts w:ascii="Times New Roman" w:hAnsi="Times New Roman" w:cs="Times New Roman"/>
      <w:color w:val="auto"/>
      <w:sz w:val="24"/>
      <w:lang w:eastAsia="en-US"/>
    </w:rPr>
  </w:style>
  <w:style w:type="paragraph" w:customStyle="1" w:styleId="Default1">
    <w:name w:val="Default1"/>
    <w:rsid w:val="00316F8D"/>
    <w:pPr>
      <w:autoSpaceDE w:val="0"/>
      <w:autoSpaceDN w:val="0"/>
      <w:adjustRightInd w:val="0"/>
    </w:pPr>
    <w:rPr>
      <w:rFonts w:ascii="Times New Roman" w:hAnsi="Times New Roman"/>
      <w:color w:val="000000"/>
      <w:sz w:val="24"/>
      <w:szCs w:val="24"/>
    </w:rPr>
  </w:style>
  <w:style w:type="character" w:styleId="PlaceholderText">
    <w:name w:val="Placeholder Text"/>
    <w:basedOn w:val="DefaultParagraphFont"/>
    <w:uiPriority w:val="99"/>
    <w:semiHidden/>
    <w:rsid w:val="00316F8D"/>
    <w:rPr>
      <w:rFonts w:cs="Times New Roman"/>
      <w:color w:val="808080"/>
    </w:rPr>
  </w:style>
  <w:style w:type="paragraph" w:customStyle="1" w:styleId="Bullet">
    <w:name w:val="Bullet"/>
    <w:basedOn w:val="Normal"/>
    <w:uiPriority w:val="99"/>
    <w:rsid w:val="00316F8D"/>
    <w:pPr>
      <w:numPr>
        <w:numId w:val="18"/>
      </w:numPr>
      <w:spacing w:after="240"/>
    </w:pPr>
    <w:rPr>
      <w:rFonts w:ascii="Times New Roman" w:hAnsi="Times New Roman" w:cs="Times New Roman"/>
      <w:color w:val="auto"/>
      <w:sz w:val="24"/>
      <w:szCs w:val="24"/>
      <w:lang w:eastAsia="en-US"/>
    </w:rPr>
  </w:style>
  <w:style w:type="paragraph" w:customStyle="1" w:styleId="Dash">
    <w:name w:val="Dash"/>
    <w:basedOn w:val="Normal"/>
    <w:uiPriority w:val="99"/>
    <w:rsid w:val="00316F8D"/>
    <w:pPr>
      <w:numPr>
        <w:ilvl w:val="1"/>
        <w:numId w:val="18"/>
      </w:numPr>
      <w:spacing w:after="240"/>
    </w:pPr>
    <w:rPr>
      <w:rFonts w:ascii="Times New Roman" w:hAnsi="Times New Roman" w:cs="Times New Roman"/>
      <w:color w:val="auto"/>
      <w:sz w:val="24"/>
      <w:szCs w:val="24"/>
      <w:lang w:eastAsia="en-US"/>
    </w:rPr>
  </w:style>
  <w:style w:type="paragraph" w:customStyle="1" w:styleId="DoubleDot">
    <w:name w:val="Double Dot"/>
    <w:basedOn w:val="Normal"/>
    <w:uiPriority w:val="99"/>
    <w:rsid w:val="00316F8D"/>
    <w:pPr>
      <w:numPr>
        <w:ilvl w:val="2"/>
        <w:numId w:val="18"/>
      </w:numPr>
      <w:spacing w:after="240"/>
    </w:pPr>
    <w:rPr>
      <w:rFonts w:ascii="Times New Roman" w:hAnsi="Times New Roman" w:cs="Times New Roman"/>
      <w:color w:val="auto"/>
      <w:sz w:val="24"/>
      <w:szCs w:val="24"/>
      <w:lang w:eastAsia="en-US"/>
    </w:rPr>
  </w:style>
  <w:style w:type="character" w:customStyle="1" w:styleId="BodyTextChar1">
    <w:name w:val="Body Text Char1"/>
    <w:basedOn w:val="DefaultParagraphFont"/>
    <w:rsid w:val="00316F8D"/>
    <w:rPr>
      <w:sz w:val="22"/>
      <w:szCs w:val="22"/>
    </w:rPr>
  </w:style>
  <w:style w:type="table" w:customStyle="1" w:styleId="TableGrid1">
    <w:name w:val="Table Grid1"/>
    <w:basedOn w:val="TableNormal"/>
    <w:uiPriority w:val="59"/>
    <w:rsid w:val="00316F8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121">
    <w:name w:val="Para 121"/>
    <w:basedOn w:val="Para0"/>
    <w:link w:val="Para12Char"/>
    <w:rsid w:val="00316F8D"/>
    <w:pPr>
      <w:spacing w:after="240" w:line="240" w:lineRule="auto"/>
      <w:jc w:val="left"/>
    </w:pPr>
    <w:rPr>
      <w:rFonts w:ascii="Times New Roman" w:hAnsi="Times New Roman"/>
      <w:sz w:val="24"/>
      <w:lang w:val="en-AU"/>
    </w:rPr>
  </w:style>
  <w:style w:type="character" w:customStyle="1" w:styleId="Para12Char">
    <w:name w:val="Para 12 Char"/>
    <w:basedOn w:val="DefaultParagraphFont"/>
    <w:link w:val="Para121"/>
    <w:rsid w:val="00316F8D"/>
    <w:rPr>
      <w:rFonts w:ascii="Times New Roman" w:hAnsi="Times New Roman"/>
      <w:color w:val="000000"/>
      <w:sz w:val="24"/>
      <w:lang w:eastAsia="en-US"/>
    </w:rPr>
  </w:style>
  <w:style w:type="paragraph" w:styleId="EndnoteText">
    <w:name w:val="endnote text"/>
    <w:basedOn w:val="Normal"/>
    <w:link w:val="EndnoteTextChar"/>
    <w:uiPriority w:val="99"/>
    <w:semiHidden/>
    <w:unhideWhenUsed/>
    <w:rsid w:val="00316F8D"/>
    <w:pPr>
      <w:spacing w:after="0"/>
      <w:jc w:val="both"/>
    </w:pPr>
    <w:rPr>
      <w:rFonts w:ascii="Calibri" w:hAnsi="Calibri" w:cs="Times New Roman"/>
      <w:color w:val="auto"/>
      <w:sz w:val="20"/>
    </w:rPr>
  </w:style>
  <w:style w:type="character" w:customStyle="1" w:styleId="EndnoteTextChar">
    <w:name w:val="Endnote Text Char"/>
    <w:basedOn w:val="DefaultParagraphFont"/>
    <w:link w:val="EndnoteText"/>
    <w:uiPriority w:val="99"/>
    <w:semiHidden/>
    <w:rsid w:val="00316F8D"/>
    <w:rPr>
      <w:rFonts w:ascii="Calibri" w:hAnsi="Calibri"/>
    </w:rPr>
  </w:style>
  <w:style w:type="character" w:customStyle="1" w:styleId="EndnoteTextChar1">
    <w:name w:val="Endnote Text Char1"/>
    <w:basedOn w:val="DefaultParagraphFont"/>
    <w:uiPriority w:val="99"/>
    <w:semiHidden/>
    <w:rsid w:val="00316F8D"/>
    <w:rPr>
      <w:rFonts w:ascii="Calibri" w:hAnsi="Calibri"/>
    </w:rPr>
  </w:style>
  <w:style w:type="character" w:styleId="EndnoteReference">
    <w:name w:val="endnote reference"/>
    <w:basedOn w:val="DefaultParagraphFont"/>
    <w:uiPriority w:val="99"/>
    <w:semiHidden/>
    <w:unhideWhenUsed/>
    <w:rsid w:val="00316F8D"/>
    <w:rPr>
      <w:vertAlign w:val="superscript"/>
    </w:rPr>
  </w:style>
  <w:style w:type="paragraph" w:customStyle="1" w:styleId="style2">
    <w:name w:val="style2"/>
    <w:basedOn w:val="Normal"/>
    <w:rsid w:val="00316F8D"/>
    <w:pPr>
      <w:spacing w:before="100" w:beforeAutospacing="1" w:after="100" w:afterAutospacing="1"/>
    </w:pPr>
    <w:rPr>
      <w:rFonts w:ascii="Times New Roman" w:eastAsia="Calibri" w:hAnsi="Times New Roman" w:cs="Times New Roman"/>
      <w:color w:val="auto"/>
      <w:sz w:val="24"/>
      <w:szCs w:val="24"/>
    </w:rPr>
  </w:style>
  <w:style w:type="paragraph" w:styleId="TableofFigures">
    <w:name w:val="table of figures"/>
    <w:aliases w:val="List of Tables"/>
    <w:basedOn w:val="Normal"/>
    <w:next w:val="Normal"/>
    <w:link w:val="TableofFiguresChar"/>
    <w:uiPriority w:val="99"/>
    <w:unhideWhenUsed/>
    <w:qFormat/>
    <w:rsid w:val="00316F8D"/>
    <w:pPr>
      <w:spacing w:after="0"/>
      <w:jc w:val="both"/>
    </w:pPr>
    <w:rPr>
      <w:rFonts w:ascii="Calibri" w:hAnsi="Calibri" w:cs="Times New Roman"/>
      <w:color w:val="auto"/>
      <w:sz w:val="20"/>
    </w:rPr>
  </w:style>
  <w:style w:type="character" w:customStyle="1" w:styleId="TableofFiguresChar">
    <w:name w:val="Table of Figures Char"/>
    <w:aliases w:val="List of Tables Char"/>
    <w:basedOn w:val="DefaultParagraphFont"/>
    <w:link w:val="TableofFigures"/>
    <w:uiPriority w:val="99"/>
    <w:rsid w:val="00316F8D"/>
    <w:rPr>
      <w:rFonts w:ascii="Calibri" w:hAnsi="Calibri"/>
    </w:rPr>
  </w:style>
  <w:style w:type="paragraph" w:customStyle="1" w:styleId="Tableheader">
    <w:name w:val="Table header"/>
    <w:basedOn w:val="Normal"/>
    <w:rsid w:val="00316F8D"/>
    <w:pPr>
      <w:suppressAutoHyphens/>
      <w:spacing w:after="0"/>
    </w:pPr>
    <w:rPr>
      <w:rFonts w:ascii="Arial" w:hAnsi="Arial" w:cs="Myriad Pro Light"/>
      <w:b/>
      <w:color w:val="auto"/>
      <w:sz w:val="20"/>
    </w:rPr>
  </w:style>
  <w:style w:type="character" w:customStyle="1" w:styleId="ListParagraphChar1">
    <w:name w:val="List Paragraph Char1"/>
    <w:aliases w:val="Bullet 1 Char1,Bullet list Char1,table text Char1,Recommendation Char1,1 heading Char1,DDM Gen Text Char1,List Paragraph1 Char1,List Paragraph11 Char1"/>
    <w:uiPriority w:val="34"/>
    <w:locked/>
    <w:rsid w:val="00316F8D"/>
    <w:rPr>
      <w:rFonts w:asciiTheme="minorHAnsi" w:hAnsiTheme="minorHAnsi" w:cs="Century Gothic"/>
      <w:color w:val="000000"/>
      <w:sz w:val="22"/>
    </w:rPr>
  </w:style>
  <w:style w:type="table" w:customStyle="1" w:styleId="LightShading-Accent11">
    <w:name w:val="Light Shading - Accent 11"/>
    <w:basedOn w:val="TableNormal"/>
    <w:uiPriority w:val="60"/>
    <w:rsid w:val="00316F8D"/>
    <w:rPr>
      <w:rFonts w:ascii="Times New Roman" w:hAnsi="Times New Roman"/>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12">
    <w:name w:val="Light Shading - Accent 12"/>
    <w:basedOn w:val="TableNormal"/>
    <w:uiPriority w:val="60"/>
    <w:rsid w:val="00316F8D"/>
    <w:rPr>
      <w:rFonts w:ascii="Times New Roman" w:hAnsi="Times New Roman"/>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BodyText1">
    <w:name w:val="Body Text1"/>
    <w:basedOn w:val="Normal"/>
    <w:qFormat/>
    <w:rsid w:val="00316F8D"/>
    <w:pPr>
      <w:tabs>
        <w:tab w:val="left" w:pos="851"/>
      </w:tabs>
      <w:spacing w:before="120" w:line="360" w:lineRule="auto"/>
      <w:jc w:val="both"/>
    </w:pPr>
    <w:rPr>
      <w:rFonts w:ascii="Century Gothic" w:hAnsi="Century Gothic" w:cs="Angsana New"/>
      <w:color w:val="auto"/>
      <w:szCs w:val="22"/>
      <w:lang w:eastAsia="zh-CN" w:bidi="th-TH"/>
    </w:rPr>
  </w:style>
  <w:style w:type="character" w:customStyle="1" w:styleId="A3">
    <w:name w:val="A3"/>
    <w:uiPriority w:val="99"/>
    <w:rsid w:val="00316F8D"/>
    <w:rPr>
      <w:rFonts w:ascii="AvantGarde" w:hAnsi="AvantGarde" w:cs="AvantGarde" w:hint="default"/>
      <w:color w:val="000000"/>
      <w:sz w:val="14"/>
      <w:szCs w:val="14"/>
    </w:rPr>
  </w:style>
  <w:style w:type="paragraph" w:customStyle="1" w:styleId="text">
    <w:name w:val="text"/>
    <w:basedOn w:val="Normal"/>
    <w:rsid w:val="00316F8D"/>
    <w:rPr>
      <w:rFonts w:ascii="Arial" w:eastAsiaTheme="minorHAnsi" w:hAnsi="Arial" w:cs="Arial"/>
      <w:color w:val="auto"/>
      <w:szCs w:val="22"/>
    </w:rPr>
  </w:style>
  <w:style w:type="paragraph" w:customStyle="1" w:styleId="tableheader0">
    <w:name w:val="tableheader"/>
    <w:basedOn w:val="Normal"/>
    <w:rsid w:val="00316F8D"/>
    <w:pPr>
      <w:spacing w:after="0"/>
    </w:pPr>
    <w:rPr>
      <w:rFonts w:ascii="Arial" w:eastAsiaTheme="minorHAnsi" w:hAnsi="Arial" w:cs="Arial"/>
      <w:b/>
      <w:bCs/>
      <w:color w:val="auto"/>
      <w:sz w:val="20"/>
    </w:rPr>
  </w:style>
  <w:style w:type="paragraph" w:customStyle="1" w:styleId="tabletext0">
    <w:name w:val="tabletext"/>
    <w:basedOn w:val="Normal"/>
    <w:rsid w:val="00316F8D"/>
    <w:pPr>
      <w:spacing w:before="60" w:after="60"/>
    </w:pPr>
    <w:rPr>
      <w:rFonts w:ascii="Arial" w:eastAsiaTheme="minorHAnsi" w:hAnsi="Arial" w:cs="Arial"/>
      <w:color w:val="auto"/>
      <w:sz w:val="18"/>
      <w:szCs w:val="18"/>
    </w:rPr>
  </w:style>
  <w:style w:type="paragraph" w:styleId="NoSpacing">
    <w:name w:val="No Spacing"/>
    <w:link w:val="NoSpacingChar"/>
    <w:uiPriority w:val="1"/>
    <w:qFormat/>
    <w:rsid w:val="00316F8D"/>
    <w:rPr>
      <w:rFonts w:asciiTheme="minorHAnsi" w:eastAsiaTheme="minorEastAsia" w:hAnsiTheme="minorHAnsi" w:cstheme="minorBidi"/>
      <w:sz w:val="22"/>
      <w:szCs w:val="22"/>
      <w:lang w:val="en-US" w:eastAsia="en-US" w:bidi="en-US"/>
    </w:rPr>
  </w:style>
  <w:style w:type="numbering" w:customStyle="1" w:styleId="NoList1">
    <w:name w:val="No List1"/>
    <w:next w:val="NoList"/>
    <w:uiPriority w:val="99"/>
    <w:semiHidden/>
    <w:unhideWhenUsed/>
    <w:rsid w:val="00316F8D"/>
  </w:style>
  <w:style w:type="numbering" w:customStyle="1" w:styleId="KeyPoints1">
    <w:name w:val="Key Points1"/>
    <w:basedOn w:val="NoList"/>
    <w:uiPriority w:val="99"/>
    <w:rsid w:val="00316F8D"/>
  </w:style>
  <w:style w:type="numbering" w:customStyle="1" w:styleId="BulletList11">
    <w:name w:val="Bullet List11"/>
    <w:uiPriority w:val="99"/>
    <w:rsid w:val="00316F8D"/>
  </w:style>
  <w:style w:type="numbering" w:customStyle="1" w:styleId="Attach11">
    <w:name w:val="Attach11"/>
    <w:basedOn w:val="NoList"/>
    <w:uiPriority w:val="99"/>
    <w:rsid w:val="00316F8D"/>
  </w:style>
  <w:style w:type="table" w:customStyle="1" w:styleId="TableGrid2">
    <w:name w:val="Table Grid2"/>
    <w:basedOn w:val="TableNormal"/>
    <w:next w:val="TableGrid"/>
    <w:uiPriority w:val="59"/>
    <w:rsid w:val="00316F8D"/>
    <w:rPr>
      <w:rFonts w:eastAsia="Calibri"/>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numbering" w:customStyle="1" w:styleId="NoList11">
    <w:name w:val="No List11"/>
    <w:next w:val="NoList"/>
    <w:uiPriority w:val="99"/>
    <w:semiHidden/>
    <w:unhideWhenUsed/>
    <w:rsid w:val="00316F8D"/>
  </w:style>
  <w:style w:type="numbering" w:customStyle="1" w:styleId="BulletList111">
    <w:name w:val="Bullet List111"/>
    <w:uiPriority w:val="99"/>
    <w:rsid w:val="00316F8D"/>
    <w:pPr>
      <w:numPr>
        <w:numId w:val="19"/>
      </w:numPr>
    </w:pPr>
  </w:style>
  <w:style w:type="numbering" w:customStyle="1" w:styleId="KeyPoints11">
    <w:name w:val="Key Points11"/>
    <w:basedOn w:val="NoList"/>
    <w:uiPriority w:val="99"/>
    <w:rsid w:val="00316F8D"/>
    <w:pPr>
      <w:numPr>
        <w:numId w:val="20"/>
      </w:numPr>
    </w:pPr>
  </w:style>
  <w:style w:type="numbering" w:customStyle="1" w:styleId="Attach111">
    <w:name w:val="Attach111"/>
    <w:basedOn w:val="NoList"/>
    <w:uiPriority w:val="99"/>
    <w:rsid w:val="00316F8D"/>
    <w:pPr>
      <w:numPr>
        <w:numId w:val="21"/>
      </w:numPr>
    </w:pPr>
  </w:style>
  <w:style w:type="table" w:customStyle="1" w:styleId="TableGrid21">
    <w:name w:val="Table Grid21"/>
    <w:basedOn w:val="TableNormal"/>
    <w:next w:val="TableGrid"/>
    <w:uiPriority w:val="59"/>
    <w:rsid w:val="00316F8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galClauseLevel1">
    <w:name w:val="Legal Clause Level 1"/>
    <w:basedOn w:val="Normal"/>
    <w:rsid w:val="00316F8D"/>
    <w:pPr>
      <w:numPr>
        <w:numId w:val="22"/>
      </w:numPr>
      <w:spacing w:before="240" w:after="240"/>
    </w:pPr>
    <w:rPr>
      <w:rFonts w:ascii="Arial" w:eastAsiaTheme="minorHAnsi" w:hAnsi="Arial" w:cs="Arial"/>
      <w:b/>
      <w:bCs/>
      <w:color w:val="auto"/>
      <w:sz w:val="32"/>
      <w:szCs w:val="32"/>
    </w:rPr>
  </w:style>
  <w:style w:type="paragraph" w:customStyle="1" w:styleId="LegalClauseLevel2">
    <w:name w:val="Legal Clause Level 2"/>
    <w:basedOn w:val="Normal"/>
    <w:rsid w:val="00316F8D"/>
    <w:pPr>
      <w:keepNext/>
      <w:numPr>
        <w:ilvl w:val="1"/>
        <w:numId w:val="22"/>
      </w:numPr>
      <w:spacing w:before="60" w:after="60" w:line="280" w:lineRule="exact"/>
    </w:pPr>
    <w:rPr>
      <w:rFonts w:ascii="Arial" w:eastAsiaTheme="minorHAnsi" w:hAnsi="Arial" w:cs="Arial"/>
      <w:b/>
      <w:bCs/>
      <w:color w:val="auto"/>
      <w:sz w:val="24"/>
      <w:szCs w:val="24"/>
    </w:rPr>
  </w:style>
  <w:style w:type="character" w:customStyle="1" w:styleId="fontweightbold1">
    <w:name w:val="fontweightbold1"/>
    <w:basedOn w:val="DefaultParagraphFont"/>
    <w:rsid w:val="00316F8D"/>
    <w:rPr>
      <w:b/>
      <w:bCs/>
    </w:rPr>
  </w:style>
  <w:style w:type="paragraph" w:customStyle="1" w:styleId="TableH1">
    <w:name w:val="Table H1"/>
    <w:basedOn w:val="Normal"/>
    <w:link w:val="TableH1Char"/>
    <w:qFormat/>
    <w:rsid w:val="00316F8D"/>
    <w:pPr>
      <w:autoSpaceDE w:val="0"/>
      <w:autoSpaceDN w:val="0"/>
      <w:adjustRightInd w:val="0"/>
      <w:spacing w:after="0" w:line="276" w:lineRule="auto"/>
      <w:jc w:val="center"/>
    </w:pPr>
    <w:rPr>
      <w:rFonts w:ascii="Arial Narrow" w:eastAsiaTheme="minorHAnsi" w:hAnsi="Arial Narrow" w:cstheme="minorBidi"/>
      <w:b/>
      <w:color w:val="FFFFFF" w:themeColor="background1"/>
      <w:sz w:val="24"/>
      <w:szCs w:val="24"/>
    </w:rPr>
  </w:style>
  <w:style w:type="character" w:customStyle="1" w:styleId="TableH1Char">
    <w:name w:val="Table H1 Char"/>
    <w:basedOn w:val="DefaultParagraphFont"/>
    <w:link w:val="TableH1"/>
    <w:rsid w:val="00316F8D"/>
    <w:rPr>
      <w:rFonts w:ascii="Arial Narrow" w:eastAsiaTheme="minorHAnsi" w:hAnsi="Arial Narrow" w:cstheme="minorBidi"/>
      <w:b/>
      <w:color w:val="FFFFFF" w:themeColor="background1"/>
      <w:sz w:val="24"/>
      <w:szCs w:val="24"/>
    </w:rPr>
  </w:style>
  <w:style w:type="table" w:customStyle="1" w:styleId="MDBAsimpletable">
    <w:name w:val="MDBA simple table"/>
    <w:basedOn w:val="TableNormal"/>
    <w:uiPriority w:val="99"/>
    <w:rsid w:val="00316F8D"/>
    <w:rPr>
      <w:rFonts w:eastAsiaTheme="minorHAnsi" w:cstheme="minorBidi"/>
      <w:sz w:val="22"/>
      <w:szCs w:val="22"/>
      <w:lang w:eastAsia="en-US"/>
    </w:rPr>
    <w:tblPr>
      <w:tblStyleRowBandSize w:val="1"/>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
    <w:tcPr>
      <w:shd w:val="clear" w:color="auto" w:fill="auto"/>
    </w:tcPr>
    <w:tblStylePr w:type="firstRow">
      <w:pPr>
        <w:wordWrap/>
        <w:spacing w:beforeLines="0" w:beforeAutospacing="0"/>
      </w:pPr>
      <w:rPr>
        <w:rFonts w:ascii="Arial" w:hAnsi="Arial"/>
        <w:b/>
        <w:color w:val="005048"/>
        <w:sz w:val="22"/>
      </w:rPr>
      <w:tblPr/>
      <w:tcPr>
        <w:shd w:val="clear" w:color="auto" w:fill="71D1BA"/>
      </w:tcPr>
    </w:tblStylePr>
    <w:tblStylePr w:type="lastRow">
      <w:tblPr/>
      <w:tcPr>
        <w:shd w:val="clear" w:color="auto" w:fill="BFBFBF" w:themeFill="background1" w:themeFillShade="BF"/>
      </w:tcPr>
    </w:tblStylePr>
    <w:tblStylePr w:type="band1Horz">
      <w:tblPr/>
      <w:tcPr>
        <w:shd w:val="clear" w:color="auto" w:fill="ECECEC"/>
      </w:tcPr>
    </w:tblStylePr>
  </w:style>
  <w:style w:type="character" w:customStyle="1" w:styleId="NoSpacingChar">
    <w:name w:val="No Spacing Char"/>
    <w:basedOn w:val="DefaultParagraphFont"/>
    <w:link w:val="NoSpacing"/>
    <w:uiPriority w:val="1"/>
    <w:rsid w:val="00316F8D"/>
    <w:rPr>
      <w:rFonts w:asciiTheme="minorHAnsi" w:eastAsiaTheme="minorEastAsia" w:hAnsiTheme="minorHAnsi" w:cstheme="minorBidi"/>
      <w:sz w:val="22"/>
      <w:szCs w:val="22"/>
      <w:lang w:val="en-US" w:eastAsia="en-US" w:bidi="en-US"/>
    </w:rPr>
  </w:style>
  <w:style w:type="paragraph" w:customStyle="1" w:styleId="TableParagraph">
    <w:name w:val="Table Paragraph"/>
    <w:basedOn w:val="Normal"/>
    <w:uiPriority w:val="1"/>
    <w:qFormat/>
    <w:rsid w:val="00316F8D"/>
    <w:pPr>
      <w:widowControl w:val="0"/>
      <w:spacing w:after="0"/>
    </w:pPr>
    <w:rPr>
      <w:rFonts w:eastAsiaTheme="minorHAnsi" w:cstheme="minorBidi"/>
      <w:color w:val="auto"/>
      <w:szCs w:val="22"/>
      <w:lang w:val="en-US" w:eastAsia="en-US"/>
    </w:rPr>
  </w:style>
  <w:style w:type="paragraph" w:customStyle="1" w:styleId="Reversetitlepage">
    <w:name w:val="Reverse title page"/>
    <w:basedOn w:val="Normal"/>
    <w:rsid w:val="00316F8D"/>
    <w:pPr>
      <w:tabs>
        <w:tab w:val="left" w:pos="340"/>
      </w:tabs>
      <w:spacing w:before="60" w:line="260" w:lineRule="atLeast"/>
    </w:pPr>
    <w:rPr>
      <w:rFonts w:ascii="Arial" w:hAnsi="Arial" w:cs="Times New Roman"/>
      <w:color w:val="auto"/>
      <w:sz w:val="18"/>
      <w:lang w:eastAsia="en-US"/>
    </w:rPr>
  </w:style>
  <w:style w:type="character" w:customStyle="1" w:styleId="UnresolvedMention2">
    <w:name w:val="Unresolved Mention2"/>
    <w:basedOn w:val="DefaultParagraphFont"/>
    <w:uiPriority w:val="99"/>
    <w:semiHidden/>
    <w:unhideWhenUsed/>
    <w:rsid w:val="009E5B5A"/>
    <w:rPr>
      <w:color w:val="605E5C"/>
      <w:shd w:val="clear" w:color="auto" w:fill="E1DFDD"/>
    </w:rPr>
  </w:style>
  <w:style w:type="character" w:customStyle="1" w:styleId="A2">
    <w:name w:val="A2"/>
    <w:uiPriority w:val="99"/>
    <w:rsid w:val="00FA48E5"/>
    <w:rPr>
      <w:rFonts w:cs="FIFMV M+ Gotham"/>
      <w:color w:val="000000"/>
      <w:sz w:val="16"/>
      <w:szCs w:val="16"/>
    </w:rPr>
  </w:style>
  <w:style w:type="character" w:customStyle="1" w:styleId="UnresolvedMention3">
    <w:name w:val="Unresolved Mention3"/>
    <w:basedOn w:val="DefaultParagraphFont"/>
    <w:uiPriority w:val="99"/>
    <w:semiHidden/>
    <w:unhideWhenUsed/>
    <w:rsid w:val="000D0249"/>
    <w:rPr>
      <w:color w:val="605E5C"/>
      <w:shd w:val="clear" w:color="auto" w:fill="E1DFDD"/>
    </w:rPr>
  </w:style>
  <w:style w:type="paragraph" w:customStyle="1" w:styleId="DotStyle1">
    <w:name w:val="Dot Style1"/>
    <w:basedOn w:val="Normal"/>
    <w:next w:val="Normal"/>
    <w:link w:val="DotStyle1Char"/>
    <w:qFormat/>
    <w:rsid w:val="00F53A6B"/>
    <w:pPr>
      <w:numPr>
        <w:numId w:val="25"/>
      </w:numPr>
    </w:pPr>
    <w:rPr>
      <w:lang w:val="en-GB"/>
    </w:rPr>
  </w:style>
  <w:style w:type="character" w:customStyle="1" w:styleId="DotStyle1Char">
    <w:name w:val="Dot Style1 Char"/>
    <w:basedOn w:val="DefaultParagraphFont"/>
    <w:link w:val="DotStyle1"/>
    <w:rsid w:val="00F53A6B"/>
    <w:rPr>
      <w:rFonts w:asciiTheme="minorHAnsi" w:hAnsiTheme="minorHAnsi" w:cs="Century Gothic"/>
      <w:color w:val="000000"/>
      <w:sz w:val="22"/>
      <w:lang w:val="en-GB"/>
    </w:rPr>
  </w:style>
  <w:style w:type="paragraph" w:customStyle="1" w:styleId="DotStyle2">
    <w:name w:val="Dot Style2"/>
    <w:basedOn w:val="DotStyle1"/>
    <w:next w:val="Normal"/>
    <w:link w:val="DotStyle2Char"/>
    <w:qFormat/>
    <w:rsid w:val="00F53A6B"/>
    <w:pPr>
      <w:numPr>
        <w:numId w:val="26"/>
      </w:numPr>
      <w:ind w:right="-1"/>
    </w:pPr>
  </w:style>
  <w:style w:type="character" w:customStyle="1" w:styleId="DotStyle2Char">
    <w:name w:val="Dot Style2 Char"/>
    <w:basedOn w:val="DotStyle1Char"/>
    <w:link w:val="DotStyle2"/>
    <w:rsid w:val="00F53A6B"/>
    <w:rPr>
      <w:rFonts w:asciiTheme="minorHAnsi" w:hAnsiTheme="minorHAnsi" w:cs="Century Gothic"/>
      <w:color w:val="000000"/>
      <w:sz w:val="22"/>
      <w:lang w:val="en-GB"/>
    </w:rPr>
  </w:style>
  <w:style w:type="character" w:customStyle="1" w:styleId="UnresolvedMention4">
    <w:name w:val="Unresolved Mention4"/>
    <w:basedOn w:val="DefaultParagraphFont"/>
    <w:uiPriority w:val="99"/>
    <w:semiHidden/>
    <w:unhideWhenUsed/>
    <w:rsid w:val="006706CE"/>
    <w:rPr>
      <w:color w:val="605E5C"/>
      <w:shd w:val="clear" w:color="auto" w:fill="E1DFDD"/>
    </w:rPr>
  </w:style>
  <w:style w:type="character" w:customStyle="1" w:styleId="UnresolvedMention5">
    <w:name w:val="Unresolved Mention5"/>
    <w:basedOn w:val="DefaultParagraphFont"/>
    <w:uiPriority w:val="99"/>
    <w:semiHidden/>
    <w:unhideWhenUsed/>
    <w:rsid w:val="00F6022B"/>
    <w:rPr>
      <w:color w:val="605E5C"/>
      <w:shd w:val="clear" w:color="auto" w:fill="E1DFDD"/>
    </w:rPr>
  </w:style>
  <w:style w:type="table" w:customStyle="1" w:styleId="TableGrid3">
    <w:name w:val="Table Grid3"/>
    <w:basedOn w:val="TableNormal"/>
    <w:next w:val="TableGrid"/>
    <w:uiPriority w:val="59"/>
    <w:rsid w:val="00B27BEC"/>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table" w:customStyle="1" w:styleId="TableGrid11">
    <w:name w:val="Table Grid11"/>
    <w:basedOn w:val="TableNormal"/>
    <w:uiPriority w:val="39"/>
    <w:rsid w:val="00B27BEC"/>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B27BEC"/>
  </w:style>
  <w:style w:type="numbering" w:customStyle="1" w:styleId="KeyPoints2">
    <w:name w:val="Key Points2"/>
    <w:basedOn w:val="NoList"/>
    <w:uiPriority w:val="99"/>
    <w:rsid w:val="00B27BEC"/>
  </w:style>
  <w:style w:type="numbering" w:customStyle="1" w:styleId="BulletList2">
    <w:name w:val="Bullet List2"/>
    <w:uiPriority w:val="99"/>
    <w:rsid w:val="00B27BEC"/>
  </w:style>
  <w:style w:type="numbering" w:customStyle="1" w:styleId="Attach2">
    <w:name w:val="Attach2"/>
    <w:basedOn w:val="NoList"/>
    <w:uiPriority w:val="99"/>
    <w:rsid w:val="00B27BEC"/>
    <w:pPr>
      <w:numPr>
        <w:numId w:val="3"/>
      </w:numPr>
    </w:pPr>
  </w:style>
  <w:style w:type="table" w:customStyle="1" w:styleId="TableGrid4">
    <w:name w:val="Table Grid4"/>
    <w:basedOn w:val="TableNormal"/>
    <w:next w:val="TableGrid"/>
    <w:uiPriority w:val="39"/>
    <w:rsid w:val="00B27BEC"/>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table" w:customStyle="1" w:styleId="TableGrid12">
    <w:name w:val="Table Grid12"/>
    <w:basedOn w:val="TableNormal"/>
    <w:uiPriority w:val="39"/>
    <w:rsid w:val="00B27BEC"/>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1">
    <w:name w:val="Light Shading - Accent 111"/>
    <w:basedOn w:val="TableNormal"/>
    <w:uiPriority w:val="60"/>
    <w:rsid w:val="00B27BEC"/>
    <w:rPr>
      <w:rFonts w:ascii="Times New Roman" w:hAnsi="Times New Roman"/>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121">
    <w:name w:val="Light Shading - Accent 121"/>
    <w:basedOn w:val="TableNormal"/>
    <w:uiPriority w:val="60"/>
    <w:rsid w:val="00B27BEC"/>
    <w:rPr>
      <w:rFonts w:ascii="Times New Roman" w:hAnsi="Times New Roman"/>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numbering" w:customStyle="1" w:styleId="NoList12">
    <w:name w:val="No List12"/>
    <w:next w:val="NoList"/>
    <w:uiPriority w:val="99"/>
    <w:semiHidden/>
    <w:unhideWhenUsed/>
    <w:rsid w:val="00B27BEC"/>
  </w:style>
  <w:style w:type="numbering" w:customStyle="1" w:styleId="KeyPoints12">
    <w:name w:val="Key Points12"/>
    <w:basedOn w:val="NoList"/>
    <w:uiPriority w:val="99"/>
    <w:rsid w:val="00B27BEC"/>
  </w:style>
  <w:style w:type="numbering" w:customStyle="1" w:styleId="BulletList12">
    <w:name w:val="Bullet List12"/>
    <w:uiPriority w:val="99"/>
    <w:rsid w:val="00B27BEC"/>
  </w:style>
  <w:style w:type="numbering" w:customStyle="1" w:styleId="Attach12">
    <w:name w:val="Attach12"/>
    <w:basedOn w:val="NoList"/>
    <w:uiPriority w:val="99"/>
    <w:rsid w:val="00B27BEC"/>
  </w:style>
  <w:style w:type="table" w:customStyle="1" w:styleId="TableGrid22">
    <w:name w:val="Table Grid22"/>
    <w:basedOn w:val="TableNormal"/>
    <w:next w:val="TableGrid"/>
    <w:uiPriority w:val="59"/>
    <w:rsid w:val="00B27BEC"/>
    <w:rPr>
      <w:rFonts w:eastAsia="Calibri"/>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numbering" w:customStyle="1" w:styleId="NoList111">
    <w:name w:val="No List111"/>
    <w:next w:val="NoList"/>
    <w:uiPriority w:val="99"/>
    <w:semiHidden/>
    <w:unhideWhenUsed/>
    <w:rsid w:val="00B27BEC"/>
  </w:style>
  <w:style w:type="numbering" w:customStyle="1" w:styleId="BulletList112">
    <w:name w:val="Bullet List112"/>
    <w:uiPriority w:val="99"/>
    <w:rsid w:val="00B27BEC"/>
  </w:style>
  <w:style w:type="numbering" w:customStyle="1" w:styleId="KeyPoints111">
    <w:name w:val="Key Points111"/>
    <w:basedOn w:val="NoList"/>
    <w:uiPriority w:val="99"/>
    <w:rsid w:val="00B27BEC"/>
  </w:style>
  <w:style w:type="numbering" w:customStyle="1" w:styleId="Attach112">
    <w:name w:val="Attach112"/>
    <w:basedOn w:val="NoList"/>
    <w:uiPriority w:val="99"/>
    <w:rsid w:val="00B27BEC"/>
  </w:style>
  <w:style w:type="table" w:customStyle="1" w:styleId="TableGrid211">
    <w:name w:val="Table Grid211"/>
    <w:basedOn w:val="TableNormal"/>
    <w:next w:val="TableGrid"/>
    <w:uiPriority w:val="59"/>
    <w:rsid w:val="00B27BEC"/>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BAsimpletable1">
    <w:name w:val="MDBA simple table1"/>
    <w:basedOn w:val="TableNormal"/>
    <w:uiPriority w:val="99"/>
    <w:rsid w:val="00B27BEC"/>
    <w:rPr>
      <w:rFonts w:eastAsiaTheme="minorHAnsi" w:cstheme="minorBidi"/>
      <w:sz w:val="22"/>
      <w:szCs w:val="22"/>
      <w:lang w:eastAsia="en-US"/>
    </w:rPr>
    <w:tblPr>
      <w:tblStyleRowBandSize w:val="1"/>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
    <w:tcPr>
      <w:shd w:val="clear" w:color="auto" w:fill="auto"/>
    </w:tcPr>
    <w:tblStylePr w:type="firstRow">
      <w:pPr>
        <w:wordWrap/>
        <w:spacing w:beforeLines="0" w:beforeAutospacing="0"/>
      </w:pPr>
      <w:rPr>
        <w:rFonts w:ascii="Arial" w:hAnsi="Arial"/>
        <w:b/>
        <w:color w:val="005048"/>
        <w:sz w:val="22"/>
      </w:rPr>
      <w:tblPr/>
      <w:tcPr>
        <w:shd w:val="clear" w:color="auto" w:fill="71D1BA"/>
      </w:tcPr>
    </w:tblStylePr>
    <w:tblStylePr w:type="lastRow">
      <w:tblPr/>
      <w:tcPr>
        <w:shd w:val="clear" w:color="auto" w:fill="BFBFBF" w:themeFill="background1" w:themeFillShade="BF"/>
      </w:tcPr>
    </w:tblStylePr>
    <w:tblStylePr w:type="band1Horz">
      <w:tblPr/>
      <w:tcPr>
        <w:shd w:val="clear" w:color="auto" w:fill="ECECEC"/>
      </w:tcPr>
    </w:tblStylePr>
  </w:style>
  <w:style w:type="character" w:styleId="UnresolvedMention">
    <w:name w:val="Unresolved Mention"/>
    <w:basedOn w:val="DefaultParagraphFont"/>
    <w:uiPriority w:val="99"/>
    <w:semiHidden/>
    <w:unhideWhenUsed/>
    <w:rsid w:val="00B27BEC"/>
    <w:rPr>
      <w:color w:val="605E5C"/>
      <w:shd w:val="clear" w:color="auto" w:fill="E1DFDD"/>
    </w:rPr>
  </w:style>
  <w:style w:type="character" w:customStyle="1" w:styleId="title-text">
    <w:name w:val="title-text"/>
    <w:basedOn w:val="DefaultParagraphFont"/>
    <w:rsid w:val="00B27BEC"/>
  </w:style>
  <w:style w:type="character" w:customStyle="1" w:styleId="app-title-description">
    <w:name w:val="app-title-description"/>
    <w:basedOn w:val="DefaultParagraphFont"/>
    <w:rsid w:val="00B27BEC"/>
  </w:style>
  <w:style w:type="numbering" w:customStyle="1" w:styleId="NoList3">
    <w:name w:val="No List3"/>
    <w:next w:val="NoList"/>
    <w:uiPriority w:val="99"/>
    <w:semiHidden/>
    <w:unhideWhenUsed/>
    <w:rsid w:val="00CD6F25"/>
  </w:style>
  <w:style w:type="numbering" w:customStyle="1" w:styleId="BulletList3">
    <w:name w:val="Bullet List3"/>
    <w:uiPriority w:val="99"/>
    <w:rsid w:val="00CD6F25"/>
  </w:style>
  <w:style w:type="table" w:customStyle="1" w:styleId="TableGrid5">
    <w:name w:val="Table Grid5"/>
    <w:basedOn w:val="TableNormal"/>
    <w:next w:val="TableGrid"/>
    <w:uiPriority w:val="39"/>
    <w:rsid w:val="00CD6F25"/>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table" w:customStyle="1" w:styleId="TableGrid13">
    <w:name w:val="Table Grid13"/>
    <w:basedOn w:val="TableNormal"/>
    <w:uiPriority w:val="39"/>
    <w:rsid w:val="00CD6F25"/>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2">
    <w:name w:val="Light Shading - Accent 112"/>
    <w:basedOn w:val="TableNormal"/>
    <w:uiPriority w:val="60"/>
    <w:rsid w:val="00CD6F25"/>
    <w:rPr>
      <w:rFonts w:ascii="Times New Roman" w:hAnsi="Times New Roman"/>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122">
    <w:name w:val="Light Shading - Accent 122"/>
    <w:basedOn w:val="TableNormal"/>
    <w:uiPriority w:val="60"/>
    <w:rsid w:val="00CD6F25"/>
    <w:rPr>
      <w:rFonts w:ascii="Times New Roman" w:hAnsi="Times New Roman"/>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numbering" w:customStyle="1" w:styleId="NoList13">
    <w:name w:val="No List13"/>
    <w:next w:val="NoList"/>
    <w:uiPriority w:val="99"/>
    <w:semiHidden/>
    <w:unhideWhenUsed/>
    <w:rsid w:val="00CD6F25"/>
  </w:style>
  <w:style w:type="numbering" w:customStyle="1" w:styleId="KeyPoints13">
    <w:name w:val="Key Points13"/>
    <w:basedOn w:val="NoList"/>
    <w:uiPriority w:val="99"/>
    <w:rsid w:val="00CD6F25"/>
  </w:style>
  <w:style w:type="numbering" w:customStyle="1" w:styleId="BulletList13">
    <w:name w:val="Bullet List13"/>
    <w:uiPriority w:val="99"/>
    <w:rsid w:val="00CD6F25"/>
  </w:style>
  <w:style w:type="numbering" w:customStyle="1" w:styleId="Attach13">
    <w:name w:val="Attach13"/>
    <w:basedOn w:val="NoList"/>
    <w:uiPriority w:val="99"/>
    <w:rsid w:val="00CD6F25"/>
  </w:style>
  <w:style w:type="table" w:customStyle="1" w:styleId="TableGrid23">
    <w:name w:val="Table Grid23"/>
    <w:basedOn w:val="TableNormal"/>
    <w:next w:val="TableGrid"/>
    <w:uiPriority w:val="59"/>
    <w:rsid w:val="00CD6F25"/>
    <w:rPr>
      <w:rFonts w:eastAsia="Calibri"/>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numbering" w:customStyle="1" w:styleId="NoList112">
    <w:name w:val="No List112"/>
    <w:next w:val="NoList"/>
    <w:uiPriority w:val="99"/>
    <w:semiHidden/>
    <w:unhideWhenUsed/>
    <w:rsid w:val="00CD6F25"/>
  </w:style>
  <w:style w:type="numbering" w:customStyle="1" w:styleId="BulletList113">
    <w:name w:val="Bullet List113"/>
    <w:uiPriority w:val="99"/>
    <w:rsid w:val="00CD6F25"/>
    <w:pPr>
      <w:numPr>
        <w:numId w:val="9"/>
      </w:numPr>
    </w:pPr>
  </w:style>
  <w:style w:type="numbering" w:customStyle="1" w:styleId="KeyPoints112">
    <w:name w:val="Key Points112"/>
    <w:basedOn w:val="NoList"/>
    <w:uiPriority w:val="99"/>
    <w:rsid w:val="00CD6F25"/>
    <w:pPr>
      <w:numPr>
        <w:numId w:val="10"/>
      </w:numPr>
    </w:pPr>
  </w:style>
  <w:style w:type="numbering" w:customStyle="1" w:styleId="Attach113">
    <w:name w:val="Attach113"/>
    <w:basedOn w:val="NoList"/>
    <w:uiPriority w:val="99"/>
    <w:rsid w:val="00CD6F25"/>
    <w:pPr>
      <w:numPr>
        <w:numId w:val="11"/>
      </w:numPr>
    </w:pPr>
  </w:style>
  <w:style w:type="table" w:customStyle="1" w:styleId="TableGrid212">
    <w:name w:val="Table Grid212"/>
    <w:basedOn w:val="TableNormal"/>
    <w:next w:val="TableGrid"/>
    <w:uiPriority w:val="59"/>
    <w:rsid w:val="00CD6F25"/>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BAsimpletable2">
    <w:name w:val="MDBA simple table2"/>
    <w:basedOn w:val="TableNormal"/>
    <w:uiPriority w:val="99"/>
    <w:rsid w:val="00CD6F25"/>
    <w:rPr>
      <w:rFonts w:eastAsiaTheme="minorHAnsi" w:cstheme="minorBidi"/>
      <w:sz w:val="22"/>
      <w:szCs w:val="22"/>
      <w:lang w:eastAsia="en-US"/>
    </w:rPr>
    <w:tblPr>
      <w:tblStyleRowBandSize w:val="1"/>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
    <w:tcPr>
      <w:shd w:val="clear" w:color="auto" w:fill="auto"/>
    </w:tcPr>
    <w:tblStylePr w:type="firstRow">
      <w:pPr>
        <w:wordWrap/>
        <w:spacing w:beforeLines="0" w:beforeAutospacing="0"/>
      </w:pPr>
      <w:rPr>
        <w:rFonts w:ascii="Arial" w:hAnsi="Arial"/>
        <w:b/>
        <w:color w:val="005048"/>
        <w:sz w:val="22"/>
      </w:rPr>
      <w:tblPr/>
      <w:tcPr>
        <w:shd w:val="clear" w:color="auto" w:fill="71D1BA"/>
      </w:tcPr>
    </w:tblStylePr>
    <w:tblStylePr w:type="lastRow">
      <w:tblPr/>
      <w:tcPr>
        <w:shd w:val="clear" w:color="auto" w:fill="BFBFBF" w:themeFill="background1" w:themeFillShade="BF"/>
      </w:tcPr>
    </w:tblStylePr>
    <w:tblStylePr w:type="band1Horz">
      <w:tblPr/>
      <w:tcPr>
        <w:shd w:val="clear" w:color="auto" w:fill="ECECEC"/>
      </w:tcPr>
    </w:tblStylePr>
  </w:style>
  <w:style w:type="numbering" w:customStyle="1" w:styleId="KeyPoints3">
    <w:name w:val="Key Points3"/>
    <w:basedOn w:val="NoList"/>
    <w:uiPriority w:val="99"/>
    <w:rsid w:val="00AA0841"/>
  </w:style>
  <w:style w:type="numbering" w:customStyle="1" w:styleId="BulletList4">
    <w:name w:val="Bullet List4"/>
    <w:rsid w:val="00AA0841"/>
  </w:style>
  <w:style w:type="numbering" w:customStyle="1" w:styleId="BulletList114">
    <w:name w:val="Bullet List114"/>
    <w:uiPriority w:val="99"/>
    <w:rsid w:val="00AA0841"/>
  </w:style>
  <w:style w:type="numbering" w:customStyle="1" w:styleId="KeyPoints113">
    <w:name w:val="Key Points113"/>
    <w:basedOn w:val="NoList"/>
    <w:uiPriority w:val="99"/>
    <w:rsid w:val="00AA0841"/>
  </w:style>
  <w:style w:type="numbering" w:customStyle="1" w:styleId="Attach114">
    <w:name w:val="Attach114"/>
    <w:basedOn w:val="NoList"/>
    <w:uiPriority w:val="99"/>
    <w:rsid w:val="00AA0841"/>
  </w:style>
  <w:style w:type="paragraph" w:customStyle="1" w:styleId="imprintheading">
    <w:name w:val="imprint heading"/>
    <w:basedOn w:val="Normal"/>
    <w:qFormat/>
    <w:rsid w:val="00AA0841"/>
    <w:pPr>
      <w:spacing w:before="120"/>
    </w:pPr>
    <w:rPr>
      <w:rFonts w:ascii="Segoe UI" w:eastAsiaTheme="minorHAnsi" w:hAnsi="Segoe UI" w:cstheme="minorBidi"/>
      <w:b/>
      <w:color w:val="auto"/>
      <w:sz w:val="20"/>
      <w:lang w:eastAsia="en-US"/>
    </w:rPr>
  </w:style>
  <w:style w:type="character" w:customStyle="1" w:styleId="e24kjd">
    <w:name w:val="e24kjd"/>
    <w:basedOn w:val="DefaultParagraphFont"/>
    <w:rsid w:val="00AA0841"/>
  </w:style>
  <w:style w:type="character" w:customStyle="1" w:styleId="Heading9Char">
    <w:name w:val="Heading 9 Char"/>
    <w:basedOn w:val="DefaultParagraphFont"/>
    <w:link w:val="Heading9"/>
    <w:uiPriority w:val="9"/>
    <w:semiHidden/>
    <w:rsid w:val="00AA0841"/>
    <w:rPr>
      <w:rFonts w:asciiTheme="majorHAnsi" w:eastAsiaTheme="majorEastAsia" w:hAnsiTheme="majorHAnsi" w:cstheme="majorBidi"/>
      <w:i/>
      <w:iCs/>
      <w:color w:val="272727" w:themeColor="text1" w:themeTint="D8"/>
      <w:sz w:val="21"/>
      <w:szCs w:val="21"/>
    </w:rPr>
  </w:style>
  <w:style w:type="numbering" w:customStyle="1" w:styleId="KeyPoints4">
    <w:name w:val="Key Points4"/>
    <w:basedOn w:val="NoList"/>
    <w:uiPriority w:val="99"/>
    <w:rsid w:val="005D79EF"/>
  </w:style>
  <w:style w:type="numbering" w:customStyle="1" w:styleId="BulletList5">
    <w:name w:val="Bullet List5"/>
    <w:rsid w:val="005D79EF"/>
  </w:style>
  <w:style w:type="numbering" w:customStyle="1" w:styleId="BulletList115">
    <w:name w:val="Bullet List115"/>
    <w:uiPriority w:val="99"/>
    <w:rsid w:val="005D79EF"/>
  </w:style>
  <w:style w:type="numbering" w:customStyle="1" w:styleId="KeyPoints114">
    <w:name w:val="Key Points114"/>
    <w:basedOn w:val="NoList"/>
    <w:uiPriority w:val="99"/>
    <w:rsid w:val="005D79EF"/>
  </w:style>
  <w:style w:type="numbering" w:customStyle="1" w:styleId="Attach115">
    <w:name w:val="Attach115"/>
    <w:basedOn w:val="NoList"/>
    <w:uiPriority w:val="99"/>
    <w:rsid w:val="005D79EF"/>
  </w:style>
  <w:style w:type="character" w:customStyle="1" w:styleId="currencyofversion">
    <w:name w:val="currencyofversion"/>
    <w:basedOn w:val="DefaultParagraphFont"/>
    <w:rsid w:val="005D79EF"/>
  </w:style>
  <w:style w:type="character" w:customStyle="1" w:styleId="author">
    <w:name w:val="author"/>
    <w:basedOn w:val="DefaultParagraphFont"/>
    <w:rsid w:val="005D79EF"/>
  </w:style>
  <w:style w:type="character" w:customStyle="1" w:styleId="articletitle">
    <w:name w:val="articletitle"/>
    <w:basedOn w:val="DefaultParagraphFont"/>
    <w:rsid w:val="005D79EF"/>
  </w:style>
  <w:style w:type="character" w:customStyle="1" w:styleId="pubyear">
    <w:name w:val="pubyear"/>
    <w:basedOn w:val="DefaultParagraphFont"/>
    <w:rsid w:val="005D79EF"/>
  </w:style>
  <w:style w:type="character" w:customStyle="1" w:styleId="pagefirst">
    <w:name w:val="pagefirst"/>
    <w:basedOn w:val="DefaultParagraphFont"/>
    <w:rsid w:val="005D79EF"/>
  </w:style>
  <w:style w:type="character" w:customStyle="1" w:styleId="pagelast">
    <w:name w:val="pagelast"/>
    <w:basedOn w:val="DefaultParagraphFont"/>
    <w:rsid w:val="005D79EF"/>
  </w:style>
  <w:style w:type="character" w:customStyle="1" w:styleId="highlight">
    <w:name w:val="highlight"/>
    <w:basedOn w:val="DefaultParagraphFont"/>
    <w:rsid w:val="005D79EF"/>
  </w:style>
  <w:style w:type="character" w:customStyle="1" w:styleId="vol">
    <w:name w:val="vol"/>
    <w:basedOn w:val="DefaultParagraphFont"/>
    <w:rsid w:val="005D79EF"/>
  </w:style>
  <w:style w:type="numbering" w:customStyle="1" w:styleId="BulletList41">
    <w:name w:val="Bullet List41"/>
    <w:uiPriority w:val="99"/>
    <w:rsid w:val="005D79EF"/>
  </w:style>
  <w:style w:type="table" w:customStyle="1" w:styleId="TableGrid41">
    <w:name w:val="Table Grid41"/>
    <w:basedOn w:val="TableNormal"/>
    <w:next w:val="TableGrid"/>
    <w:uiPriority w:val="39"/>
    <w:rsid w:val="005D79EF"/>
    <w:rPr>
      <w:rFonts w:eastAsia="Calibri"/>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character" w:customStyle="1" w:styleId="TabletextChar">
    <w:name w:val="Table text Char"/>
    <w:basedOn w:val="DefaultParagraphFont"/>
    <w:link w:val="Tabletext"/>
    <w:rsid w:val="00450436"/>
    <w:rPr>
      <w:rFonts w:asciiTheme="minorHAnsi" w:hAnsiTheme="minorHAnsi" w:cs="Century Gothic"/>
      <w:color w:val="000000"/>
      <w:sz w:val="22"/>
    </w:rPr>
  </w:style>
  <w:style w:type="numbering" w:customStyle="1" w:styleId="KeyPoints5">
    <w:name w:val="Key Points5"/>
    <w:basedOn w:val="NoList"/>
    <w:uiPriority w:val="99"/>
    <w:rsid w:val="0024331D"/>
    <w:pPr>
      <w:numPr>
        <w:numId w:val="1"/>
      </w:numPr>
    </w:pPr>
  </w:style>
  <w:style w:type="numbering" w:customStyle="1" w:styleId="BulletList6">
    <w:name w:val="Bullet List6"/>
    <w:rsid w:val="0024331D"/>
    <w:pPr>
      <w:numPr>
        <w:numId w:val="23"/>
      </w:numPr>
    </w:pPr>
  </w:style>
  <w:style w:type="numbering" w:customStyle="1" w:styleId="BulletList116">
    <w:name w:val="Bullet List116"/>
    <w:uiPriority w:val="99"/>
    <w:rsid w:val="0024331D"/>
    <w:pPr>
      <w:numPr>
        <w:numId w:val="13"/>
      </w:numPr>
    </w:pPr>
  </w:style>
  <w:style w:type="numbering" w:customStyle="1" w:styleId="KeyPoints115">
    <w:name w:val="Key Points115"/>
    <w:basedOn w:val="NoList"/>
    <w:uiPriority w:val="99"/>
    <w:rsid w:val="0024331D"/>
    <w:pPr>
      <w:numPr>
        <w:numId w:val="14"/>
      </w:numPr>
    </w:pPr>
  </w:style>
  <w:style w:type="numbering" w:customStyle="1" w:styleId="Attach116">
    <w:name w:val="Attach116"/>
    <w:basedOn w:val="NoList"/>
    <w:uiPriority w:val="99"/>
    <w:rsid w:val="0024331D"/>
    <w:pPr>
      <w:numPr>
        <w:numId w:val="15"/>
      </w:numPr>
    </w:pPr>
  </w:style>
  <w:style w:type="character" w:customStyle="1" w:styleId="normaltextrun">
    <w:name w:val="normaltextrun"/>
    <w:basedOn w:val="DefaultParagraphFont"/>
    <w:rsid w:val="0024331D"/>
  </w:style>
  <w:style w:type="paragraph" w:styleId="TOC4">
    <w:name w:val="toc 4"/>
    <w:basedOn w:val="Normal"/>
    <w:next w:val="Normal"/>
    <w:autoRedefine/>
    <w:uiPriority w:val="39"/>
    <w:unhideWhenUsed/>
    <w:rsid w:val="000E6B21"/>
    <w:pPr>
      <w:spacing w:after="100" w:line="259" w:lineRule="auto"/>
      <w:ind w:left="660"/>
    </w:pPr>
    <w:rPr>
      <w:rFonts w:eastAsiaTheme="minorEastAsia" w:cstheme="minorBidi"/>
      <w:color w:val="auto"/>
      <w:szCs w:val="22"/>
    </w:rPr>
  </w:style>
  <w:style w:type="paragraph" w:styleId="TOC5">
    <w:name w:val="toc 5"/>
    <w:basedOn w:val="Normal"/>
    <w:next w:val="Normal"/>
    <w:autoRedefine/>
    <w:uiPriority w:val="39"/>
    <w:unhideWhenUsed/>
    <w:rsid w:val="000E6B21"/>
    <w:pPr>
      <w:spacing w:after="100" w:line="259" w:lineRule="auto"/>
      <w:ind w:left="880"/>
    </w:pPr>
    <w:rPr>
      <w:rFonts w:eastAsiaTheme="minorEastAsia" w:cstheme="minorBidi"/>
      <w:color w:val="auto"/>
      <w:szCs w:val="22"/>
    </w:rPr>
  </w:style>
  <w:style w:type="paragraph" w:styleId="TOC6">
    <w:name w:val="toc 6"/>
    <w:basedOn w:val="Normal"/>
    <w:next w:val="Normal"/>
    <w:autoRedefine/>
    <w:uiPriority w:val="39"/>
    <w:unhideWhenUsed/>
    <w:rsid w:val="000E6B21"/>
    <w:pPr>
      <w:spacing w:after="100" w:line="259" w:lineRule="auto"/>
      <w:ind w:left="1100"/>
    </w:pPr>
    <w:rPr>
      <w:rFonts w:eastAsiaTheme="minorEastAsia" w:cstheme="minorBidi"/>
      <w:color w:val="auto"/>
      <w:szCs w:val="22"/>
    </w:rPr>
  </w:style>
  <w:style w:type="paragraph" w:styleId="TOC7">
    <w:name w:val="toc 7"/>
    <w:basedOn w:val="Normal"/>
    <w:next w:val="Normal"/>
    <w:autoRedefine/>
    <w:uiPriority w:val="39"/>
    <w:unhideWhenUsed/>
    <w:rsid w:val="000E6B21"/>
    <w:pPr>
      <w:spacing w:after="100" w:line="259" w:lineRule="auto"/>
      <w:ind w:left="1320"/>
    </w:pPr>
    <w:rPr>
      <w:rFonts w:eastAsiaTheme="minorEastAsia" w:cstheme="minorBidi"/>
      <w:color w:val="auto"/>
      <w:szCs w:val="22"/>
    </w:rPr>
  </w:style>
  <w:style w:type="paragraph" w:styleId="TOC8">
    <w:name w:val="toc 8"/>
    <w:basedOn w:val="Normal"/>
    <w:next w:val="Normal"/>
    <w:autoRedefine/>
    <w:uiPriority w:val="39"/>
    <w:unhideWhenUsed/>
    <w:rsid w:val="000E6B21"/>
    <w:pPr>
      <w:spacing w:after="100" w:line="259" w:lineRule="auto"/>
      <w:ind w:left="1540"/>
    </w:pPr>
    <w:rPr>
      <w:rFonts w:eastAsiaTheme="minorEastAsia" w:cstheme="minorBidi"/>
      <w:color w:val="auto"/>
      <w:szCs w:val="22"/>
    </w:rPr>
  </w:style>
  <w:style w:type="paragraph" w:styleId="TOC9">
    <w:name w:val="toc 9"/>
    <w:basedOn w:val="Normal"/>
    <w:next w:val="Normal"/>
    <w:autoRedefine/>
    <w:uiPriority w:val="39"/>
    <w:unhideWhenUsed/>
    <w:rsid w:val="000E6B21"/>
    <w:pPr>
      <w:spacing w:after="100" w:line="259" w:lineRule="auto"/>
      <w:ind w:left="1760"/>
    </w:pPr>
    <w:rPr>
      <w:rFonts w:eastAsiaTheme="minorEastAsia" w:cstheme="minorBidi"/>
      <w:color w:val="auto"/>
      <w:szCs w:val="22"/>
    </w:rPr>
  </w:style>
  <w:style w:type="paragraph" w:customStyle="1" w:styleId="xmsonormal">
    <w:name w:val="x_msonormal"/>
    <w:basedOn w:val="Normal"/>
    <w:rsid w:val="006B3193"/>
    <w:pPr>
      <w:spacing w:before="100" w:beforeAutospacing="1" w:after="100" w:afterAutospacing="1"/>
    </w:pPr>
    <w:rPr>
      <w:rFonts w:ascii="Calibri" w:eastAsiaTheme="minorHAnsi" w:hAnsi="Calibri" w:cs="Calibri"/>
      <w:color w:val="auto"/>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4320740">
      <w:bodyDiv w:val="1"/>
      <w:marLeft w:val="0"/>
      <w:marRight w:val="0"/>
      <w:marTop w:val="0"/>
      <w:marBottom w:val="0"/>
      <w:divBdr>
        <w:top w:val="none" w:sz="0" w:space="0" w:color="auto"/>
        <w:left w:val="none" w:sz="0" w:space="0" w:color="auto"/>
        <w:bottom w:val="none" w:sz="0" w:space="0" w:color="auto"/>
        <w:right w:val="none" w:sz="0" w:space="0" w:color="auto"/>
      </w:divBdr>
      <w:divsChild>
        <w:div w:id="1557739064">
          <w:marLeft w:val="0"/>
          <w:marRight w:val="0"/>
          <w:marTop w:val="0"/>
          <w:marBottom w:val="0"/>
          <w:divBdr>
            <w:top w:val="none" w:sz="0" w:space="0" w:color="auto"/>
            <w:left w:val="none" w:sz="0" w:space="0" w:color="auto"/>
            <w:bottom w:val="none" w:sz="0" w:space="0" w:color="auto"/>
            <w:right w:val="none" w:sz="0" w:space="0" w:color="auto"/>
          </w:divBdr>
          <w:divsChild>
            <w:div w:id="103158738">
              <w:marLeft w:val="0"/>
              <w:marRight w:val="0"/>
              <w:marTop w:val="0"/>
              <w:marBottom w:val="0"/>
              <w:divBdr>
                <w:top w:val="none" w:sz="0" w:space="0" w:color="auto"/>
                <w:left w:val="none" w:sz="0" w:space="0" w:color="auto"/>
                <w:bottom w:val="none" w:sz="0" w:space="0" w:color="auto"/>
                <w:right w:val="none" w:sz="0" w:space="0" w:color="auto"/>
              </w:divBdr>
              <w:divsChild>
                <w:div w:id="1802730131">
                  <w:marLeft w:val="0"/>
                  <w:marRight w:val="0"/>
                  <w:marTop w:val="0"/>
                  <w:marBottom w:val="0"/>
                  <w:divBdr>
                    <w:top w:val="none" w:sz="0" w:space="0" w:color="auto"/>
                    <w:left w:val="none" w:sz="0" w:space="0" w:color="auto"/>
                    <w:bottom w:val="none" w:sz="0" w:space="0" w:color="auto"/>
                    <w:right w:val="none" w:sz="0" w:space="0" w:color="auto"/>
                  </w:divBdr>
                  <w:divsChild>
                    <w:div w:id="2100102874">
                      <w:marLeft w:val="150"/>
                      <w:marRight w:val="150"/>
                      <w:marTop w:val="0"/>
                      <w:marBottom w:val="0"/>
                      <w:divBdr>
                        <w:top w:val="none" w:sz="0" w:space="0" w:color="auto"/>
                        <w:left w:val="none" w:sz="0" w:space="0" w:color="auto"/>
                        <w:bottom w:val="none" w:sz="0" w:space="0" w:color="auto"/>
                        <w:right w:val="none" w:sz="0" w:space="0" w:color="auto"/>
                      </w:divBdr>
                      <w:divsChild>
                        <w:div w:id="657656856">
                          <w:marLeft w:val="0"/>
                          <w:marRight w:val="0"/>
                          <w:marTop w:val="0"/>
                          <w:marBottom w:val="0"/>
                          <w:divBdr>
                            <w:top w:val="none" w:sz="0" w:space="0" w:color="auto"/>
                            <w:left w:val="none" w:sz="0" w:space="0" w:color="auto"/>
                            <w:bottom w:val="none" w:sz="0" w:space="0" w:color="auto"/>
                            <w:right w:val="none" w:sz="0" w:space="0" w:color="auto"/>
                          </w:divBdr>
                          <w:divsChild>
                            <w:div w:id="1007170598">
                              <w:marLeft w:val="0"/>
                              <w:marRight w:val="0"/>
                              <w:marTop w:val="0"/>
                              <w:marBottom w:val="240"/>
                              <w:divBdr>
                                <w:top w:val="none" w:sz="0" w:space="0" w:color="auto"/>
                                <w:left w:val="none" w:sz="0" w:space="0" w:color="auto"/>
                                <w:bottom w:val="none" w:sz="0" w:space="0" w:color="auto"/>
                                <w:right w:val="none" w:sz="0" w:space="0" w:color="auto"/>
                              </w:divBdr>
                              <w:divsChild>
                                <w:div w:id="962270491">
                                  <w:marLeft w:val="0"/>
                                  <w:marRight w:val="0"/>
                                  <w:marTop w:val="0"/>
                                  <w:marBottom w:val="0"/>
                                  <w:divBdr>
                                    <w:top w:val="none" w:sz="0" w:space="0" w:color="auto"/>
                                    <w:left w:val="none" w:sz="0" w:space="0" w:color="auto"/>
                                    <w:bottom w:val="none" w:sz="0" w:space="0" w:color="auto"/>
                                    <w:right w:val="none" w:sz="0" w:space="0" w:color="auto"/>
                                  </w:divBdr>
                                  <w:divsChild>
                                    <w:div w:id="429667430">
                                      <w:marLeft w:val="0"/>
                                      <w:marRight w:val="0"/>
                                      <w:marTop w:val="0"/>
                                      <w:marBottom w:val="0"/>
                                      <w:divBdr>
                                        <w:top w:val="none" w:sz="0" w:space="0" w:color="auto"/>
                                        <w:left w:val="none" w:sz="0" w:space="0" w:color="auto"/>
                                        <w:bottom w:val="none" w:sz="0" w:space="0" w:color="auto"/>
                                        <w:right w:val="none" w:sz="0" w:space="0" w:color="auto"/>
                                      </w:divBdr>
                                      <w:divsChild>
                                        <w:div w:id="2121606070">
                                          <w:marLeft w:val="0"/>
                                          <w:marRight w:val="0"/>
                                          <w:marTop w:val="0"/>
                                          <w:marBottom w:val="0"/>
                                          <w:divBdr>
                                            <w:top w:val="none" w:sz="0" w:space="0" w:color="auto"/>
                                            <w:left w:val="none" w:sz="0" w:space="0" w:color="auto"/>
                                            <w:bottom w:val="none" w:sz="0" w:space="0" w:color="auto"/>
                                            <w:right w:val="none" w:sz="0" w:space="0" w:color="auto"/>
                                          </w:divBdr>
                                          <w:divsChild>
                                            <w:div w:id="1245067248">
                                              <w:marLeft w:val="0"/>
                                              <w:marRight w:val="0"/>
                                              <w:marTop w:val="0"/>
                                              <w:marBottom w:val="0"/>
                                              <w:divBdr>
                                                <w:top w:val="none" w:sz="0" w:space="0" w:color="auto"/>
                                                <w:left w:val="none" w:sz="0" w:space="0" w:color="auto"/>
                                                <w:bottom w:val="none" w:sz="0" w:space="0" w:color="auto"/>
                                                <w:right w:val="none" w:sz="0" w:space="0" w:color="auto"/>
                                              </w:divBdr>
                                              <w:divsChild>
                                                <w:div w:id="514223220">
                                                  <w:marLeft w:val="0"/>
                                                  <w:marRight w:val="0"/>
                                                  <w:marTop w:val="0"/>
                                                  <w:marBottom w:val="0"/>
                                                  <w:divBdr>
                                                    <w:top w:val="none" w:sz="0" w:space="0" w:color="auto"/>
                                                    <w:left w:val="none" w:sz="0" w:space="0" w:color="auto"/>
                                                    <w:bottom w:val="none" w:sz="0" w:space="0" w:color="auto"/>
                                                    <w:right w:val="none" w:sz="0" w:space="0" w:color="auto"/>
                                                  </w:divBdr>
                                                  <w:divsChild>
                                                    <w:div w:id="93317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15300352">
      <w:bodyDiv w:val="1"/>
      <w:marLeft w:val="0"/>
      <w:marRight w:val="0"/>
      <w:marTop w:val="0"/>
      <w:marBottom w:val="0"/>
      <w:divBdr>
        <w:top w:val="none" w:sz="0" w:space="0" w:color="auto"/>
        <w:left w:val="none" w:sz="0" w:space="0" w:color="auto"/>
        <w:bottom w:val="none" w:sz="0" w:space="0" w:color="auto"/>
        <w:right w:val="none" w:sz="0" w:space="0" w:color="auto"/>
      </w:divBdr>
    </w:div>
    <w:div w:id="747968924">
      <w:bodyDiv w:val="1"/>
      <w:marLeft w:val="0"/>
      <w:marRight w:val="0"/>
      <w:marTop w:val="0"/>
      <w:marBottom w:val="0"/>
      <w:divBdr>
        <w:top w:val="none" w:sz="0" w:space="0" w:color="auto"/>
        <w:left w:val="none" w:sz="0" w:space="0" w:color="auto"/>
        <w:bottom w:val="none" w:sz="0" w:space="0" w:color="auto"/>
        <w:right w:val="none" w:sz="0" w:space="0" w:color="auto"/>
      </w:divBdr>
    </w:div>
    <w:div w:id="770323594">
      <w:bodyDiv w:val="1"/>
      <w:marLeft w:val="0"/>
      <w:marRight w:val="0"/>
      <w:marTop w:val="0"/>
      <w:marBottom w:val="0"/>
      <w:divBdr>
        <w:top w:val="none" w:sz="0" w:space="0" w:color="auto"/>
        <w:left w:val="none" w:sz="0" w:space="0" w:color="auto"/>
        <w:bottom w:val="none" w:sz="0" w:space="0" w:color="auto"/>
        <w:right w:val="none" w:sz="0" w:space="0" w:color="auto"/>
      </w:divBdr>
    </w:div>
    <w:div w:id="794564502">
      <w:bodyDiv w:val="1"/>
      <w:marLeft w:val="0"/>
      <w:marRight w:val="0"/>
      <w:marTop w:val="0"/>
      <w:marBottom w:val="0"/>
      <w:divBdr>
        <w:top w:val="none" w:sz="0" w:space="0" w:color="auto"/>
        <w:left w:val="none" w:sz="0" w:space="0" w:color="auto"/>
        <w:bottom w:val="none" w:sz="0" w:space="0" w:color="auto"/>
        <w:right w:val="none" w:sz="0" w:space="0" w:color="auto"/>
      </w:divBdr>
      <w:divsChild>
        <w:div w:id="826896903">
          <w:marLeft w:val="0"/>
          <w:marRight w:val="0"/>
          <w:marTop w:val="0"/>
          <w:marBottom w:val="0"/>
          <w:divBdr>
            <w:top w:val="none" w:sz="0" w:space="0" w:color="auto"/>
            <w:left w:val="none" w:sz="0" w:space="0" w:color="auto"/>
            <w:bottom w:val="none" w:sz="0" w:space="0" w:color="auto"/>
            <w:right w:val="none" w:sz="0" w:space="0" w:color="auto"/>
          </w:divBdr>
          <w:divsChild>
            <w:div w:id="1945913704">
              <w:marLeft w:val="0"/>
              <w:marRight w:val="0"/>
              <w:marTop w:val="0"/>
              <w:marBottom w:val="0"/>
              <w:divBdr>
                <w:top w:val="none" w:sz="0" w:space="0" w:color="auto"/>
                <w:left w:val="none" w:sz="0" w:space="0" w:color="auto"/>
                <w:bottom w:val="none" w:sz="0" w:space="0" w:color="auto"/>
                <w:right w:val="none" w:sz="0" w:space="0" w:color="auto"/>
              </w:divBdr>
              <w:divsChild>
                <w:div w:id="1208418550">
                  <w:marLeft w:val="0"/>
                  <w:marRight w:val="0"/>
                  <w:marTop w:val="0"/>
                  <w:marBottom w:val="0"/>
                  <w:divBdr>
                    <w:top w:val="none" w:sz="0" w:space="0" w:color="auto"/>
                    <w:left w:val="none" w:sz="0" w:space="0" w:color="auto"/>
                    <w:bottom w:val="none" w:sz="0" w:space="0" w:color="auto"/>
                    <w:right w:val="none" w:sz="0" w:space="0" w:color="auto"/>
                  </w:divBdr>
                  <w:divsChild>
                    <w:div w:id="815996992">
                      <w:marLeft w:val="150"/>
                      <w:marRight w:val="150"/>
                      <w:marTop w:val="0"/>
                      <w:marBottom w:val="0"/>
                      <w:divBdr>
                        <w:top w:val="none" w:sz="0" w:space="0" w:color="auto"/>
                        <w:left w:val="none" w:sz="0" w:space="0" w:color="auto"/>
                        <w:bottom w:val="none" w:sz="0" w:space="0" w:color="auto"/>
                        <w:right w:val="none" w:sz="0" w:space="0" w:color="auto"/>
                      </w:divBdr>
                      <w:divsChild>
                        <w:div w:id="54816543">
                          <w:marLeft w:val="0"/>
                          <w:marRight w:val="0"/>
                          <w:marTop w:val="0"/>
                          <w:marBottom w:val="0"/>
                          <w:divBdr>
                            <w:top w:val="none" w:sz="0" w:space="0" w:color="auto"/>
                            <w:left w:val="none" w:sz="0" w:space="0" w:color="auto"/>
                            <w:bottom w:val="none" w:sz="0" w:space="0" w:color="auto"/>
                            <w:right w:val="none" w:sz="0" w:space="0" w:color="auto"/>
                          </w:divBdr>
                          <w:divsChild>
                            <w:div w:id="535312938">
                              <w:marLeft w:val="0"/>
                              <w:marRight w:val="0"/>
                              <w:marTop w:val="0"/>
                              <w:marBottom w:val="240"/>
                              <w:divBdr>
                                <w:top w:val="none" w:sz="0" w:space="0" w:color="auto"/>
                                <w:left w:val="none" w:sz="0" w:space="0" w:color="auto"/>
                                <w:bottom w:val="none" w:sz="0" w:space="0" w:color="auto"/>
                                <w:right w:val="none" w:sz="0" w:space="0" w:color="auto"/>
                              </w:divBdr>
                              <w:divsChild>
                                <w:div w:id="243994853">
                                  <w:marLeft w:val="0"/>
                                  <w:marRight w:val="0"/>
                                  <w:marTop w:val="0"/>
                                  <w:marBottom w:val="0"/>
                                  <w:divBdr>
                                    <w:top w:val="none" w:sz="0" w:space="0" w:color="auto"/>
                                    <w:left w:val="none" w:sz="0" w:space="0" w:color="auto"/>
                                    <w:bottom w:val="none" w:sz="0" w:space="0" w:color="auto"/>
                                    <w:right w:val="none" w:sz="0" w:space="0" w:color="auto"/>
                                  </w:divBdr>
                                  <w:divsChild>
                                    <w:div w:id="618605541">
                                      <w:marLeft w:val="0"/>
                                      <w:marRight w:val="0"/>
                                      <w:marTop w:val="0"/>
                                      <w:marBottom w:val="0"/>
                                      <w:divBdr>
                                        <w:top w:val="none" w:sz="0" w:space="0" w:color="auto"/>
                                        <w:left w:val="none" w:sz="0" w:space="0" w:color="auto"/>
                                        <w:bottom w:val="none" w:sz="0" w:space="0" w:color="auto"/>
                                        <w:right w:val="none" w:sz="0" w:space="0" w:color="auto"/>
                                      </w:divBdr>
                                      <w:divsChild>
                                        <w:div w:id="1572622272">
                                          <w:marLeft w:val="0"/>
                                          <w:marRight w:val="0"/>
                                          <w:marTop w:val="0"/>
                                          <w:marBottom w:val="0"/>
                                          <w:divBdr>
                                            <w:top w:val="none" w:sz="0" w:space="0" w:color="auto"/>
                                            <w:left w:val="none" w:sz="0" w:space="0" w:color="auto"/>
                                            <w:bottom w:val="none" w:sz="0" w:space="0" w:color="auto"/>
                                            <w:right w:val="none" w:sz="0" w:space="0" w:color="auto"/>
                                          </w:divBdr>
                                          <w:divsChild>
                                            <w:div w:id="1495142620">
                                              <w:marLeft w:val="0"/>
                                              <w:marRight w:val="0"/>
                                              <w:marTop w:val="0"/>
                                              <w:marBottom w:val="0"/>
                                              <w:divBdr>
                                                <w:top w:val="none" w:sz="0" w:space="0" w:color="auto"/>
                                                <w:left w:val="none" w:sz="0" w:space="0" w:color="auto"/>
                                                <w:bottom w:val="none" w:sz="0" w:space="0" w:color="auto"/>
                                                <w:right w:val="none" w:sz="0" w:space="0" w:color="auto"/>
                                              </w:divBdr>
                                              <w:divsChild>
                                                <w:div w:id="1729495222">
                                                  <w:marLeft w:val="0"/>
                                                  <w:marRight w:val="0"/>
                                                  <w:marTop w:val="0"/>
                                                  <w:marBottom w:val="0"/>
                                                  <w:divBdr>
                                                    <w:top w:val="none" w:sz="0" w:space="0" w:color="auto"/>
                                                    <w:left w:val="none" w:sz="0" w:space="0" w:color="auto"/>
                                                    <w:bottom w:val="none" w:sz="0" w:space="0" w:color="auto"/>
                                                    <w:right w:val="none" w:sz="0" w:space="0" w:color="auto"/>
                                                  </w:divBdr>
                                                  <w:divsChild>
                                                    <w:div w:id="1899780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76929606">
      <w:bodyDiv w:val="1"/>
      <w:marLeft w:val="0"/>
      <w:marRight w:val="0"/>
      <w:marTop w:val="0"/>
      <w:marBottom w:val="0"/>
      <w:divBdr>
        <w:top w:val="none" w:sz="0" w:space="0" w:color="auto"/>
        <w:left w:val="none" w:sz="0" w:space="0" w:color="auto"/>
        <w:bottom w:val="none" w:sz="0" w:space="0" w:color="auto"/>
        <w:right w:val="none" w:sz="0" w:space="0" w:color="auto"/>
      </w:divBdr>
    </w:div>
    <w:div w:id="2110353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4.xml"/><Relationship Id="rId299" Type="http://schemas.openxmlformats.org/officeDocument/2006/relationships/hyperlink" Target="http://www.environment.gov.au/water/cewo/catchment/mid-murray/history" TargetMode="External"/><Relationship Id="rId21" Type="http://schemas.openxmlformats.org/officeDocument/2006/relationships/footer" Target="footer3.xml"/><Relationship Id="rId63" Type="http://schemas.openxmlformats.org/officeDocument/2006/relationships/hyperlink" Target="http://www.environment.gov.au/water/cewo/catchment/Border%20Rivers/history" TargetMode="External"/><Relationship Id="rId159" Type="http://schemas.openxmlformats.org/officeDocument/2006/relationships/hyperlink" Target="https://www.waternsw.com.au/__data/assets/pdf_file/0004/151897/191214-Operations-Update-Peel.pdf" TargetMode="External"/><Relationship Id="rId170" Type="http://schemas.openxmlformats.org/officeDocument/2006/relationships/footer" Target="footer21.xml"/><Relationship Id="rId226" Type="http://schemas.openxmlformats.org/officeDocument/2006/relationships/hyperlink" Target="https://www.environment.nsw.gov.au/-/media/OEH/Corporate-Site/Documents/Water/Water-for-the-environment/murray-lower-darling-long-term-water-plan-part-b-190459.pdf" TargetMode="External"/><Relationship Id="rId268" Type="http://schemas.openxmlformats.org/officeDocument/2006/relationships/hyperlink" Target="http://www.bom.gov.au/climate/" TargetMode="External"/><Relationship Id="rId32" Type="http://schemas.openxmlformats.org/officeDocument/2006/relationships/image" Target="media/image5.png"/><Relationship Id="rId74" Type="http://schemas.openxmlformats.org/officeDocument/2006/relationships/hyperlink" Target="https://www.environment.gov.au/system/files/resources/f0f4e105-b7b6-49c1-87aa-d1d9d33a3cc7/files/final-report-northern-connectivity-event-2018.pdf" TargetMode="External"/><Relationship Id="rId128" Type="http://schemas.openxmlformats.org/officeDocument/2006/relationships/hyperlink" Target="http://www.bom.gov.au/jsp/awap/rain/index.jsp?colour=colour&amp;time=latest&amp;step=0&amp;map=decile&amp;period=36month&amp;area=ns" TargetMode="External"/><Relationship Id="rId5" Type="http://schemas.openxmlformats.org/officeDocument/2006/relationships/customXml" Target="../customXml/item5.xml"/><Relationship Id="rId181" Type="http://schemas.openxmlformats.org/officeDocument/2006/relationships/hyperlink" Target="http://www.mdba.gov.au/sites/default/files/archived/proposed/EWR-Macquarie-Marshes.pdf" TargetMode="External"/><Relationship Id="rId237" Type="http://schemas.openxmlformats.org/officeDocument/2006/relationships/image" Target="media/image33.png"/><Relationship Id="rId279" Type="http://schemas.openxmlformats.org/officeDocument/2006/relationships/footer" Target="footer35.xml"/><Relationship Id="rId43" Type="http://schemas.openxmlformats.org/officeDocument/2006/relationships/hyperlink" Target="https://qldgov.softlinkhosting.com.au/liberty/opac/search.do?corporation=DERM&amp;branch=All&amp;operator=AND&amp;mode=ADVANCED&amp;sortDirection=ASC&amp;limit=All&amp;sortField=relevanceRanking&amp;action=search&amp;anonymous=true&amp;queryTerm=long+term+watering+plan&amp;includeNonPhysicalItems=true&amp;resourceCollection=All" TargetMode="External"/><Relationship Id="rId139" Type="http://schemas.openxmlformats.org/officeDocument/2006/relationships/hyperlink" Target="https://realtimedata.waternsw.com.au/" TargetMode="External"/><Relationship Id="rId290" Type="http://schemas.openxmlformats.org/officeDocument/2006/relationships/header" Target="header22.xml"/><Relationship Id="rId304" Type="http://schemas.openxmlformats.org/officeDocument/2006/relationships/hyperlink" Target="https://www.mdba.gov.au/managing-water/water-for-environment/progress-outcomes" TargetMode="External"/><Relationship Id="rId85" Type="http://schemas.openxmlformats.org/officeDocument/2006/relationships/image" Target="media/image15.png"/><Relationship Id="rId150" Type="http://schemas.openxmlformats.org/officeDocument/2006/relationships/hyperlink" Target="http://www.bom.gov.au/climate/outlooks/" TargetMode="External"/><Relationship Id="rId192" Type="http://schemas.openxmlformats.org/officeDocument/2006/relationships/image" Target="media/image26.png"/><Relationship Id="rId206" Type="http://schemas.openxmlformats.org/officeDocument/2006/relationships/hyperlink" Target="https://www.environment.gov.au/water/cewo/publications/cewo-ltim-warrego-darling-five-year-evaluation-report" TargetMode="External"/><Relationship Id="rId248" Type="http://schemas.openxmlformats.org/officeDocument/2006/relationships/hyperlink" Target="https://www.researchgate.net/publication/235726340_Reference_and_modified_flows_of_the_Lachlan_Valley_wetlands_Report_for_the_NHT_funded_project_'Lachlan_Floodplain_Wetlands_Adaptive_Water_Management_Framework" TargetMode="External"/><Relationship Id="rId12" Type="http://schemas.openxmlformats.org/officeDocument/2006/relationships/header" Target="header1.xml"/><Relationship Id="rId108" Type="http://schemas.openxmlformats.org/officeDocument/2006/relationships/footer" Target="footer13.xml"/><Relationship Id="rId315" Type="http://schemas.openxmlformats.org/officeDocument/2006/relationships/theme" Target="theme/theme1.xml"/><Relationship Id="rId54" Type="http://schemas.openxmlformats.org/officeDocument/2006/relationships/hyperlink" Target="http://www.environment.gov.au/water/cewo/monitoring/mer-program" TargetMode="External"/><Relationship Id="rId96" Type="http://schemas.openxmlformats.org/officeDocument/2006/relationships/hyperlink" Target="https://www.environment.gov.au/water/cewo/catchment/northernunregulated-rivers/monitoring" TargetMode="External"/><Relationship Id="rId161" Type="http://schemas.openxmlformats.org/officeDocument/2006/relationships/hyperlink" Target="https://realtimedata.waternsw.com.au/" TargetMode="External"/><Relationship Id="rId217" Type="http://schemas.openxmlformats.org/officeDocument/2006/relationships/header" Target="header18.xml"/><Relationship Id="rId259" Type="http://schemas.openxmlformats.org/officeDocument/2006/relationships/hyperlink" Target="https://www.industry.nsw.gov.au/__data/assets/pdf_file/0012/313032/WAS-Regulated-Rivers-20200701.pdf" TargetMode="External"/><Relationship Id="rId23" Type="http://schemas.openxmlformats.org/officeDocument/2006/relationships/header" Target="header5.xml"/><Relationship Id="rId119" Type="http://schemas.openxmlformats.org/officeDocument/2006/relationships/image" Target="media/image20.png"/><Relationship Id="rId270" Type="http://schemas.openxmlformats.org/officeDocument/2006/relationships/hyperlink" Target="https://www.mdba.gov.au/sites/default/files/archived/proposed/EWR-Lower-Murrumbidgee-River-Floodplain.pdf" TargetMode="External"/><Relationship Id="rId65" Type="http://schemas.openxmlformats.org/officeDocument/2006/relationships/footer" Target="footer6.xml"/><Relationship Id="rId130" Type="http://schemas.openxmlformats.org/officeDocument/2006/relationships/hyperlink" Target="https://www.mpsc.nsw.gov.au/index.php/56-development-applications/conservation/aboriginal-heritage-study" TargetMode="External"/><Relationship Id="rId172" Type="http://schemas.openxmlformats.org/officeDocument/2006/relationships/image" Target="media/image25.jpeg"/><Relationship Id="rId193" Type="http://schemas.microsoft.com/office/2007/relationships/hdphoto" Target="media/hdphoto2.wdp"/><Relationship Id="rId207" Type="http://schemas.openxmlformats.org/officeDocument/2006/relationships/hyperlink" Target="http://www.mdba.gov.au/sites/default/files/pubs/Final-BWS-Nov14.pdf" TargetMode="External"/><Relationship Id="rId228" Type="http://schemas.openxmlformats.org/officeDocument/2006/relationships/hyperlink" Target="https://onlinelibrary.wiley.com/doi/epdf/10.1002/aqc.3311" TargetMode="External"/><Relationship Id="rId249" Type="http://schemas.openxmlformats.org/officeDocument/2006/relationships/hyperlink" Target="http://www.environment.gov.au/water/cewo/publications/lachlan-ltim-report" TargetMode="External"/><Relationship Id="rId13" Type="http://schemas.openxmlformats.org/officeDocument/2006/relationships/footer" Target="footer1.xml"/><Relationship Id="rId109" Type="http://schemas.openxmlformats.org/officeDocument/2006/relationships/hyperlink" Target="http://www.environment.gov.au/water/cewo/catchment/northern-unregulated-rivers/monitoring" TargetMode="External"/><Relationship Id="rId260" Type="http://schemas.openxmlformats.org/officeDocument/2006/relationships/hyperlink" Target="https://doi.org/10.1002/rra.3620" TargetMode="External"/><Relationship Id="rId281" Type="http://schemas.openxmlformats.org/officeDocument/2006/relationships/image" Target="media/image36.png"/><Relationship Id="rId34" Type="http://schemas.openxmlformats.org/officeDocument/2006/relationships/image" Target="media/image7.png"/><Relationship Id="rId55" Type="http://schemas.openxmlformats.org/officeDocument/2006/relationships/hyperlink" Target="https://flow-mer.org.au/" TargetMode="External"/><Relationship Id="rId76" Type="http://schemas.openxmlformats.org/officeDocument/2006/relationships/hyperlink" Target="https://www.mdba.gov.au/sites/default/files/pubs/observed-flows-barwon-darling.pdf" TargetMode="External"/><Relationship Id="rId97" Type="http://schemas.openxmlformats.org/officeDocument/2006/relationships/hyperlink" Target="https://www.environment.gov.au/system/files/resources/229f77eb-5d54-46ec-a5a6-2d47ed6cac69/files/lower-balonne-flow-update-5.pdf" TargetMode="External"/><Relationship Id="rId120" Type="http://schemas.openxmlformats.org/officeDocument/2006/relationships/hyperlink" Target="http://www.environment.gov.au/water/cewo/catchment/gwydir/history" TargetMode="External"/><Relationship Id="rId141" Type="http://schemas.openxmlformats.org/officeDocument/2006/relationships/header" Target="header14.xml"/><Relationship Id="rId7" Type="http://schemas.openxmlformats.org/officeDocument/2006/relationships/styles" Target="styles.xml"/><Relationship Id="rId162" Type="http://schemas.openxmlformats.org/officeDocument/2006/relationships/hyperlink" Target="https://www.waternsw.com.au/__data/assets/pdf_file/0005/156146/Water-Availability-Report-27-April-2020.PDF?utm_source=Swift&amp;utm_medium=Email&amp;utm_campaign=NSW_availability" TargetMode="External"/><Relationship Id="rId183" Type="http://schemas.openxmlformats.org/officeDocument/2006/relationships/hyperlink" Target="https://www.mdba.gov.au/discover-basin/catchments/macquarie-castlereagh" TargetMode="External"/><Relationship Id="rId218" Type="http://schemas.openxmlformats.org/officeDocument/2006/relationships/footer" Target="footer25.xml"/><Relationship Id="rId239" Type="http://schemas.openxmlformats.org/officeDocument/2006/relationships/hyperlink" Target="http://www.environment.gov.au/water/cewo/monitoring/mer-program" TargetMode="External"/><Relationship Id="rId250" Type="http://schemas.openxmlformats.org/officeDocument/2006/relationships/hyperlink" Target="http://www.environment.gov.au/water/cewo/publications/lachlan-ltim-report-2015-16" TargetMode="External"/><Relationship Id="rId271" Type="http://schemas.openxmlformats.org/officeDocument/2006/relationships/hyperlink" Target="https://www.mdba.gov.au/discover-basin/catchments/murrumbidgee.A" TargetMode="External"/><Relationship Id="rId292" Type="http://schemas.openxmlformats.org/officeDocument/2006/relationships/footer" Target="footer38.xml"/><Relationship Id="rId306" Type="http://schemas.openxmlformats.org/officeDocument/2006/relationships/hyperlink" Target="https://www.environment.gov.au/water/cewo/publications/southern-spring-flow-2019-wrap-up" TargetMode="External"/><Relationship Id="rId24" Type="http://schemas.openxmlformats.org/officeDocument/2006/relationships/footer" Target="footer4.xml"/><Relationship Id="rId45" Type="http://schemas.openxmlformats.org/officeDocument/2006/relationships/image" Target="media/image11.jpeg"/><Relationship Id="rId66" Type="http://schemas.openxmlformats.org/officeDocument/2006/relationships/footer" Target="footer7.xml"/><Relationship Id="rId87" Type="http://schemas.openxmlformats.org/officeDocument/2006/relationships/image" Target="media/image16.png"/><Relationship Id="rId110" Type="http://schemas.openxmlformats.org/officeDocument/2006/relationships/image" Target="media/image19.png"/><Relationship Id="rId131" Type="http://schemas.openxmlformats.org/officeDocument/2006/relationships/hyperlink" Target="http://www.mdba.gov.au/what-we-do/basin-plan/development/bp-science/assessing-environmental-water-requirements" TargetMode="External"/><Relationship Id="rId152" Type="http://schemas.openxmlformats.org/officeDocument/2006/relationships/hyperlink" Target="http://www.environment.gov.au/resource/commonwealth-environmental-water-annual-use-options-namoi-river-valley" TargetMode="External"/><Relationship Id="rId173" Type="http://schemas.openxmlformats.org/officeDocument/2006/relationships/hyperlink" Target="http://www.environment.gov.au/water/cewo/catchment/macquarie/monitoring" TargetMode="External"/><Relationship Id="rId194" Type="http://schemas.openxmlformats.org/officeDocument/2006/relationships/hyperlink" Target="https://www.environment.gov.au/water/cewo/catchment/northern-unregulated-rivers/history" TargetMode="External"/><Relationship Id="rId208" Type="http://schemas.openxmlformats.org/officeDocument/2006/relationships/hyperlink" Target="https://www.industry.nsw.gov.au/__data/assets/pdf_file/0008/291770/approval-to-take-barwon-darling-downstream-culgoa-junction.pdf" TargetMode="External"/><Relationship Id="rId229" Type="http://schemas.openxmlformats.org/officeDocument/2006/relationships/header" Target="header19.xml"/><Relationship Id="rId240" Type="http://schemas.openxmlformats.org/officeDocument/2006/relationships/hyperlink" Target="http://www.environment.gov.au/water/cewo/monitoring/ltim-project" TargetMode="External"/><Relationship Id="rId261" Type="http://schemas.openxmlformats.org/officeDocument/2006/relationships/header" Target="header20.xml"/><Relationship Id="rId14" Type="http://schemas.openxmlformats.org/officeDocument/2006/relationships/image" Target="media/image2.jpeg"/><Relationship Id="rId35" Type="http://schemas.openxmlformats.org/officeDocument/2006/relationships/image" Target="media/image8.png"/><Relationship Id="rId56" Type="http://schemas.openxmlformats.org/officeDocument/2006/relationships/hyperlink" Target="http://www.environment.gov.au/water/cewo/monitoring/ltim-project" TargetMode="External"/><Relationship Id="rId77" Type="http://schemas.openxmlformats.org/officeDocument/2006/relationships/hyperlink" Target="https://www.industry.nsw.gov.au/__data/assets/pdf_file/0012/313032/WAS-Regulated-Rivers-20200701.pdf" TargetMode="External"/><Relationship Id="rId100" Type="http://schemas.openxmlformats.org/officeDocument/2006/relationships/hyperlink" Target="https://www.mdba.gov.au/sites/default/files/pubs/qld-condamine-balonne-ecological-risk-assessment-report-2018_1.pdf" TargetMode="External"/><Relationship Id="rId282" Type="http://schemas.openxmlformats.org/officeDocument/2006/relationships/hyperlink" Target="http://www.environment.gov.au/water/cewo/catchment/northern-victorian-rivers/history" TargetMode="External"/><Relationship Id="rId8" Type="http://schemas.openxmlformats.org/officeDocument/2006/relationships/settings" Target="settings.xml"/><Relationship Id="rId98" Type="http://schemas.openxmlformats.org/officeDocument/2006/relationships/hyperlink" Target="http://ewkr.com.au/determining-seed-diversity-across-mdb-soil" TargetMode="External"/><Relationship Id="rId121" Type="http://schemas.openxmlformats.org/officeDocument/2006/relationships/image" Target="media/image21.emf"/><Relationship Id="rId142" Type="http://schemas.openxmlformats.org/officeDocument/2006/relationships/footer" Target="footer16.xml"/><Relationship Id="rId163" Type="http://schemas.openxmlformats.org/officeDocument/2006/relationships/hyperlink" Target="https://www.waternsw.com.au/__data/assets/pdf_file/0007/159037/Weekly-Availability-Report-29-June-2020.pdf" TargetMode="External"/><Relationship Id="rId184" Type="http://schemas.openxmlformats.org/officeDocument/2006/relationships/hyperlink" Target="https://www.industry.nsw.gov.au/water/allocations-availability/temporary-water-restrictions/macquarie-regulated-river-water-source" TargetMode="External"/><Relationship Id="rId219" Type="http://schemas.openxmlformats.org/officeDocument/2006/relationships/footer" Target="footer26.xml"/><Relationship Id="rId230" Type="http://schemas.openxmlformats.org/officeDocument/2006/relationships/footer" Target="footer28.xml"/><Relationship Id="rId251" Type="http://schemas.openxmlformats.org/officeDocument/2006/relationships/hyperlink" Target="http://www.environment.gov.au/water/cewo/publications/ltim-lachlan-annual-report-2016-17" TargetMode="External"/><Relationship Id="rId25" Type="http://schemas.openxmlformats.org/officeDocument/2006/relationships/header" Target="header6.xml"/><Relationship Id="rId46" Type="http://schemas.openxmlformats.org/officeDocument/2006/relationships/image" Target="media/image12.png"/><Relationship Id="rId67" Type="http://schemas.openxmlformats.org/officeDocument/2006/relationships/image" Target="media/image14.png"/><Relationship Id="rId272" Type="http://schemas.openxmlformats.org/officeDocument/2006/relationships/hyperlink" Target="https://www.industry.nsw.gov.au/__data/assets/pdf_file/0018/301392/WAS-Murrumbidgee-202000515.pdf%20" TargetMode="External"/><Relationship Id="rId293" Type="http://schemas.openxmlformats.org/officeDocument/2006/relationships/image" Target="media/image37.jpeg"/><Relationship Id="rId307" Type="http://schemas.openxmlformats.org/officeDocument/2006/relationships/hyperlink" Target="https://www.environment.gov.au/cewo/media-release/wind-waves-wi-fi" TargetMode="External"/><Relationship Id="rId88" Type="http://schemas.openxmlformats.org/officeDocument/2006/relationships/image" Target="media/image17.png"/><Relationship Id="rId111" Type="http://schemas.openxmlformats.org/officeDocument/2006/relationships/hyperlink" Target="http://www.bom.gov.au/climate/outlooks/" TargetMode="External"/><Relationship Id="rId132" Type="http://schemas.openxmlformats.org/officeDocument/2006/relationships/hyperlink" Target="https://www.industry.nsw.gov.au/__data/assets/pdf_file/0016/143152/rural-fmp-draft-technical-manual.pdf" TargetMode="External"/><Relationship Id="rId153" Type="http://schemas.openxmlformats.org/officeDocument/2006/relationships/hyperlink" Target="http://www.mdba.gov.au/sites/default/files/archived/proposed/EWR-Lower-Namoi-River-in-channelflows.pdf%20%20" TargetMode="External"/><Relationship Id="rId174" Type="http://schemas.openxmlformats.org/officeDocument/2006/relationships/hyperlink" Target="http://www.bom.gov.au/climate/outlooks/" TargetMode="External"/><Relationship Id="rId195" Type="http://schemas.openxmlformats.org/officeDocument/2006/relationships/header" Target="header17.xml"/><Relationship Id="rId209" Type="http://schemas.openxmlformats.org/officeDocument/2006/relationships/hyperlink" Target="https://www.industry.nsw.gov.au/water/allocations-availability/temporary-water-restrictions/expired/barwon-darling-unreg-river-floodplain" TargetMode="External"/><Relationship Id="rId220" Type="http://schemas.openxmlformats.org/officeDocument/2006/relationships/image" Target="media/image28.png"/><Relationship Id="rId241" Type="http://schemas.openxmlformats.org/officeDocument/2006/relationships/hyperlink" Target="http://www.environment.gov.au/water/cewo/monitoring/ewkr" TargetMode="External"/><Relationship Id="rId15" Type="http://schemas.openxmlformats.org/officeDocument/2006/relationships/hyperlink" Target="mailto:ewater@awe.gov.au" TargetMode="External"/><Relationship Id="rId36" Type="http://schemas.openxmlformats.org/officeDocument/2006/relationships/image" Target="media/image9.png"/><Relationship Id="rId57" Type="http://schemas.openxmlformats.org/officeDocument/2006/relationships/hyperlink" Target="http://www.environment.gov.au/water/cewo/monitoring/ewkr" TargetMode="External"/><Relationship Id="rId262" Type="http://schemas.openxmlformats.org/officeDocument/2006/relationships/footer" Target="footer31.xml"/><Relationship Id="rId283" Type="http://schemas.openxmlformats.org/officeDocument/2006/relationships/footer" Target="footer36.xml"/><Relationship Id="rId78" Type="http://schemas.openxmlformats.org/officeDocument/2006/relationships/hyperlink" Target="https://www.dpi.nsw.gov.au/__data/assets/pdf_file/0003/634557/Lowland-Darling-River-aquatic-ecological-community.pdf" TargetMode="External"/><Relationship Id="rId99" Type="http://schemas.openxmlformats.org/officeDocument/2006/relationships/hyperlink" Target="http://ewkr.com.au/dryland-river-waterholes-important-refuges-for-river-life-especially-during-dry-times/" TargetMode="External"/><Relationship Id="rId101" Type="http://schemas.openxmlformats.org/officeDocument/2006/relationships/hyperlink" Target="http://ewkr.com.au/do-floodplain-trees-need-floods/" TargetMode="External"/><Relationship Id="rId122" Type="http://schemas.openxmlformats.org/officeDocument/2006/relationships/image" Target="media/image210.emf"/><Relationship Id="rId143" Type="http://schemas.openxmlformats.org/officeDocument/2006/relationships/footer" Target="footer17.xml"/><Relationship Id="rId164" Type="http://schemas.openxmlformats.org/officeDocument/2006/relationships/header" Target="header15.xml"/><Relationship Id="rId185" Type="http://schemas.openxmlformats.org/officeDocument/2006/relationships/hyperlink" Target="https://www.industry.nsw.gov.au/__data/assets/pdf_file/0012/313032/WAS-Regulated-Rivers-20200701.pdf" TargetMode="External"/><Relationship Id="rId9" Type="http://schemas.openxmlformats.org/officeDocument/2006/relationships/webSettings" Target="webSettings.xml"/><Relationship Id="rId210" Type="http://schemas.openxmlformats.org/officeDocument/2006/relationships/hyperlink" Target="https://environment.gov.au/water/cewo/publications/characterising-eco-effects-changes-barwon-darling-2017" TargetMode="External"/><Relationship Id="rId26" Type="http://schemas.openxmlformats.org/officeDocument/2006/relationships/header" Target="header7.xml"/><Relationship Id="rId231" Type="http://schemas.openxmlformats.org/officeDocument/2006/relationships/footer" Target="footer29.xml"/><Relationship Id="rId252" Type="http://schemas.openxmlformats.org/officeDocument/2006/relationships/hyperlink" Target="https://www.environment.gov.au/water/cewo/publications/ltim-lachlan-annual-report-2017-18" TargetMode="External"/><Relationship Id="rId273" Type="http://schemas.openxmlformats.org/officeDocument/2006/relationships/hyperlink" Target="https://www.industry.nsw.gov.au/__data/assets/pdf_file/0012/313032/WAS-Regulated-Rivers-20200701.pdf" TargetMode="External"/><Relationship Id="rId294" Type="http://schemas.openxmlformats.org/officeDocument/2006/relationships/image" Target="media/image38.jpeg"/><Relationship Id="rId308" Type="http://schemas.openxmlformats.org/officeDocument/2006/relationships/hyperlink" Target="https://www.environment.sa.gov.au/news-hub/news/articles/2020/01/native-fish-recovery-congolli" TargetMode="External"/><Relationship Id="rId47" Type="http://schemas.openxmlformats.org/officeDocument/2006/relationships/hyperlink" Target="http://www.environment.gov.au/water/cewo/publications/framework-determining-cew-use" TargetMode="External"/><Relationship Id="rId68" Type="http://schemas.openxmlformats.org/officeDocument/2006/relationships/footer" Target="footer8.xml"/><Relationship Id="rId89" Type="http://schemas.openxmlformats.org/officeDocument/2006/relationships/footer" Target="footer11.xml"/><Relationship Id="rId112" Type="http://schemas.openxmlformats.org/officeDocument/2006/relationships/hyperlink" Target="http://www.bom.gov.au/climate/outlooks/" TargetMode="External"/><Relationship Id="rId133" Type="http://schemas.openxmlformats.org/officeDocument/2006/relationships/hyperlink" Target="https://www.industry.nsw.gov.au/__data/assets/pdf_file/0020/192332/gwydir-first-nations-consultation-gomeroi-nation-report.pdf" TargetMode="External"/><Relationship Id="rId154" Type="http://schemas.openxmlformats.org/officeDocument/2006/relationships/hyperlink" Target="http://www.mdba.gov.au/sites/default/files/pubs/Final-BWS-Nov14.pdf" TargetMode="External"/><Relationship Id="rId175" Type="http://schemas.openxmlformats.org/officeDocument/2006/relationships/hyperlink" Target="http://www.bom.gov.au/climate/outlooks/" TargetMode="External"/><Relationship Id="rId196" Type="http://schemas.openxmlformats.org/officeDocument/2006/relationships/footer" Target="footer22.xml"/><Relationship Id="rId200" Type="http://schemas.openxmlformats.org/officeDocument/2006/relationships/hyperlink" Target="http://www.bom.gov.au/climate/outlooks/" TargetMode="External"/><Relationship Id="rId16" Type="http://schemas.openxmlformats.org/officeDocument/2006/relationships/hyperlink" Target="http://www.environment.gov.au/water/cewo" TargetMode="External"/><Relationship Id="rId221" Type="http://schemas.openxmlformats.org/officeDocument/2006/relationships/footer" Target="footer27.xml"/><Relationship Id="rId242" Type="http://schemas.openxmlformats.org/officeDocument/2006/relationships/hyperlink" Target="http://www.environment.gov.au/water/cewo/publications/mer-plan-lachlan-2019" TargetMode="External"/><Relationship Id="rId263" Type="http://schemas.openxmlformats.org/officeDocument/2006/relationships/footer" Target="footer32.xml"/><Relationship Id="rId284" Type="http://schemas.openxmlformats.org/officeDocument/2006/relationships/hyperlink" Target="http://www.environment.gov.au/water/cewo/publications/goulburn-ltim-report-2018-19" TargetMode="External"/><Relationship Id="rId37" Type="http://schemas.openxmlformats.org/officeDocument/2006/relationships/hyperlink" Target="https://www.legislation.gov.au/Details/F2017C00078" TargetMode="External"/><Relationship Id="rId58" Type="http://schemas.openxmlformats.org/officeDocument/2006/relationships/hyperlink" Target="https://www.environment.gov.au/water/cewo/publications" TargetMode="External"/><Relationship Id="rId79" Type="http://schemas.openxmlformats.org/officeDocument/2006/relationships/hyperlink" Target="https://www.researchgate.net/deref/http%3A%2F%2Fdx.doi.org%2F10.1071%2FZO17025" TargetMode="External"/><Relationship Id="rId102" Type="http://schemas.openxmlformats.org/officeDocument/2006/relationships/hyperlink" Target="https://www.environment.nsw.gov.au/-/media/OEH/Corporate-Site/Documents/Water/Water-for-the-environment/intersecting-streams-long-term-water-plan-parts-a-b-190307.pdf" TargetMode="External"/><Relationship Id="rId123" Type="http://schemas.openxmlformats.org/officeDocument/2006/relationships/hyperlink" Target="http://www.environment.gov.au/water/cewo/catchment/gwydir/monitoring" TargetMode="External"/><Relationship Id="rId144" Type="http://schemas.openxmlformats.org/officeDocument/2006/relationships/image" Target="media/image22.jpeg"/><Relationship Id="rId90" Type="http://schemas.openxmlformats.org/officeDocument/2006/relationships/hyperlink" Target="https://www.environment.gov.au/water/cewo/catchment/northern-unregulated-rivers/monitoring" TargetMode="External"/><Relationship Id="rId165" Type="http://schemas.openxmlformats.org/officeDocument/2006/relationships/footer" Target="footer19.xml"/><Relationship Id="rId186" Type="http://schemas.openxmlformats.org/officeDocument/2006/relationships/hyperlink" Target="https://www.environment.nsw.gov.au/research-and-publications/publications-search/macquarie-castlereagh-long-term-water-plan-part-a" TargetMode="External"/><Relationship Id="rId211" Type="http://schemas.openxmlformats.org/officeDocument/2006/relationships/hyperlink" Target="https://www.environment.nsw.gov.au/topics/water/water-for-the-environment/planning-and-reporting/long-term-water-plans/barwon-darling-consultation" TargetMode="External"/><Relationship Id="rId232" Type="http://schemas.openxmlformats.org/officeDocument/2006/relationships/image" Target="media/image29.png"/><Relationship Id="rId253" Type="http://schemas.openxmlformats.org/officeDocument/2006/relationships/hyperlink" Target="http://www.dpi.nsw.gov.au/__data/assets/pdf_file/0003/664356/fish-and-flows-in-the-murray-river-catchment.pdf" TargetMode="External"/><Relationship Id="rId274" Type="http://schemas.openxmlformats.org/officeDocument/2006/relationships/hyperlink" Target="https://www.environment.nsw.gov.au/-/media/OEH/Corporate-Site/Documents/Water/Water-for-the-environment/murrumbidgee-long-term-water-plan-part-a-190152.pdf" TargetMode="External"/><Relationship Id="rId295" Type="http://schemas.openxmlformats.org/officeDocument/2006/relationships/header" Target="header23.xml"/><Relationship Id="rId309" Type="http://schemas.openxmlformats.org/officeDocument/2006/relationships/hyperlink" Target="https://www.mdba.gov.au/managing-water/water-for-environment/chowilla-floodplain-report-card-2017-18" TargetMode="External"/><Relationship Id="rId27" Type="http://schemas.openxmlformats.org/officeDocument/2006/relationships/footer" Target="footer5.xml"/><Relationship Id="rId48" Type="http://schemas.openxmlformats.org/officeDocument/2006/relationships/hyperlink" Target="http://www.environment.gov.au/water/cewo/trade" TargetMode="External"/><Relationship Id="rId69" Type="http://schemas.openxmlformats.org/officeDocument/2006/relationships/hyperlink" Target="https://www.environment.gov.au/water/cewo/catchment/border-rivers/monitoring" TargetMode="External"/><Relationship Id="rId113" Type="http://schemas.openxmlformats.org/officeDocument/2006/relationships/hyperlink" Target="http://www.bom.gov.au/climate/outlooks/" TargetMode="External"/><Relationship Id="rId134" Type="http://schemas.openxmlformats.org/officeDocument/2006/relationships/hyperlink" Target="https://www.environment.nsw.gov.au/chpublications/index.htm" TargetMode="External"/><Relationship Id="rId80" Type="http://schemas.openxmlformats.org/officeDocument/2006/relationships/hyperlink" Target="https://www.environment.nsw.gov.au/-/media/OEH/Corporate-Site/Documents/Water/Water-for-the-environment/border-rivers-long-term-water-plan-part-a-part-b-180604.pdf" TargetMode="External"/><Relationship Id="rId155" Type="http://schemas.openxmlformats.org/officeDocument/2006/relationships/hyperlink" Target="https://www.mdba.gov.au/discover-basin/catchments/namoi" TargetMode="External"/><Relationship Id="rId176" Type="http://schemas.openxmlformats.org/officeDocument/2006/relationships/hyperlink" Target="http://www.bom.gov.au/climate/outlooks/" TargetMode="External"/><Relationship Id="rId197" Type="http://schemas.openxmlformats.org/officeDocument/2006/relationships/footer" Target="footer23.xml"/><Relationship Id="rId201" Type="http://schemas.openxmlformats.org/officeDocument/2006/relationships/hyperlink" Target="http://www.bom.gov.au/climate/outlooks/" TargetMode="External"/><Relationship Id="rId222" Type="http://schemas.openxmlformats.org/officeDocument/2006/relationships/hyperlink" Target="https://www.environment.gov.au/water/cewo/publications/assessment-murray-cod-recruitment-lower-darling-river-flows-2016-18" TargetMode="External"/><Relationship Id="rId243" Type="http://schemas.openxmlformats.org/officeDocument/2006/relationships/hyperlink" Target="http://www.environment.gov.au/water/cewo/catchment/lachlan/monitoring" TargetMode="External"/><Relationship Id="rId264" Type="http://schemas.openxmlformats.org/officeDocument/2006/relationships/image" Target="media/image34.jpeg"/><Relationship Id="rId285" Type="http://schemas.openxmlformats.org/officeDocument/2006/relationships/hyperlink" Target="http://www.environment.gov.au/water/cewo/monitoring/mer-program" TargetMode="External"/><Relationship Id="rId17" Type="http://schemas.openxmlformats.org/officeDocument/2006/relationships/header" Target="header2.xml"/><Relationship Id="rId38" Type="http://schemas.openxmlformats.org/officeDocument/2006/relationships/hyperlink" Target="https://www.mdba.gov.au/publications/mdba-reports/basin-wide-environmental-watering-strategy" TargetMode="External"/><Relationship Id="rId59" Type="http://schemas.openxmlformats.org/officeDocument/2006/relationships/hyperlink" Target="http://www.environment.gov.au/water/cewo/portfolio-mgt/holdings-catchment" TargetMode="External"/><Relationship Id="rId103" Type="http://schemas.openxmlformats.org/officeDocument/2006/relationships/image" Target="media/image18.png"/><Relationship Id="rId124" Type="http://schemas.openxmlformats.org/officeDocument/2006/relationships/hyperlink" Target="http://www.bom.gov.au/climate/outlooks/" TargetMode="External"/><Relationship Id="rId310" Type="http://schemas.openxmlformats.org/officeDocument/2006/relationships/header" Target="header24.xml"/><Relationship Id="rId70" Type="http://schemas.openxmlformats.org/officeDocument/2006/relationships/hyperlink" Target="https://doi.org/10.1038/s41598-018-23461-9" TargetMode="External"/><Relationship Id="rId91" Type="http://schemas.openxmlformats.org/officeDocument/2006/relationships/hyperlink" Target="http://www.bom.gov.au/water/focus/documents/Water_Focus_Report_Condamine-Balonne_v4.pdf" TargetMode="External"/><Relationship Id="rId145" Type="http://schemas.openxmlformats.org/officeDocument/2006/relationships/hyperlink" Target="http://www.environment.gov.au/water/cewo/catchment/namoi/history" TargetMode="External"/><Relationship Id="rId166" Type="http://schemas.openxmlformats.org/officeDocument/2006/relationships/footer" Target="footer20.xml"/><Relationship Id="rId187" Type="http://schemas.openxmlformats.org/officeDocument/2006/relationships/hyperlink" Target="https://www.environment.nsw.gov.au/research-and-publications/publications-search/macquarie-castlereagh-long-term-water-plan-part-b-planning-units" TargetMode="External"/><Relationship Id="rId1" Type="http://schemas.openxmlformats.org/officeDocument/2006/relationships/customXml" Target="../customXml/item1.xml"/><Relationship Id="rId212" Type="http://schemas.openxmlformats.org/officeDocument/2006/relationships/hyperlink" Target="https://realtimedata.waternsw.com.au/" TargetMode="External"/><Relationship Id="rId233" Type="http://schemas.openxmlformats.org/officeDocument/2006/relationships/image" Target="media/image30.png"/><Relationship Id="rId254" Type="http://schemas.openxmlformats.org/officeDocument/2006/relationships/hyperlink" Target="https://doi.org/10.1002/rra.3409" TargetMode="External"/><Relationship Id="rId28" Type="http://schemas.openxmlformats.org/officeDocument/2006/relationships/header" Target="header8.xml"/><Relationship Id="rId49" Type="http://schemas.openxmlformats.org/officeDocument/2006/relationships/hyperlink" Target="http://www.environment.gov.au/water/cewo/trade/trading-framework" TargetMode="External"/><Relationship Id="rId114" Type="http://schemas.openxmlformats.org/officeDocument/2006/relationships/hyperlink" Target="http://www.bom.gov.au/climate/outlooks/" TargetMode="External"/><Relationship Id="rId275" Type="http://schemas.openxmlformats.org/officeDocument/2006/relationships/hyperlink" Target="https://www.environment.nsw.gov.au/-/media/OEH/Corporate-Site/Documents/Water/Water-for-the-environment/murrumbidgee-long-term-water-plan-part-b-190218.pdf" TargetMode="External"/><Relationship Id="rId296" Type="http://schemas.openxmlformats.org/officeDocument/2006/relationships/footer" Target="footer39.xml"/><Relationship Id="rId300" Type="http://schemas.openxmlformats.org/officeDocument/2006/relationships/hyperlink" Target="http://www.environment.gov.au/water/cewo/catchment/lower-murray-darling" TargetMode="External"/><Relationship Id="rId60" Type="http://schemas.openxmlformats.org/officeDocument/2006/relationships/hyperlink" Target="https://www.environment.gov.au/water/cewo/publications/water-trading-framework-nov2016" TargetMode="External"/><Relationship Id="rId81" Type="http://schemas.openxmlformats.org/officeDocument/2006/relationships/hyperlink" Target="https://www.waternsw.com.au/__data/assets/pdf_file/0009/156798/Water-Availability-Report-11-May-2020.PDF" TargetMode="External"/><Relationship Id="rId135" Type="http://schemas.openxmlformats.org/officeDocument/2006/relationships/hyperlink" Target="http://www.wetlandrecovery.nsw.gov.au/projectsAboriginal_values.htm" TargetMode="External"/><Relationship Id="rId156" Type="http://schemas.openxmlformats.org/officeDocument/2006/relationships/hyperlink" Target="https://www.dpi.nsw.gov.au/fishing/habitat/threats/fish-kills" TargetMode="External"/><Relationship Id="rId177" Type="http://schemas.openxmlformats.org/officeDocument/2006/relationships/hyperlink" Target="http://www.bom.gov.au/climate/outlooks/" TargetMode="External"/><Relationship Id="rId198" Type="http://schemas.openxmlformats.org/officeDocument/2006/relationships/footer" Target="footer24.xml"/><Relationship Id="rId202" Type="http://schemas.openxmlformats.org/officeDocument/2006/relationships/hyperlink" Target="http://www.bom.gov.au/climate/outlooks/" TargetMode="External"/><Relationship Id="rId223" Type="http://schemas.openxmlformats.org/officeDocument/2006/relationships/hyperlink" Target="https://www.environment.gov.au/water/cewo/publications/environmental-flows-darling-river-fish-2016-17" TargetMode="External"/><Relationship Id="rId244" Type="http://schemas.openxmlformats.org/officeDocument/2006/relationships/hyperlink" Target="https://www.environment.gov.au/water/cewo/publications/ibis-response-lower-lachlan" TargetMode="External"/><Relationship Id="rId18" Type="http://schemas.openxmlformats.org/officeDocument/2006/relationships/header" Target="header3.xml"/><Relationship Id="rId39" Type="http://schemas.openxmlformats.org/officeDocument/2006/relationships/image" Target="media/image10.png"/><Relationship Id="rId265" Type="http://schemas.openxmlformats.org/officeDocument/2006/relationships/hyperlink" Target="https://www.environment.gov.au/water/cewo/catchment/murrumbidgee/history" TargetMode="External"/><Relationship Id="rId286" Type="http://schemas.openxmlformats.org/officeDocument/2006/relationships/hyperlink" Target="https://www.vewh.vic.gov.au/news-and-publications/stories/vefmap-and-wetmap-the-power-of-adaptive-management-of-rivers-and-wetlands" TargetMode="External"/><Relationship Id="rId50" Type="http://schemas.openxmlformats.org/officeDocument/2006/relationships/hyperlink" Target="http://www.environment.gov.au/water/cewo/local-engagement" TargetMode="External"/><Relationship Id="rId104" Type="http://schemas.openxmlformats.org/officeDocument/2006/relationships/hyperlink" Target="http://www.environment.gov.au/water/cewo/catchment/northern-unregulated-rivers/history" TargetMode="External"/><Relationship Id="rId125" Type="http://schemas.openxmlformats.org/officeDocument/2006/relationships/hyperlink" Target="http://www.bom.gov.au/climate/outlooks/" TargetMode="External"/><Relationship Id="rId146" Type="http://schemas.openxmlformats.org/officeDocument/2006/relationships/footer" Target="footer18.xml"/><Relationship Id="rId167" Type="http://schemas.openxmlformats.org/officeDocument/2006/relationships/image" Target="media/image23.png"/><Relationship Id="rId188" Type="http://schemas.openxmlformats.org/officeDocument/2006/relationships/hyperlink" Target="https://www.waternsw.com.au/__data/assets/pdf_file/0005/156146/Water-Availability-Report-27-April-2020.PDF?utm_source=Swift&amp;utm_medium=Email&amp;utm_campaign=NSW_availability" TargetMode="External"/><Relationship Id="rId311" Type="http://schemas.openxmlformats.org/officeDocument/2006/relationships/header" Target="header25.xml"/><Relationship Id="rId71" Type="http://schemas.openxmlformats.org/officeDocument/2006/relationships/hyperlink" Target="https://doi.org/10.1016/j.biocon.2019.108399" TargetMode="External"/><Relationship Id="rId92" Type="http://schemas.openxmlformats.org/officeDocument/2006/relationships/hyperlink" Target="http://www.bom.gov.au/climate/outlooks/" TargetMode="External"/><Relationship Id="rId213" Type="http://schemas.openxmlformats.org/officeDocument/2006/relationships/hyperlink" Target="https://realtimedata.waternsw.com.au/" TargetMode="External"/><Relationship Id="rId234" Type="http://schemas.openxmlformats.org/officeDocument/2006/relationships/image" Target="media/image31.png"/><Relationship Id="rId2" Type="http://schemas.openxmlformats.org/officeDocument/2006/relationships/customXml" Target="../customXml/item2.xml"/><Relationship Id="rId29" Type="http://schemas.openxmlformats.org/officeDocument/2006/relationships/image" Target="media/image4.png"/><Relationship Id="rId255" Type="http://schemas.openxmlformats.org/officeDocument/2006/relationships/hyperlink" Target="https://www.environment.nsw.gov.au/-/media/OEH/Corporate-Site/Documents/Water/Water-for-the-environment/lachlan-long-term-water-plan-part-a-180583.pdf" TargetMode="External"/><Relationship Id="rId276" Type="http://schemas.openxmlformats.org/officeDocument/2006/relationships/hyperlink" Target="http://www.environment.gov.au/resource/environmental-water-delivery-murrumbidgee-valley" TargetMode="External"/><Relationship Id="rId297" Type="http://schemas.openxmlformats.org/officeDocument/2006/relationships/footer" Target="footer40.xml"/><Relationship Id="rId40" Type="http://schemas.openxmlformats.org/officeDocument/2006/relationships/image" Target="media/image100.png"/><Relationship Id="rId115" Type="http://schemas.openxmlformats.org/officeDocument/2006/relationships/hyperlink" Target="https://doi.org/10.1111/fwb.12707" TargetMode="External"/><Relationship Id="rId136" Type="http://schemas.openxmlformats.org/officeDocument/2006/relationships/hyperlink" Target="https://www.industry.nsw.gov.au/__data/assets/pdf_file/0012/313032/WAS-Regulated-Rivers-20200701.pdf" TargetMode="External"/><Relationship Id="rId157" Type="http://schemas.openxmlformats.org/officeDocument/2006/relationships/hyperlink" Target="https://www.environment.nsw.gov.au/research-and-publications/publications-search/namoi-long-term-water-plan-part-a-catchment-draft" TargetMode="External"/><Relationship Id="rId178" Type="http://schemas.openxmlformats.org/officeDocument/2006/relationships/hyperlink" Target="http://www.bom.gov.au/jsp/awap/rain/index.jsp?colour=colour&amp;time=latest&amp;step=0&amp;map=decile&amp;period=36month&amp;area=ns" TargetMode="External"/><Relationship Id="rId301" Type="http://schemas.openxmlformats.org/officeDocument/2006/relationships/hyperlink" Target="https://www.industry.nsw.gov.au/__data/assets/pdf_file/0008/187703/Extreme-Events-policy.pdf" TargetMode="External"/><Relationship Id="rId61" Type="http://schemas.openxmlformats.org/officeDocument/2006/relationships/hyperlink" Target="http://www.environment.gov.au/water/cewo/trade" TargetMode="External"/><Relationship Id="rId82" Type="http://schemas.openxmlformats.org/officeDocument/2006/relationships/header" Target="header10.xml"/><Relationship Id="rId199" Type="http://schemas.openxmlformats.org/officeDocument/2006/relationships/hyperlink" Target="https://www.environment.gov.au/water/cewo/catchment/northern-unregulated-rivers/monitoring" TargetMode="External"/><Relationship Id="rId203" Type="http://schemas.openxmlformats.org/officeDocument/2006/relationships/hyperlink" Target="http://www.bom.gov.au/climate/outlooks/" TargetMode="External"/><Relationship Id="rId19" Type="http://schemas.openxmlformats.org/officeDocument/2006/relationships/footer" Target="footer2.xml"/><Relationship Id="rId224" Type="http://schemas.openxmlformats.org/officeDocument/2006/relationships/hyperlink" Target="https://www.environment.gov.au/water/cewo/publications/environmental-flows-support-murray-cod-spawning-lower-darling-river-2017" TargetMode="External"/><Relationship Id="rId245" Type="http://schemas.openxmlformats.org/officeDocument/2006/relationships/hyperlink" Target="https://www.environment.gov.au/system/files/resources/08f6b8dc-c9d6-4481-86bf-bbb3fea76ddf/files/colonial-waterbird-monitoring-lower-lachlan-2016.pdf" TargetMode="External"/><Relationship Id="rId266" Type="http://schemas.openxmlformats.org/officeDocument/2006/relationships/footer" Target="footer33.xml"/><Relationship Id="rId287" Type="http://schemas.openxmlformats.org/officeDocument/2006/relationships/hyperlink" Target="http://www.bom.gov.au/climate/outlooks/" TargetMode="External"/><Relationship Id="rId30" Type="http://schemas.openxmlformats.org/officeDocument/2006/relationships/hyperlink" Target="mailto:ewater@awe.gov.au" TargetMode="External"/><Relationship Id="rId105" Type="http://schemas.openxmlformats.org/officeDocument/2006/relationships/header" Target="header11.xml"/><Relationship Id="rId126" Type="http://schemas.openxmlformats.org/officeDocument/2006/relationships/hyperlink" Target="http://www.bom.gov.au/climate/outlooks/" TargetMode="External"/><Relationship Id="rId147" Type="http://schemas.openxmlformats.org/officeDocument/2006/relationships/hyperlink" Target="http://www.bom.gov.au/climate/outlooks/" TargetMode="External"/><Relationship Id="rId168" Type="http://schemas.openxmlformats.org/officeDocument/2006/relationships/hyperlink" Target="http://www.environment.gov.au/water/cewo/catchment/macquarie/history" TargetMode="External"/><Relationship Id="rId312" Type="http://schemas.openxmlformats.org/officeDocument/2006/relationships/footer" Target="footer42.xml"/><Relationship Id="rId51" Type="http://schemas.openxmlformats.org/officeDocument/2006/relationships/hyperlink" Target="http://www.environment.gov.au/ewater/partners/index.html" TargetMode="External"/><Relationship Id="rId72" Type="http://schemas.openxmlformats.org/officeDocument/2006/relationships/hyperlink" Target="http://www.bom.gov.au/climate/outlooks/" TargetMode="External"/><Relationship Id="rId93" Type="http://schemas.openxmlformats.org/officeDocument/2006/relationships/hyperlink" Target="http://www.bom.gov.au/climate/outlooks/" TargetMode="External"/><Relationship Id="rId189" Type="http://schemas.openxmlformats.org/officeDocument/2006/relationships/hyperlink" Target="https://realtimedata.waternsw.com.au/" TargetMode="External"/><Relationship Id="rId3" Type="http://schemas.openxmlformats.org/officeDocument/2006/relationships/customXml" Target="../customXml/item3.xml"/><Relationship Id="rId214" Type="http://schemas.openxmlformats.org/officeDocument/2006/relationships/image" Target="media/image27.jpeg"/><Relationship Id="rId235" Type="http://schemas.openxmlformats.org/officeDocument/2006/relationships/image" Target="media/image32.png"/><Relationship Id="rId256" Type="http://schemas.openxmlformats.org/officeDocument/2006/relationships/hyperlink" Target="https://www.environment.nsw.gov.au/-/media/OEH/Corporate-Site/Documents/Water/Water-for-the-environment/lachlan-long-term-water-plan-part-b-180589.pdf" TargetMode="External"/><Relationship Id="rId277" Type="http://schemas.openxmlformats.org/officeDocument/2006/relationships/header" Target="header21.xml"/><Relationship Id="rId298" Type="http://schemas.openxmlformats.org/officeDocument/2006/relationships/hyperlink" Target="http://www.environment.gov.au/cgi-bin/wetlands/alphablist.pl" TargetMode="External"/><Relationship Id="rId116" Type="http://schemas.openxmlformats.org/officeDocument/2006/relationships/header" Target="header13.xml"/><Relationship Id="rId137" Type="http://schemas.openxmlformats.org/officeDocument/2006/relationships/hyperlink" Target="https://www.environment.nsw.gov.au/research-and-publications/publications-search/gwydir-long-term-water-plan-part-a-gwydir-catchment-draft" TargetMode="External"/><Relationship Id="rId158" Type="http://schemas.openxmlformats.org/officeDocument/2006/relationships/hyperlink" Target="https://www.environment.nsw.gov.au/research-and-publications/publications-search/namoi-long-term-water-plan-part-b-planning-units-draft" TargetMode="External"/><Relationship Id="rId302" Type="http://schemas.openxmlformats.org/officeDocument/2006/relationships/footer" Target="footer41.xml"/><Relationship Id="rId20" Type="http://schemas.openxmlformats.org/officeDocument/2006/relationships/header" Target="header4.xml"/><Relationship Id="rId41" Type="http://schemas.openxmlformats.org/officeDocument/2006/relationships/hyperlink" Target="https://www.water.vic.gov.au/waterways-and-catchments/rivers-estuaries-and-waterways/environmental-water/long-term-watering-plans" TargetMode="External"/><Relationship Id="rId62" Type="http://schemas.openxmlformats.org/officeDocument/2006/relationships/image" Target="media/image13.jpeg"/><Relationship Id="rId83" Type="http://schemas.openxmlformats.org/officeDocument/2006/relationships/footer" Target="footer9.xml"/><Relationship Id="rId179" Type="http://schemas.openxmlformats.org/officeDocument/2006/relationships/hyperlink" Target="http://www.environment.gov.au/water/cewo/publications/making-the-connection" TargetMode="External"/><Relationship Id="rId190" Type="http://schemas.openxmlformats.org/officeDocument/2006/relationships/hyperlink" Target="http://www.waternsw.com.au/supply/visit/burrendong-dam" TargetMode="External"/><Relationship Id="rId204" Type="http://schemas.openxmlformats.org/officeDocument/2006/relationships/hyperlink" Target="https://www.environment.gov.au/system/files/resources/f0f4e105-b7b6-49c1-87aa-d1d9d33a3cc7/files/final-report-northern-connectivity-event-2018.pdf" TargetMode="External"/><Relationship Id="rId225" Type="http://schemas.openxmlformats.org/officeDocument/2006/relationships/hyperlink" Target="http://www.bom.gov.au/climate/outlooks/" TargetMode="External"/><Relationship Id="rId246" Type="http://schemas.openxmlformats.org/officeDocument/2006/relationships/hyperlink" Target="http://www.bom.gov.au/climate/outlooks/" TargetMode="External"/><Relationship Id="rId267" Type="http://schemas.openxmlformats.org/officeDocument/2006/relationships/hyperlink" Target="https://www.environment.gov.au/water/cewo/catchment/murrumbidgee/monitoring" TargetMode="External"/><Relationship Id="rId288" Type="http://schemas.openxmlformats.org/officeDocument/2006/relationships/hyperlink" Target="https://www.mdba.gov.au/publications/mdba-reports/basin-wide-environmental-watering-strategy" TargetMode="External"/><Relationship Id="rId106" Type="http://schemas.openxmlformats.org/officeDocument/2006/relationships/header" Target="header12.xml"/><Relationship Id="rId127" Type="http://schemas.openxmlformats.org/officeDocument/2006/relationships/hyperlink" Target="http://www.bom.gov.au/climate/outlooks/" TargetMode="External"/><Relationship Id="rId313" Type="http://schemas.openxmlformats.org/officeDocument/2006/relationships/header" Target="header26.xml"/><Relationship Id="rId10" Type="http://schemas.openxmlformats.org/officeDocument/2006/relationships/footnotes" Target="footnotes.xml"/><Relationship Id="rId31" Type="http://schemas.openxmlformats.org/officeDocument/2006/relationships/hyperlink" Target="http://www.environment.gov.au/water/cewo" TargetMode="External"/><Relationship Id="rId52" Type="http://schemas.openxmlformats.org/officeDocument/2006/relationships/hyperlink" Target="http://www.environment.gov.au/water/cewo/publications/cew-monitoring-evaluation-reporting-and-improvement-framework" TargetMode="External"/><Relationship Id="rId73" Type="http://schemas.openxmlformats.org/officeDocument/2006/relationships/hyperlink" Target="http://www.bom.gov.au/climate/outlooks/" TargetMode="External"/><Relationship Id="rId94" Type="http://schemas.openxmlformats.org/officeDocument/2006/relationships/hyperlink" Target="http://www.bom.gov.au/climate/outlooks/" TargetMode="External"/><Relationship Id="rId148" Type="http://schemas.openxmlformats.org/officeDocument/2006/relationships/hyperlink" Target="http://www.bom.gov.au/climate/outlooks/" TargetMode="External"/><Relationship Id="rId169" Type="http://schemas.openxmlformats.org/officeDocument/2006/relationships/header" Target="header16.xml"/><Relationship Id="rId278" Type="http://schemas.openxmlformats.org/officeDocument/2006/relationships/footer" Target="footer34.xml"/><Relationship Id="rId180" Type="http://schemas.openxmlformats.org/officeDocument/2006/relationships/hyperlink" Target="http://www.environment.gov.au/water/cewo/publications/waterbird-movements-breeding-success-macquarie-marshes-final-report-2017" TargetMode="External"/><Relationship Id="rId215" Type="http://schemas.openxmlformats.org/officeDocument/2006/relationships/hyperlink" Target="https://www.environment.gov.au/water/cewo/catchment/lower-murray-darling/history" TargetMode="External"/><Relationship Id="rId236" Type="http://schemas.openxmlformats.org/officeDocument/2006/relationships/hyperlink" Target="http://www.environment.gov.au/water/cewo/catchment/lachlan" TargetMode="External"/><Relationship Id="rId257" Type="http://schemas.openxmlformats.org/officeDocument/2006/relationships/hyperlink" Target="https://www.industry.nsw.gov.au/__data/assets/pdf_file/0008/187703/Extreme-Events-policy.pdf" TargetMode="External"/><Relationship Id="rId303" Type="http://schemas.openxmlformats.org/officeDocument/2006/relationships/hyperlink" Target="http://www.environment.gov.au/water/cewo/catchment/mid-murray/monitoring" TargetMode="External"/><Relationship Id="rId42" Type="http://schemas.openxmlformats.org/officeDocument/2006/relationships/hyperlink" Target="https://www.environment.sa.gov.au/topics/river-murray/improving-river-health/environmental-water/environmental-water-planning" TargetMode="External"/><Relationship Id="rId84" Type="http://schemas.openxmlformats.org/officeDocument/2006/relationships/footer" Target="footer10.xml"/><Relationship Id="rId138" Type="http://schemas.openxmlformats.org/officeDocument/2006/relationships/hyperlink" Target="https://www.environment.nsw.gov.au/research-and-publications/publications-search/gwydir-long-term-water-plan-part-b-gwydir-planning-units-draft" TargetMode="External"/><Relationship Id="rId191" Type="http://schemas.openxmlformats.org/officeDocument/2006/relationships/hyperlink" Target="http://www.waternsw.com.au/supply/visit/windamere-dam" TargetMode="External"/><Relationship Id="rId205" Type="http://schemas.openxmlformats.org/officeDocument/2006/relationships/hyperlink" Target="https://www.environment.gov.au/water/cewo/publications/barwon-darling-water-quality-northern-fish-flow-march-august-2019" TargetMode="External"/><Relationship Id="rId247" Type="http://schemas.openxmlformats.org/officeDocument/2006/relationships/hyperlink" Target="http://www.environment.gov.au/water/cewo/publications/blackwater-review" TargetMode="External"/><Relationship Id="rId107" Type="http://schemas.openxmlformats.org/officeDocument/2006/relationships/footer" Target="footer12.xml"/><Relationship Id="rId289" Type="http://schemas.openxmlformats.org/officeDocument/2006/relationships/hyperlink" Target="https://www.mdba.gov.au/discover-basin/catchments" TargetMode="External"/><Relationship Id="rId11" Type="http://schemas.openxmlformats.org/officeDocument/2006/relationships/endnotes" Target="endnotes.xml"/><Relationship Id="rId53" Type="http://schemas.openxmlformats.org/officeDocument/2006/relationships/hyperlink" Target="http://www.environment.gov.au/water/cewo/monitoring" TargetMode="External"/><Relationship Id="rId149" Type="http://schemas.openxmlformats.org/officeDocument/2006/relationships/hyperlink" Target="http://www.bom.gov.au/climate/outlooks/" TargetMode="External"/><Relationship Id="rId314" Type="http://schemas.openxmlformats.org/officeDocument/2006/relationships/fontTable" Target="fontTable.xml"/><Relationship Id="rId95" Type="http://schemas.openxmlformats.org/officeDocument/2006/relationships/hyperlink" Target="http://www.bom.gov.au/climate/outlooks/" TargetMode="External"/><Relationship Id="rId160" Type="http://schemas.openxmlformats.org/officeDocument/2006/relationships/hyperlink" Target="https://www.industry.nsw.gov.au/water/allocations-availability/temporary-water-restrictions/expired/upper-lower-namoi-reg-river" TargetMode="External"/><Relationship Id="rId216" Type="http://schemas.openxmlformats.org/officeDocument/2006/relationships/hyperlink" Target="https://www.waternsw.com.au/supply/regional-nsw/availability" TargetMode="External"/><Relationship Id="rId258" Type="http://schemas.openxmlformats.org/officeDocument/2006/relationships/hyperlink" Target="https://www.industry.nsw.gov.au/__data/assets/pdf_file/0020/301466/WAS-Lachlan-20200515.pdf" TargetMode="External"/><Relationship Id="rId22" Type="http://schemas.openxmlformats.org/officeDocument/2006/relationships/image" Target="media/image3.jpg"/><Relationship Id="rId64" Type="http://schemas.openxmlformats.org/officeDocument/2006/relationships/header" Target="header9.xml"/><Relationship Id="rId118" Type="http://schemas.openxmlformats.org/officeDocument/2006/relationships/footer" Target="footer15.xml"/><Relationship Id="rId171" Type="http://schemas.openxmlformats.org/officeDocument/2006/relationships/image" Target="media/image24.jpeg"/><Relationship Id="rId227" Type="http://schemas.openxmlformats.org/officeDocument/2006/relationships/hyperlink" Target="https://www.industry.nsw.gov.au/__data/assets/pdf_file/0012/313032/WAS-Regulated-Rivers-20200701.pdf" TargetMode="External"/><Relationship Id="rId269" Type="http://schemas.openxmlformats.org/officeDocument/2006/relationships/hyperlink" Target="https://www.mdba.gov.au/sites/default/files/archived/proposed/EWR-Mid-Murrumbidgee-River-Wetlands-v2.pdf" TargetMode="External"/><Relationship Id="rId33" Type="http://schemas.openxmlformats.org/officeDocument/2006/relationships/image" Target="media/image6.png"/><Relationship Id="rId129" Type="http://schemas.openxmlformats.org/officeDocument/2006/relationships/hyperlink" Target="http://www.environment.gov.au/resource/commonwealth-environmental-water-annual-use-options-gwydir-river-valley" TargetMode="External"/><Relationship Id="rId280" Type="http://schemas.openxmlformats.org/officeDocument/2006/relationships/image" Target="media/image35.emf"/><Relationship Id="rId75" Type="http://schemas.openxmlformats.org/officeDocument/2006/relationships/hyperlink" Target="https://doi.org/10.1016/j.gecco.2019.e00720" TargetMode="External"/><Relationship Id="rId140" Type="http://schemas.openxmlformats.org/officeDocument/2006/relationships/hyperlink" Target="https://www.waternsw.com.au/__data/assets/pdf_file/0005/156146/Water-Availability-Report-27-April-2020.PDF?utm_source=Swift&amp;utm_medium=Email&amp;utm_campaign=NSW_availability" TargetMode="External"/><Relationship Id="rId182" Type="http://schemas.openxmlformats.org/officeDocument/2006/relationships/hyperlink" Target="http://www.mdba.gov.au/sites/default/files/pubs/Final-BWS-Nov14.pdf" TargetMode="External"/><Relationship Id="rId6" Type="http://schemas.openxmlformats.org/officeDocument/2006/relationships/numbering" Target="numbering.xml"/><Relationship Id="rId238" Type="http://schemas.openxmlformats.org/officeDocument/2006/relationships/footer" Target="footer30.xml"/><Relationship Id="rId291" Type="http://schemas.openxmlformats.org/officeDocument/2006/relationships/footer" Target="footer37.xml"/><Relationship Id="rId305" Type="http://schemas.openxmlformats.org/officeDocument/2006/relationships/hyperlink" Target="http://www.bom.gov.au/climate/outlooks/" TargetMode="External"/><Relationship Id="rId44" Type="http://schemas.openxmlformats.org/officeDocument/2006/relationships/hyperlink" Target="https://www.environment.nsw.gov.au/topics/water/water-for-the-environment/planning-and-reporting/long-term-water-plans" TargetMode="External"/><Relationship Id="rId86" Type="http://schemas.microsoft.com/office/2007/relationships/hdphoto" Target="media/hdphoto1.wdp"/><Relationship Id="rId151" Type="http://schemas.openxmlformats.org/officeDocument/2006/relationships/hyperlink" Target="http://www.bom.gov.au/jsp/awap/rain/index.jsp?colour=colour&amp;time=latest&amp;step=0&amp;map=decile&amp;period=36month&amp;area=n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1" ma:contentTypeDescription="Create a new document." ma:contentTypeScope="" ma:versionID="ab0819aaaccea8fe8ee2b7900102c7dd">
  <xsd:schema xmlns:xsd="http://www.w3.org/2001/XMLSchema" xmlns:xs="http://www.w3.org/2001/XMLSchema" xmlns:p="http://schemas.microsoft.com/office/2006/metadata/properties" xmlns:ns2="ac7ce04e-ea5d-4d46-bab0-39b1fa6a6f36" targetNamespace="http://schemas.microsoft.com/office/2006/metadata/properties" ma:root="true" ma:fieldsID="c9b315db8aba91f29871216a3dadc1eb"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SPIRE Word Document" ma:contentTypeID="0x010100DB29C2AB6EB75541991FB3E24043BFB6010066ACF9CCD54D994982BF484DF3F6F4F4" ma:contentTypeVersion="25" ma:contentTypeDescription="Create a new Word Document" ma:contentTypeScope="" ma:versionID="c3f35c16c259f44e99e7a823614750c2">
  <xsd:schema xmlns:xsd="http://www.w3.org/2001/XMLSchema" xmlns:xs="http://www.w3.org/2001/XMLSchema" xmlns:p="http://schemas.microsoft.com/office/2006/metadata/properties" xmlns:ns2="5af92df4-ae3d-4772-abff-92e7cba13994" targetNamespace="http://schemas.microsoft.com/office/2006/metadata/properties" ma:root="true" ma:fieldsID="dff7613ad8003a2a5e49b27e2c7b1b76" ns2:_="">
    <xsd:import namespace="5af92df4-ae3d-4772-abff-92e7cba1399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2:Division" minOccurs="0"/>
                <xsd:element ref="ns2:Branch" minOccurs="0"/>
                <xsd:element ref="ns2:Se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f92df4-ae3d-4772-abff-92e7cba13994"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0">
      <xsd:simpleType>
        <xsd:restriction base="dms:Note">
          <xsd:maxLength value="255"/>
        </xsd:restriction>
      </xsd:simpleType>
    </xsd:element>
    <xsd:element name="Approval" ma:index="9" nillable="true" ma:displayName="Approval" ma:default="" ma:description="Select the approval status of the document" ma:format="Dropdown" ma:internalName="Approval0">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0">
      <xsd:simpleType>
        <xsd:restriction base="dms:Text"/>
      </xsd:simpleType>
    </xsd:element>
    <xsd:element name="Function" ma:index="11" nillable="true" ma:displayName="Function" ma:default="Program Admin" ma:description="Select the relevance function" ma:format="Dropdown" ma:hidden="true" ma:internalName="Function0"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element name="Division" ma:index="12" nillable="true" ma:displayName="Division" ma:description="Department Division" ma:hidden="true" ma:SearchPeopleOnly="false" ma:internalName="Division0"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ranch" ma:index="13" nillable="true" ma:displayName="Branch" ma:description="Department Branch" ma:hidden="true" ma:SearchPeopleOnly="false" ma:internalName="Branch0"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ection" ma:index="14" nillable="true" ma:displayName="Section" ma:description="Department Section" ma:hidden="true" ma:SearchPeopleOnly="false" ma:internalName="Section0"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documentManagement>
    <Embargoed xmlns="ac7ce04e-ea5d-4d46-bab0-39b1fa6a6f36">false</Embargoed>
  </documentManagement>
</p:properties>
</file>

<file path=customXml/itemProps1.xml><?xml version="1.0" encoding="utf-8"?>
<ds:datastoreItem xmlns:ds="http://schemas.openxmlformats.org/officeDocument/2006/customXml" ds:itemID="{A27AFCA6-CA79-4063-81AE-6658E5CB9403}"/>
</file>

<file path=customXml/itemProps2.xml><?xml version="1.0" encoding="utf-8"?>
<ds:datastoreItem xmlns:ds="http://schemas.openxmlformats.org/officeDocument/2006/customXml" ds:itemID="{B5D39E57-FC39-4C66-BEA5-6F17030C41BC}">
  <ds:schemaRefs>
    <ds:schemaRef ds:uri="http://schemas.microsoft.com/sharepoint/v3/contenttype/forms"/>
  </ds:schemaRefs>
</ds:datastoreItem>
</file>

<file path=customXml/itemProps3.xml><?xml version="1.0" encoding="utf-8"?>
<ds:datastoreItem xmlns:ds="http://schemas.openxmlformats.org/officeDocument/2006/customXml" ds:itemID="{F4A00941-3794-450B-A426-1988652DF979}">
  <ds:schemaRefs>
    <ds:schemaRef ds:uri="http://schemas.openxmlformats.org/officeDocument/2006/bibliography"/>
  </ds:schemaRefs>
</ds:datastoreItem>
</file>

<file path=customXml/itemProps4.xml><?xml version="1.0" encoding="utf-8"?>
<ds:datastoreItem xmlns:ds="http://schemas.openxmlformats.org/officeDocument/2006/customXml" ds:itemID="{67BCB150-FAE7-44E9-A5AA-6690711ABC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f92df4-ae3d-4772-abff-92e7cba1399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9BAD3DB7-147D-407B-B034-A63C38F3EB9D}">
  <ds:schemaRefs>
    <ds:schemaRef ds:uri="5af92df4-ae3d-4772-abff-92e7cba13994"/>
    <ds:schemaRef ds:uri="http://purl.org/dc/elements/1.1/"/>
    <ds:schemaRef ds:uri="http://schemas.microsoft.com/office/2006/documentManagement/types"/>
    <ds:schemaRef ds:uri="http://schemas.microsoft.com/office/infopath/2007/PartnerControls"/>
    <ds:schemaRef ds:uri="http://purl.org/dc/terms/"/>
    <ds:schemaRef ds:uri="http://schemas.openxmlformats.org/package/2006/metadata/core-properties"/>
    <ds:schemaRef ds:uri="http://purl.org/dc/dcmitype/"/>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217</Pages>
  <Words>98064</Words>
  <Characters>558970</Characters>
  <Application>Microsoft Office Word</Application>
  <DocSecurity>4</DocSecurity>
  <Lines>4658</Lines>
  <Paragraphs>1311</Paragraphs>
  <ScaleCrop>false</ScaleCrop>
  <HeadingPairs>
    <vt:vector size="2" baseType="variant">
      <vt:variant>
        <vt:lpstr>Title</vt:lpstr>
      </vt:variant>
      <vt:variant>
        <vt:i4>1</vt:i4>
      </vt:variant>
    </vt:vector>
  </HeadingPairs>
  <TitlesOfParts>
    <vt:vector size="1" baseType="lpstr">
      <vt:lpstr>WMP 2020-21</vt:lpstr>
    </vt:vector>
  </TitlesOfParts>
  <Company/>
  <LinksUpToDate>false</LinksUpToDate>
  <CharactersWithSpaces>655723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Water Management Plan 2020-21</dc:title>
  <dc:subject/>
  <dc:creator>Commonwealth Environmental Water Office</dc:creator>
  <cp:keywords/>
  <dc:description/>
  <cp:lastModifiedBy>Bec Durack</cp:lastModifiedBy>
  <cp:revision>2</cp:revision>
  <cp:lastPrinted>2020-12-08T21:14:00Z</cp:lastPrinted>
  <dcterms:created xsi:type="dcterms:W3CDTF">2020-12-17T23:23:00Z</dcterms:created>
  <dcterms:modified xsi:type="dcterms:W3CDTF">2020-12-17T23:23:00Z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y fmtid="{D5CDD505-2E9C-101B-9397-08002B2CF9AE}" pid="3" name="RecordPoint_WorkflowType">
    <vt:lpwstr>ActiveSubmitStub</vt:lpwstr>
  </property>
  <property fmtid="{D5CDD505-2E9C-101B-9397-08002B2CF9AE}" pid="4" name="RecordPoint_ActiveItemSiteId">
    <vt:lpwstr>{a8f0bc9d-7c61-4d87-8154-4194e40ae5d3}</vt:lpwstr>
  </property>
  <property fmtid="{D5CDD505-2E9C-101B-9397-08002B2CF9AE}" pid="5" name="RecordPoint_ActiveItemListId">
    <vt:lpwstr>{87b3920b-5344-4e5d-9d9b-ff842f0d3420}</vt:lpwstr>
  </property>
  <property fmtid="{D5CDD505-2E9C-101B-9397-08002B2CF9AE}" pid="6" name="RecordPoint_ActiveItemUniqueId">
    <vt:lpwstr>{f7a327dc-3ef1-405d-b39c-90c0933ff399}</vt:lpwstr>
  </property>
  <property fmtid="{D5CDD505-2E9C-101B-9397-08002B2CF9AE}" pid="7" name="RecordPoint_ActiveItemWebId">
    <vt:lpwstr>{5af92df4-ae3d-4772-abff-92e7cba13994}</vt:lpwstr>
  </property>
  <property fmtid="{D5CDD505-2E9C-101B-9397-08002B2CF9AE}" pid="8" name="RecordPoint_RecordNumberSubmitted">
    <vt:lpwstr>003445466</vt:lpwstr>
  </property>
  <property fmtid="{D5CDD505-2E9C-101B-9397-08002B2CF9AE}" pid="9" name="IconOverlay">
    <vt:lpwstr/>
  </property>
  <property fmtid="{D5CDD505-2E9C-101B-9397-08002B2CF9AE}" pid="10" name="RecordPoint_SubmissionCompleted">
    <vt:lpwstr>2020-12-09T10:05:18.5662836+11:00</vt:lpwstr>
  </property>
  <property fmtid="{D5CDD505-2E9C-101B-9397-08002B2CF9AE}" pid="11" name="RecordPoint_SubmissionDate">
    <vt:lpwstr/>
  </property>
  <property fmtid="{D5CDD505-2E9C-101B-9397-08002B2CF9AE}" pid="12" name="RecordPoint_RecordFormat">
    <vt:lpwstr/>
  </property>
  <property fmtid="{D5CDD505-2E9C-101B-9397-08002B2CF9AE}" pid="13" name="RecordPoint_ActiveItemMoved">
    <vt:lpwstr/>
  </property>
</Properties>
</file>