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F95" w14:textId="69955D84" w:rsidR="00D04A3C" w:rsidRDefault="000E42DB" w:rsidP="001D0BAA">
      <w:pPr>
        <w:pStyle w:val="Series"/>
        <w:spacing w:before="2040"/>
      </w:pPr>
      <w:r w:rsidRPr="000E42DB">
        <w:t>Improving market transparency in perishable agricultural goods industries</w:t>
      </w:r>
    </w:p>
    <w:p w14:paraId="33953D75" w14:textId="01BEF6ED" w:rsidR="00A8597C" w:rsidRPr="00A8597C" w:rsidRDefault="00EC5CE3" w:rsidP="00A8597C">
      <w:pPr>
        <w:pStyle w:val="Heading1"/>
      </w:pPr>
      <w:r>
        <w:t>Chicken meat</w:t>
      </w:r>
      <w:r w:rsidR="000E42DB" w:rsidRPr="000E42DB">
        <w:t xml:space="preserve"> </w:t>
      </w:r>
      <w:r w:rsidR="000E42DB" w:rsidRPr="000C65FB">
        <w:t xml:space="preserve">industry </w:t>
      </w:r>
      <w:r w:rsidR="003F15F5" w:rsidRPr="000C65FB">
        <w:t xml:space="preserve">first </w:t>
      </w:r>
      <w:r w:rsidR="000E42DB" w:rsidRPr="000C65FB">
        <w:t>workshop</w:t>
      </w:r>
      <w:r w:rsidR="000E42DB" w:rsidRPr="000E42DB">
        <w:t xml:space="preserve"> </w:t>
      </w:r>
      <w:r>
        <w:t>24</w:t>
      </w:r>
      <w:r w:rsidR="00B7030F">
        <w:t> </w:t>
      </w:r>
      <w:r w:rsidR="00A8597C">
        <w:t>August</w:t>
      </w:r>
      <w:r w:rsidR="00B7030F">
        <w:t> </w:t>
      </w:r>
      <w:r w:rsidR="00A8597C">
        <w:t>2021</w:t>
      </w:r>
      <w:r w:rsidR="000E42DB" w:rsidRPr="000E42DB">
        <w:t>: Workshop communique</w:t>
      </w:r>
    </w:p>
    <w:p w14:paraId="7170947D" w14:textId="77777777" w:rsidR="00A8597C" w:rsidRDefault="00A8597C" w:rsidP="00A8597C">
      <w:pPr>
        <w:pStyle w:val="Heading2"/>
      </w:pPr>
      <w:r>
        <w:t>Background</w:t>
      </w:r>
    </w:p>
    <w:p w14:paraId="6B4791CD" w14:textId="543E12C1" w:rsidR="00A8597C" w:rsidRDefault="00A8597C" w:rsidP="00A8597C">
      <w:r>
        <w:t xml:space="preserve">In late 2020, the Australian Competition and Consumer Commission (ACCC) conducted an inquiry into bargaining power imbalances in supply chains for perishable agricultural </w:t>
      </w:r>
      <w:r w:rsidR="00013125">
        <w:t>goods (PAG)</w:t>
      </w:r>
      <w:r w:rsidR="00993286">
        <w:t xml:space="preserve"> in Australia</w:t>
      </w:r>
      <w:r>
        <w:t xml:space="preserve">. </w:t>
      </w:r>
      <w:r w:rsidR="001D0BAA">
        <w:t xml:space="preserve">The </w:t>
      </w:r>
      <w:r>
        <w:t xml:space="preserve">inquiry </w:t>
      </w:r>
      <w:r w:rsidR="001D0BAA">
        <w:t xml:space="preserve">recommended that the </w:t>
      </w:r>
      <w:r>
        <w:t>government explore measures to increase price transparency in PAG</w:t>
      </w:r>
      <w:r w:rsidR="00013125">
        <w:t xml:space="preserve"> </w:t>
      </w:r>
      <w:r>
        <w:t>industries to increase competition in those industries.</w:t>
      </w:r>
    </w:p>
    <w:p w14:paraId="33B1521F" w14:textId="1FE32099" w:rsidR="00A8597C" w:rsidRDefault="00A8597C" w:rsidP="00A8597C">
      <w:r>
        <w:t>In response to this recommendation</w:t>
      </w:r>
      <w:r w:rsidR="001D0BAA">
        <w:t>,</w:t>
      </w:r>
      <w:r>
        <w:t xml:space="preserve"> the Australian Government, th</w:t>
      </w:r>
      <w:r w:rsidR="001D0BAA">
        <w:t>r</w:t>
      </w:r>
      <w:r>
        <w:t xml:space="preserve">ough the Department of Agriculture, </w:t>
      </w:r>
      <w:proofErr w:type="gramStart"/>
      <w:r>
        <w:t>Water</w:t>
      </w:r>
      <w:proofErr w:type="gramEnd"/>
      <w:r>
        <w:t xml:space="preserve"> and the Environment (DAWE) has committed $5.4</w:t>
      </w:r>
      <w:r w:rsidR="00545C6C">
        <w:t> </w:t>
      </w:r>
      <w:r>
        <w:t>million to improve price and market transparency in PAG industries by:</w:t>
      </w:r>
    </w:p>
    <w:p w14:paraId="34A8316D" w14:textId="37D4CB53" w:rsidR="00A8597C" w:rsidRDefault="00A8597C" w:rsidP="00A8597C">
      <w:pPr>
        <w:pStyle w:val="ListBullet"/>
      </w:pPr>
      <w:r>
        <w:t>delivering co-design workshops with PAG industries to understand their market transparency issues, opportunities and requirements</w:t>
      </w:r>
    </w:p>
    <w:p w14:paraId="59696ED6" w14:textId="2CBAECF7" w:rsidR="00A8597C" w:rsidRDefault="00A8597C" w:rsidP="00A8597C">
      <w:pPr>
        <w:pStyle w:val="ListBullet"/>
      </w:pPr>
      <w:r>
        <w:t>delivering a grants program to develop and implement tailored mechanisms to improve price and market transparency.</w:t>
      </w:r>
    </w:p>
    <w:p w14:paraId="78FCA847" w14:textId="3CCDF909" w:rsidR="000E42DB" w:rsidRDefault="00A8597C" w:rsidP="00A8597C">
      <w:r>
        <w:t>The workshops provide an opportunity for participants to discuss price and market transparency issues in their sector, brainstorm ideas to improve transparency and co-design the details of solutions going forward.</w:t>
      </w:r>
    </w:p>
    <w:p w14:paraId="7DCE4720" w14:textId="28454E53" w:rsidR="00A8597C" w:rsidRDefault="00A8597C" w:rsidP="00A8597C">
      <w:pPr>
        <w:pStyle w:val="Heading2"/>
      </w:pPr>
      <w:r>
        <w:t>Workshop outcomes</w:t>
      </w:r>
    </w:p>
    <w:p w14:paraId="5D06C971" w14:textId="4763164D" w:rsidR="00A8597C" w:rsidRDefault="00EC5CE3" w:rsidP="001D0BAA">
      <w:r>
        <w:t>Eighteen</w:t>
      </w:r>
      <w:r w:rsidR="00A8597C">
        <w:t xml:space="preserve"> industry and government representatives attended the first </w:t>
      </w:r>
      <w:r>
        <w:t>chicken meat</w:t>
      </w:r>
      <w:r w:rsidR="00A8597C">
        <w:t xml:space="preserve"> price and market transparency workshop. The objective of the first workshop was to discover and analyse the issues, </w:t>
      </w:r>
      <w:proofErr w:type="gramStart"/>
      <w:r w:rsidR="00A8597C">
        <w:t>barriers</w:t>
      </w:r>
      <w:proofErr w:type="gramEnd"/>
      <w:r w:rsidR="00A8597C">
        <w:t xml:space="preserve"> and opportunities to achieve market and price transparency in the </w:t>
      </w:r>
      <w:r>
        <w:t>chicken meat</w:t>
      </w:r>
      <w:r w:rsidR="00A8597C">
        <w:t xml:space="preserve"> industry.</w:t>
      </w:r>
    </w:p>
    <w:p w14:paraId="762C9631" w14:textId="38ED4369" w:rsidR="00ED7A6E" w:rsidRDefault="00ED7A6E" w:rsidP="00480F1E">
      <w:r>
        <w:t xml:space="preserve">Participants </w:t>
      </w:r>
      <w:r w:rsidRPr="00173E2E">
        <w:t>(</w:t>
      </w:r>
      <w:hyperlink w:anchor="_Appendix_A_–" w:history="1">
        <w:r w:rsidR="001D0BAA" w:rsidRPr="001D0BAA">
          <w:rPr>
            <w:rStyle w:val="Hyperlink"/>
          </w:rPr>
          <w:t>Appendix A</w:t>
        </w:r>
      </w:hyperlink>
      <w:r w:rsidR="001D0BAA">
        <w:t xml:space="preserve">) </w:t>
      </w:r>
      <w:r>
        <w:t>worked in small groups that explored:</w:t>
      </w:r>
    </w:p>
    <w:p w14:paraId="278AD5C8" w14:textId="013FE100" w:rsidR="00ED7A6E" w:rsidRPr="001D0BAA" w:rsidRDefault="00ED7A6E" w:rsidP="00480F1E">
      <w:pPr>
        <w:pStyle w:val="ListBullet"/>
      </w:pPr>
      <w:r w:rsidRPr="001D0BAA">
        <w:t xml:space="preserve">Issues – Negative characteristics within the </w:t>
      </w:r>
      <w:r w:rsidR="00EC5CE3">
        <w:t>chicken meat</w:t>
      </w:r>
      <w:r w:rsidRPr="001D0BAA">
        <w:t xml:space="preserve"> industry that decrease price and market transparency</w:t>
      </w:r>
      <w:r w:rsidR="00D97218">
        <w:t>.</w:t>
      </w:r>
    </w:p>
    <w:p w14:paraId="1438166D" w14:textId="0AA765EA" w:rsidR="00ED7A6E" w:rsidRPr="001D0BAA" w:rsidRDefault="00ED7A6E" w:rsidP="00480F1E">
      <w:pPr>
        <w:pStyle w:val="ListBullet"/>
      </w:pPr>
      <w:r w:rsidRPr="001D0BAA">
        <w:t>Barriers</w:t>
      </w:r>
      <w:r w:rsidR="00286A50" w:rsidRPr="001D0BAA">
        <w:t xml:space="preserve"> – </w:t>
      </w:r>
      <w:r w:rsidRPr="001D0BAA">
        <w:t xml:space="preserve">Negative characteristics external to the </w:t>
      </w:r>
      <w:r w:rsidR="00EC5CE3">
        <w:t>chicken meat</w:t>
      </w:r>
      <w:r w:rsidRPr="001D0BAA">
        <w:t xml:space="preserve"> industry that decrease price and market transparency</w:t>
      </w:r>
      <w:r w:rsidR="00D97218">
        <w:t>.</w:t>
      </w:r>
    </w:p>
    <w:p w14:paraId="46C112FD" w14:textId="154C06CF" w:rsidR="00ED7A6E" w:rsidRPr="001D0BAA" w:rsidRDefault="00ED7A6E" w:rsidP="00480F1E">
      <w:pPr>
        <w:pStyle w:val="ListBullet"/>
      </w:pPr>
      <w:r w:rsidRPr="001D0BAA">
        <w:t>Internal opportunities</w:t>
      </w:r>
      <w:r w:rsidR="00286A50" w:rsidRPr="001D0BAA">
        <w:t xml:space="preserve"> – </w:t>
      </w:r>
      <w:r w:rsidRPr="001D0BAA">
        <w:t xml:space="preserve">Positive characteristics that exist within the </w:t>
      </w:r>
      <w:r w:rsidR="00EC5CE3">
        <w:t>chicken meat</w:t>
      </w:r>
      <w:r w:rsidRPr="001D0BAA">
        <w:t xml:space="preserve"> industry that can potentially increase price and market transparency.</w:t>
      </w:r>
    </w:p>
    <w:p w14:paraId="49B53050" w14:textId="4BEA1BD6" w:rsidR="00ED7A6E" w:rsidRPr="001D0BAA" w:rsidRDefault="00ED7A6E" w:rsidP="00480F1E">
      <w:pPr>
        <w:pStyle w:val="ListBullet"/>
      </w:pPr>
      <w:r w:rsidRPr="001D0BAA">
        <w:t>External opportunities</w:t>
      </w:r>
      <w:r w:rsidR="00286A50" w:rsidRPr="001D0BAA">
        <w:t xml:space="preserve"> – </w:t>
      </w:r>
      <w:r w:rsidRPr="001D0BAA">
        <w:t xml:space="preserve">Positive characteristics outside the </w:t>
      </w:r>
      <w:r w:rsidR="00EC5CE3">
        <w:t>chicken meat</w:t>
      </w:r>
      <w:r w:rsidRPr="001D0BAA">
        <w:t xml:space="preserve"> industry that can potentially increase price and market transparency.</w:t>
      </w:r>
    </w:p>
    <w:p w14:paraId="3A6D6BD1" w14:textId="12CDF497" w:rsidR="00423122" w:rsidRDefault="00ED7A6E" w:rsidP="00ED7A6E">
      <w:r>
        <w:lastRenderedPageBreak/>
        <w:t xml:space="preserve">Throughout this process, </w:t>
      </w:r>
      <w:proofErr w:type="gramStart"/>
      <w:r>
        <w:t>issues</w:t>
      </w:r>
      <w:proofErr w:type="gramEnd"/>
      <w:r>
        <w:t xml:space="preserve"> and barriers (and consequently, opportunities) were categorised as either legislative, regulatory, industry specific, general process, technology driven, consumer driven and other (for example, environmental).</w:t>
      </w:r>
    </w:p>
    <w:p w14:paraId="022CF929" w14:textId="379570BA" w:rsidR="00423122" w:rsidRDefault="00423122" w:rsidP="00ED7A6E">
      <w:r w:rsidRPr="00423122">
        <w:t>Participants agreed that there is a lack of transparency in the chicken meat industry, however there were disparate views about the impact on the industry. The processor representatives broadly considered that there was no evidence that a lack of transparency created a problem, as the market was operating effectively under the current system. While the grower representatives considered that the lack of transparency was a significant issue, as growers don’t have the market information to understand pricing and make important business decisions.</w:t>
      </w:r>
    </w:p>
    <w:p w14:paraId="32A34507" w14:textId="125CF87D" w:rsidR="00ED7A6E" w:rsidRDefault="00173E2E" w:rsidP="00ED7A6E">
      <w:r>
        <w:rPr>
          <w:highlight w:val="yellow"/>
        </w:rPr>
        <w:fldChar w:fldCharType="begin"/>
      </w:r>
      <w:r>
        <w:rPr>
          <w:highlight w:val="yellow"/>
        </w:rPr>
        <w:instrText xml:space="preserve"> REF _Ref82700697 \h </w:instrText>
      </w:r>
      <w:r>
        <w:rPr>
          <w:highlight w:val="yellow"/>
        </w:rPr>
      </w:r>
      <w:r>
        <w:rPr>
          <w:highlight w:val="yellow"/>
        </w:rPr>
        <w:fldChar w:fldCharType="separate"/>
      </w:r>
      <w:r w:rsidR="0049603E">
        <w:t xml:space="preserve">Table </w:t>
      </w:r>
      <w:r w:rsidR="0049603E">
        <w:rPr>
          <w:noProof/>
        </w:rPr>
        <w:t>1</w:t>
      </w:r>
      <w:r>
        <w:rPr>
          <w:highlight w:val="yellow"/>
        </w:rPr>
        <w:fldChar w:fldCharType="end"/>
      </w:r>
      <w:r>
        <w:t xml:space="preserve"> </w:t>
      </w:r>
      <w:r w:rsidR="00ED7A6E">
        <w:t xml:space="preserve">identifies and categorises the key themes of issues, barriers and opportunities </w:t>
      </w:r>
      <w:r w:rsidR="00423122">
        <w:t>identified at t</w:t>
      </w:r>
      <w:r w:rsidR="00ED7A6E">
        <w:t>he workshop.</w:t>
      </w:r>
      <w:r w:rsidR="00423122">
        <w:t xml:space="preserve"> </w:t>
      </w:r>
      <w:r w:rsidR="00423122" w:rsidRPr="00423122">
        <w:t xml:space="preserve">It should be noted that there were a diverse range of views raised in this workshop and </w:t>
      </w:r>
      <w:r w:rsidR="00D97218">
        <w:rPr>
          <w:highlight w:val="yellow"/>
        </w:rPr>
        <w:fldChar w:fldCharType="begin"/>
      </w:r>
      <w:r w:rsidR="00D97218">
        <w:rPr>
          <w:highlight w:val="yellow"/>
        </w:rPr>
        <w:instrText xml:space="preserve"> REF _Ref82700697 \h </w:instrText>
      </w:r>
      <w:r w:rsidR="00D97218">
        <w:rPr>
          <w:highlight w:val="yellow"/>
        </w:rPr>
      </w:r>
      <w:r w:rsidR="00D97218">
        <w:rPr>
          <w:highlight w:val="yellow"/>
        </w:rPr>
        <w:fldChar w:fldCharType="separate"/>
      </w:r>
      <w:r w:rsidR="0049603E">
        <w:t xml:space="preserve">Table </w:t>
      </w:r>
      <w:r w:rsidR="0049603E">
        <w:rPr>
          <w:noProof/>
        </w:rPr>
        <w:t>1</w:t>
      </w:r>
      <w:r w:rsidR="00D97218">
        <w:rPr>
          <w:highlight w:val="yellow"/>
        </w:rPr>
        <w:fldChar w:fldCharType="end"/>
      </w:r>
      <w:r w:rsidR="00D97218">
        <w:t xml:space="preserve"> </w:t>
      </w:r>
      <w:r w:rsidR="00423122" w:rsidRPr="00423122">
        <w:t>does not represent an agreed industry position.</w:t>
      </w:r>
    </w:p>
    <w:p w14:paraId="15D7272A" w14:textId="5303F318" w:rsidR="00ED7A6E" w:rsidRDefault="006141ED" w:rsidP="006141ED">
      <w:pPr>
        <w:pStyle w:val="Caption"/>
      </w:pPr>
      <w:bookmarkStart w:id="0" w:name="_Ref82700697"/>
      <w:r>
        <w:t xml:space="preserve">Table </w:t>
      </w:r>
      <w:r w:rsidR="0049603E">
        <w:fldChar w:fldCharType="begin"/>
      </w:r>
      <w:r w:rsidR="0049603E">
        <w:instrText xml:space="preserve"> SEQ Table \* ARABIC </w:instrText>
      </w:r>
      <w:r w:rsidR="0049603E">
        <w:fldChar w:fldCharType="separate"/>
      </w:r>
      <w:r w:rsidR="0049603E">
        <w:rPr>
          <w:noProof/>
        </w:rPr>
        <w:t>1</w:t>
      </w:r>
      <w:r w:rsidR="0049603E">
        <w:rPr>
          <w:noProof/>
        </w:rPr>
        <w:fldChar w:fldCharType="end"/>
      </w:r>
      <w:bookmarkEnd w:id="0"/>
      <w:r>
        <w:t xml:space="preserve"> </w:t>
      </w:r>
      <w:r w:rsidR="00480F1E">
        <w:t>I</w:t>
      </w:r>
      <w:r w:rsidR="00ED7A6E">
        <w:t xml:space="preserve">ssues, </w:t>
      </w:r>
      <w:proofErr w:type="gramStart"/>
      <w:r w:rsidR="00ED7A6E">
        <w:t>barriers</w:t>
      </w:r>
      <w:proofErr w:type="gramEnd"/>
      <w:r w:rsidR="00ED7A6E">
        <w:t xml:space="preserve"> and opportunities</w:t>
      </w:r>
    </w:p>
    <w:tbl>
      <w:tblPr>
        <w:tblStyle w:val="PlainTable2"/>
        <w:tblW w:w="5000" w:type="pct"/>
        <w:tblBorders>
          <w:top w:val="single" w:sz="4" w:space="0" w:color="auto"/>
          <w:bottom w:val="single" w:sz="4" w:space="0" w:color="auto"/>
          <w:insideH w:val="single" w:sz="4" w:space="0" w:color="auto"/>
        </w:tblBorders>
        <w:tblLook w:val="0620" w:firstRow="1" w:lastRow="0" w:firstColumn="0" w:lastColumn="0" w:noHBand="1" w:noVBand="1"/>
      </w:tblPr>
      <w:tblGrid>
        <w:gridCol w:w="2096"/>
        <w:gridCol w:w="3743"/>
        <w:gridCol w:w="3743"/>
      </w:tblGrid>
      <w:tr w:rsidR="00ED7A6E" w:rsidRPr="00ED7A6E" w14:paraId="60560EA6" w14:textId="77777777" w:rsidTr="00DD29B4">
        <w:trPr>
          <w:cnfStyle w:val="100000000000" w:firstRow="1" w:lastRow="0" w:firstColumn="0" w:lastColumn="0" w:oddVBand="0" w:evenVBand="0" w:oddHBand="0" w:evenHBand="0" w:firstRowFirstColumn="0" w:firstRowLastColumn="0" w:lastRowFirstColumn="0" w:lastRowLastColumn="0"/>
        </w:trPr>
        <w:tc>
          <w:tcPr>
            <w:tcW w:w="1094" w:type="pct"/>
            <w:tcBorders>
              <w:bottom w:val="none" w:sz="0" w:space="0" w:color="auto"/>
            </w:tcBorders>
          </w:tcPr>
          <w:p w14:paraId="3FE28960" w14:textId="77777777" w:rsidR="00ED7A6E" w:rsidRPr="00D97218" w:rsidRDefault="00ED7A6E" w:rsidP="00D97218">
            <w:pPr>
              <w:pStyle w:val="TableHeading"/>
              <w:rPr>
                <w:rStyle w:val="Strong"/>
              </w:rPr>
            </w:pPr>
            <w:bookmarkStart w:id="1" w:name="Title_1"/>
            <w:bookmarkEnd w:id="1"/>
            <w:r w:rsidRPr="00D97218">
              <w:rPr>
                <w:rStyle w:val="Strong"/>
              </w:rPr>
              <w:t>Category</w:t>
            </w:r>
          </w:p>
        </w:tc>
        <w:tc>
          <w:tcPr>
            <w:tcW w:w="1953" w:type="pct"/>
            <w:tcBorders>
              <w:bottom w:val="none" w:sz="0" w:space="0" w:color="auto"/>
            </w:tcBorders>
          </w:tcPr>
          <w:p w14:paraId="70BD089B" w14:textId="77777777" w:rsidR="00ED7A6E" w:rsidRPr="00D97218" w:rsidRDefault="00ED7A6E" w:rsidP="00D97218">
            <w:pPr>
              <w:pStyle w:val="TableHeading"/>
              <w:rPr>
                <w:rStyle w:val="Strong"/>
              </w:rPr>
            </w:pPr>
            <w:r w:rsidRPr="00D97218">
              <w:rPr>
                <w:rStyle w:val="Strong"/>
              </w:rPr>
              <w:t>Issue/Barrier</w:t>
            </w:r>
          </w:p>
        </w:tc>
        <w:tc>
          <w:tcPr>
            <w:tcW w:w="1953" w:type="pct"/>
            <w:tcBorders>
              <w:bottom w:val="none" w:sz="0" w:space="0" w:color="auto"/>
            </w:tcBorders>
          </w:tcPr>
          <w:p w14:paraId="1F000F42" w14:textId="77777777" w:rsidR="00ED7A6E" w:rsidRPr="00D97218" w:rsidRDefault="00ED7A6E" w:rsidP="00D97218">
            <w:pPr>
              <w:pStyle w:val="TableHeading"/>
              <w:rPr>
                <w:rStyle w:val="Strong"/>
              </w:rPr>
            </w:pPr>
            <w:r w:rsidRPr="00D97218">
              <w:rPr>
                <w:rStyle w:val="Strong"/>
              </w:rPr>
              <w:t>Opportunity</w:t>
            </w:r>
          </w:p>
        </w:tc>
      </w:tr>
      <w:tr w:rsidR="00423122" w:rsidRPr="00ED7A6E" w14:paraId="4076A011" w14:textId="77777777" w:rsidTr="00DD29B4">
        <w:tc>
          <w:tcPr>
            <w:tcW w:w="1094" w:type="pct"/>
          </w:tcPr>
          <w:p w14:paraId="607CCE92" w14:textId="10642788" w:rsidR="00423122" w:rsidRPr="00ED7A6E" w:rsidRDefault="00423122" w:rsidP="00423122">
            <w:pPr>
              <w:pStyle w:val="TableText"/>
            </w:pPr>
            <w:r>
              <w:t>Regulatory</w:t>
            </w:r>
          </w:p>
        </w:tc>
        <w:tc>
          <w:tcPr>
            <w:tcW w:w="1953" w:type="pct"/>
          </w:tcPr>
          <w:p w14:paraId="2F0D8FD5" w14:textId="4B41A89D" w:rsidR="00423122" w:rsidRPr="00ED7A6E" w:rsidRDefault="00423122" w:rsidP="00423122">
            <w:pPr>
              <w:pStyle w:val="TableText"/>
            </w:pPr>
            <w:r w:rsidRPr="00DA6C34">
              <w:t>Unequal bargaining power between growers and processors that is perceived to manifest in price inequity</w:t>
            </w:r>
            <w:r>
              <w:t>.</w:t>
            </w:r>
          </w:p>
        </w:tc>
        <w:tc>
          <w:tcPr>
            <w:tcW w:w="1953" w:type="pct"/>
          </w:tcPr>
          <w:p w14:paraId="36539B39" w14:textId="294207F1" w:rsidR="00423122" w:rsidRPr="00ED7A6E" w:rsidRDefault="00423122" w:rsidP="00423122">
            <w:pPr>
              <w:pStyle w:val="TableText"/>
            </w:pPr>
            <w:r w:rsidRPr="00DA6C34">
              <w:t>An Industry code of conduct that would include principles of price transparency, supply chain costing and dispute resolution mechanisms</w:t>
            </w:r>
            <w:r>
              <w:t>.</w:t>
            </w:r>
          </w:p>
        </w:tc>
      </w:tr>
      <w:tr w:rsidR="00423122" w:rsidRPr="00ED7A6E" w14:paraId="1F9F7C0F" w14:textId="77777777" w:rsidTr="00DD29B4">
        <w:tc>
          <w:tcPr>
            <w:tcW w:w="1094" w:type="pct"/>
          </w:tcPr>
          <w:p w14:paraId="21E77528" w14:textId="489F44BB" w:rsidR="00423122" w:rsidRPr="00ED7A6E" w:rsidRDefault="00423122" w:rsidP="00423122">
            <w:pPr>
              <w:pStyle w:val="TableText"/>
            </w:pPr>
            <w:r w:rsidRPr="00560FE4">
              <w:t>Chicken meat industry</w:t>
            </w:r>
          </w:p>
        </w:tc>
        <w:tc>
          <w:tcPr>
            <w:tcW w:w="1953" w:type="pct"/>
          </w:tcPr>
          <w:p w14:paraId="60F35DE0" w14:textId="77777777" w:rsidR="00423122" w:rsidRDefault="00423122" w:rsidP="00423122">
            <w:pPr>
              <w:pStyle w:val="TableText"/>
            </w:pPr>
            <w:r>
              <w:t>Price signalling not coming to the grower and information asymmetry.</w:t>
            </w:r>
          </w:p>
          <w:p w14:paraId="47865639" w14:textId="56C2C2E7" w:rsidR="00423122" w:rsidRPr="00ED7A6E" w:rsidRDefault="00423122" w:rsidP="00423122">
            <w:pPr>
              <w:pStyle w:val="TableText"/>
            </w:pPr>
            <w:r>
              <w:t>Complex pool system and contracts are opaque</w:t>
            </w:r>
            <w:r w:rsidR="00D97218">
              <w:t xml:space="preserve"> – </w:t>
            </w:r>
            <w:r>
              <w:t>no transparency between or within regions on how price is determined and how criteria are used to assess price.</w:t>
            </w:r>
          </w:p>
        </w:tc>
        <w:tc>
          <w:tcPr>
            <w:tcW w:w="1953" w:type="pct"/>
          </w:tcPr>
          <w:p w14:paraId="6C895C88" w14:textId="77777777" w:rsidR="00423122" w:rsidRDefault="00423122" w:rsidP="00423122">
            <w:pPr>
              <w:pStyle w:val="TableText"/>
            </w:pPr>
            <w:r>
              <w:t>Architecture exists to enable contractual mechanisms for data sharing.</w:t>
            </w:r>
          </w:p>
          <w:p w14:paraId="6CAFC271" w14:textId="03F37707" w:rsidR="00423122" w:rsidRDefault="00423122" w:rsidP="00423122">
            <w:pPr>
              <w:pStyle w:val="TableText"/>
            </w:pPr>
            <w:r>
              <w:t>Forward contracting for those growers on shorter term contracts (less than 5</w:t>
            </w:r>
            <w:r w:rsidR="00C72735">
              <w:t> </w:t>
            </w:r>
            <w:r>
              <w:t>years in length).</w:t>
            </w:r>
          </w:p>
          <w:p w14:paraId="07A6A89E" w14:textId="2DC35EC4" w:rsidR="00423122" w:rsidRPr="00ED7A6E" w:rsidRDefault="00423122" w:rsidP="00423122">
            <w:pPr>
              <w:pStyle w:val="TableText"/>
            </w:pPr>
            <w:r>
              <w:t>Forward physical and financial modelling for regions; making information available to growers before they invest.</w:t>
            </w:r>
          </w:p>
        </w:tc>
      </w:tr>
      <w:tr w:rsidR="00423122" w:rsidRPr="00ED7A6E" w14:paraId="41826C09" w14:textId="77777777" w:rsidTr="00DD29B4">
        <w:tc>
          <w:tcPr>
            <w:tcW w:w="1094" w:type="pct"/>
          </w:tcPr>
          <w:p w14:paraId="446709F1" w14:textId="06F72517" w:rsidR="00423122" w:rsidRPr="00ED7A6E" w:rsidRDefault="00423122" w:rsidP="00423122">
            <w:pPr>
              <w:pStyle w:val="TableText"/>
            </w:pPr>
            <w:r>
              <w:t>Process</w:t>
            </w:r>
          </w:p>
        </w:tc>
        <w:tc>
          <w:tcPr>
            <w:tcW w:w="1953" w:type="pct"/>
          </w:tcPr>
          <w:p w14:paraId="3FF528C2" w14:textId="602CEC4E" w:rsidR="00423122" w:rsidRPr="00ED7A6E" w:rsidRDefault="00423122" w:rsidP="00423122">
            <w:pPr>
              <w:pStyle w:val="TableText"/>
            </w:pPr>
            <w:r w:rsidRPr="00560FE4">
              <w:t xml:space="preserve">Benchmarking in pricing is not available to growers including cost of production, </w:t>
            </w:r>
            <w:proofErr w:type="gramStart"/>
            <w:r w:rsidRPr="00560FE4">
              <w:t>wholesale</w:t>
            </w:r>
            <w:proofErr w:type="gramEnd"/>
            <w:r w:rsidRPr="00560FE4">
              <w:t xml:space="preserve"> and retail.</w:t>
            </w:r>
          </w:p>
        </w:tc>
        <w:tc>
          <w:tcPr>
            <w:tcW w:w="1953" w:type="pct"/>
          </w:tcPr>
          <w:p w14:paraId="3B297BE2" w14:textId="5D3F4CE0" w:rsidR="00423122" w:rsidRPr="00ED7A6E" w:rsidRDefault="00423122" w:rsidP="00423122">
            <w:pPr>
              <w:pStyle w:val="TableText"/>
            </w:pPr>
            <w:r w:rsidRPr="00560FE4">
              <w:t>Frameworks and processes in play to enable benchmarking, including return on investment data.</w:t>
            </w:r>
          </w:p>
        </w:tc>
      </w:tr>
      <w:tr w:rsidR="00423122" w:rsidRPr="00ED7A6E" w14:paraId="448E858B" w14:textId="77777777" w:rsidTr="00DD29B4">
        <w:tc>
          <w:tcPr>
            <w:tcW w:w="1094" w:type="pct"/>
          </w:tcPr>
          <w:p w14:paraId="4377746E" w14:textId="0599CF89" w:rsidR="00423122" w:rsidRPr="00ED7A6E" w:rsidRDefault="00423122" w:rsidP="00423122">
            <w:pPr>
              <w:pStyle w:val="TableText"/>
            </w:pPr>
            <w:r>
              <w:t>Information</w:t>
            </w:r>
          </w:p>
        </w:tc>
        <w:tc>
          <w:tcPr>
            <w:tcW w:w="1953" w:type="pct"/>
          </w:tcPr>
          <w:p w14:paraId="58BA6DA9" w14:textId="4811491D" w:rsidR="00423122" w:rsidRPr="00ED7A6E" w:rsidRDefault="00423122" w:rsidP="00423122">
            <w:pPr>
              <w:pStyle w:val="TableText"/>
            </w:pPr>
            <w:r w:rsidRPr="00560FE4">
              <w:t>Lack of information transparency; growers not able to verify market or information provided by supply chain.</w:t>
            </w:r>
          </w:p>
        </w:tc>
        <w:tc>
          <w:tcPr>
            <w:tcW w:w="1953" w:type="pct"/>
          </w:tcPr>
          <w:p w14:paraId="4BC2409E" w14:textId="77777777" w:rsidR="00423122" w:rsidRDefault="00423122" w:rsidP="00423122">
            <w:pPr>
              <w:pStyle w:val="TableText"/>
            </w:pPr>
            <w:r>
              <w:t xml:space="preserve">Index pricing based on data, </w:t>
            </w:r>
            <w:proofErr w:type="gramStart"/>
            <w:r>
              <w:t>collated</w:t>
            </w:r>
            <w:proofErr w:type="gramEnd"/>
            <w:r>
              <w:t xml:space="preserve"> and managed by independent body.</w:t>
            </w:r>
          </w:p>
          <w:p w14:paraId="030DD419" w14:textId="7635CDAE" w:rsidR="00423122" w:rsidRPr="00ED7A6E" w:rsidRDefault="00423122" w:rsidP="00423122">
            <w:pPr>
              <w:pStyle w:val="TableText"/>
            </w:pPr>
            <w:r>
              <w:t>Government to publish pricing, for example, through ABARES, ABS.</w:t>
            </w:r>
          </w:p>
        </w:tc>
      </w:tr>
      <w:tr w:rsidR="00423122" w:rsidRPr="00ED7A6E" w14:paraId="72E28658" w14:textId="77777777" w:rsidTr="00DD29B4">
        <w:tc>
          <w:tcPr>
            <w:tcW w:w="1094" w:type="pct"/>
          </w:tcPr>
          <w:p w14:paraId="609E9A7C" w14:textId="39995199" w:rsidR="00423122" w:rsidRDefault="00423122" w:rsidP="00423122">
            <w:pPr>
              <w:pStyle w:val="TableText"/>
            </w:pPr>
            <w:r>
              <w:t>Environmental</w:t>
            </w:r>
          </w:p>
        </w:tc>
        <w:tc>
          <w:tcPr>
            <w:tcW w:w="1953" w:type="pct"/>
          </w:tcPr>
          <w:p w14:paraId="3F996FCC" w14:textId="17E8055E" w:rsidR="00423122" w:rsidRPr="00560FE4" w:rsidRDefault="00423122" w:rsidP="00423122">
            <w:pPr>
              <w:pStyle w:val="TableText"/>
            </w:pPr>
            <w:r w:rsidRPr="00560FE4">
              <w:t>Getting to Net</w:t>
            </w:r>
            <w:r>
              <w:t> </w:t>
            </w:r>
            <w:r w:rsidRPr="00560FE4">
              <w:t>Zero</w:t>
            </w:r>
            <w:r>
              <w:t> </w:t>
            </w:r>
            <w:r w:rsidRPr="00560FE4">
              <w:t>2050</w:t>
            </w:r>
            <w:r w:rsidR="00D97218">
              <w:t xml:space="preserve"> – </w:t>
            </w:r>
            <w:r w:rsidRPr="00560FE4">
              <w:t>who and how will it impact? Who will pay for that impact?</w:t>
            </w:r>
          </w:p>
        </w:tc>
        <w:tc>
          <w:tcPr>
            <w:tcW w:w="1953" w:type="pct"/>
          </w:tcPr>
          <w:p w14:paraId="7C62BC66" w14:textId="20D0D987" w:rsidR="00423122" w:rsidRDefault="00423122" w:rsidP="00423122">
            <w:pPr>
              <w:pStyle w:val="TableText"/>
            </w:pPr>
            <w:r w:rsidRPr="00560FE4">
              <w:t xml:space="preserve">Forward modelling for regions, </w:t>
            </w:r>
            <w:proofErr w:type="gramStart"/>
            <w:r w:rsidRPr="00560FE4">
              <w:t>similar to</w:t>
            </w:r>
            <w:proofErr w:type="gramEnd"/>
            <w:r w:rsidRPr="00560FE4">
              <w:t xml:space="preserve"> dairy farm monitoring project for the dairy industry.</w:t>
            </w:r>
          </w:p>
        </w:tc>
      </w:tr>
    </w:tbl>
    <w:p w14:paraId="30FC9758" w14:textId="33B4184B" w:rsidR="00423122" w:rsidRDefault="00423122" w:rsidP="007E6C31">
      <w:pPr>
        <w:pStyle w:val="Heading2"/>
        <w:spacing w:before="240"/>
      </w:pPr>
      <w:r w:rsidRPr="00423122">
        <w:t>Priority opportunities</w:t>
      </w:r>
    </w:p>
    <w:p w14:paraId="0DEA6B31" w14:textId="324F19D1" w:rsidR="00423122" w:rsidRDefault="006113B0" w:rsidP="00423122">
      <w:pPr>
        <w:rPr>
          <w:lang w:eastAsia="ja-JP"/>
        </w:rPr>
      </w:pPr>
      <w:r>
        <w:rPr>
          <w:lang w:eastAsia="ja-JP"/>
        </w:rPr>
        <w:t xml:space="preserve">The </w:t>
      </w:r>
      <w:r w:rsidR="00423122">
        <w:rPr>
          <w:lang w:eastAsia="ja-JP"/>
        </w:rPr>
        <w:t>following priority opportunities were identified by grower representatives but do not represent an agreed industry position</w:t>
      </w:r>
      <w:r w:rsidR="00013125">
        <w:rPr>
          <w:lang w:eastAsia="ja-JP"/>
        </w:rPr>
        <w:t xml:space="preserve"> by processors</w:t>
      </w:r>
      <w:r>
        <w:rPr>
          <w:lang w:eastAsia="ja-JP"/>
        </w:rPr>
        <w:t>:</w:t>
      </w:r>
    </w:p>
    <w:p w14:paraId="0A718202" w14:textId="5AD831DF" w:rsidR="00013125" w:rsidRPr="00423122" w:rsidRDefault="00013125" w:rsidP="00013125">
      <w:pPr>
        <w:pStyle w:val="ListBullet"/>
      </w:pPr>
      <w:r w:rsidRPr="00423122">
        <w:t>Potentially a voluntary code of conduct OR mandatory code of conduct to include price transparency, supply chain costing and dispute resolution mechanisms</w:t>
      </w:r>
      <w:r w:rsidR="006113B0">
        <w:t>.</w:t>
      </w:r>
    </w:p>
    <w:p w14:paraId="751EFA4F" w14:textId="32FE2ABA" w:rsidR="00423122" w:rsidRPr="00423122" w:rsidRDefault="00013125" w:rsidP="00423122">
      <w:pPr>
        <w:pStyle w:val="ListBullet"/>
      </w:pPr>
      <w:r>
        <w:t>Benchmarking and</w:t>
      </w:r>
      <w:r w:rsidR="00423122" w:rsidRPr="00423122">
        <w:t xml:space="preserve"> data sharing</w:t>
      </w:r>
      <w:r>
        <w:t xml:space="preserve"> on process, costs and returns</w:t>
      </w:r>
      <w:r w:rsidR="006113B0">
        <w:t>.</w:t>
      </w:r>
    </w:p>
    <w:p w14:paraId="40759BCA" w14:textId="5BB9FEEE" w:rsidR="00423122" w:rsidRPr="00423122" w:rsidRDefault="00013125" w:rsidP="00423122">
      <w:pPr>
        <w:pStyle w:val="ListBullet"/>
      </w:pPr>
      <w:r>
        <w:t>Government or independent body to collate and publish price or index</w:t>
      </w:r>
      <w:r w:rsidR="006113B0">
        <w:t>.</w:t>
      </w:r>
    </w:p>
    <w:p w14:paraId="1DEFEC44" w14:textId="37AE338E" w:rsidR="00ED7A6E" w:rsidRDefault="00ED7A6E" w:rsidP="003235FA">
      <w:pPr>
        <w:pStyle w:val="Heading2"/>
      </w:pPr>
      <w:r>
        <w:lastRenderedPageBreak/>
        <w:t>Next steps</w:t>
      </w:r>
    </w:p>
    <w:p w14:paraId="1AB3CF2E" w14:textId="0D556B32" w:rsidR="00423122" w:rsidRDefault="00ED7A6E" w:rsidP="00ED7A6E">
      <w:r>
        <w:t xml:space="preserve">The outcomes of the first workshop provide the basis for generating ideas for potential solutions to improve price and market transparency in the </w:t>
      </w:r>
      <w:r w:rsidR="00EC5CE3">
        <w:t>chicken meat</w:t>
      </w:r>
      <w:r>
        <w:t xml:space="preserve"> industry.</w:t>
      </w:r>
    </w:p>
    <w:p w14:paraId="250B470F" w14:textId="7C140A39" w:rsidR="00ED7A6E" w:rsidRDefault="00423122" w:rsidP="00ED7A6E">
      <w:r w:rsidRPr="00423122">
        <w:t xml:space="preserve">Ideas generation will be co-designed by participants in future workshops. </w:t>
      </w:r>
    </w:p>
    <w:p w14:paraId="09D48EDD" w14:textId="2E061172" w:rsidR="00ED7A6E" w:rsidRDefault="00173E2E" w:rsidP="001D0BAA">
      <w:pPr>
        <w:pStyle w:val="Heading2"/>
        <w:keepNext w:val="0"/>
        <w:pageBreakBefore/>
      </w:pPr>
      <w:bookmarkStart w:id="2" w:name="_Appendix_A_–"/>
      <w:bookmarkStart w:id="3" w:name="_Ref82700999"/>
      <w:bookmarkEnd w:id="2"/>
      <w:r>
        <w:lastRenderedPageBreak/>
        <w:t>Appendix</w:t>
      </w:r>
      <w:bookmarkEnd w:id="3"/>
      <w:r w:rsidR="00981F00">
        <w:t xml:space="preserve"> A</w:t>
      </w:r>
      <w:r w:rsidR="00B137D1">
        <w:t xml:space="preserve">: </w:t>
      </w:r>
      <w:r w:rsidR="00ED7A6E">
        <w:t>Participant list</w:t>
      </w:r>
    </w:p>
    <w:p w14:paraId="028BDAA1" w14:textId="77777777" w:rsidR="00423122" w:rsidRPr="00423122" w:rsidRDefault="00423122" w:rsidP="00423122">
      <w:pPr>
        <w:pStyle w:val="ListBullet"/>
      </w:pPr>
      <w:proofErr w:type="spellStart"/>
      <w:r w:rsidRPr="00423122">
        <w:t>AgriFutures</w:t>
      </w:r>
      <w:proofErr w:type="spellEnd"/>
      <w:r w:rsidRPr="00423122">
        <w:t xml:space="preserve"> Australia</w:t>
      </w:r>
    </w:p>
    <w:p w14:paraId="4A4F049D" w14:textId="77777777" w:rsidR="00423122" w:rsidRPr="00423122" w:rsidRDefault="00423122" w:rsidP="00423122">
      <w:pPr>
        <w:pStyle w:val="ListBullet"/>
      </w:pPr>
      <w:r w:rsidRPr="00423122">
        <w:t>Australian Chicken Meat Federation</w:t>
      </w:r>
    </w:p>
    <w:p w14:paraId="5470E8BB" w14:textId="77777777" w:rsidR="00423122" w:rsidRPr="00423122" w:rsidRDefault="00423122" w:rsidP="00423122">
      <w:pPr>
        <w:pStyle w:val="ListBullet"/>
      </w:pPr>
      <w:r w:rsidRPr="00423122">
        <w:t>National Farmers Federation</w:t>
      </w:r>
    </w:p>
    <w:p w14:paraId="0A9D3BC8" w14:textId="77777777" w:rsidR="00423122" w:rsidRPr="00423122" w:rsidRDefault="00423122" w:rsidP="00423122">
      <w:pPr>
        <w:pStyle w:val="ListBullet"/>
      </w:pPr>
      <w:r w:rsidRPr="00423122">
        <w:t>Victorian Farmers Federation</w:t>
      </w:r>
    </w:p>
    <w:p w14:paraId="4D0B2612" w14:textId="77777777" w:rsidR="00423122" w:rsidRPr="00423122" w:rsidRDefault="00423122" w:rsidP="00423122">
      <w:pPr>
        <w:pStyle w:val="ListBullet"/>
      </w:pPr>
      <w:r w:rsidRPr="00423122">
        <w:t>New South Wales Farmers Association</w:t>
      </w:r>
    </w:p>
    <w:p w14:paraId="3FC06624" w14:textId="77777777" w:rsidR="00423122" w:rsidRPr="00423122" w:rsidRDefault="00423122" w:rsidP="00423122">
      <w:pPr>
        <w:pStyle w:val="ListBullet"/>
      </w:pPr>
      <w:r w:rsidRPr="00423122">
        <w:t>Australian Chicken Growers Council</w:t>
      </w:r>
    </w:p>
    <w:p w14:paraId="531B589B" w14:textId="77777777" w:rsidR="00423122" w:rsidRPr="00423122" w:rsidRDefault="00423122" w:rsidP="00423122">
      <w:pPr>
        <w:pStyle w:val="ListBullet"/>
      </w:pPr>
      <w:r w:rsidRPr="00423122">
        <w:t>Golden Cockerel</w:t>
      </w:r>
    </w:p>
    <w:p w14:paraId="5B2310DE" w14:textId="77777777" w:rsidR="00423122" w:rsidRPr="00423122" w:rsidRDefault="00423122" w:rsidP="00423122">
      <w:pPr>
        <w:pStyle w:val="ListBullet"/>
      </w:pPr>
      <w:proofErr w:type="spellStart"/>
      <w:r w:rsidRPr="00423122">
        <w:t>Turosi</w:t>
      </w:r>
      <w:proofErr w:type="spellEnd"/>
    </w:p>
    <w:p w14:paraId="6B4AF754" w14:textId="77777777" w:rsidR="00423122" w:rsidRPr="00423122" w:rsidRDefault="00423122" w:rsidP="00423122">
      <w:pPr>
        <w:pStyle w:val="ListBullet"/>
      </w:pPr>
      <w:proofErr w:type="spellStart"/>
      <w:r w:rsidRPr="00423122">
        <w:t>Inghams</w:t>
      </w:r>
      <w:proofErr w:type="spellEnd"/>
    </w:p>
    <w:p w14:paraId="35FF33D3" w14:textId="77777777" w:rsidR="00423122" w:rsidRPr="00423122" w:rsidRDefault="00423122" w:rsidP="00423122">
      <w:pPr>
        <w:pStyle w:val="ListBullet"/>
      </w:pPr>
      <w:r w:rsidRPr="00423122">
        <w:t>Woolworths</w:t>
      </w:r>
    </w:p>
    <w:p w14:paraId="1A73E51F" w14:textId="77777777" w:rsidR="00423122" w:rsidRPr="00423122" w:rsidRDefault="00423122" w:rsidP="00423122">
      <w:pPr>
        <w:pStyle w:val="ListBullet"/>
      </w:pPr>
      <w:r w:rsidRPr="00423122">
        <w:t>Australian Competition and Consumer Commission</w:t>
      </w:r>
    </w:p>
    <w:p w14:paraId="0DDAD037" w14:textId="3062E920" w:rsidR="00ED7A6E" w:rsidRPr="00423122" w:rsidRDefault="00ED7A6E" w:rsidP="00423122">
      <w:pPr>
        <w:pStyle w:val="ListBullet"/>
      </w:pPr>
      <w:r w:rsidRPr="00423122">
        <w:t>DAWE Agricultural Policy</w:t>
      </w:r>
    </w:p>
    <w:p w14:paraId="23CD7A7D" w14:textId="470B415B" w:rsidR="00E9781D" w:rsidRDefault="00E9781D" w:rsidP="00B137D1">
      <w:pPr>
        <w:pStyle w:val="Normalsmall"/>
        <w:spacing w:before="1000"/>
      </w:pPr>
      <w:r>
        <w:t>© Commonwealth of Australia 2021</w:t>
      </w:r>
    </w:p>
    <w:p w14:paraId="1CE0CC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4590BBA9" w14:textId="57AC83A7" w:rsidR="00696682" w:rsidRDefault="00E9781D" w:rsidP="00E9781D">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1D0BAA">
      <w:footerReference w:type="default" r:id="rId12"/>
      <w:headerReference w:type="first" r:id="rId13"/>
      <w:footerReference w:type="first" r:id="rId14"/>
      <w:pgSz w:w="11906" w:h="16838" w:code="9"/>
      <w:pgMar w:top="1418" w:right="107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FA2B" w14:textId="77777777" w:rsidR="009844EA" w:rsidRDefault="009844EA">
      <w:r>
        <w:separator/>
      </w:r>
    </w:p>
    <w:p w14:paraId="4BE00C9A" w14:textId="77777777" w:rsidR="009844EA" w:rsidRDefault="009844EA"/>
    <w:p w14:paraId="6D5046A3" w14:textId="77777777" w:rsidR="009844EA" w:rsidRDefault="009844EA"/>
  </w:endnote>
  <w:endnote w:type="continuationSeparator" w:id="0">
    <w:p w14:paraId="52C18148" w14:textId="77777777" w:rsidR="009844EA" w:rsidRDefault="009844EA">
      <w:r>
        <w:continuationSeparator/>
      </w:r>
    </w:p>
    <w:p w14:paraId="64898C02" w14:textId="77777777" w:rsidR="009844EA" w:rsidRDefault="009844EA"/>
    <w:p w14:paraId="0BCD154D" w14:textId="77777777" w:rsidR="009844EA" w:rsidRDefault="009844EA"/>
  </w:endnote>
  <w:endnote w:type="continuationNotice" w:id="1">
    <w:p w14:paraId="64A30663" w14:textId="77777777" w:rsidR="009844EA" w:rsidRDefault="009844EA">
      <w:pPr>
        <w:pStyle w:val="Footer"/>
      </w:pPr>
    </w:p>
    <w:p w14:paraId="5D38E31F" w14:textId="77777777" w:rsidR="009844EA" w:rsidRDefault="009844EA"/>
    <w:p w14:paraId="6A6E1053" w14:textId="77777777" w:rsidR="009844EA" w:rsidRDefault="0098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0542B4" w:rsidP="000542B4">
    <w:pPr>
      <w:pStyle w:val="Footer"/>
    </w:pPr>
    <w:r>
      <w:t xml:space="preserve">Department of Agriculture, </w:t>
    </w:r>
    <w:proofErr w:type="gramStart"/>
    <w:r>
      <w:t>Water</w:t>
    </w:r>
    <w:proofErr w:type="gramEnd"/>
    <w:r>
      <w:t xml:space="preserve"> and the Environment</w:t>
    </w:r>
  </w:p>
  <w:p w14:paraId="51A09124" w14:textId="212ADD43" w:rsidR="000542B4" w:rsidRDefault="0049603E"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0542B4" w:rsidP="00A77E8E">
        <w:pPr>
          <w:pStyle w:val="Footer"/>
        </w:pPr>
        <w:r>
          <w:t xml:space="preserve">Department of Agriculture, </w:t>
        </w:r>
        <w:proofErr w:type="gramStart"/>
        <w:r>
          <w:t>Water</w:t>
        </w:r>
        <w:proofErr w:type="gramEnd"/>
        <w:r>
          <w:t xml:space="preserve"> and the Environment</w:t>
        </w:r>
      </w:p>
      <w:p w14:paraId="2D60CB34" w14:textId="002131DC"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DF24" w14:textId="77777777" w:rsidR="009844EA" w:rsidRDefault="009844EA">
      <w:r>
        <w:separator/>
      </w:r>
    </w:p>
    <w:p w14:paraId="536C3AF3" w14:textId="77777777" w:rsidR="009844EA" w:rsidRDefault="009844EA"/>
    <w:p w14:paraId="7A1E5211" w14:textId="77777777" w:rsidR="009844EA" w:rsidRDefault="009844EA"/>
  </w:footnote>
  <w:footnote w:type="continuationSeparator" w:id="0">
    <w:p w14:paraId="30C1FA55" w14:textId="77777777" w:rsidR="009844EA" w:rsidRDefault="009844EA">
      <w:r>
        <w:continuationSeparator/>
      </w:r>
    </w:p>
    <w:p w14:paraId="1CAD6F50" w14:textId="77777777" w:rsidR="009844EA" w:rsidRDefault="009844EA"/>
    <w:p w14:paraId="44942123" w14:textId="77777777" w:rsidR="009844EA" w:rsidRDefault="009844EA"/>
  </w:footnote>
  <w:footnote w:type="continuationNotice" w:id="1">
    <w:p w14:paraId="71439909" w14:textId="77777777" w:rsidR="009844EA" w:rsidRDefault="009844EA">
      <w:pPr>
        <w:pStyle w:val="Footer"/>
      </w:pPr>
    </w:p>
    <w:p w14:paraId="4952DD64" w14:textId="77777777" w:rsidR="009844EA" w:rsidRDefault="009844EA"/>
    <w:p w14:paraId="0B041E1F" w14:textId="77777777" w:rsidR="009844EA" w:rsidRDefault="00984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6E7FDADB" w:rsidR="000E455C" w:rsidRDefault="001051C3" w:rsidP="00A8157A">
    <w:pPr>
      <w:pStyle w:val="Footer"/>
      <w:spacing w:after="0"/>
      <w:jc w:val="left"/>
    </w:pPr>
    <w:r>
      <w:rPr>
        <w:noProof/>
        <w:lang w:eastAsia="en-AU"/>
      </w:rPr>
      <w:drawing>
        <wp:anchor distT="0" distB="0" distL="114300" distR="114300" simplePos="0" relativeHeight="251659264" behindDoc="1" locked="0" layoutInCell="1" allowOverlap="1" wp14:anchorId="39FBFF1E" wp14:editId="5147413E">
          <wp:simplePos x="0" y="0"/>
          <wp:positionH relativeFrom="page">
            <wp:posOffset>-17335</wp:posOffset>
          </wp:positionH>
          <wp:positionV relativeFrom="paragraph">
            <wp:posOffset>-371475</wp:posOffset>
          </wp:positionV>
          <wp:extent cx="7563600" cy="2162335"/>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B76C88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abstractNumId w:val="6"/>
  </w:num>
  <w:num w:numId="2">
    <w:abstractNumId w:val="22"/>
  </w:num>
  <w:num w:numId="3">
    <w:abstractNumId w:val="23"/>
  </w:num>
  <w:num w:numId="4">
    <w:abstractNumId w:val="11"/>
  </w:num>
  <w:num w:numId="5">
    <w:abstractNumId w:val="32"/>
  </w:num>
  <w:num w:numId="6">
    <w:abstractNumId w:val="33"/>
  </w:num>
  <w:num w:numId="7">
    <w:abstractNumId w:val="8"/>
  </w:num>
  <w:num w:numId="8">
    <w:abstractNumId w:val="14"/>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5"/>
  </w:num>
  <w:num w:numId="22">
    <w:abstractNumId w:val="24"/>
  </w:num>
  <w:num w:numId="23">
    <w:abstractNumId w:val="37"/>
  </w:num>
  <w:num w:numId="24">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6"/>
  </w:num>
  <w:num w:numId="29">
    <w:abstractNumId w:val="31"/>
  </w:num>
  <w:num w:numId="30">
    <w:abstractNumId w:val="10"/>
  </w:num>
  <w:num w:numId="31">
    <w:abstractNumId w:val="34"/>
  </w:num>
  <w:num w:numId="32">
    <w:abstractNumId w:val="7"/>
  </w:num>
  <w:num w:numId="33">
    <w:abstractNumId w:val="28"/>
  </w:num>
  <w:num w:numId="34">
    <w:abstractNumId w:val="25"/>
  </w:num>
  <w:num w:numId="35">
    <w:abstractNumId w:val="16"/>
  </w:num>
  <w:num w:numId="36">
    <w:abstractNumId w:val="9"/>
  </w:num>
  <w:num w:numId="37">
    <w:abstractNumId w:val="18"/>
  </w:num>
  <w:num w:numId="38">
    <w:abstractNumId w:val="20"/>
  </w:num>
  <w:num w:numId="39">
    <w:abstractNumId w:val="13"/>
  </w:num>
  <w:num w:numId="40">
    <w:abstractNumId w:val="27"/>
  </w:num>
  <w:num w:numId="41">
    <w:abstractNumId w:val="29"/>
  </w:num>
  <w:num w:numId="42">
    <w:abstractNumId w:val="21"/>
  </w:num>
  <w:num w:numId="43">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13125"/>
    <w:rsid w:val="00021590"/>
    <w:rsid w:val="00025D1B"/>
    <w:rsid w:val="000266C4"/>
    <w:rsid w:val="000542B4"/>
    <w:rsid w:val="000618F3"/>
    <w:rsid w:val="00066D0B"/>
    <w:rsid w:val="000717D2"/>
    <w:rsid w:val="00073BE4"/>
    <w:rsid w:val="00074A56"/>
    <w:rsid w:val="00080827"/>
    <w:rsid w:val="0008277A"/>
    <w:rsid w:val="000904C1"/>
    <w:rsid w:val="000B3924"/>
    <w:rsid w:val="000B3C44"/>
    <w:rsid w:val="000B5ED2"/>
    <w:rsid w:val="000C0412"/>
    <w:rsid w:val="000C4558"/>
    <w:rsid w:val="000C65FB"/>
    <w:rsid w:val="000E42DB"/>
    <w:rsid w:val="000E455C"/>
    <w:rsid w:val="000F23AC"/>
    <w:rsid w:val="001051C3"/>
    <w:rsid w:val="00173E2E"/>
    <w:rsid w:val="00190D7E"/>
    <w:rsid w:val="001A564B"/>
    <w:rsid w:val="001A689D"/>
    <w:rsid w:val="001A6968"/>
    <w:rsid w:val="001D0BAA"/>
    <w:rsid w:val="001D0EF3"/>
    <w:rsid w:val="00200FD5"/>
    <w:rsid w:val="00203DE1"/>
    <w:rsid w:val="00220618"/>
    <w:rsid w:val="00232FAB"/>
    <w:rsid w:val="00237A69"/>
    <w:rsid w:val="00275B58"/>
    <w:rsid w:val="00284B53"/>
    <w:rsid w:val="00286A50"/>
    <w:rsid w:val="002A77BA"/>
    <w:rsid w:val="002C149C"/>
    <w:rsid w:val="002E3FD4"/>
    <w:rsid w:val="002F4595"/>
    <w:rsid w:val="00300AFD"/>
    <w:rsid w:val="003032C0"/>
    <w:rsid w:val="003235FA"/>
    <w:rsid w:val="00336B60"/>
    <w:rsid w:val="0035108D"/>
    <w:rsid w:val="003569F9"/>
    <w:rsid w:val="00366721"/>
    <w:rsid w:val="00370990"/>
    <w:rsid w:val="0037698A"/>
    <w:rsid w:val="00392124"/>
    <w:rsid w:val="003F15F5"/>
    <w:rsid w:val="003F73D7"/>
    <w:rsid w:val="00411260"/>
    <w:rsid w:val="00423122"/>
    <w:rsid w:val="00442630"/>
    <w:rsid w:val="0044304D"/>
    <w:rsid w:val="00446CB3"/>
    <w:rsid w:val="00474F59"/>
    <w:rsid w:val="00480F1E"/>
    <w:rsid w:val="0049603E"/>
    <w:rsid w:val="004C2DA2"/>
    <w:rsid w:val="004D0888"/>
    <w:rsid w:val="004F52C6"/>
    <w:rsid w:val="005019C1"/>
    <w:rsid w:val="00515287"/>
    <w:rsid w:val="00531B5A"/>
    <w:rsid w:val="00545C6C"/>
    <w:rsid w:val="00553E9D"/>
    <w:rsid w:val="0055447F"/>
    <w:rsid w:val="0056155D"/>
    <w:rsid w:val="00567DFC"/>
    <w:rsid w:val="00577F29"/>
    <w:rsid w:val="00583B24"/>
    <w:rsid w:val="005866C7"/>
    <w:rsid w:val="00594556"/>
    <w:rsid w:val="005A48A6"/>
    <w:rsid w:val="005B613F"/>
    <w:rsid w:val="005C2BFD"/>
    <w:rsid w:val="005D0059"/>
    <w:rsid w:val="005E56AF"/>
    <w:rsid w:val="00607A21"/>
    <w:rsid w:val="00607A36"/>
    <w:rsid w:val="006113B0"/>
    <w:rsid w:val="006141ED"/>
    <w:rsid w:val="006156DF"/>
    <w:rsid w:val="00625D8D"/>
    <w:rsid w:val="00642F36"/>
    <w:rsid w:val="00646917"/>
    <w:rsid w:val="00656587"/>
    <w:rsid w:val="00665B1E"/>
    <w:rsid w:val="006900AC"/>
    <w:rsid w:val="00696682"/>
    <w:rsid w:val="006A6540"/>
    <w:rsid w:val="006B0030"/>
    <w:rsid w:val="006B505B"/>
    <w:rsid w:val="006D413F"/>
    <w:rsid w:val="006F6FE8"/>
    <w:rsid w:val="0070464B"/>
    <w:rsid w:val="00704A2D"/>
    <w:rsid w:val="00721291"/>
    <w:rsid w:val="007258B1"/>
    <w:rsid w:val="00725C8B"/>
    <w:rsid w:val="00754CA3"/>
    <w:rsid w:val="0076549B"/>
    <w:rsid w:val="00793E18"/>
    <w:rsid w:val="007A221B"/>
    <w:rsid w:val="007C0010"/>
    <w:rsid w:val="007E6C31"/>
    <w:rsid w:val="0080517C"/>
    <w:rsid w:val="00832638"/>
    <w:rsid w:val="00865130"/>
    <w:rsid w:val="008906CC"/>
    <w:rsid w:val="00892F53"/>
    <w:rsid w:val="00895341"/>
    <w:rsid w:val="008D3DD5"/>
    <w:rsid w:val="008E3B54"/>
    <w:rsid w:val="008F382A"/>
    <w:rsid w:val="00902E92"/>
    <w:rsid w:val="0090743D"/>
    <w:rsid w:val="00911F4A"/>
    <w:rsid w:val="00916FC3"/>
    <w:rsid w:val="00943779"/>
    <w:rsid w:val="0096087A"/>
    <w:rsid w:val="00974CD6"/>
    <w:rsid w:val="00981F00"/>
    <w:rsid w:val="009844EA"/>
    <w:rsid w:val="00986927"/>
    <w:rsid w:val="00993286"/>
    <w:rsid w:val="009A3930"/>
    <w:rsid w:val="009C206F"/>
    <w:rsid w:val="009C3FA3"/>
    <w:rsid w:val="009C5CE4"/>
    <w:rsid w:val="009D7044"/>
    <w:rsid w:val="00A04AFD"/>
    <w:rsid w:val="00A130F7"/>
    <w:rsid w:val="00A32860"/>
    <w:rsid w:val="00A62F99"/>
    <w:rsid w:val="00A65D84"/>
    <w:rsid w:val="00A7471E"/>
    <w:rsid w:val="00A77E8E"/>
    <w:rsid w:val="00A8157A"/>
    <w:rsid w:val="00A8597C"/>
    <w:rsid w:val="00AA1058"/>
    <w:rsid w:val="00AA1D89"/>
    <w:rsid w:val="00AE1E6E"/>
    <w:rsid w:val="00AE4763"/>
    <w:rsid w:val="00B0121B"/>
    <w:rsid w:val="00B0455B"/>
    <w:rsid w:val="00B11E02"/>
    <w:rsid w:val="00B137D1"/>
    <w:rsid w:val="00B2514A"/>
    <w:rsid w:val="00B25B27"/>
    <w:rsid w:val="00B3476F"/>
    <w:rsid w:val="00B43568"/>
    <w:rsid w:val="00B7030F"/>
    <w:rsid w:val="00B82095"/>
    <w:rsid w:val="00B90975"/>
    <w:rsid w:val="00B93571"/>
    <w:rsid w:val="00B94CBD"/>
    <w:rsid w:val="00BA2E73"/>
    <w:rsid w:val="00BB0F3E"/>
    <w:rsid w:val="00BD4F8E"/>
    <w:rsid w:val="00BE345B"/>
    <w:rsid w:val="00C60879"/>
    <w:rsid w:val="00C6128D"/>
    <w:rsid w:val="00C72735"/>
    <w:rsid w:val="00C73278"/>
    <w:rsid w:val="00C765C8"/>
    <w:rsid w:val="00C82029"/>
    <w:rsid w:val="00C9283A"/>
    <w:rsid w:val="00C95039"/>
    <w:rsid w:val="00CA4615"/>
    <w:rsid w:val="00CC35B5"/>
    <w:rsid w:val="00CD3A6F"/>
    <w:rsid w:val="00CE7F36"/>
    <w:rsid w:val="00CF6A74"/>
    <w:rsid w:val="00CF7D08"/>
    <w:rsid w:val="00D04A3C"/>
    <w:rsid w:val="00D22097"/>
    <w:rsid w:val="00D30142"/>
    <w:rsid w:val="00D36C41"/>
    <w:rsid w:val="00D4039B"/>
    <w:rsid w:val="00D449E8"/>
    <w:rsid w:val="00D55A85"/>
    <w:rsid w:val="00D750D0"/>
    <w:rsid w:val="00D87480"/>
    <w:rsid w:val="00D97218"/>
    <w:rsid w:val="00DB71FD"/>
    <w:rsid w:val="00DC453F"/>
    <w:rsid w:val="00DC57F0"/>
    <w:rsid w:val="00DD29B4"/>
    <w:rsid w:val="00DE546F"/>
    <w:rsid w:val="00DF241E"/>
    <w:rsid w:val="00E25A07"/>
    <w:rsid w:val="00E333DF"/>
    <w:rsid w:val="00E35D45"/>
    <w:rsid w:val="00E83C41"/>
    <w:rsid w:val="00E9781D"/>
    <w:rsid w:val="00EA5D76"/>
    <w:rsid w:val="00EC2925"/>
    <w:rsid w:val="00EC5579"/>
    <w:rsid w:val="00EC5C40"/>
    <w:rsid w:val="00EC5CE3"/>
    <w:rsid w:val="00ED00D4"/>
    <w:rsid w:val="00ED774B"/>
    <w:rsid w:val="00ED7A6E"/>
    <w:rsid w:val="00EE0118"/>
    <w:rsid w:val="00EE49CE"/>
    <w:rsid w:val="00EE7C8D"/>
    <w:rsid w:val="00EF24B1"/>
    <w:rsid w:val="00EF3918"/>
    <w:rsid w:val="00F330C3"/>
    <w:rsid w:val="00F71208"/>
    <w:rsid w:val="00F75F33"/>
    <w:rsid w:val="00F84236"/>
    <w:rsid w:val="00FB6E33"/>
    <w:rsid w:val="00FC2CE4"/>
    <w:rsid w:val="00FC379E"/>
    <w:rsid w:val="00FD337C"/>
    <w:rsid w:val="00FD3BAE"/>
    <w:rsid w:val="00FD5236"/>
    <w:rsid w:val="00FD5A1D"/>
    <w:rsid w:val="00FD72BD"/>
    <w:rsid w:val="00FD7D5B"/>
    <w:rsid w:val="00FE0F23"/>
    <w:rsid w:val="00FE1F23"/>
    <w:rsid w:val="00FF3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543897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0E42DB"/>
    <w:pPr>
      <w:spacing w:before="480" w:after="120"/>
    </w:pPr>
    <w:rPr>
      <w:rFonts w:asciiTheme="minorHAnsi" w:eastAsiaTheme="minorHAnsi" w:hAnsiTheme="minorHAnsi" w:cstheme="minorBidi"/>
      <w:b/>
      <w:i/>
      <w:color w:val="5482AB"/>
      <w:sz w:val="32"/>
      <w:szCs w:val="22"/>
      <w:lang w:eastAsia="en-US"/>
    </w:rPr>
  </w:style>
  <w:style w:type="table" w:styleId="PlainTable2">
    <w:name w:val="Plain Table 2"/>
    <w:basedOn w:val="TableNormal"/>
    <w:uiPriority w:val="42"/>
    <w:rsid w:val="00ED7A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D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Report%20writing\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template.dotx</Template>
  <TotalTime>17</TotalTime>
  <Pages>4</Pages>
  <Words>1024</Words>
  <Characters>5843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 - Chicken meat industry first workshop 24 August 2021: Workshop communique</vt:lpstr>
    </vt:vector>
  </TitlesOfParts>
  <Company/>
  <LinksUpToDate>false</LinksUpToDate>
  <CharactersWithSpaces>6854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market transparency in perishable agricultural goods industries - Chicken meat industry first workshop 24 August 2021: Workshop communique</dc:title>
  <dc:creator>Department of Agriculture, Water and the Environment</dc:creator>
  <cp:lastPrinted>2021-11-02T03:36:00Z</cp:lastPrinted>
  <dcterms:created xsi:type="dcterms:W3CDTF">2021-10-27T00:41:00Z</dcterms:created>
  <dcterms:modified xsi:type="dcterms:W3CDTF">2021-11-02T03:36:00Z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