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7FF7F580" w:rsidR="00A8597C" w:rsidRPr="00A8597C" w:rsidRDefault="000E42DB" w:rsidP="00A8597C">
      <w:pPr>
        <w:pStyle w:val="Heading1"/>
      </w:pPr>
      <w:r w:rsidRPr="000E42DB">
        <w:t xml:space="preserve">Seafood industry </w:t>
      </w:r>
      <w:r w:rsidR="00A60C68">
        <w:t xml:space="preserve">first </w:t>
      </w:r>
      <w:r w:rsidRPr="000E42DB">
        <w:t xml:space="preserve">workshop </w:t>
      </w:r>
      <w:r w:rsidR="00A8597C">
        <w:t>10</w:t>
      </w:r>
      <w:r w:rsidR="008642BE">
        <w:t> </w:t>
      </w:r>
      <w:r w:rsidR="00A8597C">
        <w:t>August</w:t>
      </w:r>
      <w:r w:rsidR="008642BE">
        <w:t> </w:t>
      </w:r>
      <w:r w:rsidR="00A8597C">
        <w:t>2021</w:t>
      </w:r>
      <w:r w:rsidRPr="000E42DB">
        <w:t>: Workshop communique</w:t>
      </w:r>
    </w:p>
    <w:p w14:paraId="7170947D" w14:textId="77777777" w:rsidR="00A8597C" w:rsidRDefault="00A8597C" w:rsidP="00A8597C">
      <w:pPr>
        <w:pStyle w:val="Heading2"/>
      </w:pPr>
      <w:r>
        <w:t>Background</w:t>
      </w:r>
    </w:p>
    <w:p w14:paraId="6B4791CD" w14:textId="4EF0F522" w:rsidR="00A8597C" w:rsidRDefault="00A8597C" w:rsidP="00A8597C">
      <w:r>
        <w:t xml:space="preserve">In late 2020, the Australian Competition and Consumer Commission (ACCC) conducted an inquiry into bargaining power imbalances in supply chains for perishable agricultural </w:t>
      </w:r>
      <w:r w:rsidR="00413D2C">
        <w:t>goods (PAG)</w:t>
      </w:r>
      <w:r>
        <w:t xml:space="preserve"> 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33B1521F" w14:textId="1FE32099" w:rsidR="00A8597C" w:rsidRDefault="00A8597C"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28454E53" w:rsidR="00A8597C" w:rsidRDefault="00A8597C" w:rsidP="00A8597C">
      <w:pPr>
        <w:pStyle w:val="Heading2"/>
      </w:pPr>
      <w:r>
        <w:t>Workshop outcomes</w:t>
      </w:r>
    </w:p>
    <w:p w14:paraId="5D06C971" w14:textId="4BD9A621" w:rsidR="00A8597C" w:rsidRDefault="00A8597C" w:rsidP="001D0BAA">
      <w:r>
        <w:t xml:space="preserve">Twenty-four industry and government representatives attended the first seafood price and market transparency workshop. The objective of the first workshop was to discover and analyse the issues, </w:t>
      </w:r>
      <w:proofErr w:type="gramStart"/>
      <w:r>
        <w:t>barriers</w:t>
      </w:r>
      <w:proofErr w:type="gramEnd"/>
      <w:r>
        <w:t xml:space="preserve"> and opportunities to achieve market and price transparency in the seafood industry.</w:t>
      </w:r>
    </w:p>
    <w:p w14:paraId="762C9631" w14:textId="1B70493E" w:rsidR="00ED7A6E" w:rsidRDefault="00ED7A6E" w:rsidP="00480F1E">
      <w:r>
        <w:t xml:space="preserve">Participants </w:t>
      </w:r>
      <w:r w:rsidRPr="00173E2E">
        <w:t>(</w:t>
      </w:r>
      <w:hyperlink w:anchor="_Appendix_A_–" w:history="1">
        <w:r w:rsidR="001D0BAA" w:rsidRPr="001D0BAA">
          <w:rPr>
            <w:rStyle w:val="Hyperlink"/>
          </w:rPr>
          <w:t>Appendix A</w:t>
        </w:r>
      </w:hyperlink>
      <w:r w:rsidR="001D0BAA">
        <w:t xml:space="preserve">) </w:t>
      </w:r>
      <w:r>
        <w:t>worked in small groups that explored:</w:t>
      </w:r>
    </w:p>
    <w:p w14:paraId="278AD5C8" w14:textId="77C70C0A" w:rsidR="00ED7A6E" w:rsidRPr="001D0BAA" w:rsidRDefault="00ED7A6E" w:rsidP="00480F1E">
      <w:pPr>
        <w:pStyle w:val="ListBullet"/>
      </w:pPr>
      <w:r w:rsidRPr="001D0BAA">
        <w:t xml:space="preserve">Issues </w:t>
      </w:r>
      <w:r w:rsidR="00B87075">
        <w:t>–</w:t>
      </w:r>
      <w:r w:rsidRPr="001D0BAA">
        <w:t xml:space="preserve"> Negative characteristics within the seafood industry that decrease price and market transparency</w:t>
      </w:r>
      <w:r w:rsidR="003C77C6">
        <w:t>.</w:t>
      </w:r>
    </w:p>
    <w:p w14:paraId="1438166D" w14:textId="2A25C37C" w:rsidR="00ED7A6E" w:rsidRPr="001D0BAA" w:rsidRDefault="00ED7A6E" w:rsidP="00480F1E">
      <w:pPr>
        <w:pStyle w:val="ListBullet"/>
      </w:pPr>
      <w:r w:rsidRPr="001D0BAA">
        <w:t>Barriers</w:t>
      </w:r>
      <w:r w:rsidR="00B87075" w:rsidRPr="001D0BAA">
        <w:t xml:space="preserve"> </w:t>
      </w:r>
      <w:r w:rsidR="00B87075">
        <w:t>–</w:t>
      </w:r>
      <w:r w:rsidR="00B87075" w:rsidRPr="001D0BAA">
        <w:t xml:space="preserve"> </w:t>
      </w:r>
      <w:r w:rsidRPr="001D0BAA">
        <w:t>Negative characteristics external to the seafood industry that decrease price and market transparency</w:t>
      </w:r>
      <w:r w:rsidR="003C77C6">
        <w:t>.</w:t>
      </w:r>
    </w:p>
    <w:p w14:paraId="46C112FD" w14:textId="3001DCEE" w:rsidR="00ED7A6E" w:rsidRPr="001D0BAA" w:rsidRDefault="00ED7A6E" w:rsidP="00480F1E">
      <w:pPr>
        <w:pStyle w:val="ListBullet"/>
      </w:pPr>
      <w:r w:rsidRPr="001D0BAA">
        <w:t>Internal opportunities</w:t>
      </w:r>
      <w:r w:rsidR="00B87075" w:rsidRPr="001D0BAA">
        <w:t xml:space="preserve"> </w:t>
      </w:r>
      <w:r w:rsidR="00B87075">
        <w:t>–</w:t>
      </w:r>
      <w:r w:rsidR="00B87075" w:rsidRPr="001D0BAA">
        <w:t xml:space="preserve"> </w:t>
      </w:r>
      <w:r w:rsidRPr="001D0BAA">
        <w:t>Positive characteristics that exist within the seafood industry that can potentially increase price and market transparency.</w:t>
      </w:r>
    </w:p>
    <w:p w14:paraId="49B53050" w14:textId="6112EF98" w:rsidR="00ED7A6E" w:rsidRPr="001D0BAA" w:rsidRDefault="00ED7A6E" w:rsidP="00480F1E">
      <w:pPr>
        <w:pStyle w:val="ListBullet"/>
      </w:pPr>
      <w:r w:rsidRPr="001D0BAA">
        <w:t>External opportunities</w:t>
      </w:r>
      <w:r w:rsidR="00B87075" w:rsidRPr="001D0BAA">
        <w:t xml:space="preserve"> </w:t>
      </w:r>
      <w:r w:rsidR="00B87075">
        <w:t>–</w:t>
      </w:r>
      <w:r w:rsidR="00B87075" w:rsidRPr="001D0BAA">
        <w:t xml:space="preserve"> </w:t>
      </w:r>
      <w:r w:rsidRPr="001D0BAA">
        <w:t>Positive characteristics outside the seafood industry that can potentially increase price and market transparency.</w:t>
      </w:r>
    </w:p>
    <w:p w14:paraId="32A34507" w14:textId="2E2A0F09" w:rsidR="00ED7A6E" w:rsidRDefault="00ED7A6E" w:rsidP="00ED7A6E">
      <w:r>
        <w:lastRenderedPageBreak/>
        <w:t xml:space="preserve">Throughout this process, </w:t>
      </w:r>
      <w:proofErr w:type="gramStart"/>
      <w:r>
        <w:t>issues</w:t>
      </w:r>
      <w:proofErr w:type="gramEnd"/>
      <w:r>
        <w:t xml:space="preserve"> and barriers (and consequently, opportunities) were categorised as either legislative, regulatory, industry specific, general process, technology driven, consumer driven and other (for example, environmental).</w:t>
      </w:r>
      <w:r w:rsidR="00F36C0E">
        <w:t xml:space="preserve"> </w:t>
      </w:r>
      <w:r w:rsidR="00173E2E">
        <w:rPr>
          <w:highlight w:val="yellow"/>
        </w:rPr>
        <w:fldChar w:fldCharType="begin"/>
      </w:r>
      <w:r w:rsidR="00173E2E">
        <w:rPr>
          <w:highlight w:val="yellow"/>
        </w:rPr>
        <w:instrText xml:space="preserve"> REF _Ref82700697 \h </w:instrText>
      </w:r>
      <w:r w:rsidR="00173E2E">
        <w:rPr>
          <w:highlight w:val="yellow"/>
        </w:rPr>
      </w:r>
      <w:r w:rsidR="00173E2E">
        <w:rPr>
          <w:highlight w:val="yellow"/>
        </w:rPr>
        <w:fldChar w:fldCharType="separate"/>
      </w:r>
      <w:r w:rsidR="00E06FFD">
        <w:t xml:space="preserve">Table </w:t>
      </w:r>
      <w:r w:rsidR="00E06FFD">
        <w:rPr>
          <w:noProof/>
        </w:rPr>
        <w:t>1</w:t>
      </w:r>
      <w:r w:rsidR="00173E2E">
        <w:rPr>
          <w:highlight w:val="yellow"/>
        </w:rPr>
        <w:fldChar w:fldCharType="end"/>
      </w:r>
      <w:r w:rsidR="00173E2E">
        <w:t xml:space="preserve"> </w:t>
      </w:r>
      <w:r>
        <w:t xml:space="preserve">identifies and categorises the key themes of issues, </w:t>
      </w:r>
      <w:proofErr w:type="gramStart"/>
      <w:r>
        <w:t>barriers</w:t>
      </w:r>
      <w:proofErr w:type="gramEnd"/>
      <w:r>
        <w:t xml:space="preserve"> and opportunities from the workshop discussions.</w:t>
      </w:r>
    </w:p>
    <w:p w14:paraId="15D7272A" w14:textId="639B7544" w:rsidR="00ED7A6E" w:rsidRDefault="006141ED" w:rsidP="006141ED">
      <w:pPr>
        <w:pStyle w:val="Caption"/>
      </w:pPr>
      <w:bookmarkStart w:id="0" w:name="_Ref82700697"/>
      <w:r>
        <w:t xml:space="preserve">Table </w:t>
      </w:r>
      <w:fldSimple w:instr=" SEQ Table \* ARABIC ">
        <w:r w:rsidR="00E06FFD">
          <w:rPr>
            <w:noProof/>
          </w:rPr>
          <w:t>1</w:t>
        </w:r>
      </w:fldSimple>
      <w:bookmarkEnd w:id="0"/>
      <w:r>
        <w:t xml:space="preserve"> </w:t>
      </w:r>
      <w:r w:rsidR="00480F1E">
        <w:t>I</w:t>
      </w:r>
      <w:r w:rsidR="00ED7A6E">
        <w:t xml:space="preserve">ssues, </w:t>
      </w:r>
      <w:proofErr w:type="gramStart"/>
      <w:r w:rsidR="00ED7A6E">
        <w:t>barriers</w:t>
      </w:r>
      <w:proofErr w:type="gramEnd"/>
      <w:r w:rsidR="00ED7A6E">
        <w:t xml:space="preserve"> and opportunities</w:t>
      </w:r>
    </w:p>
    <w:tbl>
      <w:tblPr>
        <w:tblStyle w:val="PlainTable2"/>
        <w:tblW w:w="5000" w:type="pct"/>
        <w:tblBorders>
          <w:top w:val="single" w:sz="4" w:space="0" w:color="auto"/>
          <w:bottom w:val="single" w:sz="4" w:space="0" w:color="auto"/>
          <w:insideH w:val="single" w:sz="4" w:space="0" w:color="auto"/>
        </w:tblBorders>
        <w:tblLook w:val="0620" w:firstRow="1" w:lastRow="0" w:firstColumn="0" w:lastColumn="0" w:noHBand="1" w:noVBand="1"/>
      </w:tblPr>
      <w:tblGrid>
        <w:gridCol w:w="2096"/>
        <w:gridCol w:w="3743"/>
        <w:gridCol w:w="3743"/>
      </w:tblGrid>
      <w:tr w:rsidR="00ED7A6E" w:rsidRPr="00ED7A6E" w14:paraId="60560EA6" w14:textId="77777777" w:rsidTr="00DD29B4">
        <w:trPr>
          <w:cnfStyle w:val="100000000000" w:firstRow="1" w:lastRow="0" w:firstColumn="0" w:lastColumn="0" w:oddVBand="0" w:evenVBand="0" w:oddHBand="0" w:evenHBand="0" w:firstRowFirstColumn="0" w:firstRowLastColumn="0" w:lastRowFirstColumn="0" w:lastRowLastColumn="0"/>
        </w:trPr>
        <w:tc>
          <w:tcPr>
            <w:tcW w:w="1094" w:type="pct"/>
            <w:tcBorders>
              <w:bottom w:val="none" w:sz="0" w:space="0" w:color="auto"/>
            </w:tcBorders>
          </w:tcPr>
          <w:p w14:paraId="3FE28960" w14:textId="77777777" w:rsidR="00ED7A6E" w:rsidRPr="003C77C6" w:rsidRDefault="00ED7A6E" w:rsidP="003C77C6">
            <w:pPr>
              <w:pStyle w:val="TableHeading"/>
              <w:rPr>
                <w:rStyle w:val="Strong"/>
              </w:rPr>
            </w:pPr>
            <w:bookmarkStart w:id="1" w:name="Title_1"/>
            <w:bookmarkEnd w:id="1"/>
            <w:r w:rsidRPr="003C77C6">
              <w:rPr>
                <w:rStyle w:val="Strong"/>
              </w:rPr>
              <w:t>Category</w:t>
            </w:r>
          </w:p>
        </w:tc>
        <w:tc>
          <w:tcPr>
            <w:tcW w:w="1953" w:type="pct"/>
            <w:tcBorders>
              <w:bottom w:val="none" w:sz="0" w:space="0" w:color="auto"/>
            </w:tcBorders>
          </w:tcPr>
          <w:p w14:paraId="70BD089B" w14:textId="77777777" w:rsidR="00ED7A6E" w:rsidRPr="003C77C6" w:rsidRDefault="00ED7A6E" w:rsidP="003C77C6">
            <w:pPr>
              <w:pStyle w:val="TableHeading"/>
              <w:rPr>
                <w:rStyle w:val="Strong"/>
              </w:rPr>
            </w:pPr>
            <w:r w:rsidRPr="003C77C6">
              <w:rPr>
                <w:rStyle w:val="Strong"/>
              </w:rPr>
              <w:t>Issue/Barrier</w:t>
            </w:r>
          </w:p>
        </w:tc>
        <w:tc>
          <w:tcPr>
            <w:tcW w:w="1953" w:type="pct"/>
            <w:tcBorders>
              <w:bottom w:val="none" w:sz="0" w:space="0" w:color="auto"/>
            </w:tcBorders>
          </w:tcPr>
          <w:p w14:paraId="1F000F42" w14:textId="77777777" w:rsidR="00ED7A6E" w:rsidRPr="003C77C6" w:rsidRDefault="00ED7A6E" w:rsidP="003C77C6">
            <w:pPr>
              <w:pStyle w:val="TableHeading"/>
              <w:rPr>
                <w:rStyle w:val="Strong"/>
              </w:rPr>
            </w:pPr>
            <w:r w:rsidRPr="003C77C6">
              <w:rPr>
                <w:rStyle w:val="Strong"/>
              </w:rPr>
              <w:t>Opportunity</w:t>
            </w:r>
          </w:p>
        </w:tc>
      </w:tr>
      <w:tr w:rsidR="00ED7A6E" w:rsidRPr="00ED7A6E" w14:paraId="4076A011" w14:textId="77777777" w:rsidTr="00DD29B4">
        <w:tc>
          <w:tcPr>
            <w:tcW w:w="1094" w:type="pct"/>
          </w:tcPr>
          <w:p w14:paraId="607CCE92" w14:textId="77777777" w:rsidR="00ED7A6E" w:rsidRPr="00ED7A6E" w:rsidRDefault="00ED7A6E" w:rsidP="00DD29B4">
            <w:pPr>
              <w:pStyle w:val="TableText"/>
            </w:pPr>
            <w:r w:rsidRPr="00ED7A6E">
              <w:t>Consumer</w:t>
            </w:r>
          </w:p>
        </w:tc>
        <w:tc>
          <w:tcPr>
            <w:tcW w:w="1953" w:type="pct"/>
          </w:tcPr>
          <w:p w14:paraId="2F0D8FD5" w14:textId="77777777" w:rsidR="00ED7A6E" w:rsidRPr="00ED7A6E" w:rsidRDefault="00ED7A6E" w:rsidP="00DD29B4">
            <w:pPr>
              <w:pStyle w:val="TableText"/>
            </w:pPr>
            <w:r w:rsidRPr="00ED7A6E">
              <w:t>Lack of consumer awareness of the benefits and positive characteristics of Australian seafood; pricing for consumers based on their perception of value; truth in labelling/origin.</w:t>
            </w:r>
          </w:p>
        </w:tc>
        <w:tc>
          <w:tcPr>
            <w:tcW w:w="1953" w:type="pct"/>
          </w:tcPr>
          <w:p w14:paraId="36539B39" w14:textId="487FC9D8" w:rsidR="00ED7A6E" w:rsidRPr="00ED7A6E" w:rsidRDefault="00ED7A6E" w:rsidP="00DD29B4">
            <w:pPr>
              <w:pStyle w:val="TableText"/>
            </w:pPr>
            <w:r w:rsidRPr="00ED7A6E">
              <w:t>Increased consumer education to improve transparency of country/region of origin; increased consumer awareness of positive characteristics, such as environmental sustainability and nutritional benefits.</w:t>
            </w:r>
          </w:p>
        </w:tc>
      </w:tr>
      <w:tr w:rsidR="00ED7A6E" w:rsidRPr="00ED7A6E" w14:paraId="1F9F7C0F" w14:textId="77777777" w:rsidTr="00DD29B4">
        <w:tc>
          <w:tcPr>
            <w:tcW w:w="1094" w:type="pct"/>
          </w:tcPr>
          <w:p w14:paraId="21E77528" w14:textId="77777777" w:rsidR="00ED7A6E" w:rsidRPr="00ED7A6E" w:rsidRDefault="00ED7A6E" w:rsidP="00DD29B4">
            <w:pPr>
              <w:pStyle w:val="TableText"/>
            </w:pPr>
            <w:r w:rsidRPr="00ED7A6E">
              <w:t>Industry specific</w:t>
            </w:r>
          </w:p>
        </w:tc>
        <w:tc>
          <w:tcPr>
            <w:tcW w:w="1953" w:type="pct"/>
          </w:tcPr>
          <w:p w14:paraId="47865639" w14:textId="77777777" w:rsidR="00ED7A6E" w:rsidRPr="00ED7A6E" w:rsidRDefault="00ED7A6E" w:rsidP="00DD29B4">
            <w:pPr>
              <w:pStyle w:val="TableText"/>
            </w:pPr>
            <w:r w:rsidRPr="00ED7A6E">
              <w:t>Industry credentials not promoted; wholesaler dominance; lack of trust between members of the supply chain; certification requirements, policy and regulation differ across state governments and retailers; supply models differ across retailers; lack communication with retailers.</w:t>
            </w:r>
          </w:p>
        </w:tc>
        <w:tc>
          <w:tcPr>
            <w:tcW w:w="1953" w:type="pct"/>
          </w:tcPr>
          <w:p w14:paraId="07A6A89E" w14:textId="77777777" w:rsidR="00ED7A6E" w:rsidRPr="00ED7A6E" w:rsidRDefault="00ED7A6E" w:rsidP="00DD29B4">
            <w:pPr>
              <w:pStyle w:val="TableText"/>
            </w:pPr>
            <w:r w:rsidRPr="00ED7A6E">
              <w:t>Increasing the scope and application of the SIA pledge, HARPS (Harmonised Australian Retailer Produce Scheme) could be considered for the seafood industry.</w:t>
            </w:r>
          </w:p>
        </w:tc>
      </w:tr>
      <w:tr w:rsidR="00ED7A6E" w:rsidRPr="00ED7A6E" w14:paraId="41826C09" w14:textId="77777777" w:rsidTr="00DD29B4">
        <w:tc>
          <w:tcPr>
            <w:tcW w:w="1094" w:type="pct"/>
          </w:tcPr>
          <w:p w14:paraId="446709F1" w14:textId="77777777" w:rsidR="00ED7A6E" w:rsidRPr="00ED7A6E" w:rsidRDefault="00ED7A6E" w:rsidP="00DD29B4">
            <w:pPr>
              <w:pStyle w:val="TableText"/>
            </w:pPr>
            <w:r w:rsidRPr="00ED7A6E">
              <w:t>Technology driven</w:t>
            </w:r>
          </w:p>
        </w:tc>
        <w:tc>
          <w:tcPr>
            <w:tcW w:w="1953" w:type="pct"/>
          </w:tcPr>
          <w:p w14:paraId="3FF528C2" w14:textId="1A6E3191" w:rsidR="00ED7A6E" w:rsidRPr="00ED7A6E" w:rsidRDefault="00ED7A6E" w:rsidP="00DD29B4">
            <w:pPr>
              <w:pStyle w:val="TableText"/>
            </w:pPr>
            <w:r w:rsidRPr="00ED7A6E">
              <w:t xml:space="preserve">Producers are price takers and have no say in value of their product; labelling and branding of seafood can be difficult; no </w:t>
            </w:r>
            <w:r w:rsidR="0096087A" w:rsidRPr="00ED7A6E">
              <w:t>visibility</w:t>
            </w:r>
            <w:r w:rsidRPr="00ED7A6E">
              <w:t xml:space="preserve"> of domestic production costs v</w:t>
            </w:r>
            <w:r w:rsidR="00BC19C5">
              <w:t>ersu</w:t>
            </w:r>
            <w:r w:rsidRPr="00ED7A6E">
              <w:t>s imported production costs.</w:t>
            </w:r>
          </w:p>
        </w:tc>
        <w:tc>
          <w:tcPr>
            <w:tcW w:w="1953" w:type="pct"/>
          </w:tcPr>
          <w:p w14:paraId="3B297BE2" w14:textId="77777777" w:rsidR="00ED7A6E" w:rsidRPr="00ED7A6E" w:rsidRDefault="00ED7A6E" w:rsidP="00DD29B4">
            <w:pPr>
              <w:pStyle w:val="TableText"/>
            </w:pPr>
            <w:r w:rsidRPr="00ED7A6E">
              <w:t xml:space="preserve">Digital tools: industry e-commerce; social media; traceability; digitisation of supply chains, including blockchain </w:t>
            </w:r>
          </w:p>
        </w:tc>
      </w:tr>
      <w:tr w:rsidR="00ED7A6E" w:rsidRPr="00ED7A6E" w14:paraId="448E858B" w14:textId="77777777" w:rsidTr="00DD29B4">
        <w:tc>
          <w:tcPr>
            <w:tcW w:w="1094" w:type="pct"/>
          </w:tcPr>
          <w:p w14:paraId="4377746E" w14:textId="77777777" w:rsidR="00ED7A6E" w:rsidRPr="00ED7A6E" w:rsidRDefault="00ED7A6E" w:rsidP="00DD29B4">
            <w:pPr>
              <w:pStyle w:val="TableText"/>
            </w:pPr>
            <w:r w:rsidRPr="00ED7A6E">
              <w:t>General process</w:t>
            </w:r>
          </w:p>
        </w:tc>
        <w:tc>
          <w:tcPr>
            <w:tcW w:w="1953" w:type="pct"/>
          </w:tcPr>
          <w:p w14:paraId="58BA6DA9" w14:textId="7302EF20" w:rsidR="00ED7A6E" w:rsidRPr="00ED7A6E" w:rsidRDefault="00ED7A6E" w:rsidP="00DD29B4">
            <w:pPr>
              <w:pStyle w:val="TableText"/>
            </w:pPr>
            <w:r w:rsidRPr="00ED7A6E">
              <w:t>Lack of price sharing; no trade information on supply and price; lack of standards (size, quality); lack of farm management tools; lack of market understanding (composition); data not available in a timely way.</w:t>
            </w:r>
          </w:p>
        </w:tc>
        <w:tc>
          <w:tcPr>
            <w:tcW w:w="1953" w:type="pct"/>
          </w:tcPr>
          <w:p w14:paraId="030DD419" w14:textId="1FF02C78" w:rsidR="00ED7A6E" w:rsidRPr="00ED7A6E" w:rsidRDefault="00ED7A6E" w:rsidP="00DD29B4">
            <w:pPr>
              <w:pStyle w:val="TableText"/>
            </w:pPr>
            <w:r w:rsidRPr="00ED7A6E">
              <w:t xml:space="preserve">Improved collection, </w:t>
            </w:r>
            <w:proofErr w:type="gramStart"/>
            <w:r w:rsidR="006A6540" w:rsidRPr="00ED7A6E">
              <w:t>storage</w:t>
            </w:r>
            <w:proofErr w:type="gramEnd"/>
            <w:r w:rsidR="00BC19C5">
              <w:t xml:space="preserve"> </w:t>
            </w:r>
            <w:r w:rsidRPr="00ED7A6E">
              <w:t>and dissemination of timely market information: more informed price and market data to inform better decision making</w:t>
            </w:r>
            <w:r w:rsidR="00BC19C5">
              <w:t>;</w:t>
            </w:r>
            <w:r w:rsidRPr="00ED7A6E">
              <w:t xml:space="preserve"> targeted marketing.</w:t>
            </w:r>
          </w:p>
        </w:tc>
      </w:tr>
    </w:tbl>
    <w:p w14:paraId="1DEFEC44" w14:textId="77777777" w:rsidR="00ED7A6E" w:rsidRDefault="00ED7A6E" w:rsidP="003235FA">
      <w:pPr>
        <w:pStyle w:val="Heading2"/>
      </w:pPr>
      <w:r>
        <w:t>Next steps</w:t>
      </w:r>
    </w:p>
    <w:p w14:paraId="250B470F" w14:textId="2B1B30BA" w:rsidR="00ED7A6E" w:rsidRDefault="00ED7A6E" w:rsidP="00ED7A6E">
      <w:r>
        <w:t>The outcomes of the first workshop provide the basis for generating ideas for potential solutions to improve price and market transparency in the seafood industry. Ideas generation will be co-designed by participants in Workshop</w:t>
      </w:r>
      <w:r w:rsidR="005E56AF">
        <w:t> </w:t>
      </w:r>
      <w:r>
        <w:t>2 on 7</w:t>
      </w:r>
      <w:r w:rsidR="005E56AF">
        <w:t> </w:t>
      </w:r>
      <w:r>
        <w:t>September</w:t>
      </w:r>
      <w:r w:rsidR="005E56AF">
        <w:t> </w:t>
      </w:r>
      <w:r>
        <w:t>2021.</w:t>
      </w:r>
    </w:p>
    <w:p w14:paraId="09D48EDD" w14:textId="01F7B845" w:rsidR="00ED7A6E" w:rsidRDefault="00173E2E" w:rsidP="001D0BAA">
      <w:pPr>
        <w:pStyle w:val="Heading2"/>
        <w:keepNext w:val="0"/>
        <w:pageBreakBefore/>
      </w:pPr>
      <w:bookmarkStart w:id="2" w:name="_Appendix_A_–"/>
      <w:bookmarkStart w:id="3" w:name="_Ref82700999"/>
      <w:bookmarkEnd w:id="2"/>
      <w:r>
        <w:lastRenderedPageBreak/>
        <w:t>Appendix</w:t>
      </w:r>
      <w:bookmarkEnd w:id="3"/>
      <w:r w:rsidR="00981F00">
        <w:t xml:space="preserve"> A</w:t>
      </w:r>
      <w:r w:rsidR="00BC19C5">
        <w:t xml:space="preserve">: </w:t>
      </w:r>
      <w:r w:rsidR="00ED7A6E">
        <w:t>Participant list</w:t>
      </w:r>
    </w:p>
    <w:p w14:paraId="3A795A59" w14:textId="5E71B228" w:rsidR="00ED7A6E" w:rsidRPr="001D0BAA" w:rsidRDefault="00ED7A6E" w:rsidP="00480F1E">
      <w:pPr>
        <w:pStyle w:val="ListBullet"/>
      </w:pPr>
      <w:proofErr w:type="spellStart"/>
      <w:r w:rsidRPr="001D0BAA">
        <w:t>Humpty</w:t>
      </w:r>
      <w:proofErr w:type="spellEnd"/>
      <w:r w:rsidRPr="001D0BAA">
        <w:t xml:space="preserve"> Doo Barramundi</w:t>
      </w:r>
    </w:p>
    <w:p w14:paraId="5C8BECA9" w14:textId="5EFBC047" w:rsidR="00ED7A6E" w:rsidRPr="001D0BAA" w:rsidRDefault="00ED7A6E" w:rsidP="00480F1E">
      <w:pPr>
        <w:pStyle w:val="ListBullet"/>
      </w:pPr>
      <w:proofErr w:type="spellStart"/>
      <w:r w:rsidRPr="001D0BAA">
        <w:t>Petuna</w:t>
      </w:r>
      <w:proofErr w:type="spellEnd"/>
    </w:p>
    <w:p w14:paraId="7F02F18C" w14:textId="5C78F4F7" w:rsidR="00ED7A6E" w:rsidRPr="001D0BAA" w:rsidRDefault="00ED7A6E" w:rsidP="00480F1E">
      <w:pPr>
        <w:pStyle w:val="ListBullet"/>
      </w:pPr>
      <w:r w:rsidRPr="001D0BAA">
        <w:t>Sydney Fish Markets</w:t>
      </w:r>
    </w:p>
    <w:p w14:paraId="2EF9861D" w14:textId="59E6C4A5" w:rsidR="00ED7A6E" w:rsidRPr="001D0BAA" w:rsidRDefault="00ED7A6E" w:rsidP="00480F1E">
      <w:pPr>
        <w:pStyle w:val="ListBullet"/>
      </w:pPr>
      <w:r w:rsidRPr="001D0BAA">
        <w:t>Southern Rock Lobster</w:t>
      </w:r>
    </w:p>
    <w:p w14:paraId="359AE2EC" w14:textId="3DC626F9" w:rsidR="00ED7A6E" w:rsidRPr="001D0BAA" w:rsidRDefault="00ED7A6E" w:rsidP="00480F1E">
      <w:pPr>
        <w:pStyle w:val="ListBullet"/>
      </w:pPr>
      <w:r w:rsidRPr="001D0BAA">
        <w:t>Australian Barramundi Farmers Association</w:t>
      </w:r>
    </w:p>
    <w:p w14:paraId="12005027" w14:textId="138E2904" w:rsidR="00ED7A6E" w:rsidRPr="001D0BAA" w:rsidRDefault="00ED7A6E" w:rsidP="00480F1E">
      <w:pPr>
        <w:pStyle w:val="ListBullet"/>
      </w:pPr>
      <w:r w:rsidRPr="001D0BAA">
        <w:t>Western Rock Lobster Council</w:t>
      </w:r>
    </w:p>
    <w:p w14:paraId="310FA888" w14:textId="50BFABA5" w:rsidR="00ED7A6E" w:rsidRPr="001D0BAA" w:rsidRDefault="00ED7A6E" w:rsidP="00480F1E">
      <w:pPr>
        <w:pStyle w:val="ListBullet"/>
      </w:pPr>
      <w:r w:rsidRPr="001D0BAA">
        <w:t>Oysters Australia</w:t>
      </w:r>
    </w:p>
    <w:p w14:paraId="40C1445F" w14:textId="0B39937C" w:rsidR="00ED7A6E" w:rsidRPr="001D0BAA" w:rsidRDefault="00ED7A6E" w:rsidP="00480F1E">
      <w:pPr>
        <w:pStyle w:val="ListBullet"/>
      </w:pPr>
      <w:r w:rsidRPr="001D0BAA">
        <w:t>SA Oyster Growers</w:t>
      </w:r>
    </w:p>
    <w:p w14:paraId="5168B79E" w14:textId="17348D03" w:rsidR="00ED7A6E" w:rsidRPr="001D0BAA" w:rsidRDefault="00ED7A6E" w:rsidP="00480F1E">
      <w:pPr>
        <w:pStyle w:val="ListBullet"/>
      </w:pPr>
      <w:r w:rsidRPr="001D0BAA">
        <w:t>Tasmanian Salmon Growers Association</w:t>
      </w:r>
    </w:p>
    <w:p w14:paraId="395910B3" w14:textId="1BBABA66" w:rsidR="00ED7A6E" w:rsidRPr="001D0BAA" w:rsidRDefault="00ED7A6E" w:rsidP="00480F1E">
      <w:pPr>
        <w:pStyle w:val="ListBullet"/>
      </w:pPr>
      <w:r w:rsidRPr="001D0BAA">
        <w:t>Geraldton Fisheries Group</w:t>
      </w:r>
    </w:p>
    <w:p w14:paraId="28E276E0" w14:textId="06002249" w:rsidR="00ED7A6E" w:rsidRPr="001D0BAA" w:rsidRDefault="00ED7A6E" w:rsidP="00480F1E">
      <w:pPr>
        <w:pStyle w:val="ListBullet"/>
      </w:pPr>
      <w:r w:rsidRPr="001D0BAA">
        <w:t>NSW Professional Fishermen’s Association</w:t>
      </w:r>
    </w:p>
    <w:p w14:paraId="12F72CAB" w14:textId="20D14117" w:rsidR="00ED7A6E" w:rsidRPr="001D0BAA" w:rsidRDefault="00ED7A6E" w:rsidP="00480F1E">
      <w:pPr>
        <w:pStyle w:val="ListBullet"/>
      </w:pPr>
      <w:r w:rsidRPr="001D0BAA">
        <w:t>Woolworths</w:t>
      </w:r>
    </w:p>
    <w:p w14:paraId="2F7965ED" w14:textId="165B30D9" w:rsidR="00ED7A6E" w:rsidRPr="001D0BAA" w:rsidRDefault="00ED7A6E" w:rsidP="00480F1E">
      <w:pPr>
        <w:pStyle w:val="ListBullet"/>
      </w:pPr>
      <w:r w:rsidRPr="001D0BAA">
        <w:t>Seafood Industry Australia</w:t>
      </w:r>
    </w:p>
    <w:p w14:paraId="5F480BB7" w14:textId="5FE77B7E" w:rsidR="00ED7A6E" w:rsidRPr="001D0BAA" w:rsidRDefault="00ED7A6E" w:rsidP="00480F1E">
      <w:pPr>
        <w:pStyle w:val="ListBullet"/>
      </w:pPr>
      <w:r w:rsidRPr="001D0BAA">
        <w:t>Fisheries Research Development Corporation</w:t>
      </w:r>
    </w:p>
    <w:p w14:paraId="69F6446B" w14:textId="24494BB5" w:rsidR="00ED7A6E" w:rsidRPr="001D0BAA" w:rsidRDefault="00ED7A6E" w:rsidP="00480F1E">
      <w:pPr>
        <w:pStyle w:val="ListBullet"/>
      </w:pPr>
      <w:r w:rsidRPr="001D0BAA">
        <w:t>Australian Competition and Consumer Commission</w:t>
      </w:r>
    </w:p>
    <w:p w14:paraId="27ABAE04" w14:textId="73D2502F" w:rsidR="00ED7A6E" w:rsidRPr="001D0BAA" w:rsidRDefault="00ED7A6E" w:rsidP="00480F1E">
      <w:pPr>
        <w:pStyle w:val="ListBullet"/>
      </w:pPr>
      <w:r w:rsidRPr="001D0BAA">
        <w:t>DAWE Fisheries Branch</w:t>
      </w:r>
    </w:p>
    <w:p w14:paraId="0DDAD037" w14:textId="501B4593" w:rsidR="00ED7A6E" w:rsidRPr="001D0BAA" w:rsidRDefault="00ED7A6E" w:rsidP="00480F1E">
      <w:pPr>
        <w:pStyle w:val="ListBullet"/>
      </w:pPr>
      <w:r w:rsidRPr="001D0BAA">
        <w:t>DAWE Agricultural Policy Division</w:t>
      </w:r>
    </w:p>
    <w:p w14:paraId="23CD7A7D" w14:textId="470B415B" w:rsidR="00E9781D" w:rsidRDefault="00E9781D" w:rsidP="00307D8B">
      <w:pPr>
        <w:pStyle w:val="Normalsmall"/>
        <w:spacing w:before="1000" w:line="240" w:lineRule="auto"/>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1D0BAA">
      <w:footerReference w:type="default" r:id="rId12"/>
      <w:headerReference w:type="first" r:id="rId13"/>
      <w:footerReference w:type="first" r:id="rId14"/>
      <w:pgSz w:w="11906" w:h="16838" w:code="9"/>
      <w:pgMar w:top="1418" w:right="107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F2A4" w14:textId="77777777" w:rsidR="00574CBE" w:rsidRDefault="00574CBE">
      <w:r>
        <w:separator/>
      </w:r>
    </w:p>
    <w:p w14:paraId="1D395552" w14:textId="77777777" w:rsidR="00574CBE" w:rsidRDefault="00574CBE"/>
    <w:p w14:paraId="3B8AF92A" w14:textId="77777777" w:rsidR="00574CBE" w:rsidRDefault="00574CBE"/>
  </w:endnote>
  <w:endnote w:type="continuationSeparator" w:id="0">
    <w:p w14:paraId="696FC303" w14:textId="77777777" w:rsidR="00574CBE" w:rsidRDefault="00574CBE">
      <w:r>
        <w:continuationSeparator/>
      </w:r>
    </w:p>
    <w:p w14:paraId="7F992BB8" w14:textId="77777777" w:rsidR="00574CBE" w:rsidRDefault="00574CBE"/>
    <w:p w14:paraId="322F25AF" w14:textId="77777777" w:rsidR="00574CBE" w:rsidRDefault="00574CBE"/>
  </w:endnote>
  <w:endnote w:type="continuationNotice" w:id="1">
    <w:p w14:paraId="146D3415" w14:textId="77777777" w:rsidR="00574CBE" w:rsidRDefault="00574CBE">
      <w:pPr>
        <w:pStyle w:val="Footer"/>
      </w:pPr>
    </w:p>
    <w:p w14:paraId="3C73B829" w14:textId="77777777" w:rsidR="00574CBE" w:rsidRDefault="00574CBE"/>
    <w:p w14:paraId="3E6CCF04" w14:textId="77777777" w:rsidR="00574CBE" w:rsidRDefault="00574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E06FF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FABD" w14:textId="77777777" w:rsidR="00574CBE" w:rsidRDefault="00574CBE">
      <w:r>
        <w:separator/>
      </w:r>
    </w:p>
    <w:p w14:paraId="23230D0A" w14:textId="77777777" w:rsidR="00574CBE" w:rsidRDefault="00574CBE"/>
    <w:p w14:paraId="12B7ED16" w14:textId="77777777" w:rsidR="00574CBE" w:rsidRDefault="00574CBE"/>
  </w:footnote>
  <w:footnote w:type="continuationSeparator" w:id="0">
    <w:p w14:paraId="2004FB70" w14:textId="77777777" w:rsidR="00574CBE" w:rsidRDefault="00574CBE">
      <w:r>
        <w:continuationSeparator/>
      </w:r>
    </w:p>
    <w:p w14:paraId="7A2ECAC8" w14:textId="77777777" w:rsidR="00574CBE" w:rsidRDefault="00574CBE"/>
    <w:p w14:paraId="7026455A" w14:textId="77777777" w:rsidR="00574CBE" w:rsidRDefault="00574CBE"/>
  </w:footnote>
  <w:footnote w:type="continuationNotice" w:id="1">
    <w:p w14:paraId="2A399911" w14:textId="77777777" w:rsidR="00574CBE" w:rsidRDefault="00574CBE">
      <w:pPr>
        <w:pStyle w:val="Footer"/>
      </w:pPr>
    </w:p>
    <w:p w14:paraId="7EB1D792" w14:textId="77777777" w:rsidR="00574CBE" w:rsidRDefault="00574CBE"/>
    <w:p w14:paraId="07A7F74D" w14:textId="77777777" w:rsidR="00574CBE" w:rsidRDefault="00574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9C5CE4" w:rsidP="00A8157A">
    <w:pPr>
      <w:pStyle w:val="Footer"/>
      <w:spacing w:after="0"/>
      <w:jc w:val="left"/>
    </w:pPr>
    <w:r>
      <w:rPr>
        <w:noProof/>
        <w:lang w:eastAsia="en-AU"/>
      </w:rPr>
      <w:drawing>
        <wp:anchor distT="0" distB="0" distL="114300" distR="114300" simplePos="0" relativeHeight="251661312" behindDoc="1" locked="0" layoutInCell="1" allowOverlap="1" wp14:anchorId="36467FB3" wp14:editId="7B6DE882">
          <wp:simplePos x="0" y="0"/>
          <wp:positionH relativeFrom="page">
            <wp:posOffset>0</wp:posOffset>
          </wp:positionH>
          <wp:positionV relativeFrom="paragraph">
            <wp:posOffset>-349885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542B4"/>
    <w:rsid w:val="000618F3"/>
    <w:rsid w:val="00066D0B"/>
    <w:rsid w:val="000717D2"/>
    <w:rsid w:val="00073BE4"/>
    <w:rsid w:val="00074A56"/>
    <w:rsid w:val="00080827"/>
    <w:rsid w:val="0008277A"/>
    <w:rsid w:val="000904C1"/>
    <w:rsid w:val="000B3924"/>
    <w:rsid w:val="000B3C44"/>
    <w:rsid w:val="000C0412"/>
    <w:rsid w:val="000C4558"/>
    <w:rsid w:val="000E42DB"/>
    <w:rsid w:val="000E455C"/>
    <w:rsid w:val="00173E2E"/>
    <w:rsid w:val="00190D7E"/>
    <w:rsid w:val="001A6968"/>
    <w:rsid w:val="001D0BAA"/>
    <w:rsid w:val="001D0EF3"/>
    <w:rsid w:val="00200FD5"/>
    <w:rsid w:val="00203DE1"/>
    <w:rsid w:val="00220618"/>
    <w:rsid w:val="00231E46"/>
    <w:rsid w:val="00237A69"/>
    <w:rsid w:val="00275B58"/>
    <w:rsid w:val="00284B53"/>
    <w:rsid w:val="00286A50"/>
    <w:rsid w:val="002C4677"/>
    <w:rsid w:val="002E3FD4"/>
    <w:rsid w:val="002F4595"/>
    <w:rsid w:val="00300AFD"/>
    <w:rsid w:val="003032C0"/>
    <w:rsid w:val="00307D8B"/>
    <w:rsid w:val="003235FA"/>
    <w:rsid w:val="00336B60"/>
    <w:rsid w:val="0035108D"/>
    <w:rsid w:val="003569F9"/>
    <w:rsid w:val="00366721"/>
    <w:rsid w:val="00370990"/>
    <w:rsid w:val="0037698A"/>
    <w:rsid w:val="00392124"/>
    <w:rsid w:val="0039389B"/>
    <w:rsid w:val="003C77C6"/>
    <w:rsid w:val="003F73D7"/>
    <w:rsid w:val="00411260"/>
    <w:rsid w:val="00413D2C"/>
    <w:rsid w:val="00442630"/>
    <w:rsid w:val="0044304D"/>
    <w:rsid w:val="00446CB3"/>
    <w:rsid w:val="00474F59"/>
    <w:rsid w:val="00480F1E"/>
    <w:rsid w:val="004C2DA2"/>
    <w:rsid w:val="004D0888"/>
    <w:rsid w:val="004F52C6"/>
    <w:rsid w:val="005019C1"/>
    <w:rsid w:val="00515287"/>
    <w:rsid w:val="00531B5A"/>
    <w:rsid w:val="00545C6C"/>
    <w:rsid w:val="00553E9D"/>
    <w:rsid w:val="0055447F"/>
    <w:rsid w:val="00567DFC"/>
    <w:rsid w:val="00574CBE"/>
    <w:rsid w:val="00577F29"/>
    <w:rsid w:val="00583B24"/>
    <w:rsid w:val="005866C7"/>
    <w:rsid w:val="00594556"/>
    <w:rsid w:val="005A48A6"/>
    <w:rsid w:val="005B613F"/>
    <w:rsid w:val="005C2BFD"/>
    <w:rsid w:val="005D0059"/>
    <w:rsid w:val="005E56AF"/>
    <w:rsid w:val="00607A21"/>
    <w:rsid w:val="00607A36"/>
    <w:rsid w:val="006141ED"/>
    <w:rsid w:val="006156DF"/>
    <w:rsid w:val="00625D8D"/>
    <w:rsid w:val="00642F36"/>
    <w:rsid w:val="00646917"/>
    <w:rsid w:val="00656587"/>
    <w:rsid w:val="00696682"/>
    <w:rsid w:val="006A6540"/>
    <w:rsid w:val="006B0030"/>
    <w:rsid w:val="006B505B"/>
    <w:rsid w:val="006D413F"/>
    <w:rsid w:val="006F6FE8"/>
    <w:rsid w:val="0070464B"/>
    <w:rsid w:val="00704A2D"/>
    <w:rsid w:val="00721291"/>
    <w:rsid w:val="007258B1"/>
    <w:rsid w:val="00725C8B"/>
    <w:rsid w:val="00754CA3"/>
    <w:rsid w:val="0076549B"/>
    <w:rsid w:val="00793E18"/>
    <w:rsid w:val="007A221B"/>
    <w:rsid w:val="007C0010"/>
    <w:rsid w:val="0080517C"/>
    <w:rsid w:val="00832638"/>
    <w:rsid w:val="008642BE"/>
    <w:rsid w:val="00865130"/>
    <w:rsid w:val="008906CC"/>
    <w:rsid w:val="00892F53"/>
    <w:rsid w:val="00895341"/>
    <w:rsid w:val="0089788C"/>
    <w:rsid w:val="008A0727"/>
    <w:rsid w:val="008E3B54"/>
    <w:rsid w:val="008F382A"/>
    <w:rsid w:val="00901340"/>
    <w:rsid w:val="00902E92"/>
    <w:rsid w:val="0090743D"/>
    <w:rsid w:val="00911F4A"/>
    <w:rsid w:val="00916FC3"/>
    <w:rsid w:val="00943779"/>
    <w:rsid w:val="0096087A"/>
    <w:rsid w:val="00967039"/>
    <w:rsid w:val="00974CD6"/>
    <w:rsid w:val="00981F00"/>
    <w:rsid w:val="009844EA"/>
    <w:rsid w:val="009A3930"/>
    <w:rsid w:val="009C206F"/>
    <w:rsid w:val="009C3FA3"/>
    <w:rsid w:val="009C5CE4"/>
    <w:rsid w:val="009D7044"/>
    <w:rsid w:val="00A04AFD"/>
    <w:rsid w:val="00A130F7"/>
    <w:rsid w:val="00A32860"/>
    <w:rsid w:val="00A60C68"/>
    <w:rsid w:val="00A62F99"/>
    <w:rsid w:val="00A65D84"/>
    <w:rsid w:val="00A7471E"/>
    <w:rsid w:val="00A77E8E"/>
    <w:rsid w:val="00A8157A"/>
    <w:rsid w:val="00A83D76"/>
    <w:rsid w:val="00A8597C"/>
    <w:rsid w:val="00AA1D89"/>
    <w:rsid w:val="00AD3B44"/>
    <w:rsid w:val="00AE1E6E"/>
    <w:rsid w:val="00AE4763"/>
    <w:rsid w:val="00B0121B"/>
    <w:rsid w:val="00B0455B"/>
    <w:rsid w:val="00B11E02"/>
    <w:rsid w:val="00B2514A"/>
    <w:rsid w:val="00B25B27"/>
    <w:rsid w:val="00B3476F"/>
    <w:rsid w:val="00B43568"/>
    <w:rsid w:val="00B648A9"/>
    <w:rsid w:val="00B82095"/>
    <w:rsid w:val="00B87075"/>
    <w:rsid w:val="00B90975"/>
    <w:rsid w:val="00B93571"/>
    <w:rsid w:val="00B94CBD"/>
    <w:rsid w:val="00BA2E73"/>
    <w:rsid w:val="00BB0F3E"/>
    <w:rsid w:val="00BC19C5"/>
    <w:rsid w:val="00BD4F8E"/>
    <w:rsid w:val="00BE345B"/>
    <w:rsid w:val="00C6128D"/>
    <w:rsid w:val="00C73278"/>
    <w:rsid w:val="00C765C8"/>
    <w:rsid w:val="00C82029"/>
    <w:rsid w:val="00C9283A"/>
    <w:rsid w:val="00C95039"/>
    <w:rsid w:val="00CA4615"/>
    <w:rsid w:val="00CC42FC"/>
    <w:rsid w:val="00CD3A6F"/>
    <w:rsid w:val="00CE7F36"/>
    <w:rsid w:val="00CF6A74"/>
    <w:rsid w:val="00CF7D08"/>
    <w:rsid w:val="00D04A3C"/>
    <w:rsid w:val="00D22097"/>
    <w:rsid w:val="00D30142"/>
    <w:rsid w:val="00D36C41"/>
    <w:rsid w:val="00D4039B"/>
    <w:rsid w:val="00D449E8"/>
    <w:rsid w:val="00D55A85"/>
    <w:rsid w:val="00D750D0"/>
    <w:rsid w:val="00D75B69"/>
    <w:rsid w:val="00D87480"/>
    <w:rsid w:val="00DB71FD"/>
    <w:rsid w:val="00DC453F"/>
    <w:rsid w:val="00DC57F0"/>
    <w:rsid w:val="00DC6DA5"/>
    <w:rsid w:val="00DD29B4"/>
    <w:rsid w:val="00DE546F"/>
    <w:rsid w:val="00DF241E"/>
    <w:rsid w:val="00E06FFD"/>
    <w:rsid w:val="00E25A07"/>
    <w:rsid w:val="00E333DF"/>
    <w:rsid w:val="00E35D45"/>
    <w:rsid w:val="00E83C41"/>
    <w:rsid w:val="00E9781D"/>
    <w:rsid w:val="00EA5D76"/>
    <w:rsid w:val="00EC2925"/>
    <w:rsid w:val="00EC5579"/>
    <w:rsid w:val="00EC5C40"/>
    <w:rsid w:val="00ED00D4"/>
    <w:rsid w:val="00ED774B"/>
    <w:rsid w:val="00ED7A6E"/>
    <w:rsid w:val="00EE0118"/>
    <w:rsid w:val="00EE49CE"/>
    <w:rsid w:val="00EE7C8D"/>
    <w:rsid w:val="00EF24B1"/>
    <w:rsid w:val="00EF3918"/>
    <w:rsid w:val="00F330C3"/>
    <w:rsid w:val="00F36C0E"/>
    <w:rsid w:val="00F75F33"/>
    <w:rsid w:val="00F84236"/>
    <w:rsid w:val="00FB6E33"/>
    <w:rsid w:val="00FC2CE4"/>
    <w:rsid w:val="00FC379E"/>
    <w:rsid w:val="00FD337C"/>
    <w:rsid w:val="00FD3BAE"/>
    <w:rsid w:val="00FD5236"/>
    <w:rsid w:val="00FD5A1D"/>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7cf0e0db-f490-4122-abae-21917392c748"/>
    <ds:schemaRef ds:uri="http://www.w3.org/XML/1998/namespace"/>
    <ds:schemaRef ds:uri="http://purl.org/dc/dcmitype/"/>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template.dotx</Template>
  <TotalTime>61</TotalTime>
  <Pages>3</Pages>
  <Words>891</Words>
  <Characters>5081</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Seafood industry first workshop 10 August 2021: Workshop communique</vt:lpstr>
    </vt:vector>
  </TitlesOfParts>
  <Company/>
  <LinksUpToDate>false</LinksUpToDate>
  <CharactersWithSpaces>5961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Seafood industry first workshop 10 August 2021: Workshop communique</dc:title>
  <dc:creator>Department of Agriculture, Water and the Environment</dc:creator>
  <cp:lastPrinted>2021-11-02T03:07:00Z</cp:lastPrinted>
  <dcterms:created xsi:type="dcterms:W3CDTF">2021-10-26T22:48:00Z</dcterms:created>
  <dcterms:modified xsi:type="dcterms:W3CDTF">2021-11-02T03:08:00Z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