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F95" w14:textId="69955D84" w:rsidR="00D04A3C" w:rsidRDefault="000E42DB" w:rsidP="001D0BAA">
      <w:pPr>
        <w:pStyle w:val="Series"/>
        <w:spacing w:before="2040"/>
      </w:pPr>
      <w:r w:rsidRPr="000E42DB">
        <w:t>Improving market transparency in perishable agricultural goods industries</w:t>
      </w:r>
    </w:p>
    <w:p w14:paraId="33953D75" w14:textId="1AE5F0F4" w:rsidR="00A8597C" w:rsidRPr="00A8597C" w:rsidRDefault="00A03836" w:rsidP="00A8597C">
      <w:pPr>
        <w:pStyle w:val="Heading1"/>
      </w:pPr>
      <w:r>
        <w:t>Wine grape</w:t>
      </w:r>
      <w:r w:rsidR="00D87564">
        <w:t>s</w:t>
      </w:r>
      <w:r w:rsidR="000E42DB" w:rsidRPr="000E42DB">
        <w:t xml:space="preserve"> industry </w:t>
      </w:r>
      <w:r w:rsidR="002F012F" w:rsidRPr="007D6D7F">
        <w:t>first</w:t>
      </w:r>
      <w:r w:rsidR="002F012F">
        <w:t xml:space="preserve"> </w:t>
      </w:r>
      <w:r w:rsidR="000E42DB" w:rsidRPr="000E42DB">
        <w:t>workshop</w:t>
      </w:r>
      <w:r w:rsidR="00B47BDC">
        <w:t> </w:t>
      </w:r>
      <w:r w:rsidR="00A8597C">
        <w:t>1</w:t>
      </w:r>
      <w:r>
        <w:t>7</w:t>
      </w:r>
      <w:r w:rsidR="00041120">
        <w:t> </w:t>
      </w:r>
      <w:r w:rsidR="00A8597C">
        <w:t>August</w:t>
      </w:r>
      <w:r w:rsidR="00B47BDC">
        <w:t> </w:t>
      </w:r>
      <w:r w:rsidR="00A8597C">
        <w:t>2021</w:t>
      </w:r>
      <w:r w:rsidR="000E42DB" w:rsidRPr="000E42DB">
        <w:t>: Workshop communique</w:t>
      </w:r>
    </w:p>
    <w:p w14:paraId="7170947D" w14:textId="77777777" w:rsidR="00A8597C" w:rsidRDefault="00A8597C" w:rsidP="00A8597C">
      <w:pPr>
        <w:pStyle w:val="Heading2"/>
      </w:pPr>
      <w:r>
        <w:t>Background</w:t>
      </w:r>
    </w:p>
    <w:p w14:paraId="6B4791CD" w14:textId="670D8C96" w:rsidR="00A8597C" w:rsidRDefault="00A8597C" w:rsidP="00A8597C">
      <w:r>
        <w:t xml:space="preserve">In late 2020, the Australian Competition and Consumer Commission (ACCC) conducted an inquiry into bargaining power imbalances in supply chains for perishable agricultural </w:t>
      </w:r>
      <w:r w:rsidR="002F012F">
        <w:t>goods (PAG)</w:t>
      </w:r>
      <w:r>
        <w:t xml:space="preserve"> in Australia. </w:t>
      </w:r>
      <w:r w:rsidR="001D0BAA">
        <w:t xml:space="preserve">The </w:t>
      </w:r>
      <w:r>
        <w:t xml:space="preserve">inquiry </w:t>
      </w:r>
      <w:r w:rsidR="001D0BAA">
        <w:t xml:space="preserve">recommended that the </w:t>
      </w:r>
      <w:r>
        <w:t>government explore measures to increase price transparency in PAG industries to increase competition in those industries.</w:t>
      </w:r>
    </w:p>
    <w:p w14:paraId="33B1521F" w14:textId="05CAD509" w:rsidR="00A8597C" w:rsidRDefault="00A8597C" w:rsidP="00A8597C">
      <w:r>
        <w:t>In response to this recommendation</w:t>
      </w:r>
      <w:r w:rsidR="001D0BAA">
        <w:t>,</w:t>
      </w:r>
      <w:r>
        <w:t xml:space="preserve"> the Australian Government, th</w:t>
      </w:r>
      <w:r w:rsidR="001D0BAA">
        <w:t>r</w:t>
      </w:r>
      <w:r>
        <w:t>ough the Department of Agriculture, Water and the Environment (DAWE</w:t>
      </w:r>
      <w:r w:rsidR="008172DE">
        <w:t>),</w:t>
      </w:r>
      <w:r>
        <w:t xml:space="preserve"> has committed $5.4</w:t>
      </w:r>
      <w:r w:rsidR="00545C6C">
        <w:t> </w:t>
      </w:r>
      <w:r>
        <w:t>million to improve price and market transparency in PAG industries by:</w:t>
      </w:r>
    </w:p>
    <w:p w14:paraId="34A8316D" w14:textId="37D4CB53" w:rsidR="00A8597C" w:rsidRDefault="00A8597C" w:rsidP="00A8597C">
      <w:pPr>
        <w:pStyle w:val="ListBullet"/>
      </w:pPr>
      <w:r>
        <w:t>delivering co-design workshops with PAG industries to understand their market transparency issues, opportunities and requirements</w:t>
      </w:r>
    </w:p>
    <w:p w14:paraId="59696ED6" w14:textId="2CBAECF7" w:rsidR="00A8597C" w:rsidRDefault="00A8597C" w:rsidP="00A8597C">
      <w:pPr>
        <w:pStyle w:val="ListBullet"/>
      </w:pPr>
      <w:r>
        <w:t>delivering a grants program to develop and implement tailored mechanisms to improve price and market transparency.</w:t>
      </w:r>
    </w:p>
    <w:p w14:paraId="78FCA847" w14:textId="3CCDF909" w:rsidR="000E42DB" w:rsidRDefault="00A8597C" w:rsidP="00A8597C">
      <w:r>
        <w:t>The workshops provide an opportunity for participants to discuss price and market transparency issues in their sector, brainstorm ideas to improve transparency and co-design the details of solutions going forward.</w:t>
      </w:r>
    </w:p>
    <w:p w14:paraId="7DCE4720" w14:textId="28454E53" w:rsidR="00A8597C" w:rsidRDefault="00A8597C" w:rsidP="00A8597C">
      <w:pPr>
        <w:pStyle w:val="Heading2"/>
      </w:pPr>
      <w:r>
        <w:t>Workshop outcomes</w:t>
      </w:r>
    </w:p>
    <w:p w14:paraId="5D06C971" w14:textId="515B80A0" w:rsidR="00A8597C" w:rsidRDefault="00630D7C" w:rsidP="001D0BAA">
      <w:r>
        <w:t>Sixteen</w:t>
      </w:r>
      <w:r w:rsidR="00A8597C">
        <w:t xml:space="preserve"> industry and government representatives attended the first </w:t>
      </w:r>
      <w:r w:rsidR="00A03836">
        <w:t>wine grape</w:t>
      </w:r>
      <w:r w:rsidR="00735A67">
        <w:t>s</w:t>
      </w:r>
      <w:r w:rsidR="00A03836">
        <w:t xml:space="preserve"> </w:t>
      </w:r>
      <w:r w:rsidR="00A8597C">
        <w:t xml:space="preserve">price and market transparency workshop. The objective of the first workshop was to discover and analyse the issues, barriers and opportunities to achieve market and price transparency in the </w:t>
      </w:r>
      <w:r w:rsidR="00A03836">
        <w:t>wine grape</w:t>
      </w:r>
      <w:r w:rsidR="00735A67">
        <w:t>s</w:t>
      </w:r>
      <w:r w:rsidR="00A8597C">
        <w:t xml:space="preserve"> industry.</w:t>
      </w:r>
    </w:p>
    <w:p w14:paraId="762C9631" w14:textId="671BDF1F" w:rsidR="00ED7A6E" w:rsidRDefault="00ED7A6E" w:rsidP="00480F1E">
      <w:r>
        <w:t xml:space="preserve">Participants </w:t>
      </w:r>
      <w:r w:rsidRPr="00173E2E">
        <w:t>(</w:t>
      </w:r>
      <w:hyperlink w:anchor="_Appendix_A_–" w:history="1">
        <w:r w:rsidR="001D0BAA" w:rsidRPr="001D0BAA">
          <w:rPr>
            <w:rStyle w:val="Hyperlink"/>
          </w:rPr>
          <w:t>Appendix A</w:t>
        </w:r>
      </w:hyperlink>
      <w:r w:rsidR="001D0BAA">
        <w:t xml:space="preserve">) </w:t>
      </w:r>
      <w:r>
        <w:t>worked in small groups that explored:</w:t>
      </w:r>
    </w:p>
    <w:p w14:paraId="278AD5C8" w14:textId="55C29BB2" w:rsidR="00ED7A6E" w:rsidRPr="001D0BAA" w:rsidRDefault="00ED7A6E" w:rsidP="00480F1E">
      <w:pPr>
        <w:pStyle w:val="ListBullet"/>
      </w:pPr>
      <w:r w:rsidRPr="001D0BAA">
        <w:t>Issues</w:t>
      </w:r>
      <w:r w:rsidR="00BA74DC">
        <w:t xml:space="preserve"> – </w:t>
      </w:r>
      <w:r w:rsidRPr="001D0BAA">
        <w:t>Negative characteristics within the</w:t>
      </w:r>
      <w:r w:rsidR="009622B2">
        <w:t xml:space="preserve"> wine grape</w:t>
      </w:r>
      <w:r w:rsidR="00735A67">
        <w:t>s</w:t>
      </w:r>
      <w:r w:rsidRPr="001D0BAA">
        <w:t xml:space="preserve"> industry that decrease price and market transparency</w:t>
      </w:r>
      <w:r w:rsidR="008172DE">
        <w:t>.</w:t>
      </w:r>
    </w:p>
    <w:p w14:paraId="1438166D" w14:textId="47942DD3" w:rsidR="00ED7A6E" w:rsidRPr="001D0BAA" w:rsidRDefault="00ED7A6E" w:rsidP="00480F1E">
      <w:pPr>
        <w:pStyle w:val="ListBullet"/>
      </w:pPr>
      <w:r w:rsidRPr="001D0BAA">
        <w:t>Barriers</w:t>
      </w:r>
      <w:r w:rsidR="00286A50" w:rsidRPr="001D0BAA">
        <w:t xml:space="preserve"> – </w:t>
      </w:r>
      <w:r w:rsidRPr="001D0BAA">
        <w:t xml:space="preserve">Negative characteristics external to the </w:t>
      </w:r>
      <w:r w:rsidR="00A03836">
        <w:t>wine grape</w:t>
      </w:r>
      <w:r w:rsidR="00735A67">
        <w:t>s</w:t>
      </w:r>
      <w:r w:rsidRPr="001D0BAA">
        <w:t xml:space="preserve"> industry that decrease price and market transparency</w:t>
      </w:r>
      <w:r w:rsidR="008172DE">
        <w:t>.</w:t>
      </w:r>
    </w:p>
    <w:p w14:paraId="46C112FD" w14:textId="41675381" w:rsidR="00ED7A6E" w:rsidRPr="001D0BAA" w:rsidRDefault="00ED7A6E" w:rsidP="00480F1E">
      <w:pPr>
        <w:pStyle w:val="ListBullet"/>
      </w:pPr>
      <w:r w:rsidRPr="001D0BAA">
        <w:t>Internal opportunities</w:t>
      </w:r>
      <w:r w:rsidR="00286A50" w:rsidRPr="001D0BAA">
        <w:t xml:space="preserve"> – </w:t>
      </w:r>
      <w:r w:rsidRPr="001D0BAA">
        <w:t xml:space="preserve">Positive characteristics that exist within the </w:t>
      </w:r>
      <w:r w:rsidR="00A03836">
        <w:t>wine grape</w:t>
      </w:r>
      <w:r w:rsidR="00735A67">
        <w:t>s</w:t>
      </w:r>
      <w:r w:rsidRPr="001D0BAA">
        <w:t xml:space="preserve"> industry that can potentially increase price and market transparency.</w:t>
      </w:r>
    </w:p>
    <w:p w14:paraId="49B53050" w14:textId="33FB43B8" w:rsidR="00ED7A6E" w:rsidRPr="001D0BAA" w:rsidRDefault="00ED7A6E" w:rsidP="00480F1E">
      <w:pPr>
        <w:pStyle w:val="ListBullet"/>
      </w:pPr>
      <w:r w:rsidRPr="001D0BAA">
        <w:t>External opportunities</w:t>
      </w:r>
      <w:r w:rsidR="00286A50" w:rsidRPr="001D0BAA">
        <w:t xml:space="preserve"> – </w:t>
      </w:r>
      <w:r w:rsidRPr="001D0BAA">
        <w:t xml:space="preserve">Positive characteristics outside the </w:t>
      </w:r>
      <w:r w:rsidR="00A03836">
        <w:t>wine grape</w:t>
      </w:r>
      <w:r w:rsidR="00735A67">
        <w:t>s</w:t>
      </w:r>
      <w:r w:rsidRPr="001D0BAA">
        <w:t xml:space="preserve"> industry that can potentially increase price and market transparency.</w:t>
      </w:r>
    </w:p>
    <w:p w14:paraId="32A34507" w14:textId="36297E20" w:rsidR="00ED7A6E" w:rsidRDefault="00ED7A6E" w:rsidP="00ED7A6E">
      <w:r>
        <w:lastRenderedPageBreak/>
        <w:t xml:space="preserve">Throughout this process, issues and barriers (and consequently, opportunities) were categorised as either legislative, regulatory, industry specific, general process, technology driven, consumer driven and other (for example, </w:t>
      </w:r>
      <w:r w:rsidR="00A03836">
        <w:t>informational or political</w:t>
      </w:r>
      <w:r>
        <w:t>).</w:t>
      </w:r>
      <w:r w:rsidR="002F012F">
        <w:t xml:space="preserve"> </w:t>
      </w:r>
      <w:r w:rsidR="00173E2E">
        <w:rPr>
          <w:highlight w:val="yellow"/>
        </w:rPr>
        <w:fldChar w:fldCharType="begin"/>
      </w:r>
      <w:r w:rsidR="00173E2E">
        <w:rPr>
          <w:highlight w:val="yellow"/>
        </w:rPr>
        <w:instrText xml:space="preserve"> REF _Ref82700697 \h </w:instrText>
      </w:r>
      <w:r w:rsidR="00173E2E">
        <w:rPr>
          <w:highlight w:val="yellow"/>
        </w:rPr>
      </w:r>
      <w:r w:rsidR="00173E2E">
        <w:rPr>
          <w:highlight w:val="yellow"/>
        </w:rPr>
        <w:fldChar w:fldCharType="separate"/>
      </w:r>
      <w:r w:rsidR="002B5D70">
        <w:t xml:space="preserve">Table </w:t>
      </w:r>
      <w:r w:rsidR="002B5D70">
        <w:rPr>
          <w:noProof/>
        </w:rPr>
        <w:t>1</w:t>
      </w:r>
      <w:r w:rsidR="00173E2E">
        <w:rPr>
          <w:highlight w:val="yellow"/>
        </w:rPr>
        <w:fldChar w:fldCharType="end"/>
      </w:r>
      <w:r w:rsidR="00173E2E">
        <w:t xml:space="preserve"> </w:t>
      </w:r>
      <w:r>
        <w:t>identifies and categorises the key themes of issues, barriers and opportunities from the workshop discussions.</w:t>
      </w:r>
    </w:p>
    <w:p w14:paraId="15D7272A" w14:textId="3B8B373A" w:rsidR="00ED7A6E" w:rsidRDefault="006141ED" w:rsidP="006141ED">
      <w:pPr>
        <w:pStyle w:val="Caption"/>
      </w:pPr>
      <w:bookmarkStart w:id="0" w:name="_Ref82700697"/>
      <w:r>
        <w:t xml:space="preserve">Table </w:t>
      </w:r>
      <w:fldSimple w:instr=" SEQ Table \* ARABIC ">
        <w:r w:rsidR="002B5D70">
          <w:rPr>
            <w:noProof/>
          </w:rPr>
          <w:t>1</w:t>
        </w:r>
      </w:fldSimple>
      <w:bookmarkEnd w:id="0"/>
      <w:r>
        <w:t xml:space="preserve"> </w:t>
      </w:r>
      <w:r w:rsidR="00480F1E">
        <w:t>I</w:t>
      </w:r>
      <w:r w:rsidR="00ED7A6E">
        <w:t>ssues, barriers and opportunities</w:t>
      </w:r>
    </w:p>
    <w:tbl>
      <w:tblPr>
        <w:tblStyle w:val="PlainTable2"/>
        <w:tblW w:w="5000" w:type="pct"/>
        <w:tblBorders>
          <w:top w:val="single" w:sz="4" w:space="0" w:color="auto"/>
          <w:bottom w:val="single" w:sz="4" w:space="0" w:color="auto"/>
          <w:insideH w:val="single" w:sz="4" w:space="0" w:color="auto"/>
        </w:tblBorders>
        <w:tblLook w:val="0620" w:firstRow="1" w:lastRow="0" w:firstColumn="0" w:lastColumn="0" w:noHBand="1" w:noVBand="1"/>
      </w:tblPr>
      <w:tblGrid>
        <w:gridCol w:w="2232"/>
        <w:gridCol w:w="3676"/>
        <w:gridCol w:w="3674"/>
      </w:tblGrid>
      <w:tr w:rsidR="00ED7A6E" w:rsidRPr="00ED7A6E" w14:paraId="60560EA6" w14:textId="77777777" w:rsidTr="00A03836">
        <w:trPr>
          <w:cnfStyle w:val="100000000000" w:firstRow="1" w:lastRow="0" w:firstColumn="0" w:lastColumn="0" w:oddVBand="0" w:evenVBand="0" w:oddHBand="0" w:evenHBand="0" w:firstRowFirstColumn="0" w:firstRowLastColumn="0" w:lastRowFirstColumn="0" w:lastRowLastColumn="0"/>
        </w:trPr>
        <w:tc>
          <w:tcPr>
            <w:tcW w:w="1165" w:type="pct"/>
            <w:tcBorders>
              <w:bottom w:val="none" w:sz="0" w:space="0" w:color="auto"/>
            </w:tcBorders>
          </w:tcPr>
          <w:p w14:paraId="3FE28960" w14:textId="77777777" w:rsidR="00ED7A6E" w:rsidRPr="00BA74DC" w:rsidRDefault="00ED7A6E" w:rsidP="00BA74DC">
            <w:pPr>
              <w:pStyle w:val="TableHeading"/>
              <w:rPr>
                <w:rStyle w:val="Strong"/>
              </w:rPr>
            </w:pPr>
            <w:bookmarkStart w:id="1" w:name="Title_1"/>
            <w:bookmarkEnd w:id="1"/>
            <w:r w:rsidRPr="00BA74DC">
              <w:rPr>
                <w:rStyle w:val="Strong"/>
              </w:rPr>
              <w:t>Category</w:t>
            </w:r>
          </w:p>
        </w:tc>
        <w:tc>
          <w:tcPr>
            <w:tcW w:w="1918" w:type="pct"/>
            <w:tcBorders>
              <w:bottom w:val="none" w:sz="0" w:space="0" w:color="auto"/>
            </w:tcBorders>
          </w:tcPr>
          <w:p w14:paraId="70BD089B" w14:textId="77777777" w:rsidR="00ED7A6E" w:rsidRPr="00BA74DC" w:rsidRDefault="00ED7A6E" w:rsidP="00BA74DC">
            <w:pPr>
              <w:pStyle w:val="TableHeading"/>
              <w:rPr>
                <w:rStyle w:val="Strong"/>
              </w:rPr>
            </w:pPr>
            <w:r w:rsidRPr="00BA74DC">
              <w:rPr>
                <w:rStyle w:val="Strong"/>
              </w:rPr>
              <w:t>Issue/Barrier</w:t>
            </w:r>
          </w:p>
        </w:tc>
        <w:tc>
          <w:tcPr>
            <w:tcW w:w="1918" w:type="pct"/>
            <w:tcBorders>
              <w:bottom w:val="none" w:sz="0" w:space="0" w:color="auto"/>
            </w:tcBorders>
          </w:tcPr>
          <w:p w14:paraId="1F000F42" w14:textId="77777777" w:rsidR="00ED7A6E" w:rsidRPr="00BA74DC" w:rsidRDefault="00ED7A6E" w:rsidP="00BA74DC">
            <w:pPr>
              <w:pStyle w:val="TableHeading"/>
              <w:rPr>
                <w:rStyle w:val="Strong"/>
              </w:rPr>
            </w:pPr>
            <w:r w:rsidRPr="00BA74DC">
              <w:rPr>
                <w:rStyle w:val="Strong"/>
              </w:rPr>
              <w:t>Opportunity</w:t>
            </w:r>
          </w:p>
        </w:tc>
      </w:tr>
      <w:tr w:rsidR="00ED7A6E" w:rsidRPr="00ED7A6E" w14:paraId="4076A011" w14:textId="77777777" w:rsidTr="00A03836">
        <w:tc>
          <w:tcPr>
            <w:tcW w:w="1165" w:type="pct"/>
          </w:tcPr>
          <w:p w14:paraId="607CCE92" w14:textId="2D014AB7" w:rsidR="00ED7A6E" w:rsidRPr="00ED7A6E" w:rsidRDefault="00A03836" w:rsidP="00DD29B4">
            <w:pPr>
              <w:pStyle w:val="TableText"/>
            </w:pPr>
            <w:r w:rsidRPr="00A03836">
              <w:t>Technology/Information</w:t>
            </w:r>
          </w:p>
        </w:tc>
        <w:tc>
          <w:tcPr>
            <w:tcW w:w="1918" w:type="pct"/>
          </w:tcPr>
          <w:p w14:paraId="2F0D8FD5" w14:textId="328B3799" w:rsidR="00ED7A6E" w:rsidRPr="00ED7A6E" w:rsidRDefault="00A03836" w:rsidP="00DD29B4">
            <w:pPr>
              <w:pStyle w:val="TableText"/>
            </w:pPr>
            <w:r w:rsidRPr="00A03836">
              <w:t>Interpretation and quality of supply/demand analysis of data; understanding price determinants; understanding the effect of global markets</w:t>
            </w:r>
          </w:p>
        </w:tc>
        <w:tc>
          <w:tcPr>
            <w:tcW w:w="1918" w:type="pct"/>
          </w:tcPr>
          <w:p w14:paraId="36539B39" w14:textId="40257F02" w:rsidR="00ED7A6E" w:rsidRPr="00ED7A6E" w:rsidRDefault="00A03836" w:rsidP="00DD29B4">
            <w:pPr>
              <w:pStyle w:val="TableText"/>
            </w:pPr>
            <w:r w:rsidRPr="00A03836">
              <w:t>More powerful data analytics</w:t>
            </w:r>
            <w:r w:rsidR="008172DE">
              <w:t>.</w:t>
            </w:r>
          </w:p>
        </w:tc>
      </w:tr>
      <w:tr w:rsidR="00ED7A6E" w:rsidRPr="00ED7A6E" w14:paraId="1F9F7C0F" w14:textId="77777777" w:rsidTr="00A03836">
        <w:tc>
          <w:tcPr>
            <w:tcW w:w="1165" w:type="pct"/>
          </w:tcPr>
          <w:p w14:paraId="21E77528" w14:textId="40CD2EC8" w:rsidR="00ED7A6E" w:rsidRPr="00ED7A6E" w:rsidRDefault="00A03836" w:rsidP="00DD29B4">
            <w:pPr>
              <w:pStyle w:val="TableText"/>
            </w:pPr>
            <w:r>
              <w:t>Information</w:t>
            </w:r>
          </w:p>
        </w:tc>
        <w:tc>
          <w:tcPr>
            <w:tcW w:w="1918" w:type="pct"/>
          </w:tcPr>
          <w:p w14:paraId="47865639" w14:textId="0F1F5DDD" w:rsidR="00ED7A6E" w:rsidRPr="00ED7A6E" w:rsidRDefault="00A03836" w:rsidP="00DD29B4">
            <w:pPr>
              <w:pStyle w:val="TableText"/>
            </w:pPr>
            <w:r w:rsidRPr="00A03836">
              <w:t>Lack of information on pricing, stock, quality, end use of product; crush report has weighted data inputs; customer requirements not known before ready to harvest</w:t>
            </w:r>
            <w:r w:rsidR="008172DE">
              <w:t>.</w:t>
            </w:r>
          </w:p>
        </w:tc>
        <w:tc>
          <w:tcPr>
            <w:tcW w:w="1918" w:type="pct"/>
          </w:tcPr>
          <w:p w14:paraId="70CF996B" w14:textId="657FAAB0" w:rsidR="00A03836" w:rsidRDefault="00A03836" w:rsidP="00A03836">
            <w:pPr>
              <w:pStyle w:val="TableText"/>
            </w:pPr>
            <w:r>
              <w:t>More useful data made available and maintained by an independent body</w:t>
            </w:r>
            <w:r w:rsidR="008172DE">
              <w:t>.</w:t>
            </w:r>
          </w:p>
          <w:p w14:paraId="07A6A89E" w14:textId="6DC40763" w:rsidR="00ED7A6E" w:rsidRPr="00ED7A6E" w:rsidRDefault="00A03836" w:rsidP="00A03836">
            <w:pPr>
              <w:pStyle w:val="TableText"/>
            </w:pPr>
            <w:r>
              <w:t>Improve integrity of data currently available</w:t>
            </w:r>
            <w:r w:rsidR="008172DE">
              <w:t>.</w:t>
            </w:r>
          </w:p>
        </w:tc>
      </w:tr>
      <w:tr w:rsidR="00ED7A6E" w:rsidRPr="00ED7A6E" w14:paraId="41826C09" w14:textId="77777777" w:rsidTr="00A03836">
        <w:tc>
          <w:tcPr>
            <w:tcW w:w="1165" w:type="pct"/>
          </w:tcPr>
          <w:p w14:paraId="446709F1" w14:textId="2D7F9398" w:rsidR="00ED7A6E" w:rsidRPr="00ED7A6E" w:rsidRDefault="00A03836" w:rsidP="00DD29B4">
            <w:pPr>
              <w:pStyle w:val="TableText"/>
            </w:pPr>
            <w:r w:rsidRPr="00A03836">
              <w:t>Regulatory</w:t>
            </w:r>
          </w:p>
        </w:tc>
        <w:tc>
          <w:tcPr>
            <w:tcW w:w="1918" w:type="pct"/>
          </w:tcPr>
          <w:p w14:paraId="3FF528C2" w14:textId="7F42C8FD" w:rsidR="00ED7A6E" w:rsidRPr="00ED7A6E" w:rsidRDefault="00A03836" w:rsidP="00DD29B4">
            <w:pPr>
              <w:pStyle w:val="TableText"/>
            </w:pPr>
            <w:r w:rsidRPr="00A03836">
              <w:t>Industry code of conduct: poor participation and commitment to sign up; would benefit uncontracted growers</w:t>
            </w:r>
            <w:r w:rsidR="008172DE">
              <w:t>.</w:t>
            </w:r>
          </w:p>
        </w:tc>
        <w:tc>
          <w:tcPr>
            <w:tcW w:w="1918" w:type="pct"/>
          </w:tcPr>
          <w:p w14:paraId="7DBBFAD9" w14:textId="77777777" w:rsidR="00A03836" w:rsidRDefault="00A03836" w:rsidP="00A03836">
            <w:pPr>
              <w:pStyle w:val="TableText"/>
            </w:pPr>
            <w:r>
              <w:t>Strengthen Industry code of conduct:</w:t>
            </w:r>
          </w:p>
          <w:p w14:paraId="2F935B15" w14:textId="7F32FEC6" w:rsidR="00A03836" w:rsidRDefault="00A03836" w:rsidP="008172DE">
            <w:pPr>
              <w:pStyle w:val="TableBullet1"/>
            </w:pPr>
            <w:r>
              <w:t>Increase participation</w:t>
            </w:r>
          </w:p>
          <w:p w14:paraId="3B297BE2" w14:textId="56C0A77A" w:rsidR="00ED7A6E" w:rsidRPr="00ED7A6E" w:rsidRDefault="00A03836" w:rsidP="008172DE">
            <w:pPr>
              <w:pStyle w:val="TableBullet1"/>
            </w:pPr>
            <w:r>
              <w:t>Consider making mandatory</w:t>
            </w:r>
          </w:p>
        </w:tc>
      </w:tr>
      <w:tr w:rsidR="00ED7A6E" w:rsidRPr="00ED7A6E" w14:paraId="448E858B" w14:textId="77777777" w:rsidTr="00A03836">
        <w:tc>
          <w:tcPr>
            <w:tcW w:w="1165" w:type="pct"/>
          </w:tcPr>
          <w:p w14:paraId="4377746E" w14:textId="17917FB1" w:rsidR="00ED7A6E" w:rsidRPr="00ED7A6E" w:rsidRDefault="00A03836" w:rsidP="00DD29B4">
            <w:pPr>
              <w:pStyle w:val="TableText"/>
            </w:pPr>
            <w:r>
              <w:t>Industry</w:t>
            </w:r>
          </w:p>
        </w:tc>
        <w:tc>
          <w:tcPr>
            <w:tcW w:w="1918" w:type="pct"/>
          </w:tcPr>
          <w:p w14:paraId="58BA6DA9" w14:textId="0DAABD40" w:rsidR="00ED7A6E" w:rsidRPr="00ED7A6E" w:rsidRDefault="00A03836" w:rsidP="00DD29B4">
            <w:pPr>
              <w:pStyle w:val="TableText"/>
            </w:pPr>
            <w:r w:rsidRPr="00A03836">
              <w:t>Different methods used to determine quality of product</w:t>
            </w:r>
            <w:r w:rsidR="008172DE">
              <w:t>.</w:t>
            </w:r>
          </w:p>
        </w:tc>
        <w:tc>
          <w:tcPr>
            <w:tcW w:w="1918" w:type="pct"/>
          </w:tcPr>
          <w:p w14:paraId="030DD419" w14:textId="145C5EEC" w:rsidR="00ED7A6E" w:rsidRPr="00ED7A6E" w:rsidRDefault="00A03836" w:rsidP="00DD29B4">
            <w:pPr>
              <w:pStyle w:val="TableText"/>
            </w:pPr>
            <w:r w:rsidRPr="00A03836">
              <w:t>Consistent approach to measuring the quality of product</w:t>
            </w:r>
            <w:r w:rsidR="008172DE">
              <w:t>.</w:t>
            </w:r>
          </w:p>
        </w:tc>
      </w:tr>
      <w:tr w:rsidR="00A03836" w:rsidRPr="00ED7A6E" w14:paraId="1029BFDB" w14:textId="77777777" w:rsidTr="00A03836">
        <w:tc>
          <w:tcPr>
            <w:tcW w:w="1165" w:type="pct"/>
          </w:tcPr>
          <w:p w14:paraId="7C60298C" w14:textId="66EC45C2" w:rsidR="00A03836" w:rsidRDefault="00A03836" w:rsidP="00DD29B4">
            <w:pPr>
              <w:pStyle w:val="TableText"/>
            </w:pPr>
            <w:r>
              <w:t>Industry</w:t>
            </w:r>
          </w:p>
        </w:tc>
        <w:tc>
          <w:tcPr>
            <w:tcW w:w="1918" w:type="pct"/>
          </w:tcPr>
          <w:p w14:paraId="1026E516" w14:textId="6FF10DC9" w:rsidR="00A03836" w:rsidRPr="00ED7A6E" w:rsidRDefault="00A03836" w:rsidP="00DD29B4">
            <w:pPr>
              <w:pStyle w:val="TableText"/>
            </w:pPr>
            <w:r w:rsidRPr="00A03836">
              <w:t>Many players in the supply chain using different models for contracting</w:t>
            </w:r>
            <w:r w:rsidR="008172DE">
              <w:t>.</w:t>
            </w:r>
          </w:p>
        </w:tc>
        <w:tc>
          <w:tcPr>
            <w:tcW w:w="1918" w:type="pct"/>
          </w:tcPr>
          <w:p w14:paraId="3F2F2EF8" w14:textId="36B24440" w:rsidR="00A03836" w:rsidRPr="00ED7A6E" w:rsidRDefault="00A03836" w:rsidP="00DD29B4">
            <w:pPr>
              <w:pStyle w:val="TableText"/>
            </w:pPr>
            <w:r w:rsidRPr="00A03836">
              <w:t>Greater use of collective bargaining</w:t>
            </w:r>
            <w:r w:rsidR="008172DE">
              <w:t>.</w:t>
            </w:r>
          </w:p>
        </w:tc>
      </w:tr>
    </w:tbl>
    <w:p w14:paraId="44A47035" w14:textId="1D423418" w:rsidR="00A03836" w:rsidRDefault="00A03836" w:rsidP="00B47BDC">
      <w:pPr>
        <w:pStyle w:val="Heading2"/>
        <w:spacing w:before="240"/>
      </w:pPr>
      <w:r w:rsidRPr="00A03836">
        <w:t>Priority opportunities</w:t>
      </w:r>
    </w:p>
    <w:p w14:paraId="4DE917E6" w14:textId="77777777" w:rsidR="00A03836" w:rsidRDefault="00A03836" w:rsidP="00A03836">
      <w:pPr>
        <w:rPr>
          <w:lang w:eastAsia="ja-JP"/>
        </w:rPr>
      </w:pPr>
      <w:r>
        <w:rPr>
          <w:lang w:eastAsia="ja-JP"/>
        </w:rPr>
        <w:t>A number of themes were drawn out from the opportunities identified. These were prioritised by participants:</w:t>
      </w:r>
    </w:p>
    <w:p w14:paraId="0246AE7F" w14:textId="7EE64507" w:rsidR="00A03836" w:rsidRDefault="00A03836" w:rsidP="008A76D0">
      <w:pPr>
        <w:pStyle w:val="ListBullet"/>
        <w:rPr>
          <w:lang w:eastAsia="ja-JP"/>
        </w:rPr>
      </w:pPr>
      <w:r>
        <w:rPr>
          <w:lang w:eastAsia="ja-JP"/>
        </w:rPr>
        <w:t>More powerful data analytics</w:t>
      </w:r>
    </w:p>
    <w:p w14:paraId="6CA0ECBD" w14:textId="25B48418" w:rsidR="00A03836" w:rsidRDefault="00A03836" w:rsidP="008A76D0">
      <w:pPr>
        <w:pStyle w:val="ListBullet"/>
        <w:rPr>
          <w:lang w:eastAsia="ja-JP"/>
        </w:rPr>
      </w:pPr>
      <w:r>
        <w:rPr>
          <w:lang w:eastAsia="ja-JP"/>
        </w:rPr>
        <w:t>Increase code of conduct participation/make code of conduct mandatory</w:t>
      </w:r>
    </w:p>
    <w:p w14:paraId="74A70E1D" w14:textId="3D1D6EC9" w:rsidR="00A03836" w:rsidRDefault="00A03836" w:rsidP="008A76D0">
      <w:pPr>
        <w:pStyle w:val="ListBullet"/>
        <w:rPr>
          <w:lang w:eastAsia="ja-JP"/>
        </w:rPr>
      </w:pPr>
      <w:r>
        <w:rPr>
          <w:lang w:eastAsia="ja-JP"/>
        </w:rPr>
        <w:t>Consistent approach to measuring quality of product</w:t>
      </w:r>
    </w:p>
    <w:p w14:paraId="47D55E41" w14:textId="22A92292" w:rsidR="00A03836" w:rsidRDefault="00A03836" w:rsidP="008A76D0">
      <w:pPr>
        <w:pStyle w:val="ListBullet"/>
        <w:rPr>
          <w:lang w:eastAsia="ja-JP"/>
        </w:rPr>
      </w:pPr>
      <w:r>
        <w:rPr>
          <w:lang w:eastAsia="ja-JP"/>
        </w:rPr>
        <w:t>More useful data is made available and maintained by independent body</w:t>
      </w:r>
    </w:p>
    <w:p w14:paraId="5F8DB6DB" w14:textId="0E31913D" w:rsidR="00A03836" w:rsidRDefault="00A03836" w:rsidP="008A76D0">
      <w:pPr>
        <w:pStyle w:val="ListBullet"/>
        <w:rPr>
          <w:lang w:eastAsia="ja-JP"/>
        </w:rPr>
      </w:pPr>
      <w:r>
        <w:rPr>
          <w:lang w:eastAsia="ja-JP"/>
        </w:rPr>
        <w:t>Improve integrity of data currently available</w:t>
      </w:r>
    </w:p>
    <w:p w14:paraId="0FD539A4" w14:textId="1A7DA3D5" w:rsidR="00A03836" w:rsidRPr="00A03836" w:rsidRDefault="00A03836" w:rsidP="008A76D0">
      <w:pPr>
        <w:pStyle w:val="ListBullet"/>
        <w:rPr>
          <w:lang w:eastAsia="ja-JP"/>
        </w:rPr>
      </w:pPr>
      <w:r>
        <w:rPr>
          <w:lang w:eastAsia="ja-JP"/>
        </w:rPr>
        <w:t>Collective bargaining</w:t>
      </w:r>
    </w:p>
    <w:p w14:paraId="1DEFEC44" w14:textId="760A17ED" w:rsidR="00ED7A6E" w:rsidRDefault="008A76D0" w:rsidP="00B47BDC">
      <w:pPr>
        <w:pStyle w:val="Heading2"/>
        <w:spacing w:before="240"/>
      </w:pPr>
      <w:r>
        <w:t xml:space="preserve">Next </w:t>
      </w:r>
      <w:r w:rsidR="00ED7A6E">
        <w:t>steps</w:t>
      </w:r>
    </w:p>
    <w:p w14:paraId="250B470F" w14:textId="4961CB1A" w:rsidR="00ED7A6E" w:rsidRDefault="00ED7A6E" w:rsidP="00ED7A6E">
      <w:r>
        <w:t xml:space="preserve">The outcomes of the first workshop provide the basis for generating ideas for potential solutions to improve price and market transparency in the </w:t>
      </w:r>
      <w:r w:rsidR="0088635B">
        <w:t>wine grape</w:t>
      </w:r>
      <w:r w:rsidR="00735A67">
        <w:t>s</w:t>
      </w:r>
      <w:r>
        <w:t xml:space="preserve"> industry. Ideas generation will be co-designed by participants in Workshop</w:t>
      </w:r>
      <w:r w:rsidR="005E56AF">
        <w:t> </w:t>
      </w:r>
      <w:r>
        <w:t xml:space="preserve">2 on </w:t>
      </w:r>
      <w:r w:rsidR="0088635B">
        <w:t>21</w:t>
      </w:r>
      <w:r w:rsidR="005E56AF">
        <w:t> </w:t>
      </w:r>
      <w:r>
        <w:t>September</w:t>
      </w:r>
      <w:r w:rsidR="005E56AF">
        <w:t> </w:t>
      </w:r>
      <w:r>
        <w:t>2021.</w:t>
      </w:r>
    </w:p>
    <w:p w14:paraId="09D48EDD" w14:textId="1C641B29" w:rsidR="00ED7A6E" w:rsidRDefault="00173E2E" w:rsidP="001D0BAA">
      <w:pPr>
        <w:pStyle w:val="Heading2"/>
        <w:keepNext w:val="0"/>
        <w:pageBreakBefore/>
      </w:pPr>
      <w:bookmarkStart w:id="2" w:name="_Appendix_A_–"/>
      <w:bookmarkStart w:id="3" w:name="_Ref82700999"/>
      <w:bookmarkEnd w:id="2"/>
      <w:r>
        <w:lastRenderedPageBreak/>
        <w:t>Appendix</w:t>
      </w:r>
      <w:bookmarkEnd w:id="3"/>
      <w:r w:rsidR="00981F00">
        <w:t xml:space="preserve"> A</w:t>
      </w:r>
      <w:r w:rsidR="008172DE">
        <w:t xml:space="preserve">: </w:t>
      </w:r>
      <w:r w:rsidR="00ED7A6E">
        <w:t>Participant list</w:t>
      </w:r>
    </w:p>
    <w:p w14:paraId="58C0F784" w14:textId="77777777" w:rsidR="0088635B" w:rsidRDefault="0088635B" w:rsidP="0088635B">
      <w:pPr>
        <w:pStyle w:val="ListBullet"/>
      </w:pPr>
      <w:r>
        <w:t>Treasury Wine Estates</w:t>
      </w:r>
    </w:p>
    <w:p w14:paraId="7DE45BE4" w14:textId="77777777" w:rsidR="0088635B" w:rsidRDefault="0088635B" w:rsidP="0088635B">
      <w:pPr>
        <w:pStyle w:val="ListBullet"/>
      </w:pPr>
      <w:r>
        <w:t>Australian Grape and Wine</w:t>
      </w:r>
    </w:p>
    <w:p w14:paraId="3CA62AF8" w14:textId="77777777" w:rsidR="0088635B" w:rsidRDefault="0088635B" w:rsidP="0088635B">
      <w:pPr>
        <w:pStyle w:val="ListBullet"/>
      </w:pPr>
      <w:r>
        <w:t>Inland Wine Regions Alliance</w:t>
      </w:r>
    </w:p>
    <w:p w14:paraId="4DCB50B9" w14:textId="77777777" w:rsidR="0088635B" w:rsidRDefault="0088635B" w:rsidP="0088635B">
      <w:pPr>
        <w:pStyle w:val="ListBullet"/>
      </w:pPr>
      <w:r>
        <w:t>Murray Valley Winegrowers Inc</w:t>
      </w:r>
    </w:p>
    <w:p w14:paraId="0BE4A0E0" w14:textId="77777777" w:rsidR="0088635B" w:rsidRDefault="0088635B" w:rsidP="0088635B">
      <w:pPr>
        <w:pStyle w:val="ListBullet"/>
      </w:pPr>
      <w:r>
        <w:t>Casella</w:t>
      </w:r>
    </w:p>
    <w:p w14:paraId="5CFC78C8" w14:textId="77777777" w:rsidR="0088635B" w:rsidRDefault="0088635B" w:rsidP="0088635B">
      <w:pPr>
        <w:pStyle w:val="ListBullet"/>
      </w:pPr>
      <w:r>
        <w:t>Wine Australia</w:t>
      </w:r>
    </w:p>
    <w:p w14:paraId="5CB26E77" w14:textId="77777777" w:rsidR="0088635B" w:rsidRDefault="0088635B" w:rsidP="0088635B">
      <w:pPr>
        <w:pStyle w:val="ListBullet"/>
      </w:pPr>
      <w:r>
        <w:t>Pernod-Ricard Winemakers</w:t>
      </w:r>
    </w:p>
    <w:p w14:paraId="4444B4F4" w14:textId="77777777" w:rsidR="0088635B" w:rsidRDefault="0088635B" w:rsidP="0088635B">
      <w:pPr>
        <w:pStyle w:val="ListBullet"/>
      </w:pPr>
      <w:r>
        <w:t>Endeavor Group</w:t>
      </w:r>
    </w:p>
    <w:p w14:paraId="1ADED9CC" w14:textId="081081C2" w:rsidR="0088635B" w:rsidRDefault="0088635B" w:rsidP="0088635B">
      <w:pPr>
        <w:pStyle w:val="ListBullet"/>
      </w:pPr>
      <w:r>
        <w:t>Riverina Winegrape Growers/Wine Grape</w:t>
      </w:r>
      <w:r w:rsidR="00735A67">
        <w:t>s</w:t>
      </w:r>
      <w:r>
        <w:t xml:space="preserve"> Marketing Board</w:t>
      </w:r>
    </w:p>
    <w:p w14:paraId="7ADCEB9C" w14:textId="4F2EB378" w:rsidR="0088635B" w:rsidRDefault="0088635B" w:rsidP="0088635B">
      <w:pPr>
        <w:pStyle w:val="ListBullet"/>
      </w:pPr>
      <w:r>
        <w:t>Australian Competition and Consumer Commission</w:t>
      </w:r>
    </w:p>
    <w:p w14:paraId="0DDAD037" w14:textId="501B4593" w:rsidR="00ED7A6E" w:rsidRPr="001D0BAA" w:rsidRDefault="00ED7A6E" w:rsidP="00480F1E">
      <w:pPr>
        <w:pStyle w:val="ListBullet"/>
      </w:pPr>
      <w:r w:rsidRPr="001D0BAA">
        <w:t>DAWE Agricultural Policy Division</w:t>
      </w:r>
    </w:p>
    <w:p w14:paraId="23CD7A7D" w14:textId="470B415B" w:rsidR="00E9781D" w:rsidRDefault="00E9781D" w:rsidP="008172DE">
      <w:pPr>
        <w:pStyle w:val="Normalsmall"/>
        <w:spacing w:before="1000"/>
      </w:pPr>
      <w:r>
        <w:t>© Commonwealth of Australia 2021</w:t>
      </w:r>
    </w:p>
    <w:p w14:paraId="1CE0CC5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E9781D" w:rsidP="00E9781D">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4590BBA9" w14:textId="57AC83A7" w:rsidR="00696682" w:rsidRDefault="00E9781D" w:rsidP="00E9781D">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696682" w:rsidSect="001D0BAA">
      <w:footerReference w:type="default" r:id="rId12"/>
      <w:headerReference w:type="first" r:id="rId13"/>
      <w:footerReference w:type="first" r:id="rId14"/>
      <w:pgSz w:w="11906" w:h="16838" w:code="9"/>
      <w:pgMar w:top="1418" w:right="107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9197" w14:textId="77777777" w:rsidR="005E5ACE" w:rsidRDefault="005E5ACE">
      <w:r>
        <w:separator/>
      </w:r>
    </w:p>
    <w:p w14:paraId="00DF339D" w14:textId="77777777" w:rsidR="005E5ACE" w:rsidRDefault="005E5ACE"/>
    <w:p w14:paraId="0DCBB4ED" w14:textId="77777777" w:rsidR="005E5ACE" w:rsidRDefault="005E5ACE"/>
  </w:endnote>
  <w:endnote w:type="continuationSeparator" w:id="0">
    <w:p w14:paraId="2A34C19A" w14:textId="77777777" w:rsidR="005E5ACE" w:rsidRDefault="005E5ACE">
      <w:r>
        <w:continuationSeparator/>
      </w:r>
    </w:p>
    <w:p w14:paraId="44F3F548" w14:textId="77777777" w:rsidR="005E5ACE" w:rsidRDefault="005E5ACE"/>
    <w:p w14:paraId="5E1597CE" w14:textId="77777777" w:rsidR="005E5ACE" w:rsidRDefault="005E5ACE"/>
  </w:endnote>
  <w:endnote w:type="continuationNotice" w:id="1">
    <w:p w14:paraId="747B8F54" w14:textId="77777777" w:rsidR="005E5ACE" w:rsidRDefault="005E5ACE">
      <w:pPr>
        <w:pStyle w:val="Footer"/>
      </w:pPr>
    </w:p>
    <w:p w14:paraId="433688F8" w14:textId="77777777" w:rsidR="005E5ACE" w:rsidRDefault="005E5ACE"/>
    <w:p w14:paraId="1E316AE3" w14:textId="77777777" w:rsidR="005E5ACE" w:rsidRDefault="005E5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0542B4" w:rsidP="000542B4">
    <w:pPr>
      <w:pStyle w:val="Footer"/>
    </w:pPr>
    <w:r>
      <w:t>Department of Agriculture, Water and the Environment</w:t>
    </w:r>
  </w:p>
  <w:p w14:paraId="51A09124" w14:textId="212ADD43" w:rsidR="000542B4" w:rsidRDefault="002B5D7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0542B4" w:rsidP="00A77E8E">
        <w:pPr>
          <w:pStyle w:val="Footer"/>
        </w:pPr>
        <w:r>
          <w:t>Department of Agriculture, Water and the Environment</w:t>
        </w:r>
      </w:p>
      <w:p w14:paraId="2D60CB34" w14:textId="002131DC"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14E54" w14:textId="77777777" w:rsidR="005E5ACE" w:rsidRDefault="005E5ACE">
      <w:r>
        <w:separator/>
      </w:r>
    </w:p>
    <w:p w14:paraId="5E56E825" w14:textId="77777777" w:rsidR="005E5ACE" w:rsidRDefault="005E5ACE"/>
    <w:p w14:paraId="4714C868" w14:textId="77777777" w:rsidR="005E5ACE" w:rsidRDefault="005E5ACE"/>
  </w:footnote>
  <w:footnote w:type="continuationSeparator" w:id="0">
    <w:p w14:paraId="09487ED4" w14:textId="77777777" w:rsidR="005E5ACE" w:rsidRDefault="005E5ACE">
      <w:r>
        <w:continuationSeparator/>
      </w:r>
    </w:p>
    <w:p w14:paraId="3D364769" w14:textId="77777777" w:rsidR="005E5ACE" w:rsidRDefault="005E5ACE"/>
    <w:p w14:paraId="665E4A0E" w14:textId="77777777" w:rsidR="005E5ACE" w:rsidRDefault="005E5ACE"/>
  </w:footnote>
  <w:footnote w:type="continuationNotice" w:id="1">
    <w:p w14:paraId="5B622C30" w14:textId="77777777" w:rsidR="005E5ACE" w:rsidRDefault="005E5ACE">
      <w:pPr>
        <w:pStyle w:val="Footer"/>
      </w:pPr>
    </w:p>
    <w:p w14:paraId="60462279" w14:textId="77777777" w:rsidR="005E5ACE" w:rsidRDefault="005E5ACE"/>
    <w:p w14:paraId="7DA57184" w14:textId="77777777" w:rsidR="005E5ACE" w:rsidRDefault="005E5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3A5805AF" w:rsidR="000E455C" w:rsidRDefault="009C5CE4" w:rsidP="00A8157A">
    <w:pPr>
      <w:pStyle w:val="Footer"/>
      <w:spacing w:after="0"/>
      <w:jc w:val="left"/>
    </w:pPr>
    <w:r>
      <w:rPr>
        <w:noProof/>
        <w:lang w:eastAsia="en-AU"/>
      </w:rPr>
      <w:drawing>
        <wp:anchor distT="0" distB="0" distL="114300" distR="114300" simplePos="0" relativeHeight="251661312" behindDoc="1" locked="0" layoutInCell="1" allowOverlap="1" wp14:anchorId="36467FB3" wp14:editId="61AC187B">
          <wp:simplePos x="0" y="0"/>
          <wp:positionH relativeFrom="page">
            <wp:posOffset>-3175</wp:posOffset>
          </wp:positionH>
          <wp:positionV relativeFrom="paragraph">
            <wp:posOffset>-349885</wp:posOffset>
          </wp:positionV>
          <wp:extent cx="7563600" cy="2162335"/>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abstractNumId w:val="6"/>
  </w:num>
  <w:num w:numId="2">
    <w:abstractNumId w:val="22"/>
  </w:num>
  <w:num w:numId="3">
    <w:abstractNumId w:val="23"/>
  </w:num>
  <w:num w:numId="4">
    <w:abstractNumId w:val="11"/>
  </w:num>
  <w:num w:numId="5">
    <w:abstractNumId w:val="32"/>
  </w:num>
  <w:num w:numId="6">
    <w:abstractNumId w:val="33"/>
  </w:num>
  <w:num w:numId="7">
    <w:abstractNumId w:val="8"/>
  </w:num>
  <w:num w:numId="8">
    <w:abstractNumId w:val="14"/>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5"/>
  </w:num>
  <w:num w:numId="22">
    <w:abstractNumId w:val="24"/>
  </w:num>
  <w:num w:numId="23">
    <w:abstractNumId w:val="37"/>
  </w:num>
  <w:num w:numId="24">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1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6"/>
  </w:num>
  <w:num w:numId="29">
    <w:abstractNumId w:val="31"/>
  </w:num>
  <w:num w:numId="30">
    <w:abstractNumId w:val="10"/>
  </w:num>
  <w:num w:numId="31">
    <w:abstractNumId w:val="34"/>
  </w:num>
  <w:num w:numId="32">
    <w:abstractNumId w:val="7"/>
  </w:num>
  <w:num w:numId="33">
    <w:abstractNumId w:val="28"/>
  </w:num>
  <w:num w:numId="34">
    <w:abstractNumId w:val="25"/>
  </w:num>
  <w:num w:numId="35">
    <w:abstractNumId w:val="16"/>
  </w:num>
  <w:num w:numId="36">
    <w:abstractNumId w:val="9"/>
  </w:num>
  <w:num w:numId="37">
    <w:abstractNumId w:val="18"/>
  </w:num>
  <w:num w:numId="38">
    <w:abstractNumId w:val="20"/>
  </w:num>
  <w:num w:numId="39">
    <w:abstractNumId w:val="13"/>
  </w:num>
  <w:num w:numId="40">
    <w:abstractNumId w:val="27"/>
  </w:num>
  <w:num w:numId="41">
    <w:abstractNumId w:val="29"/>
  </w:num>
  <w:num w:numId="42">
    <w:abstractNumId w:val="21"/>
  </w:num>
  <w:num w:numId="43">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21590"/>
    <w:rsid w:val="00025D1B"/>
    <w:rsid w:val="000266C4"/>
    <w:rsid w:val="00035C99"/>
    <w:rsid w:val="00041120"/>
    <w:rsid w:val="000542B4"/>
    <w:rsid w:val="000618F3"/>
    <w:rsid w:val="00066D0B"/>
    <w:rsid w:val="000717D2"/>
    <w:rsid w:val="00073BE4"/>
    <w:rsid w:val="00074A56"/>
    <w:rsid w:val="00080827"/>
    <w:rsid w:val="0008277A"/>
    <w:rsid w:val="000904C1"/>
    <w:rsid w:val="000B3924"/>
    <w:rsid w:val="000B3C44"/>
    <w:rsid w:val="000C0412"/>
    <w:rsid w:val="000C4558"/>
    <w:rsid w:val="000E42DB"/>
    <w:rsid w:val="000E455C"/>
    <w:rsid w:val="00173E2E"/>
    <w:rsid w:val="00190D7E"/>
    <w:rsid w:val="001A6968"/>
    <w:rsid w:val="001C4F3C"/>
    <w:rsid w:val="001D0BAA"/>
    <w:rsid w:val="001D0EF3"/>
    <w:rsid w:val="00200FD5"/>
    <w:rsid w:val="00203DE1"/>
    <w:rsid w:val="00220618"/>
    <w:rsid w:val="00237A69"/>
    <w:rsid w:val="00275B58"/>
    <w:rsid w:val="00284B53"/>
    <w:rsid w:val="00286A50"/>
    <w:rsid w:val="002B5D70"/>
    <w:rsid w:val="002E3FD4"/>
    <w:rsid w:val="002F012F"/>
    <w:rsid w:val="002F4595"/>
    <w:rsid w:val="00300AFD"/>
    <w:rsid w:val="003032C0"/>
    <w:rsid w:val="003235FA"/>
    <w:rsid w:val="00336B60"/>
    <w:rsid w:val="0035108D"/>
    <w:rsid w:val="003569F9"/>
    <w:rsid w:val="00366721"/>
    <w:rsid w:val="00370990"/>
    <w:rsid w:val="0037698A"/>
    <w:rsid w:val="00392124"/>
    <w:rsid w:val="003F73D7"/>
    <w:rsid w:val="00411260"/>
    <w:rsid w:val="00442630"/>
    <w:rsid w:val="0044304D"/>
    <w:rsid w:val="00446CB3"/>
    <w:rsid w:val="00474F59"/>
    <w:rsid w:val="00480F1E"/>
    <w:rsid w:val="004B6502"/>
    <w:rsid w:val="004C2DA2"/>
    <w:rsid w:val="004D0888"/>
    <w:rsid w:val="004F52C6"/>
    <w:rsid w:val="005019C1"/>
    <w:rsid w:val="00515287"/>
    <w:rsid w:val="00531B5A"/>
    <w:rsid w:val="00545C6C"/>
    <w:rsid w:val="00553E9D"/>
    <w:rsid w:val="0055447F"/>
    <w:rsid w:val="00567DFC"/>
    <w:rsid w:val="00577F29"/>
    <w:rsid w:val="00583B24"/>
    <w:rsid w:val="005866C7"/>
    <w:rsid w:val="00594556"/>
    <w:rsid w:val="005A48A6"/>
    <w:rsid w:val="005B613F"/>
    <w:rsid w:val="005C2BFD"/>
    <w:rsid w:val="005D0059"/>
    <w:rsid w:val="005D139D"/>
    <w:rsid w:val="005E56AF"/>
    <w:rsid w:val="005E5ACE"/>
    <w:rsid w:val="00607A21"/>
    <w:rsid w:val="00607A36"/>
    <w:rsid w:val="006141ED"/>
    <w:rsid w:val="006156DF"/>
    <w:rsid w:val="00625D8D"/>
    <w:rsid w:val="00630D7C"/>
    <w:rsid w:val="00642F36"/>
    <w:rsid w:val="00646917"/>
    <w:rsid w:val="00656587"/>
    <w:rsid w:val="00696682"/>
    <w:rsid w:val="006A6540"/>
    <w:rsid w:val="006B0030"/>
    <w:rsid w:val="006B505B"/>
    <w:rsid w:val="006D413F"/>
    <w:rsid w:val="006F6FE8"/>
    <w:rsid w:val="0070464B"/>
    <w:rsid w:val="00704A2D"/>
    <w:rsid w:val="00721291"/>
    <w:rsid w:val="007258B1"/>
    <w:rsid w:val="00725C8B"/>
    <w:rsid w:val="00735A67"/>
    <w:rsid w:val="00754CA3"/>
    <w:rsid w:val="00760409"/>
    <w:rsid w:val="0076549B"/>
    <w:rsid w:val="00793E18"/>
    <w:rsid w:val="007A221B"/>
    <w:rsid w:val="007C0010"/>
    <w:rsid w:val="007D6D7F"/>
    <w:rsid w:val="0080517C"/>
    <w:rsid w:val="008172DE"/>
    <w:rsid w:val="00832638"/>
    <w:rsid w:val="00865130"/>
    <w:rsid w:val="00870C1D"/>
    <w:rsid w:val="0088635B"/>
    <w:rsid w:val="008906CC"/>
    <w:rsid w:val="00892F53"/>
    <w:rsid w:val="00895341"/>
    <w:rsid w:val="008A76D0"/>
    <w:rsid w:val="008E3B54"/>
    <w:rsid w:val="008F382A"/>
    <w:rsid w:val="00902E92"/>
    <w:rsid w:val="0090743D"/>
    <w:rsid w:val="00911F4A"/>
    <w:rsid w:val="00916FC3"/>
    <w:rsid w:val="00943779"/>
    <w:rsid w:val="0096087A"/>
    <w:rsid w:val="009622B2"/>
    <w:rsid w:val="00974CD6"/>
    <w:rsid w:val="00981F00"/>
    <w:rsid w:val="009844EA"/>
    <w:rsid w:val="009A3930"/>
    <w:rsid w:val="009A5F40"/>
    <w:rsid w:val="009C206F"/>
    <w:rsid w:val="009C3FA3"/>
    <w:rsid w:val="009C5CE4"/>
    <w:rsid w:val="009D7044"/>
    <w:rsid w:val="00A03836"/>
    <w:rsid w:val="00A0385A"/>
    <w:rsid w:val="00A04AFD"/>
    <w:rsid w:val="00A130F7"/>
    <w:rsid w:val="00A32860"/>
    <w:rsid w:val="00A62F99"/>
    <w:rsid w:val="00A65D84"/>
    <w:rsid w:val="00A7471E"/>
    <w:rsid w:val="00A77E8E"/>
    <w:rsid w:val="00A8157A"/>
    <w:rsid w:val="00A8597C"/>
    <w:rsid w:val="00AA1D89"/>
    <w:rsid w:val="00AE1E6E"/>
    <w:rsid w:val="00AE4763"/>
    <w:rsid w:val="00B0121B"/>
    <w:rsid w:val="00B0455B"/>
    <w:rsid w:val="00B11E02"/>
    <w:rsid w:val="00B2514A"/>
    <w:rsid w:val="00B25B27"/>
    <w:rsid w:val="00B3476F"/>
    <w:rsid w:val="00B43568"/>
    <w:rsid w:val="00B47BDC"/>
    <w:rsid w:val="00B82095"/>
    <w:rsid w:val="00B90975"/>
    <w:rsid w:val="00B93571"/>
    <w:rsid w:val="00B94CBD"/>
    <w:rsid w:val="00BA2E73"/>
    <w:rsid w:val="00BA74DC"/>
    <w:rsid w:val="00BB0F3E"/>
    <w:rsid w:val="00BD4F8E"/>
    <w:rsid w:val="00BE345B"/>
    <w:rsid w:val="00C54C30"/>
    <w:rsid w:val="00C55694"/>
    <w:rsid w:val="00C6128D"/>
    <w:rsid w:val="00C73278"/>
    <w:rsid w:val="00C765C8"/>
    <w:rsid w:val="00C82029"/>
    <w:rsid w:val="00C9283A"/>
    <w:rsid w:val="00C95039"/>
    <w:rsid w:val="00CA4615"/>
    <w:rsid w:val="00CD3A6F"/>
    <w:rsid w:val="00CE7F36"/>
    <w:rsid w:val="00CF6A74"/>
    <w:rsid w:val="00CF7D08"/>
    <w:rsid w:val="00D04A3C"/>
    <w:rsid w:val="00D11CED"/>
    <w:rsid w:val="00D22097"/>
    <w:rsid w:val="00D30142"/>
    <w:rsid w:val="00D36C41"/>
    <w:rsid w:val="00D4039B"/>
    <w:rsid w:val="00D449E8"/>
    <w:rsid w:val="00D55A85"/>
    <w:rsid w:val="00D750D0"/>
    <w:rsid w:val="00D87480"/>
    <w:rsid w:val="00D87564"/>
    <w:rsid w:val="00DB71FD"/>
    <w:rsid w:val="00DC453F"/>
    <w:rsid w:val="00DC57F0"/>
    <w:rsid w:val="00DD29B4"/>
    <w:rsid w:val="00DE546F"/>
    <w:rsid w:val="00DF241E"/>
    <w:rsid w:val="00E23A20"/>
    <w:rsid w:val="00E25A07"/>
    <w:rsid w:val="00E333DF"/>
    <w:rsid w:val="00E35D45"/>
    <w:rsid w:val="00E83C41"/>
    <w:rsid w:val="00E9781D"/>
    <w:rsid w:val="00EA1657"/>
    <w:rsid w:val="00EA5D76"/>
    <w:rsid w:val="00EC2925"/>
    <w:rsid w:val="00EC5579"/>
    <w:rsid w:val="00EC5C40"/>
    <w:rsid w:val="00ED00D4"/>
    <w:rsid w:val="00ED774B"/>
    <w:rsid w:val="00ED7A6E"/>
    <w:rsid w:val="00EE0118"/>
    <w:rsid w:val="00EE49CE"/>
    <w:rsid w:val="00EE7C8D"/>
    <w:rsid w:val="00EF24B1"/>
    <w:rsid w:val="00EF3918"/>
    <w:rsid w:val="00F330C3"/>
    <w:rsid w:val="00F75F33"/>
    <w:rsid w:val="00F84236"/>
    <w:rsid w:val="00FB6E33"/>
    <w:rsid w:val="00FC2CE4"/>
    <w:rsid w:val="00FC379E"/>
    <w:rsid w:val="00FD337C"/>
    <w:rsid w:val="00FD3BAE"/>
    <w:rsid w:val="00FD5236"/>
    <w:rsid w:val="00FD5A1D"/>
    <w:rsid w:val="00FD7D5B"/>
    <w:rsid w:val="00FE0F23"/>
    <w:rsid w:val="00FE1F23"/>
    <w:rsid w:val="00FF3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43897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p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0E42DB"/>
    <w:pPr>
      <w:spacing w:before="480" w:after="120"/>
    </w:pPr>
    <w:rPr>
      <w:rFonts w:asciiTheme="minorHAnsi" w:eastAsiaTheme="minorHAnsi" w:hAnsiTheme="minorHAnsi" w:cstheme="minorBidi"/>
      <w:b/>
      <w:i/>
      <w:color w:val="5482AB"/>
      <w:sz w:val="32"/>
      <w:szCs w:val="22"/>
      <w:lang w:eastAsia="en-US"/>
    </w:rPr>
  </w:style>
  <w:style w:type="table" w:styleId="PlainTable2">
    <w:name w:val="Plain Table 2"/>
    <w:basedOn w:val="TableNormal"/>
    <w:uiPriority w:val="42"/>
    <w:rsid w:val="00ED7A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D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Report%20writing\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template.dotx</Template>
  <TotalTime>20</TotalTime>
  <Pages>3</Pages>
  <Words>841</Words>
  <Characters>4796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Improving market transparency in perishable agricultural goods industries - Wine grapes industry first workshop 17 August 2021: Workshop communique</vt:lpstr>
    </vt:vector>
  </TitlesOfParts>
  <Company/>
  <LinksUpToDate>false</LinksUpToDate>
  <CharactersWithSpaces>5626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market transparency in perishable agricultural goods industries - Wine grapes industry first workshop 17 August 2021: Workshop communique</dc:title>
  <dc:creator>Department of Agriculture, Water and the Environment</dc:creator>
  <cp:lastPrinted>2021-11-02T03:14:00Z</cp:lastPrinted>
  <dcterms:created xsi:type="dcterms:W3CDTF">2021-10-27T00:25:00Z</dcterms:created>
  <dcterms:modified xsi:type="dcterms:W3CDTF">2021-11-02T03:14:00Z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