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0E42DB" w:rsidP="001D0BAA">
      <w:pPr>
        <w:pStyle w:val="Series"/>
        <w:spacing w:before="2040"/>
      </w:pPr>
      <w:r w:rsidRPr="000E42DB">
        <w:t>Improving market transparency in perishable agricultural goods industries</w:t>
      </w:r>
    </w:p>
    <w:p w14:paraId="33953D75" w14:textId="14D1DF9B" w:rsidR="00A8597C" w:rsidRPr="00A8597C" w:rsidRDefault="00EC5CE3" w:rsidP="00A8597C">
      <w:pPr>
        <w:pStyle w:val="Heading1"/>
      </w:pPr>
      <w:r>
        <w:t>Chicken meat</w:t>
      </w:r>
      <w:r w:rsidR="000E42DB" w:rsidRPr="000E42DB">
        <w:t xml:space="preserve"> industry </w:t>
      </w:r>
      <w:r w:rsidR="000B1E5E">
        <w:t xml:space="preserve">second </w:t>
      </w:r>
      <w:r w:rsidR="000E42DB" w:rsidRPr="000E42DB">
        <w:t>workshop</w:t>
      </w:r>
      <w:r w:rsidR="002963F0">
        <w:t xml:space="preserve"> </w:t>
      </w:r>
      <w:r>
        <w:t>2</w:t>
      </w:r>
      <w:r w:rsidR="000B1E5E">
        <w:t>8 September </w:t>
      </w:r>
      <w:r w:rsidR="00A8597C">
        <w:t>2021</w:t>
      </w:r>
      <w:r w:rsidR="000E42DB" w:rsidRPr="000E42DB">
        <w:t xml:space="preserve">: </w:t>
      </w:r>
      <w:r w:rsidR="000E42DB" w:rsidRPr="000B624A">
        <w:t>W</w:t>
      </w:r>
      <w:r w:rsidR="000E42DB" w:rsidRPr="000E42DB">
        <w:t>orkshop communique</w:t>
      </w:r>
    </w:p>
    <w:p w14:paraId="7170947D" w14:textId="77777777" w:rsidR="00A8597C" w:rsidRDefault="00A8597C" w:rsidP="00A8597C">
      <w:pPr>
        <w:pStyle w:val="Heading2"/>
      </w:pPr>
      <w:r>
        <w:t>Background</w:t>
      </w:r>
    </w:p>
    <w:p w14:paraId="6B4791CD" w14:textId="6D502375" w:rsidR="00A8597C" w:rsidRDefault="00A8597C" w:rsidP="00A8597C">
      <w:r>
        <w:t xml:space="preserve">In late 2020, the Australian Competition and Consumer Commission (ACCC) conducted an inquiry into bargaining power imbalances in supply chains for perishable agricultural </w:t>
      </w:r>
      <w:r w:rsidR="00013125">
        <w:t>goods (PAG)</w:t>
      </w:r>
      <w:r>
        <w:t xml:space="preserve">. </w:t>
      </w:r>
      <w:r w:rsidR="001D0BAA">
        <w:t xml:space="preserve">The </w:t>
      </w:r>
      <w:r>
        <w:t xml:space="preserve">inquiry </w:t>
      </w:r>
      <w:r w:rsidR="001D0BAA">
        <w:t xml:space="preserve">recommended that the </w:t>
      </w:r>
      <w:r>
        <w:t>government explore measures to increase price transparency in PAG</w:t>
      </w:r>
      <w:r w:rsidR="00013125">
        <w:t xml:space="preserve"> </w:t>
      </w:r>
      <w:r>
        <w:t>industries to increase competition in those industries.</w:t>
      </w:r>
    </w:p>
    <w:p w14:paraId="33B1521F" w14:textId="1FE32099" w:rsidR="00A8597C" w:rsidRDefault="00A8597C" w:rsidP="00A8597C">
      <w:r>
        <w:t>In response to this recommendation</w:t>
      </w:r>
      <w:r w:rsidR="001D0BAA">
        <w:t>,</w:t>
      </w:r>
      <w:r>
        <w:t xml:space="preserve"> the Australian Government, th</w:t>
      </w:r>
      <w:r w:rsidR="001D0BAA">
        <w:t>r</w:t>
      </w:r>
      <w:r>
        <w:t xml:space="preserve">ough the Department of Agriculture, </w:t>
      </w:r>
      <w:proofErr w:type="gramStart"/>
      <w:r>
        <w:t>Water</w:t>
      </w:r>
      <w:proofErr w:type="gramEnd"/>
      <w:r>
        <w:t xml:space="preserve"> and the Environment (DAWE) has committed $5.4</w:t>
      </w:r>
      <w:r w:rsidR="00545C6C">
        <w:t> </w:t>
      </w:r>
      <w:r>
        <w:t>million to improve price and market transparency in PAG industries by:</w:t>
      </w:r>
    </w:p>
    <w:p w14:paraId="34A8316D" w14:textId="37D4CB53" w:rsidR="00A8597C" w:rsidRDefault="00A8597C" w:rsidP="00A8597C">
      <w:pPr>
        <w:pStyle w:val="ListBullet"/>
      </w:pPr>
      <w:r>
        <w:t>delivering co-design workshops with PAG industries to understand their market transparency issues, opportunities and requirements</w:t>
      </w:r>
    </w:p>
    <w:p w14:paraId="59696ED6" w14:textId="2CBAECF7" w:rsidR="00A8597C" w:rsidRDefault="00A8597C" w:rsidP="00A8597C">
      <w:pPr>
        <w:pStyle w:val="ListBullet"/>
      </w:pPr>
      <w:r>
        <w:t>delivering a grants program to develop and implement tailored mechanisms to improve price and market transparency.</w:t>
      </w:r>
    </w:p>
    <w:p w14:paraId="78FCA847" w14:textId="3CCDF909" w:rsidR="000E42DB" w:rsidRDefault="00A8597C" w:rsidP="00A8597C">
      <w:r>
        <w:t>The workshops provide an opportunity for participants to discuss price and market transparency issues in their sector, brainstorm ideas to improve transparency and co-design the details of solutions going forward.</w:t>
      </w:r>
    </w:p>
    <w:p w14:paraId="7DCE4720" w14:textId="2FEF249B" w:rsidR="00A8597C" w:rsidRDefault="00A8597C" w:rsidP="00A8597C">
      <w:pPr>
        <w:pStyle w:val="Heading2"/>
      </w:pPr>
      <w:r>
        <w:t xml:space="preserve">Workshop </w:t>
      </w:r>
      <w:r w:rsidR="000B1E5E">
        <w:t xml:space="preserve">2 </w:t>
      </w:r>
      <w:r>
        <w:t>outcomes</w:t>
      </w:r>
    </w:p>
    <w:p w14:paraId="266CF375" w14:textId="6EA6976A" w:rsidR="000B1E5E" w:rsidRDefault="000B1E5E" w:rsidP="00480F1E">
      <w:r w:rsidRPr="000B1E5E">
        <w:t xml:space="preserve">Fifteen industry and government representatives attended the second workshop for chicken meat growers to progress opportunities to improve price and market transparency. The workshop’s objective was to generate ideas for potential projects that could either form the basis of a proposal in the department’s upcoming grants </w:t>
      </w:r>
      <w:r w:rsidR="00B83446" w:rsidRPr="000B1E5E">
        <w:t>program or</w:t>
      </w:r>
      <w:r w:rsidRPr="000B1E5E">
        <w:t xml:space="preserve"> be progressed outside of this program.</w:t>
      </w:r>
    </w:p>
    <w:p w14:paraId="56489506" w14:textId="5059E6FD" w:rsidR="000B1E5E" w:rsidRDefault="00ED7A6E" w:rsidP="000B1E5E">
      <w:r>
        <w:t xml:space="preserve">Participants </w:t>
      </w:r>
      <w:r w:rsidRPr="00173E2E">
        <w:t>(</w:t>
      </w:r>
      <w:hyperlink w:anchor="_Appendix_A_–" w:history="1">
        <w:r w:rsidR="001D0BAA" w:rsidRPr="001D0BAA">
          <w:rPr>
            <w:rStyle w:val="Hyperlink"/>
          </w:rPr>
          <w:t>Appendix A</w:t>
        </w:r>
      </w:hyperlink>
      <w:r w:rsidR="001D0BAA">
        <w:t xml:space="preserve">) </w:t>
      </w:r>
      <w:r>
        <w:t xml:space="preserve">worked in small groups </w:t>
      </w:r>
      <w:r w:rsidR="000B1E5E" w:rsidRPr="000B1E5E">
        <w:t xml:space="preserve">to progress concepts </w:t>
      </w:r>
      <w:r w:rsidR="000B1E5E" w:rsidRPr="000B0A88">
        <w:t xml:space="preserve">for </w:t>
      </w:r>
      <w:r w:rsidR="008D5198" w:rsidRPr="000B0A88">
        <w:t>2</w:t>
      </w:r>
      <w:r w:rsidR="000B1E5E" w:rsidRPr="000B0A88">
        <w:t xml:space="preserve"> opportunities</w:t>
      </w:r>
      <w:r w:rsidR="000B1E5E" w:rsidRPr="000B1E5E">
        <w:t xml:space="preserve"> that were identified in the first workshop:</w:t>
      </w:r>
    </w:p>
    <w:p w14:paraId="51E0E03B" w14:textId="406F0724" w:rsidR="000B1E5E" w:rsidRDefault="000B1E5E" w:rsidP="000B1E5E">
      <w:pPr>
        <w:pStyle w:val="ListNumber"/>
      </w:pPr>
      <w:r>
        <w:t>Benchmarking/data sharing/modelling</w:t>
      </w:r>
    </w:p>
    <w:p w14:paraId="3B0727E7" w14:textId="19A2BD70" w:rsidR="000B1E5E" w:rsidRDefault="000B1E5E" w:rsidP="000B1E5E">
      <w:pPr>
        <w:pStyle w:val="ListNumber"/>
      </w:pPr>
      <w:r>
        <w:t xml:space="preserve">Develop a </w:t>
      </w:r>
      <w:r w:rsidR="00C61393">
        <w:t>c</w:t>
      </w:r>
      <w:r>
        <w:t xml:space="preserve">ode of </w:t>
      </w:r>
      <w:r w:rsidR="00C61393">
        <w:t>c</w:t>
      </w:r>
      <w:r>
        <w:t>onduct</w:t>
      </w:r>
    </w:p>
    <w:p w14:paraId="70FE1DF3" w14:textId="2C9ED258" w:rsidR="000B1E5E" w:rsidRPr="000B0A88" w:rsidRDefault="000B1E5E" w:rsidP="00EB79F4">
      <w:pPr>
        <w:keepNext/>
      </w:pPr>
      <w:r w:rsidRPr="000B0A88">
        <w:lastRenderedPageBreak/>
        <w:t xml:space="preserve">Individuals self-selected themselves into </w:t>
      </w:r>
      <w:r w:rsidR="008D5198" w:rsidRPr="000B0A88">
        <w:t>2</w:t>
      </w:r>
      <w:r w:rsidRPr="000B0A88">
        <w:t xml:space="preserve"> working groups to generate ideas for each of these projects, which considered:</w:t>
      </w:r>
    </w:p>
    <w:p w14:paraId="40248207" w14:textId="394E9008" w:rsidR="000B1E5E" w:rsidRPr="000B0A88" w:rsidRDefault="000B1E5E" w:rsidP="00EB79F4">
      <w:pPr>
        <w:pStyle w:val="ListBullet"/>
        <w:keepNext/>
      </w:pPr>
      <w:r w:rsidRPr="000B0A88">
        <w:t>Purpose</w:t>
      </w:r>
      <w:r w:rsidR="008D5198" w:rsidRPr="000B0A88">
        <w:t xml:space="preserve"> – </w:t>
      </w:r>
      <w:r w:rsidRPr="000B0A88">
        <w:t>project’s intended outcome</w:t>
      </w:r>
    </w:p>
    <w:p w14:paraId="539D2879" w14:textId="15F86105" w:rsidR="000B1E5E" w:rsidRPr="000B0A88" w:rsidRDefault="000B1E5E" w:rsidP="00EB79F4">
      <w:pPr>
        <w:pStyle w:val="ListBullet"/>
        <w:keepNext/>
      </w:pPr>
      <w:r w:rsidRPr="000B0A88">
        <w:t>Details</w:t>
      </w:r>
      <w:r w:rsidR="008D5198" w:rsidRPr="000B0A88">
        <w:t xml:space="preserve"> – </w:t>
      </w:r>
      <w:r w:rsidRPr="000B0A88">
        <w:t>the project’s scope</w:t>
      </w:r>
    </w:p>
    <w:p w14:paraId="4F26934E" w14:textId="2FF16E55" w:rsidR="000B1E5E" w:rsidRPr="000B0A88" w:rsidRDefault="000B1E5E" w:rsidP="00EB79F4">
      <w:pPr>
        <w:pStyle w:val="ListBullet"/>
        <w:keepNext/>
      </w:pPr>
      <w:r w:rsidRPr="000B0A88">
        <w:t>Stakeholders</w:t>
      </w:r>
      <w:r w:rsidR="008D5198" w:rsidRPr="000B0A88">
        <w:t xml:space="preserve"> – </w:t>
      </w:r>
      <w:r w:rsidRPr="000B0A88">
        <w:t>the people or organisations that would manage or contribute to developing, implementing, and maintaining the project</w:t>
      </w:r>
    </w:p>
    <w:p w14:paraId="15EE0003" w14:textId="0095FCF9" w:rsidR="000B1E5E" w:rsidRDefault="000B1E5E" w:rsidP="00EB79F4">
      <w:pPr>
        <w:pStyle w:val="ListBullet"/>
        <w:keepNext/>
      </w:pPr>
      <w:r w:rsidRPr="000B0A88">
        <w:t>Risks and benefits</w:t>
      </w:r>
      <w:r w:rsidR="008D5198" w:rsidRPr="000B0A88">
        <w:t xml:space="preserve"> – </w:t>
      </w:r>
      <w:r w:rsidRPr="000B0A88">
        <w:t>the risks that could impact the project and their mitigation strategies, as well as the long-term benefits</w:t>
      </w:r>
      <w:r>
        <w:t xml:space="preserve"> of the project.</w:t>
      </w:r>
    </w:p>
    <w:p w14:paraId="1C6AC62E" w14:textId="77777777" w:rsidR="004D0566" w:rsidRDefault="000B1E5E" w:rsidP="000B1E5E">
      <w:r>
        <w:t xml:space="preserve">Groups then presented their project ideas to each other to gather further input and discuss next steps. </w:t>
      </w:r>
    </w:p>
    <w:p w14:paraId="66834369" w14:textId="1C62F840" w:rsidR="000B1E5E" w:rsidRDefault="000B1E5E" w:rsidP="000B1E5E">
      <w:r w:rsidRPr="00C40350">
        <w:fldChar w:fldCharType="begin"/>
      </w:r>
      <w:r w:rsidRPr="00C40350">
        <w:instrText xml:space="preserve"> REF _Ref82700697 \h </w:instrText>
      </w:r>
      <w:r w:rsidR="004D0566" w:rsidRPr="00C40350">
        <w:instrText xml:space="preserve"> \* MERGEFORMAT </w:instrText>
      </w:r>
      <w:r w:rsidRPr="00C40350">
        <w:fldChar w:fldCharType="separate"/>
      </w:r>
      <w:r w:rsidR="00893CB1">
        <w:t xml:space="preserve">Table </w:t>
      </w:r>
      <w:r w:rsidR="00893CB1">
        <w:rPr>
          <w:noProof/>
        </w:rPr>
        <w:t>1</w:t>
      </w:r>
      <w:r w:rsidRPr="00C40350">
        <w:fldChar w:fldCharType="end"/>
      </w:r>
      <w:r w:rsidRPr="00C40350">
        <w:t xml:space="preserve"> provides an overview of the potential projects that were developed.</w:t>
      </w:r>
    </w:p>
    <w:p w14:paraId="78A738B4" w14:textId="54BE088E" w:rsidR="000B1E5E" w:rsidRDefault="000B1E5E" w:rsidP="000B1E5E">
      <w:r>
        <w:t>Overall, the group considered both projects to be interlinked with the code of conduct taking priority and enabling the benchmarking project. The group considered the merits of both a voluntary and mandatory code of conduct (preferred).</w:t>
      </w:r>
    </w:p>
    <w:p w14:paraId="38D53A36" w14:textId="77777777" w:rsidR="000B1E5E" w:rsidRDefault="000B1E5E" w:rsidP="000B1E5E">
      <w:pPr>
        <w:pStyle w:val="Heading2"/>
      </w:pPr>
      <w:r>
        <w:t>Next steps</w:t>
      </w:r>
    </w:p>
    <w:p w14:paraId="6726EEB3" w14:textId="23A54A9A" w:rsidR="000B1E5E" w:rsidRDefault="000B1E5E" w:rsidP="000B1E5E">
      <w:r>
        <w:t xml:space="preserve">The outcomes of the workshop, including the potential </w:t>
      </w:r>
      <w:r w:rsidRPr="000B0A88">
        <w:t>projects</w:t>
      </w:r>
      <w:r w:rsidR="00EA006E" w:rsidRPr="000B0A88">
        <w:t>,</w:t>
      </w:r>
      <w:r w:rsidRPr="000B0A88">
        <w:t xml:space="preserve"> will</w:t>
      </w:r>
      <w:r>
        <w:t xml:space="preserve"> be </w:t>
      </w:r>
      <w:proofErr w:type="gramStart"/>
      <w:r>
        <w:t>summarised</w:t>
      </w:r>
      <w:proofErr w:type="gramEnd"/>
      <w:r>
        <w:t xml:space="preserve"> and presented to the processors group at a separate workshop. </w:t>
      </w:r>
    </w:p>
    <w:p w14:paraId="2C22491D" w14:textId="77777777" w:rsidR="000B1E5E" w:rsidRDefault="000B1E5E" w:rsidP="000B1E5E">
      <w:pPr>
        <w:sectPr w:rsidR="000B1E5E" w:rsidSect="001D0BAA">
          <w:footerReference w:type="default" r:id="rId11"/>
          <w:headerReference w:type="first" r:id="rId12"/>
          <w:footerReference w:type="first" r:id="rId13"/>
          <w:pgSz w:w="11906" w:h="16838" w:code="9"/>
          <w:pgMar w:top="1418" w:right="1077" w:bottom="1134" w:left="1247" w:header="567" w:footer="284" w:gutter="0"/>
          <w:pgNumType w:start="1"/>
          <w:cols w:space="708"/>
          <w:titlePg/>
          <w:docGrid w:linePitch="360"/>
        </w:sectPr>
      </w:pPr>
    </w:p>
    <w:p w14:paraId="15D7272A" w14:textId="141E08A3" w:rsidR="00ED7A6E" w:rsidRDefault="006141ED" w:rsidP="006141ED">
      <w:pPr>
        <w:pStyle w:val="Caption"/>
      </w:pPr>
      <w:bookmarkStart w:id="0" w:name="_Ref82700697"/>
      <w:r>
        <w:lastRenderedPageBreak/>
        <w:t xml:space="preserve">Table </w:t>
      </w:r>
      <w:r w:rsidR="00893CB1">
        <w:fldChar w:fldCharType="begin"/>
      </w:r>
      <w:r w:rsidR="00893CB1">
        <w:instrText xml:space="preserve"> SEQ Table \* ARABIC </w:instrText>
      </w:r>
      <w:r w:rsidR="00893CB1">
        <w:fldChar w:fldCharType="separate"/>
      </w:r>
      <w:r w:rsidR="00893CB1">
        <w:rPr>
          <w:noProof/>
        </w:rPr>
        <w:t>1</w:t>
      </w:r>
      <w:r w:rsidR="00893CB1">
        <w:rPr>
          <w:noProof/>
        </w:rPr>
        <w:fldChar w:fldCharType="end"/>
      </w:r>
      <w:bookmarkEnd w:id="0"/>
      <w:r>
        <w:t xml:space="preserve"> </w:t>
      </w:r>
      <w:r w:rsidR="000B1E5E">
        <w:t>Potential projects</w:t>
      </w:r>
    </w:p>
    <w:tbl>
      <w:tblPr>
        <w:tblStyle w:val="PlainTable2"/>
        <w:tblW w:w="5000" w:type="pct"/>
        <w:tblBorders>
          <w:top w:val="single" w:sz="4" w:space="0" w:color="auto"/>
          <w:bottom w:val="single" w:sz="4" w:space="0" w:color="auto"/>
          <w:insideH w:val="single" w:sz="4" w:space="0" w:color="auto"/>
        </w:tblBorders>
        <w:tblLook w:val="0620" w:firstRow="1" w:lastRow="0" w:firstColumn="0" w:lastColumn="0" w:noHBand="1" w:noVBand="1"/>
      </w:tblPr>
      <w:tblGrid>
        <w:gridCol w:w="3209"/>
        <w:gridCol w:w="4494"/>
        <w:gridCol w:w="3637"/>
        <w:gridCol w:w="2946"/>
      </w:tblGrid>
      <w:tr w:rsidR="001646D8" w:rsidRPr="00ED7A6E" w14:paraId="60560EA6" w14:textId="11EFDE83" w:rsidTr="00A12A10">
        <w:trPr>
          <w:cnfStyle w:val="100000000000" w:firstRow="1" w:lastRow="0" w:firstColumn="0" w:lastColumn="0" w:oddVBand="0" w:evenVBand="0" w:oddHBand="0" w:evenHBand="0" w:firstRowFirstColumn="0" w:firstRowLastColumn="0" w:lastRowFirstColumn="0" w:lastRowLastColumn="0"/>
          <w:tblHeader/>
        </w:trPr>
        <w:tc>
          <w:tcPr>
            <w:tcW w:w="1123" w:type="pct"/>
            <w:tcBorders>
              <w:bottom w:val="single" w:sz="4" w:space="0" w:color="auto"/>
            </w:tcBorders>
          </w:tcPr>
          <w:p w14:paraId="3FE28960" w14:textId="5F03D40E" w:rsidR="001646D8" w:rsidRPr="000B0A88" w:rsidRDefault="003D4CBC" w:rsidP="00CE2511">
            <w:pPr>
              <w:pStyle w:val="TableHeading"/>
              <w:rPr>
                <w:rStyle w:val="Strong"/>
              </w:rPr>
            </w:pPr>
            <w:bookmarkStart w:id="1" w:name="Title_1"/>
            <w:bookmarkEnd w:id="1"/>
            <w:r w:rsidRPr="000B0A88">
              <w:rPr>
                <w:rStyle w:val="Strong"/>
              </w:rPr>
              <w:t>Project</w:t>
            </w:r>
            <w:r w:rsidR="00CF1A89" w:rsidRPr="000B0A88">
              <w:rPr>
                <w:rStyle w:val="Strong"/>
              </w:rPr>
              <w:t xml:space="preserve"> </w:t>
            </w:r>
          </w:p>
        </w:tc>
        <w:tc>
          <w:tcPr>
            <w:tcW w:w="1573" w:type="pct"/>
            <w:tcBorders>
              <w:bottom w:val="single" w:sz="4" w:space="0" w:color="auto"/>
            </w:tcBorders>
          </w:tcPr>
          <w:p w14:paraId="70BD089B" w14:textId="61F5DEC1" w:rsidR="001646D8" w:rsidRPr="00CE2511" w:rsidRDefault="001646D8" w:rsidP="00CE2511">
            <w:pPr>
              <w:pStyle w:val="TableHeading"/>
              <w:rPr>
                <w:rStyle w:val="Strong"/>
              </w:rPr>
            </w:pPr>
            <w:r w:rsidRPr="00CE2511">
              <w:rPr>
                <w:rStyle w:val="Strong"/>
              </w:rPr>
              <w:t xml:space="preserve">Key purpose, </w:t>
            </w:r>
            <w:proofErr w:type="gramStart"/>
            <w:r w:rsidRPr="00CE2511">
              <w:rPr>
                <w:rStyle w:val="Strong"/>
              </w:rPr>
              <w:t>risks</w:t>
            </w:r>
            <w:proofErr w:type="gramEnd"/>
            <w:r w:rsidRPr="00CE2511">
              <w:rPr>
                <w:rStyle w:val="Strong"/>
              </w:rPr>
              <w:t xml:space="preserve"> and benefits</w:t>
            </w:r>
          </w:p>
        </w:tc>
        <w:tc>
          <w:tcPr>
            <w:tcW w:w="1273" w:type="pct"/>
            <w:tcBorders>
              <w:bottom w:val="single" w:sz="4" w:space="0" w:color="auto"/>
            </w:tcBorders>
          </w:tcPr>
          <w:p w14:paraId="1F000F42" w14:textId="42A086DB" w:rsidR="001646D8" w:rsidRPr="00CE2511" w:rsidRDefault="001646D8" w:rsidP="00CE2511">
            <w:pPr>
              <w:pStyle w:val="TableHeading"/>
              <w:rPr>
                <w:rStyle w:val="Strong"/>
              </w:rPr>
            </w:pPr>
            <w:r w:rsidRPr="00CE2511">
              <w:rPr>
                <w:rStyle w:val="Strong"/>
              </w:rPr>
              <w:t>Stakeholders and resourcing</w:t>
            </w:r>
          </w:p>
        </w:tc>
        <w:tc>
          <w:tcPr>
            <w:tcW w:w="1031" w:type="pct"/>
            <w:tcBorders>
              <w:bottom w:val="single" w:sz="4" w:space="0" w:color="auto"/>
            </w:tcBorders>
          </w:tcPr>
          <w:p w14:paraId="3A381571" w14:textId="1155B2ED" w:rsidR="001646D8" w:rsidRPr="00CE2511" w:rsidRDefault="001646D8" w:rsidP="00CE2511">
            <w:pPr>
              <w:pStyle w:val="TableHeading"/>
              <w:rPr>
                <w:rStyle w:val="Strong"/>
              </w:rPr>
            </w:pPr>
            <w:r w:rsidRPr="00CE2511">
              <w:rPr>
                <w:rStyle w:val="Strong"/>
              </w:rPr>
              <w:t>Next steps</w:t>
            </w:r>
          </w:p>
        </w:tc>
      </w:tr>
      <w:tr w:rsidR="001646D8" w:rsidRPr="00ED7A6E" w14:paraId="4076A011" w14:textId="149B5F54" w:rsidTr="00A12A10">
        <w:tc>
          <w:tcPr>
            <w:tcW w:w="1123" w:type="pct"/>
            <w:tcBorders>
              <w:top w:val="nil"/>
              <w:bottom w:val="single" w:sz="4" w:space="0" w:color="auto"/>
            </w:tcBorders>
          </w:tcPr>
          <w:p w14:paraId="51A60BFA" w14:textId="6C772ECF" w:rsidR="000F15BD" w:rsidRPr="000B0A88" w:rsidRDefault="000F15BD" w:rsidP="001646D8">
            <w:pPr>
              <w:pStyle w:val="TableText"/>
              <w:rPr>
                <w:rStyle w:val="Strong"/>
              </w:rPr>
            </w:pPr>
            <w:bookmarkStart w:id="2" w:name="_Hlk86232053"/>
            <w:r w:rsidRPr="000B0A88">
              <w:rPr>
                <w:rStyle w:val="Strong"/>
              </w:rPr>
              <w:t>Benchmarking</w:t>
            </w:r>
          </w:p>
          <w:p w14:paraId="61E3BFE2" w14:textId="76DB2EF9" w:rsidR="001646D8" w:rsidRPr="000B0A88" w:rsidRDefault="001646D8" w:rsidP="001646D8">
            <w:pPr>
              <w:pStyle w:val="TableText"/>
            </w:pPr>
            <w:r w:rsidRPr="000B0A88">
              <w:t>Data sharing and benchmarking across the supply chain to address information asymmetries and build price indexes. For example, this could include data on:</w:t>
            </w:r>
          </w:p>
          <w:p w14:paraId="79452D85" w14:textId="1A21F3C1" w:rsidR="001646D8" w:rsidRPr="000B0A88" w:rsidRDefault="001646D8" w:rsidP="001646D8">
            <w:pPr>
              <w:pStyle w:val="TableBullet1"/>
            </w:pPr>
            <w:r w:rsidRPr="000B0A88">
              <w:t>prices</w:t>
            </w:r>
          </w:p>
          <w:p w14:paraId="6DF04126" w14:textId="0A1E92B1" w:rsidR="001646D8" w:rsidRPr="000B0A88" w:rsidRDefault="001646D8" w:rsidP="001646D8">
            <w:pPr>
              <w:pStyle w:val="TableBullet1"/>
            </w:pPr>
            <w:r w:rsidRPr="000B0A88">
              <w:t>costs</w:t>
            </w:r>
          </w:p>
          <w:p w14:paraId="35003622" w14:textId="3F823A3F" w:rsidR="001646D8" w:rsidRPr="000B0A88" w:rsidRDefault="001646D8" w:rsidP="001646D8">
            <w:pPr>
              <w:pStyle w:val="TableBullet1"/>
            </w:pPr>
            <w:r w:rsidRPr="000B0A88">
              <w:t>debt levels</w:t>
            </w:r>
          </w:p>
          <w:p w14:paraId="64297C68" w14:textId="083849CA" w:rsidR="001646D8" w:rsidRPr="000B0A88" w:rsidRDefault="001646D8" w:rsidP="001646D8">
            <w:pPr>
              <w:pStyle w:val="TableBullet1"/>
            </w:pPr>
            <w:r w:rsidRPr="000B0A88">
              <w:t>contract lengths and renewals.</w:t>
            </w:r>
          </w:p>
          <w:p w14:paraId="26969B9E" w14:textId="77777777" w:rsidR="001646D8" w:rsidRPr="000B0A88" w:rsidRDefault="001646D8" w:rsidP="001646D8">
            <w:pPr>
              <w:pStyle w:val="TableText"/>
            </w:pPr>
            <w:r w:rsidRPr="000B0A88">
              <w:t>Data would be de-identified and aggregated to provide a layer of security and commercial confidentiality for all parties.</w:t>
            </w:r>
          </w:p>
          <w:p w14:paraId="7ADCBD35" w14:textId="77777777" w:rsidR="001646D8" w:rsidRPr="000B0A88" w:rsidRDefault="001646D8" w:rsidP="001646D8">
            <w:pPr>
              <w:pStyle w:val="TableText"/>
            </w:pPr>
            <w:r w:rsidRPr="000B0A88">
              <w:t>Benchmarking could be dynamic based on live data or static based on data collected annually. It may need to start as a basic tool and build on the data over time.</w:t>
            </w:r>
          </w:p>
          <w:p w14:paraId="01539F08" w14:textId="77777777" w:rsidR="001646D8" w:rsidRPr="000B0A88" w:rsidRDefault="001646D8" w:rsidP="001646D8">
            <w:pPr>
              <w:pStyle w:val="TableText"/>
            </w:pPr>
            <w:r w:rsidRPr="000B0A88">
              <w:t>Two examples in the dairy industry could provide guidance on an appropriate tool, depending on whether the project is enabled by a code of conduct:</w:t>
            </w:r>
          </w:p>
          <w:p w14:paraId="46103E49" w14:textId="77777777" w:rsidR="001646D8" w:rsidRPr="000B0A88" w:rsidRDefault="001646D8" w:rsidP="001646D8">
            <w:pPr>
              <w:pStyle w:val="TableBullet1"/>
            </w:pPr>
            <w:r w:rsidRPr="000B0A88">
              <w:t>The Dairy Farm Monitor Project</w:t>
            </w:r>
          </w:p>
          <w:p w14:paraId="607CCE92" w14:textId="626B6E7F" w:rsidR="001646D8" w:rsidRPr="000B0A88" w:rsidRDefault="001646D8" w:rsidP="001646D8">
            <w:pPr>
              <w:pStyle w:val="TableBullet1"/>
            </w:pPr>
            <w:r w:rsidRPr="000B0A88">
              <w:t>The Milk Value Portal</w:t>
            </w:r>
            <w:bookmarkEnd w:id="2"/>
          </w:p>
        </w:tc>
        <w:tc>
          <w:tcPr>
            <w:tcW w:w="1573" w:type="pct"/>
            <w:tcBorders>
              <w:top w:val="nil"/>
              <w:bottom w:val="single" w:sz="4" w:space="0" w:color="auto"/>
            </w:tcBorders>
          </w:tcPr>
          <w:p w14:paraId="15C1BAE3" w14:textId="57BE5ACA" w:rsidR="001646D8" w:rsidRPr="001646D8" w:rsidRDefault="001646D8" w:rsidP="00C40350">
            <w:pPr>
              <w:pStyle w:val="TableText"/>
            </w:pPr>
            <w:bookmarkStart w:id="3" w:name="_Hlk86232172"/>
            <w:r w:rsidRPr="00C40350">
              <w:rPr>
                <w:rStyle w:val="Strong"/>
              </w:rPr>
              <w:t>Purpose</w:t>
            </w:r>
          </w:p>
          <w:p w14:paraId="442B5208" w14:textId="0C692780" w:rsidR="001646D8" w:rsidRDefault="001646D8" w:rsidP="001646D8">
            <w:pPr>
              <w:pStyle w:val="TableText"/>
            </w:pPr>
            <w:r>
              <w:t>Address information asymmetries across the supply chain, including greater transparency about who is paying for different costs.</w:t>
            </w:r>
          </w:p>
          <w:p w14:paraId="4CF6E641" w14:textId="77777777" w:rsidR="001646D8" w:rsidRDefault="001646D8" w:rsidP="001646D8">
            <w:pPr>
              <w:pStyle w:val="TableText"/>
            </w:pPr>
            <w:r>
              <w:t>Provide a fairer playing ground with increased understanding of price signals, tenure, returns on investment.</w:t>
            </w:r>
          </w:p>
          <w:p w14:paraId="36EC344A" w14:textId="77777777" w:rsidR="001646D8" w:rsidRDefault="001646D8" w:rsidP="001646D8">
            <w:pPr>
              <w:pStyle w:val="TableText"/>
            </w:pPr>
            <w:r>
              <w:t>Produce publication of data identifying lines of profitability.</w:t>
            </w:r>
          </w:p>
          <w:p w14:paraId="1E9ECB35" w14:textId="77777777" w:rsidR="001646D8" w:rsidRDefault="001646D8" w:rsidP="001646D8">
            <w:pPr>
              <w:pStyle w:val="TableText"/>
            </w:pPr>
            <w:r>
              <w:t>Provide data that helps governments to design policy and industry support.</w:t>
            </w:r>
          </w:p>
          <w:p w14:paraId="4CE67F4E" w14:textId="1DCE9693" w:rsidR="001646D8" w:rsidRPr="00CF1A89" w:rsidRDefault="001646D8" w:rsidP="009E6953">
            <w:pPr>
              <w:pStyle w:val="TableText"/>
              <w:spacing w:before="200"/>
              <w:rPr>
                <w:rStyle w:val="Strong"/>
              </w:rPr>
            </w:pPr>
            <w:r w:rsidRPr="00CF1A89">
              <w:rPr>
                <w:rStyle w:val="Strong"/>
              </w:rPr>
              <w:t>Risks and mitigations</w:t>
            </w:r>
          </w:p>
          <w:p w14:paraId="41AE9F04" w14:textId="59084F2F" w:rsidR="001646D8" w:rsidRDefault="001646D8" w:rsidP="001646D8">
            <w:pPr>
              <w:pStyle w:val="TableText"/>
            </w:pPr>
            <w:r>
              <w:t>Won’t address many of the problems in the industry, such as the complexity of contracts and security of tenure</w:t>
            </w:r>
            <w:r w:rsidR="00EF38CA" w:rsidRPr="00133711">
              <w:t xml:space="preserve"> </w:t>
            </w:r>
            <w:r w:rsidR="00EF38CA">
              <w:t xml:space="preserve">– </w:t>
            </w:r>
            <w:r>
              <w:t>mitigated by a code of conduct</w:t>
            </w:r>
            <w:r w:rsidR="00EF38CA">
              <w:t>.</w:t>
            </w:r>
          </w:p>
          <w:p w14:paraId="63172176" w14:textId="1EC06C93" w:rsidR="001646D8" w:rsidRDefault="001646D8" w:rsidP="001646D8">
            <w:pPr>
              <w:pStyle w:val="TableText"/>
            </w:pPr>
            <w:r>
              <w:t>Data holders may not be willing to share data</w:t>
            </w:r>
            <w:r w:rsidR="00EF38CA" w:rsidRPr="00133711">
              <w:t xml:space="preserve"> </w:t>
            </w:r>
            <w:r w:rsidR="00EF38CA">
              <w:t xml:space="preserve">– </w:t>
            </w:r>
            <w:r>
              <w:t>mitigation includes mandated in a code of conduct or incentivised by working towards a benchmarking tool that provides benefits across the industry.</w:t>
            </w:r>
          </w:p>
          <w:p w14:paraId="096B90E0" w14:textId="47DB002C" w:rsidR="001646D8" w:rsidRDefault="001646D8" w:rsidP="001646D8">
            <w:pPr>
              <w:pStyle w:val="TableText"/>
            </w:pPr>
            <w:r>
              <w:t>Accuracy of data</w:t>
            </w:r>
            <w:r w:rsidR="00EF38CA" w:rsidRPr="00133711">
              <w:t xml:space="preserve"> </w:t>
            </w:r>
            <w:r w:rsidR="00EF38CA">
              <w:t xml:space="preserve">– </w:t>
            </w:r>
            <w:r>
              <w:t>mitigated by publishing the data (accountability) and de-identification of data.</w:t>
            </w:r>
          </w:p>
          <w:p w14:paraId="7EA18F27" w14:textId="3CF9CE54" w:rsidR="001646D8" w:rsidRPr="001646D8" w:rsidRDefault="001646D8" w:rsidP="009E6953">
            <w:pPr>
              <w:pStyle w:val="TableText"/>
              <w:spacing w:before="200"/>
            </w:pPr>
            <w:r w:rsidRPr="00C40350">
              <w:rPr>
                <w:rStyle w:val="Strong"/>
              </w:rPr>
              <w:t>Benefits</w:t>
            </w:r>
          </w:p>
          <w:p w14:paraId="16FDCAB3" w14:textId="77777777" w:rsidR="001646D8" w:rsidRDefault="001646D8" w:rsidP="001646D8">
            <w:pPr>
              <w:pStyle w:val="TableText"/>
            </w:pPr>
            <w:r>
              <w:t>One element of a toolkit to solve bigger problems in price transparency.</w:t>
            </w:r>
          </w:p>
          <w:p w14:paraId="2155EE80" w14:textId="77777777" w:rsidR="001646D8" w:rsidRDefault="001646D8" w:rsidP="001646D8">
            <w:pPr>
              <w:pStyle w:val="TableText"/>
            </w:pPr>
            <w:r>
              <w:t>Addresses information asymmetries.</w:t>
            </w:r>
          </w:p>
          <w:p w14:paraId="2F0D8FD5" w14:textId="78AB6430" w:rsidR="001646D8" w:rsidRPr="00ED7A6E" w:rsidRDefault="001646D8" w:rsidP="001646D8">
            <w:pPr>
              <w:pStyle w:val="TableText"/>
            </w:pPr>
            <w:r>
              <w:t>Demonstrates unfairness in the industry, for example different pricing for growers in different states, thus enabling more balanced approach nationally.</w:t>
            </w:r>
            <w:bookmarkEnd w:id="3"/>
          </w:p>
        </w:tc>
        <w:tc>
          <w:tcPr>
            <w:tcW w:w="1273" w:type="pct"/>
            <w:tcBorders>
              <w:top w:val="nil"/>
              <w:bottom w:val="single" w:sz="4" w:space="0" w:color="auto"/>
            </w:tcBorders>
          </w:tcPr>
          <w:p w14:paraId="5785FCCC" w14:textId="3CADEE5F" w:rsidR="001646D8" w:rsidRPr="001646D8" w:rsidRDefault="001646D8" w:rsidP="00C40350">
            <w:pPr>
              <w:pStyle w:val="TableText"/>
            </w:pPr>
            <w:r w:rsidRPr="00C40350">
              <w:rPr>
                <w:rStyle w:val="Strong"/>
              </w:rPr>
              <w:t>Stakeholders</w:t>
            </w:r>
          </w:p>
          <w:p w14:paraId="4A401099" w14:textId="77777777" w:rsidR="001646D8" w:rsidRDefault="001646D8" w:rsidP="001646D8">
            <w:pPr>
              <w:pStyle w:val="TableText"/>
            </w:pPr>
            <w:r>
              <w:t>The project could be taken forward by the National Farmers Federation and the Australian Chicken Growers Council, working with their state bodies.</w:t>
            </w:r>
          </w:p>
          <w:p w14:paraId="16C9AC67" w14:textId="77777777" w:rsidR="001646D8" w:rsidRDefault="001646D8" w:rsidP="001646D8">
            <w:pPr>
              <w:pStyle w:val="TableText"/>
            </w:pPr>
            <w:r>
              <w:t>Consultation and collaboration with Commonwealth and State agriculture departments during the development stage.</w:t>
            </w:r>
          </w:p>
          <w:p w14:paraId="51E7B7B2" w14:textId="77777777" w:rsidR="001646D8" w:rsidRDefault="001646D8" w:rsidP="001646D8">
            <w:pPr>
              <w:pStyle w:val="TableText"/>
            </w:pPr>
            <w:r>
              <w:t>Consultation and collaboration with processors, retailers, and the food service sector, who hold much of the data.</w:t>
            </w:r>
          </w:p>
          <w:p w14:paraId="417EFE0E" w14:textId="78324E7B" w:rsidR="001646D8" w:rsidRPr="001646D8" w:rsidRDefault="001646D8" w:rsidP="009E6953">
            <w:pPr>
              <w:pStyle w:val="TableText"/>
              <w:spacing w:before="200"/>
            </w:pPr>
            <w:r w:rsidRPr="00C40350">
              <w:rPr>
                <w:rStyle w:val="Strong"/>
              </w:rPr>
              <w:t>Resourcing</w:t>
            </w:r>
          </w:p>
          <w:p w14:paraId="3FE5497C" w14:textId="14110E3C" w:rsidR="001646D8" w:rsidRDefault="001646D8" w:rsidP="001646D8">
            <w:pPr>
              <w:pStyle w:val="TableText"/>
            </w:pPr>
            <w:r>
              <w:t>Much of the data is unavailable publicly, but some available information includes pool system prices</w:t>
            </w:r>
            <w:r w:rsidR="00EB7FD4" w:rsidRPr="00133711">
              <w:t xml:space="preserve"> </w:t>
            </w:r>
            <w:r w:rsidR="00EB7FD4">
              <w:t xml:space="preserve">– </w:t>
            </w:r>
            <w:r>
              <w:t>annual figure. Industry bodies such as the VFF hold information on initial capital investment and potential return.</w:t>
            </w:r>
          </w:p>
          <w:p w14:paraId="5A40F130" w14:textId="77777777" w:rsidR="001646D8" w:rsidRDefault="001646D8" w:rsidP="001646D8">
            <w:pPr>
              <w:pStyle w:val="TableText"/>
            </w:pPr>
            <w:r>
              <w:t>Processors hold information across the supply chain with each company holding their own information.</w:t>
            </w:r>
          </w:p>
          <w:p w14:paraId="0871A1CC" w14:textId="77777777" w:rsidR="001646D8" w:rsidRDefault="001646D8" w:rsidP="001646D8">
            <w:pPr>
              <w:pStyle w:val="TableText"/>
            </w:pPr>
            <w:r>
              <w:t>Opportunity to partner with retailers and the food service sector for data inputs.</w:t>
            </w:r>
          </w:p>
          <w:p w14:paraId="0A58BD0B" w14:textId="77777777" w:rsidR="001646D8" w:rsidRDefault="001646D8" w:rsidP="001646D8">
            <w:pPr>
              <w:pStyle w:val="TableText"/>
            </w:pPr>
            <w:r>
              <w:t>Need to provide incentives as well as aggregate and de-identify information to encourage data sharing.</w:t>
            </w:r>
          </w:p>
          <w:p w14:paraId="36539B39" w14:textId="09590FBD" w:rsidR="001646D8" w:rsidRPr="00ED7A6E" w:rsidRDefault="001646D8" w:rsidP="001646D8">
            <w:pPr>
              <w:pStyle w:val="TableText"/>
            </w:pPr>
            <w:r>
              <w:t>Requires further analysis to identify the most useful inputs.</w:t>
            </w:r>
          </w:p>
        </w:tc>
        <w:tc>
          <w:tcPr>
            <w:tcW w:w="1031" w:type="pct"/>
            <w:tcBorders>
              <w:top w:val="nil"/>
              <w:bottom w:val="single" w:sz="4" w:space="0" w:color="auto"/>
            </w:tcBorders>
          </w:tcPr>
          <w:p w14:paraId="55B227E8" w14:textId="77777777" w:rsidR="001646D8" w:rsidRDefault="001646D8" w:rsidP="001646D8">
            <w:pPr>
              <w:pStyle w:val="TableText"/>
            </w:pPr>
            <w:r>
              <w:t>There are no similar initiatives existing in the industry to leverage.</w:t>
            </w:r>
          </w:p>
          <w:p w14:paraId="2EB1E18C" w14:textId="77777777" w:rsidR="001646D8" w:rsidRDefault="001646D8" w:rsidP="001646D8">
            <w:pPr>
              <w:pStyle w:val="TableText"/>
            </w:pPr>
            <w:r>
              <w:t>The first step would be to conduct a cost-benefit analysis.</w:t>
            </w:r>
          </w:p>
          <w:p w14:paraId="27A4D3BD" w14:textId="792691C5" w:rsidR="001646D8" w:rsidRPr="00ED7A6E" w:rsidRDefault="001646D8" w:rsidP="001646D8">
            <w:pPr>
              <w:pStyle w:val="TableText"/>
            </w:pPr>
            <w:r>
              <w:t>Benchmarking would form part of a voluntary or mandatory code of conduct.</w:t>
            </w:r>
          </w:p>
        </w:tc>
      </w:tr>
    </w:tbl>
    <w:p w14:paraId="28249BA8" w14:textId="3234B597" w:rsidR="003238B0" w:rsidRDefault="003238B0" w:rsidP="003238B0">
      <w:pPr>
        <w:spacing w:before="120"/>
      </w:pPr>
    </w:p>
    <w:tbl>
      <w:tblPr>
        <w:tblStyle w:val="PlainTable2"/>
        <w:tblW w:w="5000" w:type="pct"/>
        <w:tblBorders>
          <w:top w:val="single" w:sz="4" w:space="0" w:color="auto"/>
          <w:bottom w:val="single" w:sz="4" w:space="0" w:color="auto"/>
          <w:insideH w:val="single" w:sz="4" w:space="0" w:color="auto"/>
        </w:tblBorders>
        <w:tblLook w:val="0620" w:firstRow="1" w:lastRow="0" w:firstColumn="0" w:lastColumn="0" w:noHBand="1" w:noVBand="1"/>
      </w:tblPr>
      <w:tblGrid>
        <w:gridCol w:w="3120"/>
        <w:gridCol w:w="4583"/>
        <w:gridCol w:w="3637"/>
        <w:gridCol w:w="2946"/>
      </w:tblGrid>
      <w:tr w:rsidR="00EB7BE8" w:rsidRPr="00ED7A6E" w14:paraId="78A112DF" w14:textId="77777777" w:rsidTr="003238B0">
        <w:trPr>
          <w:cnfStyle w:val="100000000000" w:firstRow="1" w:lastRow="0" w:firstColumn="0" w:lastColumn="0" w:oddVBand="0" w:evenVBand="0" w:oddHBand="0" w:evenHBand="0" w:firstRowFirstColumn="0" w:firstRowLastColumn="0" w:lastRowFirstColumn="0" w:lastRowLastColumn="0"/>
        </w:trPr>
        <w:tc>
          <w:tcPr>
            <w:tcW w:w="1092" w:type="pct"/>
            <w:tcBorders>
              <w:top w:val="single" w:sz="4" w:space="0" w:color="auto"/>
              <w:bottom w:val="single" w:sz="4" w:space="0" w:color="auto"/>
            </w:tcBorders>
          </w:tcPr>
          <w:p w14:paraId="16CB4B46" w14:textId="53422EE1" w:rsidR="00EB7BE8" w:rsidRPr="00EB7BE8" w:rsidRDefault="003238B0" w:rsidP="00EB7BE8">
            <w:pPr>
              <w:pStyle w:val="TableHeading"/>
              <w:rPr>
                <w:rStyle w:val="Strong"/>
              </w:rPr>
            </w:pPr>
            <w:r>
              <w:lastRenderedPageBreak/>
              <w:br w:type="page"/>
            </w:r>
            <w:r w:rsidR="003D4CBC" w:rsidRPr="000F15BD">
              <w:rPr>
                <w:rStyle w:val="Strong"/>
              </w:rPr>
              <w:t>Project</w:t>
            </w:r>
          </w:p>
        </w:tc>
        <w:tc>
          <w:tcPr>
            <w:tcW w:w="1604" w:type="pct"/>
            <w:tcBorders>
              <w:top w:val="single" w:sz="4" w:space="0" w:color="auto"/>
              <w:bottom w:val="single" w:sz="4" w:space="0" w:color="auto"/>
            </w:tcBorders>
          </w:tcPr>
          <w:p w14:paraId="10137E98" w14:textId="6E01A121" w:rsidR="00EB7BE8" w:rsidRPr="00EB7BE8" w:rsidRDefault="00EB7BE8" w:rsidP="00EB7BE8">
            <w:pPr>
              <w:pStyle w:val="TableHeading"/>
              <w:rPr>
                <w:rStyle w:val="Strong"/>
              </w:rPr>
            </w:pPr>
            <w:r w:rsidRPr="00EB7BE8">
              <w:rPr>
                <w:rStyle w:val="Strong"/>
              </w:rPr>
              <w:t xml:space="preserve">Key purpose, </w:t>
            </w:r>
            <w:proofErr w:type="gramStart"/>
            <w:r w:rsidRPr="00EB7BE8">
              <w:rPr>
                <w:rStyle w:val="Strong"/>
              </w:rPr>
              <w:t>risks</w:t>
            </w:r>
            <w:proofErr w:type="gramEnd"/>
            <w:r w:rsidRPr="00EB7BE8">
              <w:rPr>
                <w:rStyle w:val="Strong"/>
              </w:rPr>
              <w:t xml:space="preserve"> and benefits</w:t>
            </w:r>
          </w:p>
        </w:tc>
        <w:tc>
          <w:tcPr>
            <w:tcW w:w="1273" w:type="pct"/>
            <w:tcBorders>
              <w:top w:val="single" w:sz="4" w:space="0" w:color="auto"/>
              <w:bottom w:val="single" w:sz="4" w:space="0" w:color="auto"/>
            </w:tcBorders>
          </w:tcPr>
          <w:p w14:paraId="56EC4F9B" w14:textId="4F8F7123" w:rsidR="00EB7BE8" w:rsidRPr="00EB7BE8" w:rsidRDefault="00EB7BE8" w:rsidP="00EB7BE8">
            <w:pPr>
              <w:pStyle w:val="TableHeading"/>
              <w:rPr>
                <w:rStyle w:val="Strong"/>
              </w:rPr>
            </w:pPr>
            <w:r w:rsidRPr="00EB7BE8">
              <w:rPr>
                <w:rStyle w:val="Strong"/>
              </w:rPr>
              <w:t>Stakeholders and resourcing</w:t>
            </w:r>
          </w:p>
        </w:tc>
        <w:tc>
          <w:tcPr>
            <w:tcW w:w="1031" w:type="pct"/>
            <w:tcBorders>
              <w:top w:val="single" w:sz="4" w:space="0" w:color="auto"/>
              <w:bottom w:val="single" w:sz="4" w:space="0" w:color="auto"/>
            </w:tcBorders>
          </w:tcPr>
          <w:p w14:paraId="42B6C49A" w14:textId="4CF4392F" w:rsidR="00EB7BE8" w:rsidRPr="00EB7BE8" w:rsidRDefault="00EB7BE8" w:rsidP="00EB7BE8">
            <w:pPr>
              <w:pStyle w:val="TableHeading"/>
              <w:rPr>
                <w:rStyle w:val="Strong"/>
              </w:rPr>
            </w:pPr>
            <w:r w:rsidRPr="00EB7BE8">
              <w:rPr>
                <w:rStyle w:val="Strong"/>
              </w:rPr>
              <w:t>Next steps</w:t>
            </w:r>
          </w:p>
        </w:tc>
      </w:tr>
      <w:tr w:rsidR="001646D8" w:rsidRPr="00ED7A6E" w14:paraId="1F9F7C0F" w14:textId="795BB24E" w:rsidTr="003238B0">
        <w:tc>
          <w:tcPr>
            <w:tcW w:w="1092" w:type="pct"/>
            <w:tcBorders>
              <w:top w:val="single" w:sz="4" w:space="0" w:color="auto"/>
            </w:tcBorders>
          </w:tcPr>
          <w:p w14:paraId="7926F89B" w14:textId="563741E6" w:rsidR="000F15BD" w:rsidRPr="000F15BD" w:rsidRDefault="000F15BD" w:rsidP="001646D8">
            <w:pPr>
              <w:pStyle w:val="TableText"/>
              <w:rPr>
                <w:rStyle w:val="Strong"/>
              </w:rPr>
            </w:pPr>
            <w:r w:rsidRPr="000F15BD">
              <w:rPr>
                <w:rStyle w:val="Strong"/>
              </w:rPr>
              <w:t xml:space="preserve">Code of </w:t>
            </w:r>
            <w:r w:rsidR="00D574F9">
              <w:rPr>
                <w:rStyle w:val="Strong"/>
              </w:rPr>
              <w:t>c</w:t>
            </w:r>
            <w:r w:rsidRPr="000F15BD">
              <w:rPr>
                <w:rStyle w:val="Strong"/>
              </w:rPr>
              <w:t>onduct</w:t>
            </w:r>
          </w:p>
          <w:p w14:paraId="724666BB" w14:textId="615E4918" w:rsidR="001646D8" w:rsidRPr="00133711" w:rsidRDefault="001646D8" w:rsidP="001646D8">
            <w:pPr>
              <w:pStyle w:val="TableText"/>
            </w:pPr>
            <w:r w:rsidRPr="00133711">
              <w:t xml:space="preserve">A code of conduct would be based on risk apportionment and principles of fairness and acting in good faith. </w:t>
            </w:r>
          </w:p>
          <w:p w14:paraId="11DFF9FD" w14:textId="77777777" w:rsidR="001646D8" w:rsidRPr="00133711" w:rsidRDefault="001646D8" w:rsidP="001646D8">
            <w:pPr>
              <w:pStyle w:val="TableText"/>
            </w:pPr>
            <w:r w:rsidRPr="00133711">
              <w:t>Specifically, it could include minimum terms for contracts, such as:</w:t>
            </w:r>
          </w:p>
          <w:p w14:paraId="588621AC" w14:textId="18787163" w:rsidR="001646D8" w:rsidRPr="00133711" w:rsidRDefault="001646D8" w:rsidP="001646D8">
            <w:pPr>
              <w:pStyle w:val="TableBullet1"/>
            </w:pPr>
            <w:r w:rsidRPr="00133711">
              <w:t>pool payment system terms</w:t>
            </w:r>
          </w:p>
          <w:p w14:paraId="2CC69741" w14:textId="5FA28EA5" w:rsidR="001646D8" w:rsidRPr="00133711" w:rsidRDefault="001646D8" w:rsidP="001646D8">
            <w:pPr>
              <w:pStyle w:val="TableBullet1"/>
            </w:pPr>
            <w:r w:rsidRPr="00133711">
              <w:t>minimum pricing</w:t>
            </w:r>
          </w:p>
          <w:p w14:paraId="59A5754C" w14:textId="1C4213F8" w:rsidR="001646D8" w:rsidRPr="00133711" w:rsidRDefault="001646D8" w:rsidP="001646D8">
            <w:pPr>
              <w:pStyle w:val="TableBullet1"/>
            </w:pPr>
            <w:r w:rsidRPr="00133711">
              <w:t>termination of contracts</w:t>
            </w:r>
          </w:p>
          <w:p w14:paraId="3B91D8E6" w14:textId="0BE3F973" w:rsidR="001646D8" w:rsidRPr="00133711" w:rsidRDefault="001646D8" w:rsidP="001646D8">
            <w:pPr>
              <w:pStyle w:val="TableBullet1"/>
            </w:pPr>
            <w:r w:rsidRPr="00133711">
              <w:t>quality assessments</w:t>
            </w:r>
          </w:p>
          <w:p w14:paraId="653AC5CC" w14:textId="5482C96B" w:rsidR="001646D8" w:rsidRPr="00133711" w:rsidRDefault="001646D8" w:rsidP="001646D8">
            <w:pPr>
              <w:pStyle w:val="TableBullet1"/>
            </w:pPr>
            <w:r w:rsidRPr="00133711">
              <w:t>payments for facility upgrades/maintenance.</w:t>
            </w:r>
          </w:p>
          <w:p w14:paraId="1AC2FF93" w14:textId="77777777" w:rsidR="001646D8" w:rsidRPr="00133711" w:rsidRDefault="001646D8" w:rsidP="001646D8">
            <w:pPr>
              <w:pStyle w:val="TableText"/>
            </w:pPr>
            <w:r w:rsidRPr="00133711">
              <w:t>The code may also include a standard contract.</w:t>
            </w:r>
          </w:p>
          <w:p w14:paraId="45D3636C" w14:textId="77777777" w:rsidR="001646D8" w:rsidRPr="00133711" w:rsidRDefault="001646D8" w:rsidP="001646D8">
            <w:pPr>
              <w:pStyle w:val="TableText"/>
            </w:pPr>
            <w:r w:rsidRPr="00133711">
              <w:t>Other matters which the code would likely deal with include:</w:t>
            </w:r>
          </w:p>
          <w:p w14:paraId="599A08D7" w14:textId="212CA16D" w:rsidR="001646D8" w:rsidRPr="00133711" w:rsidRDefault="001646D8" w:rsidP="001646D8">
            <w:pPr>
              <w:pStyle w:val="TableBullet1"/>
            </w:pPr>
            <w:r w:rsidRPr="00133711">
              <w:t>provision of an adequate dispute resolution and an arbitration mechanism</w:t>
            </w:r>
          </w:p>
          <w:p w14:paraId="0551FB72" w14:textId="45F639F2" w:rsidR="001646D8" w:rsidRPr="00133711" w:rsidRDefault="001646D8" w:rsidP="001646D8">
            <w:pPr>
              <w:pStyle w:val="TableBullet1"/>
            </w:pPr>
            <w:r w:rsidRPr="00133711">
              <w:t xml:space="preserve">provision of historical data reported annually </w:t>
            </w:r>
            <w:r w:rsidR="00AA5ABF">
              <w:t xml:space="preserve">– </w:t>
            </w:r>
            <w:r w:rsidRPr="00133711">
              <w:t>price points and price data enabling benchmarking</w:t>
            </w:r>
          </w:p>
          <w:p w14:paraId="21E77528" w14:textId="63708E5B" w:rsidR="001646D8" w:rsidRPr="00133711" w:rsidRDefault="001646D8" w:rsidP="001646D8">
            <w:pPr>
              <w:pStyle w:val="TableBullet1"/>
              <w:rPr>
                <w:b/>
                <w:bCs/>
              </w:rPr>
            </w:pPr>
            <w:r w:rsidRPr="00133711">
              <w:t>details for engaging with collective bargaining.</w:t>
            </w:r>
          </w:p>
        </w:tc>
        <w:tc>
          <w:tcPr>
            <w:tcW w:w="1604" w:type="pct"/>
            <w:tcBorders>
              <w:top w:val="single" w:sz="4" w:space="0" w:color="auto"/>
            </w:tcBorders>
          </w:tcPr>
          <w:p w14:paraId="0DA0794E" w14:textId="1AC9E5A7" w:rsidR="001646D8" w:rsidRPr="006C401F" w:rsidRDefault="001646D8" w:rsidP="001646D8">
            <w:pPr>
              <w:pStyle w:val="TableText"/>
              <w:rPr>
                <w:rStyle w:val="Strong"/>
              </w:rPr>
            </w:pPr>
            <w:r w:rsidRPr="006C401F">
              <w:rPr>
                <w:rStyle w:val="Strong"/>
              </w:rPr>
              <w:t>Purpose</w:t>
            </w:r>
          </w:p>
          <w:p w14:paraId="605A4E65" w14:textId="75D95657" w:rsidR="001646D8" w:rsidRPr="00133711" w:rsidRDefault="001646D8" w:rsidP="001646D8">
            <w:pPr>
              <w:pStyle w:val="TableText"/>
            </w:pPr>
            <w:r w:rsidRPr="00133711">
              <w:t>Appropriate risk apportioning between different stakeholders that would:</w:t>
            </w:r>
          </w:p>
          <w:p w14:paraId="037E6737" w14:textId="68B794A4" w:rsidR="001646D8" w:rsidRPr="00133711" w:rsidRDefault="001646D8" w:rsidP="00CE02CB">
            <w:pPr>
              <w:pStyle w:val="TableBullet1"/>
            </w:pPr>
            <w:r w:rsidRPr="00133711">
              <w:t>protect growers against retribution</w:t>
            </w:r>
          </w:p>
          <w:p w14:paraId="234A5963" w14:textId="334A7C09" w:rsidR="001646D8" w:rsidRPr="00133711" w:rsidRDefault="001646D8" w:rsidP="00CE02CB">
            <w:pPr>
              <w:pStyle w:val="TableBullet1"/>
            </w:pPr>
            <w:r w:rsidRPr="00133711">
              <w:t>provide oversight on contracts and removal of potentially unfair contract terms</w:t>
            </w:r>
          </w:p>
          <w:p w14:paraId="7653EB7A" w14:textId="4E88ACBC" w:rsidR="001646D8" w:rsidRPr="00133711" w:rsidRDefault="001646D8" w:rsidP="00CE02CB">
            <w:pPr>
              <w:pStyle w:val="TableBullet1"/>
            </w:pPr>
            <w:r w:rsidRPr="00133711">
              <w:t>regulate industry contracts and clarity for growers on pricing and future investment</w:t>
            </w:r>
          </w:p>
          <w:p w14:paraId="0C7D9039" w14:textId="76D18BBC" w:rsidR="001646D8" w:rsidRPr="00133711" w:rsidRDefault="001646D8" w:rsidP="00CE02CB">
            <w:pPr>
              <w:pStyle w:val="TableBullet1"/>
            </w:pPr>
            <w:r w:rsidRPr="00133711">
              <w:t>create price transparency across whole supply chain.</w:t>
            </w:r>
          </w:p>
          <w:p w14:paraId="48129992" w14:textId="5B6DB4BC" w:rsidR="001646D8" w:rsidRPr="006C401F" w:rsidRDefault="001646D8" w:rsidP="003238B0">
            <w:pPr>
              <w:pStyle w:val="TableText"/>
              <w:spacing w:before="120"/>
              <w:rPr>
                <w:rStyle w:val="Strong"/>
              </w:rPr>
            </w:pPr>
            <w:r w:rsidRPr="006C401F">
              <w:rPr>
                <w:rStyle w:val="Strong"/>
              </w:rPr>
              <w:t>Risks and mitigations</w:t>
            </w:r>
          </w:p>
          <w:p w14:paraId="0C9A5F18" w14:textId="54265506" w:rsidR="001646D8" w:rsidRPr="00133711" w:rsidRDefault="001646D8" w:rsidP="001646D8">
            <w:pPr>
              <w:pStyle w:val="TableText"/>
            </w:pPr>
            <w:r w:rsidRPr="00133711">
              <w:t>Processors not supplying price data</w:t>
            </w:r>
            <w:r w:rsidR="00A24626" w:rsidRPr="00133711">
              <w:t xml:space="preserve"> </w:t>
            </w:r>
            <w:r w:rsidR="00A24626">
              <w:t xml:space="preserve">– </w:t>
            </w:r>
            <w:r w:rsidRPr="00133711">
              <w:t>mitigated by aggregating data.</w:t>
            </w:r>
          </w:p>
          <w:p w14:paraId="193EC229" w14:textId="499AF1DA" w:rsidR="001646D8" w:rsidRPr="00133711" w:rsidRDefault="001646D8" w:rsidP="001646D8">
            <w:pPr>
              <w:pStyle w:val="TableText"/>
            </w:pPr>
            <w:r w:rsidRPr="00133711">
              <w:t>No action or change from a voluntary code</w:t>
            </w:r>
            <w:r w:rsidR="00A24626" w:rsidRPr="00133711">
              <w:t xml:space="preserve"> </w:t>
            </w:r>
            <w:r w:rsidR="00A24626">
              <w:t xml:space="preserve">– </w:t>
            </w:r>
            <w:r w:rsidRPr="00133711">
              <w:t>mitigated by a mandatory code.</w:t>
            </w:r>
          </w:p>
          <w:p w14:paraId="17AB5957" w14:textId="314A53E6" w:rsidR="001646D8" w:rsidRPr="00133711" w:rsidRDefault="001646D8" w:rsidP="001646D8">
            <w:pPr>
              <w:pStyle w:val="TableText"/>
            </w:pPr>
            <w:r w:rsidRPr="00133711">
              <w:t>Watered down code</w:t>
            </w:r>
            <w:r w:rsidR="00A24626" w:rsidRPr="00133711">
              <w:t xml:space="preserve"> </w:t>
            </w:r>
            <w:r w:rsidR="00A24626">
              <w:t xml:space="preserve">– </w:t>
            </w:r>
            <w:r w:rsidRPr="00133711">
              <w:t>mitigated by ensuring government is at the table.</w:t>
            </w:r>
          </w:p>
          <w:p w14:paraId="238F2C29" w14:textId="73DBF2F8" w:rsidR="001646D8" w:rsidRPr="00133711" w:rsidRDefault="001646D8" w:rsidP="001646D8">
            <w:pPr>
              <w:pStyle w:val="TableText"/>
            </w:pPr>
            <w:r w:rsidRPr="00133711">
              <w:t>Mandatory code does not have compulsion for post-contractual arbitration</w:t>
            </w:r>
            <w:r w:rsidR="00A24626" w:rsidRPr="00133711">
              <w:t xml:space="preserve"> </w:t>
            </w:r>
            <w:r w:rsidR="00A24626">
              <w:t xml:space="preserve">– </w:t>
            </w:r>
            <w:r w:rsidRPr="00133711">
              <w:t>possible mitigation would relate to code contract terms including arbitration mechanisms.</w:t>
            </w:r>
          </w:p>
          <w:p w14:paraId="469DD44C" w14:textId="39FAF42B" w:rsidR="001646D8" w:rsidRPr="00133711" w:rsidRDefault="001646D8" w:rsidP="001646D8">
            <w:pPr>
              <w:pStyle w:val="TableText"/>
            </w:pPr>
            <w:r w:rsidRPr="00133711">
              <w:t xml:space="preserve">Unfair contract conditions imposed </w:t>
            </w:r>
            <w:r w:rsidR="00A24626">
              <w:t xml:space="preserve">– </w:t>
            </w:r>
            <w:r w:rsidRPr="00133711">
              <w:t>mitigation could include standard contracts.</w:t>
            </w:r>
          </w:p>
          <w:p w14:paraId="2FE63250" w14:textId="2B124428" w:rsidR="001646D8" w:rsidRPr="00C40350" w:rsidRDefault="001646D8" w:rsidP="009E6953">
            <w:pPr>
              <w:pStyle w:val="TableText"/>
              <w:spacing w:before="120"/>
              <w:rPr>
                <w:rStyle w:val="Strong"/>
              </w:rPr>
            </w:pPr>
            <w:r w:rsidRPr="00C40350">
              <w:rPr>
                <w:rStyle w:val="Strong"/>
              </w:rPr>
              <w:t>Benefits</w:t>
            </w:r>
          </w:p>
          <w:p w14:paraId="2D250493" w14:textId="77777777" w:rsidR="001646D8" w:rsidRPr="00133711" w:rsidRDefault="001646D8" w:rsidP="001646D8">
            <w:pPr>
              <w:pStyle w:val="TableText"/>
            </w:pPr>
            <w:r w:rsidRPr="00133711">
              <w:t>A code of conduct would:</w:t>
            </w:r>
          </w:p>
          <w:p w14:paraId="002D4942" w14:textId="41DCDC91" w:rsidR="001646D8" w:rsidRPr="00133711" w:rsidRDefault="001646D8" w:rsidP="00CE02CB">
            <w:pPr>
              <w:pStyle w:val="TableBullet1"/>
            </w:pPr>
            <w:r w:rsidRPr="00133711">
              <w:t>create a fair market which in turn creates willingness to innovate and invest</w:t>
            </w:r>
            <w:r w:rsidR="00A24626" w:rsidRPr="00133711">
              <w:t xml:space="preserve"> </w:t>
            </w:r>
            <w:r w:rsidR="00A24626">
              <w:t xml:space="preserve">– </w:t>
            </w:r>
            <w:r w:rsidRPr="00133711">
              <w:t>decrease in investment cost</w:t>
            </w:r>
          </w:p>
          <w:p w14:paraId="646011E3" w14:textId="6F03CB4C" w:rsidR="001646D8" w:rsidRPr="00133711" w:rsidRDefault="001646D8" w:rsidP="00CE02CB">
            <w:pPr>
              <w:pStyle w:val="TableBullet1"/>
            </w:pPr>
            <w:r w:rsidRPr="00133711">
              <w:t>manage risks appropriately making the supply chain more efficient</w:t>
            </w:r>
          </w:p>
          <w:p w14:paraId="549B120C" w14:textId="7A183F66" w:rsidR="001646D8" w:rsidRPr="00133711" w:rsidRDefault="001646D8" w:rsidP="00CE02CB">
            <w:pPr>
              <w:pStyle w:val="TableBullet1"/>
            </w:pPr>
            <w:r w:rsidRPr="00133711">
              <w:t>improve transparency and profit distribution across supply chain</w:t>
            </w:r>
          </w:p>
          <w:p w14:paraId="47865639" w14:textId="277B547F" w:rsidR="001646D8" w:rsidRPr="00133711" w:rsidRDefault="001646D8" w:rsidP="00CE02CB">
            <w:pPr>
              <w:pStyle w:val="TableBullet1"/>
            </w:pPr>
            <w:r w:rsidRPr="00133711">
              <w:t>improve time management through less requirement for lengthy negotiations.</w:t>
            </w:r>
          </w:p>
        </w:tc>
        <w:tc>
          <w:tcPr>
            <w:tcW w:w="1273" w:type="pct"/>
            <w:tcBorders>
              <w:top w:val="single" w:sz="4" w:space="0" w:color="auto"/>
            </w:tcBorders>
          </w:tcPr>
          <w:p w14:paraId="0C51F1BB" w14:textId="77777777" w:rsidR="001646D8" w:rsidRPr="00C40350" w:rsidRDefault="001646D8" w:rsidP="00C40350">
            <w:pPr>
              <w:pStyle w:val="TableText"/>
              <w:rPr>
                <w:rStyle w:val="Strong"/>
              </w:rPr>
            </w:pPr>
            <w:r w:rsidRPr="00C40350">
              <w:rPr>
                <w:rStyle w:val="Strong"/>
              </w:rPr>
              <w:t>Stakeholders</w:t>
            </w:r>
          </w:p>
          <w:p w14:paraId="13DBC324" w14:textId="77777777" w:rsidR="00AA5ABF" w:rsidRDefault="00AA5ABF" w:rsidP="00AA5ABF">
            <w:pPr>
              <w:pStyle w:val="TableText"/>
            </w:pPr>
            <w:r>
              <w:t>Government stakeholders identified for being involved in the development and management of a code:</w:t>
            </w:r>
          </w:p>
          <w:p w14:paraId="5EA99E49" w14:textId="77777777" w:rsidR="00AA5ABF" w:rsidRDefault="00AA5ABF" w:rsidP="00AA5ABF">
            <w:pPr>
              <w:pStyle w:val="TableBullet1"/>
            </w:pPr>
            <w:r>
              <w:t xml:space="preserve">Department of Agriculture, </w:t>
            </w:r>
            <w:proofErr w:type="gramStart"/>
            <w:r>
              <w:t>Water</w:t>
            </w:r>
            <w:proofErr w:type="gramEnd"/>
            <w:r>
              <w:t xml:space="preserve"> and the Environment</w:t>
            </w:r>
          </w:p>
          <w:p w14:paraId="771AC5F9" w14:textId="25A2EC43" w:rsidR="00AA5ABF" w:rsidRDefault="00AA5ABF" w:rsidP="00AA5ABF">
            <w:pPr>
              <w:pStyle w:val="TableBullet1"/>
            </w:pPr>
            <w:r>
              <w:t>ACCC</w:t>
            </w:r>
          </w:p>
          <w:p w14:paraId="37E25536" w14:textId="471A45F3" w:rsidR="00AA5ABF" w:rsidRDefault="00AA5ABF" w:rsidP="00AA5ABF">
            <w:pPr>
              <w:pStyle w:val="TableBullet1"/>
            </w:pPr>
            <w:r>
              <w:t>Treasury</w:t>
            </w:r>
          </w:p>
          <w:p w14:paraId="00EBBC82" w14:textId="77777777" w:rsidR="00AA5ABF" w:rsidRDefault="00AA5ABF" w:rsidP="00A24626">
            <w:pPr>
              <w:pStyle w:val="TableText"/>
              <w:spacing w:before="240"/>
            </w:pPr>
            <w:r>
              <w:t>Industry stakeholders identified for collaboration and consultation:</w:t>
            </w:r>
          </w:p>
          <w:p w14:paraId="6EAB6A11" w14:textId="00974BA3" w:rsidR="00AA5ABF" w:rsidRDefault="00AA5ABF" w:rsidP="00A24626">
            <w:pPr>
              <w:pStyle w:val="TableBullet1"/>
            </w:pPr>
            <w:r>
              <w:t>Chicken meat industry supply chain</w:t>
            </w:r>
            <w:r w:rsidR="00A24626">
              <w:t xml:space="preserve"> </w:t>
            </w:r>
            <w:r w:rsidR="00A24626">
              <w:t xml:space="preserve">– </w:t>
            </w:r>
            <w:r w:rsidR="00A24626">
              <w:t>g</w:t>
            </w:r>
            <w:r>
              <w:t>rowers (representative bodies), processors (APIA), retailers</w:t>
            </w:r>
            <w:r w:rsidR="00A24626">
              <w:t>.</w:t>
            </w:r>
          </w:p>
          <w:p w14:paraId="4110F9C6" w14:textId="09A1070C" w:rsidR="00AA5ABF" w:rsidRDefault="00AA5ABF" w:rsidP="00A24626">
            <w:pPr>
              <w:pStyle w:val="TableBullet1"/>
            </w:pPr>
            <w:r>
              <w:t>RSPCA and FREPA (</w:t>
            </w:r>
            <w:proofErr w:type="gramStart"/>
            <w:r>
              <w:t>e.g.</w:t>
            </w:r>
            <w:proofErr w:type="gramEnd"/>
            <w:r>
              <w:t xml:space="preserve"> set standards for upgrading conversion of infrastructure to support free-range production)</w:t>
            </w:r>
          </w:p>
          <w:p w14:paraId="2F4C6030" w14:textId="2DFA3418" w:rsidR="00AA5ABF" w:rsidRDefault="00AA5ABF" w:rsidP="00AA5ABF">
            <w:pPr>
              <w:pStyle w:val="TableBullet1"/>
            </w:pPr>
            <w:r>
              <w:t>Consumer representatives (</w:t>
            </w:r>
            <w:proofErr w:type="gramStart"/>
            <w:r>
              <w:t>e.g.</w:t>
            </w:r>
            <w:proofErr w:type="gramEnd"/>
            <w:r w:rsidR="00D624AD">
              <w:t> </w:t>
            </w:r>
            <w:r>
              <w:t>Choice).</w:t>
            </w:r>
          </w:p>
          <w:p w14:paraId="2012D6E6" w14:textId="657BFF1C" w:rsidR="00AA5ABF" w:rsidRPr="00A24626" w:rsidRDefault="00AA5ABF" w:rsidP="00473C20">
            <w:pPr>
              <w:pStyle w:val="TableText"/>
              <w:spacing w:before="240"/>
              <w:rPr>
                <w:rStyle w:val="Strong"/>
              </w:rPr>
            </w:pPr>
            <w:r w:rsidRPr="00A24626">
              <w:rPr>
                <w:rStyle w:val="Strong"/>
              </w:rPr>
              <w:t>Resourcing</w:t>
            </w:r>
          </w:p>
          <w:p w14:paraId="0DCAF7A5" w14:textId="77777777" w:rsidR="00AA5ABF" w:rsidRDefault="00AA5ABF" w:rsidP="00AA5ABF">
            <w:pPr>
              <w:pStyle w:val="TableText"/>
            </w:pPr>
            <w:r>
              <w:t>Funding and resourcing (skills) required would include:</w:t>
            </w:r>
          </w:p>
          <w:p w14:paraId="3E8B305C" w14:textId="1C9AA2AB" w:rsidR="00AA5ABF" w:rsidRDefault="00AA5ABF" w:rsidP="00AA5ABF">
            <w:pPr>
              <w:pStyle w:val="TableBullet1"/>
            </w:pPr>
            <w:r>
              <w:t>professional legal advice</w:t>
            </w:r>
          </w:p>
          <w:p w14:paraId="7CCB14D5" w14:textId="264DEDC8" w:rsidR="00AA5ABF" w:rsidRDefault="00AA5ABF" w:rsidP="00AA5ABF">
            <w:pPr>
              <w:pStyle w:val="TableBullet1"/>
            </w:pPr>
            <w:r>
              <w:t>facilitation and negotiation</w:t>
            </w:r>
          </w:p>
          <w:p w14:paraId="15EB204C" w14:textId="4EF87113" w:rsidR="00AA5ABF" w:rsidRDefault="00AA5ABF" w:rsidP="00AA5ABF">
            <w:pPr>
              <w:pStyle w:val="TableBullet1"/>
            </w:pPr>
            <w:r>
              <w:t>stakeholder engagement</w:t>
            </w:r>
            <w:r w:rsidR="006B4677" w:rsidRPr="00133711">
              <w:t xml:space="preserve"> </w:t>
            </w:r>
            <w:r w:rsidR="006B4677">
              <w:t xml:space="preserve">– </w:t>
            </w:r>
            <w:r>
              <w:t>to deliver and manage</w:t>
            </w:r>
          </w:p>
          <w:p w14:paraId="07A6A89E" w14:textId="549B0346" w:rsidR="001646D8" w:rsidRPr="00133711" w:rsidRDefault="00AA5ABF" w:rsidP="00AA5ABF">
            <w:pPr>
              <w:pStyle w:val="TableBullet1"/>
            </w:pPr>
            <w:r>
              <w:t>project management/communication.</w:t>
            </w:r>
          </w:p>
        </w:tc>
        <w:tc>
          <w:tcPr>
            <w:tcW w:w="1031" w:type="pct"/>
            <w:tcBorders>
              <w:top w:val="single" w:sz="4" w:space="0" w:color="auto"/>
            </w:tcBorders>
          </w:tcPr>
          <w:p w14:paraId="18D68122" w14:textId="77777777" w:rsidR="00CE02CB" w:rsidRPr="00133711" w:rsidRDefault="00CE02CB" w:rsidP="00CE02CB">
            <w:pPr>
              <w:pStyle w:val="TableText"/>
            </w:pPr>
            <w:r w:rsidRPr="00133711">
              <w:t>The group noted it’s preference for a mandatory code, rather than a voluntary code. Government participants explained a policy decision would need to be taken to support this proposal.</w:t>
            </w:r>
          </w:p>
          <w:p w14:paraId="7824C0BA" w14:textId="77777777" w:rsidR="00CE02CB" w:rsidRPr="00133711" w:rsidRDefault="00CE02CB" w:rsidP="00CE02CB">
            <w:pPr>
              <w:pStyle w:val="TableText"/>
            </w:pPr>
            <w:r w:rsidRPr="00133711">
              <w:t>National Farmers Federation would take this project forward in consultation with:</w:t>
            </w:r>
          </w:p>
          <w:p w14:paraId="3502956F" w14:textId="48B7A397" w:rsidR="00CE02CB" w:rsidRPr="00133711" w:rsidRDefault="00CE02CB" w:rsidP="00CE02CB">
            <w:pPr>
              <w:pStyle w:val="TableBullet1"/>
            </w:pPr>
            <w:r w:rsidRPr="00133711">
              <w:t xml:space="preserve">NSW Farmers </w:t>
            </w:r>
            <w:r w:rsidR="00A24626">
              <w:t>Association</w:t>
            </w:r>
          </w:p>
          <w:p w14:paraId="3F2B9286" w14:textId="021D96AE" w:rsidR="00CE02CB" w:rsidRPr="00133711" w:rsidRDefault="00CE02CB" w:rsidP="00CE02CB">
            <w:pPr>
              <w:pStyle w:val="TableBullet1"/>
            </w:pPr>
            <w:r w:rsidRPr="00133711">
              <w:t>Victorian Farmers Federation</w:t>
            </w:r>
          </w:p>
          <w:p w14:paraId="05A0F84C" w14:textId="23ED6D60" w:rsidR="00CE02CB" w:rsidRPr="00133711" w:rsidRDefault="00CE02CB" w:rsidP="00CE02CB">
            <w:pPr>
              <w:pStyle w:val="TableBullet1"/>
            </w:pPr>
            <w:r w:rsidRPr="00133711">
              <w:t>Australian Chicken Growers’ Council.</w:t>
            </w:r>
          </w:p>
          <w:p w14:paraId="0B623861" w14:textId="77777777" w:rsidR="00CE02CB" w:rsidRPr="00133711" w:rsidRDefault="00CE02CB" w:rsidP="00CE02CB">
            <w:pPr>
              <w:pStyle w:val="TableText"/>
            </w:pPr>
            <w:r w:rsidRPr="00133711">
              <w:t>The initial steps to produce a code would include:</w:t>
            </w:r>
          </w:p>
          <w:p w14:paraId="5219A0A0" w14:textId="6737B4AD" w:rsidR="00CE02CB" w:rsidRPr="00133711" w:rsidRDefault="00CE02CB" w:rsidP="00035DEF">
            <w:pPr>
              <w:pStyle w:val="Tablenumberedlist"/>
            </w:pPr>
            <w:r w:rsidRPr="00133711">
              <w:t>Professional legal advice to draft substance of code.</w:t>
            </w:r>
          </w:p>
          <w:p w14:paraId="3C340D97" w14:textId="3F8FD4BC" w:rsidR="00CE02CB" w:rsidRPr="00133711" w:rsidRDefault="00CE02CB" w:rsidP="00035DEF">
            <w:pPr>
              <w:pStyle w:val="Tablenumberedlist"/>
            </w:pPr>
            <w:r w:rsidRPr="00133711">
              <w:t>Stakeholder engagement across the industry.</w:t>
            </w:r>
          </w:p>
          <w:p w14:paraId="4DD44076" w14:textId="33FA302D" w:rsidR="001646D8" w:rsidRPr="00133711" w:rsidRDefault="00CE02CB" w:rsidP="00CE02CB">
            <w:pPr>
              <w:pStyle w:val="TableText"/>
            </w:pPr>
            <w:r w:rsidRPr="00133711">
              <w:t>Once a progressed draft is available, stakeholders would work with the Department of Agriculture, Water and the Environment and other government agencies.</w:t>
            </w:r>
          </w:p>
        </w:tc>
      </w:tr>
    </w:tbl>
    <w:p w14:paraId="3F0C303C" w14:textId="77777777" w:rsidR="007517E8" w:rsidRDefault="007517E8" w:rsidP="007517E8">
      <w:pPr>
        <w:pStyle w:val="TableText"/>
        <w:sectPr w:rsidR="007517E8" w:rsidSect="00DC62FB">
          <w:headerReference w:type="first" r:id="rId14"/>
          <w:pgSz w:w="16838" w:h="11906" w:orient="landscape" w:code="9"/>
          <w:pgMar w:top="1247" w:right="1418" w:bottom="1077" w:left="1134" w:header="567" w:footer="284" w:gutter="0"/>
          <w:pgNumType w:start="3"/>
          <w:cols w:space="708"/>
          <w:titlePg/>
          <w:docGrid w:linePitch="360"/>
        </w:sectPr>
      </w:pPr>
    </w:p>
    <w:p w14:paraId="09D48EDD" w14:textId="124039E6" w:rsidR="00ED7A6E" w:rsidRDefault="00173E2E" w:rsidP="001D0BAA">
      <w:pPr>
        <w:pStyle w:val="Heading2"/>
        <w:keepNext w:val="0"/>
        <w:pageBreakBefore/>
      </w:pPr>
      <w:bookmarkStart w:id="4" w:name="_Appendix_A_–"/>
      <w:bookmarkStart w:id="5" w:name="_Ref82700999"/>
      <w:bookmarkEnd w:id="4"/>
      <w:r>
        <w:lastRenderedPageBreak/>
        <w:t>Appendix</w:t>
      </w:r>
      <w:bookmarkEnd w:id="5"/>
      <w:r w:rsidR="00981F00">
        <w:t xml:space="preserve"> A</w:t>
      </w:r>
      <w:r w:rsidR="00EA006E">
        <w:t xml:space="preserve">: </w:t>
      </w:r>
      <w:r w:rsidR="00ED7A6E">
        <w:t>Participant list</w:t>
      </w:r>
    </w:p>
    <w:p w14:paraId="028BDAA1" w14:textId="77777777" w:rsidR="00423122" w:rsidRPr="00423122" w:rsidRDefault="00423122" w:rsidP="00423122">
      <w:pPr>
        <w:pStyle w:val="ListBullet"/>
      </w:pPr>
      <w:proofErr w:type="spellStart"/>
      <w:r w:rsidRPr="00423122">
        <w:t>AgriFutures</w:t>
      </w:r>
      <w:proofErr w:type="spellEnd"/>
      <w:r w:rsidRPr="00423122">
        <w:t xml:space="preserve"> Australia</w:t>
      </w:r>
    </w:p>
    <w:p w14:paraId="4A4F049D" w14:textId="77777777" w:rsidR="00423122" w:rsidRPr="00423122" w:rsidRDefault="00423122" w:rsidP="00423122">
      <w:pPr>
        <w:pStyle w:val="ListBullet"/>
      </w:pPr>
      <w:r w:rsidRPr="00423122">
        <w:t>Australian Chicken Meat Federation</w:t>
      </w:r>
    </w:p>
    <w:p w14:paraId="5470E8BB" w14:textId="1782DB87" w:rsidR="00423122" w:rsidRPr="00423122" w:rsidRDefault="00423122" w:rsidP="00423122">
      <w:pPr>
        <w:pStyle w:val="ListBullet"/>
      </w:pPr>
      <w:r w:rsidRPr="00423122">
        <w:t>National Farmers</w:t>
      </w:r>
      <w:r w:rsidR="009F4182">
        <w:t>’</w:t>
      </w:r>
      <w:r w:rsidRPr="00423122">
        <w:t xml:space="preserve"> Federation</w:t>
      </w:r>
    </w:p>
    <w:p w14:paraId="0A9D3BC8" w14:textId="122C969F" w:rsidR="00423122" w:rsidRPr="00423122" w:rsidRDefault="00423122" w:rsidP="00423122">
      <w:pPr>
        <w:pStyle w:val="ListBullet"/>
      </w:pPr>
      <w:r w:rsidRPr="00423122">
        <w:t>Victorian Farmers Federation</w:t>
      </w:r>
    </w:p>
    <w:p w14:paraId="4D0B2612" w14:textId="77777777" w:rsidR="00423122" w:rsidRPr="00423122" w:rsidRDefault="00423122" w:rsidP="00423122">
      <w:pPr>
        <w:pStyle w:val="ListBullet"/>
      </w:pPr>
      <w:r w:rsidRPr="00423122">
        <w:t>New South Wales Farmers Association</w:t>
      </w:r>
    </w:p>
    <w:p w14:paraId="3FC06624" w14:textId="77777777" w:rsidR="00423122" w:rsidRPr="00423122" w:rsidRDefault="00423122" w:rsidP="00423122">
      <w:pPr>
        <w:pStyle w:val="ListBullet"/>
      </w:pPr>
      <w:r w:rsidRPr="00423122">
        <w:t>Australian Chicken Growers Council</w:t>
      </w:r>
    </w:p>
    <w:p w14:paraId="531B589B" w14:textId="77777777" w:rsidR="00423122" w:rsidRPr="00423122" w:rsidRDefault="00423122" w:rsidP="00423122">
      <w:pPr>
        <w:pStyle w:val="ListBullet"/>
      </w:pPr>
      <w:r w:rsidRPr="00423122">
        <w:t>Golden Cockerel</w:t>
      </w:r>
    </w:p>
    <w:p w14:paraId="5B2310DE" w14:textId="77777777" w:rsidR="00423122" w:rsidRPr="00423122" w:rsidRDefault="00423122" w:rsidP="00423122">
      <w:pPr>
        <w:pStyle w:val="ListBullet"/>
      </w:pPr>
      <w:proofErr w:type="spellStart"/>
      <w:r w:rsidRPr="00423122">
        <w:t>Turosi</w:t>
      </w:r>
      <w:proofErr w:type="spellEnd"/>
    </w:p>
    <w:p w14:paraId="6B4AF754" w14:textId="77777777" w:rsidR="00423122" w:rsidRPr="00423122" w:rsidRDefault="00423122" w:rsidP="00423122">
      <w:pPr>
        <w:pStyle w:val="ListBullet"/>
      </w:pPr>
      <w:proofErr w:type="spellStart"/>
      <w:r w:rsidRPr="00423122">
        <w:t>Inghams</w:t>
      </w:r>
      <w:proofErr w:type="spellEnd"/>
    </w:p>
    <w:p w14:paraId="35FF33D3" w14:textId="77777777" w:rsidR="00423122" w:rsidRPr="00423122" w:rsidRDefault="00423122" w:rsidP="00423122">
      <w:pPr>
        <w:pStyle w:val="ListBullet"/>
      </w:pPr>
      <w:r w:rsidRPr="00423122">
        <w:t>Woolworths</w:t>
      </w:r>
    </w:p>
    <w:p w14:paraId="1A73E51F" w14:textId="77777777" w:rsidR="00423122" w:rsidRPr="00423122" w:rsidRDefault="00423122" w:rsidP="00423122">
      <w:pPr>
        <w:pStyle w:val="ListBullet"/>
      </w:pPr>
      <w:r w:rsidRPr="00423122">
        <w:t>Australian Competition and Consumer Commission</w:t>
      </w:r>
    </w:p>
    <w:p w14:paraId="0DDAD037" w14:textId="3062E920" w:rsidR="00ED7A6E" w:rsidRPr="00423122" w:rsidRDefault="00ED7A6E" w:rsidP="00423122">
      <w:pPr>
        <w:pStyle w:val="ListBullet"/>
      </w:pPr>
      <w:r w:rsidRPr="00423122">
        <w:t>DAWE Agricultural Policy</w:t>
      </w:r>
    </w:p>
    <w:p w14:paraId="23CD7A7D" w14:textId="470B415B" w:rsidR="00E9781D" w:rsidRDefault="00E9781D" w:rsidP="00EA006E">
      <w:pPr>
        <w:pStyle w:val="Normalsmall"/>
        <w:spacing w:before="1000"/>
      </w:pPr>
      <w:r w:rsidRPr="000B0A88">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590BBA9" w14:textId="57AC83A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DC62FB">
      <w:headerReference w:type="first" r:id="rId16"/>
      <w:pgSz w:w="11906" w:h="16838" w:code="9"/>
      <w:pgMar w:top="1418" w:right="1077" w:bottom="1134" w:left="1247" w:header="567" w:footer="284"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FA2B" w14:textId="77777777" w:rsidR="009844EA" w:rsidRDefault="009844EA">
      <w:r>
        <w:separator/>
      </w:r>
    </w:p>
    <w:p w14:paraId="4BE00C9A" w14:textId="77777777" w:rsidR="009844EA" w:rsidRDefault="009844EA"/>
    <w:p w14:paraId="6D5046A3" w14:textId="77777777" w:rsidR="009844EA" w:rsidRDefault="009844EA"/>
  </w:endnote>
  <w:endnote w:type="continuationSeparator" w:id="0">
    <w:p w14:paraId="52C18148" w14:textId="77777777" w:rsidR="009844EA" w:rsidRDefault="009844EA">
      <w:r>
        <w:continuationSeparator/>
      </w:r>
    </w:p>
    <w:p w14:paraId="64898C02" w14:textId="77777777" w:rsidR="009844EA" w:rsidRDefault="009844EA"/>
    <w:p w14:paraId="0BCD154D" w14:textId="77777777" w:rsidR="009844EA" w:rsidRDefault="009844EA"/>
  </w:endnote>
  <w:endnote w:type="continuationNotice" w:id="1">
    <w:p w14:paraId="64A30663" w14:textId="77777777" w:rsidR="009844EA" w:rsidRDefault="009844EA">
      <w:pPr>
        <w:pStyle w:val="Footer"/>
      </w:pPr>
    </w:p>
    <w:p w14:paraId="5D38E31F" w14:textId="77777777" w:rsidR="009844EA" w:rsidRDefault="009844EA"/>
    <w:p w14:paraId="6A6E1053" w14:textId="77777777" w:rsidR="009844EA" w:rsidRDefault="0098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893CB1"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DF24" w14:textId="77777777" w:rsidR="009844EA" w:rsidRDefault="009844EA">
      <w:r>
        <w:separator/>
      </w:r>
    </w:p>
    <w:p w14:paraId="536C3AF3" w14:textId="77777777" w:rsidR="009844EA" w:rsidRDefault="009844EA"/>
    <w:p w14:paraId="7A1E5211" w14:textId="77777777" w:rsidR="009844EA" w:rsidRDefault="009844EA"/>
  </w:footnote>
  <w:footnote w:type="continuationSeparator" w:id="0">
    <w:p w14:paraId="30C1FA55" w14:textId="77777777" w:rsidR="009844EA" w:rsidRDefault="009844EA">
      <w:r>
        <w:continuationSeparator/>
      </w:r>
    </w:p>
    <w:p w14:paraId="1CAD6F50" w14:textId="77777777" w:rsidR="009844EA" w:rsidRDefault="009844EA"/>
    <w:p w14:paraId="44942123" w14:textId="77777777" w:rsidR="009844EA" w:rsidRDefault="009844EA"/>
  </w:footnote>
  <w:footnote w:type="continuationNotice" w:id="1">
    <w:p w14:paraId="71439909" w14:textId="77777777" w:rsidR="009844EA" w:rsidRDefault="009844EA">
      <w:pPr>
        <w:pStyle w:val="Footer"/>
      </w:pPr>
    </w:p>
    <w:p w14:paraId="4952DD64" w14:textId="77777777" w:rsidR="009844EA" w:rsidRDefault="009844EA"/>
    <w:p w14:paraId="0B041E1F" w14:textId="77777777" w:rsidR="009844EA" w:rsidRDefault="0098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6E7FDADB" w:rsidR="000E455C" w:rsidRDefault="001051C3" w:rsidP="00A8157A">
    <w:pPr>
      <w:pStyle w:val="Footer"/>
      <w:spacing w:after="0"/>
      <w:jc w:val="left"/>
    </w:pPr>
    <w:r>
      <w:rPr>
        <w:noProof/>
        <w:lang w:eastAsia="en-AU"/>
      </w:rPr>
      <w:drawing>
        <wp:anchor distT="0" distB="0" distL="114300" distR="114300" simplePos="0" relativeHeight="251659264" behindDoc="1" locked="0" layoutInCell="1" allowOverlap="1" wp14:anchorId="39FBFF1E" wp14:editId="5147413E">
          <wp:simplePos x="0" y="0"/>
          <wp:positionH relativeFrom="page">
            <wp:posOffset>-17335</wp:posOffset>
          </wp:positionH>
          <wp:positionV relativeFrom="paragraph">
            <wp:posOffset>-371475</wp:posOffset>
          </wp:positionV>
          <wp:extent cx="7563600" cy="216233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646B" w14:textId="15892FC4" w:rsidR="000B1E5E" w:rsidRDefault="000B1E5E" w:rsidP="00A8157A">
    <w:pPr>
      <w:pStyle w:val="Footer"/>
      <w:spacing w:after="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7D72" w14:textId="4E3D4AEB" w:rsidR="007517E8" w:rsidRDefault="007517E8"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B76C88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 w:numId="44">
    <w:abstractNumId w:val="13"/>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13125"/>
    <w:rsid w:val="00021590"/>
    <w:rsid w:val="00025D1B"/>
    <w:rsid w:val="000266C4"/>
    <w:rsid w:val="00035DEF"/>
    <w:rsid w:val="000542B4"/>
    <w:rsid w:val="000618F3"/>
    <w:rsid w:val="00066D0B"/>
    <w:rsid w:val="000717D2"/>
    <w:rsid w:val="00073BE4"/>
    <w:rsid w:val="00074A56"/>
    <w:rsid w:val="00080827"/>
    <w:rsid w:val="0008277A"/>
    <w:rsid w:val="00084DFB"/>
    <w:rsid w:val="000904C1"/>
    <w:rsid w:val="00095434"/>
    <w:rsid w:val="000B0A88"/>
    <w:rsid w:val="000B1E5E"/>
    <w:rsid w:val="000B3924"/>
    <w:rsid w:val="000B3C44"/>
    <w:rsid w:val="000B624A"/>
    <w:rsid w:val="000C0412"/>
    <w:rsid w:val="000C4558"/>
    <w:rsid w:val="000E42DB"/>
    <w:rsid w:val="000E455C"/>
    <w:rsid w:val="000F15BD"/>
    <w:rsid w:val="001051C3"/>
    <w:rsid w:val="00133711"/>
    <w:rsid w:val="001515BA"/>
    <w:rsid w:val="001646D8"/>
    <w:rsid w:val="00173E2E"/>
    <w:rsid w:val="00190D7E"/>
    <w:rsid w:val="00193367"/>
    <w:rsid w:val="001A564B"/>
    <w:rsid w:val="001A6968"/>
    <w:rsid w:val="001C77F2"/>
    <w:rsid w:val="001D0BAA"/>
    <w:rsid w:val="001D0EF3"/>
    <w:rsid w:val="00200FD5"/>
    <w:rsid w:val="00203DE1"/>
    <w:rsid w:val="00220618"/>
    <w:rsid w:val="00232FAB"/>
    <w:rsid w:val="00237A69"/>
    <w:rsid w:val="00274B1C"/>
    <w:rsid w:val="00275B58"/>
    <w:rsid w:val="00284B53"/>
    <w:rsid w:val="00286A50"/>
    <w:rsid w:val="002963F0"/>
    <w:rsid w:val="002C31DC"/>
    <w:rsid w:val="002E3FD4"/>
    <w:rsid w:val="002F4595"/>
    <w:rsid w:val="00300AFD"/>
    <w:rsid w:val="003032C0"/>
    <w:rsid w:val="003235FA"/>
    <w:rsid w:val="003238B0"/>
    <w:rsid w:val="00336B60"/>
    <w:rsid w:val="0035108D"/>
    <w:rsid w:val="003569F9"/>
    <w:rsid w:val="00366721"/>
    <w:rsid w:val="00370990"/>
    <w:rsid w:val="0037698A"/>
    <w:rsid w:val="00392124"/>
    <w:rsid w:val="003B0131"/>
    <w:rsid w:val="003D4CBC"/>
    <w:rsid w:val="003D58FD"/>
    <w:rsid w:val="003F73D7"/>
    <w:rsid w:val="00411260"/>
    <w:rsid w:val="00423122"/>
    <w:rsid w:val="00442630"/>
    <w:rsid w:val="0044304D"/>
    <w:rsid w:val="00446CB3"/>
    <w:rsid w:val="00473C20"/>
    <w:rsid w:val="00474F59"/>
    <w:rsid w:val="00480F1E"/>
    <w:rsid w:val="00495122"/>
    <w:rsid w:val="0049787F"/>
    <w:rsid w:val="004A48FF"/>
    <w:rsid w:val="004C2DA2"/>
    <w:rsid w:val="004D0566"/>
    <w:rsid w:val="004D0888"/>
    <w:rsid w:val="004F241E"/>
    <w:rsid w:val="004F52C6"/>
    <w:rsid w:val="005019C1"/>
    <w:rsid w:val="00515287"/>
    <w:rsid w:val="00517B4F"/>
    <w:rsid w:val="00531B5A"/>
    <w:rsid w:val="00545C6C"/>
    <w:rsid w:val="00553E9D"/>
    <w:rsid w:val="0055447F"/>
    <w:rsid w:val="0056155D"/>
    <w:rsid w:val="00567DFC"/>
    <w:rsid w:val="00577F29"/>
    <w:rsid w:val="00583B24"/>
    <w:rsid w:val="005866C7"/>
    <w:rsid w:val="00594556"/>
    <w:rsid w:val="005A48A6"/>
    <w:rsid w:val="005B613F"/>
    <w:rsid w:val="005C2BFD"/>
    <w:rsid w:val="005D0059"/>
    <w:rsid w:val="005E56AF"/>
    <w:rsid w:val="00607A21"/>
    <w:rsid w:val="00607A36"/>
    <w:rsid w:val="006141ED"/>
    <w:rsid w:val="006156DF"/>
    <w:rsid w:val="00625D8D"/>
    <w:rsid w:val="00642F36"/>
    <w:rsid w:val="00646917"/>
    <w:rsid w:val="00656587"/>
    <w:rsid w:val="00665B1E"/>
    <w:rsid w:val="006900AC"/>
    <w:rsid w:val="00696682"/>
    <w:rsid w:val="006A6540"/>
    <w:rsid w:val="006B0030"/>
    <w:rsid w:val="006B4677"/>
    <w:rsid w:val="006B505B"/>
    <w:rsid w:val="006C401F"/>
    <w:rsid w:val="006D413F"/>
    <w:rsid w:val="006E3139"/>
    <w:rsid w:val="006F6FE8"/>
    <w:rsid w:val="0070464B"/>
    <w:rsid w:val="00704A2D"/>
    <w:rsid w:val="00713F2A"/>
    <w:rsid w:val="00721291"/>
    <w:rsid w:val="007258B1"/>
    <w:rsid w:val="00725C8B"/>
    <w:rsid w:val="007517E8"/>
    <w:rsid w:val="00754CA3"/>
    <w:rsid w:val="0076549B"/>
    <w:rsid w:val="00793E18"/>
    <w:rsid w:val="007A221B"/>
    <w:rsid w:val="007C0010"/>
    <w:rsid w:val="007F70D9"/>
    <w:rsid w:val="0080517C"/>
    <w:rsid w:val="008154B3"/>
    <w:rsid w:val="00832638"/>
    <w:rsid w:val="00865130"/>
    <w:rsid w:val="008906CC"/>
    <w:rsid w:val="00892F53"/>
    <w:rsid w:val="00893CB1"/>
    <w:rsid w:val="00895341"/>
    <w:rsid w:val="008D3DD5"/>
    <w:rsid w:val="008D5198"/>
    <w:rsid w:val="008E3B54"/>
    <w:rsid w:val="008F382A"/>
    <w:rsid w:val="00902E92"/>
    <w:rsid w:val="0090743D"/>
    <w:rsid w:val="00911F4A"/>
    <w:rsid w:val="00916FC3"/>
    <w:rsid w:val="00943779"/>
    <w:rsid w:val="0096087A"/>
    <w:rsid w:val="009674C0"/>
    <w:rsid w:val="00974CD6"/>
    <w:rsid w:val="00981F00"/>
    <w:rsid w:val="009844EA"/>
    <w:rsid w:val="00986927"/>
    <w:rsid w:val="009A3930"/>
    <w:rsid w:val="009C206F"/>
    <w:rsid w:val="009C3FA3"/>
    <w:rsid w:val="009C5CE4"/>
    <w:rsid w:val="009D7044"/>
    <w:rsid w:val="009E6953"/>
    <w:rsid w:val="009F4182"/>
    <w:rsid w:val="009F5DBE"/>
    <w:rsid w:val="00A04AFD"/>
    <w:rsid w:val="00A12A10"/>
    <w:rsid w:val="00A130F7"/>
    <w:rsid w:val="00A24626"/>
    <w:rsid w:val="00A32860"/>
    <w:rsid w:val="00A62F99"/>
    <w:rsid w:val="00A65D84"/>
    <w:rsid w:val="00A7471E"/>
    <w:rsid w:val="00A77E8E"/>
    <w:rsid w:val="00A8157A"/>
    <w:rsid w:val="00A8597C"/>
    <w:rsid w:val="00AA1058"/>
    <w:rsid w:val="00AA1D89"/>
    <w:rsid w:val="00AA5ABF"/>
    <w:rsid w:val="00AE1E6E"/>
    <w:rsid w:val="00AE4763"/>
    <w:rsid w:val="00B0121B"/>
    <w:rsid w:val="00B0455B"/>
    <w:rsid w:val="00B11E02"/>
    <w:rsid w:val="00B2514A"/>
    <w:rsid w:val="00B25B27"/>
    <w:rsid w:val="00B3476F"/>
    <w:rsid w:val="00B43568"/>
    <w:rsid w:val="00B82095"/>
    <w:rsid w:val="00B83446"/>
    <w:rsid w:val="00B90975"/>
    <w:rsid w:val="00B93571"/>
    <w:rsid w:val="00B94CBD"/>
    <w:rsid w:val="00BA2E73"/>
    <w:rsid w:val="00BB0F3E"/>
    <w:rsid w:val="00BC7FF3"/>
    <w:rsid w:val="00BD4F8E"/>
    <w:rsid w:val="00BE345B"/>
    <w:rsid w:val="00C40350"/>
    <w:rsid w:val="00C6128D"/>
    <w:rsid w:val="00C61393"/>
    <w:rsid w:val="00C6357E"/>
    <w:rsid w:val="00C72735"/>
    <w:rsid w:val="00C73278"/>
    <w:rsid w:val="00C765C8"/>
    <w:rsid w:val="00C82029"/>
    <w:rsid w:val="00C9283A"/>
    <w:rsid w:val="00C95039"/>
    <w:rsid w:val="00CA4615"/>
    <w:rsid w:val="00CC35B5"/>
    <w:rsid w:val="00CD3A6F"/>
    <w:rsid w:val="00CE02CB"/>
    <w:rsid w:val="00CE2511"/>
    <w:rsid w:val="00CE7F36"/>
    <w:rsid w:val="00CF1A89"/>
    <w:rsid w:val="00CF6A74"/>
    <w:rsid w:val="00CF7D08"/>
    <w:rsid w:val="00D02907"/>
    <w:rsid w:val="00D04A3C"/>
    <w:rsid w:val="00D22097"/>
    <w:rsid w:val="00D30142"/>
    <w:rsid w:val="00D36C41"/>
    <w:rsid w:val="00D4039B"/>
    <w:rsid w:val="00D449E8"/>
    <w:rsid w:val="00D55A85"/>
    <w:rsid w:val="00D574F9"/>
    <w:rsid w:val="00D624AD"/>
    <w:rsid w:val="00D750D0"/>
    <w:rsid w:val="00D87480"/>
    <w:rsid w:val="00DB71FD"/>
    <w:rsid w:val="00DC1831"/>
    <w:rsid w:val="00DC44EC"/>
    <w:rsid w:val="00DC453F"/>
    <w:rsid w:val="00DC57F0"/>
    <w:rsid w:val="00DC62FB"/>
    <w:rsid w:val="00DD29B4"/>
    <w:rsid w:val="00DE546F"/>
    <w:rsid w:val="00DF241E"/>
    <w:rsid w:val="00E053C1"/>
    <w:rsid w:val="00E25A07"/>
    <w:rsid w:val="00E333DF"/>
    <w:rsid w:val="00E35D45"/>
    <w:rsid w:val="00E83C41"/>
    <w:rsid w:val="00E9781D"/>
    <w:rsid w:val="00EA006E"/>
    <w:rsid w:val="00EA5D76"/>
    <w:rsid w:val="00EB79F4"/>
    <w:rsid w:val="00EB7BE8"/>
    <w:rsid w:val="00EB7FD4"/>
    <w:rsid w:val="00EC2925"/>
    <w:rsid w:val="00EC5579"/>
    <w:rsid w:val="00EC5C40"/>
    <w:rsid w:val="00EC5CE3"/>
    <w:rsid w:val="00ED00D4"/>
    <w:rsid w:val="00ED774B"/>
    <w:rsid w:val="00ED7A6E"/>
    <w:rsid w:val="00EE0118"/>
    <w:rsid w:val="00EE49CE"/>
    <w:rsid w:val="00EE7C8D"/>
    <w:rsid w:val="00EF24B1"/>
    <w:rsid w:val="00EF38CA"/>
    <w:rsid w:val="00EF3918"/>
    <w:rsid w:val="00F330C3"/>
    <w:rsid w:val="00F75F33"/>
    <w:rsid w:val="00F84236"/>
    <w:rsid w:val="00FB6E33"/>
    <w:rsid w:val="00FC2CE4"/>
    <w:rsid w:val="00FC379E"/>
    <w:rsid w:val="00FD337C"/>
    <w:rsid w:val="00FD3BAE"/>
    <w:rsid w:val="00FD5236"/>
    <w:rsid w:val="00FD5A1D"/>
    <w:rsid w:val="00FD72BD"/>
    <w:rsid w:val="00FD7D5B"/>
    <w:rsid w:val="00FE0F23"/>
    <w:rsid w:val="00FE1F23"/>
    <w:rsid w:val="00FF3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hanging="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template.dotx</Template>
  <TotalTime>20</TotalTime>
  <Pages>5</Pages>
  <Words>1592</Words>
  <Characters>9076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 Chicken meat industry second workshop 28 September 2021: Workshop communique</vt:lpstr>
    </vt:vector>
  </TitlesOfParts>
  <Company/>
  <LinksUpToDate>false</LinksUpToDate>
  <CharactersWithSpaces>10647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 Chicken meat industry second workshop 28 September 2021: Workshop communique</dc:title>
  <dc:creator>Department of Agriculture, Water and the Environment</dc:creator>
  <cp:lastPrinted>2021-12-01T05:56:00Z</cp:lastPrinted>
  <dcterms:created xsi:type="dcterms:W3CDTF">2021-12-01T05:38:00Z</dcterms:created>
  <dcterms:modified xsi:type="dcterms:W3CDTF">2021-12-01T05:57:00Z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