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BFF95" w14:textId="69955D84" w:rsidR="00D04A3C" w:rsidRDefault="000E42DB" w:rsidP="001D0BAA">
      <w:pPr>
        <w:pStyle w:val="Series"/>
        <w:spacing w:before="2040"/>
      </w:pPr>
      <w:r w:rsidRPr="000E42DB">
        <w:t>Improving market transparency in perishable agricultural goods industries</w:t>
      </w:r>
    </w:p>
    <w:p w14:paraId="33953D75" w14:textId="0733689D" w:rsidR="00A8597C" w:rsidRPr="00A8597C" w:rsidRDefault="00A03836" w:rsidP="00A8597C">
      <w:pPr>
        <w:pStyle w:val="Heading1"/>
      </w:pPr>
      <w:r>
        <w:t>Wine grape</w:t>
      </w:r>
      <w:r w:rsidR="00D87564">
        <w:t>s</w:t>
      </w:r>
      <w:r w:rsidR="000E42DB" w:rsidRPr="000E42DB">
        <w:t xml:space="preserve"> industry </w:t>
      </w:r>
      <w:r w:rsidR="00872DF3">
        <w:t>second</w:t>
      </w:r>
      <w:r w:rsidR="002F012F">
        <w:t xml:space="preserve"> </w:t>
      </w:r>
      <w:r w:rsidR="000E42DB" w:rsidRPr="000E42DB">
        <w:t xml:space="preserve">workshop </w:t>
      </w:r>
      <w:r w:rsidR="00872DF3">
        <w:t>21 September </w:t>
      </w:r>
      <w:r w:rsidR="00A8597C">
        <w:t>2021</w:t>
      </w:r>
      <w:r w:rsidR="000E42DB" w:rsidRPr="000E42DB">
        <w:t>: Workshop communique</w:t>
      </w:r>
    </w:p>
    <w:p w14:paraId="7170947D" w14:textId="77777777" w:rsidR="00A8597C" w:rsidRDefault="00A8597C" w:rsidP="00A8597C">
      <w:pPr>
        <w:pStyle w:val="Heading2"/>
      </w:pPr>
      <w:r>
        <w:t>Background</w:t>
      </w:r>
    </w:p>
    <w:p w14:paraId="6B4791CD" w14:textId="670D8C96" w:rsidR="00A8597C" w:rsidRDefault="00A8597C" w:rsidP="00A8597C">
      <w:r>
        <w:t xml:space="preserve">In late 2020, the Australian Competition and Consumer Commission (ACCC) conducted an inquiry into bargaining power imbalances in supply chains for perishable agricultural </w:t>
      </w:r>
      <w:r w:rsidR="002F012F">
        <w:t>goods (PAG)</w:t>
      </w:r>
      <w:r>
        <w:t xml:space="preserve"> in Australia. </w:t>
      </w:r>
      <w:r w:rsidR="001D0BAA">
        <w:t xml:space="preserve">The </w:t>
      </w:r>
      <w:r>
        <w:t xml:space="preserve">inquiry </w:t>
      </w:r>
      <w:r w:rsidR="001D0BAA">
        <w:t xml:space="preserve">recommended that the </w:t>
      </w:r>
      <w:r>
        <w:t>government explore measures to increase price transparency in PAG industries to increase competition in those industries.</w:t>
      </w:r>
    </w:p>
    <w:p w14:paraId="33B1521F" w14:textId="05CAD509" w:rsidR="00A8597C" w:rsidRDefault="00A8597C" w:rsidP="00A8597C">
      <w:r>
        <w:t>In response to this recommendation</w:t>
      </w:r>
      <w:r w:rsidR="001D0BAA">
        <w:t>,</w:t>
      </w:r>
      <w:r>
        <w:t xml:space="preserve"> the Australian Government, th</w:t>
      </w:r>
      <w:r w:rsidR="001D0BAA">
        <w:t>r</w:t>
      </w:r>
      <w:r>
        <w:t xml:space="preserve">ough the Department of Agriculture, </w:t>
      </w:r>
      <w:proofErr w:type="gramStart"/>
      <w:r>
        <w:t>Water</w:t>
      </w:r>
      <w:proofErr w:type="gramEnd"/>
      <w:r>
        <w:t xml:space="preserve"> and the Environment (DAWE</w:t>
      </w:r>
      <w:r w:rsidR="008172DE">
        <w:t>),</w:t>
      </w:r>
      <w:r>
        <w:t xml:space="preserve"> has committed $5.4</w:t>
      </w:r>
      <w:r w:rsidR="00545C6C">
        <w:t> </w:t>
      </w:r>
      <w:r>
        <w:t>million to improve price and market transparency in PAG industries by:</w:t>
      </w:r>
    </w:p>
    <w:p w14:paraId="34A8316D" w14:textId="37D4CB53" w:rsidR="00A8597C" w:rsidRDefault="00A8597C" w:rsidP="00A8597C">
      <w:pPr>
        <w:pStyle w:val="ListBullet"/>
      </w:pPr>
      <w:r>
        <w:t>delivering co-design workshops with PAG industries to understand their market transparency issues, opportunities and requirements</w:t>
      </w:r>
    </w:p>
    <w:p w14:paraId="59696ED6" w14:textId="2CBAECF7" w:rsidR="00A8597C" w:rsidRDefault="00A8597C" w:rsidP="00A8597C">
      <w:pPr>
        <w:pStyle w:val="ListBullet"/>
      </w:pPr>
      <w:r>
        <w:t>delivering a grants program to develop and implement tailored mechanisms to improve price and market transparency.</w:t>
      </w:r>
    </w:p>
    <w:p w14:paraId="78FCA847" w14:textId="3CCDF909" w:rsidR="000E42DB" w:rsidRDefault="00A8597C" w:rsidP="00A8597C">
      <w:r>
        <w:t>The workshops provide an opportunity for participants to discuss price and market transparency issues in their sector, brainstorm ideas to improve transparency and co-design the details of solutions going forward.</w:t>
      </w:r>
    </w:p>
    <w:p w14:paraId="7DCE4720" w14:textId="5AD89A90" w:rsidR="00A8597C" w:rsidRDefault="00A8597C" w:rsidP="00A8597C">
      <w:pPr>
        <w:pStyle w:val="Heading2"/>
      </w:pPr>
      <w:r>
        <w:t xml:space="preserve">Workshop </w:t>
      </w:r>
      <w:r w:rsidR="004E33EE">
        <w:t xml:space="preserve">2 </w:t>
      </w:r>
      <w:r>
        <w:t>outcomes</w:t>
      </w:r>
    </w:p>
    <w:p w14:paraId="60EFA0B1" w14:textId="77777777" w:rsidR="004E33EE" w:rsidRDefault="004E33EE" w:rsidP="004E33EE">
      <w:r>
        <w:t>Eighteen industry and government representatives attended the second wine grape price and market transparency workshop. The objective of the second workshop was to generate ideas that form the basis for potential projects for the grants program, and to identify further areas of work that can be undertaken outside of this program.</w:t>
      </w:r>
    </w:p>
    <w:p w14:paraId="63F498DD" w14:textId="080DEF55" w:rsidR="004E33EE" w:rsidRPr="00093812" w:rsidRDefault="004E33EE" w:rsidP="004E33EE">
      <w:r>
        <w:t xml:space="preserve">Prior to breaking out into small </w:t>
      </w:r>
      <w:r w:rsidRPr="00093812">
        <w:t>groups, 2 organisations provided an overview of some projects underway within the industry:</w:t>
      </w:r>
    </w:p>
    <w:p w14:paraId="39994C13" w14:textId="21DF5A47" w:rsidR="004E33EE" w:rsidRDefault="004E33EE" w:rsidP="004E33EE">
      <w:pPr>
        <w:pStyle w:val="ListBullet"/>
      </w:pPr>
      <w:r w:rsidRPr="00093812">
        <w:t>Australian Grape and Wine</w:t>
      </w:r>
      <w:r w:rsidR="00C34D9C" w:rsidRPr="00093812">
        <w:t xml:space="preserve"> – </w:t>
      </w:r>
      <w:r w:rsidRPr="00093812">
        <w:t>Current</w:t>
      </w:r>
      <w:r>
        <w:t xml:space="preserve"> voluntary wine industry code of conduct.</w:t>
      </w:r>
    </w:p>
    <w:p w14:paraId="352FBE64" w14:textId="20893809" w:rsidR="004E33EE" w:rsidRDefault="004E33EE" w:rsidP="004E33EE">
      <w:pPr>
        <w:pStyle w:val="ListBullet"/>
      </w:pPr>
      <w:r>
        <w:t>Australian Wine Research Institute</w:t>
      </w:r>
      <w:r w:rsidR="00C34D9C">
        <w:t xml:space="preserve"> – </w:t>
      </w:r>
      <w:r>
        <w:t>Developing objective measures for grape quality assessment.</w:t>
      </w:r>
    </w:p>
    <w:p w14:paraId="2FEE648F" w14:textId="762E4545" w:rsidR="004E33EE" w:rsidRDefault="004E33EE" w:rsidP="00C80D7A">
      <w:pPr>
        <w:keepNext/>
      </w:pPr>
      <w:r>
        <w:lastRenderedPageBreak/>
        <w:t xml:space="preserve">Participants </w:t>
      </w:r>
      <w:r w:rsidRPr="00173E2E">
        <w:t>(</w:t>
      </w:r>
      <w:hyperlink w:anchor="_Appendix_A_–" w:history="1">
        <w:r w:rsidRPr="001D0BAA">
          <w:rPr>
            <w:rStyle w:val="Hyperlink"/>
          </w:rPr>
          <w:t>Appendix A</w:t>
        </w:r>
      </w:hyperlink>
      <w:r>
        <w:t>) worked in small groups on the following opportunities that had been prioritised in the first workshop:</w:t>
      </w:r>
    </w:p>
    <w:p w14:paraId="679499EA" w14:textId="336498FD" w:rsidR="004E33EE" w:rsidRDefault="004E33EE" w:rsidP="00C80D7A">
      <w:pPr>
        <w:pStyle w:val="ListNumber"/>
        <w:keepNext/>
      </w:pPr>
      <w:r>
        <w:t>More powerful analytics</w:t>
      </w:r>
    </w:p>
    <w:p w14:paraId="4AE1894A" w14:textId="70739955" w:rsidR="004E33EE" w:rsidRDefault="004E33EE" w:rsidP="00C80D7A">
      <w:pPr>
        <w:pStyle w:val="ListNumber"/>
        <w:keepNext/>
      </w:pPr>
      <w:r>
        <w:t>Increase Code of Conduct participation.</w:t>
      </w:r>
    </w:p>
    <w:p w14:paraId="495CA935" w14:textId="0F41009A" w:rsidR="004E33EE" w:rsidRDefault="004E33EE" w:rsidP="004E33EE">
      <w:r>
        <w:t>Individuals self-selected into working groups to generate ideas for potential projects. The whole group then came together to consider each idea including purpose, details, stakeholders, risks and benefits, and next steps. Groups presented to each other to gather further input, look at next steps and prioritise which project should be progressed, for either application to grants funding during the first half of 2022, or for industry-led development.</w:t>
      </w:r>
    </w:p>
    <w:p w14:paraId="02D4417B" w14:textId="64BEECB6" w:rsidR="004E33EE" w:rsidRDefault="004E33EE" w:rsidP="004E33EE">
      <w:r>
        <w:rPr>
          <w:highlight w:val="yellow"/>
        </w:rPr>
        <w:fldChar w:fldCharType="begin"/>
      </w:r>
      <w:r>
        <w:rPr>
          <w:highlight w:val="yellow"/>
        </w:rPr>
        <w:instrText xml:space="preserve"> REF _Ref82700697 \h </w:instrText>
      </w:r>
      <w:r>
        <w:rPr>
          <w:highlight w:val="yellow"/>
        </w:rPr>
      </w:r>
      <w:r>
        <w:rPr>
          <w:highlight w:val="yellow"/>
        </w:rPr>
        <w:fldChar w:fldCharType="separate"/>
      </w:r>
      <w:r w:rsidR="00973AC0">
        <w:t xml:space="preserve">Table </w:t>
      </w:r>
      <w:r w:rsidR="00973AC0">
        <w:rPr>
          <w:noProof/>
        </w:rPr>
        <w:t>1</w:t>
      </w:r>
      <w:r>
        <w:rPr>
          <w:highlight w:val="yellow"/>
        </w:rPr>
        <w:fldChar w:fldCharType="end"/>
      </w:r>
      <w:r>
        <w:t xml:space="preserve"> provides an overview of the potential projects that were prioritised by participants’ vote.</w:t>
      </w:r>
    </w:p>
    <w:p w14:paraId="7FA7FE5A" w14:textId="2559FB63" w:rsidR="004E33EE" w:rsidRDefault="004E33EE" w:rsidP="004E33EE">
      <w:r>
        <w:t>At the end of the workshop, participants were asked to select their preferred project to be progressed either by industry or through a future government grant funding round. Participants generally favoured the Digital Analytics Platform project.</w:t>
      </w:r>
    </w:p>
    <w:p w14:paraId="6AD5B21D" w14:textId="3CB4C6F6" w:rsidR="004E33EE" w:rsidRDefault="004E33EE" w:rsidP="004E33EE">
      <w:pPr>
        <w:pStyle w:val="ListNumber"/>
        <w:numPr>
          <w:ilvl w:val="0"/>
          <w:numId w:val="44"/>
        </w:numPr>
      </w:pPr>
      <w:r>
        <w:t>Digital analytics platform (64%).</w:t>
      </w:r>
    </w:p>
    <w:p w14:paraId="5671B4ED" w14:textId="7A979C74" w:rsidR="004E33EE" w:rsidRDefault="004E33EE" w:rsidP="004E33EE">
      <w:pPr>
        <w:pStyle w:val="ListNumber"/>
        <w:numPr>
          <w:ilvl w:val="0"/>
          <w:numId w:val="44"/>
        </w:numPr>
      </w:pPr>
      <w:r>
        <w:t>Code Awareness &amp; Education Campaign (36%).</w:t>
      </w:r>
    </w:p>
    <w:p w14:paraId="1DEFEC44" w14:textId="760A17ED" w:rsidR="00ED7A6E" w:rsidRDefault="008A76D0" w:rsidP="003235FA">
      <w:pPr>
        <w:pStyle w:val="Heading2"/>
      </w:pPr>
      <w:bookmarkStart w:id="0" w:name="Title_1"/>
      <w:bookmarkEnd w:id="0"/>
      <w:r>
        <w:t xml:space="preserve">Next </w:t>
      </w:r>
      <w:r w:rsidR="00ED7A6E">
        <w:t>steps</w:t>
      </w:r>
    </w:p>
    <w:p w14:paraId="5EA52E20" w14:textId="77777777" w:rsidR="004E33EE" w:rsidRDefault="004E33EE" w:rsidP="00ED7A6E">
      <w:pPr>
        <w:sectPr w:rsidR="004E33EE" w:rsidSect="006C5E1D">
          <w:footerReference w:type="default" r:id="rId11"/>
          <w:headerReference w:type="first" r:id="rId12"/>
          <w:footerReference w:type="first" r:id="rId13"/>
          <w:pgSz w:w="11906" w:h="16838" w:code="9"/>
          <w:pgMar w:top="1418" w:right="1077" w:bottom="1134" w:left="1247" w:header="567" w:footer="284" w:gutter="0"/>
          <w:pgNumType w:start="1"/>
          <w:cols w:space="708"/>
          <w:titlePg/>
          <w:docGrid w:linePitch="360"/>
        </w:sectPr>
      </w:pPr>
      <w:r w:rsidRPr="004E33EE">
        <w:t>We recommend that Wine Australia and Australian Grape &amp; Wine continue to engage and collaborate with key stakeholders in the industry to further develop respective proposals for grant funding, or to develop a business case for the industry to lead the development of projects</w:t>
      </w:r>
      <w:r w:rsidR="00ED7A6E">
        <w:t>.</w:t>
      </w:r>
      <w:r>
        <w:t xml:space="preserve"> </w:t>
      </w:r>
    </w:p>
    <w:p w14:paraId="7BB19F51" w14:textId="1C6C7AFB" w:rsidR="0068348A" w:rsidRDefault="0068348A" w:rsidP="0068348A">
      <w:pPr>
        <w:pStyle w:val="Caption"/>
      </w:pPr>
      <w:bookmarkStart w:id="1" w:name="_Ref82700697"/>
      <w:r>
        <w:lastRenderedPageBreak/>
        <w:t xml:space="preserve">Table </w:t>
      </w:r>
      <w:r w:rsidR="00973AC0">
        <w:fldChar w:fldCharType="begin"/>
      </w:r>
      <w:r w:rsidR="00973AC0">
        <w:instrText xml:space="preserve"> SEQ Table \* ARABIC </w:instrText>
      </w:r>
      <w:r w:rsidR="00973AC0">
        <w:fldChar w:fldCharType="separate"/>
      </w:r>
      <w:r w:rsidR="00973AC0">
        <w:rPr>
          <w:noProof/>
        </w:rPr>
        <w:t>1</w:t>
      </w:r>
      <w:r w:rsidR="00973AC0">
        <w:rPr>
          <w:noProof/>
        </w:rPr>
        <w:fldChar w:fldCharType="end"/>
      </w:r>
      <w:bookmarkEnd w:id="1"/>
      <w:r>
        <w:t xml:space="preserve"> Potential projects</w:t>
      </w:r>
    </w:p>
    <w:tbl>
      <w:tblPr>
        <w:tblStyle w:val="PlainTable2"/>
        <w:tblW w:w="5209" w:type="pct"/>
        <w:tblBorders>
          <w:top w:val="single" w:sz="4" w:space="0" w:color="auto"/>
          <w:bottom w:val="single" w:sz="4" w:space="0" w:color="auto"/>
          <w:insideH w:val="single" w:sz="4" w:space="0" w:color="auto"/>
        </w:tblBorders>
        <w:tblLook w:val="0620" w:firstRow="1" w:lastRow="0" w:firstColumn="0" w:lastColumn="0" w:noHBand="1" w:noVBand="1"/>
      </w:tblPr>
      <w:tblGrid>
        <w:gridCol w:w="3403"/>
        <w:gridCol w:w="4536"/>
        <w:gridCol w:w="4393"/>
        <w:gridCol w:w="2551"/>
      </w:tblGrid>
      <w:tr w:rsidR="0068348A" w:rsidRPr="00ED7A6E" w14:paraId="4B5A6FE9" w14:textId="77777777" w:rsidTr="009F0396">
        <w:trPr>
          <w:cnfStyle w:val="100000000000" w:firstRow="1" w:lastRow="0" w:firstColumn="0" w:lastColumn="0" w:oddVBand="0" w:evenVBand="0" w:oddHBand="0" w:evenHBand="0" w:firstRowFirstColumn="0" w:firstRowLastColumn="0" w:lastRowFirstColumn="0" w:lastRowLastColumn="0"/>
          <w:tblHeader/>
        </w:trPr>
        <w:tc>
          <w:tcPr>
            <w:tcW w:w="1143" w:type="pct"/>
            <w:tcBorders>
              <w:bottom w:val="single" w:sz="4" w:space="0" w:color="auto"/>
            </w:tcBorders>
          </w:tcPr>
          <w:p w14:paraId="10EC1396" w14:textId="439F6255" w:rsidR="0068348A" w:rsidRPr="00093812" w:rsidRDefault="0068348A" w:rsidP="0068348A">
            <w:pPr>
              <w:pStyle w:val="TableHeading"/>
              <w:rPr>
                <w:rStyle w:val="Strong"/>
              </w:rPr>
            </w:pPr>
            <w:r w:rsidRPr="00093812">
              <w:rPr>
                <w:rStyle w:val="Strong"/>
              </w:rPr>
              <w:t xml:space="preserve">Project </w:t>
            </w:r>
          </w:p>
        </w:tc>
        <w:tc>
          <w:tcPr>
            <w:tcW w:w="1524" w:type="pct"/>
            <w:tcBorders>
              <w:bottom w:val="single" w:sz="4" w:space="0" w:color="auto"/>
            </w:tcBorders>
          </w:tcPr>
          <w:p w14:paraId="4BB82501" w14:textId="77777777" w:rsidR="0068348A" w:rsidRPr="0068348A" w:rsidRDefault="0068348A" w:rsidP="0068348A">
            <w:pPr>
              <w:pStyle w:val="TableHeading"/>
              <w:rPr>
                <w:rStyle w:val="Strong"/>
              </w:rPr>
            </w:pPr>
            <w:r w:rsidRPr="0068348A">
              <w:rPr>
                <w:rStyle w:val="Strong"/>
              </w:rPr>
              <w:t xml:space="preserve">Key purpose, </w:t>
            </w:r>
            <w:proofErr w:type="gramStart"/>
            <w:r w:rsidRPr="0068348A">
              <w:rPr>
                <w:rStyle w:val="Strong"/>
              </w:rPr>
              <w:t>risks</w:t>
            </w:r>
            <w:proofErr w:type="gramEnd"/>
            <w:r w:rsidRPr="0068348A">
              <w:rPr>
                <w:rStyle w:val="Strong"/>
              </w:rPr>
              <w:t xml:space="preserve"> and benefits</w:t>
            </w:r>
          </w:p>
        </w:tc>
        <w:tc>
          <w:tcPr>
            <w:tcW w:w="1476" w:type="pct"/>
            <w:tcBorders>
              <w:bottom w:val="single" w:sz="4" w:space="0" w:color="auto"/>
            </w:tcBorders>
          </w:tcPr>
          <w:p w14:paraId="72706416" w14:textId="77777777" w:rsidR="0068348A" w:rsidRPr="0068348A" w:rsidRDefault="0068348A" w:rsidP="0068348A">
            <w:pPr>
              <w:pStyle w:val="TableHeading"/>
              <w:rPr>
                <w:rStyle w:val="Strong"/>
              </w:rPr>
            </w:pPr>
            <w:r w:rsidRPr="0068348A">
              <w:rPr>
                <w:rStyle w:val="Strong"/>
              </w:rPr>
              <w:t>Stakeholders and resourcing</w:t>
            </w:r>
          </w:p>
        </w:tc>
        <w:tc>
          <w:tcPr>
            <w:tcW w:w="857" w:type="pct"/>
            <w:tcBorders>
              <w:bottom w:val="single" w:sz="4" w:space="0" w:color="auto"/>
            </w:tcBorders>
          </w:tcPr>
          <w:p w14:paraId="5CBCA031" w14:textId="77777777" w:rsidR="0068348A" w:rsidRPr="0068348A" w:rsidRDefault="0068348A" w:rsidP="0068348A">
            <w:pPr>
              <w:pStyle w:val="TableHeading"/>
              <w:rPr>
                <w:rStyle w:val="Strong"/>
              </w:rPr>
            </w:pPr>
            <w:r w:rsidRPr="0068348A">
              <w:rPr>
                <w:rStyle w:val="Strong"/>
              </w:rPr>
              <w:t>Next steps</w:t>
            </w:r>
          </w:p>
        </w:tc>
      </w:tr>
      <w:tr w:rsidR="0068348A" w:rsidRPr="00ED7A6E" w14:paraId="2BD162E1" w14:textId="77777777" w:rsidTr="009F0396">
        <w:tc>
          <w:tcPr>
            <w:tcW w:w="1143" w:type="pct"/>
            <w:tcBorders>
              <w:top w:val="nil"/>
              <w:bottom w:val="single" w:sz="4" w:space="0" w:color="auto"/>
            </w:tcBorders>
          </w:tcPr>
          <w:p w14:paraId="57344E2F" w14:textId="37278077" w:rsidR="00144BF5" w:rsidRPr="00093812" w:rsidRDefault="00144BF5" w:rsidP="0068348A">
            <w:pPr>
              <w:pStyle w:val="TableText"/>
              <w:rPr>
                <w:rStyle w:val="Strong"/>
              </w:rPr>
            </w:pPr>
            <w:r w:rsidRPr="00093812">
              <w:rPr>
                <w:rStyle w:val="Strong"/>
              </w:rPr>
              <w:t>Digital analytics platform</w:t>
            </w:r>
          </w:p>
          <w:p w14:paraId="05FFF404" w14:textId="49B8F24D" w:rsidR="0068348A" w:rsidRPr="00093812" w:rsidRDefault="0068348A" w:rsidP="0068348A">
            <w:pPr>
              <w:pStyle w:val="TableText"/>
            </w:pPr>
            <w:r w:rsidRPr="00093812">
              <w:t>An interactive web-based platform that provides an objective perspective of pricing.</w:t>
            </w:r>
          </w:p>
          <w:p w14:paraId="4740EF6E" w14:textId="28B785A7" w:rsidR="0068348A" w:rsidRPr="00093812" w:rsidRDefault="0068348A" w:rsidP="0068348A">
            <w:pPr>
              <w:pStyle w:val="TableText"/>
            </w:pPr>
            <w:r w:rsidRPr="00093812">
              <w:t>The project would have 3 phases, pending outcomes of a feasibility study:</w:t>
            </w:r>
          </w:p>
          <w:p w14:paraId="212E2EB9" w14:textId="77777777" w:rsidR="0068348A" w:rsidRPr="00093812" w:rsidRDefault="0068348A" w:rsidP="003C07F1">
            <w:pPr>
              <w:pStyle w:val="Tablenumberedlist"/>
              <w:ind w:left="321" w:hanging="321"/>
            </w:pPr>
            <w:r w:rsidRPr="00093812">
              <w:t>Feasibility study</w:t>
            </w:r>
          </w:p>
          <w:p w14:paraId="03C327EF" w14:textId="77777777" w:rsidR="0068348A" w:rsidRPr="00093812" w:rsidRDefault="0068348A" w:rsidP="003C07F1">
            <w:pPr>
              <w:pStyle w:val="Tablenumberedlist"/>
              <w:ind w:left="321" w:hanging="321"/>
            </w:pPr>
            <w:r w:rsidRPr="00093812">
              <w:t>Collection of data</w:t>
            </w:r>
          </w:p>
          <w:p w14:paraId="4D77EF9F" w14:textId="6496E8E5" w:rsidR="0068348A" w:rsidRPr="00093812" w:rsidRDefault="0068348A" w:rsidP="003C07F1">
            <w:pPr>
              <w:pStyle w:val="Tablenumberedlist"/>
              <w:ind w:left="321" w:hanging="321"/>
            </w:pPr>
            <w:r w:rsidRPr="00093812">
              <w:t>Build econometric model for price determination and a web platform</w:t>
            </w:r>
          </w:p>
          <w:p w14:paraId="0D308F4A" w14:textId="77777777" w:rsidR="0068348A" w:rsidRPr="00093812" w:rsidRDefault="0068348A" w:rsidP="0068348A">
            <w:pPr>
              <w:pStyle w:val="TableText"/>
            </w:pPr>
            <w:r w:rsidRPr="00093812">
              <w:t>Data collection would include the whole industry. Price determination econometrics would apply to warm inland region wine grapes only.</w:t>
            </w:r>
          </w:p>
          <w:p w14:paraId="1AF5CC46" w14:textId="63D0D438" w:rsidR="0068348A" w:rsidRPr="00093812" w:rsidRDefault="0068348A" w:rsidP="0068348A">
            <w:pPr>
              <w:pStyle w:val="TableText"/>
            </w:pPr>
            <w:r w:rsidRPr="00093812">
              <w:t>Data collected would include price points, volumes, varieties, consumer retail data and inventory levels.</w:t>
            </w:r>
          </w:p>
          <w:p w14:paraId="62AA4A5B" w14:textId="5D6A5D4E" w:rsidR="0068348A" w:rsidRPr="00093812" w:rsidRDefault="0068348A" w:rsidP="0068348A">
            <w:pPr>
              <w:pStyle w:val="TableText"/>
            </w:pPr>
            <w:r w:rsidRPr="00093812">
              <w:t>It may also include export data, exchange rates and data on factors that affect supply such as environmental data, freight costs, etc.</w:t>
            </w:r>
          </w:p>
          <w:p w14:paraId="39F3765A" w14:textId="77777777" w:rsidR="0068348A" w:rsidRPr="00093812" w:rsidRDefault="0068348A" w:rsidP="0068348A">
            <w:pPr>
              <w:pStyle w:val="TableText"/>
            </w:pPr>
            <w:r w:rsidRPr="00093812">
              <w:t xml:space="preserve">A web-based platform </w:t>
            </w:r>
            <w:proofErr w:type="gramStart"/>
            <w:r w:rsidRPr="00093812">
              <w:t>similar to</w:t>
            </w:r>
            <w:proofErr w:type="gramEnd"/>
            <w:r w:rsidRPr="00093812">
              <w:t xml:space="preserve"> existing Wine Australia dashboards would make the tool accessible to users and allow users to input their own data.</w:t>
            </w:r>
          </w:p>
          <w:p w14:paraId="1298C975" w14:textId="22AB553D" w:rsidR="0068348A" w:rsidRPr="00093812" w:rsidRDefault="0068348A" w:rsidP="0068348A">
            <w:pPr>
              <w:pStyle w:val="TableText"/>
            </w:pPr>
            <w:r w:rsidRPr="00093812">
              <w:t>The development of an app accessible from smart phones could also be explored.</w:t>
            </w:r>
          </w:p>
        </w:tc>
        <w:tc>
          <w:tcPr>
            <w:tcW w:w="1524" w:type="pct"/>
            <w:tcBorders>
              <w:top w:val="nil"/>
              <w:bottom w:val="single" w:sz="4" w:space="0" w:color="auto"/>
            </w:tcBorders>
          </w:tcPr>
          <w:p w14:paraId="10618590" w14:textId="0A78C584" w:rsidR="008F7A95" w:rsidRPr="008F7A95" w:rsidRDefault="008F7A95" w:rsidP="008F7A95">
            <w:pPr>
              <w:pStyle w:val="TableText"/>
              <w:rPr>
                <w:rStyle w:val="Strong"/>
              </w:rPr>
            </w:pPr>
            <w:r w:rsidRPr="008F7A95">
              <w:rPr>
                <w:rStyle w:val="Strong"/>
              </w:rPr>
              <w:t>Purpose</w:t>
            </w:r>
          </w:p>
          <w:p w14:paraId="084DA8FA" w14:textId="77777777" w:rsidR="008F7A95" w:rsidRDefault="008F7A95" w:rsidP="008F7A95">
            <w:pPr>
              <w:pStyle w:val="TableText"/>
            </w:pPr>
            <w:r>
              <w:t>Introduce an objective perspective of pricing to:</w:t>
            </w:r>
          </w:p>
          <w:p w14:paraId="2658331F" w14:textId="3F1C5AF7" w:rsidR="008F7A95" w:rsidRDefault="008F7A95" w:rsidP="008F7A95">
            <w:pPr>
              <w:pStyle w:val="TableBullet1"/>
            </w:pPr>
            <w:r>
              <w:t>allow better informed decisions such as forward planning and general management</w:t>
            </w:r>
          </w:p>
          <w:p w14:paraId="20ADFDDC" w14:textId="77777777" w:rsidR="008F7A95" w:rsidRDefault="008F7A95" w:rsidP="008F7A95">
            <w:pPr>
              <w:pStyle w:val="TableBullet1"/>
            </w:pPr>
            <w:r>
              <w:t>enable fairer negotiations</w:t>
            </w:r>
          </w:p>
          <w:p w14:paraId="4DF0B358" w14:textId="77777777" w:rsidR="008F7A95" w:rsidRDefault="008F7A95" w:rsidP="008F7A95">
            <w:pPr>
              <w:pStyle w:val="TableBullet1"/>
            </w:pPr>
            <w:r>
              <w:t>address information asymmetries</w:t>
            </w:r>
          </w:p>
          <w:p w14:paraId="42FB33CE" w14:textId="3DDA9EDB" w:rsidR="008F7A95" w:rsidRDefault="008F7A95" w:rsidP="008F7A95">
            <w:pPr>
              <w:pStyle w:val="TableBullet1"/>
            </w:pPr>
            <w:r>
              <w:t>provide more timely and accurate data.</w:t>
            </w:r>
          </w:p>
          <w:p w14:paraId="39FF3556" w14:textId="77777777" w:rsidR="008F7A95" w:rsidRDefault="008F7A95" w:rsidP="008F7A95">
            <w:pPr>
              <w:pStyle w:val="TableText"/>
            </w:pPr>
            <w:r>
              <w:t>Allow better understanding of markets and prediction of trends based on real time information on what is selling at what price</w:t>
            </w:r>
          </w:p>
          <w:p w14:paraId="0EADF35F" w14:textId="77777777" w:rsidR="008F7A95" w:rsidRDefault="008F7A95" w:rsidP="008F7A95">
            <w:pPr>
              <w:pStyle w:val="TableText"/>
            </w:pPr>
            <w:r>
              <w:t>Address the current gap in accessibility of data on the domestic market</w:t>
            </w:r>
          </w:p>
          <w:p w14:paraId="425E2FCB" w14:textId="32B03E28" w:rsidR="008F7A95" w:rsidRPr="008F7A95" w:rsidRDefault="008F7A95" w:rsidP="008F7A95">
            <w:pPr>
              <w:pStyle w:val="TableText"/>
              <w:rPr>
                <w:rStyle w:val="Strong"/>
              </w:rPr>
            </w:pPr>
            <w:r w:rsidRPr="008F7A95">
              <w:rPr>
                <w:rStyle w:val="Strong"/>
              </w:rPr>
              <w:t>Risks and mitigation strategies</w:t>
            </w:r>
          </w:p>
          <w:p w14:paraId="325C6600" w14:textId="0C64BFED" w:rsidR="008F7A95" w:rsidRDefault="008F7A95" w:rsidP="008F7A95">
            <w:pPr>
              <w:pStyle w:val="TableText"/>
            </w:pPr>
            <w:r>
              <w:t>Availability of accurate data. Tools are only as good as the underlying data – imperfect data can still provide useful insights.</w:t>
            </w:r>
          </w:p>
          <w:p w14:paraId="1DC1CD04" w14:textId="0B5632C7" w:rsidR="008F7A95" w:rsidRDefault="008F7A95" w:rsidP="008F7A95">
            <w:pPr>
              <w:pStyle w:val="TableText"/>
            </w:pPr>
            <w:r w:rsidRPr="00093812">
              <w:t>Differences in pricing of premium and commodity market could lead to oversimplified results – data would need to be collected for the entire industry</w:t>
            </w:r>
            <w:r>
              <w:t xml:space="preserve"> and differences built into model to determine price range for warm inland region wine grapes.</w:t>
            </w:r>
          </w:p>
          <w:p w14:paraId="2EE2E314" w14:textId="77777777" w:rsidR="008F7A95" w:rsidRDefault="008F7A95" w:rsidP="008F7A95">
            <w:pPr>
              <w:pStyle w:val="TableText"/>
            </w:pPr>
            <w:r>
              <w:t>International factors influence pricing and are complex.</w:t>
            </w:r>
          </w:p>
          <w:p w14:paraId="512E3AD3" w14:textId="3CF22AB5" w:rsidR="008F7A95" w:rsidRDefault="008F7A95" w:rsidP="008F7A95">
            <w:pPr>
              <w:pStyle w:val="TableText"/>
            </w:pPr>
            <w:r>
              <w:t>Additional survey to obtain data may be burdensome – may be ways to streamline surveys.</w:t>
            </w:r>
          </w:p>
          <w:p w14:paraId="75939235" w14:textId="77777777" w:rsidR="008F7A95" w:rsidRDefault="008F7A95" w:rsidP="008F7A95">
            <w:pPr>
              <w:pStyle w:val="TableText"/>
            </w:pPr>
            <w:r>
              <w:t>Data on inventory levels are at a point in time (c.f. the USA which has a running track of inventory).</w:t>
            </w:r>
          </w:p>
          <w:p w14:paraId="395CE820" w14:textId="563E09BB" w:rsidR="008F7A95" w:rsidRPr="008F7A95" w:rsidRDefault="008F7A95" w:rsidP="008F7A95">
            <w:pPr>
              <w:pStyle w:val="TableText"/>
              <w:rPr>
                <w:rStyle w:val="Strong"/>
              </w:rPr>
            </w:pPr>
            <w:r w:rsidRPr="008F7A95">
              <w:rPr>
                <w:rStyle w:val="Strong"/>
              </w:rPr>
              <w:t>Benefits</w:t>
            </w:r>
          </w:p>
          <w:p w14:paraId="3C41EA9E" w14:textId="48D4C1DD" w:rsidR="008F7A95" w:rsidRDefault="008F7A95" w:rsidP="008F7A95">
            <w:pPr>
              <w:pStyle w:val="TableText"/>
            </w:pPr>
            <w:r>
              <w:t xml:space="preserve">Growers are better informed on pricing leading to </w:t>
            </w:r>
            <w:r w:rsidRPr="00144BF5">
              <w:t xml:space="preserve">better </w:t>
            </w:r>
            <w:r w:rsidR="00144BF5" w:rsidRPr="00144BF5">
              <w:t xml:space="preserve">informed </w:t>
            </w:r>
            <w:r w:rsidRPr="00144BF5">
              <w:t>decisions</w:t>
            </w:r>
            <w:r>
              <w:t xml:space="preserve"> on managing their businesses.</w:t>
            </w:r>
          </w:p>
          <w:p w14:paraId="47D284D1" w14:textId="77777777" w:rsidR="008F7A95" w:rsidRDefault="008F7A95" w:rsidP="008F7A95">
            <w:pPr>
              <w:pStyle w:val="TableText"/>
            </w:pPr>
            <w:r>
              <w:t>Addresses information asymmetries, allowing for more balanced negotiating positions.</w:t>
            </w:r>
          </w:p>
          <w:p w14:paraId="7C3AD89A" w14:textId="77777777" w:rsidR="0068348A" w:rsidRPr="008F7A95" w:rsidRDefault="008F7A95" w:rsidP="008F7A95">
            <w:pPr>
              <w:pStyle w:val="TableText"/>
            </w:pPr>
            <w:r>
              <w:t>Provides more timely information on pricing and trends.</w:t>
            </w:r>
          </w:p>
        </w:tc>
        <w:tc>
          <w:tcPr>
            <w:tcW w:w="1476" w:type="pct"/>
            <w:tcBorders>
              <w:top w:val="nil"/>
              <w:bottom w:val="single" w:sz="4" w:space="0" w:color="auto"/>
            </w:tcBorders>
          </w:tcPr>
          <w:p w14:paraId="78948A7F" w14:textId="77777777" w:rsidR="0068348A" w:rsidRPr="001646D8" w:rsidRDefault="0068348A" w:rsidP="006D0720">
            <w:pPr>
              <w:pStyle w:val="TableText"/>
            </w:pPr>
            <w:r w:rsidRPr="00C40350">
              <w:rPr>
                <w:rStyle w:val="Strong"/>
              </w:rPr>
              <w:t>Stakeholders</w:t>
            </w:r>
          </w:p>
          <w:p w14:paraId="13D51AD8" w14:textId="77777777" w:rsidR="00B91D17" w:rsidRDefault="00B91D17" w:rsidP="00B91D17">
            <w:pPr>
              <w:pStyle w:val="TableText"/>
            </w:pPr>
            <w:r>
              <w:t>Wine Australia would be the appropriate body to manage the project and resulting tool. Wine Australia would need to go out to tender to obtain the appropriate expertise to build the econometric model.</w:t>
            </w:r>
          </w:p>
          <w:p w14:paraId="71739A1F" w14:textId="77777777" w:rsidR="00B91D17" w:rsidRDefault="00B91D17" w:rsidP="00B91D17">
            <w:pPr>
              <w:pStyle w:val="TableText"/>
            </w:pPr>
            <w:r>
              <w:t xml:space="preserve">Wine Australia already collate vintage data and hold data on exports wine production, </w:t>
            </w:r>
            <w:proofErr w:type="gramStart"/>
            <w:r>
              <w:t>sales</w:t>
            </w:r>
            <w:proofErr w:type="gramEnd"/>
            <w:r>
              <w:t xml:space="preserve"> and inventory. </w:t>
            </w:r>
          </w:p>
          <w:p w14:paraId="7AEC864D" w14:textId="77777777" w:rsidR="00B91D17" w:rsidRDefault="00B91D17" w:rsidP="00B91D17">
            <w:pPr>
              <w:pStyle w:val="TableText"/>
            </w:pPr>
            <w:r>
              <w:t>Wine Australia also has existing dashboards for export, the national vintage survey, market explorer, and wine geographical indications</w:t>
            </w:r>
          </w:p>
          <w:p w14:paraId="5EE93FAB" w14:textId="77777777" w:rsidR="00B91D17" w:rsidRDefault="00B91D17" w:rsidP="00B91D17">
            <w:pPr>
              <w:pStyle w:val="TableText"/>
            </w:pPr>
            <w:r>
              <w:t>Australian Grape &amp; Wine would be a key partner and would manage industry reference groups.</w:t>
            </w:r>
          </w:p>
          <w:p w14:paraId="353C5B2A" w14:textId="36140C22" w:rsidR="00B91D17" w:rsidRDefault="00B91D17" w:rsidP="00B91D17">
            <w:pPr>
              <w:pStyle w:val="TableText"/>
            </w:pPr>
            <w:r>
              <w:t>Data inputs may be required from other organisations, such as consumer data or data affecting supply (environmental, shipping, etc)</w:t>
            </w:r>
          </w:p>
          <w:p w14:paraId="67821E24" w14:textId="20D5A203" w:rsidR="00B91D17" w:rsidRPr="00FD0884" w:rsidRDefault="00B91D17" w:rsidP="00B91D17">
            <w:pPr>
              <w:pStyle w:val="TableText"/>
              <w:rPr>
                <w:rStyle w:val="Strong"/>
              </w:rPr>
            </w:pPr>
            <w:r w:rsidRPr="00FD0884">
              <w:rPr>
                <w:rStyle w:val="Strong"/>
              </w:rPr>
              <w:t>Resourcing</w:t>
            </w:r>
          </w:p>
          <w:p w14:paraId="05CB3AA6" w14:textId="77777777" w:rsidR="00B91D17" w:rsidRDefault="00B91D17" w:rsidP="00B91D17">
            <w:pPr>
              <w:pStyle w:val="TableText"/>
            </w:pPr>
            <w:r>
              <w:t>Funding and resourcing will need to be costed for:</w:t>
            </w:r>
          </w:p>
          <w:p w14:paraId="6095B789" w14:textId="2C1B86BF" w:rsidR="00B91D17" w:rsidRDefault="00B91D17" w:rsidP="009F0396">
            <w:pPr>
              <w:pStyle w:val="TableBullet1"/>
              <w:spacing w:before="20" w:after="20"/>
            </w:pPr>
            <w:r>
              <w:t>conducting a feasibility study</w:t>
            </w:r>
          </w:p>
          <w:p w14:paraId="6AAEFCAD" w14:textId="351179A0" w:rsidR="00B91D17" w:rsidRDefault="00B91D17" w:rsidP="009F0396">
            <w:pPr>
              <w:pStyle w:val="TableBullet1"/>
              <w:spacing w:before="20" w:after="20"/>
            </w:pPr>
            <w:r>
              <w:t>collecting data from existing sources (domestic first)</w:t>
            </w:r>
          </w:p>
          <w:p w14:paraId="562066FE" w14:textId="370D20A2" w:rsidR="00B91D17" w:rsidRDefault="00B91D17" w:rsidP="009F0396">
            <w:pPr>
              <w:pStyle w:val="TableBullet1"/>
              <w:spacing w:before="20" w:after="20"/>
            </w:pPr>
            <w:r>
              <w:t>building econometric model</w:t>
            </w:r>
          </w:p>
          <w:p w14:paraId="301B816F" w14:textId="6F2B29D1" w:rsidR="00B91D17" w:rsidRDefault="00B91D17" w:rsidP="009F0396">
            <w:pPr>
              <w:pStyle w:val="TableBullet1"/>
              <w:spacing w:before="20" w:after="20"/>
            </w:pPr>
            <w:r>
              <w:t>building and maintaining a web-based platform and possible smart phone app.</w:t>
            </w:r>
          </w:p>
          <w:p w14:paraId="2A413FFD" w14:textId="65F027C4" w:rsidR="00B91D17" w:rsidRDefault="00B91D17" w:rsidP="00B91D17">
            <w:pPr>
              <w:pStyle w:val="TableText"/>
            </w:pPr>
            <w:r>
              <w:t xml:space="preserve">Existing data held by Wine Australia includes: </w:t>
            </w:r>
          </w:p>
          <w:p w14:paraId="24409D63" w14:textId="306526F1" w:rsidR="00B91D17" w:rsidRDefault="00B91D17" w:rsidP="009F0396">
            <w:pPr>
              <w:pStyle w:val="TableBullet1"/>
              <w:spacing w:before="20" w:after="20"/>
            </w:pPr>
            <w:r>
              <w:t>export data</w:t>
            </w:r>
          </w:p>
          <w:p w14:paraId="5DE29596" w14:textId="440BC167" w:rsidR="00B91D17" w:rsidRDefault="00B91D17" w:rsidP="009F0396">
            <w:pPr>
              <w:pStyle w:val="TableBullet1"/>
              <w:spacing w:before="20" w:after="20"/>
            </w:pPr>
            <w:r>
              <w:t>global supply monitor</w:t>
            </w:r>
          </w:p>
          <w:p w14:paraId="5891854A" w14:textId="3E66E09E" w:rsidR="00B91D17" w:rsidRDefault="00B91D17" w:rsidP="009F0396">
            <w:pPr>
              <w:pStyle w:val="TableBullet1"/>
              <w:spacing w:before="20" w:after="20"/>
            </w:pPr>
            <w:r>
              <w:t>global trade atlas</w:t>
            </w:r>
          </w:p>
          <w:p w14:paraId="61B35401" w14:textId="75D59D77" w:rsidR="00B91D17" w:rsidRDefault="00B91D17" w:rsidP="009F0396">
            <w:pPr>
              <w:pStyle w:val="TableBullet1"/>
              <w:spacing w:before="20" w:after="20"/>
            </w:pPr>
            <w:r>
              <w:t>national vintage survey</w:t>
            </w:r>
          </w:p>
          <w:p w14:paraId="243CA974" w14:textId="045B88CF" w:rsidR="00B91D17" w:rsidRDefault="00B91D17" w:rsidP="009F0396">
            <w:pPr>
              <w:pStyle w:val="TableBullet1"/>
              <w:spacing w:before="20" w:after="20"/>
            </w:pPr>
            <w:r>
              <w:t>inventory levels.</w:t>
            </w:r>
          </w:p>
          <w:p w14:paraId="1834627C" w14:textId="2CB2F0D6" w:rsidR="00FD0884" w:rsidRDefault="00B91D17" w:rsidP="00FD0884">
            <w:pPr>
              <w:pStyle w:val="TableBullet1"/>
              <w:numPr>
                <w:ilvl w:val="0"/>
                <w:numId w:val="0"/>
              </w:numPr>
            </w:pPr>
            <w:r>
              <w:t>Data may be available from other sources:</w:t>
            </w:r>
          </w:p>
          <w:p w14:paraId="400BABC5" w14:textId="6115B101" w:rsidR="00B91D17" w:rsidRDefault="00B91D17" w:rsidP="009F0396">
            <w:pPr>
              <w:pStyle w:val="TableBullet1"/>
              <w:spacing w:before="20" w:after="20"/>
            </w:pPr>
            <w:r>
              <w:t>environmental information</w:t>
            </w:r>
          </w:p>
          <w:p w14:paraId="5D820C10" w14:textId="77777777" w:rsidR="00FD0884" w:rsidRDefault="00B91D17" w:rsidP="009F0396">
            <w:pPr>
              <w:pStyle w:val="TableBullet1"/>
              <w:spacing w:before="20" w:after="20"/>
            </w:pPr>
            <w:r>
              <w:t>exchange rates</w:t>
            </w:r>
          </w:p>
          <w:p w14:paraId="3C9EE900" w14:textId="7109FF1F" w:rsidR="00B91D17" w:rsidRDefault="00B91D17" w:rsidP="009F0396">
            <w:pPr>
              <w:pStyle w:val="TableBullet1"/>
              <w:spacing w:before="20" w:after="20"/>
            </w:pPr>
            <w:r>
              <w:t>logistics (</w:t>
            </w:r>
            <w:r w:rsidR="00093812">
              <w:t>for example,</w:t>
            </w:r>
            <w:r>
              <w:t xml:space="preserve"> freight, shipping)</w:t>
            </w:r>
          </w:p>
          <w:p w14:paraId="167F59EE" w14:textId="383C80E8" w:rsidR="0068348A" w:rsidRPr="00ED7A6E" w:rsidRDefault="00B91D17" w:rsidP="009F0396">
            <w:pPr>
              <w:pStyle w:val="TableBullet1"/>
              <w:spacing w:before="20" w:after="20"/>
            </w:pPr>
            <w:r>
              <w:t>consumer retail data.</w:t>
            </w:r>
          </w:p>
        </w:tc>
        <w:tc>
          <w:tcPr>
            <w:tcW w:w="857" w:type="pct"/>
            <w:tcBorders>
              <w:top w:val="nil"/>
              <w:bottom w:val="single" w:sz="4" w:space="0" w:color="auto"/>
            </w:tcBorders>
          </w:tcPr>
          <w:p w14:paraId="1CBAD00C" w14:textId="582338AF" w:rsidR="00FD0884" w:rsidRPr="00175CA8" w:rsidRDefault="00FD0884" w:rsidP="00FD0884">
            <w:pPr>
              <w:pStyle w:val="TableText"/>
              <w:rPr>
                <w:rStyle w:val="Strong"/>
              </w:rPr>
            </w:pPr>
            <w:r w:rsidRPr="00175CA8">
              <w:rPr>
                <w:rStyle w:val="Strong"/>
              </w:rPr>
              <w:t>Proof of concept</w:t>
            </w:r>
          </w:p>
          <w:p w14:paraId="45CC184D" w14:textId="3D46A4CC" w:rsidR="00FD0884" w:rsidRDefault="00FD0884" w:rsidP="00FD0884">
            <w:pPr>
              <w:pStyle w:val="TableBullet1"/>
            </w:pPr>
            <w:r>
              <w:t>What information is available</w:t>
            </w:r>
          </w:p>
          <w:p w14:paraId="41CD27CD" w14:textId="09D1710F" w:rsidR="00FD0884" w:rsidRDefault="00FD0884" w:rsidP="00FD0884">
            <w:pPr>
              <w:pStyle w:val="TableBullet1"/>
            </w:pPr>
            <w:r>
              <w:t xml:space="preserve">Who would collect the </w:t>
            </w:r>
            <w:proofErr w:type="gramStart"/>
            <w:r>
              <w:t>data</w:t>
            </w:r>
            <w:proofErr w:type="gramEnd"/>
          </w:p>
          <w:p w14:paraId="767CB78A" w14:textId="4C9136F5" w:rsidR="00FD0884" w:rsidRDefault="00FD0884" w:rsidP="00FD0884">
            <w:pPr>
              <w:pStyle w:val="TableBullet1"/>
            </w:pPr>
            <w:r>
              <w:t xml:space="preserve">How complicated </w:t>
            </w:r>
          </w:p>
          <w:p w14:paraId="299A21B2" w14:textId="7738C611" w:rsidR="00FD0884" w:rsidRDefault="00FD0884" w:rsidP="00FD0884">
            <w:pPr>
              <w:pStyle w:val="TableBullet1"/>
            </w:pPr>
            <w:r>
              <w:t>How accurate</w:t>
            </w:r>
          </w:p>
          <w:p w14:paraId="65822E6B" w14:textId="359C832D" w:rsidR="00FD0884" w:rsidRDefault="00FD0884" w:rsidP="00FD0884">
            <w:pPr>
              <w:pStyle w:val="TableBullet1"/>
            </w:pPr>
            <w:r>
              <w:t>How well data could be analysed</w:t>
            </w:r>
          </w:p>
          <w:p w14:paraId="4E3BAF7D" w14:textId="77777777" w:rsidR="00FD0884" w:rsidRDefault="00FD0884" w:rsidP="00FD0884">
            <w:pPr>
              <w:pStyle w:val="TableText"/>
            </w:pPr>
            <w:r>
              <w:t>Wine Australia as an independent organisation would have the role of data collection.</w:t>
            </w:r>
          </w:p>
          <w:p w14:paraId="29B5502C" w14:textId="2B408661" w:rsidR="0068348A" w:rsidRPr="008F7A95" w:rsidRDefault="00FD0884" w:rsidP="00FD0884">
            <w:pPr>
              <w:pStyle w:val="TableText"/>
            </w:pPr>
            <w:r>
              <w:t>Australian Grape and Wine industry reference groups to enable stakeholder representation from all regions (esp</w:t>
            </w:r>
            <w:r w:rsidR="00956699">
              <w:t>ecially</w:t>
            </w:r>
            <w:r>
              <w:t xml:space="preserve"> warm inland regions).</w:t>
            </w:r>
          </w:p>
        </w:tc>
      </w:tr>
    </w:tbl>
    <w:p w14:paraId="49B411A9" w14:textId="77777777" w:rsidR="0068348A" w:rsidRDefault="0068348A" w:rsidP="00ED7A6E"/>
    <w:tbl>
      <w:tblPr>
        <w:tblStyle w:val="PlainTable2"/>
        <w:tblW w:w="5209" w:type="pct"/>
        <w:tblBorders>
          <w:top w:val="single" w:sz="4" w:space="0" w:color="auto"/>
          <w:bottom w:val="single" w:sz="4" w:space="0" w:color="auto"/>
          <w:insideH w:val="single" w:sz="4" w:space="0" w:color="auto"/>
        </w:tblBorders>
        <w:tblLook w:val="0620" w:firstRow="1" w:lastRow="0" w:firstColumn="0" w:lastColumn="0" w:noHBand="1" w:noVBand="1"/>
      </w:tblPr>
      <w:tblGrid>
        <w:gridCol w:w="3119"/>
        <w:gridCol w:w="5245"/>
        <w:gridCol w:w="3968"/>
        <w:gridCol w:w="2551"/>
      </w:tblGrid>
      <w:tr w:rsidR="0068348A" w:rsidRPr="00ED7A6E" w14:paraId="6A490933" w14:textId="77777777" w:rsidTr="000E74D7">
        <w:trPr>
          <w:cnfStyle w:val="100000000000" w:firstRow="1" w:lastRow="0" w:firstColumn="0" w:lastColumn="0" w:oddVBand="0" w:evenVBand="0" w:oddHBand="0" w:evenHBand="0" w:firstRowFirstColumn="0" w:firstRowLastColumn="0" w:lastRowFirstColumn="0" w:lastRowLastColumn="0"/>
        </w:trPr>
        <w:tc>
          <w:tcPr>
            <w:tcW w:w="1048" w:type="pct"/>
            <w:tcBorders>
              <w:top w:val="single" w:sz="4" w:space="0" w:color="auto"/>
              <w:bottom w:val="single" w:sz="4" w:space="0" w:color="auto"/>
            </w:tcBorders>
          </w:tcPr>
          <w:p w14:paraId="06007623" w14:textId="59CC45DE" w:rsidR="0068348A" w:rsidRPr="00EB7BE8" w:rsidRDefault="0068348A" w:rsidP="006D0720">
            <w:pPr>
              <w:pStyle w:val="TableHeading"/>
              <w:rPr>
                <w:rStyle w:val="Strong"/>
              </w:rPr>
            </w:pPr>
            <w:r>
              <w:br w:type="page"/>
            </w:r>
            <w:r w:rsidRPr="00144BF5">
              <w:rPr>
                <w:rStyle w:val="Strong"/>
              </w:rPr>
              <w:t>Project</w:t>
            </w:r>
          </w:p>
        </w:tc>
        <w:tc>
          <w:tcPr>
            <w:tcW w:w="1762" w:type="pct"/>
            <w:tcBorders>
              <w:top w:val="single" w:sz="4" w:space="0" w:color="auto"/>
              <w:bottom w:val="single" w:sz="4" w:space="0" w:color="auto"/>
            </w:tcBorders>
          </w:tcPr>
          <w:p w14:paraId="5AC0CBFE" w14:textId="77777777" w:rsidR="0068348A" w:rsidRPr="00EB7BE8" w:rsidRDefault="0068348A" w:rsidP="006D0720">
            <w:pPr>
              <w:pStyle w:val="TableHeading"/>
              <w:rPr>
                <w:rStyle w:val="Strong"/>
              </w:rPr>
            </w:pPr>
            <w:r w:rsidRPr="00EB7BE8">
              <w:rPr>
                <w:rStyle w:val="Strong"/>
              </w:rPr>
              <w:t xml:space="preserve">Key purpose, </w:t>
            </w:r>
            <w:proofErr w:type="gramStart"/>
            <w:r w:rsidRPr="00EB7BE8">
              <w:rPr>
                <w:rStyle w:val="Strong"/>
              </w:rPr>
              <w:t>risks</w:t>
            </w:r>
            <w:proofErr w:type="gramEnd"/>
            <w:r w:rsidRPr="00EB7BE8">
              <w:rPr>
                <w:rStyle w:val="Strong"/>
              </w:rPr>
              <w:t xml:space="preserve"> and benefits</w:t>
            </w:r>
          </w:p>
        </w:tc>
        <w:tc>
          <w:tcPr>
            <w:tcW w:w="1333" w:type="pct"/>
            <w:tcBorders>
              <w:top w:val="single" w:sz="4" w:space="0" w:color="auto"/>
              <w:bottom w:val="single" w:sz="4" w:space="0" w:color="auto"/>
            </w:tcBorders>
          </w:tcPr>
          <w:p w14:paraId="315EC0B7" w14:textId="77777777" w:rsidR="0068348A" w:rsidRPr="00EB7BE8" w:rsidRDefault="0068348A" w:rsidP="006D0720">
            <w:pPr>
              <w:pStyle w:val="TableHeading"/>
              <w:rPr>
                <w:rStyle w:val="Strong"/>
              </w:rPr>
            </w:pPr>
            <w:r w:rsidRPr="00EB7BE8">
              <w:rPr>
                <w:rStyle w:val="Strong"/>
              </w:rPr>
              <w:t>Stakeholders and resourcing</w:t>
            </w:r>
          </w:p>
        </w:tc>
        <w:tc>
          <w:tcPr>
            <w:tcW w:w="857" w:type="pct"/>
            <w:tcBorders>
              <w:top w:val="single" w:sz="4" w:space="0" w:color="auto"/>
              <w:bottom w:val="single" w:sz="4" w:space="0" w:color="auto"/>
            </w:tcBorders>
          </w:tcPr>
          <w:p w14:paraId="1B140679" w14:textId="77777777" w:rsidR="0068348A" w:rsidRPr="00EB7BE8" w:rsidRDefault="0068348A" w:rsidP="006D0720">
            <w:pPr>
              <w:pStyle w:val="TableHeading"/>
              <w:rPr>
                <w:rStyle w:val="Strong"/>
              </w:rPr>
            </w:pPr>
            <w:r w:rsidRPr="00EB7BE8">
              <w:rPr>
                <w:rStyle w:val="Strong"/>
              </w:rPr>
              <w:t>Next steps</w:t>
            </w:r>
          </w:p>
        </w:tc>
      </w:tr>
      <w:tr w:rsidR="0068348A" w:rsidRPr="00ED7A6E" w14:paraId="53BE4D3A" w14:textId="77777777" w:rsidTr="000E74D7">
        <w:tc>
          <w:tcPr>
            <w:tcW w:w="1048" w:type="pct"/>
            <w:tcBorders>
              <w:top w:val="single" w:sz="4" w:space="0" w:color="auto"/>
            </w:tcBorders>
          </w:tcPr>
          <w:p w14:paraId="0C65EABC" w14:textId="28D7B98B" w:rsidR="00332BCF" w:rsidRPr="00332BCF" w:rsidRDefault="00332BCF" w:rsidP="00332BCF">
            <w:pPr>
              <w:pStyle w:val="TableText"/>
              <w:rPr>
                <w:rStyle w:val="Strong"/>
              </w:rPr>
            </w:pPr>
            <w:r w:rsidRPr="00332BCF">
              <w:rPr>
                <w:rStyle w:val="Strong"/>
              </w:rPr>
              <w:t xml:space="preserve">Code of </w:t>
            </w:r>
            <w:r w:rsidR="00201CF8">
              <w:rPr>
                <w:rStyle w:val="Strong"/>
              </w:rPr>
              <w:t>c</w:t>
            </w:r>
            <w:r w:rsidRPr="00332BCF">
              <w:rPr>
                <w:rStyle w:val="Strong"/>
              </w:rPr>
              <w:t xml:space="preserve">onduct </w:t>
            </w:r>
            <w:r w:rsidR="00201CF8">
              <w:rPr>
                <w:rStyle w:val="Strong"/>
              </w:rPr>
              <w:t>a</w:t>
            </w:r>
            <w:r w:rsidRPr="00332BCF">
              <w:rPr>
                <w:rStyle w:val="Strong"/>
              </w:rPr>
              <w:t xml:space="preserve">wareness and </w:t>
            </w:r>
            <w:r w:rsidR="00201CF8">
              <w:rPr>
                <w:rStyle w:val="Strong"/>
              </w:rPr>
              <w:t>e</w:t>
            </w:r>
            <w:r w:rsidRPr="00332BCF">
              <w:rPr>
                <w:rStyle w:val="Strong"/>
              </w:rPr>
              <w:t>ducation campaign</w:t>
            </w:r>
          </w:p>
          <w:p w14:paraId="3CEAEDD6" w14:textId="3789A229" w:rsidR="00332BCF" w:rsidRPr="00332BCF" w:rsidRDefault="00332BCF" w:rsidP="00332BCF">
            <w:pPr>
              <w:pStyle w:val="TableText"/>
              <w:rPr>
                <w:rStyle w:val="Strong"/>
                <w:b w:val="0"/>
                <w:bCs w:val="0"/>
              </w:rPr>
            </w:pPr>
            <w:r w:rsidRPr="00332BCF">
              <w:rPr>
                <w:rStyle w:val="Strong"/>
                <w:b w:val="0"/>
                <w:bCs w:val="0"/>
              </w:rPr>
              <w:t xml:space="preserve">An awareness raising educative campaign to highlight the benefits and scope of the </w:t>
            </w:r>
            <w:r w:rsidR="00977C03">
              <w:rPr>
                <w:rStyle w:val="Strong"/>
                <w:b w:val="0"/>
                <w:bCs w:val="0"/>
              </w:rPr>
              <w:t>C</w:t>
            </w:r>
            <w:r w:rsidRPr="00332BCF">
              <w:rPr>
                <w:rStyle w:val="Strong"/>
                <w:b w:val="0"/>
                <w:bCs w:val="0"/>
              </w:rPr>
              <w:t>ode.</w:t>
            </w:r>
          </w:p>
          <w:p w14:paraId="1BB305C8" w14:textId="77777777" w:rsidR="00332BCF" w:rsidRPr="00332BCF" w:rsidRDefault="00332BCF" w:rsidP="00332BCF">
            <w:pPr>
              <w:pStyle w:val="TableText"/>
              <w:rPr>
                <w:rStyle w:val="Strong"/>
                <w:b w:val="0"/>
                <w:bCs w:val="0"/>
              </w:rPr>
            </w:pPr>
            <w:r w:rsidRPr="00332BCF">
              <w:rPr>
                <w:rStyle w:val="Strong"/>
                <w:b w:val="0"/>
                <w:bCs w:val="0"/>
              </w:rPr>
              <w:t xml:space="preserve">Educate for a better understanding of dispute resolution mechanism, </w:t>
            </w:r>
            <w:proofErr w:type="gramStart"/>
            <w:r w:rsidRPr="00332BCF">
              <w:rPr>
                <w:rStyle w:val="Strong"/>
                <w:b w:val="0"/>
                <w:bCs w:val="0"/>
              </w:rPr>
              <w:t>contracts</w:t>
            </w:r>
            <w:proofErr w:type="gramEnd"/>
            <w:r w:rsidRPr="00332BCF">
              <w:rPr>
                <w:rStyle w:val="Strong"/>
                <w:b w:val="0"/>
                <w:bCs w:val="0"/>
              </w:rPr>
              <w:t xml:space="preserve"> and the research component within the industry.</w:t>
            </w:r>
          </w:p>
          <w:p w14:paraId="3DF197BB" w14:textId="77777777" w:rsidR="00332BCF" w:rsidRPr="00332BCF" w:rsidRDefault="00332BCF" w:rsidP="00332BCF">
            <w:pPr>
              <w:pStyle w:val="TableText"/>
              <w:rPr>
                <w:rStyle w:val="Strong"/>
                <w:b w:val="0"/>
                <w:bCs w:val="0"/>
              </w:rPr>
            </w:pPr>
            <w:r w:rsidRPr="00332BCF">
              <w:rPr>
                <w:rStyle w:val="Strong"/>
                <w:b w:val="0"/>
                <w:bCs w:val="0"/>
              </w:rPr>
              <w:t>To include material such as case studies, how-to guides, contract templates, podcasts, dedicated web hosting of material.</w:t>
            </w:r>
          </w:p>
          <w:p w14:paraId="72F3F3A6" w14:textId="7856C51C" w:rsidR="0068348A" w:rsidRPr="00133711" w:rsidRDefault="00332BCF" w:rsidP="00332BCF">
            <w:pPr>
              <w:pStyle w:val="TableText"/>
            </w:pPr>
            <w:r w:rsidRPr="00332BCF">
              <w:rPr>
                <w:rStyle w:val="Strong"/>
                <w:b w:val="0"/>
                <w:bCs w:val="0"/>
              </w:rPr>
              <w:t>Badging ‘I’ve signed up to the Code’ to promote the code within industry.</w:t>
            </w:r>
          </w:p>
        </w:tc>
        <w:tc>
          <w:tcPr>
            <w:tcW w:w="1762" w:type="pct"/>
            <w:tcBorders>
              <w:top w:val="single" w:sz="4" w:space="0" w:color="auto"/>
            </w:tcBorders>
          </w:tcPr>
          <w:p w14:paraId="13D70EB5" w14:textId="77777777" w:rsidR="0068348A" w:rsidRPr="006C401F" w:rsidRDefault="0068348A" w:rsidP="006D0720">
            <w:pPr>
              <w:pStyle w:val="TableText"/>
              <w:rPr>
                <w:rStyle w:val="Strong"/>
              </w:rPr>
            </w:pPr>
            <w:r w:rsidRPr="006C401F">
              <w:rPr>
                <w:rStyle w:val="Strong"/>
              </w:rPr>
              <w:t>Purpose</w:t>
            </w:r>
          </w:p>
          <w:p w14:paraId="4E415132" w14:textId="77777777" w:rsidR="00332BCF" w:rsidRDefault="00332BCF" w:rsidP="00332BCF">
            <w:pPr>
              <w:pStyle w:val="TableText"/>
            </w:pPr>
            <w:r>
              <w:t>Improving relationships between growers and makers and putting everyone on the same level/playing field.</w:t>
            </w:r>
          </w:p>
          <w:p w14:paraId="3AD4D5DD" w14:textId="77777777" w:rsidR="00332BCF" w:rsidRDefault="00332BCF" w:rsidP="00332BCF">
            <w:pPr>
              <w:pStyle w:val="TableText"/>
            </w:pPr>
            <w:r>
              <w:t>Generate trust in the Code as effective, working well and knowing the boundaries within which to operate.</w:t>
            </w:r>
          </w:p>
          <w:p w14:paraId="121D4BF1" w14:textId="77777777" w:rsidR="00332BCF" w:rsidRDefault="00332BCF" w:rsidP="00332BCF">
            <w:pPr>
              <w:pStyle w:val="TableText"/>
            </w:pPr>
            <w:r>
              <w:t>Create a pool of experts adequately trained in applying the code.</w:t>
            </w:r>
          </w:p>
          <w:p w14:paraId="08F70910" w14:textId="77777777" w:rsidR="00332BCF" w:rsidRDefault="00332BCF" w:rsidP="00332BCF">
            <w:pPr>
              <w:pStyle w:val="TableText"/>
            </w:pPr>
            <w:r>
              <w:t>Raising awareness that participation in the Code is a part of being a professional industry.</w:t>
            </w:r>
          </w:p>
          <w:p w14:paraId="08235A3F" w14:textId="77777777" w:rsidR="00332BCF" w:rsidRDefault="00332BCF" w:rsidP="00332BCF">
            <w:pPr>
              <w:pStyle w:val="TableText"/>
            </w:pPr>
            <w:r>
              <w:t>Increasing transparency in pricing and thereby increase competition.</w:t>
            </w:r>
          </w:p>
          <w:p w14:paraId="4F49D58A" w14:textId="39925DCE" w:rsidR="00332BCF" w:rsidRPr="002E3B2A" w:rsidRDefault="00332BCF" w:rsidP="00332BCF">
            <w:pPr>
              <w:pStyle w:val="TableText"/>
              <w:rPr>
                <w:rStyle w:val="Strong"/>
              </w:rPr>
            </w:pPr>
            <w:r w:rsidRPr="002E3B2A">
              <w:rPr>
                <w:rStyle w:val="Strong"/>
              </w:rPr>
              <w:t>Risks and</w:t>
            </w:r>
            <w:r w:rsidR="002E3B2A">
              <w:rPr>
                <w:rStyle w:val="Strong"/>
              </w:rPr>
              <w:t xml:space="preserve"> </w:t>
            </w:r>
            <w:r w:rsidRPr="002E3B2A">
              <w:rPr>
                <w:rStyle w:val="Strong"/>
              </w:rPr>
              <w:t>mitigation strategies</w:t>
            </w:r>
          </w:p>
          <w:p w14:paraId="5E91E0E1" w14:textId="208BEC83" w:rsidR="00332BCF" w:rsidRDefault="00332BCF" w:rsidP="00332BCF">
            <w:pPr>
              <w:pStyle w:val="TableText"/>
            </w:pPr>
            <w:r>
              <w:t xml:space="preserve">Funding to resource a campaign is insufficient </w:t>
            </w:r>
            <w:r w:rsidR="00631D86">
              <w:t xml:space="preserve">– </w:t>
            </w:r>
            <w:r>
              <w:t>have well prepared proposal for funding.</w:t>
            </w:r>
          </w:p>
          <w:p w14:paraId="1D6CF819" w14:textId="32FD2393" w:rsidR="00332BCF" w:rsidRDefault="00332BCF" w:rsidP="00332BCF">
            <w:pPr>
              <w:pStyle w:val="TableText"/>
            </w:pPr>
            <w:r>
              <w:t xml:space="preserve">Timing of delivery of campaign is mis-aligned </w:t>
            </w:r>
            <w:r w:rsidR="00631D86">
              <w:t xml:space="preserve">– </w:t>
            </w:r>
            <w:r>
              <w:t>be flexible with timing of delivering the campaign.</w:t>
            </w:r>
          </w:p>
          <w:p w14:paraId="7876A12F" w14:textId="3A9CE0B8" w:rsidR="00332BCF" w:rsidRDefault="00332BCF" w:rsidP="00332BCF">
            <w:pPr>
              <w:pStyle w:val="TableText"/>
            </w:pPr>
            <w:r>
              <w:t xml:space="preserve">No more adoption of the Code by industry </w:t>
            </w:r>
            <w:r w:rsidR="00631D86">
              <w:t xml:space="preserve">– </w:t>
            </w:r>
            <w:r>
              <w:t>set realistic, achievable milestones and KPIs, demonstrating transparency in the process, messaging benefits.</w:t>
            </w:r>
          </w:p>
          <w:p w14:paraId="7A127A90" w14:textId="05239042" w:rsidR="00332BCF" w:rsidRDefault="00332BCF" w:rsidP="00332BCF">
            <w:pPr>
              <w:pStyle w:val="TableText"/>
            </w:pPr>
            <w:r>
              <w:t>Relationship breakdown with oversupply situation</w:t>
            </w:r>
            <w:r w:rsidR="00631D86">
              <w:t xml:space="preserve"> – </w:t>
            </w:r>
            <w:r>
              <w:t>demonstrate through case studies when and how the code has worked well.</w:t>
            </w:r>
          </w:p>
          <w:p w14:paraId="31F4D522" w14:textId="0F2FBFC7" w:rsidR="00332BCF" w:rsidRDefault="00332BCF" w:rsidP="00332BCF">
            <w:pPr>
              <w:pStyle w:val="TableText"/>
            </w:pPr>
            <w:r>
              <w:t>Poor targeting of campaign – audience, channels, messaging</w:t>
            </w:r>
            <w:r w:rsidR="00631D86">
              <w:t xml:space="preserve"> – </w:t>
            </w:r>
            <w:r>
              <w:t>co-develop and build in success measurements.</w:t>
            </w:r>
          </w:p>
          <w:p w14:paraId="18A145B5" w14:textId="19BE6EC6" w:rsidR="00332BCF" w:rsidRPr="00332BCF" w:rsidRDefault="00332BCF" w:rsidP="00332BCF">
            <w:pPr>
              <w:pStyle w:val="TableText"/>
              <w:rPr>
                <w:rStyle w:val="Strong"/>
              </w:rPr>
            </w:pPr>
            <w:r w:rsidRPr="00332BCF">
              <w:rPr>
                <w:rStyle w:val="Strong"/>
              </w:rPr>
              <w:t>Benefits</w:t>
            </w:r>
          </w:p>
          <w:p w14:paraId="7DFBE7BF" w14:textId="77777777" w:rsidR="00332BCF" w:rsidRDefault="00332BCF" w:rsidP="00332BCF">
            <w:pPr>
              <w:pStyle w:val="TableText"/>
            </w:pPr>
            <w:r>
              <w:t>The following benefits of having a high level of participation in the Code include:</w:t>
            </w:r>
          </w:p>
          <w:p w14:paraId="43F69707" w14:textId="0D67EB46" w:rsidR="00332BCF" w:rsidRDefault="006703C3" w:rsidP="00C520A5">
            <w:pPr>
              <w:pStyle w:val="TableBullet1"/>
            </w:pPr>
            <w:r>
              <w:t>a</w:t>
            </w:r>
            <w:r w:rsidR="00332BCF">
              <w:t xml:space="preserve"> united industry</w:t>
            </w:r>
          </w:p>
          <w:p w14:paraId="660CBF22" w14:textId="3B5DA378" w:rsidR="00332BCF" w:rsidRDefault="006703C3" w:rsidP="00C520A5">
            <w:pPr>
              <w:pStyle w:val="TableBullet1"/>
            </w:pPr>
            <w:r>
              <w:t>i</w:t>
            </w:r>
            <w:r w:rsidR="00332BCF">
              <w:t>mprove</w:t>
            </w:r>
            <w:r>
              <w:t>d</w:t>
            </w:r>
            <w:r w:rsidR="00332BCF">
              <w:t xml:space="preserve"> relationships with more certainty in commercial relationships leading to an increase in resilience within the industry</w:t>
            </w:r>
          </w:p>
          <w:p w14:paraId="120D6228" w14:textId="5AC2A710" w:rsidR="00332BCF" w:rsidRDefault="006703C3" w:rsidP="00C520A5">
            <w:pPr>
              <w:pStyle w:val="TableBullet1"/>
            </w:pPr>
            <w:r>
              <w:t>r</w:t>
            </w:r>
            <w:r w:rsidR="00332BCF">
              <w:t>educe</w:t>
            </w:r>
            <w:r>
              <w:t>d</w:t>
            </w:r>
            <w:r w:rsidR="00332BCF">
              <w:t xml:space="preserve"> costs to business and improve efficiency</w:t>
            </w:r>
          </w:p>
          <w:p w14:paraId="267B541A" w14:textId="44DEF231" w:rsidR="00332BCF" w:rsidRDefault="006703C3" w:rsidP="00C520A5">
            <w:pPr>
              <w:pStyle w:val="TableBullet1"/>
            </w:pPr>
            <w:r>
              <w:t>a</w:t>
            </w:r>
            <w:r w:rsidR="00332BCF">
              <w:t>ccess to resources and an increase in expert resources</w:t>
            </w:r>
          </w:p>
          <w:p w14:paraId="2E1DBA7D" w14:textId="5FDB7A48" w:rsidR="0068348A" w:rsidRPr="00133711" w:rsidRDefault="006703C3" w:rsidP="00C520A5">
            <w:pPr>
              <w:pStyle w:val="TableBullet1"/>
            </w:pPr>
            <w:r>
              <w:t>r</w:t>
            </w:r>
            <w:r w:rsidR="00332BCF">
              <w:t>educe</w:t>
            </w:r>
            <w:r>
              <w:t>d</w:t>
            </w:r>
            <w:r w:rsidR="00332BCF">
              <w:t xml:space="preserve"> cost to dispute resolution and access to the process</w:t>
            </w:r>
            <w:r w:rsidR="00631D86">
              <w:t>.</w:t>
            </w:r>
          </w:p>
        </w:tc>
        <w:tc>
          <w:tcPr>
            <w:tcW w:w="1333" w:type="pct"/>
            <w:tcBorders>
              <w:top w:val="single" w:sz="4" w:space="0" w:color="auto"/>
            </w:tcBorders>
          </w:tcPr>
          <w:p w14:paraId="45881A36" w14:textId="77777777" w:rsidR="0068348A" w:rsidRPr="00C40350" w:rsidRDefault="0068348A" w:rsidP="006D0720">
            <w:pPr>
              <w:pStyle w:val="TableText"/>
              <w:rPr>
                <w:rStyle w:val="Strong"/>
              </w:rPr>
            </w:pPr>
            <w:r w:rsidRPr="00C40350">
              <w:rPr>
                <w:rStyle w:val="Strong"/>
              </w:rPr>
              <w:t>Stakeholders</w:t>
            </w:r>
          </w:p>
          <w:p w14:paraId="03D21614" w14:textId="00051172" w:rsidR="00332BCF" w:rsidRDefault="00332BCF" w:rsidP="00332BCF">
            <w:pPr>
              <w:pStyle w:val="TableText"/>
            </w:pPr>
            <w:r>
              <w:t xml:space="preserve">Australian Grape </w:t>
            </w:r>
            <w:r w:rsidR="00201CF8">
              <w:t>and</w:t>
            </w:r>
            <w:r>
              <w:t xml:space="preserve"> Wine have an obligation to manage the process for the code of conduct, noting that the Code Management Committee sits with them.</w:t>
            </w:r>
          </w:p>
          <w:p w14:paraId="2DA5B696" w14:textId="77777777" w:rsidR="00332BCF" w:rsidRDefault="00332BCF" w:rsidP="00332BCF">
            <w:pPr>
              <w:pStyle w:val="TableText"/>
            </w:pPr>
            <w:r>
              <w:t>Collaboration with:</w:t>
            </w:r>
          </w:p>
          <w:p w14:paraId="495A709C" w14:textId="34246411" w:rsidR="00332BCF" w:rsidRDefault="00332BCF" w:rsidP="00C520A5">
            <w:pPr>
              <w:pStyle w:val="TableBullet1"/>
            </w:pPr>
            <w:r>
              <w:t>AWRI regarding technical issues</w:t>
            </w:r>
          </w:p>
          <w:p w14:paraId="2D9EDB87" w14:textId="222A68E5" w:rsidR="00332BCF" w:rsidRDefault="00332BCF" w:rsidP="00C520A5">
            <w:pPr>
              <w:pStyle w:val="TableBullet1"/>
            </w:pPr>
            <w:r>
              <w:t>Wine Australia regarding funding</w:t>
            </w:r>
          </w:p>
          <w:p w14:paraId="42588F21" w14:textId="0DBBE880" w:rsidR="00332BCF" w:rsidRDefault="00332BCF" w:rsidP="00C520A5">
            <w:pPr>
              <w:pStyle w:val="TableBullet1"/>
            </w:pPr>
            <w:r>
              <w:t xml:space="preserve">Regional </w:t>
            </w:r>
            <w:r w:rsidR="00BE3A68">
              <w:t>a</w:t>
            </w:r>
            <w:r>
              <w:t>ssociations regarding connecting to wine grower networks to deliver training</w:t>
            </w:r>
          </w:p>
          <w:p w14:paraId="5A77AA98" w14:textId="7800A26C" w:rsidR="00332BCF" w:rsidRDefault="00332BCF" w:rsidP="00C520A5">
            <w:pPr>
              <w:pStyle w:val="TableBullet1"/>
            </w:pPr>
            <w:r>
              <w:t>Signatories to the Code regarding including them in education workshops</w:t>
            </w:r>
          </w:p>
          <w:p w14:paraId="3BD87F9B" w14:textId="55C576B6" w:rsidR="00332BCF" w:rsidRDefault="00332BCF" w:rsidP="00C520A5">
            <w:pPr>
              <w:pStyle w:val="TableBullet1"/>
            </w:pPr>
            <w:r>
              <w:t xml:space="preserve">Department of Agriculture, </w:t>
            </w:r>
            <w:proofErr w:type="gramStart"/>
            <w:r>
              <w:t>Water</w:t>
            </w:r>
            <w:proofErr w:type="gramEnd"/>
            <w:r>
              <w:t xml:space="preserve"> and the Environment wine team regarding policy clarity</w:t>
            </w:r>
          </w:p>
          <w:p w14:paraId="7BA436D8" w14:textId="5F86C988" w:rsidR="00332BCF" w:rsidRDefault="00332BCF" w:rsidP="00C520A5">
            <w:pPr>
              <w:pStyle w:val="TableBullet1"/>
            </w:pPr>
            <w:r>
              <w:t>ACCC regarding legal clarity</w:t>
            </w:r>
            <w:r w:rsidR="00631D86">
              <w:t>.</w:t>
            </w:r>
          </w:p>
          <w:p w14:paraId="65D8FEFE" w14:textId="5A29F5D5" w:rsidR="00332BCF" w:rsidRPr="00C520A5" w:rsidRDefault="00332BCF" w:rsidP="00332BCF">
            <w:pPr>
              <w:pStyle w:val="TableText"/>
              <w:rPr>
                <w:rStyle w:val="Strong"/>
              </w:rPr>
            </w:pPr>
            <w:r w:rsidRPr="00C520A5">
              <w:rPr>
                <w:rStyle w:val="Strong"/>
              </w:rPr>
              <w:t>Resourcing</w:t>
            </w:r>
          </w:p>
          <w:p w14:paraId="50BB404C" w14:textId="77777777" w:rsidR="00332BCF" w:rsidRDefault="00332BCF" w:rsidP="00332BCF">
            <w:pPr>
              <w:pStyle w:val="TableText"/>
            </w:pPr>
            <w:r>
              <w:t>Funding and resourcing (skills) will need to be costed for:</w:t>
            </w:r>
          </w:p>
          <w:p w14:paraId="3A9E7E46" w14:textId="13E9A9E6" w:rsidR="00332BCF" w:rsidRDefault="006703C3" w:rsidP="00C520A5">
            <w:pPr>
              <w:pStyle w:val="TableBullet1"/>
            </w:pPr>
            <w:r>
              <w:t>d</w:t>
            </w:r>
            <w:r w:rsidR="00332BCF">
              <w:t>evelopment and delivery of training and training materials</w:t>
            </w:r>
            <w:r>
              <w:t xml:space="preserve"> – </w:t>
            </w:r>
            <w:r w:rsidR="00332BCF">
              <w:t>contingencies for both in-person and virtual delivery</w:t>
            </w:r>
          </w:p>
          <w:p w14:paraId="6D5F1506" w14:textId="073BFF0B" w:rsidR="00332BCF" w:rsidRDefault="006703C3" w:rsidP="00C520A5">
            <w:pPr>
              <w:pStyle w:val="TableBullet1"/>
            </w:pPr>
            <w:r>
              <w:t>d</w:t>
            </w:r>
            <w:r w:rsidR="00332BCF">
              <w:t>evelop</w:t>
            </w:r>
            <w:r>
              <w:t xml:space="preserve">ment of </w:t>
            </w:r>
            <w:r w:rsidR="00332BCF">
              <w:t>how-to guides and case studies, guides to explain research</w:t>
            </w:r>
          </w:p>
          <w:p w14:paraId="73B67FF6" w14:textId="49349349" w:rsidR="00332BCF" w:rsidRDefault="006703C3" w:rsidP="00C520A5">
            <w:pPr>
              <w:pStyle w:val="TableBullet1"/>
            </w:pPr>
            <w:r>
              <w:t>h</w:t>
            </w:r>
            <w:r w:rsidR="00332BCF">
              <w:t>osting material on a website</w:t>
            </w:r>
          </w:p>
          <w:p w14:paraId="3B57F914" w14:textId="745B1324" w:rsidR="00332BCF" w:rsidRDefault="006703C3" w:rsidP="00C520A5">
            <w:pPr>
              <w:pStyle w:val="TableBullet1"/>
            </w:pPr>
            <w:r>
              <w:t>p</w:t>
            </w:r>
            <w:r w:rsidR="00332BCF">
              <w:t>reparation of podcasts</w:t>
            </w:r>
          </w:p>
          <w:p w14:paraId="6788EE3E" w14:textId="50EE450A" w:rsidR="0068348A" w:rsidRPr="00133711" w:rsidRDefault="006703C3" w:rsidP="00C520A5">
            <w:pPr>
              <w:pStyle w:val="TableBullet1"/>
            </w:pPr>
            <w:r>
              <w:t>d</w:t>
            </w:r>
            <w:r w:rsidR="00332BCF">
              <w:t>evelop</w:t>
            </w:r>
            <w:r>
              <w:t>ment</w:t>
            </w:r>
            <w:r w:rsidR="00332BCF">
              <w:t xml:space="preserve"> and deliver</w:t>
            </w:r>
            <w:r>
              <w:t>y of</w:t>
            </w:r>
            <w:r w:rsidR="00332BCF">
              <w:t xml:space="preserve"> a ‘I’ve signed up to the Code’ campaign</w:t>
            </w:r>
            <w:r w:rsidR="00631D86">
              <w:t>.</w:t>
            </w:r>
          </w:p>
        </w:tc>
        <w:tc>
          <w:tcPr>
            <w:tcW w:w="857" w:type="pct"/>
            <w:tcBorders>
              <w:top w:val="single" w:sz="4" w:space="0" w:color="auto"/>
            </w:tcBorders>
          </w:tcPr>
          <w:p w14:paraId="63306C79" w14:textId="6C2170BC" w:rsidR="0068348A" w:rsidRPr="00133711" w:rsidRDefault="00332BCF" w:rsidP="006D0720">
            <w:pPr>
              <w:pStyle w:val="TableText"/>
            </w:pPr>
            <w:r w:rsidRPr="00332BCF">
              <w:t>Australian Grape &amp; Wine to further develop a proposal for grants funding with comprehensive consultation with key industry stakeholders.</w:t>
            </w:r>
          </w:p>
        </w:tc>
      </w:tr>
    </w:tbl>
    <w:p w14:paraId="36CFF80B" w14:textId="77777777" w:rsidR="000E74D7" w:rsidRDefault="000E74D7" w:rsidP="00ED7A6E">
      <w:pPr>
        <w:sectPr w:rsidR="000E74D7" w:rsidSect="000E74D7">
          <w:headerReference w:type="first" r:id="rId14"/>
          <w:pgSz w:w="16838" w:h="11906" w:orient="landscape" w:code="9"/>
          <w:pgMar w:top="709" w:right="1418" w:bottom="1077" w:left="1134" w:header="284" w:footer="284" w:gutter="0"/>
          <w:pgNumType w:start="3"/>
          <w:cols w:space="708"/>
          <w:titlePg/>
          <w:docGrid w:linePitch="360"/>
        </w:sectPr>
      </w:pPr>
    </w:p>
    <w:p w14:paraId="09D48EDD" w14:textId="1C641B29" w:rsidR="00ED7A6E" w:rsidRDefault="00173E2E" w:rsidP="001D0BAA">
      <w:pPr>
        <w:pStyle w:val="Heading2"/>
        <w:keepNext w:val="0"/>
        <w:pageBreakBefore/>
      </w:pPr>
      <w:bookmarkStart w:id="2" w:name="_Appendix_A_–"/>
      <w:bookmarkStart w:id="3" w:name="_Ref82700999"/>
      <w:bookmarkEnd w:id="2"/>
      <w:r>
        <w:lastRenderedPageBreak/>
        <w:t>Appendix</w:t>
      </w:r>
      <w:bookmarkEnd w:id="3"/>
      <w:r w:rsidR="00981F00">
        <w:t xml:space="preserve"> A</w:t>
      </w:r>
      <w:r w:rsidR="008172DE">
        <w:t xml:space="preserve">: </w:t>
      </w:r>
      <w:r w:rsidR="00ED7A6E">
        <w:t>Participant list</w:t>
      </w:r>
    </w:p>
    <w:p w14:paraId="58C0F784" w14:textId="77777777" w:rsidR="0088635B" w:rsidRDefault="0088635B" w:rsidP="0088635B">
      <w:pPr>
        <w:pStyle w:val="ListBullet"/>
      </w:pPr>
      <w:r>
        <w:t>Treasury Wine Estates</w:t>
      </w:r>
    </w:p>
    <w:p w14:paraId="7DE45BE4" w14:textId="77777777" w:rsidR="0088635B" w:rsidRDefault="0088635B" w:rsidP="0088635B">
      <w:pPr>
        <w:pStyle w:val="ListBullet"/>
      </w:pPr>
      <w:r>
        <w:t>Australian Grape and Wine</w:t>
      </w:r>
    </w:p>
    <w:p w14:paraId="3CA62AF8" w14:textId="77777777" w:rsidR="0088635B" w:rsidRDefault="0088635B" w:rsidP="0088635B">
      <w:pPr>
        <w:pStyle w:val="ListBullet"/>
      </w:pPr>
      <w:r>
        <w:t>Inland Wine Regions Alliance</w:t>
      </w:r>
    </w:p>
    <w:p w14:paraId="4DCB50B9" w14:textId="77777777" w:rsidR="0088635B" w:rsidRDefault="0088635B" w:rsidP="0088635B">
      <w:pPr>
        <w:pStyle w:val="ListBullet"/>
      </w:pPr>
      <w:r>
        <w:t>Murray Valley Winegrowers Inc</w:t>
      </w:r>
    </w:p>
    <w:p w14:paraId="0BE4A0E0" w14:textId="77777777" w:rsidR="0088635B" w:rsidRDefault="0088635B" w:rsidP="0088635B">
      <w:pPr>
        <w:pStyle w:val="ListBullet"/>
      </w:pPr>
      <w:r>
        <w:t>Casella</w:t>
      </w:r>
    </w:p>
    <w:p w14:paraId="5CFC78C8" w14:textId="77777777" w:rsidR="0088635B" w:rsidRDefault="0088635B" w:rsidP="0088635B">
      <w:pPr>
        <w:pStyle w:val="ListBullet"/>
      </w:pPr>
      <w:r>
        <w:t>Wine Australia</w:t>
      </w:r>
    </w:p>
    <w:p w14:paraId="5CB26E77" w14:textId="77777777" w:rsidR="0088635B" w:rsidRDefault="0088635B" w:rsidP="0088635B">
      <w:pPr>
        <w:pStyle w:val="ListBullet"/>
      </w:pPr>
      <w:r>
        <w:t>Pernod-Ricard Winemakers</w:t>
      </w:r>
    </w:p>
    <w:p w14:paraId="4444B4F4" w14:textId="77777777" w:rsidR="0088635B" w:rsidRDefault="0088635B" w:rsidP="0088635B">
      <w:pPr>
        <w:pStyle w:val="ListBullet"/>
      </w:pPr>
      <w:r>
        <w:t>Endeavor Group</w:t>
      </w:r>
    </w:p>
    <w:p w14:paraId="1ADED9CC" w14:textId="081081C2" w:rsidR="0088635B" w:rsidRDefault="0088635B" w:rsidP="0088635B">
      <w:pPr>
        <w:pStyle w:val="ListBullet"/>
      </w:pPr>
      <w:r>
        <w:t>Riverina Winegrape Growers/Wine Grape</w:t>
      </w:r>
      <w:r w:rsidR="00735A67">
        <w:t>s</w:t>
      </w:r>
      <w:r>
        <w:t xml:space="preserve"> Marketing Board</w:t>
      </w:r>
    </w:p>
    <w:p w14:paraId="7ADCEB9C" w14:textId="4F2EB378" w:rsidR="0088635B" w:rsidRDefault="0088635B" w:rsidP="0088635B">
      <w:pPr>
        <w:pStyle w:val="ListBullet"/>
      </w:pPr>
      <w:r>
        <w:t>Australian Competition and Consumer Commission</w:t>
      </w:r>
    </w:p>
    <w:p w14:paraId="0DDAD037" w14:textId="501B4593" w:rsidR="00ED7A6E" w:rsidRPr="001D0BAA" w:rsidRDefault="00ED7A6E" w:rsidP="00480F1E">
      <w:pPr>
        <w:pStyle w:val="ListBullet"/>
      </w:pPr>
      <w:r w:rsidRPr="001D0BAA">
        <w:t>DAWE Agricultural Policy Division</w:t>
      </w:r>
    </w:p>
    <w:p w14:paraId="23CD7A7D" w14:textId="470B415B" w:rsidR="00E9781D" w:rsidRDefault="00E9781D" w:rsidP="008172DE">
      <w:pPr>
        <w:pStyle w:val="Normalsmall"/>
        <w:spacing w:before="1000"/>
      </w:pPr>
      <w:r>
        <w:t>© Commonwealth of Australia 2021</w:t>
      </w:r>
    </w:p>
    <w:p w14:paraId="1CE0CC5A"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770C6259" w14:textId="77777777" w:rsidR="00E9781D" w:rsidRDefault="00E9781D" w:rsidP="00E9781D">
      <w:pPr>
        <w:pStyle w:val="Normalsmall"/>
      </w:pPr>
      <w:r>
        <w:t xml:space="preserve">All material in this publication is licensed under a </w:t>
      </w:r>
      <w:hyperlink r:id="rId15" w:history="1">
        <w:r>
          <w:rPr>
            <w:rStyle w:val="Hyperlink"/>
          </w:rPr>
          <w:t>Creative Commons Attribution 4.0 International Licence</w:t>
        </w:r>
      </w:hyperlink>
      <w:r>
        <w:t xml:space="preserve"> except content supplied by third parties, </w:t>
      </w:r>
      <w:proofErr w:type="gramStart"/>
      <w:r>
        <w:t>logos</w:t>
      </w:r>
      <w:proofErr w:type="gramEnd"/>
      <w:r>
        <w:t xml:space="preserve"> and the Commonwealth Coat of Arms.</w:t>
      </w:r>
    </w:p>
    <w:p w14:paraId="4590BBA9" w14:textId="57AC83A7" w:rsidR="00696682" w:rsidRDefault="00E9781D" w:rsidP="00E9781D">
      <w:pPr>
        <w:pStyle w:val="Normalsmall"/>
      </w:pPr>
      <w:r>
        <w:t xml:space="preserve">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sectPr w:rsidR="00696682" w:rsidSect="000E74D7">
      <w:pgSz w:w="11906" w:h="16838" w:code="9"/>
      <w:pgMar w:top="1418" w:right="1077" w:bottom="1134" w:left="709" w:header="284" w:footer="284" w:gutter="0"/>
      <w:pgNumType w:start="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59197" w14:textId="77777777" w:rsidR="005E5ACE" w:rsidRDefault="005E5ACE">
      <w:r>
        <w:separator/>
      </w:r>
    </w:p>
    <w:p w14:paraId="00DF339D" w14:textId="77777777" w:rsidR="005E5ACE" w:rsidRDefault="005E5ACE"/>
    <w:p w14:paraId="0DCBB4ED" w14:textId="77777777" w:rsidR="005E5ACE" w:rsidRDefault="005E5ACE"/>
  </w:endnote>
  <w:endnote w:type="continuationSeparator" w:id="0">
    <w:p w14:paraId="2A34C19A" w14:textId="77777777" w:rsidR="005E5ACE" w:rsidRDefault="005E5ACE">
      <w:r>
        <w:continuationSeparator/>
      </w:r>
    </w:p>
    <w:p w14:paraId="44F3F548" w14:textId="77777777" w:rsidR="005E5ACE" w:rsidRDefault="005E5ACE"/>
    <w:p w14:paraId="5E1597CE" w14:textId="77777777" w:rsidR="005E5ACE" w:rsidRDefault="005E5ACE"/>
  </w:endnote>
  <w:endnote w:type="continuationNotice" w:id="1">
    <w:p w14:paraId="747B8F54" w14:textId="77777777" w:rsidR="005E5ACE" w:rsidRDefault="005E5ACE">
      <w:pPr>
        <w:pStyle w:val="Footer"/>
      </w:pPr>
    </w:p>
    <w:p w14:paraId="433688F8" w14:textId="77777777" w:rsidR="005E5ACE" w:rsidRDefault="005E5ACE"/>
    <w:p w14:paraId="1E316AE3" w14:textId="77777777" w:rsidR="005E5ACE" w:rsidRDefault="005E5A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SFVG+Cambri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27477" w14:textId="77777777" w:rsidR="000542B4" w:rsidRDefault="000542B4" w:rsidP="000542B4">
    <w:pPr>
      <w:pStyle w:val="Footer"/>
    </w:pPr>
    <w:r>
      <w:t xml:space="preserve">Department of Agriculture, </w:t>
    </w:r>
    <w:proofErr w:type="gramStart"/>
    <w:r>
      <w:t>Water</w:t>
    </w:r>
    <w:proofErr w:type="gramEnd"/>
    <w:r>
      <w:t xml:space="preserve"> and the Environment</w:t>
    </w:r>
  </w:p>
  <w:p w14:paraId="51A09124" w14:textId="212ADD43" w:rsidR="000542B4" w:rsidRDefault="00973AC0"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40093"/>
      <w:docPartObj>
        <w:docPartGallery w:val="Page Numbers (Bottom of Page)"/>
        <w:docPartUnique/>
      </w:docPartObj>
    </w:sdtPr>
    <w:sdtEndPr>
      <w:rPr>
        <w:noProof/>
      </w:rPr>
    </w:sdtEndPr>
    <w:sdtContent>
      <w:p w14:paraId="4C8E09F7" w14:textId="77777777" w:rsidR="000542B4" w:rsidRDefault="000542B4" w:rsidP="00A77E8E">
        <w:pPr>
          <w:pStyle w:val="Footer"/>
        </w:pPr>
        <w:r>
          <w:t xml:space="preserve">Department of Agriculture, </w:t>
        </w:r>
        <w:proofErr w:type="gramStart"/>
        <w:r>
          <w:t>Water</w:t>
        </w:r>
        <w:proofErr w:type="gramEnd"/>
        <w:r>
          <w:t xml:space="preserve"> and the Environment</w:t>
        </w:r>
      </w:p>
      <w:p w14:paraId="2D60CB34" w14:textId="002131DC" w:rsidR="00577F29" w:rsidRDefault="00A77E8E" w:rsidP="00A77E8E">
        <w:pPr>
          <w:pStyle w:val="Footer"/>
        </w:pPr>
        <w:r>
          <w:fldChar w:fldCharType="begin"/>
        </w:r>
        <w:r>
          <w:instrText xml:space="preserve"> PAGE   \* MERGEFORMAT </w:instrText>
        </w:r>
        <w:r>
          <w:fldChar w:fldCharType="separate"/>
        </w:r>
        <w:r w:rsidR="00A8157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14E54" w14:textId="77777777" w:rsidR="005E5ACE" w:rsidRDefault="005E5ACE">
      <w:r>
        <w:separator/>
      </w:r>
    </w:p>
    <w:p w14:paraId="5E56E825" w14:textId="77777777" w:rsidR="005E5ACE" w:rsidRDefault="005E5ACE"/>
    <w:p w14:paraId="4714C868" w14:textId="77777777" w:rsidR="005E5ACE" w:rsidRDefault="005E5ACE"/>
  </w:footnote>
  <w:footnote w:type="continuationSeparator" w:id="0">
    <w:p w14:paraId="09487ED4" w14:textId="77777777" w:rsidR="005E5ACE" w:rsidRDefault="005E5ACE">
      <w:r>
        <w:continuationSeparator/>
      </w:r>
    </w:p>
    <w:p w14:paraId="3D364769" w14:textId="77777777" w:rsidR="005E5ACE" w:rsidRDefault="005E5ACE"/>
    <w:p w14:paraId="665E4A0E" w14:textId="77777777" w:rsidR="005E5ACE" w:rsidRDefault="005E5ACE"/>
  </w:footnote>
  <w:footnote w:type="continuationNotice" w:id="1">
    <w:p w14:paraId="5B622C30" w14:textId="77777777" w:rsidR="005E5ACE" w:rsidRDefault="005E5ACE">
      <w:pPr>
        <w:pStyle w:val="Footer"/>
      </w:pPr>
    </w:p>
    <w:p w14:paraId="60462279" w14:textId="77777777" w:rsidR="005E5ACE" w:rsidRDefault="005E5ACE"/>
    <w:p w14:paraId="7DA57184" w14:textId="77777777" w:rsidR="005E5ACE" w:rsidRDefault="005E5A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5233A" w14:textId="3A5805AF" w:rsidR="000E455C" w:rsidRDefault="009C5CE4" w:rsidP="00A8157A">
    <w:pPr>
      <w:pStyle w:val="Footer"/>
      <w:spacing w:after="0"/>
      <w:jc w:val="left"/>
    </w:pPr>
    <w:r>
      <w:rPr>
        <w:noProof/>
        <w:lang w:eastAsia="en-AU"/>
      </w:rPr>
      <w:drawing>
        <wp:anchor distT="0" distB="0" distL="114300" distR="114300" simplePos="0" relativeHeight="251661312" behindDoc="1" locked="0" layoutInCell="1" allowOverlap="1" wp14:anchorId="36467FB3" wp14:editId="61AC187B">
          <wp:simplePos x="0" y="0"/>
          <wp:positionH relativeFrom="page">
            <wp:posOffset>-3175</wp:posOffset>
          </wp:positionH>
          <wp:positionV relativeFrom="paragraph">
            <wp:posOffset>-349885</wp:posOffset>
          </wp:positionV>
          <wp:extent cx="7563600" cy="2162335"/>
          <wp:effectExtent l="0" t="0" r="0" b="0"/>
          <wp:wrapNone/>
          <wp:docPr id="30"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extLst>
                      <a:ext uri="{28A0092B-C50C-407E-A947-70E740481C1C}">
                        <a14:useLocalDpi xmlns:a14="http://schemas.microsoft.com/office/drawing/2010/main" val="0"/>
                      </a:ext>
                    </a:extLst>
                  </a:blip>
                  <a:stretch>
                    <a:fillRect/>
                  </a:stretch>
                </pic:blipFill>
                <pic:spPr>
                  <a:xfrm>
                    <a:off x="0" y="0"/>
                    <a:ext cx="7563600" cy="216233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06D7B" w14:textId="7A837BA1" w:rsidR="0068348A" w:rsidRDefault="0068348A" w:rsidP="00A8157A">
    <w:pPr>
      <w:pStyle w:val="Footer"/>
      <w:spacing w:after="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6C74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247FD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EC1BD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0C2FE9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8D486AF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48C10CA"/>
    <w:multiLevelType w:val="hybridMultilevel"/>
    <w:tmpl w:val="904668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E3402E6"/>
    <w:multiLevelType w:val="hybridMultilevel"/>
    <w:tmpl w:val="9EEA159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2" w15:restartNumberingAfterBreak="0">
    <w:nsid w:val="19922593"/>
    <w:multiLevelType w:val="multilevel"/>
    <w:tmpl w:val="BDB68C6A"/>
    <w:lvl w:ilvl="0">
      <w:start w:val="1"/>
      <w:numFmt w:val="decimal"/>
      <w:pStyle w:val="Tablenumberedlist"/>
      <w:lvlText w:val="%1)"/>
      <w:lvlJc w:val="left"/>
      <w:pPr>
        <w:ind w:left="745" w:hanging="360"/>
      </w:pPr>
      <w:rPr>
        <w:rFonts w:hint="default"/>
      </w:rPr>
    </w:lvl>
    <w:lvl w:ilvl="1">
      <w:start w:val="1"/>
      <w:numFmt w:val="lowerLetter"/>
      <w:lvlText w:val="%2."/>
      <w:lvlJc w:val="left"/>
      <w:pPr>
        <w:ind w:left="1465" w:hanging="360"/>
      </w:pPr>
      <w:rPr>
        <w:rFonts w:hint="default"/>
      </w:rPr>
    </w:lvl>
    <w:lvl w:ilvl="2">
      <w:start w:val="1"/>
      <w:numFmt w:val="lowerRoman"/>
      <w:lvlText w:val="%3."/>
      <w:lvlJc w:val="right"/>
      <w:pPr>
        <w:ind w:left="2185" w:hanging="180"/>
      </w:pPr>
      <w:rPr>
        <w:rFonts w:hint="default"/>
      </w:rPr>
    </w:lvl>
    <w:lvl w:ilvl="3">
      <w:start w:val="1"/>
      <w:numFmt w:val="decimal"/>
      <w:lvlText w:val="%4."/>
      <w:lvlJc w:val="left"/>
      <w:pPr>
        <w:ind w:left="2905" w:hanging="360"/>
      </w:pPr>
      <w:rPr>
        <w:rFonts w:hint="default"/>
      </w:rPr>
    </w:lvl>
    <w:lvl w:ilvl="4">
      <w:start w:val="1"/>
      <w:numFmt w:val="lowerLetter"/>
      <w:lvlText w:val="%5."/>
      <w:lvlJc w:val="left"/>
      <w:pPr>
        <w:ind w:left="3625" w:hanging="360"/>
      </w:pPr>
      <w:rPr>
        <w:rFonts w:hint="default"/>
      </w:rPr>
    </w:lvl>
    <w:lvl w:ilvl="5">
      <w:start w:val="1"/>
      <w:numFmt w:val="lowerRoman"/>
      <w:lvlText w:val="%6."/>
      <w:lvlJc w:val="right"/>
      <w:pPr>
        <w:ind w:left="4345" w:hanging="180"/>
      </w:pPr>
      <w:rPr>
        <w:rFonts w:hint="default"/>
      </w:rPr>
    </w:lvl>
    <w:lvl w:ilvl="6">
      <w:start w:val="1"/>
      <w:numFmt w:val="decimal"/>
      <w:lvlText w:val="%7."/>
      <w:lvlJc w:val="left"/>
      <w:pPr>
        <w:ind w:left="5065" w:hanging="360"/>
      </w:pPr>
      <w:rPr>
        <w:rFonts w:hint="default"/>
      </w:rPr>
    </w:lvl>
    <w:lvl w:ilvl="7">
      <w:start w:val="1"/>
      <w:numFmt w:val="lowerLetter"/>
      <w:lvlText w:val="%8."/>
      <w:lvlJc w:val="left"/>
      <w:pPr>
        <w:ind w:left="5785" w:hanging="360"/>
      </w:pPr>
      <w:rPr>
        <w:rFonts w:hint="default"/>
      </w:rPr>
    </w:lvl>
    <w:lvl w:ilvl="8">
      <w:start w:val="1"/>
      <w:numFmt w:val="lowerRoman"/>
      <w:lvlText w:val="%9."/>
      <w:lvlJc w:val="right"/>
      <w:pPr>
        <w:ind w:left="6505" w:hanging="180"/>
      </w:pPr>
      <w:rPr>
        <w:rFonts w:hint="default"/>
      </w:rPr>
    </w:lvl>
  </w:abstractNum>
  <w:abstractNum w:abstractNumId="13"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A328D5"/>
    <w:multiLevelType w:val="multilevel"/>
    <w:tmpl w:val="47AAA7EE"/>
    <w:numStyleLink w:val="Numberlist"/>
  </w:abstractNum>
  <w:abstractNum w:abstractNumId="15"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B103637"/>
    <w:multiLevelType w:val="multilevel"/>
    <w:tmpl w:val="47AAA7EE"/>
    <w:numStyleLink w:val="Numberlist"/>
  </w:abstractNum>
  <w:abstractNum w:abstractNumId="17" w15:restartNumberingAfterBreak="0">
    <w:nsid w:val="2C6274CC"/>
    <w:multiLevelType w:val="hybridMultilevel"/>
    <w:tmpl w:val="2AAC50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94A15FE"/>
    <w:multiLevelType w:val="multilevel"/>
    <w:tmpl w:val="F36C17E8"/>
    <w:numStyleLink w:val="Headinglist"/>
  </w:abstractNum>
  <w:abstractNum w:abstractNumId="19" w15:restartNumberingAfterBreak="0">
    <w:nsid w:val="3BD81DEB"/>
    <w:multiLevelType w:val="hybridMultilevel"/>
    <w:tmpl w:val="7FEAC0D6"/>
    <w:lvl w:ilvl="0" w:tplc="6F14B994">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14F4729"/>
    <w:multiLevelType w:val="multilevel"/>
    <w:tmpl w:val="A0241B28"/>
    <w:numStyleLink w:val="List1"/>
  </w:abstractNum>
  <w:abstractNum w:abstractNumId="21" w15:restartNumberingAfterBreak="0">
    <w:nsid w:val="437511A8"/>
    <w:multiLevelType w:val="hybridMultilevel"/>
    <w:tmpl w:val="3D5EA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FF11B6"/>
    <w:multiLevelType w:val="hybridMultilevel"/>
    <w:tmpl w:val="5C583336"/>
    <w:lvl w:ilvl="0" w:tplc="83C23DE2">
      <w:start w:val="1"/>
      <w:numFmt w:val="lowerLetter"/>
      <w:pStyle w:val="ListNumber2"/>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486800B4"/>
    <w:multiLevelType w:val="multilevel"/>
    <w:tmpl w:val="A0241B28"/>
    <w:numStyleLink w:val="List1"/>
  </w:abstractNum>
  <w:abstractNum w:abstractNumId="24"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5" w15:restartNumberingAfterBreak="0">
    <w:nsid w:val="496159DC"/>
    <w:multiLevelType w:val="multilevel"/>
    <w:tmpl w:val="47AAA7EE"/>
    <w:numStyleLink w:val="Numberlist"/>
  </w:abstractNum>
  <w:abstractNum w:abstractNumId="26" w15:restartNumberingAfterBreak="0">
    <w:nsid w:val="4AFE37F1"/>
    <w:multiLevelType w:val="hybridMultilevel"/>
    <w:tmpl w:val="48CE9E5C"/>
    <w:lvl w:ilvl="0" w:tplc="0C09000F">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2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BD74CFC"/>
    <w:multiLevelType w:val="hybridMultilevel"/>
    <w:tmpl w:val="323CB43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D7303BF"/>
    <w:multiLevelType w:val="hybridMultilevel"/>
    <w:tmpl w:val="48CE9E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0C150A6"/>
    <w:multiLevelType w:val="hybridMultilevel"/>
    <w:tmpl w:val="897AAF8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770342E"/>
    <w:multiLevelType w:val="multilevel"/>
    <w:tmpl w:val="496874BA"/>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2"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4"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5" w15:restartNumberingAfterBreak="0">
    <w:nsid w:val="61164DD0"/>
    <w:multiLevelType w:val="hybridMultilevel"/>
    <w:tmpl w:val="FC281CCE"/>
    <w:lvl w:ilvl="0" w:tplc="0C09000F">
      <w:start w:val="1"/>
      <w:numFmt w:val="decimal"/>
      <w:lvlText w:val="%1."/>
      <w:lvlJc w:val="left"/>
      <w:pPr>
        <w:ind w:left="6" w:hanging="360"/>
      </w:pPr>
      <w:rPr>
        <w:rFonts w:hint="default"/>
      </w:rPr>
    </w:lvl>
    <w:lvl w:ilvl="1" w:tplc="0C090015">
      <w:start w:val="1"/>
      <w:numFmt w:val="upperLetter"/>
      <w:lvlText w:val="%2."/>
      <w:lvlJc w:val="left"/>
      <w:pPr>
        <w:ind w:left="726" w:hanging="360"/>
      </w:pPr>
      <w:rPr>
        <w:rFonts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36"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AEE0A34"/>
    <w:multiLevelType w:val="hybridMultilevel"/>
    <w:tmpl w:val="38743F72"/>
    <w:lvl w:ilvl="0" w:tplc="B5506130">
      <w:start w:val="1"/>
      <w:numFmt w:val="lowerRoman"/>
      <w:pStyle w:val="ListNumber3"/>
      <w:lvlText w:val="%1)"/>
      <w:lvlJc w:val="left"/>
      <w:pPr>
        <w:ind w:left="2340" w:hanging="360"/>
      </w:pPr>
      <w:rPr>
        <w:rFonts w:hint="default"/>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8" w15:restartNumberingAfterBreak="0">
    <w:nsid w:val="6C8C10A1"/>
    <w:multiLevelType w:val="multilevel"/>
    <w:tmpl w:val="47AAA7EE"/>
    <w:numStyleLink w:val="Numberlist"/>
  </w:abstractNum>
  <w:abstractNum w:abstractNumId="39" w15:restartNumberingAfterBreak="0">
    <w:nsid w:val="733934B7"/>
    <w:multiLevelType w:val="multilevel"/>
    <w:tmpl w:val="A0241B28"/>
    <w:numStyleLink w:val="List1"/>
  </w:abstractNum>
  <w:num w:numId="1">
    <w:abstractNumId w:val="6"/>
  </w:num>
  <w:num w:numId="2">
    <w:abstractNumId w:val="23"/>
  </w:num>
  <w:num w:numId="3">
    <w:abstractNumId w:val="24"/>
  </w:num>
  <w:num w:numId="4">
    <w:abstractNumId w:val="11"/>
  </w:num>
  <w:num w:numId="5">
    <w:abstractNumId w:val="33"/>
  </w:num>
  <w:num w:numId="6">
    <w:abstractNumId w:val="34"/>
  </w:num>
  <w:num w:numId="7">
    <w:abstractNumId w:val="8"/>
  </w:num>
  <w:num w:numId="8">
    <w:abstractNumId w:val="15"/>
  </w:num>
  <w:num w:numId="9">
    <w:abstractNumId w:val="18"/>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3"/>
  </w:num>
  <w:num w:numId="16">
    <w:abstractNumId w:val="3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1"/>
  </w:num>
  <w:num w:numId="20">
    <w:abstractNumId w:val="0"/>
  </w:num>
  <w:num w:numId="21">
    <w:abstractNumId w:val="16"/>
  </w:num>
  <w:num w:numId="22">
    <w:abstractNumId w:val="25"/>
  </w:num>
  <w:num w:numId="23">
    <w:abstractNumId w:val="38"/>
  </w:num>
  <w:num w:numId="24">
    <w:abstractNumId w:val="14"/>
    <w:lvlOverride w:ilvl="0">
      <w:lvl w:ilvl="0">
        <w:start w:val="1"/>
        <w:numFmt w:val="decimal"/>
        <w:pStyle w:val="ListNumber"/>
        <w:lvlText w:val="%1)"/>
        <w:lvlJc w:val="left"/>
        <w:pPr>
          <w:ind w:left="425" w:hanging="425"/>
        </w:pPr>
        <w:rPr>
          <w:rFonts w:hint="default"/>
          <w:color w:val="auto"/>
        </w:rPr>
      </w:lvl>
    </w:lvlOverride>
    <w:lvlOverride w:ilvl="1">
      <w:lvl w:ilvl="1">
        <w:start w:val="1"/>
        <w:numFmt w:val="lowerLetter"/>
        <w:lvlText w:val="%2)"/>
        <w:lvlJc w:val="left"/>
        <w:pPr>
          <w:ind w:left="851" w:hanging="426"/>
        </w:pPr>
        <w:rPr>
          <w:rFonts w:hint="default"/>
        </w:rPr>
      </w:lvl>
    </w:lvlOverride>
    <w:lvlOverride w:ilvl="2">
      <w:lvl w:ilvl="2">
        <w:start w:val="1"/>
        <w:numFmt w:val="lowerRoman"/>
        <w:lvlText w:val="%3)"/>
        <w:lvlJc w:val="left"/>
        <w:pPr>
          <w:ind w:left="1191" w:hanging="340"/>
        </w:pPr>
        <w:rPr>
          <w:rFonts w:hint="default"/>
        </w:rPr>
      </w:lvl>
    </w:lvlOverride>
    <w:lvlOverride w:ilvl="3">
      <w:lvl w:ilvl="3">
        <w:start w:val="1"/>
        <w:numFmt w:val="decimal"/>
        <w:lvlText w:val="%4."/>
        <w:lvlJc w:val="left"/>
        <w:pPr>
          <w:ind w:left="1276" w:hanging="1276"/>
        </w:pPr>
        <w:rPr>
          <w:rFonts w:hint="default"/>
        </w:rPr>
      </w:lvl>
    </w:lvlOverride>
    <w:lvlOverride w:ilvl="4">
      <w:lvl w:ilvl="4">
        <w:start w:val="1"/>
        <w:numFmt w:val="lowerLetter"/>
        <w:lvlText w:val="%5."/>
        <w:lvlJc w:val="left"/>
        <w:pPr>
          <w:ind w:left="567" w:hanging="567"/>
        </w:pPr>
        <w:rPr>
          <w:rFonts w:hint="default"/>
        </w:rPr>
      </w:lvl>
    </w:lvlOverride>
    <w:lvlOverride w:ilvl="5">
      <w:lvl w:ilvl="5">
        <w:start w:val="1"/>
        <w:numFmt w:val="lowerRoman"/>
        <w:lvlText w:val="%6."/>
        <w:lvlJc w:val="righ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lowerLetter"/>
        <w:lvlText w:val="%8."/>
        <w:lvlJc w:val="left"/>
        <w:pPr>
          <w:ind w:left="567" w:hanging="567"/>
        </w:pPr>
        <w:rPr>
          <w:rFonts w:hint="default"/>
        </w:rPr>
      </w:lvl>
    </w:lvlOverride>
    <w:lvlOverride w:ilvl="8">
      <w:lvl w:ilvl="8">
        <w:start w:val="1"/>
        <w:numFmt w:val="lowerRoman"/>
        <w:lvlText w:val="%9."/>
        <w:lvlJc w:val="right"/>
        <w:pPr>
          <w:ind w:left="567" w:hanging="567"/>
        </w:pPr>
        <w:rPr>
          <w:rFonts w:hint="default"/>
        </w:rPr>
      </w:lvl>
    </w:lvlOverride>
  </w:num>
  <w:num w:numId="25">
    <w:abstractNumId w:val="20"/>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27"/>
  </w:num>
  <w:num w:numId="29">
    <w:abstractNumId w:val="32"/>
  </w:num>
  <w:num w:numId="30">
    <w:abstractNumId w:val="10"/>
  </w:num>
  <w:num w:numId="31">
    <w:abstractNumId w:val="35"/>
  </w:num>
  <w:num w:numId="32">
    <w:abstractNumId w:val="7"/>
  </w:num>
  <w:num w:numId="33">
    <w:abstractNumId w:val="29"/>
  </w:num>
  <w:num w:numId="34">
    <w:abstractNumId w:val="26"/>
  </w:num>
  <w:num w:numId="35">
    <w:abstractNumId w:val="17"/>
  </w:num>
  <w:num w:numId="36">
    <w:abstractNumId w:val="9"/>
  </w:num>
  <w:num w:numId="37">
    <w:abstractNumId w:val="19"/>
  </w:num>
  <w:num w:numId="38">
    <w:abstractNumId w:val="21"/>
  </w:num>
  <w:num w:numId="39">
    <w:abstractNumId w:val="14"/>
  </w:num>
  <w:num w:numId="40">
    <w:abstractNumId w:val="28"/>
  </w:num>
  <w:num w:numId="41">
    <w:abstractNumId w:val="30"/>
  </w:num>
  <w:num w:numId="42">
    <w:abstractNumId w:val="22"/>
  </w:num>
  <w:num w:numId="43">
    <w:abstractNumId w:val="37"/>
  </w:num>
  <w:num w:numId="44">
    <w:abstractNumId w:val="14"/>
    <w:lvlOverride w:ilvl="0">
      <w:startOverride w:val="1"/>
      <w:lvl w:ilvl="0">
        <w:start w:val="1"/>
        <w:numFmt w:val="decimal"/>
        <w:pStyle w:val="ListNumber"/>
        <w:lvlText w:val="%1)"/>
        <w:lvlJc w:val="left"/>
        <w:pPr>
          <w:ind w:left="425" w:hanging="425"/>
        </w:pPr>
        <w:rPr>
          <w:rFonts w:hint="default"/>
          <w:color w:val="auto"/>
        </w:rPr>
      </w:lvl>
    </w:lvlOverride>
    <w:lvlOverride w:ilvl="1">
      <w:startOverride w:val="1"/>
      <w:lvl w:ilvl="1">
        <w:start w:val="1"/>
        <w:numFmt w:val="lowerLetter"/>
        <w:lvlText w:val="%2)"/>
        <w:lvlJc w:val="left"/>
        <w:pPr>
          <w:ind w:left="851" w:hanging="426"/>
        </w:pPr>
        <w:rPr>
          <w:rFonts w:hint="default"/>
        </w:rPr>
      </w:lvl>
    </w:lvlOverride>
    <w:lvlOverride w:ilvl="2">
      <w:startOverride w:val="1"/>
      <w:lvl w:ilvl="2">
        <w:start w:val="1"/>
        <w:numFmt w:val="lowerRoman"/>
        <w:lvlText w:val="%3)"/>
        <w:lvlJc w:val="left"/>
        <w:pPr>
          <w:ind w:left="1191" w:hanging="340"/>
        </w:pPr>
        <w:rPr>
          <w:rFonts w:hint="default"/>
        </w:rPr>
      </w:lvl>
    </w:lvlOverride>
    <w:lvlOverride w:ilvl="3">
      <w:startOverride w:val="1"/>
      <w:lvl w:ilvl="3">
        <w:start w:val="1"/>
        <w:numFmt w:val="decimal"/>
        <w:lvlText w:val="%4."/>
        <w:lvlJc w:val="left"/>
        <w:pPr>
          <w:ind w:left="1276" w:hanging="1276"/>
        </w:pPr>
        <w:rPr>
          <w:rFonts w:hint="default"/>
        </w:rPr>
      </w:lvl>
    </w:lvlOverride>
    <w:lvlOverride w:ilvl="4">
      <w:startOverride w:val="1"/>
      <w:lvl w:ilvl="4">
        <w:start w:val="1"/>
        <w:numFmt w:val="lowerLetter"/>
        <w:lvlText w:val="%5."/>
        <w:lvlJc w:val="left"/>
        <w:pPr>
          <w:ind w:left="567" w:hanging="567"/>
        </w:pPr>
        <w:rPr>
          <w:rFonts w:hint="default"/>
        </w:rPr>
      </w:lvl>
    </w:lvlOverride>
    <w:lvlOverride w:ilvl="5">
      <w:startOverride w:val="1"/>
      <w:lvl w:ilvl="5">
        <w:start w:val="1"/>
        <w:numFmt w:val="lowerRoman"/>
        <w:lvlText w:val="%6."/>
        <w:lvlJc w:val="right"/>
        <w:pPr>
          <w:ind w:left="567" w:hanging="567"/>
        </w:pPr>
        <w:rPr>
          <w:rFonts w:hint="default"/>
        </w:rPr>
      </w:lvl>
    </w:lvlOverride>
    <w:lvlOverride w:ilvl="6">
      <w:startOverride w:val="1"/>
      <w:lvl w:ilvl="6">
        <w:start w:val="1"/>
        <w:numFmt w:val="decimal"/>
        <w:lvlText w:val="%7."/>
        <w:lvlJc w:val="left"/>
        <w:pPr>
          <w:ind w:left="567" w:hanging="567"/>
        </w:pPr>
        <w:rPr>
          <w:rFonts w:hint="default"/>
        </w:rPr>
      </w:lvl>
    </w:lvlOverride>
    <w:lvlOverride w:ilvl="7">
      <w:startOverride w:val="1"/>
      <w:lvl w:ilvl="7">
        <w:start w:val="1"/>
        <w:numFmt w:val="lowerLetter"/>
        <w:lvlText w:val="%8."/>
        <w:lvlJc w:val="left"/>
        <w:pPr>
          <w:ind w:left="567" w:hanging="567"/>
        </w:pPr>
        <w:rPr>
          <w:rFonts w:hint="default"/>
        </w:rPr>
      </w:lvl>
    </w:lvlOverride>
    <w:lvlOverride w:ilvl="8">
      <w:startOverride w:val="1"/>
      <w:lvl w:ilvl="8">
        <w:start w:val="1"/>
        <w:numFmt w:val="lowerRoman"/>
        <w:lvlText w:val="%9."/>
        <w:lvlJc w:val="right"/>
        <w:pPr>
          <w:ind w:left="567" w:hanging="567"/>
        </w:pPr>
        <w:rPr>
          <w:rFonts w:hint="default"/>
        </w:rPr>
      </w:lvl>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55C"/>
    <w:rsid w:val="0000059E"/>
    <w:rsid w:val="0000066F"/>
    <w:rsid w:val="00021590"/>
    <w:rsid w:val="00025D1B"/>
    <w:rsid w:val="000266C4"/>
    <w:rsid w:val="00035C99"/>
    <w:rsid w:val="000542B4"/>
    <w:rsid w:val="000618F3"/>
    <w:rsid w:val="00066D0B"/>
    <w:rsid w:val="000717D2"/>
    <w:rsid w:val="00073BE4"/>
    <w:rsid w:val="00074A56"/>
    <w:rsid w:val="00080827"/>
    <w:rsid w:val="0008277A"/>
    <w:rsid w:val="000904C1"/>
    <w:rsid w:val="00093812"/>
    <w:rsid w:val="000B3924"/>
    <w:rsid w:val="000B3C44"/>
    <w:rsid w:val="000C0412"/>
    <w:rsid w:val="000C4558"/>
    <w:rsid w:val="000E42DB"/>
    <w:rsid w:val="000E455C"/>
    <w:rsid w:val="000E74D7"/>
    <w:rsid w:val="000F5AE4"/>
    <w:rsid w:val="00144BF5"/>
    <w:rsid w:val="00173E2E"/>
    <w:rsid w:val="00175CA8"/>
    <w:rsid w:val="00190D7E"/>
    <w:rsid w:val="001A6968"/>
    <w:rsid w:val="001C4F3C"/>
    <w:rsid w:val="001D0BAA"/>
    <w:rsid w:val="001D0EF3"/>
    <w:rsid w:val="00200FD5"/>
    <w:rsid w:val="00201CF8"/>
    <w:rsid w:val="00203DE1"/>
    <w:rsid w:val="00220618"/>
    <w:rsid w:val="00237A69"/>
    <w:rsid w:val="00275B58"/>
    <w:rsid w:val="00284B53"/>
    <w:rsid w:val="00286A50"/>
    <w:rsid w:val="002E3B2A"/>
    <w:rsid w:val="002E3FD4"/>
    <w:rsid w:val="002F012F"/>
    <w:rsid w:val="002F4595"/>
    <w:rsid w:val="00300AFD"/>
    <w:rsid w:val="003032C0"/>
    <w:rsid w:val="003235FA"/>
    <w:rsid w:val="00332BCF"/>
    <w:rsid w:val="00336B60"/>
    <w:rsid w:val="0035108D"/>
    <w:rsid w:val="003569F9"/>
    <w:rsid w:val="00366721"/>
    <w:rsid w:val="00370990"/>
    <w:rsid w:val="0037698A"/>
    <w:rsid w:val="00392124"/>
    <w:rsid w:val="003C07F1"/>
    <w:rsid w:val="003C6478"/>
    <w:rsid w:val="003F73D7"/>
    <w:rsid w:val="00411260"/>
    <w:rsid w:val="00442630"/>
    <w:rsid w:val="0044304D"/>
    <w:rsid w:val="00446CB3"/>
    <w:rsid w:val="00474F59"/>
    <w:rsid w:val="00480F1E"/>
    <w:rsid w:val="004B6502"/>
    <w:rsid w:val="004C2DA2"/>
    <w:rsid w:val="004D0888"/>
    <w:rsid w:val="004E33EE"/>
    <w:rsid w:val="004F52C6"/>
    <w:rsid w:val="005019C1"/>
    <w:rsid w:val="00515287"/>
    <w:rsid w:val="00531B5A"/>
    <w:rsid w:val="00545C6C"/>
    <w:rsid w:val="00553E9D"/>
    <w:rsid w:val="0055447F"/>
    <w:rsid w:val="00567DFC"/>
    <w:rsid w:val="0057115D"/>
    <w:rsid w:val="00577F29"/>
    <w:rsid w:val="00583B24"/>
    <w:rsid w:val="005866C7"/>
    <w:rsid w:val="00594556"/>
    <w:rsid w:val="005A48A6"/>
    <w:rsid w:val="005B613F"/>
    <w:rsid w:val="005C2BFD"/>
    <w:rsid w:val="005D0059"/>
    <w:rsid w:val="005D139D"/>
    <w:rsid w:val="005E56AF"/>
    <w:rsid w:val="005E5ACE"/>
    <w:rsid w:val="00607A21"/>
    <w:rsid w:val="00607A36"/>
    <w:rsid w:val="006141ED"/>
    <w:rsid w:val="006156DF"/>
    <w:rsid w:val="00625D8D"/>
    <w:rsid w:val="00630D7C"/>
    <w:rsid w:val="00631D86"/>
    <w:rsid w:val="00642F36"/>
    <w:rsid w:val="00646917"/>
    <w:rsid w:val="00656587"/>
    <w:rsid w:val="006703C3"/>
    <w:rsid w:val="0068348A"/>
    <w:rsid w:val="00696682"/>
    <w:rsid w:val="006A6540"/>
    <w:rsid w:val="006B0030"/>
    <w:rsid w:val="006B505B"/>
    <w:rsid w:val="006C5E1D"/>
    <w:rsid w:val="006D413F"/>
    <w:rsid w:val="006F6FE8"/>
    <w:rsid w:val="0070464B"/>
    <w:rsid w:val="00704A2D"/>
    <w:rsid w:val="00721291"/>
    <w:rsid w:val="007258B1"/>
    <w:rsid w:val="00725C8B"/>
    <w:rsid w:val="00735A67"/>
    <w:rsid w:val="00754CA3"/>
    <w:rsid w:val="00760409"/>
    <w:rsid w:val="0076549B"/>
    <w:rsid w:val="00793E18"/>
    <w:rsid w:val="007A221B"/>
    <w:rsid w:val="007C0010"/>
    <w:rsid w:val="0080517C"/>
    <w:rsid w:val="008172DE"/>
    <w:rsid w:val="00832638"/>
    <w:rsid w:val="00865130"/>
    <w:rsid w:val="00870C1D"/>
    <w:rsid w:val="00872DF3"/>
    <w:rsid w:val="0088635B"/>
    <w:rsid w:val="008906CC"/>
    <w:rsid w:val="00892F53"/>
    <w:rsid w:val="00895341"/>
    <w:rsid w:val="008A76D0"/>
    <w:rsid w:val="008E3B54"/>
    <w:rsid w:val="008F382A"/>
    <w:rsid w:val="008F7A95"/>
    <w:rsid w:val="00902E92"/>
    <w:rsid w:val="0090743D"/>
    <w:rsid w:val="00911F4A"/>
    <w:rsid w:val="00916FC3"/>
    <w:rsid w:val="00943779"/>
    <w:rsid w:val="00956699"/>
    <w:rsid w:val="0096087A"/>
    <w:rsid w:val="009622B2"/>
    <w:rsid w:val="00973AC0"/>
    <w:rsid w:val="00974CD6"/>
    <w:rsid w:val="00977C03"/>
    <w:rsid w:val="00981F00"/>
    <w:rsid w:val="009844EA"/>
    <w:rsid w:val="009A3930"/>
    <w:rsid w:val="009A5F40"/>
    <w:rsid w:val="009B51AC"/>
    <w:rsid w:val="009C206F"/>
    <w:rsid w:val="009C3FA3"/>
    <w:rsid w:val="009C5CE4"/>
    <w:rsid w:val="009D7044"/>
    <w:rsid w:val="009E7EAC"/>
    <w:rsid w:val="009F0396"/>
    <w:rsid w:val="00A03836"/>
    <w:rsid w:val="00A0385A"/>
    <w:rsid w:val="00A04AFD"/>
    <w:rsid w:val="00A130F7"/>
    <w:rsid w:val="00A32860"/>
    <w:rsid w:val="00A62F99"/>
    <w:rsid w:val="00A65D84"/>
    <w:rsid w:val="00A7471E"/>
    <w:rsid w:val="00A77E8E"/>
    <w:rsid w:val="00A8157A"/>
    <w:rsid w:val="00A8597C"/>
    <w:rsid w:val="00A92698"/>
    <w:rsid w:val="00AA1D89"/>
    <w:rsid w:val="00AE1E6E"/>
    <w:rsid w:val="00AE4763"/>
    <w:rsid w:val="00B0121B"/>
    <w:rsid w:val="00B0455B"/>
    <w:rsid w:val="00B11E02"/>
    <w:rsid w:val="00B2514A"/>
    <w:rsid w:val="00B25B27"/>
    <w:rsid w:val="00B3476F"/>
    <w:rsid w:val="00B43568"/>
    <w:rsid w:val="00B82095"/>
    <w:rsid w:val="00B90975"/>
    <w:rsid w:val="00B91D17"/>
    <w:rsid w:val="00B93571"/>
    <w:rsid w:val="00B94CBD"/>
    <w:rsid w:val="00BA2E73"/>
    <w:rsid w:val="00BA74DC"/>
    <w:rsid w:val="00BB0F3E"/>
    <w:rsid w:val="00BD4F8E"/>
    <w:rsid w:val="00BE345B"/>
    <w:rsid w:val="00BE3A68"/>
    <w:rsid w:val="00C34D9C"/>
    <w:rsid w:val="00C520A5"/>
    <w:rsid w:val="00C54C30"/>
    <w:rsid w:val="00C55694"/>
    <w:rsid w:val="00C6128D"/>
    <w:rsid w:val="00C73278"/>
    <w:rsid w:val="00C765C8"/>
    <w:rsid w:val="00C80D7A"/>
    <w:rsid w:val="00C82029"/>
    <w:rsid w:val="00C9283A"/>
    <w:rsid w:val="00C95039"/>
    <w:rsid w:val="00CA4615"/>
    <w:rsid w:val="00CD3A6F"/>
    <w:rsid w:val="00CE60D4"/>
    <w:rsid w:val="00CE7F36"/>
    <w:rsid w:val="00CF6A74"/>
    <w:rsid w:val="00CF7D08"/>
    <w:rsid w:val="00D04A3C"/>
    <w:rsid w:val="00D11CED"/>
    <w:rsid w:val="00D22097"/>
    <w:rsid w:val="00D30142"/>
    <w:rsid w:val="00D32691"/>
    <w:rsid w:val="00D36C41"/>
    <w:rsid w:val="00D4039B"/>
    <w:rsid w:val="00D449E8"/>
    <w:rsid w:val="00D55A85"/>
    <w:rsid w:val="00D750D0"/>
    <w:rsid w:val="00D87480"/>
    <w:rsid w:val="00D87564"/>
    <w:rsid w:val="00DB71FD"/>
    <w:rsid w:val="00DC453F"/>
    <w:rsid w:val="00DC57F0"/>
    <w:rsid w:val="00DD29B4"/>
    <w:rsid w:val="00DE546F"/>
    <w:rsid w:val="00DF241E"/>
    <w:rsid w:val="00E23A20"/>
    <w:rsid w:val="00E25A07"/>
    <w:rsid w:val="00E333DF"/>
    <w:rsid w:val="00E35D45"/>
    <w:rsid w:val="00E83C41"/>
    <w:rsid w:val="00E9781D"/>
    <w:rsid w:val="00EA1657"/>
    <w:rsid w:val="00EA5D76"/>
    <w:rsid w:val="00EC2925"/>
    <w:rsid w:val="00EC5579"/>
    <w:rsid w:val="00EC5C40"/>
    <w:rsid w:val="00ED00D4"/>
    <w:rsid w:val="00ED774B"/>
    <w:rsid w:val="00ED7A6E"/>
    <w:rsid w:val="00EE0118"/>
    <w:rsid w:val="00EE49CE"/>
    <w:rsid w:val="00EE7C8D"/>
    <w:rsid w:val="00EF24B1"/>
    <w:rsid w:val="00EF3918"/>
    <w:rsid w:val="00F330C3"/>
    <w:rsid w:val="00F75F33"/>
    <w:rsid w:val="00F84236"/>
    <w:rsid w:val="00FB6E33"/>
    <w:rsid w:val="00FC17D8"/>
    <w:rsid w:val="00FC2CE4"/>
    <w:rsid w:val="00FC379E"/>
    <w:rsid w:val="00FC5F7F"/>
    <w:rsid w:val="00FD0884"/>
    <w:rsid w:val="00FD337C"/>
    <w:rsid w:val="00FD3BAE"/>
    <w:rsid w:val="00FD5236"/>
    <w:rsid w:val="00FD5A1D"/>
    <w:rsid w:val="00FD7D5B"/>
    <w:rsid w:val="00FE0F23"/>
    <w:rsid w:val="00FE1F23"/>
    <w:rsid w:val="00FF31B2"/>
    <w:rsid w:val="00FF43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5438977"/>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618"/>
    <w:pPr>
      <w:spacing w:after="120" w:line="276" w:lineRule="auto"/>
    </w:pPr>
    <w:rPr>
      <w:rFonts w:asciiTheme="majorHAnsi" w:eastAsiaTheme="minorHAnsi" w:hAnsiTheme="majorHAnsi" w:cstheme="minorBidi"/>
      <w:sz w:val="22"/>
      <w:szCs w:val="22"/>
      <w:lang w:eastAsia="en-US"/>
    </w:rPr>
  </w:style>
  <w:style w:type="paragraph" w:styleId="Heading1">
    <w:name w:val="heading 1"/>
    <w:next w:val="Normal"/>
    <w:link w:val="Heading1Char"/>
    <w:uiPriority w:val="1"/>
    <w:qFormat/>
    <w:pPr>
      <w:widowControl w:val="0"/>
      <w:spacing w:before="360" w:after="24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rsid w:val="00C6128D"/>
    <w:pPr>
      <w:keepNext/>
      <w:spacing w:before="120" w:line="240" w:lineRule="auto"/>
      <w:ind w:left="720" w:hanging="720"/>
      <w:outlineLvl w:val="1"/>
    </w:pPr>
    <w:rPr>
      <w:rFonts w:ascii="Calibri" w:eastAsiaTheme="minorEastAsia" w:hAnsi="Calibri"/>
      <w:b/>
      <w:bCs/>
      <w:color w:val="5482AB"/>
      <w:sz w:val="28"/>
      <w:szCs w:val="28"/>
      <w:lang w:eastAsia="ja-JP"/>
    </w:rPr>
  </w:style>
  <w:style w:type="paragraph" w:styleId="Heading3">
    <w:name w:val="heading 3"/>
    <w:next w:val="Normal"/>
    <w:link w:val="Heading3Char"/>
    <w:uiPriority w:val="4"/>
    <w:qFormat/>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99"/>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sid w:val="00C6128D"/>
    <w:rPr>
      <w:rFonts w:ascii="Calibri" w:eastAsiaTheme="minorEastAsia" w:hAnsi="Calibri" w:cstheme="minorBidi"/>
      <w:b/>
      <w:bCs/>
      <w:color w:val="5482AB"/>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pPr>
  </w:style>
  <w:style w:type="paragraph" w:styleId="TableofFigures">
    <w:name w:val="table of figures"/>
    <w:basedOn w:val="Normal"/>
    <w:next w:val="Normal"/>
    <w:uiPriority w:val="99"/>
    <w:pPr>
      <w:spacing w:before="120" w:line="240" w:lineRule="auto"/>
    </w:pPr>
  </w:style>
  <w:style w:type="paragraph" w:styleId="ListBullet2">
    <w:name w:val="List Bullet 2"/>
    <w:basedOn w:val="Normal"/>
    <w:uiPriority w:val="8"/>
    <w:qFormat/>
    <w:pPr>
      <w:numPr>
        <w:ilvl w:val="1"/>
        <w:numId w:val="5"/>
      </w:numPr>
      <w:spacing w:before="120"/>
      <w:contextualSpacing/>
    </w:pPr>
  </w:style>
  <w:style w:type="paragraph" w:styleId="ListNumber">
    <w:name w:val="List Number"/>
    <w:basedOn w:val="Normal"/>
    <w:uiPriority w:val="9"/>
    <w:qFormat/>
    <w:pPr>
      <w:numPr>
        <w:numId w:val="24"/>
      </w:numPr>
      <w:tabs>
        <w:tab w:val="left" w:pos="142"/>
      </w:tabs>
      <w:spacing w:before="120"/>
      <w:ind w:left="360" w:hanging="360"/>
    </w:pPr>
  </w:style>
  <w:style w:type="paragraph" w:styleId="ListNumber2">
    <w:name w:val="List Number 2"/>
    <w:uiPriority w:val="10"/>
    <w:qFormat/>
    <w:pPr>
      <w:numPr>
        <w:numId w:val="42"/>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numId w:val="43"/>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Normal"/>
    <w:uiPriority w:val="15"/>
    <w:qFormat/>
    <w:pPr>
      <w:numPr>
        <w:numId w:val="4"/>
      </w:numPr>
      <w:spacing w:before="60" w:after="60" w:line="240" w:lineRule="auto"/>
      <w:ind w:left="284" w:hanging="284"/>
    </w:pPr>
    <w:rPr>
      <w:sz w:val="20"/>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46"/>
      </w:numPr>
      <w:spacing w:before="60" w:after="60"/>
      <w:contextualSpacing/>
    </w:pPr>
    <w:rPr>
      <w:rFonts w:asciiTheme="minorHAnsi" w:eastAsia="Calibri" w:hAnsiTheme="minorHAnsi"/>
      <w:color w:val="000000" w:themeColor="text1"/>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553E9D"/>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pPr>
      <w:spacing w:before="600"/>
    </w:pPr>
  </w:style>
  <w:style w:type="character" w:customStyle="1" w:styleId="DateChar">
    <w:name w:val="Date Char"/>
    <w:aliases w:val="Reference Char"/>
    <w:basedOn w:val="DefaultParagraphFont"/>
    <w:link w:val="Date"/>
    <w:uiPriority w:val="99"/>
    <w:rPr>
      <w:rFonts w:asciiTheme="minorHAnsi" w:eastAsiaTheme="minorHAnsi" w:hAnsiTheme="minorHAnsi" w:cstheme="minorBidi"/>
      <w:sz w:val="22"/>
      <w:szCs w:val="22"/>
      <w:lang w:eastAsia="en-US"/>
    </w:rPr>
  </w:style>
  <w:style w:type="paragraph" w:styleId="ListParagraph">
    <w:name w:val="List Paragraph"/>
    <w:basedOn w:val="Normal"/>
    <w:uiPriority w:val="99"/>
    <w:qFormat/>
    <w:rsid w:val="00B82095"/>
    <w:pPr>
      <w:spacing w:after="160" w:line="259" w:lineRule="auto"/>
      <w:ind w:left="720"/>
      <w:contextualSpacing/>
    </w:pPr>
    <w:rPr>
      <w:rFonts w:asciiTheme="minorHAnsi" w:hAnsiTheme="minorHAnsi"/>
    </w:rPr>
  </w:style>
  <w:style w:type="paragraph" w:customStyle="1" w:styleId="Default">
    <w:name w:val="Default"/>
    <w:rsid w:val="000618F3"/>
    <w:pPr>
      <w:autoSpaceDE w:val="0"/>
      <w:autoSpaceDN w:val="0"/>
      <w:adjustRightInd w:val="0"/>
    </w:pPr>
    <w:rPr>
      <w:rFonts w:ascii="AHSFVG+Cambria" w:hAnsi="AHSFVG+Cambria" w:cs="AHSFVG+Cambria"/>
      <w:color w:val="000000"/>
      <w:sz w:val="24"/>
      <w:szCs w:val="24"/>
    </w:rPr>
  </w:style>
  <w:style w:type="paragraph" w:customStyle="1" w:styleId="Series">
    <w:name w:val="Series"/>
    <w:qFormat/>
    <w:rsid w:val="000E42DB"/>
    <w:pPr>
      <w:spacing w:before="480" w:after="120"/>
    </w:pPr>
    <w:rPr>
      <w:rFonts w:asciiTheme="minorHAnsi" w:eastAsiaTheme="minorHAnsi" w:hAnsiTheme="minorHAnsi" w:cstheme="minorBidi"/>
      <w:b/>
      <w:i/>
      <w:color w:val="5482AB"/>
      <w:sz w:val="32"/>
      <w:szCs w:val="22"/>
      <w:lang w:eastAsia="en-US"/>
    </w:rPr>
  </w:style>
  <w:style w:type="table" w:styleId="PlainTable2">
    <w:name w:val="Plain Table 2"/>
    <w:basedOn w:val="TableNormal"/>
    <w:uiPriority w:val="42"/>
    <w:rsid w:val="00ED7A6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1D0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creativecommons.org/licenses/by/4.0/legalcod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Report%20writing\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Topic xmlns="7cf0e0db-f490-4122-abae-21917392c748" xsi:nil="true"/>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2.xml><?xml version="1.0" encoding="utf-8"?>
<ds:datastoreItem xmlns:ds="http://schemas.openxmlformats.org/officeDocument/2006/customXml" ds:itemID="{9D1CAD33-3B39-4665-A5E6-666D035120E9}">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cf0e0db-f490-4122-abae-21917392c748"/>
    <ds:schemaRef ds:uri="http://www.w3.org/XML/1998/namespace"/>
    <ds:schemaRef ds:uri="http://purl.org/dc/dcmitype/"/>
  </ds:schemaRefs>
</ds:datastoreItem>
</file>

<file path=customXml/itemProps3.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template.dotx</Template>
  <TotalTime>42</TotalTime>
  <Pages>5</Pages>
  <Words>1738</Words>
  <Characters>9911</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Improving market transparency in perishable agricultural goods industries - Wine grapes industry second workshop 21 September 2021: Workshop communique</vt:lpstr>
    </vt:vector>
  </TitlesOfParts>
  <Company/>
  <LinksUpToDate>false</LinksUpToDate>
  <CharactersWithSpaces>11626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market transparency in perishable agricultural goods industries - Wine grapes industry second workshop 21 September 2021: Workshop communique</dc:title>
  <dc:creator>Department of Agriculture, Water and the Environment</dc:creator>
  <cp:lastPrinted>2021-12-01T04:35:00Z</cp:lastPrinted>
  <dcterms:created xsi:type="dcterms:W3CDTF">2021-12-01T03:49:00Z</dcterms:created>
  <dcterms:modified xsi:type="dcterms:W3CDTF">2021-12-01T04:35:00Z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