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A68A1" w14:textId="5055A782" w:rsidR="009C2B20" w:rsidRDefault="00CA6F79">
      <w:pPr>
        <w:pStyle w:val="Heading1"/>
      </w:pPr>
      <w:bookmarkStart w:id="0" w:name="_GoBack"/>
      <w:bookmarkEnd w:id="0"/>
      <w:r w:rsidRPr="00CA6F79">
        <w:t xml:space="preserve">Summary of ABARES </w:t>
      </w:r>
      <w:r w:rsidR="002B3D0F">
        <w:t xml:space="preserve">agricultural </w:t>
      </w:r>
      <w:r w:rsidRPr="00CA6F79">
        <w:t xml:space="preserve">forecasting  </w:t>
      </w:r>
    </w:p>
    <w:p w14:paraId="7E2A68A2" w14:textId="38AFB6F9" w:rsidR="009C2B20" w:rsidRDefault="00CA6F79">
      <w:pPr>
        <w:pStyle w:val="Subtitle"/>
      </w:pPr>
      <w:r w:rsidRPr="00CA6F79">
        <w:t xml:space="preserve">Performance between 2000–01 and 2017–18 </w:t>
      </w:r>
    </w:p>
    <w:p w14:paraId="7E2A68A3" w14:textId="4D3CD6F9" w:rsidR="009C2B20" w:rsidRDefault="00CA6F79">
      <w:pPr>
        <w:pStyle w:val="Author"/>
        <w:rPr>
          <w:lang w:val="es-ES"/>
        </w:rPr>
      </w:pPr>
      <w:r>
        <w:rPr>
          <w:lang w:val="es-ES"/>
        </w:rPr>
        <w:t>Nathan Pitts</w:t>
      </w:r>
    </w:p>
    <w:p w14:paraId="7E2A68A4" w14:textId="283BAE46" w:rsidR="009C2B20" w:rsidRDefault="00BF6A7E">
      <w:pPr>
        <w:pStyle w:val="Organisation"/>
        <w:tabs>
          <w:tab w:val="left" w:pos="7995"/>
        </w:tabs>
      </w:pPr>
      <w:r>
        <w:t xml:space="preserve">Research by the Australian Bureau of Agricultural and Resource Economics and Sciences </w:t>
      </w:r>
    </w:p>
    <w:p w14:paraId="425A4BA2" w14:textId="691EC153" w:rsidR="00572717" w:rsidRDefault="00572717" w:rsidP="00572717">
      <w:pPr>
        <w:pStyle w:val="Publicationseries"/>
      </w:pPr>
      <w:r>
        <w:t xml:space="preserve">Research Report 19.8 </w:t>
      </w:r>
    </w:p>
    <w:p w14:paraId="7E2A68A6" w14:textId="68C204F2" w:rsidR="009C2B20" w:rsidRDefault="00CA6F79" w:rsidP="00572717">
      <w:pPr>
        <w:pStyle w:val="Publicationseries"/>
      </w:pPr>
      <w:r>
        <w:t>June 2019</w:t>
      </w:r>
    </w:p>
    <w:p w14:paraId="43FC8F9D" w14:textId="76449F50" w:rsidR="009C2B20" w:rsidRDefault="00572717">
      <w:pPr>
        <w:pStyle w:val="Normalsmall"/>
      </w:pPr>
      <w:r>
        <w:rPr>
          <w:noProof/>
          <w:lang w:eastAsia="en-AU"/>
        </w:rPr>
        <w:drawing>
          <wp:anchor distT="0" distB="0" distL="114300" distR="114300" simplePos="0" relativeHeight="251658240" behindDoc="0" locked="0" layoutInCell="1" allowOverlap="1" wp14:anchorId="0D9286CE" wp14:editId="38269567">
            <wp:simplePos x="0" y="0"/>
            <wp:positionH relativeFrom="margin">
              <wp:posOffset>386435</wp:posOffset>
            </wp:positionH>
            <wp:positionV relativeFrom="margin">
              <wp:align>bottom</wp:align>
            </wp:positionV>
            <wp:extent cx="4849495" cy="4849495"/>
            <wp:effectExtent l="0" t="0" r="825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A2840_0117 biosphere.png"/>
                    <pic:cNvPicPr/>
                  </pic:nvPicPr>
                  <pic:blipFill>
                    <a:blip r:embed="rId8">
                      <a:extLst>
                        <a:ext uri="{28A0092B-C50C-407E-A947-70E740481C1C}">
                          <a14:useLocalDpi xmlns:a14="http://schemas.microsoft.com/office/drawing/2010/main" val="0"/>
                        </a:ext>
                      </a:extLst>
                    </a:blip>
                    <a:stretch>
                      <a:fillRect/>
                    </a:stretch>
                  </pic:blipFill>
                  <pic:spPr>
                    <a:xfrm>
                      <a:off x="0" y="0"/>
                      <a:ext cx="4849495" cy="4849495"/>
                    </a:xfrm>
                    <a:prstGeom prst="rect">
                      <a:avLst/>
                    </a:prstGeom>
                  </pic:spPr>
                </pic:pic>
              </a:graphicData>
            </a:graphic>
            <wp14:sizeRelH relativeFrom="margin">
              <wp14:pctWidth>0</wp14:pctWidth>
            </wp14:sizeRelH>
            <wp14:sizeRelV relativeFrom="margin">
              <wp14:pctHeight>0</wp14:pctHeight>
            </wp14:sizeRelV>
          </wp:anchor>
        </w:drawing>
      </w:r>
      <w:r w:rsidR="00BF6A7E" w:rsidRPr="00193F69">
        <w:br w:type="page"/>
      </w:r>
      <w:r w:rsidR="00435E3E">
        <w:lastRenderedPageBreak/>
        <w:t>© Commonwealth of Australia 2019</w:t>
      </w:r>
    </w:p>
    <w:p w14:paraId="7E2A68A9" w14:textId="77777777" w:rsidR="009C2B20" w:rsidRDefault="00BF6A7E">
      <w:pPr>
        <w:pStyle w:val="Normalsmall"/>
        <w:rPr>
          <w:rStyle w:val="Strong"/>
        </w:rPr>
      </w:pPr>
      <w:r>
        <w:rPr>
          <w:rStyle w:val="Strong"/>
        </w:rPr>
        <w:t>Ownership of intellectual property rights</w:t>
      </w:r>
    </w:p>
    <w:p w14:paraId="7E2A68AA" w14:textId="77777777" w:rsidR="009C2B20" w:rsidRDefault="00BF6A7E">
      <w:pPr>
        <w:pStyle w:val="Normalsmall"/>
      </w:pPr>
      <w:r>
        <w:t>Unless otherwise noted, copyright (and any other intellectual property rights, if any) in this publication is owned by the Commonwealth of Australia (referred to as the Commonwealth).</w:t>
      </w:r>
    </w:p>
    <w:p w14:paraId="7E2A68AB" w14:textId="77777777" w:rsidR="009C2B20" w:rsidRDefault="00BF6A7E">
      <w:pPr>
        <w:pStyle w:val="Normalsmall"/>
        <w:rPr>
          <w:rStyle w:val="Strong"/>
        </w:rPr>
      </w:pPr>
      <w:proofErr w:type="gramStart"/>
      <w:r>
        <w:rPr>
          <w:rStyle w:val="Strong"/>
        </w:rPr>
        <w:t>Creative Commons</w:t>
      </w:r>
      <w:proofErr w:type="gramEnd"/>
      <w:r>
        <w:rPr>
          <w:rStyle w:val="Strong"/>
        </w:rPr>
        <w:t xml:space="preserve"> licence</w:t>
      </w:r>
    </w:p>
    <w:p w14:paraId="7E2A68AC" w14:textId="77777777" w:rsidR="009C2B20" w:rsidRDefault="00BF6A7E">
      <w:pPr>
        <w:pStyle w:val="Normalsmall"/>
      </w:pPr>
      <w:r>
        <w:t xml:space="preserve">All material in this publication is licensed under a Creative </w:t>
      </w:r>
      <w:hyperlink r:id="rId9" w:history="1">
        <w:r>
          <w:rPr>
            <w:rStyle w:val="Hyperlink"/>
          </w:rPr>
          <w:t>Commons Attribution 4.0 International Licence</w:t>
        </w:r>
      </w:hyperlink>
      <w:r>
        <w:t xml:space="preserve"> except content supplied by third parties, logos and the Commonwealth Coat of Arms.</w:t>
      </w:r>
    </w:p>
    <w:p w14:paraId="7E2A68AD" w14:textId="77777777" w:rsidR="009C2B20" w:rsidRDefault="00BF6A7E">
      <w:pPr>
        <w:pStyle w:val="Normalsmall"/>
      </w:pPr>
      <w:r>
        <w:t xml:space="preserve">Inquiries about the licence and any use of this document should be emailed to </w:t>
      </w:r>
      <w:hyperlink r:id="rId10" w:history="1">
        <w:r>
          <w:rPr>
            <w:rStyle w:val="Hyperlink"/>
          </w:rPr>
          <w:t>copyright@agriculture.gov.au</w:t>
        </w:r>
      </w:hyperlink>
      <w:r>
        <w:t>.</w:t>
      </w:r>
    </w:p>
    <w:p w14:paraId="7E2A68AE" w14:textId="77777777" w:rsidR="009C2B20" w:rsidRDefault="00BF6A7E">
      <w:pPr>
        <w:pStyle w:val="Normalsmall"/>
      </w:pPr>
      <w:r>
        <w:rPr>
          <w:noProof/>
          <w:lang w:eastAsia="en-AU"/>
        </w:rPr>
        <w:drawing>
          <wp:inline distT="0" distB="0" distL="0" distR="0" wp14:anchorId="7E2A6BAA" wp14:editId="7E2A6BAB">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E2A68AF" w14:textId="77777777" w:rsidR="009C2B20" w:rsidRDefault="00BF6A7E">
      <w:pPr>
        <w:pStyle w:val="Normalsmall"/>
        <w:rPr>
          <w:rStyle w:val="Strong"/>
        </w:rPr>
      </w:pPr>
      <w:r>
        <w:rPr>
          <w:rStyle w:val="Strong"/>
        </w:rPr>
        <w:t>Cataloguing data</w:t>
      </w:r>
    </w:p>
    <w:p w14:paraId="7E2A68B0" w14:textId="72F86E1C" w:rsidR="009C2B20" w:rsidRDefault="00BF6A7E">
      <w:pPr>
        <w:pStyle w:val="Normalsmall"/>
      </w:pPr>
      <w:r>
        <w:t>This publication (and any material sourced from it) should be attributed as</w:t>
      </w:r>
      <w:r w:rsidRPr="0084665D">
        <w:t xml:space="preserve">: </w:t>
      </w:r>
      <w:r w:rsidR="00A82249" w:rsidRPr="0084665D">
        <w:t>Pitts</w:t>
      </w:r>
      <w:r w:rsidRPr="0084665D">
        <w:t xml:space="preserve">, </w:t>
      </w:r>
      <w:r w:rsidR="00A82249" w:rsidRPr="0084665D">
        <w:t>N 2019</w:t>
      </w:r>
      <w:r w:rsidRPr="0084665D">
        <w:t xml:space="preserve">, </w:t>
      </w:r>
      <w:r w:rsidR="002B3D0F">
        <w:rPr>
          <w:i/>
        </w:rPr>
        <w:t>Summary of ABARES agricultural forecasting</w:t>
      </w:r>
      <w:r w:rsidR="00A82249">
        <w:t xml:space="preserve">, ABARES </w:t>
      </w:r>
      <w:r>
        <w:t xml:space="preserve">research report, Canberra, </w:t>
      </w:r>
      <w:r w:rsidR="00A82249">
        <w:t>June</w:t>
      </w:r>
      <w:r>
        <w:t>. CC BY 4.0.</w:t>
      </w:r>
      <w:r w:rsidR="00ED254A">
        <w:t xml:space="preserve"> </w:t>
      </w:r>
      <w:hyperlink r:id="rId12" w:history="1">
        <w:r w:rsidR="00ED254A" w:rsidRPr="003A274C">
          <w:rPr>
            <w:rStyle w:val="Hyperlink"/>
          </w:rPr>
          <w:t>https://doi.org/10.25814/5cf8f05ab3780</w:t>
        </w:r>
      </w:hyperlink>
      <w:r w:rsidR="00ED254A">
        <w:t xml:space="preserve"> </w:t>
      </w:r>
    </w:p>
    <w:p w14:paraId="7E2A68B1" w14:textId="515FE9DB" w:rsidR="009C2B20" w:rsidRPr="00572717" w:rsidRDefault="00BF6A7E">
      <w:pPr>
        <w:pStyle w:val="Normalsmall"/>
      </w:pPr>
      <w:r w:rsidRPr="00572717">
        <w:t xml:space="preserve">ISBN </w:t>
      </w:r>
      <w:r w:rsidR="003B5F4B" w:rsidRPr="00572717">
        <w:t>978</w:t>
      </w:r>
      <w:r w:rsidRPr="00572717">
        <w:t>-</w:t>
      </w:r>
      <w:r w:rsidR="003B5F4B" w:rsidRPr="00572717">
        <w:t>1</w:t>
      </w:r>
      <w:r w:rsidRPr="00572717">
        <w:t>-</w:t>
      </w:r>
      <w:r w:rsidR="003B5F4B" w:rsidRPr="00572717">
        <w:t>74323</w:t>
      </w:r>
      <w:r w:rsidRPr="00572717">
        <w:t>-</w:t>
      </w:r>
      <w:r w:rsidR="003B5F4B" w:rsidRPr="00572717">
        <w:t>438</w:t>
      </w:r>
      <w:r w:rsidRPr="00572717">
        <w:t>-</w:t>
      </w:r>
      <w:r w:rsidR="003B5F4B" w:rsidRPr="00572717">
        <w:t>9</w:t>
      </w:r>
    </w:p>
    <w:p w14:paraId="3EB5F5A8" w14:textId="756F3121" w:rsidR="00572717" w:rsidRPr="00572717" w:rsidRDefault="00572717">
      <w:pPr>
        <w:pStyle w:val="Normalsmall"/>
      </w:pPr>
      <w:r w:rsidRPr="00572717">
        <w:t>ISSN 1447-8358</w:t>
      </w:r>
    </w:p>
    <w:p w14:paraId="7E2A68B2" w14:textId="683E590A" w:rsidR="009C2B20" w:rsidRDefault="00BF6A7E">
      <w:pPr>
        <w:pStyle w:val="Normalsmall"/>
      </w:pPr>
      <w:r>
        <w:t xml:space="preserve">This </w:t>
      </w:r>
      <w:r w:rsidRPr="0084665D">
        <w:t xml:space="preserve">publication is available at </w:t>
      </w:r>
      <w:hyperlink r:id="rId13" w:history="1">
        <w:r w:rsidR="00D71866" w:rsidRPr="0084665D">
          <w:rPr>
            <w:rStyle w:val="Hyperlink"/>
          </w:rPr>
          <w:t>http://www.agriculture.gov.au/abares/research-topics/agricultural-forecasting</w:t>
        </w:r>
      </w:hyperlink>
      <w:r w:rsidRPr="0084665D">
        <w:t>.</w:t>
      </w:r>
    </w:p>
    <w:p w14:paraId="7E2A68B3" w14:textId="1A81A741" w:rsidR="009C2B20" w:rsidRDefault="00BF6A7E">
      <w:pPr>
        <w:pStyle w:val="Normalsmall"/>
        <w:spacing w:after="0"/>
      </w:pPr>
      <w:r>
        <w:t xml:space="preserve">Department of Agriculture </w:t>
      </w:r>
      <w:r w:rsidR="00026F59">
        <w:t xml:space="preserve"> </w:t>
      </w:r>
    </w:p>
    <w:p w14:paraId="7E2A68B4" w14:textId="77777777" w:rsidR="009C2B20" w:rsidRDefault="00BF6A7E">
      <w:pPr>
        <w:pStyle w:val="Normalsmall"/>
        <w:spacing w:after="0"/>
      </w:pPr>
      <w:r>
        <w:t>GPO Box 858 Canberra ACT 2601</w:t>
      </w:r>
    </w:p>
    <w:p w14:paraId="7E2A68B5" w14:textId="77777777" w:rsidR="009C2B20" w:rsidRDefault="00BF6A7E">
      <w:pPr>
        <w:pStyle w:val="Normalsmall"/>
        <w:spacing w:after="0"/>
      </w:pPr>
      <w:r>
        <w:t>Telephone 1800 900 090</w:t>
      </w:r>
    </w:p>
    <w:p w14:paraId="7E2A68B6" w14:textId="77777777" w:rsidR="009C2B20" w:rsidRDefault="00BF6A7E">
      <w:pPr>
        <w:pStyle w:val="Normalsmall"/>
      </w:pPr>
      <w:r>
        <w:t xml:space="preserve">Web </w:t>
      </w:r>
      <w:hyperlink r:id="rId14" w:history="1">
        <w:r>
          <w:rPr>
            <w:rStyle w:val="Hyperlink"/>
          </w:rPr>
          <w:t>agriculture.gov.au</w:t>
        </w:r>
      </w:hyperlink>
    </w:p>
    <w:p w14:paraId="7E2A68B7" w14:textId="5A35784A" w:rsidR="009C2B20" w:rsidRDefault="00BF6A7E">
      <w:pPr>
        <w:pStyle w:val="Normalsmall"/>
      </w:pPr>
      <w:r>
        <w:t>The Australian Government acting through the Department of Agriculture, represented by the Australian Bureau of Agricultural and Resource Economics and Sciences, has exercised due care and skill in preparing and compiling the information and data in this publication. Notwithstanding, the Department of Agriculture,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E2A68B8" w14:textId="77777777" w:rsidR="009C2B20" w:rsidRPr="0084665D" w:rsidRDefault="00BF6A7E">
      <w:pPr>
        <w:pStyle w:val="Normalsmall"/>
        <w:rPr>
          <w:rStyle w:val="Strong"/>
        </w:rPr>
      </w:pPr>
      <w:r w:rsidRPr="0084665D">
        <w:rPr>
          <w:rStyle w:val="Strong"/>
        </w:rPr>
        <w:t>Acknowledgements</w:t>
      </w:r>
    </w:p>
    <w:p w14:paraId="7E2A68B9" w14:textId="267ED418" w:rsidR="00435E3E" w:rsidRDefault="00D71866">
      <w:pPr>
        <w:pStyle w:val="Normalsmall"/>
      </w:pPr>
      <w:r w:rsidRPr="0084665D">
        <w:t>I would like to thank Andrew Cameron, Matt Miller, Peter Gooday</w:t>
      </w:r>
      <w:r w:rsidR="00AD2691">
        <w:t>, Rohan Nelson</w:t>
      </w:r>
      <w:r w:rsidRPr="0084665D">
        <w:t xml:space="preserve"> and Tim Whitnall for the</w:t>
      </w:r>
      <w:r w:rsidR="0084665D" w:rsidRPr="0084665D">
        <w:t xml:space="preserve">ir </w:t>
      </w:r>
      <w:r w:rsidRPr="0084665D">
        <w:t>comments and feedback</w:t>
      </w:r>
      <w:r w:rsidR="00121FBD">
        <w:t xml:space="preserve"> on this </w:t>
      </w:r>
      <w:r w:rsidR="006D23B4">
        <w:t>report</w:t>
      </w:r>
      <w:r w:rsidRPr="0084665D">
        <w:t>.</w:t>
      </w:r>
    </w:p>
    <w:p w14:paraId="113EC137" w14:textId="2F870934" w:rsidR="00435E3E" w:rsidRDefault="00435E3E" w:rsidP="00435E3E"/>
    <w:p w14:paraId="6A78DD40" w14:textId="65214A8E" w:rsidR="009C2B20" w:rsidRPr="00435E3E" w:rsidRDefault="00435E3E" w:rsidP="00435E3E">
      <w:pPr>
        <w:tabs>
          <w:tab w:val="left" w:pos="2684"/>
        </w:tabs>
      </w:pPr>
      <w:r>
        <w:tab/>
      </w:r>
    </w:p>
    <w:p w14:paraId="7E2A6BA7" w14:textId="4D828040" w:rsidR="009C2B20" w:rsidRDefault="003A36BF" w:rsidP="00435E3E">
      <w:pPr>
        <w:pStyle w:val="Heading2"/>
        <w:numPr>
          <w:ilvl w:val="0"/>
          <w:numId w:val="0"/>
        </w:numPr>
        <w:ind w:left="709" w:hanging="709"/>
      </w:pPr>
      <w:r>
        <w:lastRenderedPageBreak/>
        <w:t>Introduction</w:t>
      </w:r>
    </w:p>
    <w:p w14:paraId="4770A479" w14:textId="77777777" w:rsidR="00435E3E" w:rsidRDefault="00435E3E" w:rsidP="00435E3E">
      <w:pPr>
        <w:rPr>
          <w:lang w:eastAsia="ja-JP"/>
        </w:rPr>
      </w:pPr>
      <w:r>
        <w:rPr>
          <w:lang w:eastAsia="ja-JP"/>
        </w:rPr>
        <w:t>ABARES publishes agricultural forecasts in the Australian crop report and Agricultural commodities publications. These cover domestic and global production, consumption, exports and commodity prices. ABARES bases these forecasts on economic and agronomic assessments of data and information from various sources—supported by discussions with industry experts, use of quantitative analytical tools and professional judgement. Observed outcomes can differ from forecasts for a number of reasons. The most apparent is when critical forecast assumptions are not realised and are revised in later publications.</w:t>
      </w:r>
    </w:p>
    <w:p w14:paraId="47629E55" w14:textId="77777777" w:rsidR="00435E3E" w:rsidRDefault="00435E3E" w:rsidP="00435E3E">
      <w:pPr>
        <w:rPr>
          <w:lang w:eastAsia="ja-JP"/>
        </w:rPr>
      </w:pPr>
      <w:r>
        <w:rPr>
          <w:lang w:eastAsia="ja-JP"/>
        </w:rPr>
        <w:t>Forecasts issued in September are used to examine historical ABARES forecast performance in this snapshot. These forecasts are issued with a minimum of 9 months remaining in the forecast financial year—depending on the availability of observations. Between 2000–01 and 2017–18, ABARES September forecasts have an average forecast error of:</w:t>
      </w:r>
    </w:p>
    <w:p w14:paraId="2D60FDB2" w14:textId="77777777" w:rsidR="00435E3E" w:rsidRDefault="00435E3E" w:rsidP="00435E3E">
      <w:pPr>
        <w:rPr>
          <w:lang w:eastAsia="ja-JP"/>
        </w:rPr>
      </w:pPr>
      <w:r>
        <w:rPr>
          <w:lang w:eastAsia="ja-JP"/>
        </w:rPr>
        <w:t>•</w:t>
      </w:r>
      <w:r>
        <w:rPr>
          <w:lang w:eastAsia="ja-JP"/>
        </w:rPr>
        <w:tab/>
        <w:t>11% for total winter crop production.</w:t>
      </w:r>
    </w:p>
    <w:p w14:paraId="7CF14ED5" w14:textId="77777777" w:rsidR="00435E3E" w:rsidRDefault="00435E3E" w:rsidP="00435E3E">
      <w:pPr>
        <w:rPr>
          <w:lang w:eastAsia="ja-JP"/>
        </w:rPr>
      </w:pPr>
      <w:r>
        <w:rPr>
          <w:lang w:eastAsia="ja-JP"/>
        </w:rPr>
        <w:t>•</w:t>
      </w:r>
      <w:r>
        <w:rPr>
          <w:lang w:eastAsia="ja-JP"/>
        </w:rPr>
        <w:tab/>
        <w:t>2% for total meat production.</w:t>
      </w:r>
    </w:p>
    <w:p w14:paraId="506A31EC" w14:textId="77777777" w:rsidR="00435E3E" w:rsidRDefault="00435E3E" w:rsidP="00435E3E">
      <w:pPr>
        <w:rPr>
          <w:lang w:eastAsia="ja-JP"/>
        </w:rPr>
      </w:pPr>
      <w:r>
        <w:rPr>
          <w:lang w:eastAsia="ja-JP"/>
        </w:rPr>
        <w:t>•</w:t>
      </w:r>
      <w:r>
        <w:rPr>
          <w:lang w:eastAsia="ja-JP"/>
        </w:rPr>
        <w:tab/>
        <w:t>10% for global indicator prices averaged across major commodities.</w:t>
      </w:r>
    </w:p>
    <w:p w14:paraId="1509FDFC" w14:textId="77777777" w:rsidR="00435E3E" w:rsidRDefault="00435E3E" w:rsidP="00435E3E">
      <w:pPr>
        <w:rPr>
          <w:lang w:eastAsia="ja-JP"/>
        </w:rPr>
      </w:pPr>
      <w:r>
        <w:rPr>
          <w:lang w:eastAsia="ja-JP"/>
        </w:rPr>
        <w:t>•</w:t>
      </w:r>
      <w:r>
        <w:rPr>
          <w:lang w:eastAsia="ja-JP"/>
        </w:rPr>
        <w:tab/>
        <w:t>6% for the total value of agricultural exports.</w:t>
      </w:r>
    </w:p>
    <w:p w14:paraId="3B615875" w14:textId="77777777" w:rsidR="00435E3E" w:rsidRDefault="00435E3E" w:rsidP="00435E3E">
      <w:pPr>
        <w:rPr>
          <w:lang w:eastAsia="ja-JP"/>
        </w:rPr>
      </w:pPr>
      <w:r>
        <w:rPr>
          <w:lang w:eastAsia="ja-JP"/>
        </w:rPr>
        <w:t>•</w:t>
      </w:r>
      <w:r>
        <w:rPr>
          <w:lang w:eastAsia="ja-JP"/>
        </w:rPr>
        <w:tab/>
        <w:t>15% for export volumes averaged across major commodities.</w:t>
      </w:r>
    </w:p>
    <w:p w14:paraId="208B44EA" w14:textId="77777777" w:rsidR="00435E3E" w:rsidRDefault="00435E3E" w:rsidP="00435E3E">
      <w:pPr>
        <w:rPr>
          <w:lang w:eastAsia="ja-JP"/>
        </w:rPr>
      </w:pPr>
      <w:r>
        <w:rPr>
          <w:lang w:eastAsia="ja-JP"/>
        </w:rPr>
        <w:t>Forecast errors generally decrease in later releases, when ABARES updates its previous assumptions to account for new information. Furthermore, total agricultural forecast error is lower than the forecast error of its components, due to lower forecast errors for major agricultural commodities.</w:t>
      </w:r>
    </w:p>
    <w:p w14:paraId="19DF98A1" w14:textId="77777777" w:rsidR="00435E3E" w:rsidRDefault="00435E3E" w:rsidP="00435E3E">
      <w:pPr>
        <w:pStyle w:val="Heading3"/>
        <w:rPr>
          <w:lang w:eastAsia="ja-JP"/>
        </w:rPr>
      </w:pPr>
      <w:r>
        <w:rPr>
          <w:lang w:eastAsia="ja-JP"/>
        </w:rPr>
        <w:t>Winter crop production</w:t>
      </w:r>
    </w:p>
    <w:p w14:paraId="31EF273D" w14:textId="77777777" w:rsidR="00435E3E" w:rsidRDefault="00435E3E" w:rsidP="00435E3E">
      <w:pPr>
        <w:rPr>
          <w:lang w:eastAsia="ja-JP"/>
        </w:rPr>
      </w:pPr>
      <w:r>
        <w:rPr>
          <w:lang w:eastAsia="ja-JP"/>
        </w:rPr>
        <w:t>Since 2000–01 September forecasts of total winter crop production have an 11% forecast error and are downward biased by 1% (this means that on average, ABARES underestimates winter crop production by 1%). Forecast error is higher for seasons with significant climatic events, especially those influenced by the positive and negative phases of the El Niño–Southern Oscillation and Indian Ocean Dipole (IOD). If the seasons affected by an El Niño or positive IOD event are excluded, average forecast error decreases to 8%. Forecast error is lower for growing seasons affected by a La Niña or negative IOD event since the crop production effects are generally smaller.</w:t>
      </w:r>
    </w:p>
    <w:p w14:paraId="3EC12554" w14:textId="77777777" w:rsidR="00435E3E" w:rsidRDefault="00435E3E" w:rsidP="00435E3E">
      <w:pPr>
        <w:rPr>
          <w:lang w:eastAsia="ja-JP"/>
        </w:rPr>
      </w:pPr>
      <w:r>
        <w:rPr>
          <w:lang w:eastAsia="ja-JP"/>
        </w:rPr>
        <w:t>Compared to ABARES forecasts, a naïve model that uses a rolling 10–year average to forecast winter crop production has a significantly higher forecast error of 25%. This is due to the variability of Australian winter crop production.</w:t>
      </w:r>
    </w:p>
    <w:p w14:paraId="12C1DD03" w14:textId="77777777" w:rsidR="00435E3E" w:rsidRDefault="00435E3E" w:rsidP="00D11BA9">
      <w:pPr>
        <w:pStyle w:val="Caption"/>
        <w:rPr>
          <w:lang w:eastAsia="ja-JP"/>
        </w:rPr>
      </w:pPr>
      <w:r>
        <w:rPr>
          <w:lang w:eastAsia="ja-JP"/>
        </w:rPr>
        <w:lastRenderedPageBreak/>
        <w:t>Winter crop production, ABS estimates and ABARES September forecasts, 2000–01 to 2017–18</w:t>
      </w:r>
    </w:p>
    <w:p w14:paraId="56CE2AAF" w14:textId="62CEEFD9" w:rsidR="00D11BA9" w:rsidRDefault="00345B07" w:rsidP="00D71866">
      <w:pPr>
        <w:pStyle w:val="Picture"/>
        <w:rPr>
          <w:lang w:eastAsia="ja-JP"/>
        </w:rPr>
      </w:pPr>
      <w:r>
        <w:pict w14:anchorId="3525A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198.5pt">
            <v:imagedata r:id="rId15" o:title="winter crop production"/>
          </v:shape>
        </w:pict>
      </w:r>
    </w:p>
    <w:p w14:paraId="215FAEAB" w14:textId="31D03D7B" w:rsidR="00435E3E" w:rsidRDefault="00435E3E" w:rsidP="00D71866">
      <w:pPr>
        <w:pStyle w:val="FigureTableNoteSource"/>
        <w:rPr>
          <w:lang w:eastAsia="ja-JP"/>
        </w:rPr>
      </w:pPr>
      <w:r>
        <w:rPr>
          <w:lang w:eastAsia="ja-JP"/>
        </w:rPr>
        <w:t>Sources: Australian Bureau of Agricultural and Resource Economics and Sciences; Australian Bureau of Statistics (ABS); Australian Bureau of Meteorology</w:t>
      </w:r>
    </w:p>
    <w:p w14:paraId="6EBC8E9D" w14:textId="77777777" w:rsidR="00435E3E" w:rsidRDefault="00435E3E" w:rsidP="00435E3E">
      <w:pPr>
        <w:pStyle w:val="Heading3"/>
        <w:rPr>
          <w:lang w:eastAsia="ja-JP"/>
        </w:rPr>
      </w:pPr>
      <w:r>
        <w:rPr>
          <w:lang w:eastAsia="ja-JP"/>
        </w:rPr>
        <w:t>Livestock production</w:t>
      </w:r>
    </w:p>
    <w:p w14:paraId="52B81B97" w14:textId="77777777" w:rsidR="00435E3E" w:rsidRDefault="00435E3E" w:rsidP="00435E3E">
      <w:pPr>
        <w:rPr>
          <w:lang w:eastAsia="ja-JP"/>
        </w:rPr>
      </w:pPr>
      <w:r>
        <w:rPr>
          <w:lang w:eastAsia="ja-JP"/>
        </w:rPr>
        <w:t>The forecast error for livestock production is lower than for crop production. This is because flock dynamics connect livestock production across years, reducing year-on-year fluctuations. Between 2000–01 and 2017–18, the total meat production forecast has a 2% forecast error. The forecast errors for beef and veal (4%), chicken meat (5%), and lamb (4%) are generally uncorrelated. Total meat production forecasts are downward biased by 1%.</w:t>
      </w:r>
    </w:p>
    <w:p w14:paraId="7C0741C0" w14:textId="77777777" w:rsidR="00435E3E" w:rsidRDefault="00435E3E" w:rsidP="00A82249">
      <w:pPr>
        <w:pStyle w:val="Caption"/>
        <w:rPr>
          <w:lang w:eastAsia="ja-JP"/>
        </w:rPr>
      </w:pPr>
      <w:r>
        <w:rPr>
          <w:lang w:eastAsia="ja-JP"/>
        </w:rPr>
        <w:t>Australian agricultural production indexes, winter crops and meat, 2000–01 to 2017–18</w:t>
      </w:r>
    </w:p>
    <w:p w14:paraId="3D72510C" w14:textId="5678B915" w:rsidR="00435E3E" w:rsidRDefault="00435E3E" w:rsidP="00D71866">
      <w:pPr>
        <w:pStyle w:val="Picture"/>
      </w:pPr>
      <w:r>
        <w:t xml:space="preserve"> </w:t>
      </w:r>
      <w:r w:rsidR="00D11BA9">
        <w:drawing>
          <wp:inline distT="0" distB="0" distL="0" distR="0" wp14:anchorId="3B7CFB7B" wp14:editId="7FFAE038">
            <wp:extent cx="5761355" cy="2529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529840"/>
                    </a:xfrm>
                    <a:prstGeom prst="rect">
                      <a:avLst/>
                    </a:prstGeom>
                    <a:noFill/>
                  </pic:spPr>
                </pic:pic>
              </a:graphicData>
            </a:graphic>
          </wp:inline>
        </w:drawing>
      </w:r>
    </w:p>
    <w:p w14:paraId="659BFB38" w14:textId="77777777" w:rsidR="00435E3E" w:rsidRDefault="00435E3E" w:rsidP="00A82249">
      <w:pPr>
        <w:pStyle w:val="FigureTableNoteSource"/>
        <w:rPr>
          <w:lang w:eastAsia="ja-JP"/>
        </w:rPr>
      </w:pPr>
      <w:r>
        <w:rPr>
          <w:lang w:eastAsia="ja-JP"/>
        </w:rPr>
        <w:t>Note: For indexes, 2000–01=100. Meat includes beef and veal, chicken, goat, lamb, mutton and pig.</w:t>
      </w:r>
    </w:p>
    <w:p w14:paraId="2C018696" w14:textId="77777777" w:rsidR="00435E3E" w:rsidRDefault="00435E3E" w:rsidP="00A82249">
      <w:pPr>
        <w:pStyle w:val="FigureTableNoteSource"/>
        <w:rPr>
          <w:lang w:eastAsia="ja-JP"/>
        </w:rPr>
      </w:pPr>
      <w:r>
        <w:rPr>
          <w:lang w:eastAsia="ja-JP"/>
        </w:rPr>
        <w:t>Source: Australian Bureau of Statistics</w:t>
      </w:r>
    </w:p>
    <w:p w14:paraId="5194E9E7" w14:textId="77777777" w:rsidR="00435E3E" w:rsidRDefault="00435E3E" w:rsidP="00A82249">
      <w:pPr>
        <w:pStyle w:val="Caption"/>
        <w:rPr>
          <w:lang w:eastAsia="ja-JP"/>
        </w:rPr>
      </w:pPr>
      <w:r>
        <w:rPr>
          <w:lang w:eastAsia="ja-JP"/>
        </w:rPr>
        <w:lastRenderedPageBreak/>
        <w:t>Beef production, ABS estimates vs ABARES September forecasts, 2000–01 to 2017–18</w:t>
      </w:r>
    </w:p>
    <w:p w14:paraId="58DE32B6" w14:textId="531DF93D" w:rsidR="00435E3E" w:rsidRDefault="00435E3E" w:rsidP="00D71866">
      <w:pPr>
        <w:pStyle w:val="Picture"/>
      </w:pPr>
      <w:r>
        <w:t xml:space="preserve"> </w:t>
      </w:r>
      <w:r w:rsidR="00D11BA9">
        <w:drawing>
          <wp:inline distT="0" distB="0" distL="0" distR="0" wp14:anchorId="1C7F12C3" wp14:editId="386D45DD">
            <wp:extent cx="5761355" cy="2529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529840"/>
                    </a:xfrm>
                    <a:prstGeom prst="rect">
                      <a:avLst/>
                    </a:prstGeom>
                    <a:noFill/>
                  </pic:spPr>
                </pic:pic>
              </a:graphicData>
            </a:graphic>
          </wp:inline>
        </w:drawing>
      </w:r>
    </w:p>
    <w:p w14:paraId="5F4C4A41" w14:textId="77777777" w:rsidR="00435E3E" w:rsidRDefault="00435E3E" w:rsidP="00A82249">
      <w:pPr>
        <w:pStyle w:val="FigureTableNoteSource"/>
        <w:rPr>
          <w:lang w:eastAsia="ja-JP"/>
        </w:rPr>
      </w:pPr>
      <w:r>
        <w:rPr>
          <w:lang w:eastAsia="ja-JP"/>
        </w:rPr>
        <w:t>Sources: Australian Bureau of Agricultural and Resource Economics and Sciences, Australian Bureau of Statistics (ABS)</w:t>
      </w:r>
    </w:p>
    <w:p w14:paraId="0CC98D29" w14:textId="77777777" w:rsidR="00435E3E" w:rsidRDefault="00435E3E" w:rsidP="00435E3E">
      <w:pPr>
        <w:pStyle w:val="Heading3"/>
        <w:rPr>
          <w:lang w:eastAsia="ja-JP"/>
        </w:rPr>
      </w:pPr>
      <w:r>
        <w:rPr>
          <w:lang w:eastAsia="ja-JP"/>
        </w:rPr>
        <w:t>Indicator prices</w:t>
      </w:r>
    </w:p>
    <w:p w14:paraId="2B3926CD" w14:textId="77777777" w:rsidR="00435E3E" w:rsidRDefault="00435E3E" w:rsidP="00435E3E">
      <w:pPr>
        <w:rPr>
          <w:lang w:eastAsia="ja-JP"/>
        </w:rPr>
      </w:pPr>
      <w:r>
        <w:rPr>
          <w:lang w:eastAsia="ja-JP"/>
        </w:rPr>
        <w:t>Since 2000–01 September indicator price forecasts have an average forecast error of 10%. Over this period, 64% of all ABARES September price forecasts for major commodities were within 10% of actual values, with 81% within 15%. This indicates that average forecast error is strongly influenced by a minority of observations with higher forecast error, partially due to higher average forecast errors for sugar. Price forecasts over this period were downwards biased by 2%. Alternatively, if forecasts are made by a naïve model that uses the average of observed prices between July and September of that year, average forecast error increases to 19%.</w:t>
      </w:r>
    </w:p>
    <w:p w14:paraId="3711FE3D" w14:textId="52562AA3" w:rsidR="00D11BA9" w:rsidRDefault="00D11BA9" w:rsidP="00D11BA9">
      <w:pPr>
        <w:pStyle w:val="Caption"/>
        <w:rPr>
          <w:lang w:eastAsia="ja-JP"/>
        </w:rPr>
      </w:pPr>
      <w:r w:rsidRPr="00D11BA9">
        <w:rPr>
          <w:lang w:eastAsia="ja-JP"/>
        </w:rPr>
        <w:t>ABARES price forecast error, 2000–01 to 2017–18</w:t>
      </w:r>
    </w:p>
    <w:tbl>
      <w:tblPr>
        <w:tblStyle w:val="TableGrid"/>
        <w:tblW w:w="9060" w:type="dxa"/>
        <w:tblLook w:val="04A0" w:firstRow="1" w:lastRow="0" w:firstColumn="1" w:lastColumn="0" w:noHBand="0" w:noVBand="1"/>
      </w:tblPr>
      <w:tblGrid>
        <w:gridCol w:w="1510"/>
        <w:gridCol w:w="1510"/>
        <w:gridCol w:w="1510"/>
        <w:gridCol w:w="1510"/>
        <w:gridCol w:w="1510"/>
        <w:gridCol w:w="1510"/>
      </w:tblGrid>
      <w:tr w:rsidR="00D11BA9" w14:paraId="076349FE" w14:textId="77777777" w:rsidTr="00ED4752">
        <w:tc>
          <w:tcPr>
            <w:tcW w:w="1510" w:type="dxa"/>
            <w:tcBorders>
              <w:top w:val="single" w:sz="12" w:space="0" w:color="auto"/>
              <w:left w:val="nil"/>
              <w:bottom w:val="single" w:sz="12" w:space="0" w:color="auto"/>
              <w:right w:val="nil"/>
            </w:tcBorders>
            <w:vAlign w:val="bottom"/>
          </w:tcPr>
          <w:p w14:paraId="109EDF87" w14:textId="77777777" w:rsidR="00D11BA9" w:rsidRPr="00D71866" w:rsidRDefault="00D11BA9" w:rsidP="00D71866">
            <w:pPr>
              <w:pStyle w:val="TableText"/>
            </w:pPr>
          </w:p>
        </w:tc>
        <w:tc>
          <w:tcPr>
            <w:tcW w:w="1510" w:type="dxa"/>
            <w:tcBorders>
              <w:top w:val="single" w:sz="12" w:space="0" w:color="auto"/>
              <w:left w:val="nil"/>
              <w:bottom w:val="single" w:sz="12" w:space="0" w:color="auto"/>
              <w:right w:val="nil"/>
            </w:tcBorders>
            <w:vAlign w:val="bottom"/>
          </w:tcPr>
          <w:p w14:paraId="39F20274" w14:textId="77777777" w:rsidR="00D11BA9" w:rsidRPr="00D71866" w:rsidRDefault="00D11BA9" w:rsidP="00D71866">
            <w:pPr>
              <w:pStyle w:val="TableText"/>
            </w:pPr>
            <w:r w:rsidRPr="00D71866">
              <w:t>Average forecast error</w:t>
            </w:r>
          </w:p>
        </w:tc>
        <w:tc>
          <w:tcPr>
            <w:tcW w:w="1510" w:type="dxa"/>
            <w:tcBorders>
              <w:top w:val="single" w:sz="12" w:space="0" w:color="auto"/>
              <w:left w:val="nil"/>
              <w:bottom w:val="single" w:sz="12" w:space="0" w:color="auto"/>
              <w:right w:val="nil"/>
            </w:tcBorders>
            <w:vAlign w:val="bottom"/>
          </w:tcPr>
          <w:p w14:paraId="1454EFC3" w14:textId="77777777" w:rsidR="00D11BA9" w:rsidRPr="00D71866" w:rsidRDefault="00D11BA9" w:rsidP="00D71866">
            <w:pPr>
              <w:pStyle w:val="TableText"/>
            </w:pPr>
            <w:r w:rsidRPr="00D71866">
              <w:t xml:space="preserve">Forecast bias </w:t>
            </w:r>
            <w:r w:rsidRPr="00D71866">
              <w:rPr>
                <w:rStyle w:val="Strong"/>
                <w:b w:val="0"/>
                <w:bCs w:val="0"/>
              </w:rPr>
              <w:t>a</w:t>
            </w:r>
          </w:p>
        </w:tc>
        <w:tc>
          <w:tcPr>
            <w:tcW w:w="1510" w:type="dxa"/>
            <w:tcBorders>
              <w:top w:val="single" w:sz="12" w:space="0" w:color="auto"/>
              <w:left w:val="nil"/>
              <w:bottom w:val="single" w:sz="12" w:space="0" w:color="auto"/>
              <w:right w:val="nil"/>
            </w:tcBorders>
            <w:vAlign w:val="bottom"/>
          </w:tcPr>
          <w:p w14:paraId="197EDA98" w14:textId="77777777" w:rsidR="00D11BA9" w:rsidRPr="00D71866" w:rsidRDefault="00D11BA9" w:rsidP="00D71866">
            <w:pPr>
              <w:pStyle w:val="TableText"/>
            </w:pPr>
            <w:r w:rsidRPr="00D71866">
              <w:t>Proportion of forecasts within 10% of actuals</w:t>
            </w:r>
          </w:p>
        </w:tc>
        <w:tc>
          <w:tcPr>
            <w:tcW w:w="1510" w:type="dxa"/>
            <w:tcBorders>
              <w:top w:val="single" w:sz="12" w:space="0" w:color="auto"/>
              <w:left w:val="nil"/>
              <w:bottom w:val="single" w:sz="12" w:space="0" w:color="auto"/>
              <w:right w:val="nil"/>
            </w:tcBorders>
            <w:vAlign w:val="bottom"/>
          </w:tcPr>
          <w:p w14:paraId="3294A906" w14:textId="77777777" w:rsidR="00D11BA9" w:rsidRPr="00D71866" w:rsidRDefault="00D11BA9" w:rsidP="00D71866">
            <w:pPr>
              <w:pStyle w:val="TableText"/>
            </w:pPr>
            <w:r w:rsidRPr="00D71866">
              <w:t>Proportion of forecasts within 15% of actuals</w:t>
            </w:r>
          </w:p>
        </w:tc>
        <w:tc>
          <w:tcPr>
            <w:tcW w:w="1510" w:type="dxa"/>
            <w:tcBorders>
              <w:top w:val="single" w:sz="12" w:space="0" w:color="auto"/>
              <w:left w:val="nil"/>
              <w:bottom w:val="single" w:sz="12" w:space="0" w:color="auto"/>
              <w:right w:val="nil"/>
            </w:tcBorders>
            <w:vAlign w:val="bottom"/>
          </w:tcPr>
          <w:p w14:paraId="0C2520AD" w14:textId="77777777" w:rsidR="00D11BA9" w:rsidRPr="00D71866" w:rsidRDefault="00D11BA9" w:rsidP="00D71866">
            <w:pPr>
              <w:pStyle w:val="TableText"/>
            </w:pPr>
            <w:r w:rsidRPr="00D71866">
              <w:t xml:space="preserve">Naïve model forecast accuracy </w:t>
            </w:r>
            <w:r w:rsidRPr="00D71866">
              <w:rPr>
                <w:rStyle w:val="Strong"/>
                <w:b w:val="0"/>
                <w:bCs w:val="0"/>
              </w:rPr>
              <w:t>b</w:t>
            </w:r>
          </w:p>
        </w:tc>
      </w:tr>
      <w:tr w:rsidR="00D11BA9" w14:paraId="5D54344B" w14:textId="77777777" w:rsidTr="00ED4752">
        <w:tc>
          <w:tcPr>
            <w:tcW w:w="1510" w:type="dxa"/>
            <w:tcBorders>
              <w:top w:val="single" w:sz="12" w:space="0" w:color="auto"/>
              <w:left w:val="nil"/>
              <w:bottom w:val="nil"/>
              <w:right w:val="nil"/>
            </w:tcBorders>
            <w:vAlign w:val="bottom"/>
          </w:tcPr>
          <w:p w14:paraId="071A5125" w14:textId="77777777" w:rsidR="00D11BA9" w:rsidRPr="00D71866" w:rsidRDefault="00D11BA9" w:rsidP="00D71866">
            <w:pPr>
              <w:pStyle w:val="TableText"/>
            </w:pPr>
            <w:r w:rsidRPr="00D71866">
              <w:t>Wheat</w:t>
            </w:r>
          </w:p>
        </w:tc>
        <w:tc>
          <w:tcPr>
            <w:tcW w:w="1510" w:type="dxa"/>
            <w:tcBorders>
              <w:top w:val="single" w:sz="12" w:space="0" w:color="auto"/>
              <w:left w:val="nil"/>
              <w:bottom w:val="nil"/>
              <w:right w:val="nil"/>
            </w:tcBorders>
            <w:vAlign w:val="bottom"/>
          </w:tcPr>
          <w:p w14:paraId="17A7B0F1" w14:textId="77777777" w:rsidR="00D11BA9" w:rsidRPr="00D71866" w:rsidRDefault="00D11BA9" w:rsidP="00D71866">
            <w:pPr>
              <w:pStyle w:val="TableText"/>
            </w:pPr>
            <w:r w:rsidRPr="00D71866">
              <w:t>9%</w:t>
            </w:r>
          </w:p>
        </w:tc>
        <w:tc>
          <w:tcPr>
            <w:tcW w:w="1510" w:type="dxa"/>
            <w:tcBorders>
              <w:top w:val="single" w:sz="12" w:space="0" w:color="auto"/>
              <w:left w:val="nil"/>
              <w:bottom w:val="nil"/>
              <w:right w:val="nil"/>
            </w:tcBorders>
            <w:vAlign w:val="bottom"/>
          </w:tcPr>
          <w:p w14:paraId="173BBF62" w14:textId="77777777" w:rsidR="00D11BA9" w:rsidRPr="00D71866" w:rsidRDefault="00D11BA9" w:rsidP="00D71866">
            <w:pPr>
              <w:pStyle w:val="TableText"/>
            </w:pPr>
            <w:r w:rsidRPr="00D71866">
              <w:t>-2%</w:t>
            </w:r>
          </w:p>
        </w:tc>
        <w:tc>
          <w:tcPr>
            <w:tcW w:w="1510" w:type="dxa"/>
            <w:tcBorders>
              <w:top w:val="single" w:sz="12" w:space="0" w:color="auto"/>
              <w:left w:val="nil"/>
              <w:bottom w:val="nil"/>
              <w:right w:val="nil"/>
            </w:tcBorders>
            <w:vAlign w:val="bottom"/>
          </w:tcPr>
          <w:p w14:paraId="6A29BE0F" w14:textId="77777777" w:rsidR="00D11BA9" w:rsidRPr="00D71866" w:rsidRDefault="00D11BA9" w:rsidP="00D71866">
            <w:pPr>
              <w:pStyle w:val="TableText"/>
            </w:pPr>
            <w:r w:rsidRPr="00D71866">
              <w:t>72%</w:t>
            </w:r>
          </w:p>
        </w:tc>
        <w:tc>
          <w:tcPr>
            <w:tcW w:w="1510" w:type="dxa"/>
            <w:tcBorders>
              <w:top w:val="single" w:sz="12" w:space="0" w:color="auto"/>
              <w:left w:val="nil"/>
              <w:bottom w:val="nil"/>
              <w:right w:val="nil"/>
            </w:tcBorders>
            <w:vAlign w:val="bottom"/>
          </w:tcPr>
          <w:p w14:paraId="5E6D2CC6" w14:textId="77777777" w:rsidR="00D11BA9" w:rsidRPr="00D71866" w:rsidRDefault="00D11BA9" w:rsidP="00D71866">
            <w:pPr>
              <w:pStyle w:val="TableText"/>
            </w:pPr>
            <w:r w:rsidRPr="00D71866">
              <w:t>83%</w:t>
            </w:r>
          </w:p>
        </w:tc>
        <w:tc>
          <w:tcPr>
            <w:tcW w:w="1510" w:type="dxa"/>
            <w:tcBorders>
              <w:top w:val="single" w:sz="12" w:space="0" w:color="auto"/>
              <w:left w:val="nil"/>
              <w:bottom w:val="nil"/>
              <w:right w:val="nil"/>
            </w:tcBorders>
            <w:vAlign w:val="bottom"/>
          </w:tcPr>
          <w:p w14:paraId="1D5B9447" w14:textId="77777777" w:rsidR="00D11BA9" w:rsidRPr="00D71866" w:rsidRDefault="00D11BA9" w:rsidP="00D71866">
            <w:pPr>
              <w:pStyle w:val="TableText"/>
            </w:pPr>
            <w:r w:rsidRPr="00D71866">
              <w:t>15%</w:t>
            </w:r>
          </w:p>
        </w:tc>
      </w:tr>
      <w:tr w:rsidR="00D11BA9" w14:paraId="08B87FA3" w14:textId="77777777" w:rsidTr="00ED4752">
        <w:tc>
          <w:tcPr>
            <w:tcW w:w="1510" w:type="dxa"/>
            <w:tcBorders>
              <w:top w:val="nil"/>
              <w:left w:val="nil"/>
              <w:bottom w:val="nil"/>
              <w:right w:val="nil"/>
            </w:tcBorders>
            <w:vAlign w:val="bottom"/>
          </w:tcPr>
          <w:p w14:paraId="02670C8C" w14:textId="77777777" w:rsidR="00D11BA9" w:rsidRPr="00D71866" w:rsidRDefault="00D11BA9" w:rsidP="00D71866">
            <w:pPr>
              <w:pStyle w:val="TableText"/>
            </w:pPr>
            <w:r w:rsidRPr="00D71866">
              <w:t xml:space="preserve">Barley </w:t>
            </w:r>
            <w:r w:rsidRPr="00D71866">
              <w:rPr>
                <w:rStyle w:val="Strong"/>
                <w:b w:val="0"/>
                <w:bCs w:val="0"/>
              </w:rPr>
              <w:t>c</w:t>
            </w:r>
          </w:p>
        </w:tc>
        <w:tc>
          <w:tcPr>
            <w:tcW w:w="1510" w:type="dxa"/>
            <w:tcBorders>
              <w:top w:val="nil"/>
              <w:left w:val="nil"/>
              <w:bottom w:val="nil"/>
              <w:right w:val="nil"/>
            </w:tcBorders>
            <w:vAlign w:val="bottom"/>
          </w:tcPr>
          <w:p w14:paraId="46590E88" w14:textId="77777777" w:rsidR="00D11BA9" w:rsidRPr="00D71866" w:rsidRDefault="00D11BA9" w:rsidP="00D71866">
            <w:pPr>
              <w:pStyle w:val="TableText"/>
            </w:pPr>
            <w:r w:rsidRPr="00D71866">
              <w:t>10%</w:t>
            </w:r>
          </w:p>
        </w:tc>
        <w:tc>
          <w:tcPr>
            <w:tcW w:w="1510" w:type="dxa"/>
            <w:tcBorders>
              <w:top w:val="nil"/>
              <w:left w:val="nil"/>
              <w:bottom w:val="nil"/>
              <w:right w:val="nil"/>
            </w:tcBorders>
            <w:vAlign w:val="bottom"/>
          </w:tcPr>
          <w:p w14:paraId="618F4FAC" w14:textId="77777777" w:rsidR="00D11BA9" w:rsidRPr="00D71866" w:rsidRDefault="00D11BA9" w:rsidP="00D71866">
            <w:pPr>
              <w:pStyle w:val="TableText"/>
            </w:pPr>
            <w:r w:rsidRPr="00D71866">
              <w:t>-2%</w:t>
            </w:r>
          </w:p>
        </w:tc>
        <w:tc>
          <w:tcPr>
            <w:tcW w:w="1510" w:type="dxa"/>
            <w:tcBorders>
              <w:top w:val="nil"/>
              <w:left w:val="nil"/>
              <w:bottom w:val="nil"/>
              <w:right w:val="nil"/>
            </w:tcBorders>
            <w:vAlign w:val="bottom"/>
          </w:tcPr>
          <w:p w14:paraId="51F06947" w14:textId="77777777" w:rsidR="00D11BA9" w:rsidRPr="00D71866" w:rsidRDefault="00D11BA9" w:rsidP="00D71866">
            <w:pPr>
              <w:pStyle w:val="TableText"/>
            </w:pPr>
            <w:r w:rsidRPr="00D71866">
              <w:t>61%</w:t>
            </w:r>
          </w:p>
        </w:tc>
        <w:tc>
          <w:tcPr>
            <w:tcW w:w="1510" w:type="dxa"/>
            <w:tcBorders>
              <w:top w:val="nil"/>
              <w:left w:val="nil"/>
              <w:bottom w:val="nil"/>
              <w:right w:val="nil"/>
            </w:tcBorders>
            <w:vAlign w:val="bottom"/>
          </w:tcPr>
          <w:p w14:paraId="0F03A2EF" w14:textId="77777777" w:rsidR="00D11BA9" w:rsidRPr="00D71866" w:rsidRDefault="00D11BA9" w:rsidP="00D71866">
            <w:pPr>
              <w:pStyle w:val="TableText"/>
            </w:pPr>
            <w:r w:rsidRPr="00D71866">
              <w:t>78%</w:t>
            </w:r>
          </w:p>
        </w:tc>
        <w:tc>
          <w:tcPr>
            <w:tcW w:w="1510" w:type="dxa"/>
            <w:tcBorders>
              <w:top w:val="nil"/>
              <w:left w:val="nil"/>
              <w:bottom w:val="nil"/>
              <w:right w:val="nil"/>
            </w:tcBorders>
            <w:vAlign w:val="bottom"/>
          </w:tcPr>
          <w:p w14:paraId="198E7202" w14:textId="77777777" w:rsidR="00D11BA9" w:rsidRPr="00D71866" w:rsidRDefault="00D11BA9" w:rsidP="00D71866">
            <w:pPr>
              <w:pStyle w:val="TableText"/>
            </w:pPr>
            <w:r w:rsidRPr="00D71866">
              <w:t>21%</w:t>
            </w:r>
          </w:p>
        </w:tc>
      </w:tr>
      <w:tr w:rsidR="00D11BA9" w14:paraId="435A1FAE" w14:textId="77777777" w:rsidTr="00ED4752">
        <w:tc>
          <w:tcPr>
            <w:tcW w:w="1510" w:type="dxa"/>
            <w:tcBorders>
              <w:top w:val="nil"/>
              <w:left w:val="nil"/>
              <w:bottom w:val="nil"/>
              <w:right w:val="nil"/>
            </w:tcBorders>
            <w:vAlign w:val="bottom"/>
          </w:tcPr>
          <w:p w14:paraId="29053994" w14:textId="77777777" w:rsidR="00D11BA9" w:rsidRPr="00D71866" w:rsidRDefault="00D11BA9" w:rsidP="00D71866">
            <w:pPr>
              <w:pStyle w:val="TableText"/>
            </w:pPr>
            <w:r w:rsidRPr="00D71866">
              <w:t xml:space="preserve">Canola </w:t>
            </w:r>
            <w:r w:rsidRPr="00D71866">
              <w:rPr>
                <w:rStyle w:val="Strong"/>
                <w:b w:val="0"/>
                <w:bCs w:val="0"/>
              </w:rPr>
              <w:t>d</w:t>
            </w:r>
          </w:p>
        </w:tc>
        <w:tc>
          <w:tcPr>
            <w:tcW w:w="1510" w:type="dxa"/>
            <w:tcBorders>
              <w:top w:val="nil"/>
              <w:left w:val="nil"/>
              <w:bottom w:val="nil"/>
              <w:right w:val="nil"/>
            </w:tcBorders>
            <w:vAlign w:val="bottom"/>
          </w:tcPr>
          <w:p w14:paraId="487EA06E" w14:textId="77777777" w:rsidR="00D11BA9" w:rsidRPr="00D71866" w:rsidRDefault="00D11BA9" w:rsidP="00D71866">
            <w:pPr>
              <w:pStyle w:val="TableText"/>
            </w:pPr>
            <w:r w:rsidRPr="00D71866">
              <w:t>12%</w:t>
            </w:r>
          </w:p>
        </w:tc>
        <w:tc>
          <w:tcPr>
            <w:tcW w:w="1510" w:type="dxa"/>
            <w:tcBorders>
              <w:top w:val="nil"/>
              <w:left w:val="nil"/>
              <w:bottom w:val="nil"/>
              <w:right w:val="nil"/>
            </w:tcBorders>
            <w:vAlign w:val="bottom"/>
          </w:tcPr>
          <w:p w14:paraId="3CDD889C" w14:textId="77777777" w:rsidR="00D11BA9" w:rsidRPr="00D71866" w:rsidRDefault="00D11BA9" w:rsidP="00D71866">
            <w:pPr>
              <w:pStyle w:val="TableText"/>
            </w:pPr>
            <w:r w:rsidRPr="00D71866">
              <w:t>3%</w:t>
            </w:r>
          </w:p>
        </w:tc>
        <w:tc>
          <w:tcPr>
            <w:tcW w:w="1510" w:type="dxa"/>
            <w:tcBorders>
              <w:top w:val="nil"/>
              <w:left w:val="nil"/>
              <w:bottom w:val="nil"/>
              <w:right w:val="nil"/>
            </w:tcBorders>
            <w:vAlign w:val="bottom"/>
          </w:tcPr>
          <w:p w14:paraId="19CE8AB0" w14:textId="77777777" w:rsidR="00D11BA9" w:rsidRPr="00D71866" w:rsidRDefault="00D11BA9" w:rsidP="00D71866">
            <w:pPr>
              <w:pStyle w:val="TableText"/>
            </w:pPr>
            <w:r w:rsidRPr="00D71866">
              <w:t>50%</w:t>
            </w:r>
          </w:p>
        </w:tc>
        <w:tc>
          <w:tcPr>
            <w:tcW w:w="1510" w:type="dxa"/>
            <w:tcBorders>
              <w:top w:val="nil"/>
              <w:left w:val="nil"/>
              <w:bottom w:val="nil"/>
              <w:right w:val="nil"/>
            </w:tcBorders>
            <w:vAlign w:val="bottom"/>
          </w:tcPr>
          <w:p w14:paraId="23AB3664" w14:textId="77777777" w:rsidR="00D11BA9" w:rsidRPr="00D71866" w:rsidRDefault="00D11BA9" w:rsidP="00D71866">
            <w:pPr>
              <w:pStyle w:val="TableText"/>
            </w:pPr>
            <w:r w:rsidRPr="00D71866">
              <w:t>67%</w:t>
            </w:r>
          </w:p>
        </w:tc>
        <w:tc>
          <w:tcPr>
            <w:tcW w:w="1510" w:type="dxa"/>
            <w:tcBorders>
              <w:top w:val="nil"/>
              <w:left w:val="nil"/>
              <w:bottom w:val="nil"/>
              <w:right w:val="nil"/>
            </w:tcBorders>
            <w:vAlign w:val="bottom"/>
          </w:tcPr>
          <w:p w14:paraId="7A52537F" w14:textId="77777777" w:rsidR="00D11BA9" w:rsidRPr="00D71866" w:rsidRDefault="00D11BA9" w:rsidP="00D71866">
            <w:pPr>
              <w:pStyle w:val="TableText"/>
            </w:pPr>
            <w:r w:rsidRPr="00D71866">
              <w:t>18%</w:t>
            </w:r>
          </w:p>
        </w:tc>
      </w:tr>
      <w:tr w:rsidR="00D11BA9" w14:paraId="0B10EAAA" w14:textId="77777777" w:rsidTr="00ED4752">
        <w:tc>
          <w:tcPr>
            <w:tcW w:w="1510" w:type="dxa"/>
            <w:tcBorders>
              <w:top w:val="nil"/>
              <w:left w:val="nil"/>
              <w:bottom w:val="nil"/>
              <w:right w:val="nil"/>
            </w:tcBorders>
            <w:vAlign w:val="bottom"/>
          </w:tcPr>
          <w:p w14:paraId="737E2974" w14:textId="77777777" w:rsidR="00D11BA9" w:rsidRPr="00D71866" w:rsidRDefault="00D11BA9" w:rsidP="00D71866">
            <w:pPr>
              <w:pStyle w:val="TableText"/>
            </w:pPr>
            <w:r w:rsidRPr="00D71866">
              <w:t>Sugar</w:t>
            </w:r>
          </w:p>
        </w:tc>
        <w:tc>
          <w:tcPr>
            <w:tcW w:w="1510" w:type="dxa"/>
            <w:tcBorders>
              <w:top w:val="nil"/>
              <w:left w:val="nil"/>
              <w:bottom w:val="nil"/>
              <w:right w:val="nil"/>
            </w:tcBorders>
            <w:vAlign w:val="bottom"/>
          </w:tcPr>
          <w:p w14:paraId="4A093FC6" w14:textId="77777777" w:rsidR="00D11BA9" w:rsidRPr="00D71866" w:rsidRDefault="00D11BA9" w:rsidP="00D71866">
            <w:pPr>
              <w:pStyle w:val="TableText"/>
            </w:pPr>
            <w:r w:rsidRPr="00D71866">
              <w:t>18%</w:t>
            </w:r>
          </w:p>
        </w:tc>
        <w:tc>
          <w:tcPr>
            <w:tcW w:w="1510" w:type="dxa"/>
            <w:tcBorders>
              <w:top w:val="nil"/>
              <w:left w:val="nil"/>
              <w:bottom w:val="nil"/>
              <w:right w:val="nil"/>
            </w:tcBorders>
            <w:vAlign w:val="bottom"/>
          </w:tcPr>
          <w:p w14:paraId="5FE079DA" w14:textId="77777777" w:rsidR="00D11BA9" w:rsidRPr="00D71866" w:rsidRDefault="00D11BA9" w:rsidP="00D71866">
            <w:pPr>
              <w:pStyle w:val="TableText"/>
            </w:pPr>
            <w:r w:rsidRPr="00D71866">
              <w:t>-1%</w:t>
            </w:r>
          </w:p>
        </w:tc>
        <w:tc>
          <w:tcPr>
            <w:tcW w:w="1510" w:type="dxa"/>
            <w:tcBorders>
              <w:top w:val="nil"/>
              <w:left w:val="nil"/>
              <w:bottom w:val="nil"/>
              <w:right w:val="nil"/>
            </w:tcBorders>
            <w:vAlign w:val="bottom"/>
          </w:tcPr>
          <w:p w14:paraId="41AF81C1" w14:textId="77777777" w:rsidR="00D11BA9" w:rsidRPr="00D71866" w:rsidRDefault="00D11BA9" w:rsidP="00D71866">
            <w:pPr>
              <w:pStyle w:val="TableText"/>
            </w:pPr>
            <w:r w:rsidRPr="00D71866">
              <w:t>50%</w:t>
            </w:r>
          </w:p>
        </w:tc>
        <w:tc>
          <w:tcPr>
            <w:tcW w:w="1510" w:type="dxa"/>
            <w:tcBorders>
              <w:top w:val="nil"/>
              <w:left w:val="nil"/>
              <w:bottom w:val="nil"/>
              <w:right w:val="nil"/>
            </w:tcBorders>
            <w:vAlign w:val="bottom"/>
          </w:tcPr>
          <w:p w14:paraId="05118FA0" w14:textId="77777777" w:rsidR="00D11BA9" w:rsidRPr="00D71866" w:rsidRDefault="00D11BA9" w:rsidP="00D71866">
            <w:pPr>
              <w:pStyle w:val="TableText"/>
            </w:pPr>
            <w:r w:rsidRPr="00D71866">
              <w:t>67%</w:t>
            </w:r>
          </w:p>
        </w:tc>
        <w:tc>
          <w:tcPr>
            <w:tcW w:w="1510" w:type="dxa"/>
            <w:tcBorders>
              <w:top w:val="nil"/>
              <w:left w:val="nil"/>
              <w:bottom w:val="nil"/>
              <w:right w:val="nil"/>
            </w:tcBorders>
            <w:vAlign w:val="bottom"/>
          </w:tcPr>
          <w:p w14:paraId="0DBF9DAF" w14:textId="77777777" w:rsidR="00D11BA9" w:rsidRPr="00D71866" w:rsidRDefault="00D11BA9" w:rsidP="00D71866">
            <w:pPr>
              <w:pStyle w:val="TableText"/>
            </w:pPr>
            <w:r w:rsidRPr="00D71866">
              <w:t>37%</w:t>
            </w:r>
          </w:p>
        </w:tc>
      </w:tr>
      <w:tr w:rsidR="00D11BA9" w14:paraId="0873B32A" w14:textId="77777777" w:rsidTr="00ED4752">
        <w:tc>
          <w:tcPr>
            <w:tcW w:w="1510" w:type="dxa"/>
            <w:tcBorders>
              <w:top w:val="nil"/>
              <w:left w:val="nil"/>
              <w:bottom w:val="nil"/>
              <w:right w:val="nil"/>
            </w:tcBorders>
            <w:vAlign w:val="bottom"/>
          </w:tcPr>
          <w:p w14:paraId="2307360E" w14:textId="77777777" w:rsidR="00D11BA9" w:rsidRPr="00D71866" w:rsidRDefault="00D11BA9" w:rsidP="00D71866">
            <w:pPr>
              <w:pStyle w:val="TableText"/>
            </w:pPr>
            <w:r w:rsidRPr="00D71866">
              <w:t>Cotton</w:t>
            </w:r>
          </w:p>
        </w:tc>
        <w:tc>
          <w:tcPr>
            <w:tcW w:w="1510" w:type="dxa"/>
            <w:tcBorders>
              <w:top w:val="nil"/>
              <w:left w:val="nil"/>
              <w:bottom w:val="nil"/>
              <w:right w:val="nil"/>
            </w:tcBorders>
            <w:vAlign w:val="bottom"/>
          </w:tcPr>
          <w:p w14:paraId="66B176B3" w14:textId="77777777" w:rsidR="00D11BA9" w:rsidRPr="00D71866" w:rsidRDefault="00D11BA9" w:rsidP="00D71866">
            <w:pPr>
              <w:pStyle w:val="TableText"/>
            </w:pPr>
            <w:r w:rsidRPr="00D71866">
              <w:t>11%</w:t>
            </w:r>
          </w:p>
        </w:tc>
        <w:tc>
          <w:tcPr>
            <w:tcW w:w="1510" w:type="dxa"/>
            <w:tcBorders>
              <w:top w:val="nil"/>
              <w:left w:val="nil"/>
              <w:bottom w:val="nil"/>
              <w:right w:val="nil"/>
            </w:tcBorders>
            <w:vAlign w:val="bottom"/>
          </w:tcPr>
          <w:p w14:paraId="41239309" w14:textId="77777777" w:rsidR="00D11BA9" w:rsidRPr="00D71866" w:rsidRDefault="00D11BA9" w:rsidP="00D71866">
            <w:pPr>
              <w:pStyle w:val="TableText"/>
            </w:pPr>
            <w:r w:rsidRPr="00D71866">
              <w:t>-1%</w:t>
            </w:r>
          </w:p>
        </w:tc>
        <w:tc>
          <w:tcPr>
            <w:tcW w:w="1510" w:type="dxa"/>
            <w:tcBorders>
              <w:top w:val="nil"/>
              <w:left w:val="nil"/>
              <w:bottom w:val="nil"/>
              <w:right w:val="nil"/>
            </w:tcBorders>
            <w:vAlign w:val="bottom"/>
          </w:tcPr>
          <w:p w14:paraId="0CCC8A3A" w14:textId="77777777" w:rsidR="00D11BA9" w:rsidRPr="00D71866" w:rsidRDefault="00D11BA9" w:rsidP="00D71866">
            <w:pPr>
              <w:pStyle w:val="TableText"/>
            </w:pPr>
            <w:r w:rsidRPr="00D71866">
              <w:t>67%</w:t>
            </w:r>
          </w:p>
        </w:tc>
        <w:tc>
          <w:tcPr>
            <w:tcW w:w="1510" w:type="dxa"/>
            <w:tcBorders>
              <w:top w:val="nil"/>
              <w:left w:val="nil"/>
              <w:bottom w:val="nil"/>
              <w:right w:val="nil"/>
            </w:tcBorders>
            <w:vAlign w:val="bottom"/>
          </w:tcPr>
          <w:p w14:paraId="1DDF9143" w14:textId="77777777" w:rsidR="00D11BA9" w:rsidRPr="00D71866" w:rsidRDefault="00D11BA9" w:rsidP="00D71866">
            <w:pPr>
              <w:pStyle w:val="TableText"/>
            </w:pPr>
            <w:r w:rsidRPr="00D71866">
              <w:t>78%</w:t>
            </w:r>
          </w:p>
        </w:tc>
        <w:tc>
          <w:tcPr>
            <w:tcW w:w="1510" w:type="dxa"/>
            <w:tcBorders>
              <w:top w:val="nil"/>
              <w:left w:val="nil"/>
              <w:bottom w:val="nil"/>
              <w:right w:val="nil"/>
            </w:tcBorders>
            <w:vAlign w:val="bottom"/>
          </w:tcPr>
          <w:p w14:paraId="24D4880A" w14:textId="77777777" w:rsidR="00D11BA9" w:rsidRPr="00D71866" w:rsidRDefault="00D11BA9" w:rsidP="00D71866">
            <w:pPr>
              <w:pStyle w:val="TableText"/>
            </w:pPr>
            <w:r w:rsidRPr="00D71866">
              <w:t>23%</w:t>
            </w:r>
          </w:p>
        </w:tc>
      </w:tr>
      <w:tr w:rsidR="00D11BA9" w14:paraId="60F43EE3" w14:textId="77777777" w:rsidTr="00ED4752">
        <w:tc>
          <w:tcPr>
            <w:tcW w:w="1510" w:type="dxa"/>
            <w:tcBorders>
              <w:top w:val="nil"/>
              <w:left w:val="nil"/>
              <w:bottom w:val="nil"/>
              <w:right w:val="nil"/>
            </w:tcBorders>
            <w:vAlign w:val="bottom"/>
          </w:tcPr>
          <w:p w14:paraId="59AD0954" w14:textId="77777777" w:rsidR="00D11BA9" w:rsidRPr="00D71866" w:rsidRDefault="00D11BA9" w:rsidP="00D71866">
            <w:pPr>
              <w:pStyle w:val="TableText"/>
            </w:pPr>
            <w:r w:rsidRPr="00D71866">
              <w:t>Beef</w:t>
            </w:r>
          </w:p>
        </w:tc>
        <w:tc>
          <w:tcPr>
            <w:tcW w:w="1510" w:type="dxa"/>
            <w:tcBorders>
              <w:top w:val="nil"/>
              <w:left w:val="nil"/>
              <w:bottom w:val="nil"/>
              <w:right w:val="nil"/>
            </w:tcBorders>
            <w:vAlign w:val="bottom"/>
          </w:tcPr>
          <w:p w14:paraId="5E4BC8C2" w14:textId="77777777" w:rsidR="00D11BA9" w:rsidRPr="00D71866" w:rsidRDefault="00D11BA9" w:rsidP="00D71866">
            <w:pPr>
              <w:pStyle w:val="TableText"/>
            </w:pPr>
            <w:r w:rsidRPr="00D71866">
              <w:t>5%</w:t>
            </w:r>
          </w:p>
        </w:tc>
        <w:tc>
          <w:tcPr>
            <w:tcW w:w="1510" w:type="dxa"/>
            <w:tcBorders>
              <w:top w:val="nil"/>
              <w:left w:val="nil"/>
              <w:bottom w:val="nil"/>
              <w:right w:val="nil"/>
            </w:tcBorders>
            <w:vAlign w:val="bottom"/>
          </w:tcPr>
          <w:p w14:paraId="1C61B43D" w14:textId="77777777" w:rsidR="00D11BA9" w:rsidRPr="00D71866" w:rsidRDefault="00D11BA9" w:rsidP="00D71866">
            <w:pPr>
              <w:pStyle w:val="TableText"/>
            </w:pPr>
            <w:r w:rsidRPr="00D71866">
              <w:t>-2%</w:t>
            </w:r>
          </w:p>
        </w:tc>
        <w:tc>
          <w:tcPr>
            <w:tcW w:w="1510" w:type="dxa"/>
            <w:tcBorders>
              <w:top w:val="nil"/>
              <w:left w:val="nil"/>
              <w:bottom w:val="nil"/>
              <w:right w:val="nil"/>
            </w:tcBorders>
            <w:vAlign w:val="bottom"/>
          </w:tcPr>
          <w:p w14:paraId="6B4C4201" w14:textId="77777777" w:rsidR="00D11BA9" w:rsidRPr="00D71866" w:rsidRDefault="00D11BA9" w:rsidP="00D71866">
            <w:pPr>
              <w:pStyle w:val="TableText"/>
            </w:pPr>
            <w:r w:rsidRPr="00D71866">
              <w:t>89%</w:t>
            </w:r>
          </w:p>
        </w:tc>
        <w:tc>
          <w:tcPr>
            <w:tcW w:w="1510" w:type="dxa"/>
            <w:tcBorders>
              <w:top w:val="nil"/>
              <w:left w:val="nil"/>
              <w:bottom w:val="nil"/>
              <w:right w:val="nil"/>
            </w:tcBorders>
            <w:vAlign w:val="bottom"/>
          </w:tcPr>
          <w:p w14:paraId="678D02E4" w14:textId="77777777" w:rsidR="00D11BA9" w:rsidRPr="00D71866" w:rsidRDefault="00D11BA9" w:rsidP="00D71866">
            <w:pPr>
              <w:pStyle w:val="TableText"/>
            </w:pPr>
            <w:r w:rsidRPr="00D71866">
              <w:t>100%</w:t>
            </w:r>
          </w:p>
        </w:tc>
        <w:tc>
          <w:tcPr>
            <w:tcW w:w="1510" w:type="dxa"/>
            <w:tcBorders>
              <w:top w:val="nil"/>
              <w:left w:val="nil"/>
              <w:bottom w:val="nil"/>
              <w:right w:val="nil"/>
            </w:tcBorders>
            <w:vAlign w:val="bottom"/>
          </w:tcPr>
          <w:p w14:paraId="27B4DFA3" w14:textId="77777777" w:rsidR="00D11BA9" w:rsidRPr="00D71866" w:rsidRDefault="00D11BA9" w:rsidP="00D71866">
            <w:pPr>
              <w:pStyle w:val="TableText"/>
            </w:pPr>
            <w:r w:rsidRPr="00D71866">
              <w:t>11%</w:t>
            </w:r>
          </w:p>
        </w:tc>
      </w:tr>
      <w:tr w:rsidR="00D11BA9" w14:paraId="45B4ED03" w14:textId="77777777" w:rsidTr="00ED4752">
        <w:tc>
          <w:tcPr>
            <w:tcW w:w="1510" w:type="dxa"/>
            <w:tcBorders>
              <w:top w:val="nil"/>
              <w:left w:val="nil"/>
              <w:bottom w:val="nil"/>
              <w:right w:val="nil"/>
            </w:tcBorders>
            <w:vAlign w:val="bottom"/>
          </w:tcPr>
          <w:p w14:paraId="151D8008" w14:textId="77777777" w:rsidR="00D11BA9" w:rsidRPr="00D71866" w:rsidRDefault="00D11BA9" w:rsidP="00D71866">
            <w:pPr>
              <w:pStyle w:val="TableText"/>
            </w:pPr>
            <w:r w:rsidRPr="00D71866">
              <w:t>Lamb</w:t>
            </w:r>
          </w:p>
        </w:tc>
        <w:tc>
          <w:tcPr>
            <w:tcW w:w="1510" w:type="dxa"/>
            <w:tcBorders>
              <w:top w:val="nil"/>
              <w:left w:val="nil"/>
              <w:bottom w:val="nil"/>
              <w:right w:val="nil"/>
            </w:tcBorders>
            <w:vAlign w:val="bottom"/>
          </w:tcPr>
          <w:p w14:paraId="27C56629" w14:textId="77777777" w:rsidR="00D11BA9" w:rsidRPr="00D71866" w:rsidRDefault="00D11BA9" w:rsidP="00D71866">
            <w:pPr>
              <w:pStyle w:val="TableText"/>
            </w:pPr>
            <w:r w:rsidRPr="00D71866">
              <w:t>10%</w:t>
            </w:r>
          </w:p>
        </w:tc>
        <w:tc>
          <w:tcPr>
            <w:tcW w:w="1510" w:type="dxa"/>
            <w:tcBorders>
              <w:top w:val="nil"/>
              <w:left w:val="nil"/>
              <w:bottom w:val="nil"/>
              <w:right w:val="nil"/>
            </w:tcBorders>
            <w:vAlign w:val="bottom"/>
          </w:tcPr>
          <w:p w14:paraId="5AECEFA9" w14:textId="77777777" w:rsidR="00D11BA9" w:rsidRPr="00D71866" w:rsidRDefault="00D11BA9" w:rsidP="00D71866">
            <w:pPr>
              <w:pStyle w:val="TableText"/>
            </w:pPr>
            <w:r w:rsidRPr="00D71866">
              <w:t>-4%</w:t>
            </w:r>
          </w:p>
        </w:tc>
        <w:tc>
          <w:tcPr>
            <w:tcW w:w="1510" w:type="dxa"/>
            <w:tcBorders>
              <w:top w:val="nil"/>
              <w:left w:val="nil"/>
              <w:bottom w:val="nil"/>
              <w:right w:val="nil"/>
            </w:tcBorders>
            <w:vAlign w:val="bottom"/>
          </w:tcPr>
          <w:p w14:paraId="4EB30C26" w14:textId="77777777" w:rsidR="00D11BA9" w:rsidRPr="00D71866" w:rsidRDefault="00D11BA9" w:rsidP="00D71866">
            <w:pPr>
              <w:pStyle w:val="TableText"/>
            </w:pPr>
            <w:r w:rsidRPr="00D71866">
              <w:t>67%</w:t>
            </w:r>
          </w:p>
        </w:tc>
        <w:tc>
          <w:tcPr>
            <w:tcW w:w="1510" w:type="dxa"/>
            <w:tcBorders>
              <w:top w:val="nil"/>
              <w:left w:val="nil"/>
              <w:bottom w:val="nil"/>
              <w:right w:val="nil"/>
            </w:tcBorders>
            <w:vAlign w:val="bottom"/>
          </w:tcPr>
          <w:p w14:paraId="45E5DAE8" w14:textId="77777777" w:rsidR="00D11BA9" w:rsidRPr="00D71866" w:rsidRDefault="00D11BA9" w:rsidP="00D71866">
            <w:pPr>
              <w:pStyle w:val="TableText"/>
            </w:pPr>
            <w:r w:rsidRPr="00D71866">
              <w:t>83%</w:t>
            </w:r>
          </w:p>
        </w:tc>
        <w:tc>
          <w:tcPr>
            <w:tcW w:w="1510" w:type="dxa"/>
            <w:tcBorders>
              <w:top w:val="nil"/>
              <w:left w:val="nil"/>
              <w:bottom w:val="nil"/>
              <w:right w:val="nil"/>
            </w:tcBorders>
            <w:vAlign w:val="bottom"/>
          </w:tcPr>
          <w:p w14:paraId="1E0BCC9A" w14:textId="77777777" w:rsidR="00D11BA9" w:rsidRPr="00D71866" w:rsidRDefault="00D11BA9" w:rsidP="00D71866">
            <w:pPr>
              <w:pStyle w:val="TableText"/>
            </w:pPr>
            <w:r w:rsidRPr="00D71866">
              <w:t>12%</w:t>
            </w:r>
          </w:p>
        </w:tc>
      </w:tr>
      <w:tr w:rsidR="00D11BA9" w14:paraId="6DCB9F7F" w14:textId="77777777" w:rsidTr="00ED4752">
        <w:tc>
          <w:tcPr>
            <w:tcW w:w="1510" w:type="dxa"/>
            <w:tcBorders>
              <w:top w:val="nil"/>
              <w:left w:val="nil"/>
              <w:bottom w:val="nil"/>
              <w:right w:val="nil"/>
            </w:tcBorders>
            <w:vAlign w:val="bottom"/>
          </w:tcPr>
          <w:p w14:paraId="48F5675A" w14:textId="77777777" w:rsidR="00D11BA9" w:rsidRPr="00D71866" w:rsidRDefault="00D11BA9" w:rsidP="00D71866">
            <w:pPr>
              <w:pStyle w:val="TableText"/>
            </w:pPr>
            <w:r w:rsidRPr="00D71866">
              <w:t>Wool</w:t>
            </w:r>
          </w:p>
        </w:tc>
        <w:tc>
          <w:tcPr>
            <w:tcW w:w="1510" w:type="dxa"/>
            <w:tcBorders>
              <w:top w:val="nil"/>
              <w:left w:val="nil"/>
              <w:bottom w:val="nil"/>
              <w:right w:val="nil"/>
            </w:tcBorders>
            <w:vAlign w:val="bottom"/>
          </w:tcPr>
          <w:p w14:paraId="098ACAAE" w14:textId="77777777" w:rsidR="00D11BA9" w:rsidRPr="00D71866" w:rsidRDefault="00D11BA9" w:rsidP="00D71866">
            <w:pPr>
              <w:pStyle w:val="TableText"/>
            </w:pPr>
            <w:r w:rsidRPr="00D71866">
              <w:t>9%</w:t>
            </w:r>
          </w:p>
        </w:tc>
        <w:tc>
          <w:tcPr>
            <w:tcW w:w="1510" w:type="dxa"/>
            <w:tcBorders>
              <w:top w:val="nil"/>
              <w:left w:val="nil"/>
              <w:bottom w:val="nil"/>
              <w:right w:val="nil"/>
            </w:tcBorders>
            <w:vAlign w:val="bottom"/>
          </w:tcPr>
          <w:p w14:paraId="2C8E26AA" w14:textId="77777777" w:rsidR="00D11BA9" w:rsidRPr="00D71866" w:rsidRDefault="00D11BA9" w:rsidP="00D71866">
            <w:pPr>
              <w:pStyle w:val="TableText"/>
            </w:pPr>
            <w:r w:rsidRPr="00D71866">
              <w:t>-5%</w:t>
            </w:r>
          </w:p>
        </w:tc>
        <w:tc>
          <w:tcPr>
            <w:tcW w:w="1510" w:type="dxa"/>
            <w:tcBorders>
              <w:top w:val="nil"/>
              <w:left w:val="nil"/>
              <w:bottom w:val="nil"/>
              <w:right w:val="nil"/>
            </w:tcBorders>
            <w:vAlign w:val="bottom"/>
          </w:tcPr>
          <w:p w14:paraId="646E1D19" w14:textId="77777777" w:rsidR="00D11BA9" w:rsidRPr="00D71866" w:rsidRDefault="00D11BA9" w:rsidP="00D71866">
            <w:pPr>
              <w:pStyle w:val="TableText"/>
            </w:pPr>
            <w:r w:rsidRPr="00D71866">
              <w:t>67%</w:t>
            </w:r>
          </w:p>
        </w:tc>
        <w:tc>
          <w:tcPr>
            <w:tcW w:w="1510" w:type="dxa"/>
            <w:tcBorders>
              <w:top w:val="nil"/>
              <w:left w:val="nil"/>
              <w:bottom w:val="nil"/>
              <w:right w:val="nil"/>
            </w:tcBorders>
            <w:vAlign w:val="bottom"/>
          </w:tcPr>
          <w:p w14:paraId="6F5F4403" w14:textId="77777777" w:rsidR="00D11BA9" w:rsidRPr="00D71866" w:rsidRDefault="00D11BA9" w:rsidP="00D71866">
            <w:pPr>
              <w:pStyle w:val="TableText"/>
            </w:pPr>
            <w:r w:rsidRPr="00D71866">
              <w:t>83%</w:t>
            </w:r>
          </w:p>
        </w:tc>
        <w:tc>
          <w:tcPr>
            <w:tcW w:w="1510" w:type="dxa"/>
            <w:tcBorders>
              <w:top w:val="nil"/>
              <w:left w:val="nil"/>
              <w:bottom w:val="nil"/>
              <w:right w:val="nil"/>
            </w:tcBorders>
            <w:vAlign w:val="bottom"/>
          </w:tcPr>
          <w:p w14:paraId="34C11190" w14:textId="77777777" w:rsidR="00D11BA9" w:rsidRPr="00D71866" w:rsidRDefault="00D11BA9" w:rsidP="00D71866">
            <w:pPr>
              <w:pStyle w:val="TableText"/>
            </w:pPr>
            <w:r w:rsidRPr="00D71866">
              <w:t>16%</w:t>
            </w:r>
          </w:p>
        </w:tc>
      </w:tr>
      <w:tr w:rsidR="00D11BA9" w14:paraId="0649EA5D" w14:textId="77777777" w:rsidTr="00ED4752">
        <w:tc>
          <w:tcPr>
            <w:tcW w:w="1510" w:type="dxa"/>
            <w:tcBorders>
              <w:top w:val="nil"/>
              <w:left w:val="nil"/>
              <w:bottom w:val="single" w:sz="12" w:space="0" w:color="auto"/>
              <w:right w:val="nil"/>
            </w:tcBorders>
            <w:vAlign w:val="bottom"/>
          </w:tcPr>
          <w:p w14:paraId="37B2B157" w14:textId="77777777" w:rsidR="00D11BA9" w:rsidRPr="00D71866" w:rsidRDefault="00D11BA9" w:rsidP="00D71866">
            <w:pPr>
              <w:pStyle w:val="TableText"/>
            </w:pPr>
            <w:r w:rsidRPr="00D71866">
              <w:t>Milk</w:t>
            </w:r>
          </w:p>
        </w:tc>
        <w:tc>
          <w:tcPr>
            <w:tcW w:w="1510" w:type="dxa"/>
            <w:tcBorders>
              <w:top w:val="nil"/>
              <w:left w:val="nil"/>
              <w:bottom w:val="single" w:sz="12" w:space="0" w:color="auto"/>
              <w:right w:val="nil"/>
            </w:tcBorders>
            <w:vAlign w:val="bottom"/>
          </w:tcPr>
          <w:p w14:paraId="5D4A2727" w14:textId="77777777" w:rsidR="00D11BA9" w:rsidRPr="00D71866" w:rsidRDefault="00D11BA9" w:rsidP="00D71866">
            <w:pPr>
              <w:pStyle w:val="TableText"/>
            </w:pPr>
            <w:r w:rsidRPr="00D71866">
              <w:t>9%</w:t>
            </w:r>
          </w:p>
        </w:tc>
        <w:tc>
          <w:tcPr>
            <w:tcW w:w="1510" w:type="dxa"/>
            <w:tcBorders>
              <w:top w:val="nil"/>
              <w:left w:val="nil"/>
              <w:bottom w:val="single" w:sz="12" w:space="0" w:color="auto"/>
              <w:right w:val="nil"/>
            </w:tcBorders>
            <w:vAlign w:val="bottom"/>
          </w:tcPr>
          <w:p w14:paraId="00CCE720" w14:textId="77777777" w:rsidR="00D11BA9" w:rsidRPr="00D71866" w:rsidRDefault="00D11BA9" w:rsidP="00D71866">
            <w:pPr>
              <w:pStyle w:val="TableText"/>
            </w:pPr>
            <w:r w:rsidRPr="00D71866">
              <w:t>-5%</w:t>
            </w:r>
          </w:p>
        </w:tc>
        <w:tc>
          <w:tcPr>
            <w:tcW w:w="1510" w:type="dxa"/>
            <w:tcBorders>
              <w:top w:val="nil"/>
              <w:left w:val="nil"/>
              <w:bottom w:val="single" w:sz="12" w:space="0" w:color="auto"/>
              <w:right w:val="nil"/>
            </w:tcBorders>
            <w:vAlign w:val="bottom"/>
          </w:tcPr>
          <w:p w14:paraId="4FCB75F0" w14:textId="77777777" w:rsidR="00D11BA9" w:rsidRPr="00D71866" w:rsidRDefault="00D11BA9" w:rsidP="00D71866">
            <w:pPr>
              <w:pStyle w:val="TableText"/>
            </w:pPr>
            <w:r w:rsidRPr="00D71866">
              <w:t>56%</w:t>
            </w:r>
          </w:p>
        </w:tc>
        <w:tc>
          <w:tcPr>
            <w:tcW w:w="1510" w:type="dxa"/>
            <w:tcBorders>
              <w:top w:val="nil"/>
              <w:left w:val="nil"/>
              <w:bottom w:val="single" w:sz="12" w:space="0" w:color="auto"/>
              <w:right w:val="nil"/>
            </w:tcBorders>
            <w:vAlign w:val="bottom"/>
          </w:tcPr>
          <w:p w14:paraId="4B7864AF" w14:textId="77777777" w:rsidR="00D11BA9" w:rsidRPr="00D71866" w:rsidRDefault="00D11BA9" w:rsidP="00D71866">
            <w:pPr>
              <w:pStyle w:val="TableText"/>
            </w:pPr>
            <w:r w:rsidRPr="00D71866">
              <w:t>89%</w:t>
            </w:r>
          </w:p>
        </w:tc>
        <w:tc>
          <w:tcPr>
            <w:tcW w:w="1510" w:type="dxa"/>
            <w:tcBorders>
              <w:top w:val="nil"/>
              <w:left w:val="nil"/>
              <w:bottom w:val="single" w:sz="12" w:space="0" w:color="auto"/>
              <w:right w:val="nil"/>
            </w:tcBorders>
            <w:vAlign w:val="bottom"/>
          </w:tcPr>
          <w:p w14:paraId="64BB737A" w14:textId="77777777" w:rsidR="00D11BA9" w:rsidRPr="00D71866" w:rsidRDefault="00D11BA9" w:rsidP="00D71866">
            <w:pPr>
              <w:pStyle w:val="TableText"/>
            </w:pPr>
            <w:proofErr w:type="spellStart"/>
            <w:r w:rsidRPr="00D71866">
              <w:t>na</w:t>
            </w:r>
            <w:proofErr w:type="spellEnd"/>
          </w:p>
        </w:tc>
      </w:tr>
    </w:tbl>
    <w:p w14:paraId="1B0B95E5" w14:textId="6B5249B1" w:rsidR="00D11BA9" w:rsidRPr="00D11BA9" w:rsidRDefault="00D11BA9" w:rsidP="00D11BA9">
      <w:pPr>
        <w:pStyle w:val="FigureTableNoteSource"/>
        <w:rPr>
          <w:lang w:eastAsia="ja-JP"/>
        </w:rPr>
      </w:pPr>
      <w:r w:rsidRPr="00D11BA9">
        <w:rPr>
          <w:lang w:eastAsia="ja-JP"/>
        </w:rPr>
        <w:t xml:space="preserve">Notes: a Forecast bias is defined as the average percentage difference between ABARES September forecasts and actual observations. </w:t>
      </w:r>
      <w:proofErr w:type="gramStart"/>
      <w:r w:rsidRPr="00D11BA9">
        <w:rPr>
          <w:lang w:eastAsia="ja-JP"/>
        </w:rPr>
        <w:t>b</w:t>
      </w:r>
      <w:proofErr w:type="gramEnd"/>
      <w:r w:rsidRPr="00D11BA9">
        <w:rPr>
          <w:lang w:eastAsia="ja-JP"/>
        </w:rPr>
        <w:t xml:space="preserve"> Naïve forecasts use the average of observed prices between July and September as a fiscal year forecast. </w:t>
      </w:r>
      <w:proofErr w:type="gramStart"/>
      <w:r w:rsidRPr="00D11BA9">
        <w:rPr>
          <w:lang w:eastAsia="ja-JP"/>
        </w:rPr>
        <w:t>c</w:t>
      </w:r>
      <w:proofErr w:type="gramEnd"/>
      <w:r w:rsidRPr="00D11BA9">
        <w:rPr>
          <w:lang w:eastAsia="ja-JP"/>
        </w:rPr>
        <w:t xml:space="preserve"> Before 2010–11, a US no. 2 yellow corn, fob Gulf series was used as the coarse grains indicator price rather than a barley indicator price. As a result, barley forecast accuracy accounts for accuracy of coarse grains prices between 2000–01 and 2010–11 and barley prices between 2011–12 and 2017–18. </w:t>
      </w:r>
      <w:proofErr w:type="gramStart"/>
      <w:r w:rsidRPr="00D11BA9">
        <w:rPr>
          <w:lang w:eastAsia="ja-JP"/>
        </w:rPr>
        <w:t>d</w:t>
      </w:r>
      <w:proofErr w:type="gramEnd"/>
      <w:r w:rsidRPr="00D11BA9">
        <w:rPr>
          <w:lang w:eastAsia="ja-JP"/>
        </w:rPr>
        <w:t xml:space="preserve"> Before 2010–11 a US no. 2 soybeans, fob Gulf was used as an </w:t>
      </w:r>
      <w:r w:rsidRPr="00D11BA9">
        <w:rPr>
          <w:lang w:eastAsia="ja-JP"/>
        </w:rPr>
        <w:lastRenderedPageBreak/>
        <w:t>oilseeds indicator price rather than a canola indicator price. As a result, canola forecast accuracy consists of oilseeds price forecasts between 2000–01 and 2010–11 and canola prices between 2011–12 and 2017–18.</w:t>
      </w:r>
    </w:p>
    <w:p w14:paraId="4B965098" w14:textId="77777777" w:rsidR="00435E3E" w:rsidRDefault="00435E3E" w:rsidP="00435E3E">
      <w:pPr>
        <w:rPr>
          <w:lang w:eastAsia="ja-JP"/>
        </w:rPr>
      </w:pPr>
      <w:r>
        <w:rPr>
          <w:lang w:eastAsia="ja-JP"/>
        </w:rPr>
        <w:t>With a high share of Australian agricultural production exported, returns to Australian producers are highly dependent on global market developments. Furthermore, forecast error is correlated across some commodities, due to global climatic conditions that have similar production impacts on multiple commodities. Forecast errors for corn, soybean and wheat indicator prices were highly correlated between 2000–01 and 2017–18 due to shared major producers across commodities and consistent feed demand drivers.</w:t>
      </w:r>
    </w:p>
    <w:p w14:paraId="609EB8B3" w14:textId="77777777" w:rsidR="00435E3E" w:rsidRDefault="00435E3E" w:rsidP="00A82249">
      <w:pPr>
        <w:pStyle w:val="Caption"/>
        <w:rPr>
          <w:lang w:eastAsia="ja-JP"/>
        </w:rPr>
      </w:pPr>
      <w:r>
        <w:rPr>
          <w:lang w:eastAsia="ja-JP"/>
        </w:rPr>
        <w:t>Forecast error, grains and oilseeds prices, 2000–01 to 2017–18</w:t>
      </w:r>
    </w:p>
    <w:p w14:paraId="442090EE" w14:textId="5B0F3F00" w:rsidR="00435E3E" w:rsidRDefault="00435E3E" w:rsidP="00D71866">
      <w:pPr>
        <w:pStyle w:val="Picture"/>
      </w:pPr>
      <w:r>
        <w:t xml:space="preserve"> </w:t>
      </w:r>
      <w:r w:rsidR="00D11BA9">
        <w:drawing>
          <wp:inline distT="0" distB="0" distL="0" distR="0" wp14:anchorId="19756ED7" wp14:editId="34667E7D">
            <wp:extent cx="5761355" cy="25298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529840"/>
                    </a:xfrm>
                    <a:prstGeom prst="rect">
                      <a:avLst/>
                    </a:prstGeom>
                    <a:noFill/>
                  </pic:spPr>
                </pic:pic>
              </a:graphicData>
            </a:graphic>
          </wp:inline>
        </w:drawing>
      </w:r>
    </w:p>
    <w:p w14:paraId="3064D580" w14:textId="77777777" w:rsidR="00435E3E" w:rsidRDefault="00435E3E" w:rsidP="00A82249">
      <w:pPr>
        <w:pStyle w:val="FigureTableNoteSource"/>
        <w:rPr>
          <w:lang w:eastAsia="ja-JP"/>
        </w:rPr>
      </w:pPr>
      <w:r>
        <w:rPr>
          <w:lang w:eastAsia="ja-JP"/>
        </w:rPr>
        <w:t>Note: Forecast error is defined as September forecasts less actual prices, divided by actual prices.</w:t>
      </w:r>
    </w:p>
    <w:p w14:paraId="275F5D94" w14:textId="77777777" w:rsidR="00435E3E" w:rsidRDefault="00435E3E" w:rsidP="00A82249">
      <w:pPr>
        <w:pStyle w:val="FigureTableNoteSource"/>
        <w:rPr>
          <w:lang w:eastAsia="ja-JP"/>
        </w:rPr>
      </w:pPr>
      <w:r>
        <w:rPr>
          <w:lang w:eastAsia="ja-JP"/>
        </w:rPr>
        <w:t>Sources: Australian Bureau of Agricultural and Resource Economics and Science; International Grains Council; US Department of Agriculture</w:t>
      </w:r>
    </w:p>
    <w:p w14:paraId="1095B496" w14:textId="77777777" w:rsidR="00435E3E" w:rsidRDefault="00435E3E" w:rsidP="00435E3E">
      <w:pPr>
        <w:pStyle w:val="Heading3"/>
        <w:rPr>
          <w:lang w:eastAsia="ja-JP"/>
        </w:rPr>
      </w:pPr>
      <w:r>
        <w:rPr>
          <w:lang w:eastAsia="ja-JP"/>
        </w:rPr>
        <w:t>Export values and volumes</w:t>
      </w:r>
    </w:p>
    <w:p w14:paraId="74F77D21" w14:textId="5A3D8C59" w:rsidR="00435E3E" w:rsidRDefault="00435E3E" w:rsidP="00435E3E">
      <w:pPr>
        <w:rPr>
          <w:lang w:eastAsia="ja-JP"/>
        </w:rPr>
      </w:pPr>
      <w:r>
        <w:rPr>
          <w:lang w:eastAsia="ja-JP"/>
        </w:rPr>
        <w:t>Export value errors can potentially arise from errors in export unit values and changes in export volumes. Forecasts of export values since 2000–01 have a forecast error of 17% averaged across major commodities. There is an average forecast error of 14% for total grains, oilseeds and pulses, 14% for total meat exports and 6% for total agricultural export values. Total agricultural export forecast error is lower than forecast error of its components because forecast error is largely uncorrelated across cropping and livestock industries. Export unit values—the trade weighted average of export prices – have had a forecast error of 11%.</w:t>
      </w:r>
    </w:p>
    <w:p w14:paraId="734A91B7" w14:textId="115411C4" w:rsidR="00D11BA9" w:rsidRDefault="00D11BA9" w:rsidP="00D11BA9">
      <w:pPr>
        <w:pStyle w:val="Caption"/>
        <w:rPr>
          <w:lang w:eastAsia="ja-JP"/>
        </w:rPr>
      </w:pPr>
      <w:r w:rsidRPr="00D11BA9">
        <w:rPr>
          <w:lang w:eastAsia="ja-JP"/>
        </w:rPr>
        <w:lastRenderedPageBreak/>
        <w:t>Wheat export value forecast error, by component, 2010–11 to 2017–18</w:t>
      </w:r>
    </w:p>
    <w:p w14:paraId="71C25E89" w14:textId="3A2DD69F" w:rsidR="00D11BA9" w:rsidRDefault="00D11BA9" w:rsidP="00D71866">
      <w:pPr>
        <w:pStyle w:val="Picture"/>
        <w:rPr>
          <w:lang w:eastAsia="ja-JP"/>
        </w:rPr>
      </w:pPr>
      <w:r>
        <w:drawing>
          <wp:inline distT="0" distB="0" distL="0" distR="0" wp14:anchorId="0B8F6A1C" wp14:editId="64E9785E">
            <wp:extent cx="5759450" cy="2527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eat exports.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2527300"/>
                    </a:xfrm>
                    <a:prstGeom prst="rect">
                      <a:avLst/>
                    </a:prstGeom>
                  </pic:spPr>
                </pic:pic>
              </a:graphicData>
            </a:graphic>
          </wp:inline>
        </w:drawing>
      </w:r>
    </w:p>
    <w:p w14:paraId="4795908F" w14:textId="4670835A" w:rsidR="00D11BA9" w:rsidRPr="00D11BA9" w:rsidRDefault="00D11BA9" w:rsidP="00D11BA9">
      <w:pPr>
        <w:pStyle w:val="FigureTableNoteSource"/>
        <w:rPr>
          <w:lang w:eastAsia="ja-JP"/>
        </w:rPr>
      </w:pPr>
      <w:r w:rsidRPr="00D11BA9">
        <w:rPr>
          <w:lang w:eastAsia="ja-JP"/>
        </w:rPr>
        <w:t>Sources: Australian Bureau of Agricultural and Resource Economics and Sciences, Australian Bureau of Statistics (ABS)</w:t>
      </w:r>
    </w:p>
    <w:p w14:paraId="4C02BFC8" w14:textId="77777777" w:rsidR="00D11BA9" w:rsidRDefault="00D11BA9" w:rsidP="00D11BA9">
      <w:pPr>
        <w:rPr>
          <w:lang w:eastAsia="ja-JP"/>
        </w:rPr>
      </w:pPr>
      <w:r>
        <w:rPr>
          <w:lang w:eastAsia="ja-JP"/>
        </w:rPr>
        <w:t>ABARES uses a number of indicators to assist in forecasting export unit values, including global and domestic prices. Forecast unit export values can diverge from those later observed because of exchange rate fluctuations and differences between export prices and other indicator prices, and differences in the timing of exports and domestic purchases.</w:t>
      </w:r>
    </w:p>
    <w:p w14:paraId="4EC03A94" w14:textId="20843FB0" w:rsidR="00D11BA9" w:rsidRDefault="00D11BA9" w:rsidP="00D11BA9">
      <w:pPr>
        <w:rPr>
          <w:lang w:eastAsia="ja-JP"/>
        </w:rPr>
      </w:pPr>
      <w:r>
        <w:rPr>
          <w:lang w:eastAsia="ja-JP"/>
        </w:rPr>
        <w:t>Barley exports in 2017¬–18 provide an example of the influence of these factors. In 2017–18 Australian prices rose more than global prices due to low Australian production and strong feed demand from Australian livestock industries, combined with stringent biosecurity requirements for imports. Barley export unit values did not rise as much since most exports occurred in early 2017–18 when prices were lower, before high domestic feed prices led to reduced feed barley exports later in 2017–18. Different factors can have varying levels of influence on agricultural export prices. Between 2000–01 and 2017–18 the correlation between barley export unit values and the domestic feed barley indicator price was 72%, with global indicator prices only 64%, and for the AUD-USD exchange rate just 34%.</w:t>
      </w:r>
    </w:p>
    <w:tbl>
      <w:tblPr>
        <w:tblStyle w:val="TableGrid"/>
        <w:tblW w:w="0" w:type="auto"/>
        <w:tblLook w:val="04A0" w:firstRow="1" w:lastRow="0" w:firstColumn="1" w:lastColumn="0" w:noHBand="0" w:noVBand="1"/>
      </w:tblPr>
      <w:tblGrid>
        <w:gridCol w:w="9060"/>
      </w:tblGrid>
      <w:tr w:rsidR="00D11BA9" w14:paraId="6591D6C9" w14:textId="77777777" w:rsidTr="00D11BA9">
        <w:tc>
          <w:tcPr>
            <w:tcW w:w="9060" w:type="dxa"/>
          </w:tcPr>
          <w:p w14:paraId="0BDA28B1" w14:textId="77777777" w:rsidR="00D11BA9" w:rsidRDefault="00D11BA9" w:rsidP="00D11BA9">
            <w:pPr>
              <w:pStyle w:val="FigureTableNoteSource"/>
            </w:pPr>
            <w:r>
              <w:t>Unless otherwise noted, forecast error is defined as symmetric mean absolute percentage error. This is used to compare forecasts across commodities, and to not penalise positive forecast errors more than negative forecast errors. Please see Hyndman and Koehler (2005) for further information.</w:t>
            </w:r>
          </w:p>
          <w:p w14:paraId="0D8FED5E" w14:textId="6E318DD0" w:rsidR="00D11BA9" w:rsidRDefault="00D11BA9" w:rsidP="00D11BA9">
            <w:pPr>
              <w:pStyle w:val="FigureTableNoteSource"/>
              <w:rPr>
                <w:lang w:eastAsia="ja-JP"/>
              </w:rPr>
            </w:pPr>
            <w:r>
              <w:t xml:space="preserve">Symmetric mean absolute forecast error is calculated using the </w:t>
            </w:r>
            <w:proofErr w:type="gramStart"/>
            <w:r>
              <w:t xml:space="preserve">formula </w:t>
            </w:r>
            <w:proofErr w:type="gramEnd"/>
            <m:oMath>
              <m:f>
                <m:fPr>
                  <m:ctrlPr>
                    <w:rPr>
                      <w:rFonts w:ascii="Cambria Math" w:hAnsi="Cambria Math"/>
                    </w:rPr>
                  </m:ctrlPr>
                </m:fPr>
                <m:num>
                  <m:r>
                    <m:rPr>
                      <m:sty m:val="p"/>
                    </m:rPr>
                    <w:rPr>
                      <w:rFonts w:ascii="Cambria Math" w:hAnsi="Cambria Math"/>
                    </w:rPr>
                    <m:t>100</m:t>
                  </m:r>
                </m:num>
                <m:den>
                  <m:r>
                    <m:rPr>
                      <m:sty m:val="p"/>
                    </m:rPr>
                    <w:rPr>
                      <w:rFonts w:ascii="Cambria Math" w:hAnsi="Cambria Math"/>
                    </w:rPr>
                    <m:t>n</m:t>
                  </m:r>
                </m:den>
              </m:f>
              <m:nary>
                <m:naryPr>
                  <m:chr m:val="∑"/>
                  <m:ctrlPr>
                    <w:rPr>
                      <w:rFonts w:ascii="Cambria Math" w:hAnsi="Cambria Math"/>
                    </w:rPr>
                  </m:ctrlPr>
                </m:naryPr>
                <m:sub>
                  <m:r>
                    <m:rPr>
                      <m:sty m:val="p"/>
                    </m:rPr>
                    <w:rPr>
                      <w:rFonts w:ascii="Cambria Math" w:hAnsi="Cambria Math"/>
                    </w:rPr>
                    <m:t>t=1</m:t>
                  </m:r>
                </m:sub>
                <m:sup>
                  <m:r>
                    <m:rPr>
                      <m:sty m:val="p"/>
                    </m:rPr>
                    <w:rPr>
                      <w:rFonts w:ascii="Cambria Math" w:hAnsi="Cambria Math"/>
                    </w:rPr>
                    <m:t>n</m:t>
                  </m:r>
                </m:sup>
                <m:e>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d>
                      <m:ctrlPr>
                        <w:rPr>
                          <w:rFonts w:ascii="Cambria Math" w:hAnsi="Cambria Math" w:cs="Cambria Math"/>
                        </w:rPr>
                      </m:ctrlPr>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e>
                      </m:d>
                    </m:den>
                  </m:f>
                  <m:r>
                    <m:rPr>
                      <m:sty m:val="p"/>
                    </m:rPr>
                    <w:rPr>
                      <w:rFonts w:ascii="Cambria Math" w:hAnsi="Cambria Math"/>
                    </w:rPr>
                    <m:t xml:space="preserve"> </m:t>
                  </m:r>
                </m:e>
              </m:nary>
            </m:oMath>
            <w:r>
              <w:t>, where</w:t>
            </w:r>
            <w:r>
              <w:rPr>
                <w:rFonts w:ascii="Cambria Math" w:hAnsi="Cambria Math" w:cs="Cambria Math" w:hint="eastAsia"/>
              </w:rPr>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oMath>
            <w:r>
              <w:t xml:space="preserve"> is the forecast in period t,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t xml:space="preserve"> is the actual observation in period t, and n is the number of observations.</w:t>
            </w:r>
          </w:p>
        </w:tc>
      </w:tr>
    </w:tbl>
    <w:p w14:paraId="656BF686" w14:textId="77777777" w:rsidR="00D11BA9" w:rsidRDefault="00D11BA9" w:rsidP="00D11BA9">
      <w:pPr>
        <w:rPr>
          <w:lang w:eastAsia="ja-JP"/>
        </w:rPr>
      </w:pPr>
    </w:p>
    <w:tbl>
      <w:tblPr>
        <w:tblStyle w:val="TableGrid"/>
        <w:tblW w:w="0" w:type="auto"/>
        <w:tblLook w:val="04A0" w:firstRow="1" w:lastRow="0" w:firstColumn="1" w:lastColumn="0" w:noHBand="0" w:noVBand="1"/>
      </w:tblPr>
      <w:tblGrid>
        <w:gridCol w:w="9060"/>
      </w:tblGrid>
      <w:tr w:rsidR="00D11BA9" w14:paraId="4EF56C4F" w14:textId="77777777" w:rsidTr="00D11BA9">
        <w:tc>
          <w:tcPr>
            <w:tcW w:w="9060" w:type="dxa"/>
          </w:tcPr>
          <w:p w14:paraId="2597E33D" w14:textId="3098EC88" w:rsidR="00D11BA9" w:rsidRDefault="00D11BA9" w:rsidP="00D11BA9">
            <w:pPr>
              <w:pStyle w:val="FigureTableNoteSource"/>
              <w:rPr>
                <w:lang w:eastAsia="ja-JP"/>
              </w:rPr>
            </w:pPr>
            <w:r w:rsidRPr="00D11BA9">
              <w:rPr>
                <w:lang w:eastAsia="ja-JP"/>
              </w:rPr>
              <w:t>Major commodities includes barley, beef and veal, canola, cheese, chickpeas, cotton, lamb, sugar, wheat and wine.</w:t>
            </w:r>
          </w:p>
        </w:tc>
      </w:tr>
    </w:tbl>
    <w:p w14:paraId="416C70D5" w14:textId="77777777" w:rsidR="00D11BA9" w:rsidRPr="00435E3E" w:rsidRDefault="00D11BA9" w:rsidP="00D71866">
      <w:pPr>
        <w:rPr>
          <w:lang w:eastAsia="ja-JP"/>
        </w:rPr>
      </w:pPr>
    </w:p>
    <w:sectPr w:rsidR="00D11BA9" w:rsidRPr="00435E3E" w:rsidSect="003A36BF">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A6BF0" w14:textId="77777777" w:rsidR="009C2B20" w:rsidRDefault="00BF6A7E">
      <w:r>
        <w:separator/>
      </w:r>
    </w:p>
    <w:p w14:paraId="7E2A6BF1" w14:textId="77777777" w:rsidR="009C2B20" w:rsidRDefault="009C2B20"/>
    <w:p w14:paraId="7E2A6BF2" w14:textId="77777777" w:rsidR="009C2B20" w:rsidRDefault="009C2B20"/>
  </w:endnote>
  <w:endnote w:type="continuationSeparator" w:id="0">
    <w:p w14:paraId="7E2A6BF3" w14:textId="77777777" w:rsidR="009C2B20" w:rsidRDefault="00BF6A7E">
      <w:r>
        <w:continuationSeparator/>
      </w:r>
    </w:p>
    <w:p w14:paraId="7E2A6BF4" w14:textId="77777777" w:rsidR="009C2B20" w:rsidRDefault="009C2B20"/>
    <w:p w14:paraId="7E2A6BF5" w14:textId="77777777" w:rsidR="009C2B20" w:rsidRDefault="009C2B20"/>
  </w:endnote>
  <w:endnote w:type="continuationNotice" w:id="1">
    <w:p w14:paraId="7E2A6BF6" w14:textId="77777777" w:rsidR="009C2B20" w:rsidRDefault="009C2B20">
      <w:pPr>
        <w:pStyle w:val="Footer"/>
      </w:pPr>
    </w:p>
    <w:p w14:paraId="7E2A6BF7" w14:textId="77777777" w:rsidR="009C2B20" w:rsidRDefault="009C2B20"/>
    <w:p w14:paraId="7E2A6BF8" w14:textId="77777777" w:rsidR="009C2B20" w:rsidRDefault="009C2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8E34F" w14:textId="77777777" w:rsidR="00345B07" w:rsidRDefault="00345B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A6BFB" w14:textId="24B3AFCE" w:rsidR="009C2B20" w:rsidRDefault="00F56C9D">
    <w:pPr>
      <w:pStyle w:val="Footer"/>
    </w:pPr>
    <w:r>
      <w:t>Australian Bureau of Agricultural and Resource Economics and Sciences</w:t>
    </w:r>
  </w:p>
  <w:p w14:paraId="7E2A6BFC" w14:textId="6BD58F89" w:rsidR="009C2B20" w:rsidRDefault="003A36BF">
    <w:pPr>
      <w:pStyle w:val="Footer"/>
    </w:pPr>
    <w:r>
      <w:fldChar w:fldCharType="begin"/>
    </w:r>
    <w:r>
      <w:instrText xml:space="preserve"> PAGE   \* MERGEFORMAT </w:instrText>
    </w:r>
    <w:r>
      <w:fldChar w:fldCharType="separate"/>
    </w:r>
    <w:r w:rsidR="005A4344">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4232" w14:textId="77777777" w:rsidR="00345B07" w:rsidRDefault="00345B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A6BE7" w14:textId="77777777" w:rsidR="009C2B20" w:rsidRDefault="00BF6A7E">
      <w:r>
        <w:separator/>
      </w:r>
    </w:p>
    <w:p w14:paraId="7E2A6BE8" w14:textId="77777777" w:rsidR="009C2B20" w:rsidRDefault="009C2B20"/>
    <w:p w14:paraId="7E2A6BE9" w14:textId="77777777" w:rsidR="009C2B20" w:rsidRDefault="009C2B20"/>
  </w:footnote>
  <w:footnote w:type="continuationSeparator" w:id="0">
    <w:p w14:paraId="7E2A6BEA" w14:textId="77777777" w:rsidR="009C2B20" w:rsidRDefault="00BF6A7E">
      <w:r>
        <w:continuationSeparator/>
      </w:r>
    </w:p>
    <w:p w14:paraId="7E2A6BEB" w14:textId="77777777" w:rsidR="009C2B20" w:rsidRDefault="009C2B20"/>
    <w:p w14:paraId="7E2A6BEC" w14:textId="77777777" w:rsidR="009C2B20" w:rsidRDefault="009C2B20"/>
  </w:footnote>
  <w:footnote w:type="continuationNotice" w:id="1">
    <w:p w14:paraId="7E2A6BED" w14:textId="77777777" w:rsidR="009C2B20" w:rsidRDefault="009C2B20">
      <w:pPr>
        <w:pStyle w:val="Footer"/>
      </w:pPr>
    </w:p>
    <w:p w14:paraId="7E2A6BEE" w14:textId="77777777" w:rsidR="009C2B20" w:rsidRDefault="009C2B20"/>
    <w:p w14:paraId="7E2A6BEF" w14:textId="77777777" w:rsidR="009C2B20" w:rsidRDefault="009C2B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35814" w14:textId="77777777" w:rsidR="00345B07" w:rsidRDefault="00345B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A6BFA" w14:textId="116408F4" w:rsidR="009C2B20" w:rsidRDefault="00D71866">
    <w:pPr>
      <w:pStyle w:val="Header"/>
    </w:pPr>
    <w:r>
      <w:t>Summary of ABARES forecasting accuracy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A6BFD" w14:textId="37A7E4B6" w:rsidR="009C2B20" w:rsidRDefault="00BF6A7E">
    <w:pPr>
      <w:pStyle w:val="Header"/>
      <w:jc w:val="left"/>
    </w:pPr>
    <w:r>
      <w:rPr>
        <w:noProof/>
        <w:lang w:eastAsia="en-AU"/>
      </w:rPr>
      <w:drawing>
        <wp:inline distT="0" distB="0" distL="0" distR="0" wp14:anchorId="7E2A6C00" wp14:editId="1117C55C">
          <wp:extent cx="2520000" cy="8519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8519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2"/>
  </w:num>
  <w:num w:numId="6">
    <w:abstractNumId w:val="23"/>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4"/>
  </w:num>
  <w:num w:numId="22">
    <w:abstractNumId w:val="19"/>
  </w:num>
  <w:num w:numId="23">
    <w:abstractNumId w:val="25"/>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9"/>
  </w:num>
  <w:num w:numId="29">
    <w:abstractNumId w:val="7"/>
  </w:num>
  <w:num w:numId="3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13ee3b4c-a376-4521-bee5-de1aa6f1435c"/>
  </w:docVars>
  <w:rsids>
    <w:rsidRoot w:val="009C2B20"/>
    <w:rsid w:val="00026F59"/>
    <w:rsid w:val="00121FBD"/>
    <w:rsid w:val="00193F69"/>
    <w:rsid w:val="00226B3B"/>
    <w:rsid w:val="002B3D0F"/>
    <w:rsid w:val="00301D51"/>
    <w:rsid w:val="00345B07"/>
    <w:rsid w:val="003A36BF"/>
    <w:rsid w:val="003B5F4B"/>
    <w:rsid w:val="00412469"/>
    <w:rsid w:val="00435E3E"/>
    <w:rsid w:val="00436F27"/>
    <w:rsid w:val="00572717"/>
    <w:rsid w:val="005A4344"/>
    <w:rsid w:val="0065194D"/>
    <w:rsid w:val="006D23B4"/>
    <w:rsid w:val="007449DD"/>
    <w:rsid w:val="0075174C"/>
    <w:rsid w:val="0084665D"/>
    <w:rsid w:val="009C2B20"/>
    <w:rsid w:val="00A82249"/>
    <w:rsid w:val="00AD2691"/>
    <w:rsid w:val="00B42252"/>
    <w:rsid w:val="00BF34B9"/>
    <w:rsid w:val="00BF6A7E"/>
    <w:rsid w:val="00CA6F79"/>
    <w:rsid w:val="00D11BA9"/>
    <w:rsid w:val="00D71866"/>
    <w:rsid w:val="00ED254A"/>
    <w:rsid w:val="00F56C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E2A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griculture.gov.au/abares/research-topics/agricultural-forecasting"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25814/5cf8f05ab3780"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hyperlink" Target="mailto:copyright@agriculture.gov.a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yperlink" Target="http://agriculture.gov.au/" TargetMode="External"/><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4.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BA95879A-2C98-4D9F-ABB8-7C91A24B5863}">
  <ds:schemaRefs>
    <ds:schemaRef ds:uri="http://schemas.openxmlformats.org/officeDocument/2006/bibliography"/>
  </ds:schemaRefs>
</ds:datastoreItem>
</file>

<file path=customXml/itemProps2.xml><?xml version="1.0" encoding="utf-8"?>
<ds:datastoreItem xmlns:ds="http://schemas.openxmlformats.org/officeDocument/2006/customXml" ds:itemID="{447ACBD0-CAF7-4D24-818F-173E7170CE9D}"/>
</file>

<file path=customXml/itemProps3.xml><?xml version="1.0" encoding="utf-8"?>
<ds:datastoreItem xmlns:ds="http://schemas.openxmlformats.org/officeDocument/2006/customXml" ds:itemID="{6C6D822F-8408-4CF2-9003-A22C1BEC7FC1}"/>
</file>

<file path=customXml/itemProps4.xml><?xml version="1.0" encoding="utf-8"?>
<ds:datastoreItem xmlns:ds="http://schemas.openxmlformats.org/officeDocument/2006/customXml" ds:itemID="{B9DE6A31-DEAD-4613-BDC1-57BAA0DF68CA}"/>
</file>

<file path=docProps/app.xml><?xml version="1.0" encoding="utf-8"?>
<Properties xmlns="http://schemas.openxmlformats.org/officeDocument/2006/extended-properties" xmlns:vt="http://schemas.openxmlformats.org/officeDocument/2006/docPropsVTypes">
  <Template>Normal.dotm</Template>
  <TotalTime>0</TotalTime>
  <Pages>7</Pages>
  <Words>1697</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2019-06-13T01:22:00Z</dcterms:created>
  <dcterms:modified xsi:type="dcterms:W3CDTF">2019-06-13T01:47:00Z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