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65991EE4" w14:textId="77777777" w:rsidR="007A16D2" w:rsidRDefault="000931E6" w:rsidP="000931E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A16D2">
        <w:rPr>
          <w:b/>
          <w:sz w:val="28"/>
          <w:szCs w:val="28"/>
        </w:rPr>
        <w:t>Biosecurity Imports Levy Industry Steering Group</w:t>
      </w:r>
      <w:r w:rsidR="006449C1" w:rsidRPr="007A16D2">
        <w:rPr>
          <w:b/>
          <w:sz w:val="28"/>
          <w:szCs w:val="28"/>
        </w:rPr>
        <w:t xml:space="preserve"> </w:t>
      </w:r>
    </w:p>
    <w:p w14:paraId="3E42F2D6" w14:textId="77777777" w:rsidR="00905F94" w:rsidRPr="007A16D2" w:rsidRDefault="007A16D2" w:rsidP="000931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6449C1" w:rsidRPr="007A16D2">
        <w:rPr>
          <w:b/>
          <w:sz w:val="28"/>
          <w:szCs w:val="28"/>
        </w:rPr>
        <w:t>erms of reference</w:t>
      </w:r>
    </w:p>
    <w:p w14:paraId="296AC5B3" w14:textId="56427099" w:rsidR="000931E6" w:rsidRDefault="004F6832" w:rsidP="004F6832">
      <w:r w:rsidRPr="004F6832">
        <w:t>Bi</w:t>
      </w:r>
      <w:r>
        <w:t xml:space="preserve">osecurity risks are changing as import volumes increase and </w:t>
      </w:r>
      <w:r w:rsidR="005B356C">
        <w:t xml:space="preserve">new </w:t>
      </w:r>
      <w:r>
        <w:t>pathways</w:t>
      </w:r>
      <w:r w:rsidR="005B356C">
        <w:t xml:space="preserve"> emerge or become</w:t>
      </w:r>
      <w:r>
        <w:t xml:space="preserve"> more complex. In the 2018-19 Budget</w:t>
      </w:r>
      <w:r w:rsidR="005B356C">
        <w:t>,</w:t>
      </w:r>
      <w:r>
        <w:t xml:space="preserve"> the Australian Government </w:t>
      </w:r>
      <w:r w:rsidR="00E50233">
        <w:t xml:space="preserve">announced imposing </w:t>
      </w:r>
      <w:r>
        <w:t xml:space="preserve">a levy on imports </w:t>
      </w:r>
      <w:r w:rsidR="00A25DB1">
        <w:t xml:space="preserve">arriving </w:t>
      </w:r>
      <w:r>
        <w:t>by sea to invest in a stronger, fit-for-purpose biosecurity system.</w:t>
      </w:r>
    </w:p>
    <w:p w14:paraId="002F2239" w14:textId="77777777" w:rsidR="004F6832" w:rsidRDefault="006449C1" w:rsidP="004F6832">
      <w:r>
        <w:t>In the course of the Department of Agriculture and Water Resource</w:t>
      </w:r>
      <w:r w:rsidR="007A16D2">
        <w:t>s</w:t>
      </w:r>
      <w:r>
        <w:t xml:space="preserve"> </w:t>
      </w:r>
      <w:r w:rsidR="007A16D2">
        <w:t>engaging</w:t>
      </w:r>
      <w:r>
        <w:t xml:space="preserve"> with industry </w:t>
      </w:r>
      <w:r w:rsidR="00A25DB1">
        <w:t xml:space="preserve">about </w:t>
      </w:r>
      <w:r w:rsidR="00D92EBD">
        <w:t>implementation</w:t>
      </w:r>
      <w:r>
        <w:t xml:space="preserve">, </w:t>
      </w:r>
      <w:r w:rsidR="007A16D2">
        <w:t xml:space="preserve">industry </w:t>
      </w:r>
      <w:r w:rsidR="00D275A8">
        <w:t xml:space="preserve">stakeholders </w:t>
      </w:r>
      <w:r w:rsidR="005B356C">
        <w:t>raised</w:t>
      </w:r>
      <w:r w:rsidR="00D275A8">
        <w:t xml:space="preserve"> a number of</w:t>
      </w:r>
      <w:r w:rsidR="005B356C">
        <w:t xml:space="preserve"> concerns </w:t>
      </w:r>
      <w:r w:rsidR="00A25DB1">
        <w:t>about the levy</w:t>
      </w:r>
      <w:r w:rsidR="00246E03">
        <w:t>, in particular the design and scope of the levy and the limited consultation</w:t>
      </w:r>
      <w:r>
        <w:t xml:space="preserve">. </w:t>
      </w:r>
    </w:p>
    <w:p w14:paraId="2B408F0B" w14:textId="77777777" w:rsidR="00ED22D9" w:rsidRDefault="00027167" w:rsidP="004F6832">
      <w:r>
        <w:t xml:space="preserve">The Australian Government </w:t>
      </w:r>
      <w:r w:rsidR="00A25DB1">
        <w:t>is</w:t>
      </w:r>
      <w:r>
        <w:t xml:space="preserve"> committed to </w:t>
      </w:r>
      <w:r w:rsidR="005B356C">
        <w:t>the B</w:t>
      </w:r>
      <w:r>
        <w:t xml:space="preserve">iosecurity </w:t>
      </w:r>
      <w:r w:rsidR="005B356C">
        <w:t>I</w:t>
      </w:r>
      <w:r>
        <w:t xml:space="preserve">mports </w:t>
      </w:r>
      <w:r w:rsidR="005B356C">
        <w:t>L</w:t>
      </w:r>
      <w:r>
        <w:t>evy. However, i</w:t>
      </w:r>
      <w:r w:rsidR="00ED22D9">
        <w:t xml:space="preserve">n light of </w:t>
      </w:r>
      <w:r w:rsidR="00D92EBD">
        <w:t>continuing</w:t>
      </w:r>
      <w:r w:rsidR="00ED22D9">
        <w:t xml:space="preserve"> </w:t>
      </w:r>
      <w:r w:rsidR="00A25DB1">
        <w:t xml:space="preserve">industry stakeholder </w:t>
      </w:r>
      <w:r w:rsidR="005B356C">
        <w:t>feedback</w:t>
      </w:r>
      <w:r w:rsidR="00ED22D9">
        <w:t xml:space="preserve">, the Minister for Agriculture and Water Resources is establishing </w:t>
      </w:r>
      <w:r w:rsidR="00AE6E6F">
        <w:t>an</w:t>
      </w:r>
      <w:r w:rsidR="00ED22D9">
        <w:t xml:space="preserve"> industry steering </w:t>
      </w:r>
      <w:r w:rsidR="00D92EBD">
        <w:t>committee</w:t>
      </w:r>
      <w:r w:rsidR="00ED22D9">
        <w:t xml:space="preserve"> so industry </w:t>
      </w:r>
      <w:r w:rsidR="007A16D2">
        <w:t>stakeholder</w:t>
      </w:r>
      <w:r w:rsidR="003917B8">
        <w:t>s</w:t>
      </w:r>
      <w:r w:rsidR="007A16D2">
        <w:t xml:space="preserve"> </w:t>
      </w:r>
      <w:r w:rsidR="003917B8">
        <w:t>will be</w:t>
      </w:r>
      <w:r w:rsidR="00D275A8" w:rsidRPr="00D275A8">
        <w:t xml:space="preserve"> </w:t>
      </w:r>
      <w:r w:rsidR="00D275A8">
        <w:t xml:space="preserve">better </w:t>
      </w:r>
      <w:r w:rsidR="003917B8">
        <w:t xml:space="preserve">able to support and contribute to the </w:t>
      </w:r>
      <w:r w:rsidR="00ED22D9">
        <w:t xml:space="preserve">design </w:t>
      </w:r>
      <w:r w:rsidR="0012700D">
        <w:t xml:space="preserve">of </w:t>
      </w:r>
      <w:r w:rsidR="00ED22D9">
        <w:t>the levy.</w:t>
      </w:r>
      <w:r w:rsidR="00384BDF">
        <w:t xml:space="preserve"> </w:t>
      </w:r>
    </w:p>
    <w:p w14:paraId="66BC6486" w14:textId="77777777" w:rsidR="00384BDF" w:rsidRDefault="00384BDF" w:rsidP="004F6832">
      <w:r>
        <w:t>The steering committee’s</w:t>
      </w:r>
      <w:r w:rsidR="007A16D2">
        <w:t xml:space="preserve"> considerations and</w:t>
      </w:r>
      <w:r>
        <w:t xml:space="preserve"> recommendations will </w:t>
      </w:r>
      <w:r w:rsidR="005D6FB5">
        <w:t xml:space="preserve">assist </w:t>
      </w:r>
      <w:r w:rsidR="00D92EBD">
        <w:t>the government i</w:t>
      </w:r>
      <w:r w:rsidR="00A25DB1">
        <w:t>n</w:t>
      </w:r>
      <w:r w:rsidR="00D92EBD">
        <w:t xml:space="preserve"> further considering design and scope elements of </w:t>
      </w:r>
      <w:r w:rsidR="007A16D2">
        <w:t>a</w:t>
      </w:r>
      <w:r w:rsidR="00D92EBD">
        <w:t xml:space="preserve"> levy.</w:t>
      </w:r>
    </w:p>
    <w:p w14:paraId="64695480" w14:textId="77777777" w:rsidR="00ED22D9" w:rsidRDefault="003C3638" w:rsidP="004F6832">
      <w:pPr>
        <w:rPr>
          <w:b/>
        </w:rPr>
      </w:pPr>
      <w:r>
        <w:rPr>
          <w:b/>
        </w:rPr>
        <w:t>Scope</w:t>
      </w:r>
    </w:p>
    <w:p w14:paraId="37DB9AF3" w14:textId="77777777" w:rsidR="00865E71" w:rsidRDefault="003C3638" w:rsidP="004F6832">
      <w:r w:rsidRPr="003C3638">
        <w:t xml:space="preserve">The steering committee will </w:t>
      </w:r>
      <w:r>
        <w:t>make r</w:t>
      </w:r>
      <w:r w:rsidRPr="003C3638">
        <w:t>ecommend</w:t>
      </w:r>
      <w:r>
        <w:t>ations</w:t>
      </w:r>
      <w:r w:rsidRPr="003C3638">
        <w:t xml:space="preserve"> to the minister</w:t>
      </w:r>
      <w:r>
        <w:t xml:space="preserve"> </w:t>
      </w:r>
      <w:r w:rsidR="00B84A85">
        <w:t>on a possible</w:t>
      </w:r>
      <w:r>
        <w:t xml:space="preserve"> scope and design </w:t>
      </w:r>
      <w:r w:rsidR="00B84A85">
        <w:t>for</w:t>
      </w:r>
      <w:r>
        <w:t xml:space="preserve"> a</w:t>
      </w:r>
      <w:r w:rsidR="00A2705C">
        <w:t>n</w:t>
      </w:r>
      <w:r>
        <w:t xml:space="preserve"> </w:t>
      </w:r>
      <w:r w:rsidR="00A2705C">
        <w:t xml:space="preserve">ongoing </w:t>
      </w:r>
      <w:r w:rsidR="00AE6E6F">
        <w:t>biosecurity import levy</w:t>
      </w:r>
      <w:r w:rsidR="00027167">
        <w:t xml:space="preserve">, </w:t>
      </w:r>
      <w:r w:rsidR="00204FBB">
        <w:t>with specific reference to</w:t>
      </w:r>
      <w:r w:rsidR="00865E71">
        <w:t>:</w:t>
      </w:r>
    </w:p>
    <w:p w14:paraId="7ED43E0E" w14:textId="77777777" w:rsidR="00865E71" w:rsidRDefault="00027167" w:rsidP="002B7D2D">
      <w:pPr>
        <w:pStyle w:val="ListParagraph"/>
        <w:numPr>
          <w:ilvl w:val="0"/>
          <w:numId w:val="20"/>
        </w:numPr>
      </w:pPr>
      <w:r>
        <w:t>base</w:t>
      </w:r>
    </w:p>
    <w:p w14:paraId="2F5DA0DD" w14:textId="77777777" w:rsidR="00865E71" w:rsidRDefault="00027167" w:rsidP="002B7D2D">
      <w:pPr>
        <w:pStyle w:val="ListParagraph"/>
        <w:numPr>
          <w:ilvl w:val="0"/>
          <w:numId w:val="20"/>
        </w:numPr>
      </w:pPr>
      <w:r>
        <w:t>rate(s</w:t>
      </w:r>
      <w:r w:rsidR="00865E71">
        <w:t>)</w:t>
      </w:r>
    </w:p>
    <w:p w14:paraId="35F108D7" w14:textId="77777777" w:rsidR="00865E71" w:rsidRDefault="00027167" w:rsidP="002B7D2D">
      <w:pPr>
        <w:pStyle w:val="ListParagraph"/>
        <w:numPr>
          <w:ilvl w:val="0"/>
          <w:numId w:val="20"/>
        </w:numPr>
      </w:pPr>
      <w:r>
        <w:t>imposition point(s)</w:t>
      </w:r>
      <w:r w:rsidR="006F65DF">
        <w:t xml:space="preserve"> </w:t>
      </w:r>
      <w:r w:rsidR="00865E71">
        <w:t>of financial liability</w:t>
      </w:r>
      <w:r w:rsidR="006F65DF">
        <w:t xml:space="preserve"> – </w:t>
      </w:r>
      <w:r w:rsidR="00865E71">
        <w:t xml:space="preserve">including but not </w:t>
      </w:r>
      <w:r w:rsidR="006F65DF">
        <w:t xml:space="preserve">necessarily </w:t>
      </w:r>
      <w:r w:rsidR="00865E71">
        <w:t>limited to ports, importers, shipping lines, customs brokers</w:t>
      </w:r>
      <w:r w:rsidR="006F65DF">
        <w:t xml:space="preserve"> and </w:t>
      </w:r>
      <w:r w:rsidR="00865E71">
        <w:t xml:space="preserve">stevedores, </w:t>
      </w:r>
      <w:r>
        <w:t xml:space="preserve">and </w:t>
      </w:r>
    </w:p>
    <w:p w14:paraId="7AECEFAD" w14:textId="77777777" w:rsidR="00204FBB" w:rsidRDefault="00027167" w:rsidP="002B7D2D">
      <w:pPr>
        <w:pStyle w:val="ListParagraph"/>
        <w:numPr>
          <w:ilvl w:val="0"/>
          <w:numId w:val="20"/>
        </w:numPr>
      </w:pPr>
      <w:r>
        <w:t>collection mechanism(s)</w:t>
      </w:r>
      <w:r w:rsidR="003A7F3E">
        <w:t>,</w:t>
      </w:r>
    </w:p>
    <w:p w14:paraId="6EB3BC4D" w14:textId="77777777" w:rsidR="003C3638" w:rsidRDefault="009F2CAE" w:rsidP="002B7D2D">
      <w:pPr>
        <w:ind w:left="360"/>
      </w:pPr>
      <w:r>
        <w:t xml:space="preserve">and </w:t>
      </w:r>
      <w:r w:rsidR="003A7F3E">
        <w:t>having regard to:</w:t>
      </w:r>
    </w:p>
    <w:p w14:paraId="004BCAF1" w14:textId="77777777" w:rsidR="003B4F88" w:rsidRDefault="003B4F88" w:rsidP="00493B44">
      <w:pPr>
        <w:pStyle w:val="ListParagraph"/>
        <w:numPr>
          <w:ilvl w:val="0"/>
          <w:numId w:val="20"/>
        </w:numPr>
      </w:pPr>
      <w:r>
        <w:t>processes of importing that might raise biosecurity risks</w:t>
      </w:r>
    </w:p>
    <w:p w14:paraId="76B5217E" w14:textId="77777777" w:rsidR="00493B44" w:rsidRDefault="00493B44" w:rsidP="00493B44">
      <w:pPr>
        <w:pStyle w:val="ListParagraph"/>
        <w:numPr>
          <w:ilvl w:val="0"/>
          <w:numId w:val="20"/>
        </w:numPr>
      </w:pPr>
      <w:r>
        <w:t>the outcomes of consultation on the proposed levy to date</w:t>
      </w:r>
    </w:p>
    <w:p w14:paraId="1DD2C37B" w14:textId="77777777" w:rsidR="00D275A8" w:rsidRDefault="003A7F3E" w:rsidP="00B84A85">
      <w:pPr>
        <w:pStyle w:val="ListParagraph"/>
        <w:numPr>
          <w:ilvl w:val="0"/>
          <w:numId w:val="20"/>
        </w:numPr>
      </w:pPr>
      <w:r>
        <w:t>the inclusion of</w:t>
      </w:r>
      <w:r w:rsidR="00B84A85">
        <w:t xml:space="preserve"> </w:t>
      </w:r>
      <w:r w:rsidR="00B84A85" w:rsidRPr="004F6832">
        <w:t xml:space="preserve">all containerised and non-containerised cargo </w:t>
      </w:r>
      <w:r w:rsidR="003917B8">
        <w:t>transported</w:t>
      </w:r>
      <w:r w:rsidR="003917B8" w:rsidRPr="004F6832">
        <w:t xml:space="preserve"> </w:t>
      </w:r>
      <w:r w:rsidR="00B84A85" w:rsidRPr="004F6832">
        <w:t>to Australia by sea, with the exception of military equipment</w:t>
      </w:r>
    </w:p>
    <w:p w14:paraId="39A20C57" w14:textId="77777777" w:rsidR="007A16D2" w:rsidRDefault="00790CC6" w:rsidP="00D275A8">
      <w:pPr>
        <w:pStyle w:val="ListParagraph"/>
        <w:numPr>
          <w:ilvl w:val="0"/>
          <w:numId w:val="20"/>
        </w:numPr>
      </w:pPr>
      <w:r>
        <w:t>sim</w:t>
      </w:r>
      <w:r w:rsidR="00A770DC">
        <w:t>pl</w:t>
      </w:r>
      <w:r w:rsidR="003A7F3E">
        <w:t xml:space="preserve">icity </w:t>
      </w:r>
      <w:r w:rsidR="00B75F0D">
        <w:t xml:space="preserve">and </w:t>
      </w:r>
      <w:r w:rsidR="00A770DC">
        <w:t>predictab</w:t>
      </w:r>
      <w:r w:rsidR="003A7F3E">
        <w:t>ility</w:t>
      </w:r>
      <w:r w:rsidR="00B75F0D">
        <w:t xml:space="preserve"> for le</w:t>
      </w:r>
      <w:r w:rsidR="003A7F3E">
        <w:t>v</w:t>
      </w:r>
      <w:r w:rsidR="00B75F0D">
        <w:t>y payers</w:t>
      </w:r>
    </w:p>
    <w:p w14:paraId="18C04A76" w14:textId="77777777" w:rsidR="00020E40" w:rsidRDefault="00D92EBD" w:rsidP="00027167">
      <w:pPr>
        <w:pStyle w:val="ListParagraph"/>
        <w:numPr>
          <w:ilvl w:val="0"/>
          <w:numId w:val="20"/>
        </w:numPr>
      </w:pPr>
      <w:r>
        <w:t xml:space="preserve">administrative </w:t>
      </w:r>
      <w:r w:rsidR="009C05E6">
        <w:t>efficien</w:t>
      </w:r>
      <w:r w:rsidR="003A7F3E">
        <w:t>cy</w:t>
      </w:r>
      <w:r w:rsidR="00020E40">
        <w:t xml:space="preserve"> </w:t>
      </w:r>
      <w:r w:rsidR="00246E03">
        <w:t xml:space="preserve">and practicality </w:t>
      </w:r>
      <w:r w:rsidR="00020E40">
        <w:t xml:space="preserve">for </w:t>
      </w:r>
      <w:r w:rsidR="00B75F0D">
        <w:t xml:space="preserve">affected </w:t>
      </w:r>
      <w:r w:rsidR="00020E40">
        <w:t>industry and government</w:t>
      </w:r>
      <w:r w:rsidR="003A7F3E">
        <w:t>, and</w:t>
      </w:r>
      <w:r w:rsidR="00027167">
        <w:t xml:space="preserve"> </w:t>
      </w:r>
    </w:p>
    <w:p w14:paraId="23F55714" w14:textId="77777777" w:rsidR="00B84A85" w:rsidRDefault="003A7F3E" w:rsidP="00B84A85">
      <w:pPr>
        <w:pStyle w:val="ListParagraph"/>
        <w:numPr>
          <w:ilvl w:val="0"/>
          <w:numId w:val="20"/>
        </w:numPr>
      </w:pPr>
      <w:r>
        <w:t xml:space="preserve">the aim of </w:t>
      </w:r>
      <w:r w:rsidR="00B84A85">
        <w:t>rais</w:t>
      </w:r>
      <w:r>
        <w:t>ing</w:t>
      </w:r>
      <w:r w:rsidR="00B84A85">
        <w:t xml:space="preserve"> an estimated $</w:t>
      </w:r>
      <w:r w:rsidR="006F088E">
        <w:t>325</w:t>
      </w:r>
      <w:r w:rsidR="00905F3F">
        <w:t xml:space="preserve"> </w:t>
      </w:r>
      <w:r w:rsidR="00B84A85">
        <w:t xml:space="preserve">million </w:t>
      </w:r>
      <w:r w:rsidR="00865E71">
        <w:t xml:space="preserve">(net) </w:t>
      </w:r>
      <w:r w:rsidR="006F088E">
        <w:t>over the first three years</w:t>
      </w:r>
      <w:r w:rsidR="00020E40">
        <w:t>.</w:t>
      </w:r>
    </w:p>
    <w:p w14:paraId="161A5550" w14:textId="77777777" w:rsidR="00D92EBD" w:rsidRDefault="00D92EBD" w:rsidP="00384BDF">
      <w:r>
        <w:t xml:space="preserve">The steering committee’s recommendations </w:t>
      </w:r>
      <w:r w:rsidR="00B25893">
        <w:t>will</w:t>
      </w:r>
      <w:r>
        <w:t xml:space="preserve"> be informed by consensus</w:t>
      </w:r>
      <w:r w:rsidR="00B25893">
        <w:t xml:space="preserve"> committee</w:t>
      </w:r>
      <w:r>
        <w:t xml:space="preserve"> views. Dissenting views </w:t>
      </w:r>
      <w:r w:rsidR="00B25893">
        <w:t>will</w:t>
      </w:r>
      <w:r>
        <w:t xml:space="preserve"> be clearly set out and attributed.</w:t>
      </w:r>
      <w:r w:rsidR="00B75F0D">
        <w:t xml:space="preserve"> Information and data supporting conclusions will be provided to support government consideration, including potential costing of proposals by the Department of the Treasury.</w:t>
      </w:r>
    </w:p>
    <w:p w14:paraId="0B4796A3" w14:textId="77777777" w:rsidR="00AE6E6F" w:rsidRPr="00B84A85" w:rsidRDefault="00AE6E6F" w:rsidP="00B84A85">
      <w:pPr>
        <w:rPr>
          <w:b/>
        </w:rPr>
      </w:pPr>
      <w:r w:rsidRPr="00B84A85">
        <w:rPr>
          <w:b/>
        </w:rPr>
        <w:t>Consultation</w:t>
      </w:r>
    </w:p>
    <w:p w14:paraId="546AA402" w14:textId="77777777" w:rsidR="00D92EBD" w:rsidRDefault="00AE6E6F" w:rsidP="00AE6E6F">
      <w:r w:rsidRPr="00AE6E6F">
        <w:t xml:space="preserve">The </w:t>
      </w:r>
      <w:r>
        <w:t>st</w:t>
      </w:r>
      <w:r w:rsidR="00A770DC">
        <w:t>eering committee</w:t>
      </w:r>
      <w:r w:rsidR="00027167">
        <w:t xml:space="preserve"> will consult widely, including through the invitation of submissions, </w:t>
      </w:r>
      <w:r w:rsidR="00384BDF">
        <w:t>within scope</w:t>
      </w:r>
      <w:r w:rsidR="00027167">
        <w:t xml:space="preserve">, from any interested parties. </w:t>
      </w:r>
    </w:p>
    <w:p w14:paraId="1A22D4CB" w14:textId="77777777" w:rsidR="00D92EBD" w:rsidRDefault="00D92EBD" w:rsidP="00AE6E6F">
      <w:r>
        <w:t xml:space="preserve">All submissions received, </w:t>
      </w:r>
      <w:r w:rsidR="00B25893">
        <w:t>and</w:t>
      </w:r>
      <w:r>
        <w:t xml:space="preserve"> meetings held, by the steering committee will be recorded </w:t>
      </w:r>
      <w:r w:rsidR="00B25893">
        <w:t xml:space="preserve">and </w:t>
      </w:r>
      <w:r>
        <w:t xml:space="preserve">appended </w:t>
      </w:r>
      <w:r w:rsidR="00E25C0C">
        <w:t xml:space="preserve">in full </w:t>
      </w:r>
      <w:r>
        <w:t xml:space="preserve">to the committee’s recommendations to the minister. </w:t>
      </w:r>
      <w:r w:rsidR="00E50233">
        <w:t>All submissions will be placed on the department’s website.</w:t>
      </w:r>
    </w:p>
    <w:p w14:paraId="454A3115" w14:textId="77777777" w:rsidR="00A25DB1" w:rsidRDefault="00A25DB1" w:rsidP="00AE6E6F">
      <w:r>
        <w:t xml:space="preserve">If, in the course of the steering committee’s considerations, </w:t>
      </w:r>
      <w:r w:rsidR="0015559E">
        <w:t xml:space="preserve">it becomes clear </w:t>
      </w:r>
      <w:r>
        <w:t xml:space="preserve">that an industry or sector not already represented within </w:t>
      </w:r>
      <w:r w:rsidR="00E25C0C">
        <w:t xml:space="preserve">the </w:t>
      </w:r>
      <w:r>
        <w:t xml:space="preserve">committee membership or engaged in </w:t>
      </w:r>
      <w:r w:rsidR="0015559E">
        <w:t>consultation</w:t>
      </w:r>
      <w:r>
        <w:t xml:space="preserve">, </w:t>
      </w:r>
      <w:r w:rsidR="0015559E">
        <w:t>may</w:t>
      </w:r>
      <w:r>
        <w:t xml:space="preserve"> potentially </w:t>
      </w:r>
      <w:r w:rsidR="0015559E">
        <w:t xml:space="preserve">be </w:t>
      </w:r>
      <w:r w:rsidR="00E25C0C">
        <w:t>captured within the committee’s recommendations</w:t>
      </w:r>
      <w:r>
        <w:t>, the committee will invite input from the relevant peak representative body or association.</w:t>
      </w:r>
    </w:p>
    <w:p w14:paraId="4A49DB74" w14:textId="77777777" w:rsidR="00D20834" w:rsidRDefault="00D20834">
      <w:pPr>
        <w:spacing w:before="0"/>
        <w:rPr>
          <w:b/>
        </w:rPr>
      </w:pPr>
      <w:r>
        <w:rPr>
          <w:b/>
        </w:rPr>
        <w:br w:type="page"/>
      </w:r>
    </w:p>
    <w:p w14:paraId="0E74CF67" w14:textId="77777777" w:rsidR="00790CC6" w:rsidRPr="003C3638" w:rsidRDefault="00790CC6" w:rsidP="00790CC6">
      <w:pPr>
        <w:rPr>
          <w:b/>
        </w:rPr>
      </w:pPr>
      <w:r w:rsidRPr="003C3638">
        <w:rPr>
          <w:b/>
        </w:rPr>
        <w:lastRenderedPageBreak/>
        <w:t>Membership</w:t>
      </w:r>
    </w:p>
    <w:p w14:paraId="2BE2A280" w14:textId="59AF018F" w:rsidR="0015559E" w:rsidRDefault="0015559E" w:rsidP="0015559E">
      <w:r>
        <w:t>T</w:t>
      </w:r>
      <w:r w:rsidR="00790CC6">
        <w:t xml:space="preserve">he </w:t>
      </w:r>
      <w:r w:rsidR="00027167">
        <w:t xml:space="preserve">minister will appoint </w:t>
      </w:r>
      <w:r w:rsidR="007142E2">
        <w:t xml:space="preserve">up to </w:t>
      </w:r>
      <w:r w:rsidR="00F44852">
        <w:t>9</w:t>
      </w:r>
      <w:r w:rsidR="00154536">
        <w:t xml:space="preserve"> </w:t>
      </w:r>
      <w:r w:rsidR="00790CC6">
        <w:t xml:space="preserve">individuals </w:t>
      </w:r>
      <w:r>
        <w:t xml:space="preserve">to the steering committee. These individuals </w:t>
      </w:r>
      <w:r w:rsidR="00790CC6">
        <w:t xml:space="preserve">represent </w:t>
      </w:r>
      <w:r w:rsidR="00493B44">
        <w:t xml:space="preserve">expertise in potentially </w:t>
      </w:r>
      <w:r w:rsidR="00790CC6">
        <w:t>impacted industry sectors</w:t>
      </w:r>
      <w:r w:rsidR="00493B44">
        <w:t xml:space="preserve"> and the </w:t>
      </w:r>
      <w:r>
        <w:t>supporting</w:t>
      </w:r>
      <w:r w:rsidR="00493B44">
        <w:t xml:space="preserve"> indu</w:t>
      </w:r>
      <w:r w:rsidR="00993D88">
        <w:t>s</w:t>
      </w:r>
      <w:r>
        <w:t>tries.</w:t>
      </w:r>
    </w:p>
    <w:p w14:paraId="3080C678" w14:textId="77777777" w:rsidR="00D00308" w:rsidRDefault="00B25893" w:rsidP="00790CC6">
      <w:r>
        <w:t xml:space="preserve">The committee will be </w:t>
      </w:r>
      <w:r w:rsidR="003917B8">
        <w:t xml:space="preserve">led </w:t>
      </w:r>
      <w:r>
        <w:t xml:space="preserve">by a </w:t>
      </w:r>
      <w:r w:rsidR="003917B8">
        <w:t>respected an</w:t>
      </w:r>
      <w:r w:rsidR="00493B44">
        <w:t>d independent c</w:t>
      </w:r>
      <w:r w:rsidR="003917B8">
        <w:t xml:space="preserve">hair </w:t>
      </w:r>
      <w:r>
        <w:t>appointed by the minister</w:t>
      </w:r>
      <w:r w:rsidR="00790CC6">
        <w:t xml:space="preserve">. </w:t>
      </w:r>
    </w:p>
    <w:p w14:paraId="574AA563" w14:textId="77777777" w:rsidR="00027167" w:rsidRDefault="00D00308" w:rsidP="00790CC6">
      <w:r>
        <w:t>The committee will be supported by a secretariat independent of the Department of Agriculture and Water Resources and of industry.</w:t>
      </w:r>
    </w:p>
    <w:p w14:paraId="65B79EDB" w14:textId="77777777" w:rsidR="00027167" w:rsidRPr="002E3E48" w:rsidRDefault="00027167" w:rsidP="00027167">
      <w:pPr>
        <w:rPr>
          <w:b/>
        </w:rPr>
      </w:pPr>
      <w:r w:rsidRPr="002E3E48">
        <w:rPr>
          <w:b/>
        </w:rPr>
        <w:t>Timing</w:t>
      </w:r>
    </w:p>
    <w:p w14:paraId="505613DF" w14:textId="77777777" w:rsidR="00E25C0C" w:rsidRPr="002E3E48" w:rsidRDefault="00027167" w:rsidP="00E25C0C">
      <w:r w:rsidRPr="002E3E48">
        <w:t xml:space="preserve">The steering group will start immediately </w:t>
      </w:r>
      <w:r w:rsidR="00384BDF" w:rsidRPr="002E3E48">
        <w:t xml:space="preserve">and will make recommendations to the minister no later than </w:t>
      </w:r>
      <w:r w:rsidR="00D00308" w:rsidRPr="002E3E48">
        <w:t>1 June 2019</w:t>
      </w:r>
      <w:r w:rsidR="00384BDF" w:rsidRPr="002E3E48">
        <w:t>.</w:t>
      </w:r>
      <w:r w:rsidR="00E25C0C" w:rsidRPr="002E3E48">
        <w:t xml:space="preserve"> </w:t>
      </w:r>
    </w:p>
    <w:p w14:paraId="11452376" w14:textId="77777777" w:rsidR="00D92EBD" w:rsidRPr="002E3E48" w:rsidRDefault="00D92EBD" w:rsidP="00027167">
      <w:pPr>
        <w:rPr>
          <w:b/>
        </w:rPr>
      </w:pPr>
      <w:r w:rsidRPr="002E3E48">
        <w:rPr>
          <w:b/>
        </w:rPr>
        <w:t xml:space="preserve">Resourcing </w:t>
      </w:r>
    </w:p>
    <w:p w14:paraId="315B9949" w14:textId="68CAD538" w:rsidR="00A2705C" w:rsidRDefault="00A2705C" w:rsidP="00027167">
      <w:r>
        <w:t>The Chair will determine administrative arrangements with reasonable costs negotiated with and met by the department.</w:t>
      </w:r>
    </w:p>
    <w:p w14:paraId="22145026" w14:textId="4862B2E4" w:rsidR="00A25DB1" w:rsidRDefault="00A25DB1" w:rsidP="00027167">
      <w:r>
        <w:t xml:space="preserve">With the exception of the independent chair, steering committee members will not be remunerated. Committee members </w:t>
      </w:r>
      <w:r w:rsidR="0015559E">
        <w:t>will be</w:t>
      </w:r>
      <w:r>
        <w:t xml:space="preserve"> responsible for </w:t>
      </w:r>
      <w:r w:rsidR="0015559E">
        <w:t>the</w:t>
      </w:r>
      <w:r>
        <w:t xml:space="preserve"> costs </w:t>
      </w:r>
      <w:r w:rsidR="0015559E">
        <w:t xml:space="preserve">of attending </w:t>
      </w:r>
      <w:r>
        <w:t>any committee meetings.</w:t>
      </w:r>
    </w:p>
    <w:p w14:paraId="0053985A" w14:textId="77777777" w:rsidR="00A25DB1" w:rsidRPr="00B25893" w:rsidRDefault="00A25DB1" w:rsidP="00027167"/>
    <w:sectPr w:rsidR="00A25DB1" w:rsidRPr="00B2589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50559" w14:textId="77777777" w:rsidR="00A072C6" w:rsidRDefault="00A072C6">
      <w:r>
        <w:separator/>
      </w:r>
    </w:p>
  </w:endnote>
  <w:endnote w:type="continuationSeparator" w:id="0">
    <w:p w14:paraId="4BC776E1" w14:textId="77777777" w:rsidR="00A072C6" w:rsidRDefault="00A0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2262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3C3D53" w14:textId="2C7C882C" w:rsidR="00C6669A" w:rsidRDefault="003F747E" w:rsidP="00C6669A">
        <w:pPr>
          <w:pStyle w:val="Footer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76B7E" w14:textId="77777777" w:rsidR="00A072C6" w:rsidRDefault="00A072C6">
      <w:r>
        <w:separator/>
      </w:r>
    </w:p>
  </w:footnote>
  <w:footnote w:type="continuationSeparator" w:id="0">
    <w:p w14:paraId="620A8E20" w14:textId="77777777" w:rsidR="00A072C6" w:rsidRDefault="00A07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0DA33" w14:textId="790661C5" w:rsidR="00626E31" w:rsidRPr="000931E6" w:rsidRDefault="00626E31" w:rsidP="007A16D2">
    <w:pPr>
      <w:pStyle w:val="Header"/>
      <w:jc w:val="center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3465AF3"/>
    <w:multiLevelType w:val="multilevel"/>
    <w:tmpl w:val="C9CC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9" w15:restartNumberingAfterBreak="0">
    <w:nsid w:val="2A913599"/>
    <w:multiLevelType w:val="multilevel"/>
    <w:tmpl w:val="02AA8FA0"/>
    <w:numStyleLink w:val="ListBullets"/>
  </w:abstractNum>
  <w:abstractNum w:abstractNumId="10" w15:restartNumberingAfterBreak="0">
    <w:nsid w:val="2F2425AB"/>
    <w:multiLevelType w:val="multilevel"/>
    <w:tmpl w:val="BC8603C0"/>
    <w:numStyleLink w:val="ListNumbers"/>
  </w:abstractNum>
  <w:abstractNum w:abstractNumId="11" w15:restartNumberingAfterBreak="0">
    <w:nsid w:val="3B7D5A68"/>
    <w:multiLevelType w:val="hybridMultilevel"/>
    <w:tmpl w:val="05D04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90600"/>
    <w:multiLevelType w:val="multilevel"/>
    <w:tmpl w:val="A192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DD5C12"/>
    <w:multiLevelType w:val="multilevel"/>
    <w:tmpl w:val="20F2356A"/>
    <w:numStyleLink w:val="Appendix"/>
  </w:abstractNum>
  <w:abstractNum w:abstractNumId="14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7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6"/>
  </w:num>
  <w:num w:numId="5">
    <w:abstractNumId w:val="3"/>
  </w:num>
  <w:num w:numId="6">
    <w:abstractNumId w:val="9"/>
  </w:num>
  <w:num w:numId="7">
    <w:abstractNumId w:val="18"/>
  </w:num>
  <w:num w:numId="8">
    <w:abstractNumId w:val="10"/>
  </w:num>
  <w:num w:numId="9">
    <w:abstractNumId w:val="16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7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12"/>
  </w:num>
  <w:num w:numId="19">
    <w:abstractNumId w:val="7"/>
  </w:num>
  <w:num w:numId="20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567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19"/>
    <w:rsid w:val="00020E40"/>
    <w:rsid w:val="00027167"/>
    <w:rsid w:val="000931E6"/>
    <w:rsid w:val="00115CD8"/>
    <w:rsid w:val="0012700D"/>
    <w:rsid w:val="00154536"/>
    <w:rsid w:val="0015559E"/>
    <w:rsid w:val="00204FBB"/>
    <w:rsid w:val="00246E03"/>
    <w:rsid w:val="00251B19"/>
    <w:rsid w:val="00286D02"/>
    <w:rsid w:val="002958A7"/>
    <w:rsid w:val="002B7D2D"/>
    <w:rsid w:val="002E3E48"/>
    <w:rsid w:val="0030476B"/>
    <w:rsid w:val="00384BDF"/>
    <w:rsid w:val="003917B8"/>
    <w:rsid w:val="003A7F3E"/>
    <w:rsid w:val="003B4F88"/>
    <w:rsid w:val="003C3638"/>
    <w:rsid w:val="003F747E"/>
    <w:rsid w:val="0042148E"/>
    <w:rsid w:val="004307F0"/>
    <w:rsid w:val="00461807"/>
    <w:rsid w:val="0048425A"/>
    <w:rsid w:val="00493B44"/>
    <w:rsid w:val="004F6832"/>
    <w:rsid w:val="00522AE7"/>
    <w:rsid w:val="0054747E"/>
    <w:rsid w:val="00583D65"/>
    <w:rsid w:val="005B356C"/>
    <w:rsid w:val="005D6FB5"/>
    <w:rsid w:val="00626E31"/>
    <w:rsid w:val="006449C1"/>
    <w:rsid w:val="006608AD"/>
    <w:rsid w:val="006F088E"/>
    <w:rsid w:val="006F65DF"/>
    <w:rsid w:val="0071087A"/>
    <w:rsid w:val="007142E2"/>
    <w:rsid w:val="00790CC6"/>
    <w:rsid w:val="007A16D2"/>
    <w:rsid w:val="00865E71"/>
    <w:rsid w:val="008B48A2"/>
    <w:rsid w:val="00905F3F"/>
    <w:rsid w:val="00905F94"/>
    <w:rsid w:val="00993D88"/>
    <w:rsid w:val="009C05E6"/>
    <w:rsid w:val="009F2CAE"/>
    <w:rsid w:val="009F317B"/>
    <w:rsid w:val="00A072C6"/>
    <w:rsid w:val="00A25DB1"/>
    <w:rsid w:val="00A2705C"/>
    <w:rsid w:val="00A271E9"/>
    <w:rsid w:val="00A770DC"/>
    <w:rsid w:val="00AA4B88"/>
    <w:rsid w:val="00AE6E6F"/>
    <w:rsid w:val="00B10810"/>
    <w:rsid w:val="00B25893"/>
    <w:rsid w:val="00B57188"/>
    <w:rsid w:val="00B75F0D"/>
    <w:rsid w:val="00B84A85"/>
    <w:rsid w:val="00BA162A"/>
    <w:rsid w:val="00BE2C0F"/>
    <w:rsid w:val="00C37C4D"/>
    <w:rsid w:val="00C6669A"/>
    <w:rsid w:val="00C72CFE"/>
    <w:rsid w:val="00D00308"/>
    <w:rsid w:val="00D20834"/>
    <w:rsid w:val="00D243B9"/>
    <w:rsid w:val="00D275A8"/>
    <w:rsid w:val="00D43A7E"/>
    <w:rsid w:val="00D92EBD"/>
    <w:rsid w:val="00E25C0C"/>
    <w:rsid w:val="00E3214D"/>
    <w:rsid w:val="00E50233"/>
    <w:rsid w:val="00EC5208"/>
    <w:rsid w:val="00ED22D9"/>
    <w:rsid w:val="00F10D69"/>
    <w:rsid w:val="00F236CD"/>
    <w:rsid w:val="00F26B94"/>
    <w:rsid w:val="00F4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F9AE2D"/>
  <w15:chartTrackingRefBased/>
  <w15:docId w15:val="{C77C2BE0-2DF5-4081-9760-B3BE8C7F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68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99"/>
    <w:qFormat/>
    <w:rsid w:val="003C3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6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0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7DD6DE9-5AA6-4907-A383-B20B25CCE95C}"/>
</file>

<file path=customXml/itemProps2.xml><?xml version="1.0" encoding="utf-8"?>
<ds:datastoreItem xmlns:ds="http://schemas.openxmlformats.org/officeDocument/2006/customXml" ds:itemID="{D4295C69-8F60-45AD-A76B-F7A8DCD0F522}"/>
</file>

<file path=customXml/itemProps3.xml><?xml version="1.0" encoding="utf-8"?>
<ds:datastoreItem xmlns:ds="http://schemas.openxmlformats.org/officeDocument/2006/customXml" ds:itemID="{ECD0C7D3-7A85-4CEE-A9A9-640C73B62629}"/>
</file>

<file path=customXml/itemProps4.xml><?xml version="1.0" encoding="utf-8"?>
<ds:datastoreItem xmlns:ds="http://schemas.openxmlformats.org/officeDocument/2006/customXml" ds:itemID="{B8DA6CCF-CE0D-470D-94EB-A962D02CE3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3249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Kat Waterhouse</dc:creator>
  <cp:keywords/>
  <dc:description/>
  <cp:lastModifiedBy>Spencer, David J</cp:lastModifiedBy>
  <cp:revision>2</cp:revision>
  <cp:lastPrinted>2019-02-27T03:17:00Z</cp:lastPrinted>
  <dcterms:created xsi:type="dcterms:W3CDTF">2019-03-29T01:39:00Z</dcterms:created>
  <dcterms:modified xsi:type="dcterms:W3CDTF">2019-03-29T01:39:00Z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