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6BB49" w14:textId="73F170C1" w:rsidR="00CE2C52" w:rsidRDefault="00777BB7">
      <w:pPr>
        <w:pStyle w:val="Heading1"/>
      </w:pPr>
      <w:r>
        <w:t>Health and safety management</w:t>
      </w:r>
    </w:p>
    <w:p w14:paraId="0B36BB4A" w14:textId="68DDEF64" w:rsidR="00CE2C52" w:rsidRDefault="0032337E">
      <w:pPr>
        <w:pStyle w:val="Subtitle"/>
      </w:pPr>
      <w:r>
        <w:t>Departmental</w:t>
      </w:r>
      <w:r w:rsidR="00777BB7">
        <w:t xml:space="preserve"> </w:t>
      </w:r>
      <w:r w:rsidR="00C87D09">
        <w:t>p</w:t>
      </w:r>
      <w:r w:rsidR="00777BB7">
        <w:t>olicy</w:t>
      </w:r>
    </w:p>
    <w:p w14:paraId="0B36BB4D" w14:textId="77777777" w:rsidR="00CE2C52" w:rsidRDefault="00777BB7">
      <w:pPr>
        <w:pStyle w:val="Picture"/>
      </w:pPr>
      <w:r>
        <w:drawing>
          <wp:inline distT="0" distB="0" distL="0" distR="0" wp14:anchorId="0B36BE3C" wp14:editId="0B36BE3D">
            <wp:extent cx="5516245" cy="5516245"/>
            <wp:effectExtent l="0" t="0" r="8255" b="825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16245" cy="5516245"/>
                    </a:xfrm>
                    <a:prstGeom prst="rect">
                      <a:avLst/>
                    </a:prstGeom>
                    <a:noFill/>
                    <a:ln w="9525">
                      <a:noFill/>
                      <a:miter lim="800000"/>
                      <a:headEnd/>
                      <a:tailEnd/>
                    </a:ln>
                  </pic:spPr>
                </pic:pic>
              </a:graphicData>
            </a:graphic>
          </wp:inline>
        </w:drawing>
      </w:r>
    </w:p>
    <w:p w14:paraId="0B36BB4E" w14:textId="77777777" w:rsidR="00CE2C52" w:rsidRDefault="00777BB7">
      <w:pPr>
        <w:pStyle w:val="Normalsmall"/>
      </w:pPr>
      <w:r>
        <w:br w:type="page"/>
      </w:r>
      <w:r>
        <w:lastRenderedPageBreak/>
        <w:t>© Commonwealth of Australia 2019</w:t>
      </w:r>
    </w:p>
    <w:p w14:paraId="0B36BB4F" w14:textId="77777777" w:rsidR="00CE2C52" w:rsidRDefault="00777BB7">
      <w:pPr>
        <w:pStyle w:val="Normalsmall"/>
        <w:rPr>
          <w:rStyle w:val="Strong"/>
        </w:rPr>
      </w:pPr>
      <w:r>
        <w:rPr>
          <w:rStyle w:val="Strong"/>
        </w:rPr>
        <w:t>Ownership of intellectual property rights</w:t>
      </w:r>
    </w:p>
    <w:p w14:paraId="0B36BB50" w14:textId="77777777" w:rsidR="00CE2C52" w:rsidRDefault="00777BB7">
      <w:pPr>
        <w:pStyle w:val="Normalsmall"/>
      </w:pPr>
      <w:r>
        <w:t>Unless otherwise noted, copyright (and any other intellectual property rights) in this publication is owned by the Commonwealth of Australia (referred to as the Commonwealth).</w:t>
      </w:r>
    </w:p>
    <w:p w14:paraId="0B36BB51" w14:textId="77777777" w:rsidR="00CE2C52" w:rsidRDefault="00777BB7">
      <w:pPr>
        <w:pStyle w:val="Normalsmall"/>
        <w:rPr>
          <w:rStyle w:val="Strong"/>
        </w:rPr>
      </w:pPr>
      <w:proofErr w:type="gramStart"/>
      <w:r>
        <w:rPr>
          <w:rStyle w:val="Strong"/>
        </w:rPr>
        <w:t>Creative Commons</w:t>
      </w:r>
      <w:proofErr w:type="gramEnd"/>
      <w:r>
        <w:rPr>
          <w:rStyle w:val="Strong"/>
        </w:rPr>
        <w:t xml:space="preserve"> licence</w:t>
      </w:r>
    </w:p>
    <w:p w14:paraId="0B36BB52" w14:textId="77777777" w:rsidR="00CE2C52" w:rsidRDefault="00777BB7">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0B36BB53" w14:textId="77777777" w:rsidR="00CE2C52" w:rsidRDefault="00777BB7">
      <w:pPr>
        <w:pStyle w:val="Normalsmall"/>
      </w:pPr>
      <w:r>
        <w:t xml:space="preserve">Inquiries about the licence and any use of this document should be emailed to </w:t>
      </w:r>
      <w:hyperlink r:id="rId13" w:history="1">
        <w:r>
          <w:rPr>
            <w:rStyle w:val="Hyperlink"/>
          </w:rPr>
          <w:t>copyright@agriculture.gov.au</w:t>
        </w:r>
      </w:hyperlink>
      <w:r>
        <w:t>.</w:t>
      </w:r>
    </w:p>
    <w:p w14:paraId="0B36BB54" w14:textId="77777777" w:rsidR="00CE2C52" w:rsidRDefault="00777BB7">
      <w:pPr>
        <w:pStyle w:val="Normalsmall"/>
      </w:pPr>
      <w:r>
        <w:rPr>
          <w:noProof/>
          <w:lang w:eastAsia="en-AU"/>
        </w:rPr>
        <w:drawing>
          <wp:inline distT="0" distB="0" distL="0" distR="0" wp14:anchorId="0B36BE3E" wp14:editId="0B36BE3F">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B36BB55" w14:textId="77777777" w:rsidR="00CE2C52" w:rsidRDefault="00777BB7">
      <w:pPr>
        <w:pStyle w:val="Normalsmall"/>
        <w:rPr>
          <w:rStyle w:val="Strong"/>
        </w:rPr>
      </w:pPr>
      <w:r>
        <w:rPr>
          <w:rStyle w:val="Strong"/>
        </w:rPr>
        <w:t>Cataloguing data</w:t>
      </w:r>
    </w:p>
    <w:p w14:paraId="0B36BB56" w14:textId="747A2295" w:rsidR="00CE2C52" w:rsidRDefault="00777BB7">
      <w:pPr>
        <w:pStyle w:val="Normalsmall"/>
      </w:pPr>
      <w:r>
        <w:t xml:space="preserve">This publication (and any material sourced from it) should be attributed as: </w:t>
      </w:r>
      <w:r w:rsidR="0032337E">
        <w:t>Department of Agriculture</w:t>
      </w:r>
      <w:r w:rsidR="00C87D09">
        <w:t xml:space="preserve"> 2019</w:t>
      </w:r>
      <w:r>
        <w:t xml:space="preserve">, </w:t>
      </w:r>
      <w:r w:rsidR="00C87D09" w:rsidRPr="00027957">
        <w:rPr>
          <w:rStyle w:val="Emphasis"/>
        </w:rPr>
        <w:t>Health and safety management: departmental policy</w:t>
      </w:r>
      <w:r w:rsidR="00C87D09">
        <w:t xml:space="preserve">, </w:t>
      </w:r>
      <w:r>
        <w:t xml:space="preserve">Canberra, </w:t>
      </w:r>
      <w:r w:rsidRPr="0032337E">
        <w:t>October</w:t>
      </w:r>
      <w:r>
        <w:t>. CC BY 4.0.</w:t>
      </w:r>
    </w:p>
    <w:p w14:paraId="0B36BB58" w14:textId="0C0F1418" w:rsidR="00CE2C52" w:rsidRDefault="00777BB7">
      <w:pPr>
        <w:pStyle w:val="Normalsmall"/>
      </w:pPr>
      <w:r>
        <w:t>This publication is available at</w:t>
      </w:r>
      <w:r w:rsidR="0032337E" w:rsidRPr="0032337E">
        <w:t xml:space="preserve"> </w:t>
      </w:r>
      <w:hyperlink r:id="rId15" w:history="1">
        <w:r w:rsidR="0032337E" w:rsidRPr="0032337E">
          <w:rPr>
            <w:rStyle w:val="Hyperlink"/>
          </w:rPr>
          <w:t>agriculture.gov.au/about/commitment/health-safety-management</w:t>
        </w:r>
      </w:hyperlink>
      <w:r>
        <w:t>.</w:t>
      </w:r>
    </w:p>
    <w:p w14:paraId="0B36BB59" w14:textId="77777777" w:rsidR="00CE2C52" w:rsidRDefault="00777BB7">
      <w:pPr>
        <w:pStyle w:val="Normalsmall"/>
        <w:spacing w:after="0"/>
      </w:pPr>
      <w:r>
        <w:t>Department of Agriculture</w:t>
      </w:r>
    </w:p>
    <w:p w14:paraId="0B36BB5A" w14:textId="77777777" w:rsidR="00CE2C52" w:rsidRDefault="00777BB7">
      <w:pPr>
        <w:pStyle w:val="Normalsmall"/>
        <w:spacing w:after="0"/>
      </w:pPr>
      <w:r>
        <w:t>GPO Box 858 Canberra ACT 2601</w:t>
      </w:r>
    </w:p>
    <w:p w14:paraId="0B36BB5B" w14:textId="77777777" w:rsidR="00CE2C52" w:rsidRDefault="00777BB7">
      <w:pPr>
        <w:pStyle w:val="Normalsmall"/>
        <w:spacing w:after="0"/>
      </w:pPr>
      <w:r>
        <w:t>Telephone 1800 900 090</w:t>
      </w:r>
    </w:p>
    <w:p w14:paraId="0B36BB5C" w14:textId="77777777" w:rsidR="00CE2C52" w:rsidRDefault="00777BB7">
      <w:pPr>
        <w:pStyle w:val="Normalsmall"/>
      </w:pPr>
      <w:r>
        <w:t xml:space="preserve">Web </w:t>
      </w:r>
      <w:hyperlink r:id="rId16" w:history="1">
        <w:r>
          <w:rPr>
            <w:rStyle w:val="Hyperlink"/>
          </w:rPr>
          <w:t>agriculture.gov.au</w:t>
        </w:r>
      </w:hyperlink>
    </w:p>
    <w:p w14:paraId="0B36BB5D" w14:textId="77777777" w:rsidR="00CE2C52" w:rsidRDefault="00777BB7">
      <w:pPr>
        <w:pStyle w:val="Normalsmall"/>
      </w:pPr>
      <w:r>
        <w:t>The Australian Government acting through the Department of Agriculture has exercised due care and skill in preparing and compiling the information and data in this publication. Notwithstanding, 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B36BB6B" w14:textId="77777777" w:rsidR="00CE2C52" w:rsidRDefault="00777BB7">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0B36BB6C" w14:textId="3A0CA55C" w:rsidR="00CE2C52" w:rsidRDefault="00777BB7">
          <w:pPr>
            <w:pStyle w:val="TOCHeading"/>
          </w:pPr>
          <w:r>
            <w:t>Contents</w:t>
          </w:r>
        </w:p>
        <w:p w14:paraId="6964C40E" w14:textId="77777777" w:rsidR="000578D3" w:rsidRDefault="00777BB7">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8932487" w:history="1">
            <w:r w:rsidR="000578D3" w:rsidRPr="00A43FC2">
              <w:rPr>
                <w:rStyle w:val="Hyperlink"/>
              </w:rPr>
              <w:t>Purpose</w:t>
            </w:r>
            <w:r w:rsidR="000578D3">
              <w:rPr>
                <w:webHidden/>
              </w:rPr>
              <w:tab/>
            </w:r>
            <w:r w:rsidR="000578D3">
              <w:rPr>
                <w:webHidden/>
              </w:rPr>
              <w:fldChar w:fldCharType="begin"/>
            </w:r>
            <w:r w:rsidR="000578D3">
              <w:rPr>
                <w:webHidden/>
              </w:rPr>
              <w:instrText xml:space="preserve"> PAGEREF _Toc18932487 \h </w:instrText>
            </w:r>
            <w:r w:rsidR="000578D3">
              <w:rPr>
                <w:webHidden/>
              </w:rPr>
            </w:r>
            <w:r w:rsidR="000578D3">
              <w:rPr>
                <w:webHidden/>
              </w:rPr>
              <w:fldChar w:fldCharType="separate"/>
            </w:r>
            <w:r w:rsidR="000578D3">
              <w:rPr>
                <w:webHidden/>
              </w:rPr>
              <w:t>4</w:t>
            </w:r>
            <w:r w:rsidR="000578D3">
              <w:rPr>
                <w:webHidden/>
              </w:rPr>
              <w:fldChar w:fldCharType="end"/>
            </w:r>
          </w:hyperlink>
        </w:p>
        <w:p w14:paraId="59C24F76" w14:textId="77777777" w:rsidR="000578D3" w:rsidRDefault="001D03F8">
          <w:pPr>
            <w:pStyle w:val="TOC2"/>
            <w:rPr>
              <w:rFonts w:asciiTheme="minorHAnsi" w:eastAsiaTheme="minorEastAsia" w:hAnsiTheme="minorHAnsi"/>
              <w:lang w:eastAsia="en-AU"/>
            </w:rPr>
          </w:pPr>
          <w:hyperlink w:anchor="_Toc18932488" w:history="1">
            <w:r w:rsidR="000578D3" w:rsidRPr="00A43FC2">
              <w:rPr>
                <w:rStyle w:val="Hyperlink"/>
              </w:rPr>
              <w:t>Direction to staff</w:t>
            </w:r>
            <w:r w:rsidR="000578D3">
              <w:rPr>
                <w:webHidden/>
              </w:rPr>
              <w:tab/>
            </w:r>
            <w:r w:rsidR="000578D3">
              <w:rPr>
                <w:webHidden/>
              </w:rPr>
              <w:fldChar w:fldCharType="begin"/>
            </w:r>
            <w:r w:rsidR="000578D3">
              <w:rPr>
                <w:webHidden/>
              </w:rPr>
              <w:instrText xml:space="preserve"> PAGEREF _Toc18932488 \h </w:instrText>
            </w:r>
            <w:r w:rsidR="000578D3">
              <w:rPr>
                <w:webHidden/>
              </w:rPr>
            </w:r>
            <w:r w:rsidR="000578D3">
              <w:rPr>
                <w:webHidden/>
              </w:rPr>
              <w:fldChar w:fldCharType="separate"/>
            </w:r>
            <w:r w:rsidR="000578D3">
              <w:rPr>
                <w:webHidden/>
              </w:rPr>
              <w:t>4</w:t>
            </w:r>
            <w:r w:rsidR="000578D3">
              <w:rPr>
                <w:webHidden/>
              </w:rPr>
              <w:fldChar w:fldCharType="end"/>
            </w:r>
          </w:hyperlink>
        </w:p>
        <w:p w14:paraId="0E6F3DCF" w14:textId="77777777" w:rsidR="000578D3" w:rsidRDefault="001D03F8">
          <w:pPr>
            <w:pStyle w:val="TOC1"/>
            <w:rPr>
              <w:rFonts w:asciiTheme="minorHAnsi" w:eastAsiaTheme="minorEastAsia" w:hAnsiTheme="minorHAnsi"/>
              <w:b w:val="0"/>
              <w:lang w:eastAsia="en-AU"/>
            </w:rPr>
          </w:pPr>
          <w:hyperlink w:anchor="_Toc18932489" w:history="1">
            <w:r w:rsidR="000578D3" w:rsidRPr="00A43FC2">
              <w:rPr>
                <w:rStyle w:val="Hyperlink"/>
              </w:rPr>
              <w:t>Definitions, roles and responsibilities</w:t>
            </w:r>
            <w:r w:rsidR="000578D3">
              <w:rPr>
                <w:webHidden/>
              </w:rPr>
              <w:tab/>
            </w:r>
            <w:r w:rsidR="000578D3">
              <w:rPr>
                <w:webHidden/>
              </w:rPr>
              <w:fldChar w:fldCharType="begin"/>
            </w:r>
            <w:r w:rsidR="000578D3">
              <w:rPr>
                <w:webHidden/>
              </w:rPr>
              <w:instrText xml:space="preserve"> PAGEREF _Toc18932489 \h </w:instrText>
            </w:r>
            <w:r w:rsidR="000578D3">
              <w:rPr>
                <w:webHidden/>
              </w:rPr>
            </w:r>
            <w:r w:rsidR="000578D3">
              <w:rPr>
                <w:webHidden/>
              </w:rPr>
              <w:fldChar w:fldCharType="separate"/>
            </w:r>
            <w:r w:rsidR="000578D3">
              <w:rPr>
                <w:webHidden/>
              </w:rPr>
              <w:t>4</w:t>
            </w:r>
            <w:r w:rsidR="000578D3">
              <w:rPr>
                <w:webHidden/>
              </w:rPr>
              <w:fldChar w:fldCharType="end"/>
            </w:r>
          </w:hyperlink>
        </w:p>
        <w:p w14:paraId="5CA2DCCE" w14:textId="77777777" w:rsidR="000578D3" w:rsidRDefault="001D03F8">
          <w:pPr>
            <w:pStyle w:val="TOC1"/>
            <w:rPr>
              <w:rFonts w:asciiTheme="minorHAnsi" w:eastAsiaTheme="minorEastAsia" w:hAnsiTheme="minorHAnsi"/>
              <w:b w:val="0"/>
              <w:lang w:eastAsia="en-AU"/>
            </w:rPr>
          </w:pPr>
          <w:hyperlink w:anchor="_Toc18932490" w:history="1">
            <w:r w:rsidR="000578D3" w:rsidRPr="00A43FC2">
              <w:rPr>
                <w:rStyle w:val="Hyperlink"/>
              </w:rPr>
              <w:t>Policy statement</w:t>
            </w:r>
            <w:r w:rsidR="000578D3">
              <w:rPr>
                <w:webHidden/>
              </w:rPr>
              <w:tab/>
            </w:r>
            <w:r w:rsidR="000578D3">
              <w:rPr>
                <w:webHidden/>
              </w:rPr>
              <w:fldChar w:fldCharType="begin"/>
            </w:r>
            <w:r w:rsidR="000578D3">
              <w:rPr>
                <w:webHidden/>
              </w:rPr>
              <w:instrText xml:space="preserve"> PAGEREF _Toc18932490 \h </w:instrText>
            </w:r>
            <w:r w:rsidR="000578D3">
              <w:rPr>
                <w:webHidden/>
              </w:rPr>
            </w:r>
            <w:r w:rsidR="000578D3">
              <w:rPr>
                <w:webHidden/>
              </w:rPr>
              <w:fldChar w:fldCharType="separate"/>
            </w:r>
            <w:r w:rsidR="000578D3">
              <w:rPr>
                <w:webHidden/>
              </w:rPr>
              <w:t>5</w:t>
            </w:r>
            <w:r w:rsidR="000578D3">
              <w:rPr>
                <w:webHidden/>
              </w:rPr>
              <w:fldChar w:fldCharType="end"/>
            </w:r>
          </w:hyperlink>
        </w:p>
        <w:p w14:paraId="6EFDA3EC" w14:textId="77777777" w:rsidR="000578D3" w:rsidRDefault="001D03F8">
          <w:pPr>
            <w:pStyle w:val="TOC1"/>
            <w:rPr>
              <w:rFonts w:asciiTheme="minorHAnsi" w:eastAsiaTheme="minorEastAsia" w:hAnsiTheme="minorHAnsi"/>
              <w:b w:val="0"/>
              <w:lang w:eastAsia="en-AU"/>
            </w:rPr>
          </w:pPr>
          <w:hyperlink w:anchor="_Toc18932491" w:history="1">
            <w:r w:rsidR="000578D3" w:rsidRPr="00A43FC2">
              <w:rPr>
                <w:rStyle w:val="Hyperlink"/>
              </w:rPr>
              <w:t>Objective of this policy</w:t>
            </w:r>
            <w:r w:rsidR="000578D3">
              <w:rPr>
                <w:webHidden/>
              </w:rPr>
              <w:tab/>
            </w:r>
            <w:r w:rsidR="000578D3">
              <w:rPr>
                <w:webHidden/>
              </w:rPr>
              <w:fldChar w:fldCharType="begin"/>
            </w:r>
            <w:r w:rsidR="000578D3">
              <w:rPr>
                <w:webHidden/>
              </w:rPr>
              <w:instrText xml:space="preserve"> PAGEREF _Toc18932491 \h </w:instrText>
            </w:r>
            <w:r w:rsidR="000578D3">
              <w:rPr>
                <w:webHidden/>
              </w:rPr>
            </w:r>
            <w:r w:rsidR="000578D3">
              <w:rPr>
                <w:webHidden/>
              </w:rPr>
              <w:fldChar w:fldCharType="separate"/>
            </w:r>
            <w:r w:rsidR="000578D3">
              <w:rPr>
                <w:webHidden/>
              </w:rPr>
              <w:t>5</w:t>
            </w:r>
            <w:r w:rsidR="000578D3">
              <w:rPr>
                <w:webHidden/>
              </w:rPr>
              <w:fldChar w:fldCharType="end"/>
            </w:r>
          </w:hyperlink>
        </w:p>
        <w:p w14:paraId="138693D1" w14:textId="77777777" w:rsidR="000578D3" w:rsidRDefault="001D03F8">
          <w:pPr>
            <w:pStyle w:val="TOC1"/>
            <w:rPr>
              <w:rFonts w:asciiTheme="minorHAnsi" w:eastAsiaTheme="minorEastAsia" w:hAnsiTheme="minorHAnsi"/>
              <w:b w:val="0"/>
              <w:lang w:eastAsia="en-AU"/>
            </w:rPr>
          </w:pPr>
          <w:hyperlink w:anchor="_Toc18932492" w:history="1">
            <w:r w:rsidR="000578D3" w:rsidRPr="00A43FC2">
              <w:rPr>
                <w:rStyle w:val="Hyperlink"/>
              </w:rPr>
              <w:t>Our commitment</w:t>
            </w:r>
            <w:r w:rsidR="000578D3">
              <w:rPr>
                <w:webHidden/>
              </w:rPr>
              <w:tab/>
            </w:r>
            <w:r w:rsidR="000578D3">
              <w:rPr>
                <w:webHidden/>
              </w:rPr>
              <w:fldChar w:fldCharType="begin"/>
            </w:r>
            <w:r w:rsidR="000578D3">
              <w:rPr>
                <w:webHidden/>
              </w:rPr>
              <w:instrText xml:space="preserve"> PAGEREF _Toc18932492 \h </w:instrText>
            </w:r>
            <w:r w:rsidR="000578D3">
              <w:rPr>
                <w:webHidden/>
              </w:rPr>
            </w:r>
            <w:r w:rsidR="000578D3">
              <w:rPr>
                <w:webHidden/>
              </w:rPr>
              <w:fldChar w:fldCharType="separate"/>
            </w:r>
            <w:r w:rsidR="000578D3">
              <w:rPr>
                <w:webHidden/>
              </w:rPr>
              <w:t>5</w:t>
            </w:r>
            <w:r w:rsidR="000578D3">
              <w:rPr>
                <w:webHidden/>
              </w:rPr>
              <w:fldChar w:fldCharType="end"/>
            </w:r>
          </w:hyperlink>
        </w:p>
        <w:p w14:paraId="71E3AB90" w14:textId="77777777" w:rsidR="0032337E" w:rsidRDefault="00777BB7" w:rsidP="0032337E">
          <w:pPr>
            <w:rPr>
              <w:b/>
              <w:noProof/>
            </w:rPr>
          </w:pPr>
          <w:r>
            <w:rPr>
              <w:b/>
              <w:noProof/>
            </w:rPr>
            <w:fldChar w:fldCharType="end"/>
          </w:r>
        </w:p>
      </w:sdtContent>
    </w:sdt>
    <w:p w14:paraId="0B36BB90" w14:textId="40CC3081" w:rsidR="00CE2C52" w:rsidRDefault="00CE2C52" w:rsidP="00777BB7">
      <w:pPr>
        <w:pStyle w:val="TableofFigures"/>
        <w:tabs>
          <w:tab w:val="right" w:leader="dot" w:pos="9060"/>
        </w:tabs>
        <w:sectPr w:rsidR="00CE2C52">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567" w:footer="283" w:gutter="0"/>
          <w:pgNumType w:fmt="lowerRoman" w:start="1"/>
          <w:cols w:space="708"/>
          <w:titlePg/>
          <w:docGrid w:linePitch="360"/>
        </w:sectPr>
      </w:pPr>
    </w:p>
    <w:p w14:paraId="0B36BB91" w14:textId="2535CBA3" w:rsidR="00CE2C52" w:rsidRDefault="00777BB7">
      <w:pPr>
        <w:pStyle w:val="Heading2"/>
        <w:numPr>
          <w:ilvl w:val="0"/>
          <w:numId w:val="0"/>
        </w:numPr>
        <w:ind w:left="720" w:hanging="720"/>
      </w:pPr>
      <w:bookmarkStart w:id="0" w:name="_Toc430782150"/>
      <w:bookmarkStart w:id="1" w:name="_Toc18932487"/>
      <w:r>
        <w:lastRenderedPageBreak/>
        <w:t>Purpose</w:t>
      </w:r>
      <w:bookmarkEnd w:id="0"/>
      <w:bookmarkEnd w:id="1"/>
    </w:p>
    <w:p w14:paraId="0B36BB96" w14:textId="1BD1ECCE" w:rsidR="00CE2C52" w:rsidRDefault="00777BB7">
      <w:r w:rsidRPr="00777BB7">
        <w:t>This policy statement outlines the commitment of the Department of Agriculture to the health and safety of its workers and other persons, and outlines the role and responsibilities for those who work for and with us</w:t>
      </w:r>
      <w:r>
        <w:t>.</w:t>
      </w:r>
    </w:p>
    <w:p w14:paraId="7066FA8C" w14:textId="77777777" w:rsidR="00777BB7" w:rsidRDefault="00777BB7" w:rsidP="00777BB7">
      <w:pPr>
        <w:pStyle w:val="Heading3"/>
        <w:numPr>
          <w:ilvl w:val="0"/>
          <w:numId w:val="0"/>
        </w:numPr>
        <w:ind w:left="964" w:hanging="964"/>
      </w:pPr>
      <w:bookmarkStart w:id="2" w:name="_Toc18932488"/>
      <w:r>
        <w:t>Direction to staff</w:t>
      </w:r>
      <w:bookmarkEnd w:id="2"/>
    </w:p>
    <w:p w14:paraId="38B78693" w14:textId="5F766457" w:rsidR="00777BB7" w:rsidRDefault="00777BB7" w:rsidP="00777BB7">
      <w:r>
        <w:t xml:space="preserve">This document is instructional material for the </w:t>
      </w:r>
      <w:r w:rsidR="00C87D09">
        <w:t>department</w:t>
      </w:r>
      <w:r>
        <w:t xml:space="preserve"> under its Practice Statement Framework. All staff must comply with it.</w:t>
      </w:r>
    </w:p>
    <w:p w14:paraId="552717C3" w14:textId="36AA627A" w:rsidR="00777BB7" w:rsidRDefault="00777BB7" w:rsidP="00777BB7">
      <w:pPr>
        <w:pStyle w:val="Heading2"/>
        <w:numPr>
          <w:ilvl w:val="0"/>
          <w:numId w:val="0"/>
        </w:numPr>
        <w:ind w:left="720" w:hanging="720"/>
      </w:pPr>
      <w:bookmarkStart w:id="3" w:name="_Toc18932489"/>
      <w:r>
        <w:t>Definitions</w:t>
      </w:r>
      <w:r w:rsidR="00027957">
        <w:t>, roles and responsibilities</w:t>
      </w:r>
      <w:bookmarkEnd w:id="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0"/>
        <w:gridCol w:w="3977"/>
        <w:gridCol w:w="3683"/>
      </w:tblGrid>
      <w:tr w:rsidR="00E25110" w:rsidRPr="00AB6B66" w14:paraId="5CAF3E15" w14:textId="246BD36F" w:rsidTr="007004C3">
        <w:trPr>
          <w:cantSplit/>
          <w:tblHeader/>
        </w:trPr>
        <w:tc>
          <w:tcPr>
            <w:tcW w:w="1410" w:type="dxa"/>
          </w:tcPr>
          <w:p w14:paraId="5C2A28D1" w14:textId="77777777" w:rsidR="00E25110" w:rsidRPr="00AB6B66" w:rsidRDefault="00E25110" w:rsidP="00AB6B66">
            <w:pPr>
              <w:pStyle w:val="TableHeading"/>
            </w:pPr>
            <w:r w:rsidRPr="00AB6B66">
              <w:t>Term</w:t>
            </w:r>
          </w:p>
        </w:tc>
        <w:tc>
          <w:tcPr>
            <w:tcW w:w="3977" w:type="dxa"/>
          </w:tcPr>
          <w:p w14:paraId="586CB02B" w14:textId="65764B4E" w:rsidR="00E25110" w:rsidRPr="00AB6B66" w:rsidRDefault="00E25110" w:rsidP="00E25110">
            <w:pPr>
              <w:pStyle w:val="TableHeading"/>
            </w:pPr>
            <w:r w:rsidRPr="00AB6B66">
              <w:t>Definition</w:t>
            </w:r>
          </w:p>
        </w:tc>
        <w:tc>
          <w:tcPr>
            <w:tcW w:w="3683" w:type="dxa"/>
          </w:tcPr>
          <w:p w14:paraId="579B07E3" w14:textId="0C0A1167" w:rsidR="00E25110" w:rsidRPr="00AB6B66" w:rsidRDefault="00E25110" w:rsidP="00AB6B66">
            <w:pPr>
              <w:pStyle w:val="TableHeading"/>
            </w:pPr>
            <w:r>
              <w:t>Role and responsibilities</w:t>
            </w:r>
          </w:p>
        </w:tc>
      </w:tr>
      <w:tr w:rsidR="00E25110" w:rsidRPr="00AB6B66" w14:paraId="09BE8C01" w14:textId="718A8300" w:rsidTr="007004C3">
        <w:trPr>
          <w:cantSplit/>
          <w:tblHeader/>
        </w:trPr>
        <w:tc>
          <w:tcPr>
            <w:tcW w:w="1410" w:type="dxa"/>
          </w:tcPr>
          <w:p w14:paraId="49ED8B03" w14:textId="77777777" w:rsidR="00E25110" w:rsidRPr="00AB6B66" w:rsidRDefault="00E25110" w:rsidP="00AB6B66">
            <w:pPr>
              <w:pStyle w:val="TableText"/>
            </w:pPr>
            <w:r w:rsidRPr="00AB6B66">
              <w:t>Manager</w:t>
            </w:r>
          </w:p>
        </w:tc>
        <w:tc>
          <w:tcPr>
            <w:tcW w:w="3977" w:type="dxa"/>
          </w:tcPr>
          <w:p w14:paraId="62676521" w14:textId="2AFB61BF" w:rsidR="00E25110" w:rsidRDefault="00E25110" w:rsidP="00AB6B66">
            <w:pPr>
              <w:pStyle w:val="TableText"/>
            </w:pPr>
            <w:r w:rsidRPr="00AB6B66">
              <w:t>Those persons who have responsibility for supervising or managing other persons in the department.</w:t>
            </w:r>
          </w:p>
          <w:p w14:paraId="38FAD4B2" w14:textId="3DD8ABAC" w:rsidR="00E25110" w:rsidRPr="00AB6B66" w:rsidRDefault="00E25110" w:rsidP="00AB6B66">
            <w:pPr>
              <w:pStyle w:val="TableText"/>
            </w:pPr>
            <w:r>
              <w:t>A</w:t>
            </w:r>
            <w:r w:rsidRPr="00D81BB2">
              <w:t xml:space="preserve"> manager could be someone from an APS 5 level up to a senior executive level.</w:t>
            </w:r>
          </w:p>
        </w:tc>
        <w:tc>
          <w:tcPr>
            <w:tcW w:w="3683" w:type="dxa"/>
          </w:tcPr>
          <w:p w14:paraId="69D09AA6" w14:textId="52D483FF" w:rsidR="00E25110" w:rsidRPr="00AB6B66" w:rsidRDefault="00E25110" w:rsidP="00AB6B66">
            <w:pPr>
              <w:pStyle w:val="TableText"/>
            </w:pPr>
            <w:r w:rsidRPr="00836FEF">
              <w:t xml:space="preserve">Managers will comply with the HSMS to assist the department and </w:t>
            </w:r>
            <w:r>
              <w:t>o</w:t>
            </w:r>
            <w:r w:rsidRPr="00836FEF">
              <w:t>fficers to meet all health and safety obligations</w:t>
            </w:r>
          </w:p>
        </w:tc>
      </w:tr>
      <w:tr w:rsidR="00E25110" w:rsidRPr="00AB6B66" w14:paraId="51E7B236" w14:textId="02C9B1B1" w:rsidTr="007004C3">
        <w:trPr>
          <w:cantSplit/>
          <w:tblHeader/>
        </w:trPr>
        <w:tc>
          <w:tcPr>
            <w:tcW w:w="1410" w:type="dxa"/>
          </w:tcPr>
          <w:p w14:paraId="6BD0FC43" w14:textId="77777777" w:rsidR="00E25110" w:rsidRPr="00AB6B66" w:rsidRDefault="00E25110" w:rsidP="00AB6B66">
            <w:pPr>
              <w:pStyle w:val="TableText"/>
            </w:pPr>
            <w:r w:rsidRPr="00AB6B66">
              <w:t>Officer</w:t>
            </w:r>
          </w:p>
        </w:tc>
        <w:tc>
          <w:tcPr>
            <w:tcW w:w="3977" w:type="dxa"/>
          </w:tcPr>
          <w:p w14:paraId="72F0998C" w14:textId="08E1B063" w:rsidR="00E25110" w:rsidRDefault="00E25110" w:rsidP="00AB6B66">
            <w:pPr>
              <w:pStyle w:val="TableText"/>
            </w:pPr>
            <w:r w:rsidRPr="00AB6B66">
              <w:t>A person who makes, or participates in making, decisions that affect the whole, or a substantial part, of the business or undertaking.</w:t>
            </w:r>
          </w:p>
          <w:p w14:paraId="06981DCF" w14:textId="2E056D4D" w:rsidR="00E25110" w:rsidRDefault="00E25110" w:rsidP="00AB6B66">
            <w:pPr>
              <w:pStyle w:val="TableText"/>
            </w:pPr>
            <w:r>
              <w:t>Officers are likely to be:</w:t>
            </w:r>
          </w:p>
          <w:p w14:paraId="60DA4225" w14:textId="4013DF2C" w:rsidR="00E25110" w:rsidRDefault="00E25110" w:rsidP="00836FEF">
            <w:pPr>
              <w:pStyle w:val="TableBullet1"/>
            </w:pPr>
            <w:r>
              <w:t>the secretary</w:t>
            </w:r>
          </w:p>
          <w:p w14:paraId="029B83B0" w14:textId="3092F093" w:rsidR="00E25110" w:rsidRDefault="00E25110" w:rsidP="00836FEF">
            <w:pPr>
              <w:pStyle w:val="TableBullet1"/>
            </w:pPr>
            <w:r>
              <w:t>deputy secretaries</w:t>
            </w:r>
          </w:p>
          <w:p w14:paraId="4AAEFC7E" w14:textId="51FB719A" w:rsidR="00E25110" w:rsidRDefault="00E25110" w:rsidP="00836FEF">
            <w:pPr>
              <w:pStyle w:val="TableBullet1"/>
            </w:pPr>
            <w:r>
              <w:t>first assistant secretaries</w:t>
            </w:r>
          </w:p>
          <w:p w14:paraId="4B6A8E73" w14:textId="20E0B648" w:rsidR="00E25110" w:rsidRPr="00027957" w:rsidRDefault="00E25110" w:rsidP="00027957">
            <w:pPr>
              <w:pStyle w:val="TableBullet1"/>
            </w:pPr>
            <w:proofErr w:type="gramStart"/>
            <w:r>
              <w:t>other</w:t>
            </w:r>
            <w:proofErr w:type="gramEnd"/>
            <w:r>
              <w:t xml:space="preserve"> senior executives that make or participate in making decisions that affect the whole or substantial part of the department.</w:t>
            </w:r>
          </w:p>
        </w:tc>
        <w:tc>
          <w:tcPr>
            <w:tcW w:w="3683" w:type="dxa"/>
          </w:tcPr>
          <w:p w14:paraId="0EB28F8C" w14:textId="7F03AB1C" w:rsidR="00E25110" w:rsidRPr="00AB6B66" w:rsidRDefault="00E25110" w:rsidP="00AB6B66">
            <w:pPr>
              <w:pStyle w:val="TableText"/>
            </w:pPr>
            <w:r w:rsidRPr="00027957">
              <w:t>Officers have certain duties and obligations as set out in the WHS Act including exercising due diligence to ensure the department complies with its health and safety obligations</w:t>
            </w:r>
            <w:r>
              <w:t>.</w:t>
            </w:r>
          </w:p>
        </w:tc>
      </w:tr>
      <w:tr w:rsidR="00E25110" w:rsidRPr="00AB6B66" w14:paraId="05E6075D" w14:textId="7339A2D5" w:rsidTr="007004C3">
        <w:trPr>
          <w:cantSplit/>
          <w:tblHeader/>
        </w:trPr>
        <w:tc>
          <w:tcPr>
            <w:tcW w:w="1410" w:type="dxa"/>
          </w:tcPr>
          <w:p w14:paraId="5CB62A9E" w14:textId="64B53740" w:rsidR="00E25110" w:rsidRPr="00AB6B66" w:rsidRDefault="00E25110" w:rsidP="00AB6B66">
            <w:pPr>
              <w:pStyle w:val="TableText"/>
            </w:pPr>
            <w:r>
              <w:t>Other persons</w:t>
            </w:r>
          </w:p>
        </w:tc>
        <w:tc>
          <w:tcPr>
            <w:tcW w:w="3977" w:type="dxa"/>
          </w:tcPr>
          <w:p w14:paraId="70E512D9" w14:textId="1F10F03E" w:rsidR="00E25110" w:rsidRDefault="00E25110" w:rsidP="00027957">
            <w:pPr>
              <w:pStyle w:val="TableText"/>
            </w:pPr>
            <w:r>
              <w:t>Other persons include:</w:t>
            </w:r>
          </w:p>
          <w:p w14:paraId="3D39F9A7" w14:textId="55386AD4" w:rsidR="00E25110" w:rsidRDefault="00E25110" w:rsidP="00836FEF">
            <w:pPr>
              <w:pStyle w:val="TableBullet1"/>
            </w:pPr>
            <w:r>
              <w:t>visitors to a department controlled workplace</w:t>
            </w:r>
          </w:p>
          <w:p w14:paraId="538DE70F" w14:textId="358613A6" w:rsidR="00E25110" w:rsidRPr="00AB6B66" w:rsidRDefault="00E25110" w:rsidP="00E25110">
            <w:pPr>
              <w:pStyle w:val="TableBullet1"/>
            </w:pPr>
            <w:proofErr w:type="gramStart"/>
            <w:r>
              <w:t>department</w:t>
            </w:r>
            <w:proofErr w:type="gramEnd"/>
            <w:r>
              <w:t xml:space="preserve"> workers visiting other workplaces.</w:t>
            </w:r>
          </w:p>
        </w:tc>
        <w:tc>
          <w:tcPr>
            <w:tcW w:w="3683" w:type="dxa"/>
          </w:tcPr>
          <w:p w14:paraId="4EED6CEE" w14:textId="77777777" w:rsidR="00E25110" w:rsidRDefault="00E25110" w:rsidP="00E25110">
            <w:pPr>
              <w:pStyle w:val="TableText"/>
            </w:pPr>
            <w:r>
              <w:t>Other persons must take reasonable care to:</w:t>
            </w:r>
          </w:p>
          <w:p w14:paraId="0578C639" w14:textId="77777777" w:rsidR="00E25110" w:rsidRDefault="00E25110" w:rsidP="00E25110">
            <w:pPr>
              <w:pStyle w:val="TableBullet1"/>
            </w:pPr>
            <w:r>
              <w:t>ensure their own health and safety and the safety of others in the workplace</w:t>
            </w:r>
          </w:p>
          <w:p w14:paraId="0528C656" w14:textId="0559316F" w:rsidR="00E25110" w:rsidRDefault="00E25110" w:rsidP="00E25110">
            <w:pPr>
              <w:pStyle w:val="TableBullet1"/>
            </w:pPr>
            <w:proofErr w:type="gramStart"/>
            <w:r>
              <w:t>comply</w:t>
            </w:r>
            <w:proofErr w:type="gramEnd"/>
            <w:r>
              <w:t xml:space="preserve"> as far as reasonably able with any reasonable instruction by a person conducting the business.</w:t>
            </w:r>
          </w:p>
        </w:tc>
      </w:tr>
      <w:tr w:rsidR="00E25110" w:rsidRPr="00AB6B66" w14:paraId="639D9660" w14:textId="084D7596" w:rsidTr="007004C3">
        <w:trPr>
          <w:cantSplit/>
          <w:tblHeader/>
        </w:trPr>
        <w:tc>
          <w:tcPr>
            <w:tcW w:w="1410" w:type="dxa"/>
          </w:tcPr>
          <w:p w14:paraId="05621EB3" w14:textId="2F9EDCE2" w:rsidR="00E25110" w:rsidRDefault="00E25110" w:rsidP="00AB6B66">
            <w:pPr>
              <w:pStyle w:val="TableText"/>
            </w:pPr>
            <w:r>
              <w:t>Workers</w:t>
            </w:r>
          </w:p>
        </w:tc>
        <w:tc>
          <w:tcPr>
            <w:tcW w:w="3977" w:type="dxa"/>
          </w:tcPr>
          <w:p w14:paraId="75085CD5" w14:textId="213EE583" w:rsidR="00E25110" w:rsidRDefault="00E25110" w:rsidP="00836FEF">
            <w:pPr>
              <w:pStyle w:val="TableText"/>
            </w:pPr>
            <w:r>
              <w:t>Refers to a person who carries out work in any capacity for the department, including work as:</w:t>
            </w:r>
          </w:p>
          <w:p w14:paraId="56F59658" w14:textId="5952A50C" w:rsidR="00E25110" w:rsidRDefault="00E25110" w:rsidP="00836FEF">
            <w:pPr>
              <w:pStyle w:val="TableBullet1"/>
            </w:pPr>
            <w:r>
              <w:t>an employee</w:t>
            </w:r>
          </w:p>
          <w:p w14:paraId="269587E2" w14:textId="5DBF25B0" w:rsidR="00E25110" w:rsidRDefault="00E25110" w:rsidP="00836FEF">
            <w:pPr>
              <w:pStyle w:val="TableBullet1"/>
            </w:pPr>
            <w:r>
              <w:t>a contractor or subcontractor</w:t>
            </w:r>
          </w:p>
          <w:p w14:paraId="518AC1BE" w14:textId="21BAE9A5" w:rsidR="00E25110" w:rsidRDefault="00E25110" w:rsidP="00836FEF">
            <w:pPr>
              <w:pStyle w:val="TableBullet1"/>
            </w:pPr>
            <w:r>
              <w:t>an employee of a contractor or subcontractor</w:t>
            </w:r>
          </w:p>
          <w:p w14:paraId="53376B4A" w14:textId="5952A5E4" w:rsidR="00E25110" w:rsidRDefault="00E25110" w:rsidP="00836FEF">
            <w:pPr>
              <w:pStyle w:val="TableBullet1"/>
            </w:pPr>
            <w:r>
              <w:t>an employee of a labour hire company who has been assigned to work in the Department</w:t>
            </w:r>
          </w:p>
          <w:p w14:paraId="101BEAD9" w14:textId="77777777" w:rsidR="00E25110" w:rsidRDefault="00E25110" w:rsidP="00836FEF">
            <w:pPr>
              <w:pStyle w:val="TableBullet1"/>
            </w:pPr>
            <w:r>
              <w:t>an outworker</w:t>
            </w:r>
          </w:p>
          <w:p w14:paraId="1A0D4F11" w14:textId="39926FBF" w:rsidR="00E25110" w:rsidRDefault="00E25110" w:rsidP="00836FEF">
            <w:pPr>
              <w:pStyle w:val="TableBullet1"/>
            </w:pPr>
            <w:r>
              <w:t>an apprentice or trainee</w:t>
            </w:r>
          </w:p>
          <w:p w14:paraId="0B9EF68D" w14:textId="415386E4" w:rsidR="00E25110" w:rsidRDefault="00E25110" w:rsidP="00836FEF">
            <w:pPr>
              <w:pStyle w:val="TableBullet1"/>
            </w:pPr>
            <w:r>
              <w:t>a student gaining work experience</w:t>
            </w:r>
          </w:p>
          <w:p w14:paraId="2040738C" w14:textId="78109139" w:rsidR="00E25110" w:rsidRDefault="00E25110" w:rsidP="00E25110">
            <w:pPr>
              <w:pStyle w:val="TableBullet1"/>
            </w:pPr>
            <w:proofErr w:type="gramStart"/>
            <w:r>
              <w:t>a</w:t>
            </w:r>
            <w:proofErr w:type="gramEnd"/>
            <w:r>
              <w:t xml:space="preserve"> volunteer.</w:t>
            </w:r>
          </w:p>
        </w:tc>
        <w:tc>
          <w:tcPr>
            <w:tcW w:w="3683" w:type="dxa"/>
          </w:tcPr>
          <w:p w14:paraId="36ECC159" w14:textId="77777777" w:rsidR="00E25110" w:rsidRDefault="00E25110" w:rsidP="00E25110">
            <w:pPr>
              <w:pStyle w:val="TableText"/>
            </w:pPr>
            <w:r>
              <w:t>Workers will take reasonable care to:</w:t>
            </w:r>
          </w:p>
          <w:p w14:paraId="33C2398A" w14:textId="77777777" w:rsidR="00E25110" w:rsidRDefault="00E25110" w:rsidP="00E25110">
            <w:pPr>
              <w:pStyle w:val="TableBullet1"/>
            </w:pPr>
            <w:r>
              <w:t>ensure their own health and safety</w:t>
            </w:r>
          </w:p>
          <w:p w14:paraId="3D26448A" w14:textId="77777777" w:rsidR="00E25110" w:rsidRDefault="00E25110" w:rsidP="00E25110">
            <w:pPr>
              <w:pStyle w:val="TableBullet1"/>
            </w:pPr>
            <w:r>
              <w:t>the safety of others in the workplace</w:t>
            </w:r>
          </w:p>
          <w:p w14:paraId="00204112" w14:textId="77777777" w:rsidR="00E25110" w:rsidRDefault="00E25110" w:rsidP="00E25110">
            <w:pPr>
              <w:pStyle w:val="TableBullet1"/>
            </w:pPr>
            <w:r>
              <w:t>co-operate with health and safety guidelines, instructional material and procedures</w:t>
            </w:r>
          </w:p>
          <w:p w14:paraId="706D0855" w14:textId="77777777" w:rsidR="00E25110" w:rsidRDefault="00E25110" w:rsidP="00E25110">
            <w:pPr>
              <w:pStyle w:val="TableBullet1"/>
            </w:pPr>
            <w:r>
              <w:t>comply with any reasonable instruction given in relation to health and safety to enable the department to meet its obligations under the WHS Act</w:t>
            </w:r>
          </w:p>
          <w:p w14:paraId="1EA4B2A4" w14:textId="21E598F2" w:rsidR="00E25110" w:rsidRDefault="00E25110" w:rsidP="00E25110">
            <w:pPr>
              <w:pStyle w:val="TableBullet1"/>
            </w:pPr>
            <w:proofErr w:type="gramStart"/>
            <w:r>
              <w:t>comply</w:t>
            </w:r>
            <w:proofErr w:type="gramEnd"/>
            <w:r>
              <w:t xml:space="preserve"> with any reasonable instruction given in relation to health and safety to enable a third party to meet its obligations under the WHS Act.</w:t>
            </w:r>
          </w:p>
        </w:tc>
      </w:tr>
    </w:tbl>
    <w:p w14:paraId="20C1A27A" w14:textId="77777777" w:rsidR="00027957" w:rsidRDefault="00027957" w:rsidP="00027957">
      <w:pPr>
        <w:pStyle w:val="FigureTableNoteSource"/>
        <w:rPr>
          <w:lang w:eastAsia="ja-JP"/>
        </w:rPr>
      </w:pPr>
      <w:r w:rsidRPr="0032337E">
        <w:rPr>
          <w:lang w:eastAsia="ja-JP"/>
        </w:rPr>
        <w:t>Note: WHS responsibilities of people and their positions in the department should be included in the position role profile.</w:t>
      </w:r>
    </w:p>
    <w:p w14:paraId="3941298C" w14:textId="11E1983B" w:rsidR="00777BB7" w:rsidRDefault="00836FEF" w:rsidP="00836FEF">
      <w:pPr>
        <w:pStyle w:val="Heading2"/>
        <w:numPr>
          <w:ilvl w:val="0"/>
          <w:numId w:val="0"/>
        </w:numPr>
        <w:ind w:left="720" w:hanging="720"/>
      </w:pPr>
      <w:bookmarkStart w:id="4" w:name="_Toc18932490"/>
      <w:r>
        <w:lastRenderedPageBreak/>
        <w:t>Policy statement</w:t>
      </w:r>
      <w:bookmarkEnd w:id="4"/>
    </w:p>
    <w:p w14:paraId="19251426" w14:textId="4BFBC1B0" w:rsidR="00836FEF" w:rsidRDefault="003E557C" w:rsidP="00836FEF">
      <w:pPr>
        <w:rPr>
          <w:lang w:eastAsia="ja-JP"/>
        </w:rPr>
      </w:pPr>
      <w:r w:rsidRPr="003E557C">
        <w:rPr>
          <w:lang w:eastAsia="ja-JP"/>
        </w:rPr>
        <w:t>The Department of Agriculture safeguards the health, safety and wellbeing of our people, our visitors and others who work for us and with us. This is a collective responsibility. We all play an important role in building and maintaining a physical and mentally healthy work environment by caring for one another and always putting safety first.</w:t>
      </w:r>
    </w:p>
    <w:p w14:paraId="3A8B6D01" w14:textId="6EEEF9A7" w:rsidR="00836FEF" w:rsidRPr="00836FEF" w:rsidRDefault="003E557C" w:rsidP="00836FEF">
      <w:pPr>
        <w:rPr>
          <w:lang w:eastAsia="ja-JP"/>
        </w:rPr>
      </w:pPr>
      <w:r w:rsidRPr="003E557C">
        <w:rPr>
          <w:lang w:eastAsia="ja-JP"/>
        </w:rPr>
        <w:t>The department demonstrates its commitment to providing a safe workplace for our people and meeting its requirements under the Work Health and Safety Act 2011 (Cth) (WHS Act) by having a Health and Safety Management System (HSMS) compliant with relevant Australian and international standards.</w:t>
      </w:r>
    </w:p>
    <w:p w14:paraId="0B36BBEB" w14:textId="1531C889" w:rsidR="00CE2C52" w:rsidRDefault="00836FEF" w:rsidP="00836FEF">
      <w:pPr>
        <w:pStyle w:val="Heading2"/>
        <w:numPr>
          <w:ilvl w:val="0"/>
          <w:numId w:val="0"/>
        </w:numPr>
        <w:ind w:left="720" w:hanging="720"/>
      </w:pPr>
      <w:bookmarkStart w:id="5" w:name="_Toc18932491"/>
      <w:r>
        <w:t>Objective of this policy</w:t>
      </w:r>
      <w:bookmarkEnd w:id="5"/>
    </w:p>
    <w:p w14:paraId="1EC440FB" w14:textId="75914B50" w:rsidR="00836FEF" w:rsidRDefault="004B5178" w:rsidP="00836FEF">
      <w:pPr>
        <w:rPr>
          <w:lang w:eastAsia="ja-JP"/>
        </w:rPr>
      </w:pPr>
      <w:r>
        <w:rPr>
          <w:lang w:eastAsia="ja-JP"/>
        </w:rPr>
        <w:t xml:space="preserve">This policy </w:t>
      </w:r>
      <w:r w:rsidR="00836FEF" w:rsidRPr="00836FEF">
        <w:rPr>
          <w:lang w:eastAsia="ja-JP"/>
        </w:rPr>
        <w:t>outline</w:t>
      </w:r>
      <w:r>
        <w:rPr>
          <w:lang w:eastAsia="ja-JP"/>
        </w:rPr>
        <w:t>s</w:t>
      </w:r>
      <w:r w:rsidR="00836FEF" w:rsidRPr="00836FEF">
        <w:rPr>
          <w:lang w:eastAsia="ja-JP"/>
        </w:rPr>
        <w:t xml:space="preserve"> </w:t>
      </w:r>
      <w:r>
        <w:rPr>
          <w:lang w:eastAsia="ja-JP"/>
        </w:rPr>
        <w:t>our</w:t>
      </w:r>
      <w:r w:rsidRPr="00836FEF">
        <w:rPr>
          <w:lang w:eastAsia="ja-JP"/>
        </w:rPr>
        <w:t xml:space="preserve"> </w:t>
      </w:r>
      <w:r w:rsidR="00836FEF" w:rsidRPr="00836FEF">
        <w:rPr>
          <w:lang w:eastAsia="ja-JP"/>
        </w:rPr>
        <w:t xml:space="preserve">commitment to keeping our people mentally and </w:t>
      </w:r>
      <w:r w:rsidR="0032337E" w:rsidRPr="00836FEF">
        <w:rPr>
          <w:lang w:eastAsia="ja-JP"/>
        </w:rPr>
        <w:t>physically</w:t>
      </w:r>
      <w:r w:rsidR="00836FEF" w:rsidRPr="00836FEF">
        <w:rPr>
          <w:lang w:eastAsia="ja-JP"/>
        </w:rPr>
        <w:t xml:space="preserve"> healthy and safe. This commitment demonstrates a culture where we care for our people</w:t>
      </w:r>
      <w:r w:rsidR="00836FEF">
        <w:rPr>
          <w:lang w:eastAsia="ja-JP"/>
        </w:rPr>
        <w:t>.</w:t>
      </w:r>
    </w:p>
    <w:p w14:paraId="0CCBB7F8" w14:textId="5E6D9DBD" w:rsidR="0032337E" w:rsidRDefault="004B5178" w:rsidP="0032337E">
      <w:pPr>
        <w:pStyle w:val="Heading2"/>
        <w:numPr>
          <w:ilvl w:val="0"/>
          <w:numId w:val="0"/>
        </w:numPr>
        <w:ind w:left="720" w:hanging="720"/>
      </w:pPr>
      <w:bookmarkStart w:id="6" w:name="_Toc18932492"/>
      <w:r>
        <w:t>Our</w:t>
      </w:r>
      <w:r w:rsidR="0032337E">
        <w:t xml:space="preserve"> commitment</w:t>
      </w:r>
      <w:bookmarkEnd w:id="6"/>
    </w:p>
    <w:p w14:paraId="0900D83B" w14:textId="546631D8" w:rsidR="0032337E" w:rsidRDefault="003E557C" w:rsidP="0032337E">
      <w:pPr>
        <w:rPr>
          <w:lang w:eastAsia="ja-JP"/>
        </w:rPr>
      </w:pPr>
      <w:r w:rsidRPr="003E557C">
        <w:rPr>
          <w:lang w:eastAsia="ja-JP"/>
        </w:rPr>
        <w:t>The department is committed to providing a physically and mentally healthy and safe working environment for our people and those that work for us and with us. We do this by:</w:t>
      </w:r>
    </w:p>
    <w:p w14:paraId="12D27178" w14:textId="77777777" w:rsidR="003E557C" w:rsidRDefault="003E557C" w:rsidP="003E557C">
      <w:pPr>
        <w:pStyle w:val="ListBullet"/>
        <w:rPr>
          <w:lang w:eastAsia="ja-JP"/>
        </w:rPr>
      </w:pPr>
      <w:r>
        <w:rPr>
          <w:lang w:eastAsia="ja-JP"/>
        </w:rPr>
        <w:t>establishing a clear policy framework that supports setting health and safety objectives</w:t>
      </w:r>
    </w:p>
    <w:p w14:paraId="2E57D672" w14:textId="77777777" w:rsidR="003E557C" w:rsidRDefault="003E557C" w:rsidP="003E557C">
      <w:pPr>
        <w:pStyle w:val="ListBullet"/>
        <w:rPr>
          <w:lang w:eastAsia="ja-JP"/>
        </w:rPr>
      </w:pPr>
      <w:r>
        <w:rPr>
          <w:lang w:eastAsia="ja-JP"/>
        </w:rPr>
        <w:t>building a workplace cultu</w:t>
      </w:r>
      <w:bookmarkStart w:id="7" w:name="_GoBack"/>
      <w:bookmarkEnd w:id="7"/>
      <w:r>
        <w:rPr>
          <w:lang w:eastAsia="ja-JP"/>
        </w:rPr>
        <w:t>re where safety is prioritised and we take care of each other</w:t>
      </w:r>
    </w:p>
    <w:p w14:paraId="7ACAA2AF" w14:textId="77777777" w:rsidR="003E557C" w:rsidRDefault="003E557C" w:rsidP="003E557C">
      <w:pPr>
        <w:pStyle w:val="ListBullet"/>
        <w:rPr>
          <w:lang w:eastAsia="ja-JP"/>
        </w:rPr>
      </w:pPr>
      <w:r>
        <w:rPr>
          <w:lang w:eastAsia="ja-JP"/>
        </w:rPr>
        <w:t>taking all reasonably practicable measures to eliminate or, where that is not possible, minimise risks to the physical and mental health, safety and wellbeing of workers using the hierarchy of controls</w:t>
      </w:r>
    </w:p>
    <w:p w14:paraId="4AD01A85" w14:textId="3FE218C7" w:rsidR="003E557C" w:rsidRDefault="009A24EA" w:rsidP="003E557C">
      <w:pPr>
        <w:pStyle w:val="ListBullet"/>
        <w:rPr>
          <w:lang w:eastAsia="ja-JP"/>
        </w:rPr>
      </w:pPr>
      <w:r>
        <w:rPr>
          <w:lang w:eastAsia="ja-JP"/>
        </w:rPr>
        <w:t>providing</w:t>
      </w:r>
      <w:r w:rsidR="003E557C">
        <w:rPr>
          <w:lang w:eastAsia="ja-JP"/>
        </w:rPr>
        <w:t xml:space="preserve"> health and safety training </w:t>
      </w:r>
      <w:r w:rsidR="00C36747">
        <w:rPr>
          <w:lang w:eastAsia="ja-JP"/>
        </w:rPr>
        <w:t xml:space="preserve">in a variety of formats </w:t>
      </w:r>
      <w:r w:rsidR="003E557C">
        <w:rPr>
          <w:lang w:eastAsia="ja-JP"/>
        </w:rPr>
        <w:t xml:space="preserve">and wellbeing programs to </w:t>
      </w:r>
      <w:r w:rsidR="00C36747">
        <w:rPr>
          <w:lang w:eastAsia="ja-JP"/>
        </w:rPr>
        <w:t>our people</w:t>
      </w:r>
    </w:p>
    <w:p w14:paraId="2C963F67" w14:textId="77777777" w:rsidR="003E557C" w:rsidRDefault="003E557C" w:rsidP="003E557C">
      <w:pPr>
        <w:pStyle w:val="ListBullet"/>
        <w:rPr>
          <w:lang w:eastAsia="ja-JP"/>
        </w:rPr>
      </w:pPr>
      <w:r>
        <w:rPr>
          <w:lang w:eastAsia="ja-JP"/>
        </w:rPr>
        <w:t>focusing on both physical safety as well as mental health and wellbeing</w:t>
      </w:r>
    </w:p>
    <w:p w14:paraId="1B0B1927" w14:textId="77777777" w:rsidR="003E557C" w:rsidRDefault="003E557C" w:rsidP="003E557C">
      <w:pPr>
        <w:pStyle w:val="ListBullet"/>
        <w:rPr>
          <w:lang w:eastAsia="ja-JP"/>
        </w:rPr>
      </w:pPr>
      <w:r>
        <w:rPr>
          <w:lang w:eastAsia="ja-JP"/>
        </w:rPr>
        <w:t>satisfying applicable legal and other requirements related to work health and safety</w:t>
      </w:r>
    </w:p>
    <w:p w14:paraId="13D0B2A1" w14:textId="77777777" w:rsidR="003E557C" w:rsidRDefault="003E557C" w:rsidP="003E557C">
      <w:pPr>
        <w:pStyle w:val="ListBullet"/>
        <w:rPr>
          <w:lang w:eastAsia="ja-JP"/>
        </w:rPr>
      </w:pPr>
      <w:r>
        <w:rPr>
          <w:lang w:eastAsia="ja-JP"/>
        </w:rPr>
        <w:t>driving continual improvement of health and safety management to enhance the health and safety of its workplaces, support those workers who do become injured/ill and reduce the human and financial costs of injury</w:t>
      </w:r>
    </w:p>
    <w:p w14:paraId="1A3ABA7C" w14:textId="48618C93" w:rsidR="0032337E" w:rsidRDefault="003E557C" w:rsidP="003E557C">
      <w:pPr>
        <w:pStyle w:val="ListBullet"/>
        <w:rPr>
          <w:lang w:eastAsia="ja-JP"/>
        </w:rPr>
      </w:pPr>
      <w:proofErr w:type="gramStart"/>
      <w:r>
        <w:rPr>
          <w:lang w:eastAsia="ja-JP"/>
        </w:rPr>
        <w:t>involving</w:t>
      </w:r>
      <w:proofErr w:type="gramEnd"/>
      <w:r>
        <w:rPr>
          <w:lang w:eastAsia="ja-JP"/>
        </w:rPr>
        <w:t xml:space="preserve"> workers and other stakeholders in health and safety decision-making processes through consultation and collaboration</w:t>
      </w:r>
      <w:r w:rsidR="0032337E">
        <w:rPr>
          <w:lang w:eastAsia="ja-JP"/>
        </w:rPr>
        <w:t>.</w:t>
      </w:r>
    </w:p>
    <w:p w14:paraId="5350DEE6" w14:textId="53377CE1" w:rsidR="0032337E" w:rsidRPr="0032337E" w:rsidRDefault="0032337E" w:rsidP="0032337E">
      <w:pPr>
        <w:rPr>
          <w:lang w:eastAsia="ja-JP"/>
        </w:rPr>
      </w:pPr>
      <w:r>
        <w:rPr>
          <w:lang w:eastAsia="ja-JP"/>
        </w:rPr>
        <w:t>This statement of policy confirms this commitment. Underpinning this policy are detailed processes and procedures.</w:t>
      </w:r>
    </w:p>
    <w:sectPr w:rsidR="0032337E" w:rsidRPr="0032337E">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6BE60" w14:textId="77777777" w:rsidR="00777BB7" w:rsidRDefault="00777BB7">
      <w:r>
        <w:separator/>
      </w:r>
    </w:p>
    <w:p w14:paraId="0B36BE61" w14:textId="77777777" w:rsidR="00777BB7" w:rsidRDefault="00777BB7"/>
    <w:p w14:paraId="0B36BE62" w14:textId="77777777" w:rsidR="00777BB7" w:rsidRDefault="00777BB7"/>
  </w:endnote>
  <w:endnote w:type="continuationSeparator" w:id="0">
    <w:p w14:paraId="0B36BE63" w14:textId="77777777" w:rsidR="00777BB7" w:rsidRDefault="00777BB7">
      <w:r>
        <w:continuationSeparator/>
      </w:r>
    </w:p>
    <w:p w14:paraId="0B36BE64" w14:textId="77777777" w:rsidR="00777BB7" w:rsidRDefault="00777BB7"/>
    <w:p w14:paraId="0B36BE65" w14:textId="77777777" w:rsidR="00777BB7" w:rsidRDefault="00777BB7"/>
  </w:endnote>
  <w:endnote w:type="continuationNotice" w:id="1">
    <w:p w14:paraId="0B36BE66" w14:textId="77777777" w:rsidR="00777BB7" w:rsidRDefault="00777BB7">
      <w:pPr>
        <w:pStyle w:val="Footer"/>
      </w:pPr>
    </w:p>
    <w:p w14:paraId="0B36BE67" w14:textId="77777777" w:rsidR="00777BB7" w:rsidRDefault="00777BB7"/>
    <w:p w14:paraId="0B36BE68" w14:textId="77777777" w:rsidR="00777BB7" w:rsidRDefault="00777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AB85E" w14:textId="77777777" w:rsidR="000578D3" w:rsidRDefault="00057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6BE6B" w14:textId="77777777" w:rsidR="00777BB7" w:rsidRDefault="00777BB7">
    <w:pPr>
      <w:pStyle w:val="Footer"/>
    </w:pPr>
    <w:r>
      <w:t>Department of Agriculture</w:t>
    </w:r>
  </w:p>
  <w:p w14:paraId="0B36BE6C" w14:textId="77777777" w:rsidR="00777BB7" w:rsidRDefault="00777BB7">
    <w:pPr>
      <w:pStyle w:val="Footer"/>
    </w:pPr>
    <w:r>
      <w:fldChar w:fldCharType="begin"/>
    </w:r>
    <w:r>
      <w:instrText xml:space="preserve"> PAGE   \* MERGEFORMAT </w:instrText>
    </w:r>
    <w:r>
      <w:fldChar w:fldCharType="separate"/>
    </w:r>
    <w:r w:rsidR="001D03F8">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32ACB" w14:textId="77777777" w:rsidR="000578D3" w:rsidRDefault="00057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6BE57" w14:textId="77777777" w:rsidR="00777BB7" w:rsidRDefault="00777BB7">
      <w:r>
        <w:separator/>
      </w:r>
    </w:p>
    <w:p w14:paraId="0B36BE58" w14:textId="77777777" w:rsidR="00777BB7" w:rsidRDefault="00777BB7"/>
    <w:p w14:paraId="0B36BE59" w14:textId="77777777" w:rsidR="00777BB7" w:rsidRDefault="00777BB7"/>
  </w:footnote>
  <w:footnote w:type="continuationSeparator" w:id="0">
    <w:p w14:paraId="0B36BE5A" w14:textId="77777777" w:rsidR="00777BB7" w:rsidRDefault="00777BB7">
      <w:r>
        <w:continuationSeparator/>
      </w:r>
    </w:p>
    <w:p w14:paraId="0B36BE5B" w14:textId="77777777" w:rsidR="00777BB7" w:rsidRDefault="00777BB7"/>
    <w:p w14:paraId="0B36BE5C" w14:textId="77777777" w:rsidR="00777BB7" w:rsidRDefault="00777BB7"/>
  </w:footnote>
  <w:footnote w:type="continuationNotice" w:id="1">
    <w:p w14:paraId="0B36BE5D" w14:textId="77777777" w:rsidR="00777BB7" w:rsidRDefault="00777BB7">
      <w:pPr>
        <w:pStyle w:val="Footer"/>
      </w:pPr>
    </w:p>
    <w:p w14:paraId="0B36BE5E" w14:textId="77777777" w:rsidR="00777BB7" w:rsidRDefault="00777BB7"/>
    <w:p w14:paraId="0B36BE5F" w14:textId="77777777" w:rsidR="00777BB7" w:rsidRDefault="00777B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2A3D2" w14:textId="77777777" w:rsidR="000578D3" w:rsidRDefault="000578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6BE6A" w14:textId="6A65EC09" w:rsidR="00777BB7" w:rsidRDefault="00777BB7">
    <w:pPr>
      <w:pStyle w:val="Header"/>
    </w:pPr>
    <w:r>
      <w:t>Health and safety management departmental policy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6BE6D" w14:textId="79E0D24C" w:rsidR="00777BB7" w:rsidRDefault="00777BB7">
    <w:pPr>
      <w:pStyle w:val="Header"/>
      <w:jc w:val="left"/>
    </w:pPr>
    <w:r>
      <w:rPr>
        <w:noProof/>
        <w:lang w:eastAsia="en-AU"/>
      </w:rPr>
      <w:drawing>
        <wp:inline distT="0" distB="0" distL="0" distR="0" wp14:anchorId="0B36BE70" wp14:editId="0B36BE71">
          <wp:extent cx="2316480" cy="637247"/>
          <wp:effectExtent l="0" t="0" r="7620" b="0"/>
          <wp:docPr id="8" name="Picture 8" descr="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6372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7F47BA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65603C"/>
    <w:multiLevelType w:val="hybridMultilevel"/>
    <w:tmpl w:val="7E8ADA86"/>
    <w:lvl w:ilvl="0" w:tplc="5BA439E8">
      <w:start w:val="1"/>
      <w:numFmt w:val="bullet"/>
      <w:lvlText w:val=""/>
      <w:lvlJc w:val="left"/>
      <w:pPr>
        <w:ind w:left="720" w:hanging="360"/>
      </w:pPr>
      <w:rPr>
        <w:rFonts w:ascii="Symbol" w:hAnsi="Symbol" w:hint="default"/>
      </w:rPr>
    </w:lvl>
    <w:lvl w:ilvl="1" w:tplc="02BAE106" w:tentative="1">
      <w:start w:val="1"/>
      <w:numFmt w:val="bullet"/>
      <w:lvlText w:val="o"/>
      <w:lvlJc w:val="left"/>
      <w:pPr>
        <w:ind w:left="1440" w:hanging="360"/>
      </w:pPr>
      <w:rPr>
        <w:rFonts w:ascii="Courier New" w:hAnsi="Courier New" w:cs="Courier New" w:hint="default"/>
      </w:rPr>
    </w:lvl>
    <w:lvl w:ilvl="2" w:tplc="46F0E4F6" w:tentative="1">
      <w:start w:val="1"/>
      <w:numFmt w:val="bullet"/>
      <w:lvlText w:val=""/>
      <w:lvlJc w:val="left"/>
      <w:pPr>
        <w:ind w:left="2160" w:hanging="360"/>
      </w:pPr>
      <w:rPr>
        <w:rFonts w:ascii="Wingdings" w:hAnsi="Wingdings" w:hint="default"/>
      </w:rPr>
    </w:lvl>
    <w:lvl w:ilvl="3" w:tplc="71F675BC" w:tentative="1">
      <w:start w:val="1"/>
      <w:numFmt w:val="bullet"/>
      <w:lvlText w:val=""/>
      <w:lvlJc w:val="left"/>
      <w:pPr>
        <w:ind w:left="2880" w:hanging="360"/>
      </w:pPr>
      <w:rPr>
        <w:rFonts w:ascii="Symbol" w:hAnsi="Symbol" w:hint="default"/>
      </w:rPr>
    </w:lvl>
    <w:lvl w:ilvl="4" w:tplc="4B046FE8" w:tentative="1">
      <w:start w:val="1"/>
      <w:numFmt w:val="bullet"/>
      <w:lvlText w:val="o"/>
      <w:lvlJc w:val="left"/>
      <w:pPr>
        <w:ind w:left="3600" w:hanging="360"/>
      </w:pPr>
      <w:rPr>
        <w:rFonts w:ascii="Courier New" w:hAnsi="Courier New" w:cs="Courier New" w:hint="default"/>
      </w:rPr>
    </w:lvl>
    <w:lvl w:ilvl="5" w:tplc="80EEB312" w:tentative="1">
      <w:start w:val="1"/>
      <w:numFmt w:val="bullet"/>
      <w:lvlText w:val=""/>
      <w:lvlJc w:val="left"/>
      <w:pPr>
        <w:ind w:left="4320" w:hanging="360"/>
      </w:pPr>
      <w:rPr>
        <w:rFonts w:ascii="Wingdings" w:hAnsi="Wingdings" w:hint="default"/>
      </w:rPr>
    </w:lvl>
    <w:lvl w:ilvl="6" w:tplc="63D67954" w:tentative="1">
      <w:start w:val="1"/>
      <w:numFmt w:val="bullet"/>
      <w:lvlText w:val=""/>
      <w:lvlJc w:val="left"/>
      <w:pPr>
        <w:ind w:left="5040" w:hanging="360"/>
      </w:pPr>
      <w:rPr>
        <w:rFonts w:ascii="Symbol" w:hAnsi="Symbol" w:hint="default"/>
      </w:rPr>
    </w:lvl>
    <w:lvl w:ilvl="7" w:tplc="1D34B078" w:tentative="1">
      <w:start w:val="1"/>
      <w:numFmt w:val="bullet"/>
      <w:lvlText w:val="o"/>
      <w:lvlJc w:val="left"/>
      <w:pPr>
        <w:ind w:left="5760" w:hanging="360"/>
      </w:pPr>
      <w:rPr>
        <w:rFonts w:ascii="Courier New" w:hAnsi="Courier New" w:cs="Courier New" w:hint="default"/>
      </w:rPr>
    </w:lvl>
    <w:lvl w:ilvl="8" w:tplc="83D2AF24" w:tentative="1">
      <w:start w:val="1"/>
      <w:numFmt w:val="bullet"/>
      <w:lvlText w:val=""/>
      <w:lvlJc w:val="left"/>
      <w:pPr>
        <w:ind w:left="6480" w:hanging="360"/>
      </w:pPr>
      <w:rPr>
        <w:rFonts w:ascii="Wingdings" w:hAnsi="Wingding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A0241B28"/>
    <w:numStyleLink w:val="List1"/>
  </w:abstractNum>
  <w:num w:numId="1">
    <w:abstractNumId w:val="6"/>
  </w:num>
  <w:num w:numId="2">
    <w:abstractNumId w:val="17"/>
  </w:num>
  <w:num w:numId="3">
    <w:abstractNumId w:val="18"/>
  </w:num>
  <w:num w:numId="4">
    <w:abstractNumId w:val="9"/>
  </w:num>
  <w:num w:numId="5">
    <w:abstractNumId w:val="23"/>
  </w:num>
  <w:num w:numId="6">
    <w:abstractNumId w:val="24"/>
  </w:num>
  <w:num w:numId="7">
    <w:abstractNumId w:val="7"/>
  </w:num>
  <w:num w:numId="8">
    <w:abstractNumId w:val="12"/>
  </w:num>
  <w:num w:numId="9">
    <w:abstractNumId w:val="15"/>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1"/>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8"/>
  </w:num>
  <w:num w:numId="3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4d926bf4-5635-43d1-824f-367d520fc8bf"/>
  </w:docVars>
  <w:rsids>
    <w:rsidRoot w:val="00CE2C52"/>
    <w:rsid w:val="00027957"/>
    <w:rsid w:val="000578D3"/>
    <w:rsid w:val="001D03F8"/>
    <w:rsid w:val="0032337E"/>
    <w:rsid w:val="003E557C"/>
    <w:rsid w:val="00406011"/>
    <w:rsid w:val="004B5178"/>
    <w:rsid w:val="00625BE4"/>
    <w:rsid w:val="007004C3"/>
    <w:rsid w:val="00777BB7"/>
    <w:rsid w:val="00836FEF"/>
    <w:rsid w:val="00975CD0"/>
    <w:rsid w:val="009A24EA"/>
    <w:rsid w:val="00AB6B66"/>
    <w:rsid w:val="00AC195B"/>
    <w:rsid w:val="00BD3275"/>
    <w:rsid w:val="00C36747"/>
    <w:rsid w:val="00C87D09"/>
    <w:rsid w:val="00CE2C52"/>
    <w:rsid w:val="00D81BB2"/>
    <w:rsid w:val="00E25110"/>
    <w:rsid w:val="00F86A14"/>
    <w:rsid w:val="00FC3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36BB49"/>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625BE4"/>
    <w:pPr>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625BE4"/>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griculture.gov.au/about/commitment/health-safety-manage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5B63331B-E45B-43C9-B5A5-98B096913F44}"/>
</file>

<file path=customXml/itemProps3.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9E334C0-B3A4-4303-96F8-09BB1AE0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2</TotalTime>
  <Pages>5</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Health and safety management  departmental policy</vt:lpstr>
    </vt:vector>
  </TitlesOfParts>
  <Company>Department of Agriculture Fisheries &amp; Forestry</Company>
  <LinksUpToDate>false</LinksUpToDate>
  <CharactersWithSpaces>7132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management  departmental policy</dc:title>
  <dc:creator>Department of Agriculture</dc:creator>
  <cp:lastModifiedBy>Pettit, Mikey</cp:lastModifiedBy>
  <cp:revision>3</cp:revision>
  <cp:lastPrinted>2013-10-18T05:59:00Z</cp:lastPrinted>
  <dcterms:created xsi:type="dcterms:W3CDTF">2019-09-25T01:06:00Z</dcterms:created>
  <dcterms:modified xsi:type="dcterms:W3CDTF">2019-09-25T01:16:00Z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LastSaved">
    <vt:filetime>2016-10-24T00:00:00Z</vt:filetime>
  </property>
  <property fmtid="{D5CDD505-2E9C-101B-9397-08002B2CF9AE}" pid="4" name="Created">
    <vt:filetime>2014-04-17T00:00:00Z</vt:filetime>
  </property>
  <property fmtid="{D5CDD505-2E9C-101B-9397-08002B2CF9AE}" pid="5" name="Creator">
    <vt:lpwstr>Acrobat PDFMaker 11 for Word</vt:lpwstr>
  </property>
</Properties>
</file>