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859CB0" w14:textId="15C8207C" w:rsidR="00837CEC" w:rsidRPr="00856530" w:rsidRDefault="00FB5CCB" w:rsidP="00856530">
      <w:pPr>
        <w:pStyle w:val="Heading1"/>
      </w:pPr>
      <w:r>
        <w:t>Internal r</w:t>
      </w:r>
      <w:r w:rsidR="0009074A">
        <w:t xml:space="preserve">eview into the </w:t>
      </w:r>
      <w:r w:rsidR="002971C7">
        <w:t>2016</w:t>
      </w:r>
      <w:r w:rsidR="001E3132">
        <w:t> to </w:t>
      </w:r>
      <w:r w:rsidR="002971C7">
        <w:t>20</w:t>
      </w:r>
      <w:r w:rsidR="004605D5">
        <w:t>20</w:t>
      </w:r>
      <w:r w:rsidR="002971C7">
        <w:t xml:space="preserve"> </w:t>
      </w:r>
      <w:r w:rsidR="00D103BB">
        <w:t xml:space="preserve">Rural Financial </w:t>
      </w:r>
      <w:r w:rsidR="0009074A">
        <w:t>Counselling Service</w:t>
      </w:r>
      <w:r w:rsidR="009B0918">
        <w:t xml:space="preserve"> </w:t>
      </w:r>
      <w:r w:rsidR="004605D5">
        <w:t>pr</w:t>
      </w:r>
      <w:r w:rsidR="009B0918">
        <w:t>ogram</w:t>
      </w:r>
    </w:p>
    <w:p w14:paraId="4A859CB2" w14:textId="77777777" w:rsidR="00837CEC" w:rsidRDefault="009863C8">
      <w:pPr>
        <w:pStyle w:val="Picture"/>
      </w:pPr>
      <w:r>
        <w:drawing>
          <wp:inline distT="0" distB="0" distL="0" distR="0" wp14:anchorId="4A859FA1" wp14:editId="03D3828D">
            <wp:extent cx="5516245" cy="5516245"/>
            <wp:effectExtent l="0" t="0" r="8255" b="825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516245" cy="5516245"/>
                    </a:xfrm>
                    <a:prstGeom prst="rect">
                      <a:avLst/>
                    </a:prstGeom>
                    <a:noFill/>
                    <a:ln w="9525">
                      <a:noFill/>
                      <a:miter lim="800000"/>
                      <a:headEnd/>
                      <a:tailEnd/>
                    </a:ln>
                  </pic:spPr>
                </pic:pic>
              </a:graphicData>
            </a:graphic>
          </wp:inline>
        </w:drawing>
      </w:r>
    </w:p>
    <w:p w14:paraId="4A859CB3" w14:textId="77777777" w:rsidR="00837CEC" w:rsidRDefault="009863C8">
      <w:pPr>
        <w:pStyle w:val="Normalsmall"/>
      </w:pPr>
      <w:r>
        <w:br w:type="page"/>
      </w:r>
      <w:r>
        <w:lastRenderedPageBreak/>
        <w:t>© Commonwealth of Australia 2019</w:t>
      </w:r>
    </w:p>
    <w:p w14:paraId="4A859CB4" w14:textId="77777777" w:rsidR="00837CEC" w:rsidRDefault="009863C8">
      <w:pPr>
        <w:pStyle w:val="Normalsmall"/>
        <w:rPr>
          <w:rStyle w:val="Strong"/>
        </w:rPr>
      </w:pPr>
      <w:r>
        <w:rPr>
          <w:rStyle w:val="Strong"/>
        </w:rPr>
        <w:t>Ownership of intellectual property rights</w:t>
      </w:r>
    </w:p>
    <w:p w14:paraId="4A859CB5" w14:textId="6C944905" w:rsidR="00837CEC" w:rsidRDefault="009863C8">
      <w:pPr>
        <w:pStyle w:val="Normalsmall"/>
      </w:pPr>
      <w:r>
        <w:t>Unless otherwise noted, copyright (and any other intellectual property rights) in this publication is owned by the Commonwealth of Australia (referred to as the Commonwealth).</w:t>
      </w:r>
    </w:p>
    <w:p w14:paraId="4A859CB6" w14:textId="77777777" w:rsidR="00837CEC" w:rsidRDefault="009863C8">
      <w:pPr>
        <w:pStyle w:val="Normalsmall"/>
        <w:rPr>
          <w:rStyle w:val="Strong"/>
        </w:rPr>
      </w:pPr>
      <w:proofErr w:type="gramStart"/>
      <w:r>
        <w:rPr>
          <w:rStyle w:val="Strong"/>
        </w:rPr>
        <w:t>Creative Commons</w:t>
      </w:r>
      <w:proofErr w:type="gramEnd"/>
      <w:r>
        <w:rPr>
          <w:rStyle w:val="Strong"/>
        </w:rPr>
        <w:t xml:space="preserve"> licence</w:t>
      </w:r>
    </w:p>
    <w:p w14:paraId="4A859CB7" w14:textId="3CBC7D42" w:rsidR="00837CEC" w:rsidRDefault="009863C8">
      <w:pPr>
        <w:pStyle w:val="Normalsmall"/>
      </w:pPr>
      <w:r>
        <w:t xml:space="preserve">All material in this publication is licensed under a </w:t>
      </w:r>
      <w:hyperlink r:id="rId12" w:history="1">
        <w:r w:rsidRPr="00A34A7F">
          <w:rPr>
            <w:rStyle w:val="Hyperlink"/>
          </w:rPr>
          <w:t>Creative Commons Attribution 4.0 International Licence</w:t>
        </w:r>
      </w:hyperlink>
      <w:r>
        <w:t xml:space="preserve"> except content supplied by third parties, logos and the Commonwealth Coat of Arms.</w:t>
      </w:r>
    </w:p>
    <w:p w14:paraId="4A859CB8" w14:textId="77777777" w:rsidR="00837CEC" w:rsidRDefault="009863C8">
      <w:pPr>
        <w:pStyle w:val="Normalsmall"/>
      </w:pPr>
      <w:r>
        <w:t xml:space="preserve">Inquiries about the licence and any use of this document should be emailed to </w:t>
      </w:r>
      <w:hyperlink r:id="rId13" w:history="1">
        <w:r>
          <w:rPr>
            <w:rStyle w:val="Hyperlink"/>
          </w:rPr>
          <w:t>copyright@agriculture.gov.au</w:t>
        </w:r>
      </w:hyperlink>
      <w:r>
        <w:t>.</w:t>
      </w:r>
    </w:p>
    <w:p w14:paraId="4A859CB9" w14:textId="77777777" w:rsidR="00837CEC" w:rsidRDefault="009863C8">
      <w:pPr>
        <w:pStyle w:val="Normalsmall"/>
      </w:pPr>
      <w:r>
        <w:rPr>
          <w:noProof/>
          <w:lang w:eastAsia="en-AU"/>
        </w:rPr>
        <w:drawing>
          <wp:inline distT="0" distB="0" distL="0" distR="0" wp14:anchorId="4A859FA3" wp14:editId="4A859FA4">
            <wp:extent cx="724535" cy="255270"/>
            <wp:effectExtent l="19050" t="0" r="0" b="0"/>
            <wp:docPr id="2" name="Picture 1" descr="C:\Documents and Settings\west merryn\Local Settings\Temporary Internet Files\Content.Word\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4"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4A859CBA" w14:textId="77777777" w:rsidR="00837CEC" w:rsidRDefault="009863C8">
      <w:pPr>
        <w:pStyle w:val="Normalsmall"/>
        <w:rPr>
          <w:rStyle w:val="Strong"/>
        </w:rPr>
      </w:pPr>
      <w:r>
        <w:rPr>
          <w:rStyle w:val="Strong"/>
        </w:rPr>
        <w:t>Cataloguing data</w:t>
      </w:r>
    </w:p>
    <w:p w14:paraId="4A859CBB" w14:textId="7C61A75C" w:rsidR="00837CEC" w:rsidRDefault="009863C8">
      <w:pPr>
        <w:pStyle w:val="Normalsmall"/>
      </w:pPr>
      <w:r>
        <w:t xml:space="preserve">This publication (and any material sourced from it) should be attributed as: </w:t>
      </w:r>
      <w:r w:rsidR="00B42803" w:rsidRPr="00D111F4">
        <w:t xml:space="preserve">Department of Agriculture 2019, </w:t>
      </w:r>
      <w:proofErr w:type="gramStart"/>
      <w:r w:rsidR="005526C8" w:rsidRPr="00D111F4">
        <w:rPr>
          <w:i/>
        </w:rPr>
        <w:t>Internal</w:t>
      </w:r>
      <w:proofErr w:type="gramEnd"/>
      <w:r w:rsidR="005526C8" w:rsidRPr="00D111F4">
        <w:rPr>
          <w:i/>
        </w:rPr>
        <w:t xml:space="preserve"> review into the </w:t>
      </w:r>
      <w:r w:rsidR="001E3132" w:rsidRPr="00D111F4">
        <w:rPr>
          <w:i/>
        </w:rPr>
        <w:t>2016 to 2020</w:t>
      </w:r>
      <w:r w:rsidR="005526C8" w:rsidRPr="00D111F4">
        <w:rPr>
          <w:i/>
        </w:rPr>
        <w:t xml:space="preserve"> </w:t>
      </w:r>
      <w:r w:rsidR="000C67D1" w:rsidRPr="00D111F4">
        <w:rPr>
          <w:i/>
        </w:rPr>
        <w:t>R</w:t>
      </w:r>
      <w:r w:rsidR="005526C8" w:rsidRPr="00D111F4">
        <w:rPr>
          <w:i/>
        </w:rPr>
        <w:t>ural Financial Counselling Service program</w:t>
      </w:r>
      <w:r w:rsidRPr="00D111F4">
        <w:t>,</w:t>
      </w:r>
      <w:r>
        <w:t xml:space="preserve"> Canberra, </w:t>
      </w:r>
      <w:r w:rsidR="005526C8">
        <w:t>September</w:t>
      </w:r>
      <w:r>
        <w:t>. CC BY 4.0.</w:t>
      </w:r>
    </w:p>
    <w:p w14:paraId="4A859CBC" w14:textId="1A4B334A" w:rsidR="00837CEC" w:rsidRPr="00BC600D" w:rsidRDefault="009863C8">
      <w:pPr>
        <w:pStyle w:val="Normalsmall"/>
      </w:pPr>
      <w:r w:rsidRPr="00BC600D">
        <w:t xml:space="preserve">ISBN </w:t>
      </w:r>
      <w:r w:rsidR="002F0C18" w:rsidRPr="002F0C18">
        <w:t>978-1-76003-234-0</w:t>
      </w:r>
    </w:p>
    <w:p w14:paraId="4A859CBD" w14:textId="64CDE08E" w:rsidR="00837CEC" w:rsidRDefault="009863C8">
      <w:pPr>
        <w:pStyle w:val="Normalsmall"/>
      </w:pPr>
      <w:r>
        <w:t xml:space="preserve">This </w:t>
      </w:r>
      <w:r w:rsidRPr="00BC600D">
        <w:t xml:space="preserve">publication is available at </w:t>
      </w:r>
      <w:hyperlink r:id="rId15" w:history="1">
        <w:r w:rsidRPr="007114E3">
          <w:rPr>
            <w:rStyle w:val="Hyperlink"/>
          </w:rPr>
          <w:t>agriculture.gov.au/</w:t>
        </w:r>
        <w:proofErr w:type="spellStart"/>
        <w:r w:rsidR="007114E3" w:rsidRPr="007114E3">
          <w:rPr>
            <w:rStyle w:val="Hyperlink"/>
          </w:rPr>
          <w:t>rfcs</w:t>
        </w:r>
        <w:proofErr w:type="spellEnd"/>
      </w:hyperlink>
      <w:bookmarkStart w:id="0" w:name="_GoBack"/>
      <w:bookmarkEnd w:id="0"/>
      <w:r w:rsidRPr="00BC600D">
        <w:t>.</w:t>
      </w:r>
    </w:p>
    <w:p w14:paraId="4A859CBE" w14:textId="3656D542" w:rsidR="00837CEC" w:rsidRDefault="00D103BB">
      <w:pPr>
        <w:pStyle w:val="Normalsmall"/>
        <w:spacing w:after="0"/>
      </w:pPr>
      <w:r>
        <w:t>Department of Agriculture</w:t>
      </w:r>
    </w:p>
    <w:p w14:paraId="4A859CBF" w14:textId="77777777" w:rsidR="00837CEC" w:rsidRDefault="009863C8">
      <w:pPr>
        <w:pStyle w:val="Normalsmall"/>
        <w:spacing w:after="0"/>
      </w:pPr>
      <w:r>
        <w:t>GPO Box 858 Canberra ACT 2601</w:t>
      </w:r>
    </w:p>
    <w:p w14:paraId="4A859CC0" w14:textId="77777777" w:rsidR="00837CEC" w:rsidRDefault="009863C8">
      <w:pPr>
        <w:pStyle w:val="Normalsmall"/>
        <w:spacing w:after="0"/>
      </w:pPr>
      <w:r>
        <w:t>Telephone 1800 900 090</w:t>
      </w:r>
    </w:p>
    <w:p w14:paraId="4A859CC1" w14:textId="77777777" w:rsidR="00837CEC" w:rsidRDefault="009863C8">
      <w:pPr>
        <w:pStyle w:val="Normalsmall"/>
      </w:pPr>
      <w:r>
        <w:t xml:space="preserve">Web </w:t>
      </w:r>
      <w:hyperlink r:id="rId16" w:history="1">
        <w:r>
          <w:rPr>
            <w:rStyle w:val="Hyperlink"/>
          </w:rPr>
          <w:t>agriculture.gov.au</w:t>
        </w:r>
      </w:hyperlink>
    </w:p>
    <w:p w14:paraId="4A859CC2" w14:textId="0197D8DD" w:rsidR="00837CEC" w:rsidRDefault="009863C8">
      <w:pPr>
        <w:pStyle w:val="Normalsmall"/>
      </w:pPr>
      <w:r>
        <w:t>The Australian Government acting through the Department of Agriculture has exercised due care and skill in preparing and compiling the information and data in this publication. Notwithstanding, the Department of Agriculture,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4A859CD0" w14:textId="77777777" w:rsidR="00837CEC" w:rsidRDefault="009863C8">
      <w:pPr>
        <w:spacing w:after="0" w:line="240" w:lineRule="auto"/>
      </w:pPr>
      <w:r>
        <w:br w:type="page"/>
      </w:r>
    </w:p>
    <w:sdt>
      <w:sdtPr>
        <w:rPr>
          <w:rFonts w:ascii="Cambria" w:eastAsiaTheme="minorHAnsi" w:hAnsi="Cambria"/>
          <w:bCs w:val="0"/>
          <w:color w:val="auto"/>
          <w:sz w:val="22"/>
          <w:szCs w:val="22"/>
          <w:lang w:eastAsia="en-US"/>
        </w:rPr>
        <w:id w:val="564464881"/>
        <w:docPartObj>
          <w:docPartGallery w:val="Table of Contents"/>
          <w:docPartUnique/>
        </w:docPartObj>
      </w:sdtPr>
      <w:sdtEndPr>
        <w:rPr>
          <w:b/>
          <w:noProof/>
        </w:rPr>
      </w:sdtEndPr>
      <w:sdtContent>
        <w:p w14:paraId="4FC62966" w14:textId="77777777" w:rsidR="00517F4E" w:rsidRDefault="007655FF" w:rsidP="007655FF">
          <w:pPr>
            <w:pStyle w:val="TOCHeading"/>
          </w:pPr>
          <w:r>
            <w:t>Contents</w:t>
          </w:r>
        </w:p>
        <w:p w14:paraId="65FA2F82" w14:textId="77777777" w:rsidR="00BC600D" w:rsidRDefault="007655FF">
          <w:pPr>
            <w:pStyle w:val="TOC1"/>
            <w:rPr>
              <w:rFonts w:asciiTheme="minorHAnsi" w:eastAsiaTheme="minorEastAsia" w:hAnsiTheme="minorHAnsi"/>
              <w:b w:val="0"/>
              <w:lang w:eastAsia="en-AU"/>
            </w:rPr>
          </w:pPr>
          <w:r>
            <w:rPr>
              <w:b w:val="0"/>
            </w:rPr>
            <w:fldChar w:fldCharType="begin" w:fldLock="1"/>
          </w:r>
          <w:r>
            <w:rPr>
              <w:b w:val="0"/>
            </w:rPr>
            <w:instrText xml:space="preserve"> TOC \h \z \u \t "Heading 2,1,Heading 3,2,Style1,2,TOA Heading,1" </w:instrText>
          </w:r>
          <w:r>
            <w:rPr>
              <w:b w:val="0"/>
            </w:rPr>
            <w:fldChar w:fldCharType="separate"/>
          </w:r>
          <w:hyperlink w:anchor="_Toc18328834" w:history="1">
            <w:r w:rsidR="00BC600D" w:rsidRPr="00656188">
              <w:rPr>
                <w:rStyle w:val="Hyperlink"/>
              </w:rPr>
              <w:t>Summary</w:t>
            </w:r>
            <w:r w:rsidR="00BC600D">
              <w:rPr>
                <w:webHidden/>
              </w:rPr>
              <w:tab/>
            </w:r>
            <w:r w:rsidR="00BC600D">
              <w:rPr>
                <w:webHidden/>
              </w:rPr>
              <w:fldChar w:fldCharType="begin" w:fldLock="1"/>
            </w:r>
            <w:r w:rsidR="00BC600D">
              <w:rPr>
                <w:webHidden/>
              </w:rPr>
              <w:instrText xml:space="preserve"> PAGEREF _Toc18328834 \h </w:instrText>
            </w:r>
            <w:r w:rsidR="00BC600D">
              <w:rPr>
                <w:webHidden/>
              </w:rPr>
            </w:r>
            <w:r w:rsidR="00BC600D">
              <w:rPr>
                <w:webHidden/>
              </w:rPr>
              <w:fldChar w:fldCharType="separate"/>
            </w:r>
            <w:r w:rsidR="00474B0C">
              <w:rPr>
                <w:webHidden/>
              </w:rPr>
              <w:t>1</w:t>
            </w:r>
            <w:r w:rsidR="00BC600D">
              <w:rPr>
                <w:webHidden/>
              </w:rPr>
              <w:fldChar w:fldCharType="end"/>
            </w:r>
          </w:hyperlink>
        </w:p>
        <w:p w14:paraId="49FD8822" w14:textId="77777777" w:rsidR="00BC600D" w:rsidRDefault="007114E3">
          <w:pPr>
            <w:pStyle w:val="TOC2"/>
            <w:rPr>
              <w:rFonts w:asciiTheme="minorHAnsi" w:eastAsiaTheme="minorEastAsia" w:hAnsiTheme="minorHAnsi"/>
              <w:lang w:eastAsia="en-AU"/>
            </w:rPr>
          </w:pPr>
          <w:hyperlink w:anchor="_Toc18328835" w:history="1">
            <w:r w:rsidR="00BC600D" w:rsidRPr="00656188">
              <w:rPr>
                <w:rStyle w:val="Hyperlink"/>
              </w:rPr>
              <w:t>Key findings</w:t>
            </w:r>
            <w:r w:rsidR="00BC600D">
              <w:rPr>
                <w:webHidden/>
              </w:rPr>
              <w:tab/>
            </w:r>
            <w:r w:rsidR="00BC600D">
              <w:rPr>
                <w:webHidden/>
              </w:rPr>
              <w:fldChar w:fldCharType="begin" w:fldLock="1"/>
            </w:r>
            <w:r w:rsidR="00BC600D">
              <w:rPr>
                <w:webHidden/>
              </w:rPr>
              <w:instrText xml:space="preserve"> PAGEREF _Toc18328835 \h </w:instrText>
            </w:r>
            <w:r w:rsidR="00BC600D">
              <w:rPr>
                <w:webHidden/>
              </w:rPr>
            </w:r>
            <w:r w:rsidR="00BC600D">
              <w:rPr>
                <w:webHidden/>
              </w:rPr>
              <w:fldChar w:fldCharType="separate"/>
            </w:r>
            <w:r w:rsidR="00474B0C">
              <w:rPr>
                <w:webHidden/>
              </w:rPr>
              <w:t>1</w:t>
            </w:r>
            <w:r w:rsidR="00BC600D">
              <w:rPr>
                <w:webHidden/>
              </w:rPr>
              <w:fldChar w:fldCharType="end"/>
            </w:r>
          </w:hyperlink>
        </w:p>
        <w:p w14:paraId="1E5C6E80" w14:textId="77777777" w:rsidR="00BC600D" w:rsidRDefault="007114E3">
          <w:pPr>
            <w:pStyle w:val="TOC2"/>
            <w:rPr>
              <w:rFonts w:asciiTheme="minorHAnsi" w:eastAsiaTheme="minorEastAsia" w:hAnsiTheme="minorHAnsi"/>
              <w:lang w:eastAsia="en-AU"/>
            </w:rPr>
          </w:pPr>
          <w:hyperlink w:anchor="_Toc18328836" w:history="1">
            <w:r w:rsidR="00BC600D" w:rsidRPr="00656188">
              <w:rPr>
                <w:rStyle w:val="Hyperlink"/>
              </w:rPr>
              <w:t>Program improvements</w:t>
            </w:r>
            <w:r w:rsidR="00BC600D">
              <w:rPr>
                <w:webHidden/>
              </w:rPr>
              <w:tab/>
            </w:r>
            <w:r w:rsidR="00BC600D">
              <w:rPr>
                <w:webHidden/>
              </w:rPr>
              <w:fldChar w:fldCharType="begin" w:fldLock="1"/>
            </w:r>
            <w:r w:rsidR="00BC600D">
              <w:rPr>
                <w:webHidden/>
              </w:rPr>
              <w:instrText xml:space="preserve"> PAGEREF _Toc18328836 \h </w:instrText>
            </w:r>
            <w:r w:rsidR="00BC600D">
              <w:rPr>
                <w:webHidden/>
              </w:rPr>
            </w:r>
            <w:r w:rsidR="00BC600D">
              <w:rPr>
                <w:webHidden/>
              </w:rPr>
              <w:fldChar w:fldCharType="separate"/>
            </w:r>
            <w:r w:rsidR="00474B0C">
              <w:rPr>
                <w:webHidden/>
              </w:rPr>
              <w:t>3</w:t>
            </w:r>
            <w:r w:rsidR="00BC600D">
              <w:rPr>
                <w:webHidden/>
              </w:rPr>
              <w:fldChar w:fldCharType="end"/>
            </w:r>
          </w:hyperlink>
        </w:p>
        <w:p w14:paraId="5B07D86D" w14:textId="77777777" w:rsidR="00BC600D" w:rsidRDefault="007114E3">
          <w:pPr>
            <w:pStyle w:val="TOC2"/>
            <w:rPr>
              <w:rFonts w:asciiTheme="minorHAnsi" w:eastAsiaTheme="minorEastAsia" w:hAnsiTheme="minorHAnsi"/>
              <w:lang w:eastAsia="en-AU"/>
            </w:rPr>
          </w:pPr>
          <w:hyperlink w:anchor="_Toc18328837" w:history="1">
            <w:r w:rsidR="00BC600D" w:rsidRPr="00656188">
              <w:rPr>
                <w:rStyle w:val="Hyperlink"/>
              </w:rPr>
              <w:t>Review recommendations</w:t>
            </w:r>
            <w:r w:rsidR="00BC600D">
              <w:rPr>
                <w:webHidden/>
              </w:rPr>
              <w:tab/>
            </w:r>
            <w:r w:rsidR="00BC600D">
              <w:rPr>
                <w:webHidden/>
              </w:rPr>
              <w:fldChar w:fldCharType="begin" w:fldLock="1"/>
            </w:r>
            <w:r w:rsidR="00BC600D">
              <w:rPr>
                <w:webHidden/>
              </w:rPr>
              <w:instrText xml:space="preserve"> PAGEREF _Toc18328837 \h </w:instrText>
            </w:r>
            <w:r w:rsidR="00BC600D">
              <w:rPr>
                <w:webHidden/>
              </w:rPr>
            </w:r>
            <w:r w:rsidR="00BC600D">
              <w:rPr>
                <w:webHidden/>
              </w:rPr>
              <w:fldChar w:fldCharType="separate"/>
            </w:r>
            <w:r w:rsidR="00474B0C">
              <w:rPr>
                <w:webHidden/>
              </w:rPr>
              <w:t>3</w:t>
            </w:r>
            <w:r w:rsidR="00BC600D">
              <w:rPr>
                <w:webHidden/>
              </w:rPr>
              <w:fldChar w:fldCharType="end"/>
            </w:r>
          </w:hyperlink>
        </w:p>
        <w:p w14:paraId="5706A2B7" w14:textId="77777777" w:rsidR="00BC600D" w:rsidRDefault="007114E3">
          <w:pPr>
            <w:pStyle w:val="TOC2"/>
            <w:rPr>
              <w:rFonts w:asciiTheme="minorHAnsi" w:eastAsiaTheme="minorEastAsia" w:hAnsiTheme="minorHAnsi"/>
              <w:lang w:eastAsia="en-AU"/>
            </w:rPr>
          </w:pPr>
          <w:hyperlink w:anchor="_Toc18328838" w:history="1">
            <w:r w:rsidR="00BC600D" w:rsidRPr="00656188">
              <w:rPr>
                <w:rStyle w:val="Hyperlink"/>
              </w:rPr>
              <w:t>Proposed action plan</w:t>
            </w:r>
            <w:r w:rsidR="00BC600D">
              <w:rPr>
                <w:webHidden/>
              </w:rPr>
              <w:tab/>
            </w:r>
            <w:r w:rsidR="00BC600D">
              <w:rPr>
                <w:webHidden/>
              </w:rPr>
              <w:fldChar w:fldCharType="begin" w:fldLock="1"/>
            </w:r>
            <w:r w:rsidR="00BC600D">
              <w:rPr>
                <w:webHidden/>
              </w:rPr>
              <w:instrText xml:space="preserve"> PAGEREF _Toc18328838 \h </w:instrText>
            </w:r>
            <w:r w:rsidR="00BC600D">
              <w:rPr>
                <w:webHidden/>
              </w:rPr>
            </w:r>
            <w:r w:rsidR="00BC600D">
              <w:rPr>
                <w:webHidden/>
              </w:rPr>
              <w:fldChar w:fldCharType="separate"/>
            </w:r>
            <w:r w:rsidR="00474B0C">
              <w:rPr>
                <w:webHidden/>
              </w:rPr>
              <w:t>6</w:t>
            </w:r>
            <w:r w:rsidR="00BC600D">
              <w:rPr>
                <w:webHidden/>
              </w:rPr>
              <w:fldChar w:fldCharType="end"/>
            </w:r>
          </w:hyperlink>
        </w:p>
        <w:p w14:paraId="349D2D82" w14:textId="77777777" w:rsidR="00BC600D" w:rsidRDefault="007114E3">
          <w:pPr>
            <w:pStyle w:val="TOC1"/>
            <w:rPr>
              <w:rFonts w:asciiTheme="minorHAnsi" w:eastAsiaTheme="minorEastAsia" w:hAnsiTheme="minorHAnsi"/>
              <w:b w:val="0"/>
              <w:lang w:eastAsia="en-AU"/>
            </w:rPr>
          </w:pPr>
          <w:hyperlink w:anchor="_Toc18328839" w:history="1">
            <w:r w:rsidR="00BC600D" w:rsidRPr="00656188">
              <w:rPr>
                <w:rStyle w:val="Hyperlink"/>
              </w:rPr>
              <w:t>1</w:t>
            </w:r>
            <w:r w:rsidR="00BC600D">
              <w:rPr>
                <w:rFonts w:asciiTheme="minorHAnsi" w:eastAsiaTheme="minorEastAsia" w:hAnsiTheme="minorHAnsi"/>
                <w:b w:val="0"/>
                <w:lang w:eastAsia="en-AU"/>
              </w:rPr>
              <w:tab/>
            </w:r>
            <w:r w:rsidR="00BC600D" w:rsidRPr="00656188">
              <w:rPr>
                <w:rStyle w:val="Hyperlink"/>
              </w:rPr>
              <w:t>Terms of reference</w:t>
            </w:r>
            <w:r w:rsidR="00BC600D">
              <w:rPr>
                <w:webHidden/>
              </w:rPr>
              <w:tab/>
            </w:r>
            <w:r w:rsidR="00BC600D">
              <w:rPr>
                <w:webHidden/>
              </w:rPr>
              <w:fldChar w:fldCharType="begin" w:fldLock="1"/>
            </w:r>
            <w:r w:rsidR="00BC600D">
              <w:rPr>
                <w:webHidden/>
              </w:rPr>
              <w:instrText xml:space="preserve"> PAGEREF _Toc18328839 \h </w:instrText>
            </w:r>
            <w:r w:rsidR="00BC600D">
              <w:rPr>
                <w:webHidden/>
              </w:rPr>
            </w:r>
            <w:r w:rsidR="00BC600D">
              <w:rPr>
                <w:webHidden/>
              </w:rPr>
              <w:fldChar w:fldCharType="separate"/>
            </w:r>
            <w:r w:rsidR="00474B0C">
              <w:rPr>
                <w:webHidden/>
              </w:rPr>
              <w:t>7</w:t>
            </w:r>
            <w:r w:rsidR="00BC600D">
              <w:rPr>
                <w:webHidden/>
              </w:rPr>
              <w:fldChar w:fldCharType="end"/>
            </w:r>
          </w:hyperlink>
        </w:p>
        <w:p w14:paraId="0CE7A4B4" w14:textId="77777777" w:rsidR="00BC600D" w:rsidRDefault="007114E3">
          <w:pPr>
            <w:pStyle w:val="TOC1"/>
            <w:rPr>
              <w:rFonts w:asciiTheme="minorHAnsi" w:eastAsiaTheme="minorEastAsia" w:hAnsiTheme="minorHAnsi"/>
              <w:b w:val="0"/>
              <w:lang w:eastAsia="en-AU"/>
            </w:rPr>
          </w:pPr>
          <w:hyperlink w:anchor="_Toc18328840" w:history="1">
            <w:r w:rsidR="00BC600D" w:rsidRPr="00656188">
              <w:rPr>
                <w:rStyle w:val="Hyperlink"/>
              </w:rPr>
              <w:t>2</w:t>
            </w:r>
            <w:r w:rsidR="00BC600D">
              <w:rPr>
                <w:rFonts w:asciiTheme="minorHAnsi" w:eastAsiaTheme="minorEastAsia" w:hAnsiTheme="minorHAnsi"/>
                <w:b w:val="0"/>
                <w:lang w:eastAsia="en-AU"/>
              </w:rPr>
              <w:tab/>
            </w:r>
            <w:r w:rsidR="00BC600D" w:rsidRPr="00656188">
              <w:rPr>
                <w:rStyle w:val="Hyperlink"/>
              </w:rPr>
              <w:t>Consultation</w:t>
            </w:r>
            <w:r w:rsidR="00BC600D">
              <w:rPr>
                <w:webHidden/>
              </w:rPr>
              <w:tab/>
            </w:r>
            <w:r w:rsidR="00BC600D">
              <w:rPr>
                <w:webHidden/>
              </w:rPr>
              <w:fldChar w:fldCharType="begin" w:fldLock="1"/>
            </w:r>
            <w:r w:rsidR="00BC600D">
              <w:rPr>
                <w:webHidden/>
              </w:rPr>
              <w:instrText xml:space="preserve"> PAGEREF _Toc18328840 \h </w:instrText>
            </w:r>
            <w:r w:rsidR="00BC600D">
              <w:rPr>
                <w:webHidden/>
              </w:rPr>
            </w:r>
            <w:r w:rsidR="00BC600D">
              <w:rPr>
                <w:webHidden/>
              </w:rPr>
              <w:fldChar w:fldCharType="separate"/>
            </w:r>
            <w:r w:rsidR="00474B0C">
              <w:rPr>
                <w:webHidden/>
              </w:rPr>
              <w:t>8</w:t>
            </w:r>
            <w:r w:rsidR="00BC600D">
              <w:rPr>
                <w:webHidden/>
              </w:rPr>
              <w:fldChar w:fldCharType="end"/>
            </w:r>
          </w:hyperlink>
        </w:p>
        <w:p w14:paraId="2DA64404" w14:textId="77777777" w:rsidR="00BC600D" w:rsidRDefault="007114E3">
          <w:pPr>
            <w:pStyle w:val="TOC1"/>
            <w:rPr>
              <w:rFonts w:asciiTheme="minorHAnsi" w:eastAsiaTheme="minorEastAsia" w:hAnsiTheme="minorHAnsi"/>
              <w:b w:val="0"/>
              <w:lang w:eastAsia="en-AU"/>
            </w:rPr>
          </w:pPr>
          <w:hyperlink w:anchor="_Toc18328841" w:history="1">
            <w:r w:rsidR="00BC600D" w:rsidRPr="00656188">
              <w:rPr>
                <w:rStyle w:val="Hyperlink"/>
              </w:rPr>
              <w:t>3</w:t>
            </w:r>
            <w:r w:rsidR="00BC600D">
              <w:rPr>
                <w:rFonts w:asciiTheme="minorHAnsi" w:eastAsiaTheme="minorEastAsia" w:hAnsiTheme="minorHAnsi"/>
                <w:b w:val="0"/>
                <w:lang w:eastAsia="en-AU"/>
              </w:rPr>
              <w:tab/>
            </w:r>
            <w:r w:rsidR="00BC600D" w:rsidRPr="00656188">
              <w:rPr>
                <w:rStyle w:val="Hyperlink"/>
              </w:rPr>
              <w:t>Introduction</w:t>
            </w:r>
            <w:r w:rsidR="00BC600D">
              <w:rPr>
                <w:webHidden/>
              </w:rPr>
              <w:tab/>
            </w:r>
            <w:r w:rsidR="00BC600D">
              <w:rPr>
                <w:webHidden/>
              </w:rPr>
              <w:fldChar w:fldCharType="begin" w:fldLock="1"/>
            </w:r>
            <w:r w:rsidR="00BC600D">
              <w:rPr>
                <w:webHidden/>
              </w:rPr>
              <w:instrText xml:space="preserve"> PAGEREF _Toc18328841 \h </w:instrText>
            </w:r>
            <w:r w:rsidR="00BC600D">
              <w:rPr>
                <w:webHidden/>
              </w:rPr>
            </w:r>
            <w:r w:rsidR="00BC600D">
              <w:rPr>
                <w:webHidden/>
              </w:rPr>
              <w:fldChar w:fldCharType="separate"/>
            </w:r>
            <w:r w:rsidR="00474B0C">
              <w:rPr>
                <w:webHidden/>
              </w:rPr>
              <w:t>9</w:t>
            </w:r>
            <w:r w:rsidR="00BC600D">
              <w:rPr>
                <w:webHidden/>
              </w:rPr>
              <w:fldChar w:fldCharType="end"/>
            </w:r>
          </w:hyperlink>
        </w:p>
        <w:p w14:paraId="5E8C10E3" w14:textId="77777777" w:rsidR="00BC600D" w:rsidRDefault="007114E3">
          <w:pPr>
            <w:pStyle w:val="TOC2"/>
            <w:tabs>
              <w:tab w:val="left" w:pos="1100"/>
            </w:tabs>
            <w:rPr>
              <w:rFonts w:asciiTheme="minorHAnsi" w:eastAsiaTheme="minorEastAsia" w:hAnsiTheme="minorHAnsi"/>
              <w:lang w:eastAsia="en-AU"/>
            </w:rPr>
          </w:pPr>
          <w:hyperlink w:anchor="_Toc18328842" w:history="1">
            <w:r w:rsidR="00BC600D" w:rsidRPr="00656188">
              <w:rPr>
                <w:rStyle w:val="Hyperlink"/>
              </w:rPr>
              <w:t>3.1</w:t>
            </w:r>
            <w:r w:rsidR="00BC600D">
              <w:rPr>
                <w:rFonts w:asciiTheme="minorHAnsi" w:eastAsiaTheme="minorEastAsia" w:hAnsiTheme="minorHAnsi"/>
                <w:lang w:eastAsia="en-AU"/>
              </w:rPr>
              <w:tab/>
            </w:r>
            <w:r w:rsidR="00BC600D" w:rsidRPr="00656188">
              <w:rPr>
                <w:rStyle w:val="Hyperlink"/>
              </w:rPr>
              <w:t>Snapshot of the 2016 to 2020 RFCS program</w:t>
            </w:r>
            <w:r w:rsidR="00BC600D">
              <w:rPr>
                <w:webHidden/>
              </w:rPr>
              <w:tab/>
            </w:r>
            <w:r w:rsidR="00BC600D">
              <w:rPr>
                <w:webHidden/>
              </w:rPr>
              <w:fldChar w:fldCharType="begin" w:fldLock="1"/>
            </w:r>
            <w:r w:rsidR="00BC600D">
              <w:rPr>
                <w:webHidden/>
              </w:rPr>
              <w:instrText xml:space="preserve"> PAGEREF _Toc18328842 \h </w:instrText>
            </w:r>
            <w:r w:rsidR="00BC600D">
              <w:rPr>
                <w:webHidden/>
              </w:rPr>
            </w:r>
            <w:r w:rsidR="00BC600D">
              <w:rPr>
                <w:webHidden/>
              </w:rPr>
              <w:fldChar w:fldCharType="separate"/>
            </w:r>
            <w:r w:rsidR="00474B0C">
              <w:rPr>
                <w:webHidden/>
              </w:rPr>
              <w:t>9</w:t>
            </w:r>
            <w:r w:rsidR="00BC600D">
              <w:rPr>
                <w:webHidden/>
              </w:rPr>
              <w:fldChar w:fldCharType="end"/>
            </w:r>
          </w:hyperlink>
        </w:p>
        <w:p w14:paraId="3E70C096" w14:textId="77777777" w:rsidR="00BC600D" w:rsidRDefault="007114E3">
          <w:pPr>
            <w:pStyle w:val="TOC2"/>
            <w:tabs>
              <w:tab w:val="left" w:pos="1100"/>
            </w:tabs>
            <w:rPr>
              <w:rFonts w:asciiTheme="minorHAnsi" w:eastAsiaTheme="minorEastAsia" w:hAnsiTheme="minorHAnsi"/>
              <w:lang w:eastAsia="en-AU"/>
            </w:rPr>
          </w:pPr>
          <w:hyperlink w:anchor="_Toc18328843" w:history="1">
            <w:r w:rsidR="00BC600D" w:rsidRPr="00656188">
              <w:rPr>
                <w:rStyle w:val="Hyperlink"/>
              </w:rPr>
              <w:t>3.2</w:t>
            </w:r>
            <w:r w:rsidR="00BC600D">
              <w:rPr>
                <w:rFonts w:asciiTheme="minorHAnsi" w:eastAsiaTheme="minorEastAsia" w:hAnsiTheme="minorHAnsi"/>
                <w:lang w:eastAsia="en-AU"/>
              </w:rPr>
              <w:tab/>
            </w:r>
            <w:r w:rsidR="00BC600D" w:rsidRPr="00656188">
              <w:rPr>
                <w:rStyle w:val="Hyperlink"/>
              </w:rPr>
              <w:t>Previous reviews of the RFCS</w:t>
            </w:r>
            <w:r w:rsidR="00BC600D">
              <w:rPr>
                <w:webHidden/>
              </w:rPr>
              <w:tab/>
            </w:r>
            <w:r w:rsidR="00BC600D">
              <w:rPr>
                <w:webHidden/>
              </w:rPr>
              <w:fldChar w:fldCharType="begin" w:fldLock="1"/>
            </w:r>
            <w:r w:rsidR="00BC600D">
              <w:rPr>
                <w:webHidden/>
              </w:rPr>
              <w:instrText xml:space="preserve"> PAGEREF _Toc18328843 \h </w:instrText>
            </w:r>
            <w:r w:rsidR="00BC600D">
              <w:rPr>
                <w:webHidden/>
              </w:rPr>
            </w:r>
            <w:r w:rsidR="00BC600D">
              <w:rPr>
                <w:webHidden/>
              </w:rPr>
              <w:fldChar w:fldCharType="separate"/>
            </w:r>
            <w:r w:rsidR="00474B0C">
              <w:rPr>
                <w:webHidden/>
              </w:rPr>
              <w:t>12</w:t>
            </w:r>
            <w:r w:rsidR="00BC600D">
              <w:rPr>
                <w:webHidden/>
              </w:rPr>
              <w:fldChar w:fldCharType="end"/>
            </w:r>
          </w:hyperlink>
        </w:p>
        <w:p w14:paraId="06991875" w14:textId="77777777" w:rsidR="00BC600D" w:rsidRDefault="007114E3">
          <w:pPr>
            <w:pStyle w:val="TOC1"/>
            <w:rPr>
              <w:rFonts w:asciiTheme="minorHAnsi" w:eastAsiaTheme="minorEastAsia" w:hAnsiTheme="minorHAnsi"/>
              <w:b w:val="0"/>
              <w:lang w:eastAsia="en-AU"/>
            </w:rPr>
          </w:pPr>
          <w:hyperlink w:anchor="_Toc18328844" w:history="1">
            <w:r w:rsidR="00BC600D" w:rsidRPr="00656188">
              <w:rPr>
                <w:rStyle w:val="Hyperlink"/>
              </w:rPr>
              <w:t>4</w:t>
            </w:r>
            <w:r w:rsidR="00BC600D">
              <w:rPr>
                <w:rFonts w:asciiTheme="minorHAnsi" w:eastAsiaTheme="minorEastAsia" w:hAnsiTheme="minorHAnsi"/>
                <w:b w:val="0"/>
                <w:lang w:eastAsia="en-AU"/>
              </w:rPr>
              <w:tab/>
            </w:r>
            <w:r w:rsidR="00BC600D" w:rsidRPr="00656188">
              <w:rPr>
                <w:rStyle w:val="Hyperlink"/>
              </w:rPr>
              <w:t>Role of the RFCS</w:t>
            </w:r>
            <w:r w:rsidR="00BC600D">
              <w:rPr>
                <w:webHidden/>
              </w:rPr>
              <w:tab/>
            </w:r>
            <w:r w:rsidR="00BC600D">
              <w:rPr>
                <w:webHidden/>
              </w:rPr>
              <w:fldChar w:fldCharType="begin" w:fldLock="1"/>
            </w:r>
            <w:r w:rsidR="00BC600D">
              <w:rPr>
                <w:webHidden/>
              </w:rPr>
              <w:instrText xml:space="preserve"> PAGEREF _Toc18328844 \h </w:instrText>
            </w:r>
            <w:r w:rsidR="00BC600D">
              <w:rPr>
                <w:webHidden/>
              </w:rPr>
            </w:r>
            <w:r w:rsidR="00BC600D">
              <w:rPr>
                <w:webHidden/>
              </w:rPr>
              <w:fldChar w:fldCharType="separate"/>
            </w:r>
            <w:r w:rsidR="00474B0C">
              <w:rPr>
                <w:webHidden/>
              </w:rPr>
              <w:t>14</w:t>
            </w:r>
            <w:r w:rsidR="00BC600D">
              <w:rPr>
                <w:webHidden/>
              </w:rPr>
              <w:fldChar w:fldCharType="end"/>
            </w:r>
          </w:hyperlink>
        </w:p>
        <w:p w14:paraId="3A4BEB70" w14:textId="77777777" w:rsidR="00BC600D" w:rsidRDefault="007114E3">
          <w:pPr>
            <w:pStyle w:val="TOC2"/>
            <w:tabs>
              <w:tab w:val="left" w:pos="1100"/>
            </w:tabs>
            <w:rPr>
              <w:rFonts w:asciiTheme="minorHAnsi" w:eastAsiaTheme="minorEastAsia" w:hAnsiTheme="minorHAnsi"/>
              <w:lang w:eastAsia="en-AU"/>
            </w:rPr>
          </w:pPr>
          <w:hyperlink w:anchor="_Toc18328845" w:history="1">
            <w:r w:rsidR="00BC600D" w:rsidRPr="00656188">
              <w:rPr>
                <w:rStyle w:val="Hyperlink"/>
                <w:lang w:eastAsia="ja-JP"/>
              </w:rPr>
              <w:t>4.1</w:t>
            </w:r>
            <w:r w:rsidR="00BC600D">
              <w:rPr>
                <w:rFonts w:asciiTheme="minorHAnsi" w:eastAsiaTheme="minorEastAsia" w:hAnsiTheme="minorHAnsi"/>
                <w:lang w:eastAsia="en-AU"/>
              </w:rPr>
              <w:tab/>
            </w:r>
            <w:r w:rsidR="00BC600D" w:rsidRPr="00656188">
              <w:rPr>
                <w:rStyle w:val="Hyperlink"/>
                <w:lang w:eastAsia="ja-JP"/>
              </w:rPr>
              <w:t>Program objectives</w:t>
            </w:r>
            <w:r w:rsidR="00BC600D">
              <w:rPr>
                <w:webHidden/>
              </w:rPr>
              <w:tab/>
            </w:r>
            <w:r w:rsidR="00BC600D">
              <w:rPr>
                <w:webHidden/>
              </w:rPr>
              <w:fldChar w:fldCharType="begin" w:fldLock="1"/>
            </w:r>
            <w:r w:rsidR="00BC600D">
              <w:rPr>
                <w:webHidden/>
              </w:rPr>
              <w:instrText xml:space="preserve"> PAGEREF _Toc18328845 \h </w:instrText>
            </w:r>
            <w:r w:rsidR="00BC600D">
              <w:rPr>
                <w:webHidden/>
              </w:rPr>
            </w:r>
            <w:r w:rsidR="00BC600D">
              <w:rPr>
                <w:webHidden/>
              </w:rPr>
              <w:fldChar w:fldCharType="separate"/>
            </w:r>
            <w:r w:rsidR="00474B0C">
              <w:rPr>
                <w:webHidden/>
              </w:rPr>
              <w:t>14</w:t>
            </w:r>
            <w:r w:rsidR="00BC600D">
              <w:rPr>
                <w:webHidden/>
              </w:rPr>
              <w:fldChar w:fldCharType="end"/>
            </w:r>
          </w:hyperlink>
        </w:p>
        <w:p w14:paraId="0D94049A" w14:textId="77777777" w:rsidR="00BC600D" w:rsidRDefault="007114E3">
          <w:pPr>
            <w:pStyle w:val="TOC2"/>
            <w:tabs>
              <w:tab w:val="left" w:pos="1100"/>
            </w:tabs>
            <w:rPr>
              <w:rFonts w:asciiTheme="minorHAnsi" w:eastAsiaTheme="minorEastAsia" w:hAnsiTheme="minorHAnsi"/>
              <w:lang w:eastAsia="en-AU"/>
            </w:rPr>
          </w:pPr>
          <w:hyperlink w:anchor="_Toc18328846" w:history="1">
            <w:r w:rsidR="00BC600D" w:rsidRPr="00656188">
              <w:rPr>
                <w:rStyle w:val="Hyperlink"/>
                <w:lang w:eastAsia="ja-JP"/>
              </w:rPr>
              <w:t>4.2</w:t>
            </w:r>
            <w:r w:rsidR="00BC600D">
              <w:rPr>
                <w:rFonts w:asciiTheme="minorHAnsi" w:eastAsiaTheme="minorEastAsia" w:hAnsiTheme="minorHAnsi"/>
                <w:lang w:eastAsia="en-AU"/>
              </w:rPr>
              <w:tab/>
            </w:r>
            <w:r w:rsidR="00BC600D" w:rsidRPr="00656188">
              <w:rPr>
                <w:rStyle w:val="Hyperlink"/>
                <w:lang w:eastAsia="ja-JP"/>
              </w:rPr>
              <w:t>RFCS activities</w:t>
            </w:r>
            <w:r w:rsidR="00BC600D">
              <w:rPr>
                <w:webHidden/>
              </w:rPr>
              <w:tab/>
            </w:r>
            <w:r w:rsidR="00BC600D">
              <w:rPr>
                <w:webHidden/>
              </w:rPr>
              <w:fldChar w:fldCharType="begin" w:fldLock="1"/>
            </w:r>
            <w:r w:rsidR="00BC600D">
              <w:rPr>
                <w:webHidden/>
              </w:rPr>
              <w:instrText xml:space="preserve"> PAGEREF _Toc18328846 \h </w:instrText>
            </w:r>
            <w:r w:rsidR="00BC600D">
              <w:rPr>
                <w:webHidden/>
              </w:rPr>
            </w:r>
            <w:r w:rsidR="00BC600D">
              <w:rPr>
                <w:webHidden/>
              </w:rPr>
              <w:fldChar w:fldCharType="separate"/>
            </w:r>
            <w:r w:rsidR="00474B0C">
              <w:rPr>
                <w:webHidden/>
              </w:rPr>
              <w:t>15</w:t>
            </w:r>
            <w:r w:rsidR="00BC600D">
              <w:rPr>
                <w:webHidden/>
              </w:rPr>
              <w:fldChar w:fldCharType="end"/>
            </w:r>
          </w:hyperlink>
        </w:p>
        <w:p w14:paraId="0281446B" w14:textId="77777777" w:rsidR="00BC600D" w:rsidRDefault="007114E3">
          <w:pPr>
            <w:pStyle w:val="TOC2"/>
            <w:tabs>
              <w:tab w:val="left" w:pos="1100"/>
            </w:tabs>
            <w:rPr>
              <w:rFonts w:asciiTheme="minorHAnsi" w:eastAsiaTheme="minorEastAsia" w:hAnsiTheme="minorHAnsi"/>
              <w:lang w:eastAsia="en-AU"/>
            </w:rPr>
          </w:pPr>
          <w:hyperlink w:anchor="_Toc18328847" w:history="1">
            <w:r w:rsidR="00BC600D" w:rsidRPr="00656188">
              <w:rPr>
                <w:rStyle w:val="Hyperlink"/>
                <w:lang w:eastAsia="ja-JP"/>
              </w:rPr>
              <w:t>4.3</w:t>
            </w:r>
            <w:r w:rsidR="00BC600D">
              <w:rPr>
                <w:rFonts w:asciiTheme="minorHAnsi" w:eastAsiaTheme="minorEastAsia" w:hAnsiTheme="minorHAnsi"/>
                <w:lang w:eastAsia="en-AU"/>
              </w:rPr>
              <w:tab/>
            </w:r>
            <w:r w:rsidR="00BC600D" w:rsidRPr="00656188">
              <w:rPr>
                <w:rStyle w:val="Hyperlink"/>
                <w:lang w:eastAsia="ja-JP"/>
              </w:rPr>
              <w:t>Eligible clients and activities</w:t>
            </w:r>
            <w:r w:rsidR="00BC600D">
              <w:rPr>
                <w:webHidden/>
              </w:rPr>
              <w:tab/>
            </w:r>
            <w:r w:rsidR="00BC600D">
              <w:rPr>
                <w:webHidden/>
              </w:rPr>
              <w:fldChar w:fldCharType="begin" w:fldLock="1"/>
            </w:r>
            <w:r w:rsidR="00BC600D">
              <w:rPr>
                <w:webHidden/>
              </w:rPr>
              <w:instrText xml:space="preserve"> PAGEREF _Toc18328847 \h </w:instrText>
            </w:r>
            <w:r w:rsidR="00BC600D">
              <w:rPr>
                <w:webHidden/>
              </w:rPr>
            </w:r>
            <w:r w:rsidR="00BC600D">
              <w:rPr>
                <w:webHidden/>
              </w:rPr>
              <w:fldChar w:fldCharType="separate"/>
            </w:r>
            <w:r w:rsidR="00474B0C">
              <w:rPr>
                <w:webHidden/>
              </w:rPr>
              <w:t>19</w:t>
            </w:r>
            <w:r w:rsidR="00BC600D">
              <w:rPr>
                <w:webHidden/>
              </w:rPr>
              <w:fldChar w:fldCharType="end"/>
            </w:r>
          </w:hyperlink>
        </w:p>
        <w:p w14:paraId="342A6063" w14:textId="77777777" w:rsidR="00BC600D" w:rsidRDefault="007114E3">
          <w:pPr>
            <w:pStyle w:val="TOC1"/>
            <w:rPr>
              <w:rFonts w:asciiTheme="minorHAnsi" w:eastAsiaTheme="minorEastAsia" w:hAnsiTheme="minorHAnsi"/>
              <w:b w:val="0"/>
              <w:lang w:eastAsia="en-AU"/>
            </w:rPr>
          </w:pPr>
          <w:hyperlink w:anchor="_Toc18328848" w:history="1">
            <w:r w:rsidR="00BC600D" w:rsidRPr="00656188">
              <w:rPr>
                <w:rStyle w:val="Hyperlink"/>
              </w:rPr>
              <w:t>5</w:t>
            </w:r>
            <w:r w:rsidR="00BC600D">
              <w:rPr>
                <w:rFonts w:asciiTheme="minorHAnsi" w:eastAsiaTheme="minorEastAsia" w:hAnsiTheme="minorHAnsi"/>
                <w:b w:val="0"/>
                <w:lang w:eastAsia="en-AU"/>
              </w:rPr>
              <w:tab/>
            </w:r>
            <w:r w:rsidR="00BC600D" w:rsidRPr="00656188">
              <w:rPr>
                <w:rStyle w:val="Hyperlink"/>
              </w:rPr>
              <w:t>Service structure</w:t>
            </w:r>
            <w:r w:rsidR="00BC600D">
              <w:rPr>
                <w:webHidden/>
              </w:rPr>
              <w:tab/>
            </w:r>
            <w:r w:rsidR="00BC600D">
              <w:rPr>
                <w:webHidden/>
              </w:rPr>
              <w:fldChar w:fldCharType="begin" w:fldLock="1"/>
            </w:r>
            <w:r w:rsidR="00BC600D">
              <w:rPr>
                <w:webHidden/>
              </w:rPr>
              <w:instrText xml:space="preserve"> PAGEREF _Toc18328848 \h </w:instrText>
            </w:r>
            <w:r w:rsidR="00BC600D">
              <w:rPr>
                <w:webHidden/>
              </w:rPr>
            </w:r>
            <w:r w:rsidR="00BC600D">
              <w:rPr>
                <w:webHidden/>
              </w:rPr>
              <w:fldChar w:fldCharType="separate"/>
            </w:r>
            <w:r w:rsidR="00474B0C">
              <w:rPr>
                <w:webHidden/>
              </w:rPr>
              <w:t>22</w:t>
            </w:r>
            <w:r w:rsidR="00BC600D">
              <w:rPr>
                <w:webHidden/>
              </w:rPr>
              <w:fldChar w:fldCharType="end"/>
            </w:r>
          </w:hyperlink>
        </w:p>
        <w:p w14:paraId="58C0938D" w14:textId="77777777" w:rsidR="00BC600D" w:rsidRDefault="007114E3">
          <w:pPr>
            <w:pStyle w:val="TOC2"/>
            <w:tabs>
              <w:tab w:val="left" w:pos="1100"/>
            </w:tabs>
            <w:rPr>
              <w:rFonts w:asciiTheme="minorHAnsi" w:eastAsiaTheme="minorEastAsia" w:hAnsiTheme="minorHAnsi"/>
              <w:lang w:eastAsia="en-AU"/>
            </w:rPr>
          </w:pPr>
          <w:hyperlink w:anchor="_Toc18328849" w:history="1">
            <w:r w:rsidR="00BC600D" w:rsidRPr="00656188">
              <w:rPr>
                <w:rStyle w:val="Hyperlink"/>
                <w:lang w:eastAsia="ja-JP"/>
              </w:rPr>
              <w:t>5.1</w:t>
            </w:r>
            <w:r w:rsidR="00BC600D">
              <w:rPr>
                <w:rFonts w:asciiTheme="minorHAnsi" w:eastAsiaTheme="minorEastAsia" w:hAnsiTheme="minorHAnsi"/>
                <w:lang w:eastAsia="en-AU"/>
              </w:rPr>
              <w:tab/>
            </w:r>
            <w:r w:rsidR="00BC600D" w:rsidRPr="00656188">
              <w:rPr>
                <w:rStyle w:val="Hyperlink"/>
                <w:lang w:eastAsia="ja-JP"/>
              </w:rPr>
              <w:t>Current service structure</w:t>
            </w:r>
            <w:r w:rsidR="00BC600D">
              <w:rPr>
                <w:webHidden/>
              </w:rPr>
              <w:tab/>
            </w:r>
            <w:r w:rsidR="00BC600D">
              <w:rPr>
                <w:webHidden/>
              </w:rPr>
              <w:fldChar w:fldCharType="begin" w:fldLock="1"/>
            </w:r>
            <w:r w:rsidR="00BC600D">
              <w:rPr>
                <w:webHidden/>
              </w:rPr>
              <w:instrText xml:space="preserve"> PAGEREF _Toc18328849 \h </w:instrText>
            </w:r>
            <w:r w:rsidR="00BC600D">
              <w:rPr>
                <w:webHidden/>
              </w:rPr>
            </w:r>
            <w:r w:rsidR="00BC600D">
              <w:rPr>
                <w:webHidden/>
              </w:rPr>
              <w:fldChar w:fldCharType="separate"/>
            </w:r>
            <w:r w:rsidR="00474B0C">
              <w:rPr>
                <w:webHidden/>
              </w:rPr>
              <w:t>22</w:t>
            </w:r>
            <w:r w:rsidR="00BC600D">
              <w:rPr>
                <w:webHidden/>
              </w:rPr>
              <w:fldChar w:fldCharType="end"/>
            </w:r>
          </w:hyperlink>
        </w:p>
        <w:p w14:paraId="6EE9740B" w14:textId="77777777" w:rsidR="00BC600D" w:rsidRDefault="007114E3">
          <w:pPr>
            <w:pStyle w:val="TOC2"/>
            <w:tabs>
              <w:tab w:val="left" w:pos="1100"/>
            </w:tabs>
            <w:rPr>
              <w:rFonts w:asciiTheme="minorHAnsi" w:eastAsiaTheme="minorEastAsia" w:hAnsiTheme="minorHAnsi"/>
              <w:lang w:eastAsia="en-AU"/>
            </w:rPr>
          </w:pPr>
          <w:hyperlink w:anchor="_Toc18328850" w:history="1">
            <w:r w:rsidR="00BC600D" w:rsidRPr="00656188">
              <w:rPr>
                <w:rStyle w:val="Hyperlink"/>
                <w:lang w:eastAsia="ja-JP"/>
              </w:rPr>
              <w:t>5.2</w:t>
            </w:r>
            <w:r w:rsidR="00BC600D">
              <w:rPr>
                <w:rFonts w:asciiTheme="minorHAnsi" w:eastAsiaTheme="minorEastAsia" w:hAnsiTheme="minorHAnsi"/>
                <w:lang w:eastAsia="en-AU"/>
              </w:rPr>
              <w:tab/>
            </w:r>
            <w:r w:rsidR="00BC600D" w:rsidRPr="00656188">
              <w:rPr>
                <w:rStyle w:val="Hyperlink"/>
                <w:lang w:eastAsia="ja-JP"/>
              </w:rPr>
              <w:t>Governance</w:t>
            </w:r>
            <w:r w:rsidR="00BC600D">
              <w:rPr>
                <w:webHidden/>
              </w:rPr>
              <w:tab/>
            </w:r>
            <w:r w:rsidR="00BC600D">
              <w:rPr>
                <w:webHidden/>
              </w:rPr>
              <w:fldChar w:fldCharType="begin" w:fldLock="1"/>
            </w:r>
            <w:r w:rsidR="00BC600D">
              <w:rPr>
                <w:webHidden/>
              </w:rPr>
              <w:instrText xml:space="preserve"> PAGEREF _Toc18328850 \h </w:instrText>
            </w:r>
            <w:r w:rsidR="00BC600D">
              <w:rPr>
                <w:webHidden/>
              </w:rPr>
            </w:r>
            <w:r w:rsidR="00BC600D">
              <w:rPr>
                <w:webHidden/>
              </w:rPr>
              <w:fldChar w:fldCharType="separate"/>
            </w:r>
            <w:r w:rsidR="00474B0C">
              <w:rPr>
                <w:webHidden/>
              </w:rPr>
              <w:t>25</w:t>
            </w:r>
            <w:r w:rsidR="00BC600D">
              <w:rPr>
                <w:webHidden/>
              </w:rPr>
              <w:fldChar w:fldCharType="end"/>
            </w:r>
          </w:hyperlink>
        </w:p>
        <w:p w14:paraId="0D15B273" w14:textId="77777777" w:rsidR="00BC600D" w:rsidRDefault="007114E3">
          <w:pPr>
            <w:pStyle w:val="TOC1"/>
            <w:rPr>
              <w:rFonts w:asciiTheme="minorHAnsi" w:eastAsiaTheme="minorEastAsia" w:hAnsiTheme="minorHAnsi"/>
              <w:b w:val="0"/>
              <w:lang w:eastAsia="en-AU"/>
            </w:rPr>
          </w:pPr>
          <w:hyperlink w:anchor="_Toc18328851" w:history="1">
            <w:r w:rsidR="00BC600D" w:rsidRPr="00656188">
              <w:rPr>
                <w:rStyle w:val="Hyperlink"/>
              </w:rPr>
              <w:t>6</w:t>
            </w:r>
            <w:r w:rsidR="00BC600D">
              <w:rPr>
                <w:rFonts w:asciiTheme="minorHAnsi" w:eastAsiaTheme="minorEastAsia" w:hAnsiTheme="minorHAnsi"/>
                <w:b w:val="0"/>
                <w:lang w:eastAsia="en-AU"/>
              </w:rPr>
              <w:tab/>
            </w:r>
            <w:r w:rsidR="00BC600D" w:rsidRPr="00656188">
              <w:rPr>
                <w:rStyle w:val="Hyperlink"/>
              </w:rPr>
              <w:t>Funding arrangements</w:t>
            </w:r>
            <w:r w:rsidR="00BC600D">
              <w:rPr>
                <w:webHidden/>
              </w:rPr>
              <w:tab/>
            </w:r>
            <w:r w:rsidR="00BC600D">
              <w:rPr>
                <w:webHidden/>
              </w:rPr>
              <w:fldChar w:fldCharType="begin" w:fldLock="1"/>
            </w:r>
            <w:r w:rsidR="00BC600D">
              <w:rPr>
                <w:webHidden/>
              </w:rPr>
              <w:instrText xml:space="preserve"> PAGEREF _Toc18328851 \h </w:instrText>
            </w:r>
            <w:r w:rsidR="00BC600D">
              <w:rPr>
                <w:webHidden/>
              </w:rPr>
            </w:r>
            <w:r w:rsidR="00BC600D">
              <w:rPr>
                <w:webHidden/>
              </w:rPr>
              <w:fldChar w:fldCharType="separate"/>
            </w:r>
            <w:r w:rsidR="00474B0C">
              <w:rPr>
                <w:webHidden/>
              </w:rPr>
              <w:t>28</w:t>
            </w:r>
            <w:r w:rsidR="00BC600D">
              <w:rPr>
                <w:webHidden/>
              </w:rPr>
              <w:fldChar w:fldCharType="end"/>
            </w:r>
          </w:hyperlink>
        </w:p>
        <w:p w14:paraId="146BA159" w14:textId="77777777" w:rsidR="00BC600D" w:rsidRDefault="007114E3">
          <w:pPr>
            <w:pStyle w:val="TOC2"/>
            <w:tabs>
              <w:tab w:val="left" w:pos="1100"/>
            </w:tabs>
            <w:rPr>
              <w:rFonts w:asciiTheme="minorHAnsi" w:eastAsiaTheme="minorEastAsia" w:hAnsiTheme="minorHAnsi"/>
              <w:lang w:eastAsia="en-AU"/>
            </w:rPr>
          </w:pPr>
          <w:hyperlink w:anchor="_Toc18328852" w:history="1">
            <w:r w:rsidR="00BC600D" w:rsidRPr="00656188">
              <w:rPr>
                <w:rStyle w:val="Hyperlink"/>
                <w:lang w:eastAsia="ja-JP"/>
              </w:rPr>
              <w:t>6.1</w:t>
            </w:r>
            <w:r w:rsidR="00BC600D">
              <w:rPr>
                <w:rFonts w:asciiTheme="minorHAnsi" w:eastAsiaTheme="minorEastAsia" w:hAnsiTheme="minorHAnsi"/>
                <w:lang w:eastAsia="en-AU"/>
              </w:rPr>
              <w:tab/>
            </w:r>
            <w:r w:rsidR="00BC600D" w:rsidRPr="00656188">
              <w:rPr>
                <w:rStyle w:val="Hyperlink"/>
                <w:lang w:eastAsia="ja-JP"/>
              </w:rPr>
              <w:t>Funding sources</w:t>
            </w:r>
            <w:r w:rsidR="00BC600D">
              <w:rPr>
                <w:webHidden/>
              </w:rPr>
              <w:tab/>
            </w:r>
            <w:r w:rsidR="00BC600D">
              <w:rPr>
                <w:webHidden/>
              </w:rPr>
              <w:fldChar w:fldCharType="begin" w:fldLock="1"/>
            </w:r>
            <w:r w:rsidR="00BC600D">
              <w:rPr>
                <w:webHidden/>
              </w:rPr>
              <w:instrText xml:space="preserve"> PAGEREF _Toc18328852 \h </w:instrText>
            </w:r>
            <w:r w:rsidR="00BC600D">
              <w:rPr>
                <w:webHidden/>
              </w:rPr>
            </w:r>
            <w:r w:rsidR="00BC600D">
              <w:rPr>
                <w:webHidden/>
              </w:rPr>
              <w:fldChar w:fldCharType="separate"/>
            </w:r>
            <w:r w:rsidR="00474B0C">
              <w:rPr>
                <w:webHidden/>
              </w:rPr>
              <w:t>28</w:t>
            </w:r>
            <w:r w:rsidR="00BC600D">
              <w:rPr>
                <w:webHidden/>
              </w:rPr>
              <w:fldChar w:fldCharType="end"/>
            </w:r>
          </w:hyperlink>
        </w:p>
        <w:p w14:paraId="00199652" w14:textId="77777777" w:rsidR="00BC600D" w:rsidRDefault="007114E3">
          <w:pPr>
            <w:pStyle w:val="TOC2"/>
            <w:tabs>
              <w:tab w:val="left" w:pos="1100"/>
            </w:tabs>
            <w:rPr>
              <w:rFonts w:asciiTheme="minorHAnsi" w:eastAsiaTheme="minorEastAsia" w:hAnsiTheme="minorHAnsi"/>
              <w:lang w:eastAsia="en-AU"/>
            </w:rPr>
          </w:pPr>
          <w:hyperlink w:anchor="_Toc18328853" w:history="1">
            <w:r w:rsidR="00BC600D" w:rsidRPr="00656188">
              <w:rPr>
                <w:rStyle w:val="Hyperlink"/>
                <w:lang w:eastAsia="ja-JP"/>
              </w:rPr>
              <w:t>6.2</w:t>
            </w:r>
            <w:r w:rsidR="00BC600D">
              <w:rPr>
                <w:rFonts w:asciiTheme="minorHAnsi" w:eastAsiaTheme="minorEastAsia" w:hAnsiTheme="minorHAnsi"/>
                <w:lang w:eastAsia="en-AU"/>
              </w:rPr>
              <w:tab/>
            </w:r>
            <w:r w:rsidR="00BC600D" w:rsidRPr="00656188">
              <w:rPr>
                <w:rStyle w:val="Hyperlink"/>
                <w:lang w:eastAsia="ja-JP"/>
              </w:rPr>
              <w:t>Funding parameters</w:t>
            </w:r>
            <w:r w:rsidR="00BC600D">
              <w:rPr>
                <w:webHidden/>
              </w:rPr>
              <w:tab/>
            </w:r>
            <w:r w:rsidR="00BC600D">
              <w:rPr>
                <w:webHidden/>
              </w:rPr>
              <w:fldChar w:fldCharType="begin" w:fldLock="1"/>
            </w:r>
            <w:r w:rsidR="00BC600D">
              <w:rPr>
                <w:webHidden/>
              </w:rPr>
              <w:instrText xml:space="preserve"> PAGEREF _Toc18328853 \h </w:instrText>
            </w:r>
            <w:r w:rsidR="00BC600D">
              <w:rPr>
                <w:webHidden/>
              </w:rPr>
            </w:r>
            <w:r w:rsidR="00BC600D">
              <w:rPr>
                <w:webHidden/>
              </w:rPr>
              <w:fldChar w:fldCharType="separate"/>
            </w:r>
            <w:r w:rsidR="00474B0C">
              <w:rPr>
                <w:webHidden/>
              </w:rPr>
              <w:t>30</w:t>
            </w:r>
            <w:r w:rsidR="00BC600D">
              <w:rPr>
                <w:webHidden/>
              </w:rPr>
              <w:fldChar w:fldCharType="end"/>
            </w:r>
          </w:hyperlink>
        </w:p>
        <w:p w14:paraId="70A88A19" w14:textId="77777777" w:rsidR="00BC600D" w:rsidRDefault="007114E3">
          <w:pPr>
            <w:pStyle w:val="TOC1"/>
            <w:rPr>
              <w:rFonts w:asciiTheme="minorHAnsi" w:eastAsiaTheme="minorEastAsia" w:hAnsiTheme="minorHAnsi"/>
              <w:b w:val="0"/>
              <w:lang w:eastAsia="en-AU"/>
            </w:rPr>
          </w:pPr>
          <w:hyperlink w:anchor="_Toc18328854" w:history="1">
            <w:r w:rsidR="00BC600D" w:rsidRPr="00656188">
              <w:rPr>
                <w:rStyle w:val="Hyperlink"/>
              </w:rPr>
              <w:t>7</w:t>
            </w:r>
            <w:r w:rsidR="00BC600D">
              <w:rPr>
                <w:rFonts w:asciiTheme="minorHAnsi" w:eastAsiaTheme="minorEastAsia" w:hAnsiTheme="minorHAnsi"/>
                <w:b w:val="0"/>
                <w:lang w:eastAsia="en-AU"/>
              </w:rPr>
              <w:tab/>
            </w:r>
            <w:r w:rsidR="00BC600D" w:rsidRPr="00656188">
              <w:rPr>
                <w:rStyle w:val="Hyperlink"/>
              </w:rPr>
              <w:t>Service delivery</w:t>
            </w:r>
            <w:r w:rsidR="00BC600D">
              <w:rPr>
                <w:webHidden/>
              </w:rPr>
              <w:tab/>
            </w:r>
            <w:r w:rsidR="00BC600D">
              <w:rPr>
                <w:webHidden/>
              </w:rPr>
              <w:fldChar w:fldCharType="begin" w:fldLock="1"/>
            </w:r>
            <w:r w:rsidR="00BC600D">
              <w:rPr>
                <w:webHidden/>
              </w:rPr>
              <w:instrText xml:space="preserve"> PAGEREF _Toc18328854 \h </w:instrText>
            </w:r>
            <w:r w:rsidR="00BC600D">
              <w:rPr>
                <w:webHidden/>
              </w:rPr>
            </w:r>
            <w:r w:rsidR="00BC600D">
              <w:rPr>
                <w:webHidden/>
              </w:rPr>
              <w:fldChar w:fldCharType="separate"/>
            </w:r>
            <w:r w:rsidR="00474B0C">
              <w:rPr>
                <w:webHidden/>
              </w:rPr>
              <w:t>35</w:t>
            </w:r>
            <w:r w:rsidR="00BC600D">
              <w:rPr>
                <w:webHidden/>
              </w:rPr>
              <w:fldChar w:fldCharType="end"/>
            </w:r>
          </w:hyperlink>
        </w:p>
        <w:p w14:paraId="0CC6D7C6" w14:textId="77777777" w:rsidR="00BC600D" w:rsidRDefault="007114E3">
          <w:pPr>
            <w:pStyle w:val="TOC2"/>
            <w:tabs>
              <w:tab w:val="left" w:pos="1100"/>
            </w:tabs>
            <w:rPr>
              <w:rFonts w:asciiTheme="minorHAnsi" w:eastAsiaTheme="minorEastAsia" w:hAnsiTheme="minorHAnsi"/>
              <w:lang w:eastAsia="en-AU"/>
            </w:rPr>
          </w:pPr>
          <w:hyperlink w:anchor="_Toc18328855" w:history="1">
            <w:r w:rsidR="00BC600D" w:rsidRPr="00656188">
              <w:rPr>
                <w:rStyle w:val="Hyperlink"/>
                <w:lang w:eastAsia="ja-JP"/>
              </w:rPr>
              <w:t>7.1</w:t>
            </w:r>
            <w:r w:rsidR="00BC600D">
              <w:rPr>
                <w:rFonts w:asciiTheme="minorHAnsi" w:eastAsiaTheme="minorEastAsia" w:hAnsiTheme="minorHAnsi"/>
                <w:lang w:eastAsia="en-AU"/>
              </w:rPr>
              <w:tab/>
            </w:r>
            <w:r w:rsidR="00BC600D" w:rsidRPr="00656188">
              <w:rPr>
                <w:rStyle w:val="Hyperlink"/>
                <w:lang w:eastAsia="ja-JP"/>
              </w:rPr>
              <w:t>Delivery models</w:t>
            </w:r>
            <w:r w:rsidR="00BC600D">
              <w:rPr>
                <w:webHidden/>
              </w:rPr>
              <w:tab/>
            </w:r>
            <w:r w:rsidR="00BC600D">
              <w:rPr>
                <w:webHidden/>
              </w:rPr>
              <w:fldChar w:fldCharType="begin" w:fldLock="1"/>
            </w:r>
            <w:r w:rsidR="00BC600D">
              <w:rPr>
                <w:webHidden/>
              </w:rPr>
              <w:instrText xml:space="preserve"> PAGEREF _Toc18328855 \h </w:instrText>
            </w:r>
            <w:r w:rsidR="00BC600D">
              <w:rPr>
                <w:webHidden/>
              </w:rPr>
            </w:r>
            <w:r w:rsidR="00BC600D">
              <w:rPr>
                <w:webHidden/>
              </w:rPr>
              <w:fldChar w:fldCharType="separate"/>
            </w:r>
            <w:r w:rsidR="00474B0C">
              <w:rPr>
                <w:webHidden/>
              </w:rPr>
              <w:t>35</w:t>
            </w:r>
            <w:r w:rsidR="00BC600D">
              <w:rPr>
                <w:webHidden/>
              </w:rPr>
              <w:fldChar w:fldCharType="end"/>
            </w:r>
          </w:hyperlink>
        </w:p>
        <w:p w14:paraId="43507D67" w14:textId="77777777" w:rsidR="00BC600D" w:rsidRDefault="007114E3">
          <w:pPr>
            <w:pStyle w:val="TOC2"/>
            <w:tabs>
              <w:tab w:val="left" w:pos="1100"/>
            </w:tabs>
            <w:rPr>
              <w:rFonts w:asciiTheme="minorHAnsi" w:eastAsiaTheme="minorEastAsia" w:hAnsiTheme="minorHAnsi"/>
              <w:lang w:eastAsia="en-AU"/>
            </w:rPr>
          </w:pPr>
          <w:hyperlink w:anchor="_Toc18328856" w:history="1">
            <w:r w:rsidR="00BC600D" w:rsidRPr="00656188">
              <w:rPr>
                <w:rStyle w:val="Hyperlink"/>
                <w:lang w:eastAsia="ja-JP"/>
              </w:rPr>
              <w:t>7.2</w:t>
            </w:r>
            <w:r w:rsidR="00BC600D">
              <w:rPr>
                <w:rFonts w:asciiTheme="minorHAnsi" w:eastAsiaTheme="minorEastAsia" w:hAnsiTheme="minorHAnsi"/>
                <w:lang w:eastAsia="en-AU"/>
              </w:rPr>
              <w:tab/>
            </w:r>
            <w:r w:rsidR="00BC600D" w:rsidRPr="00656188">
              <w:rPr>
                <w:rStyle w:val="Hyperlink"/>
                <w:lang w:eastAsia="ja-JP"/>
              </w:rPr>
              <w:t>Counsellor training and professional development</w:t>
            </w:r>
            <w:r w:rsidR="00BC600D">
              <w:rPr>
                <w:webHidden/>
              </w:rPr>
              <w:tab/>
            </w:r>
            <w:r w:rsidR="00BC600D">
              <w:rPr>
                <w:webHidden/>
              </w:rPr>
              <w:fldChar w:fldCharType="begin" w:fldLock="1"/>
            </w:r>
            <w:r w:rsidR="00BC600D">
              <w:rPr>
                <w:webHidden/>
              </w:rPr>
              <w:instrText xml:space="preserve"> PAGEREF _Toc18328856 \h </w:instrText>
            </w:r>
            <w:r w:rsidR="00BC600D">
              <w:rPr>
                <w:webHidden/>
              </w:rPr>
            </w:r>
            <w:r w:rsidR="00BC600D">
              <w:rPr>
                <w:webHidden/>
              </w:rPr>
              <w:fldChar w:fldCharType="separate"/>
            </w:r>
            <w:r w:rsidR="00474B0C">
              <w:rPr>
                <w:webHidden/>
              </w:rPr>
              <w:t>37</w:t>
            </w:r>
            <w:r w:rsidR="00BC600D">
              <w:rPr>
                <w:webHidden/>
              </w:rPr>
              <w:fldChar w:fldCharType="end"/>
            </w:r>
          </w:hyperlink>
        </w:p>
        <w:p w14:paraId="01E7B449" w14:textId="77777777" w:rsidR="00BC600D" w:rsidRDefault="007114E3">
          <w:pPr>
            <w:pStyle w:val="TOC1"/>
            <w:rPr>
              <w:rFonts w:asciiTheme="minorHAnsi" w:eastAsiaTheme="minorEastAsia" w:hAnsiTheme="minorHAnsi"/>
              <w:b w:val="0"/>
              <w:lang w:eastAsia="en-AU"/>
            </w:rPr>
          </w:pPr>
          <w:hyperlink w:anchor="_Toc18328857" w:history="1">
            <w:r w:rsidR="00BC600D" w:rsidRPr="00656188">
              <w:rPr>
                <w:rStyle w:val="Hyperlink"/>
              </w:rPr>
              <w:t>8</w:t>
            </w:r>
            <w:r w:rsidR="00BC600D">
              <w:rPr>
                <w:rFonts w:asciiTheme="minorHAnsi" w:eastAsiaTheme="minorEastAsia" w:hAnsiTheme="minorHAnsi"/>
                <w:b w:val="0"/>
                <w:lang w:eastAsia="en-AU"/>
              </w:rPr>
              <w:tab/>
            </w:r>
            <w:r w:rsidR="00BC600D" w:rsidRPr="00656188">
              <w:rPr>
                <w:rStyle w:val="Hyperlink"/>
              </w:rPr>
              <w:t>Coordination and support</w:t>
            </w:r>
            <w:r w:rsidR="00BC600D">
              <w:rPr>
                <w:webHidden/>
              </w:rPr>
              <w:tab/>
            </w:r>
            <w:r w:rsidR="00BC600D">
              <w:rPr>
                <w:webHidden/>
              </w:rPr>
              <w:fldChar w:fldCharType="begin" w:fldLock="1"/>
            </w:r>
            <w:r w:rsidR="00BC600D">
              <w:rPr>
                <w:webHidden/>
              </w:rPr>
              <w:instrText xml:space="preserve"> PAGEREF _Toc18328857 \h </w:instrText>
            </w:r>
            <w:r w:rsidR="00BC600D">
              <w:rPr>
                <w:webHidden/>
              </w:rPr>
            </w:r>
            <w:r w:rsidR="00BC600D">
              <w:rPr>
                <w:webHidden/>
              </w:rPr>
              <w:fldChar w:fldCharType="separate"/>
            </w:r>
            <w:r w:rsidR="00474B0C">
              <w:rPr>
                <w:webHidden/>
              </w:rPr>
              <w:t>41</w:t>
            </w:r>
            <w:r w:rsidR="00BC600D">
              <w:rPr>
                <w:webHidden/>
              </w:rPr>
              <w:fldChar w:fldCharType="end"/>
            </w:r>
          </w:hyperlink>
        </w:p>
        <w:p w14:paraId="30FBFC28" w14:textId="77777777" w:rsidR="00BC600D" w:rsidRDefault="007114E3">
          <w:pPr>
            <w:pStyle w:val="TOC2"/>
            <w:tabs>
              <w:tab w:val="left" w:pos="1100"/>
            </w:tabs>
            <w:rPr>
              <w:rFonts w:asciiTheme="minorHAnsi" w:eastAsiaTheme="minorEastAsia" w:hAnsiTheme="minorHAnsi"/>
              <w:lang w:eastAsia="en-AU"/>
            </w:rPr>
          </w:pPr>
          <w:hyperlink w:anchor="_Toc18328858" w:history="1">
            <w:r w:rsidR="00BC600D" w:rsidRPr="00656188">
              <w:rPr>
                <w:rStyle w:val="Hyperlink"/>
                <w:lang w:eastAsia="ja-JP"/>
              </w:rPr>
              <w:t>8.1</w:t>
            </w:r>
            <w:r w:rsidR="00BC600D">
              <w:rPr>
                <w:rFonts w:asciiTheme="minorHAnsi" w:eastAsiaTheme="minorEastAsia" w:hAnsiTheme="minorHAnsi"/>
                <w:lang w:eastAsia="en-AU"/>
              </w:rPr>
              <w:tab/>
            </w:r>
            <w:r w:rsidR="00BC600D" w:rsidRPr="00656188">
              <w:rPr>
                <w:rStyle w:val="Hyperlink"/>
                <w:lang w:eastAsia="ja-JP"/>
              </w:rPr>
              <w:t>National coordination</w:t>
            </w:r>
            <w:r w:rsidR="00BC600D">
              <w:rPr>
                <w:webHidden/>
              </w:rPr>
              <w:tab/>
            </w:r>
            <w:r w:rsidR="00BC600D">
              <w:rPr>
                <w:webHidden/>
              </w:rPr>
              <w:fldChar w:fldCharType="begin" w:fldLock="1"/>
            </w:r>
            <w:r w:rsidR="00BC600D">
              <w:rPr>
                <w:webHidden/>
              </w:rPr>
              <w:instrText xml:space="preserve"> PAGEREF _Toc18328858 \h </w:instrText>
            </w:r>
            <w:r w:rsidR="00BC600D">
              <w:rPr>
                <w:webHidden/>
              </w:rPr>
            </w:r>
            <w:r w:rsidR="00BC600D">
              <w:rPr>
                <w:webHidden/>
              </w:rPr>
              <w:fldChar w:fldCharType="separate"/>
            </w:r>
            <w:r w:rsidR="00474B0C">
              <w:rPr>
                <w:webHidden/>
              </w:rPr>
              <w:t>41</w:t>
            </w:r>
            <w:r w:rsidR="00BC600D">
              <w:rPr>
                <w:webHidden/>
              </w:rPr>
              <w:fldChar w:fldCharType="end"/>
            </w:r>
          </w:hyperlink>
        </w:p>
        <w:p w14:paraId="4E0567BE" w14:textId="77777777" w:rsidR="00BC600D" w:rsidRDefault="007114E3">
          <w:pPr>
            <w:pStyle w:val="TOC2"/>
            <w:tabs>
              <w:tab w:val="left" w:pos="1100"/>
            </w:tabs>
            <w:rPr>
              <w:rFonts w:asciiTheme="minorHAnsi" w:eastAsiaTheme="minorEastAsia" w:hAnsiTheme="minorHAnsi"/>
              <w:lang w:eastAsia="en-AU"/>
            </w:rPr>
          </w:pPr>
          <w:hyperlink w:anchor="_Toc18328859" w:history="1">
            <w:r w:rsidR="00BC600D" w:rsidRPr="00656188">
              <w:rPr>
                <w:rStyle w:val="Hyperlink"/>
                <w:lang w:eastAsia="ja-JP"/>
              </w:rPr>
              <w:t>8.2</w:t>
            </w:r>
            <w:r w:rsidR="00BC600D">
              <w:rPr>
                <w:rFonts w:asciiTheme="minorHAnsi" w:eastAsiaTheme="minorEastAsia" w:hAnsiTheme="minorHAnsi"/>
                <w:lang w:eastAsia="en-AU"/>
              </w:rPr>
              <w:tab/>
            </w:r>
            <w:r w:rsidR="00BC600D" w:rsidRPr="00656188">
              <w:rPr>
                <w:rStyle w:val="Hyperlink"/>
                <w:lang w:eastAsia="ja-JP"/>
              </w:rPr>
              <w:t>Partner relationships</w:t>
            </w:r>
            <w:r w:rsidR="00BC600D">
              <w:rPr>
                <w:webHidden/>
              </w:rPr>
              <w:tab/>
            </w:r>
            <w:r w:rsidR="00BC600D">
              <w:rPr>
                <w:webHidden/>
              </w:rPr>
              <w:fldChar w:fldCharType="begin" w:fldLock="1"/>
            </w:r>
            <w:r w:rsidR="00BC600D">
              <w:rPr>
                <w:webHidden/>
              </w:rPr>
              <w:instrText xml:space="preserve"> PAGEREF _Toc18328859 \h </w:instrText>
            </w:r>
            <w:r w:rsidR="00BC600D">
              <w:rPr>
                <w:webHidden/>
              </w:rPr>
            </w:r>
            <w:r w:rsidR="00BC600D">
              <w:rPr>
                <w:webHidden/>
              </w:rPr>
              <w:fldChar w:fldCharType="separate"/>
            </w:r>
            <w:r w:rsidR="00474B0C">
              <w:rPr>
                <w:webHidden/>
              </w:rPr>
              <w:t>44</w:t>
            </w:r>
            <w:r w:rsidR="00BC600D">
              <w:rPr>
                <w:webHidden/>
              </w:rPr>
              <w:fldChar w:fldCharType="end"/>
            </w:r>
          </w:hyperlink>
        </w:p>
        <w:p w14:paraId="4069D35E" w14:textId="77777777" w:rsidR="00BC600D" w:rsidRDefault="007114E3">
          <w:pPr>
            <w:pStyle w:val="TOC2"/>
            <w:tabs>
              <w:tab w:val="left" w:pos="1100"/>
            </w:tabs>
            <w:rPr>
              <w:rFonts w:asciiTheme="minorHAnsi" w:eastAsiaTheme="minorEastAsia" w:hAnsiTheme="minorHAnsi"/>
              <w:lang w:eastAsia="en-AU"/>
            </w:rPr>
          </w:pPr>
          <w:hyperlink w:anchor="_Toc18328860" w:history="1">
            <w:r w:rsidR="00BC600D" w:rsidRPr="00656188">
              <w:rPr>
                <w:rStyle w:val="Hyperlink"/>
                <w:lang w:eastAsia="ja-JP"/>
              </w:rPr>
              <w:t>8.3</w:t>
            </w:r>
            <w:r w:rsidR="00BC600D">
              <w:rPr>
                <w:rFonts w:asciiTheme="minorHAnsi" w:eastAsiaTheme="minorEastAsia" w:hAnsiTheme="minorHAnsi"/>
                <w:lang w:eastAsia="en-AU"/>
              </w:rPr>
              <w:tab/>
            </w:r>
            <w:r w:rsidR="00BC600D" w:rsidRPr="00656188">
              <w:rPr>
                <w:rStyle w:val="Hyperlink"/>
                <w:lang w:eastAsia="ja-JP"/>
              </w:rPr>
              <w:t>Counsellor support</w:t>
            </w:r>
            <w:r w:rsidR="00BC600D">
              <w:rPr>
                <w:webHidden/>
              </w:rPr>
              <w:tab/>
            </w:r>
            <w:r w:rsidR="00BC600D">
              <w:rPr>
                <w:webHidden/>
              </w:rPr>
              <w:fldChar w:fldCharType="begin" w:fldLock="1"/>
            </w:r>
            <w:r w:rsidR="00BC600D">
              <w:rPr>
                <w:webHidden/>
              </w:rPr>
              <w:instrText xml:space="preserve"> PAGEREF _Toc18328860 \h </w:instrText>
            </w:r>
            <w:r w:rsidR="00BC600D">
              <w:rPr>
                <w:webHidden/>
              </w:rPr>
            </w:r>
            <w:r w:rsidR="00BC600D">
              <w:rPr>
                <w:webHidden/>
              </w:rPr>
              <w:fldChar w:fldCharType="separate"/>
            </w:r>
            <w:r w:rsidR="00474B0C">
              <w:rPr>
                <w:webHidden/>
              </w:rPr>
              <w:t>46</w:t>
            </w:r>
            <w:r w:rsidR="00BC600D">
              <w:rPr>
                <w:webHidden/>
              </w:rPr>
              <w:fldChar w:fldCharType="end"/>
            </w:r>
          </w:hyperlink>
        </w:p>
        <w:p w14:paraId="36DE93D7" w14:textId="77777777" w:rsidR="00BC600D" w:rsidRDefault="007114E3">
          <w:pPr>
            <w:pStyle w:val="TOC1"/>
            <w:rPr>
              <w:rFonts w:asciiTheme="minorHAnsi" w:eastAsiaTheme="minorEastAsia" w:hAnsiTheme="minorHAnsi"/>
              <w:b w:val="0"/>
              <w:lang w:eastAsia="en-AU"/>
            </w:rPr>
          </w:pPr>
          <w:hyperlink w:anchor="_Toc18328861" w:history="1">
            <w:r w:rsidR="00BC600D" w:rsidRPr="00656188">
              <w:rPr>
                <w:rStyle w:val="Hyperlink"/>
              </w:rPr>
              <w:t>9</w:t>
            </w:r>
            <w:r w:rsidR="00BC600D">
              <w:rPr>
                <w:rFonts w:asciiTheme="minorHAnsi" w:eastAsiaTheme="minorEastAsia" w:hAnsiTheme="minorHAnsi"/>
                <w:b w:val="0"/>
                <w:lang w:eastAsia="en-AU"/>
              </w:rPr>
              <w:tab/>
            </w:r>
            <w:r w:rsidR="00BC600D" w:rsidRPr="00656188">
              <w:rPr>
                <w:rStyle w:val="Hyperlink"/>
              </w:rPr>
              <w:t>Monitoring and evaluation</w:t>
            </w:r>
            <w:r w:rsidR="00BC600D">
              <w:rPr>
                <w:webHidden/>
              </w:rPr>
              <w:tab/>
            </w:r>
            <w:r w:rsidR="00BC600D">
              <w:rPr>
                <w:webHidden/>
              </w:rPr>
              <w:fldChar w:fldCharType="begin" w:fldLock="1"/>
            </w:r>
            <w:r w:rsidR="00BC600D">
              <w:rPr>
                <w:webHidden/>
              </w:rPr>
              <w:instrText xml:space="preserve"> PAGEREF _Toc18328861 \h </w:instrText>
            </w:r>
            <w:r w:rsidR="00BC600D">
              <w:rPr>
                <w:webHidden/>
              </w:rPr>
            </w:r>
            <w:r w:rsidR="00BC600D">
              <w:rPr>
                <w:webHidden/>
              </w:rPr>
              <w:fldChar w:fldCharType="separate"/>
            </w:r>
            <w:r w:rsidR="00474B0C">
              <w:rPr>
                <w:webHidden/>
              </w:rPr>
              <w:t>48</w:t>
            </w:r>
            <w:r w:rsidR="00BC600D">
              <w:rPr>
                <w:webHidden/>
              </w:rPr>
              <w:fldChar w:fldCharType="end"/>
            </w:r>
          </w:hyperlink>
        </w:p>
        <w:p w14:paraId="13DA7F04" w14:textId="77777777" w:rsidR="00BC600D" w:rsidRDefault="007114E3">
          <w:pPr>
            <w:pStyle w:val="TOC2"/>
            <w:tabs>
              <w:tab w:val="left" w:pos="1100"/>
            </w:tabs>
            <w:rPr>
              <w:rFonts w:asciiTheme="minorHAnsi" w:eastAsiaTheme="minorEastAsia" w:hAnsiTheme="minorHAnsi"/>
              <w:lang w:eastAsia="en-AU"/>
            </w:rPr>
          </w:pPr>
          <w:hyperlink w:anchor="_Toc18328862" w:history="1">
            <w:r w:rsidR="00BC600D" w:rsidRPr="00656188">
              <w:rPr>
                <w:rStyle w:val="Hyperlink"/>
                <w:lang w:eastAsia="ja-JP"/>
              </w:rPr>
              <w:t>9.1</w:t>
            </w:r>
            <w:r w:rsidR="00BC600D">
              <w:rPr>
                <w:rFonts w:asciiTheme="minorHAnsi" w:eastAsiaTheme="minorEastAsia" w:hAnsiTheme="minorHAnsi"/>
                <w:lang w:eastAsia="en-AU"/>
              </w:rPr>
              <w:tab/>
            </w:r>
            <w:r w:rsidR="00BC600D" w:rsidRPr="00656188">
              <w:rPr>
                <w:rStyle w:val="Hyperlink"/>
                <w:lang w:eastAsia="ja-JP"/>
              </w:rPr>
              <w:t>Performance and assessment framework</w:t>
            </w:r>
            <w:r w:rsidR="00BC600D">
              <w:rPr>
                <w:webHidden/>
              </w:rPr>
              <w:tab/>
            </w:r>
            <w:r w:rsidR="00BC600D">
              <w:rPr>
                <w:webHidden/>
              </w:rPr>
              <w:fldChar w:fldCharType="begin" w:fldLock="1"/>
            </w:r>
            <w:r w:rsidR="00BC600D">
              <w:rPr>
                <w:webHidden/>
              </w:rPr>
              <w:instrText xml:space="preserve"> PAGEREF _Toc18328862 \h </w:instrText>
            </w:r>
            <w:r w:rsidR="00BC600D">
              <w:rPr>
                <w:webHidden/>
              </w:rPr>
            </w:r>
            <w:r w:rsidR="00BC600D">
              <w:rPr>
                <w:webHidden/>
              </w:rPr>
              <w:fldChar w:fldCharType="separate"/>
            </w:r>
            <w:r w:rsidR="00474B0C">
              <w:rPr>
                <w:webHidden/>
              </w:rPr>
              <w:t>48</w:t>
            </w:r>
            <w:r w:rsidR="00BC600D">
              <w:rPr>
                <w:webHidden/>
              </w:rPr>
              <w:fldChar w:fldCharType="end"/>
            </w:r>
          </w:hyperlink>
        </w:p>
        <w:p w14:paraId="4047831C" w14:textId="77777777" w:rsidR="00BC600D" w:rsidRDefault="007114E3">
          <w:pPr>
            <w:pStyle w:val="TOC2"/>
            <w:tabs>
              <w:tab w:val="left" w:pos="1100"/>
            </w:tabs>
            <w:rPr>
              <w:rFonts w:asciiTheme="minorHAnsi" w:eastAsiaTheme="minorEastAsia" w:hAnsiTheme="minorHAnsi"/>
              <w:lang w:eastAsia="en-AU"/>
            </w:rPr>
          </w:pPr>
          <w:hyperlink w:anchor="_Toc18328863" w:history="1">
            <w:r w:rsidR="00BC600D" w:rsidRPr="00656188">
              <w:rPr>
                <w:rStyle w:val="Hyperlink"/>
                <w:lang w:eastAsia="ja-JP"/>
              </w:rPr>
              <w:t>9.2</w:t>
            </w:r>
            <w:r w:rsidR="00BC600D">
              <w:rPr>
                <w:rFonts w:asciiTheme="minorHAnsi" w:eastAsiaTheme="minorEastAsia" w:hAnsiTheme="minorHAnsi"/>
                <w:lang w:eastAsia="en-AU"/>
              </w:rPr>
              <w:tab/>
            </w:r>
            <w:r w:rsidR="00BC600D" w:rsidRPr="00656188">
              <w:rPr>
                <w:rStyle w:val="Hyperlink"/>
                <w:lang w:eastAsia="ja-JP"/>
              </w:rPr>
              <w:t>Data collection and reporting</w:t>
            </w:r>
            <w:r w:rsidR="00BC600D">
              <w:rPr>
                <w:webHidden/>
              </w:rPr>
              <w:tab/>
            </w:r>
            <w:r w:rsidR="00BC600D">
              <w:rPr>
                <w:webHidden/>
              </w:rPr>
              <w:fldChar w:fldCharType="begin" w:fldLock="1"/>
            </w:r>
            <w:r w:rsidR="00BC600D">
              <w:rPr>
                <w:webHidden/>
              </w:rPr>
              <w:instrText xml:space="preserve"> PAGEREF _Toc18328863 \h </w:instrText>
            </w:r>
            <w:r w:rsidR="00BC600D">
              <w:rPr>
                <w:webHidden/>
              </w:rPr>
            </w:r>
            <w:r w:rsidR="00BC600D">
              <w:rPr>
                <w:webHidden/>
              </w:rPr>
              <w:fldChar w:fldCharType="separate"/>
            </w:r>
            <w:r w:rsidR="00474B0C">
              <w:rPr>
                <w:webHidden/>
              </w:rPr>
              <w:t>49</w:t>
            </w:r>
            <w:r w:rsidR="00BC600D">
              <w:rPr>
                <w:webHidden/>
              </w:rPr>
              <w:fldChar w:fldCharType="end"/>
            </w:r>
          </w:hyperlink>
        </w:p>
        <w:p w14:paraId="127DAE07" w14:textId="77777777" w:rsidR="00BC600D" w:rsidRDefault="007114E3">
          <w:pPr>
            <w:pStyle w:val="TOC2"/>
            <w:tabs>
              <w:tab w:val="left" w:pos="1100"/>
            </w:tabs>
            <w:rPr>
              <w:rFonts w:asciiTheme="minorHAnsi" w:eastAsiaTheme="minorEastAsia" w:hAnsiTheme="minorHAnsi"/>
              <w:lang w:eastAsia="en-AU"/>
            </w:rPr>
          </w:pPr>
          <w:hyperlink w:anchor="_Toc18328864" w:history="1">
            <w:r w:rsidR="00BC600D" w:rsidRPr="00656188">
              <w:rPr>
                <w:rStyle w:val="Hyperlink"/>
                <w:lang w:eastAsia="ja-JP"/>
              </w:rPr>
              <w:t>9.3</w:t>
            </w:r>
            <w:r w:rsidR="00BC600D">
              <w:rPr>
                <w:rFonts w:asciiTheme="minorHAnsi" w:eastAsiaTheme="minorEastAsia" w:hAnsiTheme="minorHAnsi"/>
                <w:lang w:eastAsia="en-AU"/>
              </w:rPr>
              <w:tab/>
            </w:r>
            <w:r w:rsidR="00BC600D" w:rsidRPr="00656188">
              <w:rPr>
                <w:rStyle w:val="Hyperlink"/>
                <w:lang w:eastAsia="ja-JP"/>
              </w:rPr>
              <w:t>Compliance</w:t>
            </w:r>
            <w:r w:rsidR="00BC600D">
              <w:rPr>
                <w:webHidden/>
              </w:rPr>
              <w:tab/>
            </w:r>
            <w:r w:rsidR="00BC600D">
              <w:rPr>
                <w:webHidden/>
              </w:rPr>
              <w:fldChar w:fldCharType="begin" w:fldLock="1"/>
            </w:r>
            <w:r w:rsidR="00BC600D">
              <w:rPr>
                <w:webHidden/>
              </w:rPr>
              <w:instrText xml:space="preserve"> PAGEREF _Toc18328864 \h </w:instrText>
            </w:r>
            <w:r w:rsidR="00BC600D">
              <w:rPr>
                <w:webHidden/>
              </w:rPr>
            </w:r>
            <w:r w:rsidR="00BC600D">
              <w:rPr>
                <w:webHidden/>
              </w:rPr>
              <w:fldChar w:fldCharType="separate"/>
            </w:r>
            <w:r w:rsidR="00474B0C">
              <w:rPr>
                <w:webHidden/>
              </w:rPr>
              <w:t>52</w:t>
            </w:r>
            <w:r w:rsidR="00BC600D">
              <w:rPr>
                <w:webHidden/>
              </w:rPr>
              <w:fldChar w:fldCharType="end"/>
            </w:r>
          </w:hyperlink>
        </w:p>
        <w:p w14:paraId="7A8A08BF" w14:textId="77777777" w:rsidR="00BC600D" w:rsidRDefault="007114E3">
          <w:pPr>
            <w:pStyle w:val="TOC2"/>
            <w:tabs>
              <w:tab w:val="left" w:pos="1100"/>
            </w:tabs>
            <w:rPr>
              <w:rFonts w:asciiTheme="minorHAnsi" w:eastAsiaTheme="minorEastAsia" w:hAnsiTheme="minorHAnsi"/>
              <w:lang w:eastAsia="en-AU"/>
            </w:rPr>
          </w:pPr>
          <w:hyperlink w:anchor="_Toc18328865" w:history="1">
            <w:r w:rsidR="00BC600D" w:rsidRPr="00656188">
              <w:rPr>
                <w:rStyle w:val="Hyperlink"/>
                <w:lang w:eastAsia="ja-JP"/>
              </w:rPr>
              <w:t>9.4</w:t>
            </w:r>
            <w:r w:rsidR="00BC600D">
              <w:rPr>
                <w:rFonts w:asciiTheme="minorHAnsi" w:eastAsiaTheme="minorEastAsia" w:hAnsiTheme="minorHAnsi"/>
                <w:lang w:eastAsia="en-AU"/>
              </w:rPr>
              <w:tab/>
            </w:r>
            <w:r w:rsidR="00BC600D" w:rsidRPr="00656188">
              <w:rPr>
                <w:rStyle w:val="Hyperlink"/>
                <w:lang w:eastAsia="ja-JP"/>
              </w:rPr>
              <w:t>Discussion</w:t>
            </w:r>
            <w:r w:rsidR="00BC600D">
              <w:rPr>
                <w:webHidden/>
              </w:rPr>
              <w:tab/>
            </w:r>
            <w:r w:rsidR="00BC600D">
              <w:rPr>
                <w:webHidden/>
              </w:rPr>
              <w:fldChar w:fldCharType="begin" w:fldLock="1"/>
            </w:r>
            <w:r w:rsidR="00BC600D">
              <w:rPr>
                <w:webHidden/>
              </w:rPr>
              <w:instrText xml:space="preserve"> PAGEREF _Toc18328865 \h </w:instrText>
            </w:r>
            <w:r w:rsidR="00BC600D">
              <w:rPr>
                <w:webHidden/>
              </w:rPr>
            </w:r>
            <w:r w:rsidR="00BC600D">
              <w:rPr>
                <w:webHidden/>
              </w:rPr>
              <w:fldChar w:fldCharType="separate"/>
            </w:r>
            <w:r w:rsidR="00474B0C">
              <w:rPr>
                <w:webHidden/>
              </w:rPr>
              <w:t>53</w:t>
            </w:r>
            <w:r w:rsidR="00BC600D">
              <w:rPr>
                <w:webHidden/>
              </w:rPr>
              <w:fldChar w:fldCharType="end"/>
            </w:r>
          </w:hyperlink>
        </w:p>
        <w:p w14:paraId="1C7E8F29" w14:textId="77777777" w:rsidR="00BC600D" w:rsidRDefault="007114E3">
          <w:pPr>
            <w:pStyle w:val="TOC2"/>
            <w:tabs>
              <w:tab w:val="left" w:pos="1100"/>
            </w:tabs>
            <w:rPr>
              <w:rFonts w:asciiTheme="minorHAnsi" w:eastAsiaTheme="minorEastAsia" w:hAnsiTheme="minorHAnsi"/>
              <w:lang w:eastAsia="en-AU"/>
            </w:rPr>
          </w:pPr>
          <w:hyperlink w:anchor="_Toc18328866" w:history="1">
            <w:r w:rsidR="00BC600D" w:rsidRPr="00656188">
              <w:rPr>
                <w:rStyle w:val="Hyperlink"/>
                <w:lang w:eastAsia="ja-JP"/>
              </w:rPr>
              <w:t>9.5</w:t>
            </w:r>
            <w:r w:rsidR="00BC600D">
              <w:rPr>
                <w:rFonts w:asciiTheme="minorHAnsi" w:eastAsiaTheme="minorEastAsia" w:hAnsiTheme="minorHAnsi"/>
                <w:lang w:eastAsia="en-AU"/>
              </w:rPr>
              <w:tab/>
            </w:r>
            <w:r w:rsidR="00BC600D" w:rsidRPr="00656188">
              <w:rPr>
                <w:rStyle w:val="Hyperlink"/>
                <w:lang w:eastAsia="ja-JP"/>
              </w:rPr>
              <w:t>Future monitoring and evaluation</w:t>
            </w:r>
            <w:r w:rsidR="00BC600D">
              <w:rPr>
                <w:webHidden/>
              </w:rPr>
              <w:tab/>
            </w:r>
            <w:r w:rsidR="00BC600D">
              <w:rPr>
                <w:webHidden/>
              </w:rPr>
              <w:fldChar w:fldCharType="begin" w:fldLock="1"/>
            </w:r>
            <w:r w:rsidR="00BC600D">
              <w:rPr>
                <w:webHidden/>
              </w:rPr>
              <w:instrText xml:space="preserve"> PAGEREF _Toc18328866 \h </w:instrText>
            </w:r>
            <w:r w:rsidR="00BC600D">
              <w:rPr>
                <w:webHidden/>
              </w:rPr>
            </w:r>
            <w:r w:rsidR="00BC600D">
              <w:rPr>
                <w:webHidden/>
              </w:rPr>
              <w:fldChar w:fldCharType="separate"/>
            </w:r>
            <w:r w:rsidR="00474B0C">
              <w:rPr>
                <w:webHidden/>
              </w:rPr>
              <w:t>53</w:t>
            </w:r>
            <w:r w:rsidR="00BC600D">
              <w:rPr>
                <w:webHidden/>
              </w:rPr>
              <w:fldChar w:fldCharType="end"/>
            </w:r>
          </w:hyperlink>
        </w:p>
        <w:p w14:paraId="3E46D077" w14:textId="77777777" w:rsidR="00BC600D" w:rsidRDefault="007114E3">
          <w:pPr>
            <w:pStyle w:val="TOC1"/>
            <w:rPr>
              <w:rFonts w:asciiTheme="minorHAnsi" w:eastAsiaTheme="minorEastAsia" w:hAnsiTheme="minorHAnsi"/>
              <w:b w:val="0"/>
              <w:lang w:eastAsia="en-AU"/>
            </w:rPr>
          </w:pPr>
          <w:hyperlink w:anchor="_Toc18328867" w:history="1">
            <w:r w:rsidR="00BC600D" w:rsidRPr="00656188">
              <w:rPr>
                <w:rStyle w:val="Hyperlink"/>
              </w:rPr>
              <w:t>Abbreviations</w:t>
            </w:r>
            <w:r w:rsidR="00BC600D">
              <w:rPr>
                <w:webHidden/>
              </w:rPr>
              <w:tab/>
            </w:r>
            <w:r w:rsidR="00BC600D">
              <w:rPr>
                <w:webHidden/>
              </w:rPr>
              <w:fldChar w:fldCharType="begin" w:fldLock="1"/>
            </w:r>
            <w:r w:rsidR="00BC600D">
              <w:rPr>
                <w:webHidden/>
              </w:rPr>
              <w:instrText xml:space="preserve"> PAGEREF _Toc18328867 \h </w:instrText>
            </w:r>
            <w:r w:rsidR="00BC600D">
              <w:rPr>
                <w:webHidden/>
              </w:rPr>
            </w:r>
            <w:r w:rsidR="00BC600D">
              <w:rPr>
                <w:webHidden/>
              </w:rPr>
              <w:fldChar w:fldCharType="separate"/>
            </w:r>
            <w:r w:rsidR="00474B0C">
              <w:rPr>
                <w:webHidden/>
              </w:rPr>
              <w:t>55</w:t>
            </w:r>
            <w:r w:rsidR="00BC600D">
              <w:rPr>
                <w:webHidden/>
              </w:rPr>
              <w:fldChar w:fldCharType="end"/>
            </w:r>
          </w:hyperlink>
        </w:p>
        <w:p w14:paraId="77049A83" w14:textId="77777777" w:rsidR="007655FF" w:rsidRDefault="007655FF" w:rsidP="007655FF">
          <w:pPr>
            <w:rPr>
              <w:b/>
              <w:noProof/>
            </w:rPr>
          </w:pPr>
          <w:r>
            <w:rPr>
              <w:b/>
              <w:noProof/>
            </w:rPr>
            <w:fldChar w:fldCharType="end"/>
          </w:r>
        </w:p>
      </w:sdtContent>
    </w:sdt>
    <w:p w14:paraId="07108675" w14:textId="77777777" w:rsidR="00314F5F" w:rsidRDefault="00314F5F" w:rsidP="00314F5F">
      <w:pPr>
        <w:pStyle w:val="TOCHeading2"/>
        <w:rPr>
          <w:rStyle w:val="Strong"/>
        </w:rPr>
      </w:pPr>
      <w:r>
        <w:rPr>
          <w:rStyle w:val="Strong"/>
        </w:rPr>
        <w:lastRenderedPageBreak/>
        <w:t>Maps</w:t>
      </w:r>
    </w:p>
    <w:p w14:paraId="53D81F06" w14:textId="77777777" w:rsidR="00BC600D" w:rsidRDefault="00DE37A5">
      <w:pPr>
        <w:pStyle w:val="TableofFigures"/>
        <w:tabs>
          <w:tab w:val="right" w:leader="dot" w:pos="9060"/>
        </w:tabs>
        <w:rPr>
          <w:rFonts w:asciiTheme="minorHAnsi" w:eastAsiaTheme="minorEastAsia" w:hAnsiTheme="minorHAnsi"/>
          <w:noProof/>
          <w:lang w:eastAsia="en-AU"/>
        </w:rPr>
      </w:pPr>
      <w:r>
        <w:fldChar w:fldCharType="begin" w:fldLock="1"/>
      </w:r>
      <w:r>
        <w:instrText xml:space="preserve"> TOC \h \z \c "Map" </w:instrText>
      </w:r>
      <w:r>
        <w:fldChar w:fldCharType="separate"/>
      </w:r>
      <w:hyperlink w:anchor="_Toc18328868" w:history="1">
        <w:r w:rsidR="00BC600D" w:rsidRPr="00033A0C">
          <w:rPr>
            <w:rStyle w:val="Hyperlink"/>
            <w:noProof/>
          </w:rPr>
          <w:t>Map 1 RFCS defined service regions</w:t>
        </w:r>
        <w:r w:rsidR="00BC600D">
          <w:rPr>
            <w:noProof/>
            <w:webHidden/>
          </w:rPr>
          <w:tab/>
        </w:r>
        <w:r w:rsidR="00BC600D">
          <w:rPr>
            <w:noProof/>
            <w:webHidden/>
          </w:rPr>
          <w:fldChar w:fldCharType="begin" w:fldLock="1"/>
        </w:r>
        <w:r w:rsidR="00BC600D">
          <w:rPr>
            <w:noProof/>
            <w:webHidden/>
          </w:rPr>
          <w:instrText xml:space="preserve"> PAGEREF _Toc18328868 \h </w:instrText>
        </w:r>
        <w:r w:rsidR="00BC600D">
          <w:rPr>
            <w:noProof/>
            <w:webHidden/>
          </w:rPr>
        </w:r>
        <w:r w:rsidR="00BC600D">
          <w:rPr>
            <w:noProof/>
            <w:webHidden/>
          </w:rPr>
          <w:fldChar w:fldCharType="separate"/>
        </w:r>
        <w:r w:rsidR="00474B0C">
          <w:rPr>
            <w:noProof/>
            <w:webHidden/>
          </w:rPr>
          <w:t>10</w:t>
        </w:r>
        <w:r w:rsidR="00BC600D">
          <w:rPr>
            <w:noProof/>
            <w:webHidden/>
          </w:rPr>
          <w:fldChar w:fldCharType="end"/>
        </w:r>
      </w:hyperlink>
    </w:p>
    <w:p w14:paraId="09404649" w14:textId="77777777" w:rsidR="00314F5F" w:rsidRDefault="00DE37A5" w:rsidP="004605D5">
      <w:r>
        <w:fldChar w:fldCharType="end"/>
      </w:r>
    </w:p>
    <w:p w14:paraId="414C3F1A" w14:textId="77777777" w:rsidR="002A53C6" w:rsidRDefault="00314F5F" w:rsidP="00314F5F">
      <w:pPr>
        <w:pStyle w:val="TOCHeading2"/>
        <w:rPr>
          <w:noProof/>
        </w:rPr>
      </w:pPr>
      <w:r>
        <w:rPr>
          <w:rStyle w:val="Strong"/>
        </w:rPr>
        <w:t>Tables</w:t>
      </w:r>
      <w:r w:rsidR="00DE37A5">
        <w:fldChar w:fldCharType="begin" w:fldLock="1"/>
      </w:r>
      <w:r w:rsidR="00DE37A5">
        <w:instrText xml:space="preserve"> TOC \h \z \c "Table" </w:instrText>
      </w:r>
      <w:r w:rsidR="00DE37A5">
        <w:fldChar w:fldCharType="separate"/>
      </w:r>
    </w:p>
    <w:p w14:paraId="251D99F8" w14:textId="77777777" w:rsidR="002A53C6" w:rsidRDefault="007114E3">
      <w:pPr>
        <w:pStyle w:val="TableofFigures"/>
        <w:tabs>
          <w:tab w:val="right" w:leader="dot" w:pos="9060"/>
        </w:tabs>
        <w:rPr>
          <w:rFonts w:asciiTheme="minorHAnsi" w:eastAsiaTheme="minorEastAsia" w:hAnsiTheme="minorHAnsi"/>
          <w:noProof/>
          <w:lang w:eastAsia="en-AU"/>
        </w:rPr>
      </w:pPr>
      <w:hyperlink w:anchor="_Toc18320668" w:history="1">
        <w:r w:rsidR="002A53C6" w:rsidRPr="009A57DF">
          <w:rPr>
            <w:rStyle w:val="Hyperlink"/>
            <w:noProof/>
          </w:rPr>
          <w:t>Table 1 Australian Government funding by RFCS region</w:t>
        </w:r>
        <w:r w:rsidR="002A53C6">
          <w:rPr>
            <w:noProof/>
            <w:webHidden/>
          </w:rPr>
          <w:tab/>
        </w:r>
        <w:r w:rsidR="002A53C6">
          <w:rPr>
            <w:noProof/>
            <w:webHidden/>
          </w:rPr>
          <w:fldChar w:fldCharType="begin" w:fldLock="1"/>
        </w:r>
        <w:r w:rsidR="002A53C6">
          <w:rPr>
            <w:noProof/>
            <w:webHidden/>
          </w:rPr>
          <w:instrText xml:space="preserve"> PAGEREF _Toc18320668 \h </w:instrText>
        </w:r>
        <w:r w:rsidR="002A53C6">
          <w:rPr>
            <w:noProof/>
            <w:webHidden/>
          </w:rPr>
        </w:r>
        <w:r w:rsidR="002A53C6">
          <w:rPr>
            <w:noProof/>
            <w:webHidden/>
          </w:rPr>
          <w:fldChar w:fldCharType="separate"/>
        </w:r>
        <w:r w:rsidR="00474B0C">
          <w:rPr>
            <w:noProof/>
            <w:webHidden/>
          </w:rPr>
          <w:t>10</w:t>
        </w:r>
        <w:r w:rsidR="002A53C6">
          <w:rPr>
            <w:noProof/>
            <w:webHidden/>
          </w:rPr>
          <w:fldChar w:fldCharType="end"/>
        </w:r>
      </w:hyperlink>
    </w:p>
    <w:p w14:paraId="7BA88A8B" w14:textId="77777777" w:rsidR="002A53C6" w:rsidRDefault="007114E3">
      <w:pPr>
        <w:pStyle w:val="TableofFigures"/>
        <w:tabs>
          <w:tab w:val="right" w:leader="dot" w:pos="9060"/>
        </w:tabs>
        <w:rPr>
          <w:rFonts w:asciiTheme="minorHAnsi" w:eastAsiaTheme="minorEastAsia" w:hAnsiTheme="minorHAnsi"/>
          <w:noProof/>
          <w:lang w:eastAsia="en-AU"/>
        </w:rPr>
      </w:pPr>
      <w:hyperlink w:anchor="_Toc18320669" w:history="1">
        <w:r w:rsidR="002A53C6" w:rsidRPr="009A57DF">
          <w:rPr>
            <w:rStyle w:val="Hyperlink"/>
            <w:noProof/>
          </w:rPr>
          <w:t>Table 2 Active clients in each RFCS service region, by financial year</w:t>
        </w:r>
        <w:r w:rsidR="002A53C6">
          <w:rPr>
            <w:noProof/>
            <w:webHidden/>
          </w:rPr>
          <w:tab/>
        </w:r>
        <w:r w:rsidR="002A53C6">
          <w:rPr>
            <w:noProof/>
            <w:webHidden/>
          </w:rPr>
          <w:fldChar w:fldCharType="begin" w:fldLock="1"/>
        </w:r>
        <w:r w:rsidR="002A53C6">
          <w:rPr>
            <w:noProof/>
            <w:webHidden/>
          </w:rPr>
          <w:instrText xml:space="preserve"> PAGEREF _Toc18320669 \h </w:instrText>
        </w:r>
        <w:r w:rsidR="002A53C6">
          <w:rPr>
            <w:noProof/>
            <w:webHidden/>
          </w:rPr>
        </w:r>
        <w:r w:rsidR="002A53C6">
          <w:rPr>
            <w:noProof/>
            <w:webHidden/>
          </w:rPr>
          <w:fldChar w:fldCharType="separate"/>
        </w:r>
        <w:r w:rsidR="00474B0C">
          <w:rPr>
            <w:noProof/>
            <w:webHidden/>
          </w:rPr>
          <w:t>12</w:t>
        </w:r>
        <w:r w:rsidR="002A53C6">
          <w:rPr>
            <w:noProof/>
            <w:webHidden/>
          </w:rPr>
          <w:fldChar w:fldCharType="end"/>
        </w:r>
      </w:hyperlink>
    </w:p>
    <w:p w14:paraId="0BD7F355" w14:textId="77777777" w:rsidR="002A53C6" w:rsidRDefault="007114E3">
      <w:pPr>
        <w:pStyle w:val="TableofFigures"/>
        <w:tabs>
          <w:tab w:val="right" w:leader="dot" w:pos="9060"/>
        </w:tabs>
        <w:rPr>
          <w:rFonts w:asciiTheme="minorHAnsi" w:eastAsiaTheme="minorEastAsia" w:hAnsiTheme="minorHAnsi"/>
          <w:noProof/>
          <w:lang w:eastAsia="en-AU"/>
        </w:rPr>
      </w:pPr>
      <w:hyperlink w:anchor="_Toc18320670" w:history="1">
        <w:r w:rsidR="002A53C6" w:rsidRPr="009A57DF">
          <w:rPr>
            <w:rStyle w:val="Hyperlink"/>
            <w:noProof/>
          </w:rPr>
          <w:t>Table 3 Total Australian Government RFCS program funding</w:t>
        </w:r>
        <w:r w:rsidR="002A53C6">
          <w:rPr>
            <w:noProof/>
            <w:webHidden/>
          </w:rPr>
          <w:tab/>
        </w:r>
        <w:r w:rsidR="002A53C6">
          <w:rPr>
            <w:noProof/>
            <w:webHidden/>
          </w:rPr>
          <w:fldChar w:fldCharType="begin" w:fldLock="1"/>
        </w:r>
        <w:r w:rsidR="002A53C6">
          <w:rPr>
            <w:noProof/>
            <w:webHidden/>
          </w:rPr>
          <w:instrText xml:space="preserve"> PAGEREF _Toc18320670 \h </w:instrText>
        </w:r>
        <w:r w:rsidR="002A53C6">
          <w:rPr>
            <w:noProof/>
            <w:webHidden/>
          </w:rPr>
        </w:r>
        <w:r w:rsidR="002A53C6">
          <w:rPr>
            <w:noProof/>
            <w:webHidden/>
          </w:rPr>
          <w:fldChar w:fldCharType="separate"/>
        </w:r>
        <w:r w:rsidR="00474B0C">
          <w:rPr>
            <w:noProof/>
            <w:webHidden/>
          </w:rPr>
          <w:t>28</w:t>
        </w:r>
        <w:r w:rsidR="002A53C6">
          <w:rPr>
            <w:noProof/>
            <w:webHidden/>
          </w:rPr>
          <w:fldChar w:fldCharType="end"/>
        </w:r>
      </w:hyperlink>
    </w:p>
    <w:p w14:paraId="740E3FCD" w14:textId="3A8C9C6D" w:rsidR="00DE37A5" w:rsidRDefault="00DE37A5" w:rsidP="004605D5">
      <w:r>
        <w:fldChar w:fldCharType="end"/>
      </w:r>
    </w:p>
    <w:p w14:paraId="1293C7FB" w14:textId="77777777" w:rsidR="00DE37A5" w:rsidRDefault="00DE37A5" w:rsidP="004605D5">
      <w:pPr>
        <w:sectPr w:rsidR="00DE37A5" w:rsidSect="004605D5">
          <w:headerReference w:type="default" r:id="rId17"/>
          <w:footerReference w:type="default" r:id="rId18"/>
          <w:headerReference w:type="first" r:id="rId19"/>
          <w:pgSz w:w="11906" w:h="16838"/>
          <w:pgMar w:top="1418" w:right="1418" w:bottom="1276" w:left="1418" w:header="567" w:footer="283" w:gutter="0"/>
          <w:pgNumType w:fmt="lowerRoman" w:start="1"/>
          <w:cols w:space="708"/>
          <w:titlePg/>
          <w:docGrid w:linePitch="360"/>
        </w:sectPr>
      </w:pPr>
    </w:p>
    <w:p w14:paraId="188B09F2" w14:textId="059707BF" w:rsidR="006D7E98" w:rsidRPr="005526C8" w:rsidRDefault="001B2ABD" w:rsidP="004605D5">
      <w:pPr>
        <w:pStyle w:val="Heading2"/>
        <w:numPr>
          <w:ilvl w:val="0"/>
          <w:numId w:val="0"/>
        </w:numPr>
      </w:pPr>
      <w:bookmarkStart w:id="1" w:name="_Toc13086892"/>
      <w:bookmarkStart w:id="2" w:name="_Toc18328834"/>
      <w:r>
        <w:lastRenderedPageBreak/>
        <w:t>S</w:t>
      </w:r>
      <w:r w:rsidR="006D7E98" w:rsidRPr="005526C8">
        <w:t>ummary</w:t>
      </w:r>
      <w:bookmarkEnd w:id="1"/>
      <w:bookmarkEnd w:id="2"/>
    </w:p>
    <w:p w14:paraId="290956D7" w14:textId="6E82B111" w:rsidR="006D7E98" w:rsidRDefault="006D7E98" w:rsidP="006D7E98">
      <w:r>
        <w:t xml:space="preserve">The Rural Financial Counselling Service (RFCS) has a long history of assisting Australian primary producers </w:t>
      </w:r>
      <w:r w:rsidR="000474E4">
        <w:t xml:space="preserve">and related small businesses </w:t>
      </w:r>
      <w:r>
        <w:t xml:space="preserve">when they are </w:t>
      </w:r>
      <w:r w:rsidR="000474E4">
        <w:t xml:space="preserve">facing </w:t>
      </w:r>
      <w:r>
        <w:t xml:space="preserve">financial hardship. The RFCS provides free financial counselling to eligible clients and helps them to make positive changes </w:t>
      </w:r>
      <w:r w:rsidR="000474E4">
        <w:t xml:space="preserve">and </w:t>
      </w:r>
      <w:r>
        <w:t xml:space="preserve">take control of their financial situation. The service is highly valued by rural </w:t>
      </w:r>
      <w:r w:rsidR="000474E4">
        <w:t xml:space="preserve">and regional </w:t>
      </w:r>
      <w:r>
        <w:t xml:space="preserve">communities and is primarily funded by the Australian </w:t>
      </w:r>
      <w:r w:rsidR="00B272C2">
        <w:t>G</w:t>
      </w:r>
      <w:r>
        <w:t>overnment.</w:t>
      </w:r>
    </w:p>
    <w:p w14:paraId="66554C59" w14:textId="787CB081" w:rsidR="006D7E98" w:rsidRDefault="006D7E98" w:rsidP="006D7E98">
      <w:r>
        <w:t>The Department of Agriculture</w:t>
      </w:r>
      <w:r w:rsidR="00716581">
        <w:t xml:space="preserve"> </w:t>
      </w:r>
      <w:r>
        <w:t xml:space="preserve">conducted an internal review into the </w:t>
      </w:r>
      <w:r w:rsidR="001E3132">
        <w:t>2016 to 2020</w:t>
      </w:r>
      <w:r w:rsidR="002971C7">
        <w:t xml:space="preserve"> </w:t>
      </w:r>
      <w:r>
        <w:t>RFCS program. This involved nationwide consultations to consider the efficiency and effectiveness of the current program p</w:t>
      </w:r>
      <w:r w:rsidR="00517F4E">
        <w:t>rior to the next funding round.</w:t>
      </w:r>
    </w:p>
    <w:p w14:paraId="715ECECA" w14:textId="628C2FB6" w:rsidR="006D7E98" w:rsidRDefault="006D7E98" w:rsidP="006D7E98">
      <w:r>
        <w:t xml:space="preserve">The </w:t>
      </w:r>
      <w:r w:rsidRPr="00110F8B">
        <w:t>review panel</w:t>
      </w:r>
      <w:r>
        <w:t xml:space="preserve"> found that the </w:t>
      </w:r>
      <w:r w:rsidR="00442255">
        <w:t xml:space="preserve">12 </w:t>
      </w:r>
      <w:r>
        <w:t xml:space="preserve">service providers currently delivering the national program were committed to </w:t>
      </w:r>
      <w:r w:rsidR="00B96121">
        <w:t xml:space="preserve">providing </w:t>
      </w:r>
      <w:r>
        <w:t>quality services for clients</w:t>
      </w:r>
      <w:r w:rsidR="00563537">
        <w:t xml:space="preserve">. However, </w:t>
      </w:r>
      <w:r>
        <w:t>there were significant variations in their approach to service delivery</w:t>
      </w:r>
      <w:r w:rsidR="00C338E5">
        <w:t xml:space="preserve"> and case </w:t>
      </w:r>
      <w:r w:rsidR="00C338E5" w:rsidRPr="002801E0">
        <w:t>management</w:t>
      </w:r>
      <w:r w:rsidR="00C338E5" w:rsidRPr="00BB156D">
        <w:t xml:space="preserve"> </w:t>
      </w:r>
      <w:r w:rsidR="002801E0" w:rsidRPr="00BB156D">
        <w:t xml:space="preserve">to </w:t>
      </w:r>
      <w:r w:rsidR="00C338E5" w:rsidRPr="00BB156D">
        <w:t>driv</w:t>
      </w:r>
      <w:r w:rsidR="002801E0" w:rsidRPr="00BB156D">
        <w:t xml:space="preserve">e </w:t>
      </w:r>
      <w:r w:rsidR="00C338E5" w:rsidRPr="00BB156D">
        <w:t>behavioural change.</w:t>
      </w:r>
      <w:r>
        <w:t xml:space="preserve"> </w:t>
      </w:r>
      <w:r w:rsidRPr="00675560">
        <w:t>The level of demand and types of clients also varied considerably</w:t>
      </w:r>
      <w:r w:rsidR="000474E4" w:rsidRPr="00675560">
        <w:t xml:space="preserve">, with different service regions </w:t>
      </w:r>
      <w:r w:rsidR="00611930" w:rsidRPr="00675560">
        <w:t xml:space="preserve">operating in a diverse </w:t>
      </w:r>
      <w:r w:rsidR="000B50A7" w:rsidRPr="00675560">
        <w:t>range</w:t>
      </w:r>
      <w:r w:rsidR="00611930" w:rsidRPr="00675560">
        <w:t xml:space="preserve"> of</w:t>
      </w:r>
      <w:r w:rsidR="000474E4" w:rsidRPr="00675560">
        <w:t xml:space="preserve"> geographic, climatic and local business </w:t>
      </w:r>
      <w:r w:rsidR="00611930" w:rsidRPr="00675560">
        <w:t>profiles.</w:t>
      </w:r>
      <w:r w:rsidRPr="00675560">
        <w:t xml:space="preserve"> This </w:t>
      </w:r>
      <w:r w:rsidR="00971881" w:rsidRPr="00675560">
        <w:t>affected</w:t>
      </w:r>
      <w:r w:rsidRPr="00675560">
        <w:t xml:space="preserve"> </w:t>
      </w:r>
      <w:r w:rsidR="00716581" w:rsidRPr="00675560">
        <w:t>stakeholder</w:t>
      </w:r>
      <w:r w:rsidRPr="00675560">
        <w:t xml:space="preserve"> views o</w:t>
      </w:r>
      <w:r w:rsidR="00716581" w:rsidRPr="00675560">
        <w:t>n</w:t>
      </w:r>
      <w:r w:rsidRPr="00675560">
        <w:t xml:space="preserve"> program settings.</w:t>
      </w:r>
    </w:p>
    <w:p w14:paraId="5D302121" w14:textId="427A66ED" w:rsidR="006D7E98" w:rsidRDefault="006D7E98" w:rsidP="006D7E98">
      <w:r>
        <w:t xml:space="preserve">The review </w:t>
      </w:r>
      <w:r w:rsidR="00052D61">
        <w:t xml:space="preserve">panel </w:t>
      </w:r>
      <w:r>
        <w:t xml:space="preserve">gave considerable attention to </w:t>
      </w:r>
      <w:r w:rsidR="007133B6">
        <w:t xml:space="preserve">the </w:t>
      </w:r>
      <w:r w:rsidR="00442255">
        <w:t xml:space="preserve">views of </w:t>
      </w:r>
      <w:r w:rsidR="00517F4E">
        <w:t xml:space="preserve">rural financial </w:t>
      </w:r>
      <w:r>
        <w:t xml:space="preserve">counsellors, and noted that most were passionate about their role and desire to assist clients. However, </w:t>
      </w:r>
      <w:r w:rsidR="0077036B">
        <w:t xml:space="preserve">counsellor fatigue and welfare was a significant issue </w:t>
      </w:r>
      <w:r>
        <w:t xml:space="preserve">in regions where demand had spiked dramatically over the last </w:t>
      </w:r>
      <w:r w:rsidR="00442255">
        <w:t xml:space="preserve">18 </w:t>
      </w:r>
      <w:r>
        <w:t xml:space="preserve">months. Other concerns </w:t>
      </w:r>
      <w:r w:rsidR="00C23B76">
        <w:t>related to</w:t>
      </w:r>
      <w:r w:rsidR="00971881">
        <w:t xml:space="preserve"> </w:t>
      </w:r>
      <w:r>
        <w:t xml:space="preserve">the evolving role of the counsellor and obstacles to </w:t>
      </w:r>
      <w:r w:rsidR="000B50A7">
        <w:t xml:space="preserve">counsellors </w:t>
      </w:r>
      <w:r>
        <w:t xml:space="preserve">being </w:t>
      </w:r>
      <w:r w:rsidR="00123704">
        <w:t>‘</w:t>
      </w:r>
      <w:r w:rsidRPr="00D111F4">
        <w:t>change</w:t>
      </w:r>
      <w:r w:rsidR="00A45A65" w:rsidRPr="00D111F4">
        <w:t xml:space="preserve"> </w:t>
      </w:r>
      <w:r w:rsidRPr="00D111F4">
        <w:t>agents</w:t>
      </w:r>
      <w:r w:rsidR="00123704">
        <w:t>’</w:t>
      </w:r>
      <w:r>
        <w:t xml:space="preserve"> in the agricultural sector.</w:t>
      </w:r>
    </w:p>
    <w:p w14:paraId="1A73D1AC" w14:textId="1326862E" w:rsidR="006D7E98" w:rsidRDefault="006D7E98" w:rsidP="006D7E98">
      <w:r>
        <w:t xml:space="preserve">The review </w:t>
      </w:r>
      <w:r w:rsidR="00052D61">
        <w:t xml:space="preserve">panel </w:t>
      </w:r>
      <w:r>
        <w:t xml:space="preserve">also considered areas for improvement in program </w:t>
      </w:r>
      <w:r w:rsidR="00611930">
        <w:t xml:space="preserve">design and </w:t>
      </w:r>
      <w:r>
        <w:t>administration.</w:t>
      </w:r>
    </w:p>
    <w:p w14:paraId="49FB7D27" w14:textId="77777777" w:rsidR="00517F4E" w:rsidRDefault="006D7E98" w:rsidP="00C11CC3">
      <w:pPr>
        <w:pStyle w:val="Heading3"/>
        <w:numPr>
          <w:ilvl w:val="0"/>
          <w:numId w:val="0"/>
        </w:numPr>
        <w:ind w:left="964" w:hanging="964"/>
      </w:pPr>
      <w:bookmarkStart w:id="3" w:name="_Toc18328835"/>
      <w:r w:rsidRPr="008D21F5">
        <w:t>Key findings</w:t>
      </w:r>
      <w:bookmarkEnd w:id="3"/>
    </w:p>
    <w:p w14:paraId="0D6C9952" w14:textId="653C00E7" w:rsidR="00CA74B5" w:rsidRPr="00E04D1E" w:rsidRDefault="002801E0" w:rsidP="00517F4E">
      <w:pPr>
        <w:pStyle w:val="ListBullet"/>
      </w:pPr>
      <w:r w:rsidRPr="00E04D1E">
        <w:t>T</w:t>
      </w:r>
      <w:r w:rsidR="00CA74B5" w:rsidRPr="00E04D1E">
        <w:t xml:space="preserve">he </w:t>
      </w:r>
      <w:r w:rsidRPr="00E04D1E">
        <w:t xml:space="preserve">current </w:t>
      </w:r>
      <w:r w:rsidR="00CA74B5" w:rsidRPr="00E04D1E">
        <w:t xml:space="preserve">program objectives </w:t>
      </w:r>
      <w:r w:rsidRPr="00E04D1E">
        <w:t xml:space="preserve">do not adequately emphasise the importance of driving </w:t>
      </w:r>
      <w:r w:rsidR="00CA74B5" w:rsidRPr="00E04D1E">
        <w:t>behavioural change</w:t>
      </w:r>
      <w:r w:rsidRPr="00E04D1E">
        <w:t>.</w:t>
      </w:r>
    </w:p>
    <w:p w14:paraId="414BD551" w14:textId="3C2B30C6" w:rsidR="006D7E98" w:rsidRDefault="006D7E98" w:rsidP="00517F4E">
      <w:pPr>
        <w:pStyle w:val="ListBullet"/>
      </w:pPr>
      <w:r>
        <w:t xml:space="preserve">High caseloads of clients </w:t>
      </w:r>
      <w:r w:rsidR="005E4060">
        <w:t>seeking</w:t>
      </w:r>
      <w:r w:rsidR="00517F4E">
        <w:t xml:space="preserve"> </w:t>
      </w:r>
      <w:r w:rsidR="00736B18">
        <w:t>'</w:t>
      </w:r>
      <w:r w:rsidRPr="00517F4E">
        <w:t>transactional assistance</w:t>
      </w:r>
      <w:r w:rsidR="00736B18">
        <w:t>'</w:t>
      </w:r>
      <w:r w:rsidR="000F7C43">
        <w:t xml:space="preserve"> (</w:t>
      </w:r>
      <w:r w:rsidR="00C6583C">
        <w:t xml:space="preserve">help </w:t>
      </w:r>
      <w:r>
        <w:t>apply</w:t>
      </w:r>
      <w:r w:rsidR="005E4060">
        <w:t>ing</w:t>
      </w:r>
      <w:r>
        <w:t xml:space="preserve"> for </w:t>
      </w:r>
      <w:r w:rsidR="00C739A9">
        <w:t xml:space="preserve">immediate relief through </w:t>
      </w:r>
      <w:r w:rsidR="00C739A9">
        <w:rPr>
          <w:lang w:eastAsia="ja-JP"/>
        </w:rPr>
        <w:t xml:space="preserve">Australian </w:t>
      </w:r>
      <w:r w:rsidR="00C739A9" w:rsidRPr="00F659B6">
        <w:rPr>
          <w:lang w:eastAsia="ja-JP"/>
        </w:rPr>
        <w:t>and state government programs</w:t>
      </w:r>
      <w:r w:rsidR="000F7C43">
        <w:t xml:space="preserve">) </w:t>
      </w:r>
      <w:r>
        <w:t xml:space="preserve">was limiting or precluding effective case management during peak periods in </w:t>
      </w:r>
      <w:r w:rsidR="000321B4">
        <w:t xml:space="preserve">many </w:t>
      </w:r>
      <w:r>
        <w:t>regions.</w:t>
      </w:r>
    </w:p>
    <w:p w14:paraId="6AED4438" w14:textId="6B6C9E48" w:rsidR="00D42AD1" w:rsidRDefault="003366E8" w:rsidP="00517F4E">
      <w:pPr>
        <w:pStyle w:val="ListBullet"/>
      </w:pPr>
      <w:r>
        <w:t>Government</w:t>
      </w:r>
      <w:r w:rsidR="00716581">
        <w:t>s</w:t>
      </w:r>
      <w:r>
        <w:t xml:space="preserve"> </w:t>
      </w:r>
      <w:r w:rsidR="00716581">
        <w:t xml:space="preserve">characterising </w:t>
      </w:r>
      <w:r>
        <w:t>and promot</w:t>
      </w:r>
      <w:r w:rsidR="00716581">
        <w:t>ing</w:t>
      </w:r>
      <w:r w:rsidR="006D7E98">
        <w:t xml:space="preserve"> </w:t>
      </w:r>
      <w:r w:rsidR="00716581">
        <w:t>the RFCS</w:t>
      </w:r>
      <w:r w:rsidR="006D7E98">
        <w:t xml:space="preserve"> </w:t>
      </w:r>
      <w:r w:rsidR="006D7E98" w:rsidRPr="00076E9C">
        <w:t>as</w:t>
      </w:r>
      <w:r w:rsidR="00517F4E">
        <w:t xml:space="preserve"> </w:t>
      </w:r>
      <w:r w:rsidR="00736B18">
        <w:t>'</w:t>
      </w:r>
      <w:r w:rsidR="006D7E98" w:rsidRPr="00076E9C">
        <w:t>form</w:t>
      </w:r>
      <w:r w:rsidR="00424FBD">
        <w:t>-</w:t>
      </w:r>
      <w:r w:rsidR="006D7E98" w:rsidRPr="00076E9C">
        <w:t>fillers</w:t>
      </w:r>
      <w:r w:rsidR="00736B18">
        <w:t>'</w:t>
      </w:r>
      <w:r w:rsidR="006D7E98" w:rsidRPr="00076E9C">
        <w:t xml:space="preserve"> was</w:t>
      </w:r>
      <w:r w:rsidR="006D7E98">
        <w:t xml:space="preserve"> unhelpful and did not encourage clients to enter the service wanting to make </w:t>
      </w:r>
      <w:r w:rsidR="000321B4">
        <w:t xml:space="preserve">long-term </w:t>
      </w:r>
      <w:r w:rsidR="006D7E98">
        <w:t xml:space="preserve">changes to improve their situation. However, where clients had an open attitude, transactional assistance could be an </w:t>
      </w:r>
      <w:r w:rsidR="006D7E98" w:rsidRPr="00076E9C">
        <w:t>effective</w:t>
      </w:r>
      <w:r w:rsidR="00517F4E">
        <w:t xml:space="preserve"> </w:t>
      </w:r>
      <w:r w:rsidR="006D7E98" w:rsidRPr="001B2ABD">
        <w:t>hook</w:t>
      </w:r>
      <w:r w:rsidR="006D7E98" w:rsidRPr="00076E9C">
        <w:t xml:space="preserve"> to</w:t>
      </w:r>
      <w:r w:rsidR="006D7E98">
        <w:t xml:space="preserve"> begin broader conversations with clients.</w:t>
      </w:r>
    </w:p>
    <w:p w14:paraId="1543683C" w14:textId="079DBE84" w:rsidR="006D7E98" w:rsidRDefault="00D42AD1" w:rsidP="00517F4E">
      <w:pPr>
        <w:pStyle w:val="ListBullet"/>
      </w:pPr>
      <w:r>
        <w:t>There was a recognised gap in the market</w:t>
      </w:r>
      <w:r w:rsidR="00CF0B78">
        <w:t xml:space="preserve"> and a willingness by</w:t>
      </w:r>
      <w:r>
        <w:t xml:space="preserve"> counsellors to take on a</w:t>
      </w:r>
      <w:r w:rsidR="003366E8">
        <w:t xml:space="preserve"> larger role in preparedness—improving</w:t>
      </w:r>
      <w:r>
        <w:t xml:space="preserve"> financial literacy and business s</w:t>
      </w:r>
      <w:r w:rsidR="003366E8">
        <w:t>kills</w:t>
      </w:r>
      <w:r>
        <w:t xml:space="preserve"> before clients are in hardship</w:t>
      </w:r>
      <w:r w:rsidR="00A55987">
        <w:t>. H</w:t>
      </w:r>
      <w:r>
        <w:t>owever,</w:t>
      </w:r>
      <w:r w:rsidR="00A55987">
        <w:t xml:space="preserve"> this was contingent</w:t>
      </w:r>
      <w:r>
        <w:t xml:space="preserve"> on service capacity.</w:t>
      </w:r>
    </w:p>
    <w:p w14:paraId="79E1AFEC" w14:textId="3EC633EC" w:rsidR="001500AF" w:rsidRPr="00C739A9" w:rsidRDefault="00226FAD" w:rsidP="00517F4E">
      <w:pPr>
        <w:pStyle w:val="ListBullet"/>
      </w:pPr>
      <w:r>
        <w:t xml:space="preserve">In affected regions, </w:t>
      </w:r>
      <w:r w:rsidR="00C23B76">
        <w:t>service providers expressed</w:t>
      </w:r>
      <w:r w:rsidR="00FF776C">
        <w:t xml:space="preserve"> </w:t>
      </w:r>
      <w:r>
        <w:t xml:space="preserve">concern about rationalising the number of service </w:t>
      </w:r>
      <w:r w:rsidR="007D6FF6">
        <w:t>regions</w:t>
      </w:r>
      <w:r w:rsidRPr="00127444">
        <w:t xml:space="preserve">, suggesting this be could be detrimental to local connectedness, as well as trust and credibility. Significant change </w:t>
      </w:r>
      <w:r w:rsidRPr="00C739A9">
        <w:t xml:space="preserve">during a period of high demand presents risks to the </w:t>
      </w:r>
      <w:r w:rsidR="00623781" w:rsidRPr="00C739A9">
        <w:t xml:space="preserve">continuity and </w:t>
      </w:r>
      <w:r w:rsidRPr="00C739A9">
        <w:t>quality of service.</w:t>
      </w:r>
    </w:p>
    <w:p w14:paraId="69963EFA" w14:textId="0B5A664F" w:rsidR="00226FAD" w:rsidRPr="00523888" w:rsidRDefault="00127444" w:rsidP="00517F4E">
      <w:pPr>
        <w:pStyle w:val="ListBullet"/>
      </w:pPr>
      <w:r w:rsidRPr="00523888">
        <w:lastRenderedPageBreak/>
        <w:t>Some</w:t>
      </w:r>
      <w:r w:rsidR="00226FAD" w:rsidRPr="00523888">
        <w:t xml:space="preserve"> </w:t>
      </w:r>
      <w:r w:rsidR="00716581" w:rsidRPr="00523888">
        <w:t xml:space="preserve">funding deed </w:t>
      </w:r>
      <w:r w:rsidR="001500AF" w:rsidRPr="00523888">
        <w:t xml:space="preserve">requirements </w:t>
      </w:r>
      <w:r w:rsidRPr="00523888">
        <w:t xml:space="preserve">are </w:t>
      </w:r>
      <w:r w:rsidR="001500AF" w:rsidRPr="00523888">
        <w:t xml:space="preserve">creating </w:t>
      </w:r>
      <w:r w:rsidR="00A55987" w:rsidRPr="00523888">
        <w:t xml:space="preserve">an </w:t>
      </w:r>
      <w:r w:rsidR="001500AF" w:rsidRPr="00523888">
        <w:t>undue administrative burden o</w:t>
      </w:r>
      <w:r w:rsidRPr="00523888">
        <w:t xml:space="preserve">n providers </w:t>
      </w:r>
      <w:r w:rsidR="002A5631" w:rsidRPr="00523888">
        <w:t xml:space="preserve">and government </w:t>
      </w:r>
      <w:r w:rsidR="000F7C43" w:rsidRPr="00523888">
        <w:t>with</w:t>
      </w:r>
      <w:r w:rsidRPr="00523888">
        <w:t xml:space="preserve"> limited benefit to program oversight and accountability</w:t>
      </w:r>
      <w:r w:rsidR="001500AF" w:rsidRPr="00523888">
        <w:t>.</w:t>
      </w:r>
    </w:p>
    <w:p w14:paraId="41954FF6" w14:textId="6C9DE013" w:rsidR="007D6FF6" w:rsidRDefault="007D6FF6" w:rsidP="007D6FF6">
      <w:pPr>
        <w:pStyle w:val="ListBullet"/>
      </w:pPr>
      <w:r w:rsidRPr="007D6FF6">
        <w:t>Flexible funding arrangement were designed to address fluctuating demand but uncertainty of total funding for providers makes business planning difficult. This uncertainty was a reason for some providers to offer short-term employment contracts, affecting staff attraction and retention</w:t>
      </w:r>
      <w:r>
        <w:t>.</w:t>
      </w:r>
    </w:p>
    <w:p w14:paraId="35ECD9B8" w14:textId="18295621" w:rsidR="00623781" w:rsidRDefault="006D7E98" w:rsidP="007D6FF6">
      <w:pPr>
        <w:pStyle w:val="ListBullet"/>
      </w:pPr>
      <w:r>
        <w:t xml:space="preserve">Contingency funding was helpful to meet unexpected demand but </w:t>
      </w:r>
      <w:r w:rsidR="000321B4">
        <w:t xml:space="preserve">is </w:t>
      </w:r>
      <w:r>
        <w:t>a time</w:t>
      </w:r>
      <w:r w:rsidR="00FF776C">
        <w:t>-</w:t>
      </w:r>
      <w:r>
        <w:t>consuming process</w:t>
      </w:r>
      <w:r w:rsidR="000321B4">
        <w:t xml:space="preserve"> for providers and for government</w:t>
      </w:r>
      <w:r>
        <w:t xml:space="preserve">. Delays in obtaining funds created stress and uncertainty about </w:t>
      </w:r>
      <w:r w:rsidR="00563537">
        <w:t>how to deal</w:t>
      </w:r>
      <w:r>
        <w:t xml:space="preserve"> with </w:t>
      </w:r>
      <w:r w:rsidRPr="00726448">
        <w:t xml:space="preserve">immediate problems of </w:t>
      </w:r>
      <w:r w:rsidR="00FD2A0B" w:rsidRPr="00726448">
        <w:t xml:space="preserve">accelerating </w:t>
      </w:r>
      <w:r w:rsidRPr="00726448">
        <w:t>demand</w:t>
      </w:r>
      <w:r>
        <w:t>.</w:t>
      </w:r>
    </w:p>
    <w:p w14:paraId="7AD4DDE5" w14:textId="524DFB8E" w:rsidR="006D7E98" w:rsidRDefault="00127444" w:rsidP="00517F4E">
      <w:pPr>
        <w:pStyle w:val="ListBullet"/>
      </w:pPr>
      <w:r>
        <w:t>Frequent</w:t>
      </w:r>
      <w:r w:rsidR="006D7E98">
        <w:t xml:space="preserve"> request</w:t>
      </w:r>
      <w:r>
        <w:t>s for</w:t>
      </w:r>
      <w:r w:rsidR="006D7E98">
        <w:t xml:space="preserve"> additional funding encourages </w:t>
      </w:r>
      <w:r w:rsidR="000F7C43">
        <w:t>service provider</w:t>
      </w:r>
      <w:r w:rsidR="00FD2A0B">
        <w:t>s to be</w:t>
      </w:r>
      <w:r w:rsidR="000F7C43">
        <w:t xml:space="preserve"> </w:t>
      </w:r>
      <w:r w:rsidR="006D7E98">
        <w:t>rel</w:t>
      </w:r>
      <w:r>
        <w:t>ian</w:t>
      </w:r>
      <w:r w:rsidR="00FD2A0B">
        <w:t>t</w:t>
      </w:r>
      <w:r>
        <w:t xml:space="preserve"> on government rather than </w:t>
      </w:r>
      <w:r w:rsidR="006D7E98" w:rsidRPr="00726448">
        <w:t>innovati</w:t>
      </w:r>
      <w:r w:rsidR="00152F9E" w:rsidRPr="00726448">
        <w:t>ng</w:t>
      </w:r>
      <w:r w:rsidR="006D7E98">
        <w:t xml:space="preserve"> to meet fluctuations in demand.</w:t>
      </w:r>
    </w:p>
    <w:p w14:paraId="5351844A" w14:textId="2A81FDB9" w:rsidR="006D7E98" w:rsidRDefault="006D7E98" w:rsidP="00517F4E">
      <w:pPr>
        <w:pStyle w:val="ListBullet"/>
      </w:pPr>
      <w:r>
        <w:t>State funding for the program has not been reviewed appropriately for some time</w:t>
      </w:r>
      <w:r w:rsidR="00623781">
        <w:t xml:space="preserve"> and there is li</w:t>
      </w:r>
      <w:r w:rsidR="001500AF">
        <w:t>mited</w:t>
      </w:r>
      <w:r w:rsidR="00623781">
        <w:t xml:space="preserve"> c</w:t>
      </w:r>
      <w:r>
        <w:t>oordination between state and</w:t>
      </w:r>
      <w:r w:rsidR="00EC1A65">
        <w:t xml:space="preserve"> Australian Government</w:t>
      </w:r>
      <w:r>
        <w:t xml:space="preserve"> funding</w:t>
      </w:r>
      <w:r w:rsidR="00623781">
        <w:t>.</w:t>
      </w:r>
    </w:p>
    <w:p w14:paraId="5F32AC24" w14:textId="784DFC86" w:rsidR="00D42AD1" w:rsidRDefault="00D42AD1" w:rsidP="00517F4E">
      <w:pPr>
        <w:pStyle w:val="ListBullet"/>
      </w:pPr>
      <w:r>
        <w:t>Approaches to service delivery and case management of clients varied considerably between regions. There was not always consistency within a service</w:t>
      </w:r>
      <w:r w:rsidR="006D4B26">
        <w:t xml:space="preserve"> provider</w:t>
      </w:r>
      <w:r>
        <w:t xml:space="preserve"> on how counsellors approached case management.</w:t>
      </w:r>
    </w:p>
    <w:p w14:paraId="41411C26" w14:textId="14B862B6" w:rsidR="001500AF" w:rsidRDefault="001500AF" w:rsidP="00517F4E">
      <w:pPr>
        <w:pStyle w:val="ListBullet"/>
      </w:pPr>
      <w:r>
        <w:t xml:space="preserve">There was a universal view among </w:t>
      </w:r>
      <w:r w:rsidRPr="00D827DB">
        <w:t>service providers that</w:t>
      </w:r>
      <w:r>
        <w:t xml:space="preserve"> early referrals to the service are highly beneficial to clients, providing counsellors with more options to assist </w:t>
      </w:r>
      <w:r w:rsidR="00521975">
        <w:t>clients</w:t>
      </w:r>
      <w:r>
        <w:t xml:space="preserve"> to improve their financial circumstances.</w:t>
      </w:r>
    </w:p>
    <w:p w14:paraId="14D8A85E" w14:textId="682DD534" w:rsidR="00226FAD" w:rsidRPr="00DF7B94" w:rsidRDefault="00226FAD" w:rsidP="00517F4E">
      <w:pPr>
        <w:pStyle w:val="ListBullet"/>
      </w:pPr>
      <w:r>
        <w:t xml:space="preserve">The quality of the RFCS is reflected in the quality, skills, training and qualifications of counsellors. Counsellors are seeking more training and resources to </w:t>
      </w:r>
      <w:r w:rsidR="00127444">
        <w:t xml:space="preserve">develop skills and </w:t>
      </w:r>
      <w:r>
        <w:t xml:space="preserve">service their clients </w:t>
      </w:r>
      <w:r w:rsidRPr="00882191">
        <w:t>better</w:t>
      </w:r>
      <w:r>
        <w:t>.</w:t>
      </w:r>
    </w:p>
    <w:p w14:paraId="27F58FB3" w14:textId="6B5C18C6" w:rsidR="00DF7B94" w:rsidRPr="00DF7B94" w:rsidRDefault="00226FAD" w:rsidP="00517F4E">
      <w:pPr>
        <w:pStyle w:val="ListBullet"/>
      </w:pPr>
      <w:r w:rsidRPr="00DF7B94">
        <w:t xml:space="preserve">There were mixed views on the </w:t>
      </w:r>
      <w:r w:rsidR="00D724AF" w:rsidRPr="00882191">
        <w:rPr>
          <w:lang w:eastAsia="ja-JP"/>
        </w:rPr>
        <w:t>Diploma of Financial Counselling (Rural)</w:t>
      </w:r>
      <w:r w:rsidRPr="00DF7B94">
        <w:t>, but counsellors consistently commented that they would benefit from improved training and professional development.</w:t>
      </w:r>
    </w:p>
    <w:p w14:paraId="630F5E02" w14:textId="3DEF4BBE" w:rsidR="00226FAD" w:rsidRPr="00CB6C25" w:rsidRDefault="00E362AC" w:rsidP="00517F4E">
      <w:pPr>
        <w:pStyle w:val="ListBullet"/>
      </w:pPr>
      <w:r w:rsidRPr="00DF7B94">
        <w:t>Employment conditions such</w:t>
      </w:r>
      <w:r w:rsidR="000A698C">
        <w:t xml:space="preserve"> as</w:t>
      </w:r>
      <w:r w:rsidRPr="00DF7B94">
        <w:t xml:space="preserve"> contract length and training requirements are key factor</w:t>
      </w:r>
      <w:r w:rsidR="00D13C51">
        <w:t>s</w:t>
      </w:r>
      <w:r w:rsidRPr="00DF7B94">
        <w:t xml:space="preserve"> </w:t>
      </w:r>
      <w:r w:rsidR="00D13C51">
        <w:t xml:space="preserve">in </w:t>
      </w:r>
      <w:r w:rsidRPr="00DF7B94">
        <w:t>at</w:t>
      </w:r>
      <w:r w:rsidR="00127444">
        <w:t>tract</w:t>
      </w:r>
      <w:r w:rsidR="00D13C51">
        <w:t>ing</w:t>
      </w:r>
      <w:r w:rsidR="00127444">
        <w:t xml:space="preserve"> and retain</w:t>
      </w:r>
      <w:r w:rsidR="00D13C51">
        <w:t>ing</w:t>
      </w:r>
      <w:r w:rsidR="00127444">
        <w:t xml:space="preserve"> quality staff</w:t>
      </w:r>
      <w:r w:rsidRPr="00DF7B94">
        <w:t>.</w:t>
      </w:r>
      <w:r w:rsidR="00127444">
        <w:t xml:space="preserve"> </w:t>
      </w:r>
      <w:r w:rsidR="00226FAD" w:rsidRPr="00DF7B94">
        <w:t xml:space="preserve">Some </w:t>
      </w:r>
      <w:r w:rsidR="00127444">
        <w:t>providers were opting for short</w:t>
      </w:r>
      <w:r w:rsidR="00127444">
        <w:noBreakHyphen/>
      </w:r>
      <w:r w:rsidR="00226FAD" w:rsidRPr="00DF7B94">
        <w:t>term staff contracts for all staff regardless of when they were engaged in the funding round.</w:t>
      </w:r>
    </w:p>
    <w:p w14:paraId="171A516F" w14:textId="6A65BEC2" w:rsidR="006D7E98" w:rsidRPr="00D13C51" w:rsidRDefault="00C739A9" w:rsidP="00517F4E">
      <w:pPr>
        <w:pStyle w:val="ListBullet"/>
      </w:pPr>
      <w:r>
        <w:t>In some regions, c</w:t>
      </w:r>
      <w:r w:rsidR="006D7E98" w:rsidRPr="00D13C51">
        <w:t xml:space="preserve">ounsellor fatigue and burnout was occurring due to continually </w:t>
      </w:r>
      <w:r w:rsidR="00563537" w:rsidRPr="00D13C51">
        <w:t>high caseloads.</w:t>
      </w:r>
    </w:p>
    <w:p w14:paraId="67B2BBE8" w14:textId="37E06252" w:rsidR="006D7E98" w:rsidRDefault="006D7E98" w:rsidP="00517F4E">
      <w:pPr>
        <w:pStyle w:val="ListBullet"/>
        <w:rPr>
          <w:lang w:eastAsia="ja-JP"/>
        </w:rPr>
      </w:pPr>
      <w:r>
        <w:rPr>
          <w:lang w:eastAsia="ja-JP"/>
        </w:rPr>
        <w:t xml:space="preserve">Approaches to dealing with high demand varied but included employing relief counsellors or support staff and </w:t>
      </w:r>
      <w:r w:rsidR="000F0756">
        <w:rPr>
          <w:lang w:eastAsia="ja-JP"/>
        </w:rPr>
        <w:t xml:space="preserve">using </w:t>
      </w:r>
      <w:r>
        <w:rPr>
          <w:lang w:eastAsia="ja-JP"/>
        </w:rPr>
        <w:t>technolog</w:t>
      </w:r>
      <w:r w:rsidR="000F0756">
        <w:rPr>
          <w:lang w:eastAsia="ja-JP"/>
        </w:rPr>
        <w:t>y to deliver services</w:t>
      </w:r>
      <w:r>
        <w:rPr>
          <w:lang w:eastAsia="ja-JP"/>
        </w:rPr>
        <w:t xml:space="preserve">. </w:t>
      </w:r>
      <w:r w:rsidR="000F0756">
        <w:rPr>
          <w:lang w:eastAsia="ja-JP"/>
        </w:rPr>
        <w:t xml:space="preserve">Appropriately trained support </w:t>
      </w:r>
      <w:r>
        <w:rPr>
          <w:lang w:eastAsia="ja-JP"/>
        </w:rPr>
        <w:t xml:space="preserve">staff appear to be assisting </w:t>
      </w:r>
      <w:r w:rsidR="000F0756">
        <w:rPr>
          <w:lang w:eastAsia="ja-JP"/>
        </w:rPr>
        <w:t xml:space="preserve">clients to </w:t>
      </w:r>
      <w:r w:rsidR="00C739A9">
        <w:rPr>
          <w:lang w:eastAsia="ja-JP"/>
        </w:rPr>
        <w:t xml:space="preserve">effectively </w:t>
      </w:r>
      <w:r w:rsidR="000F0756">
        <w:rPr>
          <w:lang w:eastAsia="ja-JP"/>
        </w:rPr>
        <w:t>apply for government assistance</w:t>
      </w:r>
      <w:r>
        <w:t>.</w:t>
      </w:r>
    </w:p>
    <w:p w14:paraId="147ECD67" w14:textId="11B8BB4C" w:rsidR="006D7E98" w:rsidRPr="00B54AB9" w:rsidRDefault="006D7E98" w:rsidP="00517F4E">
      <w:pPr>
        <w:pStyle w:val="ListBullet"/>
      </w:pPr>
      <w:r>
        <w:t xml:space="preserve">The reporting of client data using </w:t>
      </w:r>
      <w:r w:rsidR="00521975">
        <w:rPr>
          <w:lang w:eastAsia="ja-JP"/>
        </w:rPr>
        <w:t xml:space="preserve">the </w:t>
      </w:r>
      <w:r w:rsidR="00521975" w:rsidRPr="00D0187F">
        <w:rPr>
          <w:lang w:eastAsia="ja-JP"/>
        </w:rPr>
        <w:t xml:space="preserve">Rural Financial Counselling Portal </w:t>
      </w:r>
      <w:r>
        <w:t>is time</w:t>
      </w:r>
      <w:r w:rsidR="009E607A">
        <w:t>-</w:t>
      </w:r>
      <w:r>
        <w:t>consuming and</w:t>
      </w:r>
      <w:r w:rsidR="000F0756">
        <w:t xml:space="preserve"> </w:t>
      </w:r>
      <w:r>
        <w:t xml:space="preserve">taking resources away from servicing clients. There are misconceptions by providers about the use of data by government. The </w:t>
      </w:r>
      <w:r w:rsidR="00126818">
        <w:t xml:space="preserve">reliability </w:t>
      </w:r>
      <w:r>
        <w:t xml:space="preserve">of </w:t>
      </w:r>
      <w:r w:rsidR="00704FC4">
        <w:t xml:space="preserve">portal </w:t>
      </w:r>
      <w:r>
        <w:t xml:space="preserve">data </w:t>
      </w:r>
      <w:r w:rsidR="00704FC4">
        <w:t>and output reports</w:t>
      </w:r>
      <w:r>
        <w:t xml:space="preserve"> is questionable</w:t>
      </w:r>
      <w:r w:rsidR="009E607A">
        <w:t>,</w:t>
      </w:r>
      <w:r>
        <w:t xml:space="preserve"> with service providers </w:t>
      </w:r>
      <w:r w:rsidR="006D2247">
        <w:t xml:space="preserve">employing </w:t>
      </w:r>
      <w:r w:rsidR="00704FC4">
        <w:t xml:space="preserve">inconsistent </w:t>
      </w:r>
      <w:r w:rsidR="006D2247">
        <w:t>data</w:t>
      </w:r>
      <w:r w:rsidR="009E607A">
        <w:t>-</w:t>
      </w:r>
      <w:r w:rsidR="006D2247">
        <w:t>entry methods</w:t>
      </w:r>
      <w:r w:rsidR="00704FC4">
        <w:t xml:space="preserve"> and recording client type and interactions differently</w:t>
      </w:r>
      <w:r w:rsidR="00563537">
        <w:t>. The portal was raised by</w:t>
      </w:r>
      <w:r>
        <w:t xml:space="preserve"> all service providers as a major </w:t>
      </w:r>
      <w:r w:rsidR="006D2247">
        <w:t>concern.</w:t>
      </w:r>
    </w:p>
    <w:p w14:paraId="789AD73F" w14:textId="342F5ED5" w:rsidR="003C477E" w:rsidRDefault="003C477E" w:rsidP="00C11CC3">
      <w:pPr>
        <w:pStyle w:val="Heading3"/>
        <w:numPr>
          <w:ilvl w:val="0"/>
          <w:numId w:val="0"/>
        </w:numPr>
        <w:ind w:left="964" w:hanging="964"/>
      </w:pPr>
      <w:bookmarkStart w:id="4" w:name="_Toc18328836"/>
      <w:r>
        <w:lastRenderedPageBreak/>
        <w:t>Program improvements</w:t>
      </w:r>
      <w:bookmarkEnd w:id="4"/>
    </w:p>
    <w:p w14:paraId="01D01C71" w14:textId="77777777" w:rsidR="00781956" w:rsidRPr="00781956" w:rsidRDefault="00781956" w:rsidP="00523888">
      <w:pPr>
        <w:keepNext/>
      </w:pPr>
      <w:r w:rsidRPr="00781956">
        <w:t>Recommendations in this report aim to:</w:t>
      </w:r>
    </w:p>
    <w:p w14:paraId="27DFDC77" w14:textId="31725F50" w:rsidR="00781956" w:rsidRDefault="00781956" w:rsidP="00781956">
      <w:pPr>
        <w:pStyle w:val="ListBullet"/>
      </w:pPr>
      <w:r>
        <w:t xml:space="preserve">formally reflect the complete role of the RFCS, including servicing transactional clients, but ensure all RFCS activities </w:t>
      </w:r>
      <w:r w:rsidR="00C739A9">
        <w:t xml:space="preserve">lead </w:t>
      </w:r>
      <w:r>
        <w:t xml:space="preserve">clients </w:t>
      </w:r>
      <w:r w:rsidR="00C739A9">
        <w:t xml:space="preserve">onto </w:t>
      </w:r>
      <w:r>
        <w:t xml:space="preserve">a pathway </w:t>
      </w:r>
      <w:r w:rsidR="0043626F">
        <w:t>of</w:t>
      </w:r>
      <w:r w:rsidR="00C739A9">
        <w:t xml:space="preserve"> </w:t>
      </w:r>
      <w:r>
        <w:t>case management</w:t>
      </w:r>
      <w:r w:rsidR="00844BCF">
        <w:t xml:space="preserve"> to drive behavioural change</w:t>
      </w:r>
    </w:p>
    <w:p w14:paraId="52198AA9" w14:textId="08C874C0" w:rsidR="00781956" w:rsidRDefault="00844BCF" w:rsidP="00781956">
      <w:pPr>
        <w:pStyle w:val="ListBullet"/>
      </w:pPr>
      <w:r>
        <w:t>enable service providers to</w:t>
      </w:r>
      <w:r w:rsidR="00FD2A0B" w:rsidRPr="0030028A">
        <w:t xml:space="preserve"> engag</w:t>
      </w:r>
      <w:r w:rsidR="009E607A">
        <w:t>e</w:t>
      </w:r>
      <w:r w:rsidR="00FD2A0B" w:rsidRPr="0030028A">
        <w:t xml:space="preserve"> in </w:t>
      </w:r>
      <w:r w:rsidR="00781956" w:rsidRPr="0030028A">
        <w:t>more proactive work (in p</w:t>
      </w:r>
      <w:r w:rsidR="00781956">
        <w:t>eriods of lower demand) to assist with preparedness</w:t>
      </w:r>
    </w:p>
    <w:p w14:paraId="38E96689" w14:textId="1B3B7869" w:rsidR="00781956" w:rsidRDefault="00781956" w:rsidP="00781956">
      <w:pPr>
        <w:pStyle w:val="ListBullet"/>
      </w:pPr>
      <w:proofErr w:type="gramStart"/>
      <w:r>
        <w:t>provide</w:t>
      </w:r>
      <w:proofErr w:type="gramEnd"/>
      <w:r>
        <w:t xml:space="preserve"> increased funding certainty </w:t>
      </w:r>
      <w:r w:rsidR="00A01AA4">
        <w:t xml:space="preserve">to help </w:t>
      </w:r>
      <w:r>
        <w:t>providers meet changing levels of demand, service a broader role and attract and retain staff. Contingency funds should only be for unforeseen emergency events</w:t>
      </w:r>
    </w:p>
    <w:p w14:paraId="6D0F7A3F" w14:textId="53870A64" w:rsidR="00781956" w:rsidRPr="00E714CB" w:rsidRDefault="00781956" w:rsidP="00781956">
      <w:pPr>
        <w:pStyle w:val="ListBullet"/>
      </w:pPr>
      <w:r>
        <w:t>a</w:t>
      </w:r>
      <w:r w:rsidRPr="008D21F5">
        <w:t xml:space="preserve">llow any </w:t>
      </w:r>
      <w:r w:rsidRPr="002801E0">
        <w:t xml:space="preserve">structural change to happen organically by increasing competition through relaxed grant eligibility </w:t>
      </w:r>
      <w:r w:rsidRPr="00E714CB">
        <w:t>settings and</w:t>
      </w:r>
      <w:r w:rsidR="00856530">
        <w:t xml:space="preserve"> </w:t>
      </w:r>
      <w:r w:rsidR="002A5631">
        <w:t xml:space="preserve">continuing to </w:t>
      </w:r>
      <w:r w:rsidRPr="00E714CB">
        <w:t>allow cross-region bidding for program delivery</w:t>
      </w:r>
    </w:p>
    <w:p w14:paraId="05D1B2FC" w14:textId="564839AB" w:rsidR="00781956" w:rsidRPr="002801E0" w:rsidRDefault="00781956" w:rsidP="00781956">
      <w:pPr>
        <w:pStyle w:val="ListBullet"/>
      </w:pPr>
      <w:r w:rsidRPr="002801E0">
        <w:t xml:space="preserve">reduce reporting </w:t>
      </w:r>
      <w:r w:rsidRPr="00FE7DCE">
        <w:t xml:space="preserve">requirements </w:t>
      </w:r>
      <w:r w:rsidR="00680CED" w:rsidRPr="00FE7DCE">
        <w:t>for</w:t>
      </w:r>
      <w:r w:rsidRPr="00FE7DCE">
        <w:t xml:space="preserve"> service</w:t>
      </w:r>
      <w:r w:rsidRPr="002801E0">
        <w:t xml:space="preserve"> providers </w:t>
      </w:r>
      <w:r w:rsidR="006240C6" w:rsidRPr="002801E0">
        <w:t>and employ alternative</w:t>
      </w:r>
      <w:r w:rsidR="00063FCC" w:rsidRPr="002801E0">
        <w:t xml:space="preserve"> </w:t>
      </w:r>
      <w:r w:rsidRPr="002801E0">
        <w:t>method</w:t>
      </w:r>
      <w:r w:rsidR="00FD2A0B" w:rsidRPr="002801E0">
        <w:t>s</w:t>
      </w:r>
      <w:r w:rsidRPr="002801E0">
        <w:t xml:space="preserve"> to determine compliance and performance</w:t>
      </w:r>
      <w:r w:rsidR="006240C6" w:rsidRPr="002801E0">
        <w:t xml:space="preserve"> (</w:t>
      </w:r>
      <w:r w:rsidR="000F554E">
        <w:t>for example,</w:t>
      </w:r>
      <w:r w:rsidR="006240C6" w:rsidRPr="002801E0">
        <w:t xml:space="preserve"> an independent audit regime)</w:t>
      </w:r>
      <w:r w:rsidR="00FD2A0B" w:rsidRPr="002801E0">
        <w:t xml:space="preserve"> to increase accountability</w:t>
      </w:r>
    </w:p>
    <w:p w14:paraId="58CC16D5" w14:textId="4C38A483" w:rsidR="00781956" w:rsidRDefault="00781956" w:rsidP="00781956">
      <w:pPr>
        <w:pStyle w:val="ListBullet"/>
        <w:rPr>
          <w:lang w:eastAsia="ja-JP"/>
        </w:rPr>
      </w:pPr>
      <w:r>
        <w:rPr>
          <w:lang w:eastAsia="ja-JP"/>
        </w:rPr>
        <w:t>improve training and development of counsellors by facilitating collaboration between service regions at counsellor levels and by engaging in the review of the diploma</w:t>
      </w:r>
    </w:p>
    <w:p w14:paraId="2894C671" w14:textId="77777777" w:rsidR="00781956" w:rsidRDefault="00781956" w:rsidP="00781956">
      <w:pPr>
        <w:pStyle w:val="ListBullet"/>
        <w:rPr>
          <w:lang w:eastAsia="ja-JP"/>
        </w:rPr>
      </w:pPr>
      <w:r>
        <w:rPr>
          <w:lang w:eastAsia="ja-JP"/>
        </w:rPr>
        <w:t>improve national consistency on messaging for the program</w:t>
      </w:r>
    </w:p>
    <w:p w14:paraId="6E8DA774" w14:textId="0C638B58" w:rsidR="00781956" w:rsidRDefault="00781956" w:rsidP="00781956">
      <w:pPr>
        <w:pStyle w:val="ListBullet"/>
        <w:rPr>
          <w:lang w:eastAsia="ja-JP"/>
        </w:rPr>
      </w:pPr>
      <w:proofErr w:type="gramStart"/>
      <w:r>
        <w:rPr>
          <w:lang w:eastAsia="ja-JP"/>
        </w:rPr>
        <w:t>reduce</w:t>
      </w:r>
      <w:proofErr w:type="gramEnd"/>
      <w:r>
        <w:rPr>
          <w:lang w:eastAsia="ja-JP"/>
        </w:rPr>
        <w:t xml:space="preserve"> the administrative burden </w:t>
      </w:r>
      <w:r w:rsidR="004A7C84">
        <w:rPr>
          <w:lang w:eastAsia="ja-JP"/>
        </w:rPr>
        <w:t xml:space="preserve">for service providers, counsellors and government by reducing the </w:t>
      </w:r>
      <w:r>
        <w:rPr>
          <w:lang w:eastAsia="ja-JP"/>
        </w:rPr>
        <w:t>collecti</w:t>
      </w:r>
      <w:r w:rsidR="004A7C84">
        <w:rPr>
          <w:lang w:eastAsia="ja-JP"/>
        </w:rPr>
        <w:t>on</w:t>
      </w:r>
      <w:r>
        <w:rPr>
          <w:lang w:eastAsia="ja-JP"/>
        </w:rPr>
        <w:t xml:space="preserve"> and reporting </w:t>
      </w:r>
      <w:r w:rsidR="004A7C84">
        <w:rPr>
          <w:lang w:eastAsia="ja-JP"/>
        </w:rPr>
        <w:t>o</w:t>
      </w:r>
      <w:r w:rsidR="00AC14F0">
        <w:rPr>
          <w:lang w:eastAsia="ja-JP"/>
        </w:rPr>
        <w:t>f</w:t>
      </w:r>
      <w:r w:rsidR="004A7C84">
        <w:rPr>
          <w:lang w:eastAsia="ja-JP"/>
        </w:rPr>
        <w:t xml:space="preserve"> </w:t>
      </w:r>
      <w:r w:rsidR="002A5631">
        <w:rPr>
          <w:lang w:eastAsia="ja-JP"/>
        </w:rPr>
        <w:t xml:space="preserve">unnecessary </w:t>
      </w:r>
      <w:r>
        <w:rPr>
          <w:lang w:eastAsia="ja-JP"/>
        </w:rPr>
        <w:t>data</w:t>
      </w:r>
      <w:r w:rsidR="004A7C84">
        <w:rPr>
          <w:lang w:eastAsia="ja-JP"/>
        </w:rPr>
        <w:t>.</w:t>
      </w:r>
    </w:p>
    <w:p w14:paraId="15B3159F" w14:textId="6A6396AA" w:rsidR="008266E3" w:rsidRDefault="003C477E" w:rsidP="003C477E">
      <w:pPr>
        <w:rPr>
          <w:lang w:eastAsia="ja-JP"/>
        </w:rPr>
      </w:pPr>
      <w:r>
        <w:rPr>
          <w:lang w:eastAsia="ja-JP"/>
        </w:rPr>
        <w:t xml:space="preserve">The panel acknowledges that driving behavioural change is not easy. However, building a more profitable and resilient agricultural sector in Australia requires change at an individual level. Counsellors are asked </w:t>
      </w:r>
      <w:r w:rsidR="004530FD">
        <w:rPr>
          <w:lang w:eastAsia="ja-JP"/>
        </w:rPr>
        <w:t xml:space="preserve">to use their knowledge </w:t>
      </w:r>
      <w:r>
        <w:rPr>
          <w:lang w:eastAsia="ja-JP"/>
        </w:rPr>
        <w:t xml:space="preserve">to </w:t>
      </w:r>
      <w:r w:rsidR="004530FD">
        <w:rPr>
          <w:lang w:eastAsia="ja-JP"/>
        </w:rPr>
        <w:t xml:space="preserve">support and </w:t>
      </w:r>
      <w:r>
        <w:rPr>
          <w:lang w:eastAsia="ja-JP"/>
        </w:rPr>
        <w:t>empower clients to make positive changes to their financial situation. Hard conversations are often required for clients to consider how to improve their business or exit the industry through the sale of assets or implementing succession plans</w:t>
      </w:r>
      <w:r w:rsidRPr="008C30DE">
        <w:rPr>
          <w:lang w:eastAsia="ja-JP"/>
        </w:rPr>
        <w:t>.</w:t>
      </w:r>
    </w:p>
    <w:p w14:paraId="5B04607F" w14:textId="614777FE" w:rsidR="003C477E" w:rsidRDefault="003C477E" w:rsidP="00331133">
      <w:pPr>
        <w:rPr>
          <w:lang w:eastAsia="ja-JP"/>
        </w:rPr>
      </w:pPr>
      <w:r>
        <w:rPr>
          <w:lang w:eastAsia="ja-JP"/>
        </w:rPr>
        <w:t xml:space="preserve">The review recommendations </w:t>
      </w:r>
      <w:r w:rsidR="00736B18">
        <w:rPr>
          <w:lang w:eastAsia="ja-JP"/>
        </w:rPr>
        <w:t>aim to</w:t>
      </w:r>
      <w:r>
        <w:rPr>
          <w:lang w:eastAsia="ja-JP"/>
        </w:rPr>
        <w:t xml:space="preserve"> foster a professional RFCS workforce and target RFCS activities at an individual level to effect industry </w:t>
      </w:r>
      <w:r w:rsidR="00736B18">
        <w:rPr>
          <w:lang w:eastAsia="ja-JP"/>
        </w:rPr>
        <w:t xml:space="preserve">scale </w:t>
      </w:r>
      <w:r>
        <w:rPr>
          <w:lang w:eastAsia="ja-JP"/>
        </w:rPr>
        <w:t>change. Proposed changes to program settings are designed to improve service delivery and administration, with an emphasis on increasing boots on the ground to driving positive, long-term client outcomes.</w:t>
      </w:r>
    </w:p>
    <w:p w14:paraId="3B3B9653" w14:textId="77777777" w:rsidR="00517F4E" w:rsidRDefault="00FD2A0B" w:rsidP="00C11CC3">
      <w:pPr>
        <w:pStyle w:val="Heading3"/>
        <w:numPr>
          <w:ilvl w:val="0"/>
          <w:numId w:val="0"/>
        </w:numPr>
        <w:ind w:left="964" w:hanging="964"/>
      </w:pPr>
      <w:bookmarkStart w:id="5" w:name="_Toc18328837"/>
      <w:r>
        <w:t xml:space="preserve">Review </w:t>
      </w:r>
      <w:r w:rsidR="00B12955">
        <w:t>r</w:t>
      </w:r>
      <w:r w:rsidR="00E275CB">
        <w:t>ecommendations</w:t>
      </w:r>
      <w:bookmarkEnd w:id="5"/>
    </w:p>
    <w:p w14:paraId="4AAFF8BD" w14:textId="4FFD15D6" w:rsidR="00E275CB" w:rsidRDefault="00E275CB" w:rsidP="00C11CC3">
      <w:pPr>
        <w:pStyle w:val="Heading4"/>
        <w:numPr>
          <w:ilvl w:val="0"/>
          <w:numId w:val="0"/>
        </w:numPr>
        <w:ind w:left="964" w:hanging="964"/>
      </w:pPr>
      <w:r>
        <w:t>Role of the RFCS</w:t>
      </w:r>
    </w:p>
    <w:p w14:paraId="62716B53" w14:textId="4C08435F" w:rsidR="00CE687C" w:rsidRDefault="00CE687C" w:rsidP="00517F4E">
      <w:pPr>
        <w:pStyle w:val="ListNumber"/>
        <w:numPr>
          <w:ilvl w:val="0"/>
          <w:numId w:val="13"/>
        </w:numPr>
        <w:rPr>
          <w:lang w:eastAsia="ja-JP"/>
        </w:rPr>
      </w:pPr>
      <w:r w:rsidRPr="00CE687C">
        <w:rPr>
          <w:lang w:eastAsia="ja-JP"/>
        </w:rPr>
        <w:t>That program objectives be amended to clearly reflect the role of the RFCS as change agents</w:t>
      </w:r>
      <w:r w:rsidR="00AC14F0">
        <w:rPr>
          <w:lang w:eastAsia="ja-JP"/>
        </w:rPr>
        <w:t xml:space="preserve">. All RFCS activities should </w:t>
      </w:r>
      <w:r w:rsidRPr="00CE687C">
        <w:rPr>
          <w:lang w:eastAsia="ja-JP"/>
        </w:rPr>
        <w:t>point</w:t>
      </w:r>
      <w:r w:rsidR="00AC14F0">
        <w:rPr>
          <w:lang w:eastAsia="ja-JP"/>
        </w:rPr>
        <w:t xml:space="preserve"> </w:t>
      </w:r>
      <w:r w:rsidRPr="00CE687C">
        <w:rPr>
          <w:lang w:eastAsia="ja-JP"/>
        </w:rPr>
        <w:t xml:space="preserve">towards case management and the broader policy </w:t>
      </w:r>
      <w:r w:rsidR="00AC14F0">
        <w:rPr>
          <w:lang w:eastAsia="ja-JP"/>
        </w:rPr>
        <w:t>outcome</w:t>
      </w:r>
      <w:r w:rsidR="00AC14F0" w:rsidRPr="00CE687C">
        <w:rPr>
          <w:lang w:eastAsia="ja-JP"/>
        </w:rPr>
        <w:t xml:space="preserve"> </w:t>
      </w:r>
      <w:r w:rsidRPr="00CE687C">
        <w:rPr>
          <w:lang w:eastAsia="ja-JP"/>
        </w:rPr>
        <w:t>of behavioural change to improve the resilience of Australia</w:t>
      </w:r>
      <w:r w:rsidR="00736B18">
        <w:rPr>
          <w:lang w:eastAsia="ja-JP"/>
        </w:rPr>
        <w:t>'</w:t>
      </w:r>
      <w:r w:rsidRPr="00CE687C">
        <w:rPr>
          <w:lang w:eastAsia="ja-JP"/>
        </w:rPr>
        <w:t>s primary production industries.</w:t>
      </w:r>
    </w:p>
    <w:p w14:paraId="3A1FB06A" w14:textId="0BCF7997" w:rsidR="00CE687C" w:rsidRDefault="00CE687C" w:rsidP="00AC14F0">
      <w:pPr>
        <w:pStyle w:val="ListNumber"/>
        <w:numPr>
          <w:ilvl w:val="0"/>
          <w:numId w:val="13"/>
        </w:numPr>
        <w:rPr>
          <w:lang w:eastAsia="ja-JP"/>
        </w:rPr>
      </w:pPr>
      <w:r w:rsidRPr="00CE687C">
        <w:rPr>
          <w:lang w:eastAsia="ja-JP"/>
        </w:rPr>
        <w:t>That guidelines formally recognise the role of the RFCS in providing transactional assistance—</w:t>
      </w:r>
      <w:r w:rsidR="00AC14F0" w:rsidRPr="00AC14F0">
        <w:rPr>
          <w:lang w:eastAsia="ja-JP"/>
        </w:rPr>
        <w:t>help applying for immediate relief through Australi</w:t>
      </w:r>
      <w:r w:rsidR="00AC14F0">
        <w:rPr>
          <w:lang w:eastAsia="ja-JP"/>
        </w:rPr>
        <w:t xml:space="preserve">an and state government </w:t>
      </w:r>
      <w:r w:rsidR="00AC14F0">
        <w:rPr>
          <w:lang w:eastAsia="ja-JP"/>
        </w:rPr>
        <w:lastRenderedPageBreak/>
        <w:t>programs</w:t>
      </w:r>
      <w:r w:rsidRPr="00CE687C">
        <w:rPr>
          <w:lang w:eastAsia="ja-JP"/>
        </w:rPr>
        <w:t xml:space="preserve">—and that there are flexible staffing profiles to achieve this. Transactional assistance should be used as a means to </w:t>
      </w:r>
      <w:r w:rsidR="00AC14F0" w:rsidRPr="00AC14F0">
        <w:rPr>
          <w:lang w:eastAsia="ja-JP"/>
        </w:rPr>
        <w:t xml:space="preserve">lead clients onto </w:t>
      </w:r>
      <w:r w:rsidRPr="00CE687C">
        <w:rPr>
          <w:lang w:eastAsia="ja-JP"/>
        </w:rPr>
        <w:t xml:space="preserve">a pathway </w:t>
      </w:r>
      <w:r w:rsidR="0043626F">
        <w:rPr>
          <w:lang w:eastAsia="ja-JP"/>
        </w:rPr>
        <w:t>of</w:t>
      </w:r>
      <w:r w:rsidR="0043626F" w:rsidRPr="00CE687C">
        <w:rPr>
          <w:lang w:eastAsia="ja-JP"/>
        </w:rPr>
        <w:t xml:space="preserve"> </w:t>
      </w:r>
      <w:r w:rsidRPr="00CE687C">
        <w:rPr>
          <w:lang w:eastAsia="ja-JP"/>
        </w:rPr>
        <w:t>case management.</w:t>
      </w:r>
    </w:p>
    <w:p w14:paraId="374B0ABE" w14:textId="39DB58DB" w:rsidR="00691301" w:rsidRPr="00691301" w:rsidRDefault="00691301" w:rsidP="00517F4E">
      <w:pPr>
        <w:pStyle w:val="ListNumber"/>
        <w:numPr>
          <w:ilvl w:val="0"/>
          <w:numId w:val="13"/>
        </w:numPr>
        <w:rPr>
          <w:lang w:eastAsia="ja-JP"/>
        </w:rPr>
      </w:pPr>
      <w:r w:rsidRPr="00691301">
        <w:rPr>
          <w:lang w:eastAsia="ja-JP"/>
        </w:rPr>
        <w:t>That the next RFCS funding round does not commence until after the Farm Household Allowance (FHA) review has been considered by government and any changes to the role of the RFCS (in the context of the government</w:t>
      </w:r>
      <w:r w:rsidR="00736B18">
        <w:rPr>
          <w:lang w:eastAsia="ja-JP"/>
        </w:rPr>
        <w:t>'</w:t>
      </w:r>
      <w:r w:rsidRPr="00691301">
        <w:rPr>
          <w:lang w:eastAsia="ja-JP"/>
        </w:rPr>
        <w:t>s response to that review) are incorporated into the next RFCS program.</w:t>
      </w:r>
    </w:p>
    <w:p w14:paraId="1A4CB4A7" w14:textId="41D2A02A" w:rsidR="00517F4E" w:rsidRDefault="00E275CB" w:rsidP="00EF2381">
      <w:pPr>
        <w:pStyle w:val="ListNumber"/>
        <w:numPr>
          <w:ilvl w:val="0"/>
          <w:numId w:val="13"/>
        </w:numPr>
        <w:rPr>
          <w:lang w:eastAsia="ja-JP"/>
        </w:rPr>
      </w:pPr>
      <w:r w:rsidRPr="00623BB6">
        <w:rPr>
          <w:lang w:eastAsia="ja-JP"/>
        </w:rPr>
        <w:t xml:space="preserve">That </w:t>
      </w:r>
      <w:r w:rsidR="004E0404" w:rsidRPr="00623BB6">
        <w:rPr>
          <w:lang w:eastAsia="ja-JP"/>
        </w:rPr>
        <w:t>the role of the RFCS</w:t>
      </w:r>
      <w:r w:rsidRPr="00623BB6">
        <w:rPr>
          <w:lang w:eastAsia="ja-JP"/>
        </w:rPr>
        <w:t xml:space="preserve"> more explicitly allow</w:t>
      </w:r>
      <w:r w:rsidR="00FD2A0B" w:rsidRPr="00623BB6">
        <w:rPr>
          <w:lang w:eastAsia="ja-JP"/>
        </w:rPr>
        <w:t>s</w:t>
      </w:r>
      <w:r w:rsidRPr="00623BB6">
        <w:rPr>
          <w:lang w:eastAsia="ja-JP"/>
        </w:rPr>
        <w:t xml:space="preserve"> for preparedness and resilience activities</w:t>
      </w:r>
      <w:r w:rsidR="00656886" w:rsidRPr="00623BB6">
        <w:rPr>
          <w:lang w:eastAsia="ja-JP"/>
        </w:rPr>
        <w:t xml:space="preserve">, as capacity of the service </w:t>
      </w:r>
      <w:r w:rsidR="00B12955" w:rsidRPr="00623BB6">
        <w:rPr>
          <w:lang w:eastAsia="ja-JP"/>
        </w:rPr>
        <w:t>permits</w:t>
      </w:r>
      <w:r w:rsidRPr="00623BB6">
        <w:rPr>
          <w:lang w:eastAsia="ja-JP"/>
        </w:rPr>
        <w:t>.</w:t>
      </w:r>
      <w:r w:rsidR="004E0404" w:rsidRPr="00623BB6">
        <w:rPr>
          <w:lang w:eastAsia="ja-JP"/>
        </w:rPr>
        <w:t xml:space="preserve"> </w:t>
      </w:r>
      <w:r w:rsidR="00FD2A0B" w:rsidRPr="00623BB6">
        <w:rPr>
          <w:lang w:eastAsia="ja-JP"/>
        </w:rPr>
        <w:t>C</w:t>
      </w:r>
      <w:r w:rsidR="00656886" w:rsidRPr="00623BB6">
        <w:rPr>
          <w:lang w:eastAsia="ja-JP"/>
        </w:rPr>
        <w:t>lient e</w:t>
      </w:r>
      <w:r w:rsidRPr="00623BB6">
        <w:rPr>
          <w:lang w:eastAsia="ja-JP"/>
        </w:rPr>
        <w:t xml:space="preserve">ligibility should </w:t>
      </w:r>
      <w:r w:rsidR="00656886" w:rsidRPr="00623BB6">
        <w:rPr>
          <w:lang w:eastAsia="ja-JP"/>
        </w:rPr>
        <w:t>be broadened to</w:t>
      </w:r>
      <w:r w:rsidRPr="00623BB6">
        <w:rPr>
          <w:lang w:eastAsia="ja-JP"/>
        </w:rPr>
        <w:t xml:space="preserve"> those</w:t>
      </w:r>
      <w:r w:rsidR="00517F4E">
        <w:rPr>
          <w:lang w:eastAsia="ja-JP"/>
        </w:rPr>
        <w:t xml:space="preserve"> </w:t>
      </w:r>
      <w:r w:rsidR="00736B18">
        <w:rPr>
          <w:lang w:eastAsia="ja-JP"/>
        </w:rPr>
        <w:t>'</w:t>
      </w:r>
      <w:r w:rsidRPr="002A4CC2">
        <w:rPr>
          <w:lang w:eastAsia="ja-JP"/>
        </w:rPr>
        <w:t>at risk</w:t>
      </w:r>
      <w:r w:rsidR="00736B18">
        <w:rPr>
          <w:lang w:eastAsia="ja-JP"/>
        </w:rPr>
        <w:t>'</w:t>
      </w:r>
      <w:r w:rsidR="00745579" w:rsidRPr="002A4CC2">
        <w:rPr>
          <w:lang w:eastAsia="ja-JP"/>
        </w:rPr>
        <w:t xml:space="preserve"> </w:t>
      </w:r>
      <w:r w:rsidRPr="002A4CC2">
        <w:rPr>
          <w:lang w:eastAsia="ja-JP"/>
        </w:rPr>
        <w:t xml:space="preserve">of financial hardship </w:t>
      </w:r>
      <w:r w:rsidR="00656886" w:rsidRPr="002A4CC2">
        <w:rPr>
          <w:lang w:eastAsia="ja-JP"/>
        </w:rPr>
        <w:t>(rather than</w:t>
      </w:r>
      <w:r w:rsidRPr="002A4CC2">
        <w:rPr>
          <w:lang w:eastAsia="ja-JP"/>
        </w:rPr>
        <w:t xml:space="preserve"> </w:t>
      </w:r>
      <w:r w:rsidR="00656886" w:rsidRPr="002A4CC2">
        <w:rPr>
          <w:lang w:eastAsia="ja-JP"/>
        </w:rPr>
        <w:t xml:space="preserve">only </w:t>
      </w:r>
      <w:r w:rsidRPr="002A4CC2">
        <w:rPr>
          <w:lang w:eastAsia="ja-JP"/>
        </w:rPr>
        <w:t>those</w:t>
      </w:r>
      <w:r w:rsidR="00517F4E">
        <w:rPr>
          <w:lang w:eastAsia="ja-JP"/>
        </w:rPr>
        <w:t xml:space="preserve"> </w:t>
      </w:r>
      <w:r w:rsidR="00736B18">
        <w:rPr>
          <w:lang w:eastAsia="ja-JP"/>
        </w:rPr>
        <w:t>'</w:t>
      </w:r>
      <w:r w:rsidRPr="002A4CC2">
        <w:rPr>
          <w:lang w:eastAsia="ja-JP"/>
        </w:rPr>
        <w:t>at</w:t>
      </w:r>
      <w:r w:rsidR="00745579" w:rsidRPr="002A4CC2">
        <w:rPr>
          <w:lang w:eastAsia="ja-JP"/>
        </w:rPr>
        <w:t xml:space="preserve"> </w:t>
      </w:r>
      <w:r w:rsidRPr="002A4CC2">
        <w:rPr>
          <w:lang w:eastAsia="ja-JP"/>
        </w:rPr>
        <w:t>imminent risk</w:t>
      </w:r>
      <w:r w:rsidR="00736B18">
        <w:rPr>
          <w:lang w:eastAsia="ja-JP"/>
        </w:rPr>
        <w:t>'</w:t>
      </w:r>
      <w:r w:rsidR="00745579" w:rsidRPr="002A4CC2">
        <w:rPr>
          <w:lang w:eastAsia="ja-JP"/>
        </w:rPr>
        <w:t xml:space="preserve"> </w:t>
      </w:r>
      <w:r w:rsidR="00D166F8" w:rsidRPr="002A4CC2">
        <w:rPr>
          <w:lang w:eastAsia="ja-JP"/>
        </w:rPr>
        <w:t xml:space="preserve">of </w:t>
      </w:r>
      <w:r w:rsidR="00656886" w:rsidRPr="002A4CC2">
        <w:rPr>
          <w:lang w:eastAsia="ja-JP"/>
        </w:rPr>
        <w:t>financial hardship</w:t>
      </w:r>
      <w:r w:rsidR="004971CB" w:rsidRPr="002A4CC2">
        <w:rPr>
          <w:lang w:eastAsia="ja-JP"/>
        </w:rPr>
        <w:t>)</w:t>
      </w:r>
      <w:r w:rsidR="00B12955" w:rsidRPr="002A4CC2">
        <w:rPr>
          <w:lang w:eastAsia="ja-JP"/>
        </w:rPr>
        <w:t>,</w:t>
      </w:r>
      <w:r w:rsidR="00656886" w:rsidRPr="002A4CC2">
        <w:rPr>
          <w:lang w:eastAsia="ja-JP"/>
        </w:rPr>
        <w:t xml:space="preserve"> as well</w:t>
      </w:r>
      <w:r w:rsidR="00656886" w:rsidRPr="00623BB6">
        <w:rPr>
          <w:lang w:eastAsia="ja-JP"/>
        </w:rPr>
        <w:t xml:space="preserve"> as core clients who are </w:t>
      </w:r>
      <w:r w:rsidRPr="00623BB6">
        <w:rPr>
          <w:lang w:eastAsia="ja-JP"/>
        </w:rPr>
        <w:t>already experiencing financial hardship.</w:t>
      </w:r>
    </w:p>
    <w:p w14:paraId="120AA35D" w14:textId="7802B0FC" w:rsidR="007E3A60" w:rsidRDefault="00E275CB" w:rsidP="00C11CC3">
      <w:pPr>
        <w:pStyle w:val="Heading4"/>
        <w:numPr>
          <w:ilvl w:val="0"/>
          <w:numId w:val="0"/>
        </w:numPr>
        <w:ind w:left="964" w:hanging="964"/>
        <w:rPr>
          <w:lang w:eastAsia="ja-JP"/>
        </w:rPr>
      </w:pPr>
      <w:r>
        <w:rPr>
          <w:lang w:eastAsia="ja-JP"/>
        </w:rPr>
        <w:t>Service structure</w:t>
      </w:r>
    </w:p>
    <w:p w14:paraId="13E01EF5" w14:textId="4857404D" w:rsidR="007E3A60" w:rsidRDefault="00575EBD" w:rsidP="00110F8B">
      <w:pPr>
        <w:pStyle w:val="ListNumber"/>
      </w:pPr>
      <w:r>
        <w:t xml:space="preserve">That </w:t>
      </w:r>
      <w:r w:rsidR="00D166F8">
        <w:t xml:space="preserve">a reduction in the number of service regions </w:t>
      </w:r>
      <w:r>
        <w:t xml:space="preserve">will not be mandated in the next funding round. </w:t>
      </w:r>
      <w:r w:rsidR="00FD2A0B">
        <w:t>G</w:t>
      </w:r>
      <w:r>
        <w:t xml:space="preserve">uidelines </w:t>
      </w:r>
      <w:r w:rsidR="006B4C49">
        <w:t xml:space="preserve">should </w:t>
      </w:r>
      <w:r>
        <w:t>allow for</w:t>
      </w:r>
      <w:r w:rsidR="007E3A60">
        <w:rPr>
          <w:lang w:eastAsia="ja-JP"/>
        </w:rPr>
        <w:t xml:space="preserve"> a competitive grants process whereby applicants can compete for </w:t>
      </w:r>
      <w:r w:rsidR="00051B19">
        <w:rPr>
          <w:lang w:eastAsia="ja-JP"/>
        </w:rPr>
        <w:t>one</w:t>
      </w:r>
      <w:r w:rsidR="00517F4E">
        <w:rPr>
          <w:lang w:eastAsia="ja-JP"/>
        </w:rPr>
        <w:t xml:space="preserve"> </w:t>
      </w:r>
      <w:r w:rsidR="007E3A60">
        <w:rPr>
          <w:lang w:eastAsia="ja-JP"/>
        </w:rPr>
        <w:t>o</w:t>
      </w:r>
      <w:r w:rsidR="006B4C49">
        <w:rPr>
          <w:lang w:eastAsia="ja-JP"/>
        </w:rPr>
        <w:t>r</w:t>
      </w:r>
      <w:r w:rsidR="007E3A60">
        <w:rPr>
          <w:lang w:eastAsia="ja-JP"/>
        </w:rPr>
        <w:t xml:space="preserve"> more service areas in their funding application.</w:t>
      </w:r>
    </w:p>
    <w:p w14:paraId="086CB46F" w14:textId="3A64101D" w:rsidR="001E153D" w:rsidRDefault="001E153D" w:rsidP="006D32BD">
      <w:pPr>
        <w:pStyle w:val="ListNumber"/>
      </w:pPr>
      <w:r>
        <w:t>That governance restrictions on boards be revisited in the next funding round</w:t>
      </w:r>
      <w:r w:rsidR="00F844B1">
        <w:t>. I</w:t>
      </w:r>
      <w:r>
        <w:t xml:space="preserve">n particular, </w:t>
      </w:r>
      <w:r w:rsidR="00F844B1">
        <w:t xml:space="preserve">that </w:t>
      </w:r>
      <w:r>
        <w:t xml:space="preserve">the need for a separate board be removed and regulation of board composition be </w:t>
      </w:r>
      <w:r w:rsidR="0019192D">
        <w:t>reconsidered</w:t>
      </w:r>
      <w:r>
        <w:t>. The commitment to</w:t>
      </w:r>
      <w:r w:rsidR="00623BB6">
        <w:t xml:space="preserve"> skills</w:t>
      </w:r>
      <w:r w:rsidR="00623BB6">
        <w:noBreakHyphen/>
      </w:r>
      <w:r w:rsidRPr="001E2E5E">
        <w:t xml:space="preserve">based and </w:t>
      </w:r>
      <w:r w:rsidR="00623BB6">
        <w:t>merit</w:t>
      </w:r>
      <w:r w:rsidR="00623BB6">
        <w:noBreakHyphen/>
      </w:r>
      <w:r>
        <w:t xml:space="preserve">selected boards </w:t>
      </w:r>
      <w:r w:rsidR="00FD2A0B">
        <w:t>must</w:t>
      </w:r>
      <w:r>
        <w:t xml:space="preserve"> be retained to provide strong corporate governance, strategic direction and innovation.</w:t>
      </w:r>
    </w:p>
    <w:p w14:paraId="57440242" w14:textId="54419DAA" w:rsidR="00E275CB" w:rsidRDefault="00E275CB" w:rsidP="00C11CC3">
      <w:pPr>
        <w:pStyle w:val="Heading4"/>
        <w:numPr>
          <w:ilvl w:val="0"/>
          <w:numId w:val="0"/>
        </w:numPr>
        <w:ind w:left="964" w:hanging="964"/>
        <w:rPr>
          <w:lang w:eastAsia="ja-JP"/>
        </w:rPr>
      </w:pPr>
      <w:r>
        <w:rPr>
          <w:lang w:eastAsia="ja-JP"/>
        </w:rPr>
        <w:t>Funding arrangements</w:t>
      </w:r>
    </w:p>
    <w:p w14:paraId="2452452F" w14:textId="2BCAEF7E" w:rsidR="00517F4E" w:rsidRDefault="003170F8" w:rsidP="00C71F1C">
      <w:pPr>
        <w:pStyle w:val="ListNumber"/>
        <w:rPr>
          <w:lang w:eastAsia="ja-JP"/>
        </w:rPr>
      </w:pPr>
      <w:r>
        <w:rPr>
          <w:lang w:eastAsia="ja-JP"/>
        </w:rPr>
        <w:t xml:space="preserve">That states be encouraged to review their funding commitments to the RFCS to take into </w:t>
      </w:r>
      <w:r w:rsidR="00832032">
        <w:rPr>
          <w:lang w:eastAsia="ja-JP"/>
        </w:rPr>
        <w:t xml:space="preserve">consideration </w:t>
      </w:r>
      <w:r>
        <w:rPr>
          <w:lang w:eastAsia="ja-JP"/>
        </w:rPr>
        <w:t xml:space="preserve">current RFCS activities </w:t>
      </w:r>
      <w:r w:rsidR="00832032">
        <w:rPr>
          <w:lang w:eastAsia="ja-JP"/>
        </w:rPr>
        <w:t>and demand for state</w:t>
      </w:r>
      <w:r w:rsidR="00D724AF">
        <w:rPr>
          <w:lang w:eastAsia="ja-JP"/>
        </w:rPr>
        <w:t>-</w:t>
      </w:r>
      <w:r w:rsidR="00832032">
        <w:rPr>
          <w:lang w:eastAsia="ja-JP"/>
        </w:rPr>
        <w:t>based programs</w:t>
      </w:r>
      <w:r>
        <w:rPr>
          <w:lang w:eastAsia="ja-JP"/>
        </w:rPr>
        <w:t>.</w:t>
      </w:r>
    </w:p>
    <w:p w14:paraId="201BB715" w14:textId="77777777" w:rsidR="00517F4E" w:rsidRDefault="003170F8" w:rsidP="003170F8">
      <w:pPr>
        <w:pStyle w:val="ListNumber"/>
        <w:rPr>
          <w:lang w:eastAsia="ja-JP"/>
        </w:rPr>
      </w:pPr>
      <w:r>
        <w:rPr>
          <w:lang w:eastAsia="ja-JP"/>
        </w:rPr>
        <w:t>Th</w:t>
      </w:r>
      <w:r w:rsidR="00FD2A0B">
        <w:rPr>
          <w:lang w:eastAsia="ja-JP"/>
        </w:rPr>
        <w:t>at th</w:t>
      </w:r>
      <w:r>
        <w:rPr>
          <w:lang w:eastAsia="ja-JP"/>
        </w:rPr>
        <w:t xml:space="preserve">e </w:t>
      </w:r>
      <w:r w:rsidR="00836F54">
        <w:rPr>
          <w:lang w:eastAsia="ja-JP"/>
        </w:rPr>
        <w:t>Australian, state and territory governments</w:t>
      </w:r>
      <w:r>
        <w:rPr>
          <w:lang w:eastAsia="ja-JP"/>
        </w:rPr>
        <w:t xml:space="preserve"> work more collaboratively in determining funding levels</w:t>
      </w:r>
      <w:r w:rsidR="00832032">
        <w:rPr>
          <w:lang w:eastAsia="ja-JP"/>
        </w:rPr>
        <w:t xml:space="preserve"> and timing</w:t>
      </w:r>
      <w:r>
        <w:rPr>
          <w:lang w:eastAsia="ja-JP"/>
        </w:rPr>
        <w:t xml:space="preserve"> of contingency </w:t>
      </w:r>
      <w:r w:rsidR="00832032">
        <w:rPr>
          <w:lang w:eastAsia="ja-JP"/>
        </w:rPr>
        <w:t>and top</w:t>
      </w:r>
      <w:r w:rsidR="004971CB">
        <w:rPr>
          <w:lang w:eastAsia="ja-JP"/>
        </w:rPr>
        <w:t>-</w:t>
      </w:r>
      <w:r w:rsidR="00832032">
        <w:rPr>
          <w:lang w:eastAsia="ja-JP"/>
        </w:rPr>
        <w:t xml:space="preserve">up </w:t>
      </w:r>
      <w:r w:rsidR="00FD2A0B">
        <w:rPr>
          <w:lang w:eastAsia="ja-JP"/>
        </w:rPr>
        <w:t>amounts</w:t>
      </w:r>
      <w:r>
        <w:rPr>
          <w:lang w:eastAsia="ja-JP"/>
        </w:rPr>
        <w:t>.</w:t>
      </w:r>
    </w:p>
    <w:p w14:paraId="7F7BF1C1" w14:textId="77777777" w:rsidR="00517F4E" w:rsidRDefault="003170F8" w:rsidP="003170F8">
      <w:pPr>
        <w:pStyle w:val="ListNumber"/>
        <w:rPr>
          <w:lang w:eastAsia="ja-JP"/>
        </w:rPr>
      </w:pPr>
      <w:r>
        <w:rPr>
          <w:lang w:eastAsia="ja-JP"/>
        </w:rPr>
        <w:t xml:space="preserve">That the </w:t>
      </w:r>
      <w:r w:rsidR="009F3025">
        <w:rPr>
          <w:lang w:eastAsia="ja-JP"/>
        </w:rPr>
        <w:t>pro</w:t>
      </w:r>
      <w:r>
        <w:rPr>
          <w:lang w:eastAsia="ja-JP"/>
        </w:rPr>
        <w:t xml:space="preserve">portion of core funding </w:t>
      </w:r>
      <w:r w:rsidR="009F3025">
        <w:rPr>
          <w:lang w:eastAsia="ja-JP"/>
        </w:rPr>
        <w:t xml:space="preserve">is at least </w:t>
      </w:r>
      <w:r w:rsidR="00DF7B94">
        <w:rPr>
          <w:lang w:eastAsia="ja-JP"/>
        </w:rPr>
        <w:t>90</w:t>
      </w:r>
      <w:r w:rsidR="00551B13">
        <w:rPr>
          <w:lang w:eastAsia="ja-JP"/>
        </w:rPr>
        <w:t>%</w:t>
      </w:r>
      <w:r w:rsidR="009F3025">
        <w:rPr>
          <w:lang w:eastAsia="ja-JP"/>
        </w:rPr>
        <w:t xml:space="preserve"> of total funding to allow </w:t>
      </w:r>
      <w:r>
        <w:rPr>
          <w:lang w:eastAsia="ja-JP"/>
        </w:rPr>
        <w:t xml:space="preserve">service providers more flexibility to </w:t>
      </w:r>
      <w:r w:rsidR="009F3025">
        <w:rPr>
          <w:lang w:eastAsia="ja-JP"/>
        </w:rPr>
        <w:t>manage peak demand</w:t>
      </w:r>
      <w:r>
        <w:rPr>
          <w:lang w:eastAsia="ja-JP"/>
        </w:rPr>
        <w:t xml:space="preserve"> and to allow them to embrace an expanded role.</w:t>
      </w:r>
    </w:p>
    <w:p w14:paraId="1B8D3F1C" w14:textId="6F549D66" w:rsidR="00517F4E" w:rsidRDefault="003170F8" w:rsidP="003170F8">
      <w:pPr>
        <w:pStyle w:val="ListNumber"/>
        <w:rPr>
          <w:lang w:eastAsia="ja-JP"/>
        </w:rPr>
      </w:pPr>
      <w:r>
        <w:rPr>
          <w:lang w:eastAsia="ja-JP"/>
        </w:rPr>
        <w:t xml:space="preserve">That contingency funds </w:t>
      </w:r>
      <w:r w:rsidR="009F3025">
        <w:rPr>
          <w:lang w:eastAsia="ja-JP"/>
        </w:rPr>
        <w:t>are only provided</w:t>
      </w:r>
      <w:r>
        <w:rPr>
          <w:lang w:eastAsia="ja-JP"/>
        </w:rPr>
        <w:t xml:space="preserve"> to cover unforeseen emergency events</w:t>
      </w:r>
      <w:r w:rsidR="009F3025">
        <w:rPr>
          <w:lang w:eastAsia="ja-JP"/>
        </w:rPr>
        <w:t xml:space="preserve"> (</w:t>
      </w:r>
      <w:r w:rsidR="000F554E">
        <w:rPr>
          <w:lang w:eastAsia="ja-JP"/>
        </w:rPr>
        <w:t>that is,</w:t>
      </w:r>
      <w:r>
        <w:rPr>
          <w:lang w:eastAsia="ja-JP"/>
        </w:rPr>
        <w:t xml:space="preserve"> not drought conditions</w:t>
      </w:r>
      <w:r w:rsidR="009F3025">
        <w:rPr>
          <w:lang w:eastAsia="ja-JP"/>
        </w:rPr>
        <w:t xml:space="preserve">) and </w:t>
      </w:r>
      <w:r w:rsidR="008652B6">
        <w:rPr>
          <w:lang w:eastAsia="ja-JP"/>
        </w:rPr>
        <w:t>are requested</w:t>
      </w:r>
      <w:r w:rsidR="009F3025">
        <w:rPr>
          <w:lang w:eastAsia="ja-JP"/>
        </w:rPr>
        <w:t xml:space="preserve"> </w:t>
      </w:r>
      <w:r w:rsidR="008652B6">
        <w:rPr>
          <w:lang w:eastAsia="ja-JP"/>
        </w:rPr>
        <w:t>according to a set process</w:t>
      </w:r>
      <w:r>
        <w:rPr>
          <w:lang w:eastAsia="ja-JP"/>
        </w:rPr>
        <w:t>.</w:t>
      </w:r>
    </w:p>
    <w:p w14:paraId="418292C4" w14:textId="52FB0B74" w:rsidR="006D32BD" w:rsidRPr="00F3531A" w:rsidRDefault="003170F8" w:rsidP="003170F8">
      <w:pPr>
        <w:pStyle w:val="ListNumber"/>
        <w:rPr>
          <w:lang w:eastAsia="ja-JP"/>
        </w:rPr>
      </w:pPr>
      <w:r w:rsidRPr="00F3531A">
        <w:rPr>
          <w:lang w:eastAsia="ja-JP"/>
        </w:rPr>
        <w:t>That the formula to determine core funding</w:t>
      </w:r>
      <w:r w:rsidR="00FD2A0B" w:rsidRPr="00F3531A">
        <w:rPr>
          <w:lang w:eastAsia="ja-JP"/>
        </w:rPr>
        <w:t xml:space="preserve"> per region at the commencement of the funding round</w:t>
      </w:r>
      <w:r w:rsidRPr="00F3531A">
        <w:rPr>
          <w:lang w:eastAsia="ja-JP"/>
        </w:rPr>
        <w:t xml:space="preserve"> </w:t>
      </w:r>
      <w:r w:rsidR="00D178AD" w:rsidRPr="00F3531A">
        <w:rPr>
          <w:lang w:eastAsia="ja-JP"/>
        </w:rPr>
        <w:t>consider</w:t>
      </w:r>
      <w:r w:rsidR="001E56A9" w:rsidRPr="00F3531A">
        <w:rPr>
          <w:lang w:eastAsia="ja-JP"/>
        </w:rPr>
        <w:t>s</w:t>
      </w:r>
      <w:r w:rsidR="006D32BD" w:rsidRPr="00F3531A">
        <w:rPr>
          <w:lang w:eastAsia="ja-JP"/>
        </w:rPr>
        <w:t xml:space="preserve"> recovery periods</w:t>
      </w:r>
      <w:r w:rsidR="00D178AD" w:rsidRPr="00F3531A">
        <w:rPr>
          <w:lang w:eastAsia="ja-JP"/>
        </w:rPr>
        <w:t xml:space="preserve"> </w:t>
      </w:r>
      <w:r w:rsidR="006D32BD" w:rsidRPr="00F3531A">
        <w:rPr>
          <w:lang w:eastAsia="ja-JP"/>
        </w:rPr>
        <w:t>following climatic events and industry cris</w:t>
      </w:r>
      <w:r w:rsidR="00D724AF" w:rsidRPr="00F3531A">
        <w:rPr>
          <w:lang w:eastAsia="ja-JP"/>
        </w:rPr>
        <w:t>e</w:t>
      </w:r>
      <w:r w:rsidR="006D32BD" w:rsidRPr="00F3531A">
        <w:rPr>
          <w:lang w:eastAsia="ja-JP"/>
        </w:rPr>
        <w:t>s.</w:t>
      </w:r>
    </w:p>
    <w:p w14:paraId="68C11C93" w14:textId="70FBD869" w:rsidR="002618AF" w:rsidRPr="006E6E72" w:rsidRDefault="002618AF" w:rsidP="002618AF">
      <w:pPr>
        <w:pStyle w:val="ListNumber"/>
        <w:rPr>
          <w:lang w:eastAsia="ja-JP"/>
        </w:rPr>
      </w:pPr>
      <w:r w:rsidRPr="00B561D4">
        <w:rPr>
          <w:lang w:eastAsia="ja-JP"/>
        </w:rPr>
        <w:t xml:space="preserve">That new or expanding </w:t>
      </w:r>
      <w:r>
        <w:rPr>
          <w:lang w:eastAsia="ja-JP"/>
        </w:rPr>
        <w:t xml:space="preserve">government </w:t>
      </w:r>
      <w:r w:rsidRPr="00B561D4">
        <w:rPr>
          <w:lang w:eastAsia="ja-JP"/>
        </w:rPr>
        <w:t>programs</w:t>
      </w:r>
      <w:r w:rsidR="00383A14">
        <w:rPr>
          <w:lang w:eastAsia="ja-JP"/>
        </w:rPr>
        <w:t xml:space="preserve"> that</w:t>
      </w:r>
      <w:r w:rsidRPr="00B561D4">
        <w:rPr>
          <w:lang w:eastAsia="ja-JP"/>
        </w:rPr>
        <w:t xml:space="preserve"> leverag</w:t>
      </w:r>
      <w:r>
        <w:rPr>
          <w:lang w:eastAsia="ja-JP"/>
        </w:rPr>
        <w:t>e</w:t>
      </w:r>
      <w:r w:rsidRPr="00B561D4">
        <w:rPr>
          <w:lang w:eastAsia="ja-JP"/>
        </w:rPr>
        <w:t xml:space="preserve"> </w:t>
      </w:r>
      <w:r>
        <w:rPr>
          <w:lang w:eastAsia="ja-JP"/>
        </w:rPr>
        <w:t xml:space="preserve">the </w:t>
      </w:r>
      <w:r w:rsidRPr="00B561D4">
        <w:rPr>
          <w:lang w:eastAsia="ja-JP"/>
        </w:rPr>
        <w:t>RFCS</w:t>
      </w:r>
      <w:r>
        <w:rPr>
          <w:lang w:eastAsia="ja-JP"/>
        </w:rPr>
        <w:t xml:space="preserve"> </w:t>
      </w:r>
      <w:r w:rsidRPr="00B561D4">
        <w:rPr>
          <w:lang w:eastAsia="ja-JP"/>
        </w:rPr>
        <w:t>provide adequate funding</w:t>
      </w:r>
      <w:r>
        <w:rPr>
          <w:lang w:eastAsia="ja-JP"/>
        </w:rPr>
        <w:t xml:space="preserve"> for </w:t>
      </w:r>
      <w:r w:rsidR="00383A14">
        <w:rPr>
          <w:lang w:eastAsia="ja-JP"/>
        </w:rPr>
        <w:t xml:space="preserve">any expansion </w:t>
      </w:r>
      <w:r>
        <w:rPr>
          <w:lang w:eastAsia="ja-JP"/>
        </w:rPr>
        <w:t>of the service.</w:t>
      </w:r>
    </w:p>
    <w:p w14:paraId="24B7191E" w14:textId="1A48164D" w:rsidR="00E275CB" w:rsidRDefault="003170F8" w:rsidP="003170F8">
      <w:pPr>
        <w:pStyle w:val="ListNumber"/>
        <w:rPr>
          <w:lang w:eastAsia="ja-JP"/>
        </w:rPr>
      </w:pPr>
      <w:r>
        <w:rPr>
          <w:lang w:eastAsia="ja-JP"/>
        </w:rPr>
        <w:t>That the next funding round offer</w:t>
      </w:r>
      <w:r w:rsidR="00FD2A0B">
        <w:rPr>
          <w:lang w:eastAsia="ja-JP"/>
        </w:rPr>
        <w:t>s</w:t>
      </w:r>
      <w:r>
        <w:rPr>
          <w:lang w:eastAsia="ja-JP"/>
        </w:rPr>
        <w:t xml:space="preserve"> </w:t>
      </w:r>
      <w:r w:rsidR="00F3531A">
        <w:rPr>
          <w:lang w:eastAsia="ja-JP"/>
        </w:rPr>
        <w:t xml:space="preserve">4-year </w:t>
      </w:r>
      <w:r>
        <w:rPr>
          <w:lang w:eastAsia="ja-JP"/>
        </w:rPr>
        <w:t xml:space="preserve">contracts with options to roll over </w:t>
      </w:r>
      <w:r w:rsidR="00A31808">
        <w:rPr>
          <w:lang w:eastAsia="ja-JP"/>
        </w:rPr>
        <w:t xml:space="preserve">deeds in </w:t>
      </w:r>
      <w:r>
        <w:rPr>
          <w:lang w:eastAsia="ja-JP"/>
        </w:rPr>
        <w:t xml:space="preserve">any </w:t>
      </w:r>
      <w:r w:rsidR="00A31808">
        <w:rPr>
          <w:lang w:eastAsia="ja-JP"/>
        </w:rPr>
        <w:t xml:space="preserve">or all </w:t>
      </w:r>
      <w:r>
        <w:rPr>
          <w:lang w:eastAsia="ja-JP"/>
        </w:rPr>
        <w:t>region</w:t>
      </w:r>
      <w:r w:rsidR="00A31808">
        <w:rPr>
          <w:lang w:eastAsia="ja-JP"/>
        </w:rPr>
        <w:t>s</w:t>
      </w:r>
      <w:r w:rsidR="00517F4E">
        <w:rPr>
          <w:lang w:eastAsia="ja-JP"/>
        </w:rPr>
        <w:t>.</w:t>
      </w:r>
    </w:p>
    <w:p w14:paraId="47311C98" w14:textId="5A8C3BD2" w:rsidR="00E275CB" w:rsidRDefault="00E275CB" w:rsidP="00C11CC3">
      <w:pPr>
        <w:pStyle w:val="Heading4"/>
        <w:numPr>
          <w:ilvl w:val="0"/>
          <w:numId w:val="0"/>
        </w:numPr>
        <w:ind w:left="964" w:hanging="964"/>
        <w:rPr>
          <w:lang w:eastAsia="ja-JP"/>
        </w:rPr>
      </w:pPr>
      <w:r>
        <w:rPr>
          <w:lang w:eastAsia="ja-JP"/>
        </w:rPr>
        <w:t xml:space="preserve">Service </w:t>
      </w:r>
      <w:r w:rsidR="00ED5C80">
        <w:rPr>
          <w:lang w:eastAsia="ja-JP"/>
        </w:rPr>
        <w:t>d</w:t>
      </w:r>
      <w:r>
        <w:rPr>
          <w:lang w:eastAsia="ja-JP"/>
        </w:rPr>
        <w:t>elivery</w:t>
      </w:r>
    </w:p>
    <w:p w14:paraId="3F5051A1" w14:textId="1DA2CDDD" w:rsidR="00E41871" w:rsidRDefault="00E41871" w:rsidP="00E41871">
      <w:pPr>
        <w:pStyle w:val="ListNumber"/>
      </w:pPr>
      <w:r>
        <w:t>That a nationally consistent service delivery model is not prescribed and future funding rounds allow flexibility in service delivery</w:t>
      </w:r>
      <w:r w:rsidR="00F3531A">
        <w:t>—</w:t>
      </w:r>
      <w:r w:rsidR="00A31808">
        <w:t xml:space="preserve">noting that </w:t>
      </w:r>
      <w:r w:rsidR="00A31808">
        <w:rPr>
          <w:rStyle w:val="BookTitle"/>
          <w:b w:val="0"/>
          <w:bCs w:val="0"/>
          <w:i w:val="0"/>
          <w:iCs w:val="0"/>
          <w:spacing w:val="0"/>
        </w:rPr>
        <w:t>one-</w:t>
      </w:r>
      <w:r w:rsidR="00A31808">
        <w:rPr>
          <w:lang w:eastAsia="ja-JP"/>
        </w:rPr>
        <w:t>on-one, face-to-face counselling remains the standard approach to engaging with case</w:t>
      </w:r>
      <w:r w:rsidR="00D724AF">
        <w:rPr>
          <w:lang w:eastAsia="ja-JP"/>
        </w:rPr>
        <w:t>-</w:t>
      </w:r>
      <w:r w:rsidR="00A31808">
        <w:rPr>
          <w:lang w:eastAsia="ja-JP"/>
        </w:rPr>
        <w:t>managed clients.</w:t>
      </w:r>
    </w:p>
    <w:p w14:paraId="07585DBE" w14:textId="1A5FA235" w:rsidR="00E41871" w:rsidRPr="00760232" w:rsidRDefault="00E41871" w:rsidP="00110F8B">
      <w:pPr>
        <w:pStyle w:val="ListNumber"/>
        <w:rPr>
          <w:rStyle w:val="BookTitle"/>
          <w:b w:val="0"/>
          <w:bCs w:val="0"/>
          <w:i w:val="0"/>
          <w:iCs w:val="0"/>
          <w:spacing w:val="0"/>
        </w:rPr>
      </w:pPr>
      <w:r>
        <w:rPr>
          <w:lang w:eastAsia="ja-JP"/>
        </w:rPr>
        <w:lastRenderedPageBreak/>
        <w:t>That each service provider implements</w:t>
      </w:r>
      <w:r w:rsidR="00A31808">
        <w:rPr>
          <w:lang w:eastAsia="ja-JP"/>
        </w:rPr>
        <w:t xml:space="preserve"> a client engagement strategy and </w:t>
      </w:r>
      <w:r>
        <w:rPr>
          <w:lang w:eastAsia="ja-JP"/>
        </w:rPr>
        <w:t xml:space="preserve">case management </w:t>
      </w:r>
      <w:r w:rsidR="00A31808" w:rsidRPr="00C93A0B">
        <w:rPr>
          <w:lang w:eastAsia="ja-JP"/>
        </w:rPr>
        <w:t>model</w:t>
      </w:r>
      <w:r w:rsidR="00C93A0B" w:rsidRPr="00C93A0B">
        <w:rPr>
          <w:lang w:eastAsia="ja-JP"/>
        </w:rPr>
        <w:t xml:space="preserve"> that</w:t>
      </w:r>
      <w:r w:rsidR="00CF2BC5" w:rsidRPr="00C93A0B">
        <w:rPr>
          <w:lang w:eastAsia="ja-JP"/>
        </w:rPr>
        <w:t xml:space="preserve"> is applied consistently by their service</w:t>
      </w:r>
      <w:r w:rsidR="00CF2BC5">
        <w:rPr>
          <w:lang w:eastAsia="ja-JP"/>
        </w:rPr>
        <w:t>—</w:t>
      </w:r>
      <w:r>
        <w:rPr>
          <w:lang w:eastAsia="ja-JP"/>
        </w:rPr>
        <w:t xml:space="preserve">including </w:t>
      </w:r>
      <w:r w:rsidR="00D220AE">
        <w:rPr>
          <w:lang w:eastAsia="ja-JP"/>
        </w:rPr>
        <w:t xml:space="preserve">plans </w:t>
      </w:r>
      <w:r>
        <w:rPr>
          <w:lang w:eastAsia="ja-JP"/>
        </w:rPr>
        <w:t>for triaging demand and converting transactional clients to case</w:t>
      </w:r>
      <w:r w:rsidR="00D724AF">
        <w:rPr>
          <w:lang w:eastAsia="ja-JP"/>
        </w:rPr>
        <w:t>-</w:t>
      </w:r>
      <w:r>
        <w:rPr>
          <w:lang w:eastAsia="ja-JP"/>
        </w:rPr>
        <w:t>managed clients.</w:t>
      </w:r>
    </w:p>
    <w:p w14:paraId="3E8B7965" w14:textId="4861EF1E" w:rsidR="00E41871" w:rsidRPr="00F7143B" w:rsidRDefault="00E41871" w:rsidP="00E41871">
      <w:pPr>
        <w:pStyle w:val="ListNumber"/>
      </w:pPr>
      <w:r w:rsidRPr="00693AA9">
        <w:rPr>
          <w:rStyle w:val="BookTitle"/>
          <w:b w:val="0"/>
          <w:bCs w:val="0"/>
          <w:i w:val="0"/>
          <w:iCs w:val="0"/>
          <w:spacing w:val="0"/>
        </w:rPr>
        <w:t xml:space="preserve">That </w:t>
      </w:r>
      <w:r w:rsidR="00D220AE">
        <w:rPr>
          <w:rStyle w:val="BookTitle"/>
          <w:b w:val="0"/>
          <w:bCs w:val="0"/>
          <w:i w:val="0"/>
          <w:iCs w:val="0"/>
          <w:spacing w:val="0"/>
        </w:rPr>
        <w:t xml:space="preserve">program settings </w:t>
      </w:r>
      <w:r>
        <w:rPr>
          <w:lang w:eastAsia="ja-JP"/>
        </w:rPr>
        <w:t>encourage</w:t>
      </w:r>
      <w:r w:rsidR="00D220AE">
        <w:rPr>
          <w:lang w:eastAsia="ja-JP"/>
        </w:rPr>
        <w:t xml:space="preserve"> service</w:t>
      </w:r>
      <w:r w:rsidR="003B4923">
        <w:rPr>
          <w:lang w:eastAsia="ja-JP"/>
        </w:rPr>
        <w:t xml:space="preserve"> providers</w:t>
      </w:r>
      <w:r>
        <w:rPr>
          <w:lang w:eastAsia="ja-JP"/>
        </w:rPr>
        <w:t xml:space="preserve"> to be more innovative in trialling </w:t>
      </w:r>
      <w:r w:rsidRPr="00030820">
        <w:rPr>
          <w:lang w:eastAsia="ja-JP"/>
        </w:rPr>
        <w:t>alternative methods of delivery,</w:t>
      </w:r>
      <w:r>
        <w:rPr>
          <w:lang w:eastAsia="ja-JP"/>
        </w:rPr>
        <w:t xml:space="preserve"> particularly to manage periods of high demand and to attract and service a broader client group.</w:t>
      </w:r>
    </w:p>
    <w:p w14:paraId="1F4B4EDF" w14:textId="32BB9A8F" w:rsidR="00E275CB" w:rsidRDefault="00E41871" w:rsidP="00760232">
      <w:pPr>
        <w:pStyle w:val="ListNumber"/>
        <w:rPr>
          <w:lang w:eastAsia="ja-JP"/>
        </w:rPr>
      </w:pPr>
      <w:r>
        <w:rPr>
          <w:lang w:eastAsia="ja-JP"/>
        </w:rPr>
        <w:t>That the Diploma of Financial Counselling (Rural) remain</w:t>
      </w:r>
      <w:r w:rsidR="00FD2A0B">
        <w:rPr>
          <w:lang w:eastAsia="ja-JP"/>
        </w:rPr>
        <w:t>s</w:t>
      </w:r>
      <w:r>
        <w:rPr>
          <w:lang w:eastAsia="ja-JP"/>
        </w:rPr>
        <w:t xml:space="preserve"> the minimum qualification for counsellors, </w:t>
      </w:r>
      <w:r w:rsidR="00205B08">
        <w:rPr>
          <w:lang w:eastAsia="ja-JP"/>
        </w:rPr>
        <w:t>and that</w:t>
      </w:r>
      <w:r>
        <w:rPr>
          <w:lang w:eastAsia="ja-JP"/>
        </w:rPr>
        <w:t xml:space="preserve"> the department</w:t>
      </w:r>
      <w:r w:rsidR="00B22221">
        <w:rPr>
          <w:lang w:eastAsia="ja-JP"/>
        </w:rPr>
        <w:t>—</w:t>
      </w:r>
      <w:r>
        <w:rPr>
          <w:lang w:eastAsia="ja-JP"/>
        </w:rPr>
        <w:t>with service providers and F</w:t>
      </w:r>
      <w:r w:rsidR="00D220AE">
        <w:rPr>
          <w:lang w:eastAsia="ja-JP"/>
        </w:rPr>
        <w:t xml:space="preserve">inancial </w:t>
      </w:r>
      <w:r>
        <w:rPr>
          <w:lang w:eastAsia="ja-JP"/>
        </w:rPr>
        <w:t>C</w:t>
      </w:r>
      <w:r w:rsidR="00D220AE">
        <w:rPr>
          <w:lang w:eastAsia="ja-JP"/>
        </w:rPr>
        <w:t xml:space="preserve">ounselling </w:t>
      </w:r>
      <w:r>
        <w:rPr>
          <w:lang w:eastAsia="ja-JP"/>
        </w:rPr>
        <w:t>A</w:t>
      </w:r>
      <w:r w:rsidR="00D220AE">
        <w:rPr>
          <w:lang w:eastAsia="ja-JP"/>
        </w:rPr>
        <w:t>ustralia</w:t>
      </w:r>
      <w:r w:rsidR="00A036D8">
        <w:rPr>
          <w:lang w:eastAsia="ja-JP"/>
        </w:rPr>
        <w:t xml:space="preserve"> (</w:t>
      </w:r>
      <w:proofErr w:type="spellStart"/>
      <w:r w:rsidR="00A036D8">
        <w:rPr>
          <w:lang w:eastAsia="ja-JP"/>
        </w:rPr>
        <w:t>FCA</w:t>
      </w:r>
      <w:proofErr w:type="spellEnd"/>
      <w:r w:rsidR="00A036D8">
        <w:rPr>
          <w:lang w:eastAsia="ja-JP"/>
        </w:rPr>
        <w:t>)</w:t>
      </w:r>
      <w:r w:rsidR="00B22221">
        <w:rPr>
          <w:lang w:eastAsia="ja-JP"/>
        </w:rPr>
        <w:t>—</w:t>
      </w:r>
      <w:r>
        <w:rPr>
          <w:lang w:eastAsia="ja-JP"/>
        </w:rPr>
        <w:t>actively engage</w:t>
      </w:r>
      <w:r w:rsidR="00FD2A0B">
        <w:rPr>
          <w:lang w:eastAsia="ja-JP"/>
        </w:rPr>
        <w:t>s</w:t>
      </w:r>
      <w:r>
        <w:rPr>
          <w:lang w:eastAsia="ja-JP"/>
        </w:rPr>
        <w:t xml:space="preserve"> in the proposed review of the diploma </w:t>
      </w:r>
      <w:r w:rsidR="00205B08">
        <w:rPr>
          <w:lang w:eastAsia="ja-JP"/>
        </w:rPr>
        <w:t>to</w:t>
      </w:r>
      <w:r>
        <w:rPr>
          <w:lang w:eastAsia="ja-JP"/>
        </w:rPr>
        <w:t xml:space="preserve"> improve its relevance for a rural and agricultural context</w:t>
      </w:r>
      <w:r w:rsidR="00063FCC">
        <w:rPr>
          <w:lang w:eastAsia="ja-JP"/>
        </w:rPr>
        <w:t>.</w:t>
      </w:r>
    </w:p>
    <w:p w14:paraId="11285FF2" w14:textId="28629242" w:rsidR="00A27492" w:rsidRDefault="00205B08" w:rsidP="00760232">
      <w:pPr>
        <w:pStyle w:val="ListNumber"/>
        <w:rPr>
          <w:lang w:eastAsia="ja-JP"/>
        </w:rPr>
      </w:pPr>
      <w:r>
        <w:rPr>
          <w:lang w:eastAsia="ja-JP"/>
        </w:rPr>
        <w:t xml:space="preserve">That </w:t>
      </w:r>
      <w:r w:rsidR="00760232">
        <w:rPr>
          <w:lang w:eastAsia="ja-JP"/>
        </w:rPr>
        <w:t>service</w:t>
      </w:r>
      <w:r w:rsidR="003B4923">
        <w:rPr>
          <w:lang w:eastAsia="ja-JP"/>
        </w:rPr>
        <w:t xml:space="preserve"> providers</w:t>
      </w:r>
      <w:r w:rsidR="00760232">
        <w:rPr>
          <w:lang w:eastAsia="ja-JP"/>
        </w:rPr>
        <w:t xml:space="preserve"> place an emphasis on broader </w:t>
      </w:r>
      <w:r>
        <w:rPr>
          <w:lang w:eastAsia="ja-JP"/>
        </w:rPr>
        <w:t>professional development opportunities for counsellors to supplement formal training and promote the profes</w:t>
      </w:r>
      <w:r w:rsidR="00760232">
        <w:rPr>
          <w:lang w:eastAsia="ja-JP"/>
        </w:rPr>
        <w:t>sionalism of the service.</w:t>
      </w:r>
    </w:p>
    <w:p w14:paraId="4F5719A7" w14:textId="65B4CBD1" w:rsidR="00E275CB" w:rsidRDefault="00E275CB" w:rsidP="00C11CC3">
      <w:pPr>
        <w:pStyle w:val="Heading4"/>
        <w:numPr>
          <w:ilvl w:val="0"/>
          <w:numId w:val="0"/>
        </w:numPr>
        <w:ind w:left="964" w:hanging="964"/>
        <w:rPr>
          <w:lang w:eastAsia="ja-JP"/>
        </w:rPr>
      </w:pPr>
      <w:r>
        <w:rPr>
          <w:lang w:eastAsia="ja-JP"/>
        </w:rPr>
        <w:t>Coordination and support</w:t>
      </w:r>
    </w:p>
    <w:p w14:paraId="5B8001DE" w14:textId="4871B434" w:rsidR="00E275CB" w:rsidRPr="00314CD8" w:rsidRDefault="00E41871" w:rsidP="00E41871">
      <w:pPr>
        <w:pStyle w:val="ListNumber"/>
        <w:rPr>
          <w:lang w:eastAsia="ja-JP"/>
        </w:rPr>
      </w:pPr>
      <w:r w:rsidRPr="00314CD8">
        <w:rPr>
          <w:lang w:eastAsia="ja-JP"/>
        </w:rPr>
        <w:t>T</w:t>
      </w:r>
      <w:r w:rsidR="00436055">
        <w:rPr>
          <w:lang w:eastAsia="ja-JP"/>
        </w:rPr>
        <w:t>hat t</w:t>
      </w:r>
      <w:r w:rsidRPr="00314CD8">
        <w:rPr>
          <w:lang w:eastAsia="ja-JP"/>
        </w:rPr>
        <w:t xml:space="preserve">he department </w:t>
      </w:r>
      <w:r w:rsidR="002618AF">
        <w:rPr>
          <w:lang w:eastAsia="ja-JP"/>
        </w:rPr>
        <w:t>continue</w:t>
      </w:r>
      <w:r w:rsidR="0030028A">
        <w:rPr>
          <w:lang w:eastAsia="ja-JP"/>
        </w:rPr>
        <w:t>s</w:t>
      </w:r>
      <w:r w:rsidR="002618AF">
        <w:rPr>
          <w:lang w:eastAsia="ja-JP"/>
        </w:rPr>
        <w:t xml:space="preserve"> to </w:t>
      </w:r>
      <w:r w:rsidRPr="00314CD8">
        <w:rPr>
          <w:lang w:eastAsia="ja-JP"/>
        </w:rPr>
        <w:t xml:space="preserve">encourage </w:t>
      </w:r>
      <w:r w:rsidR="00AC553A" w:rsidRPr="00314CD8">
        <w:rPr>
          <w:lang w:eastAsia="ja-JP"/>
        </w:rPr>
        <w:t>and</w:t>
      </w:r>
      <w:r w:rsidR="002618AF">
        <w:rPr>
          <w:lang w:eastAsia="ja-JP"/>
        </w:rPr>
        <w:t>,</w:t>
      </w:r>
      <w:r w:rsidR="00AC553A" w:rsidRPr="00314CD8">
        <w:rPr>
          <w:lang w:eastAsia="ja-JP"/>
        </w:rPr>
        <w:t xml:space="preserve"> where appropriate</w:t>
      </w:r>
      <w:r w:rsidR="002618AF">
        <w:rPr>
          <w:lang w:eastAsia="ja-JP"/>
        </w:rPr>
        <w:t>,</w:t>
      </w:r>
      <w:r w:rsidR="00AC553A" w:rsidRPr="00314CD8">
        <w:rPr>
          <w:lang w:eastAsia="ja-JP"/>
        </w:rPr>
        <w:t xml:space="preserve"> </w:t>
      </w:r>
      <w:r w:rsidR="00280583" w:rsidRPr="00314CD8">
        <w:rPr>
          <w:lang w:eastAsia="ja-JP"/>
        </w:rPr>
        <w:t xml:space="preserve">facilitate </w:t>
      </w:r>
      <w:r w:rsidRPr="00314CD8">
        <w:rPr>
          <w:lang w:eastAsia="ja-JP"/>
        </w:rPr>
        <w:t>further collaboration between providers</w:t>
      </w:r>
      <w:r w:rsidR="00B22221">
        <w:rPr>
          <w:lang w:eastAsia="ja-JP"/>
        </w:rPr>
        <w:t>—</w:t>
      </w:r>
      <w:r w:rsidRPr="00314CD8">
        <w:rPr>
          <w:lang w:eastAsia="ja-JP"/>
        </w:rPr>
        <w:t xml:space="preserve">including </w:t>
      </w:r>
      <w:r w:rsidR="006C6769" w:rsidRPr="00314CD8">
        <w:rPr>
          <w:lang w:eastAsia="ja-JP"/>
        </w:rPr>
        <w:t>sharing of information between counsellors</w:t>
      </w:r>
      <w:r w:rsidR="00B560E4">
        <w:rPr>
          <w:lang w:eastAsia="ja-JP"/>
        </w:rPr>
        <w:t xml:space="preserve"> and</w:t>
      </w:r>
      <w:r w:rsidR="002618AF">
        <w:rPr>
          <w:lang w:eastAsia="ja-JP"/>
        </w:rPr>
        <w:t xml:space="preserve"> </w:t>
      </w:r>
      <w:r w:rsidR="006C6769" w:rsidRPr="00314CD8">
        <w:rPr>
          <w:lang w:eastAsia="ja-JP"/>
        </w:rPr>
        <w:t>training</w:t>
      </w:r>
      <w:r w:rsidR="00AC553A" w:rsidRPr="00314CD8">
        <w:rPr>
          <w:lang w:eastAsia="ja-JP"/>
        </w:rPr>
        <w:t xml:space="preserve"> by subject matter specialists</w:t>
      </w:r>
      <w:r w:rsidR="00186E4A" w:rsidRPr="00314CD8">
        <w:rPr>
          <w:lang w:eastAsia="ja-JP"/>
        </w:rPr>
        <w:t xml:space="preserve">, as well as </w:t>
      </w:r>
      <w:r w:rsidRPr="00314CD8">
        <w:rPr>
          <w:lang w:eastAsia="ja-JP"/>
        </w:rPr>
        <w:t>cross-region conferences.</w:t>
      </w:r>
    </w:p>
    <w:p w14:paraId="7D9102C2" w14:textId="15BD503F" w:rsidR="0043348B" w:rsidRPr="00314CD8" w:rsidRDefault="0043348B" w:rsidP="0043348B">
      <w:pPr>
        <w:pStyle w:val="ListNumber"/>
        <w:rPr>
          <w:lang w:eastAsia="ja-JP"/>
        </w:rPr>
      </w:pPr>
      <w:r w:rsidRPr="00314CD8">
        <w:rPr>
          <w:lang w:eastAsia="ja-JP"/>
        </w:rPr>
        <w:t>T</w:t>
      </w:r>
      <w:r w:rsidR="00B461DD">
        <w:rPr>
          <w:lang w:eastAsia="ja-JP"/>
        </w:rPr>
        <w:t>hat t</w:t>
      </w:r>
      <w:r w:rsidRPr="00314CD8">
        <w:rPr>
          <w:lang w:eastAsia="ja-JP"/>
        </w:rPr>
        <w:t>he Australian, state and territory governments deliver training on their assistance measures</w:t>
      </w:r>
      <w:r w:rsidR="00B461DD">
        <w:rPr>
          <w:lang w:eastAsia="ja-JP"/>
        </w:rPr>
        <w:t xml:space="preserve"> and provide timely</w:t>
      </w:r>
      <w:r w:rsidR="00D178AD">
        <w:rPr>
          <w:lang w:eastAsia="ja-JP"/>
        </w:rPr>
        <w:t xml:space="preserve"> </w:t>
      </w:r>
      <w:r w:rsidRPr="00314CD8">
        <w:rPr>
          <w:lang w:eastAsia="ja-JP"/>
        </w:rPr>
        <w:t>information and resources to support program announcements.</w:t>
      </w:r>
    </w:p>
    <w:p w14:paraId="6B54236C" w14:textId="1FC36FC6" w:rsidR="0043348B" w:rsidRPr="00314CD8" w:rsidRDefault="0043348B" w:rsidP="0043348B">
      <w:pPr>
        <w:pStyle w:val="ListNumber"/>
        <w:rPr>
          <w:lang w:eastAsia="ja-JP"/>
        </w:rPr>
      </w:pPr>
      <w:r w:rsidRPr="00314CD8">
        <w:rPr>
          <w:lang w:eastAsia="ja-JP"/>
        </w:rPr>
        <w:t>That</w:t>
      </w:r>
      <w:r w:rsidR="00FF7479">
        <w:rPr>
          <w:lang w:eastAsia="ja-JP"/>
        </w:rPr>
        <w:t xml:space="preserve"> </w:t>
      </w:r>
      <w:r w:rsidRPr="00314CD8">
        <w:rPr>
          <w:lang w:eastAsia="ja-JP"/>
        </w:rPr>
        <w:t xml:space="preserve">the department </w:t>
      </w:r>
      <w:r w:rsidR="00FF7479">
        <w:rPr>
          <w:lang w:eastAsia="ja-JP"/>
        </w:rPr>
        <w:t xml:space="preserve">commits resources </w:t>
      </w:r>
      <w:r w:rsidRPr="00314CD8">
        <w:rPr>
          <w:lang w:eastAsia="ja-JP"/>
        </w:rPr>
        <w:t>to consider levels of government support for communication activities</w:t>
      </w:r>
      <w:r w:rsidR="00B22221">
        <w:rPr>
          <w:lang w:eastAsia="ja-JP"/>
        </w:rPr>
        <w:t>,</w:t>
      </w:r>
      <w:r w:rsidRPr="00314CD8">
        <w:rPr>
          <w:lang w:eastAsia="ja-JP"/>
        </w:rPr>
        <w:t xml:space="preserve"> including determining the value of national brand and identity, streamlining referral processes (national 1800</w:t>
      </w:r>
      <w:r w:rsidR="000D1B13">
        <w:rPr>
          <w:lang w:eastAsia="ja-JP"/>
        </w:rPr>
        <w:t xml:space="preserve"> </w:t>
      </w:r>
      <w:r w:rsidR="00AA5160">
        <w:rPr>
          <w:lang w:eastAsia="ja-JP"/>
        </w:rPr>
        <w:t>number</w:t>
      </w:r>
      <w:r w:rsidRPr="00314CD8">
        <w:rPr>
          <w:lang w:eastAsia="ja-JP"/>
        </w:rPr>
        <w:t xml:space="preserve"> and website) and instilling consist</w:t>
      </w:r>
      <w:r w:rsidR="00517F4E">
        <w:rPr>
          <w:lang w:eastAsia="ja-JP"/>
        </w:rPr>
        <w:t>ent and clear program messages.</w:t>
      </w:r>
    </w:p>
    <w:p w14:paraId="7C60C578" w14:textId="1E93FF34" w:rsidR="00D51281" w:rsidRPr="00314CD8" w:rsidRDefault="00B461DD" w:rsidP="0029057F">
      <w:pPr>
        <w:pStyle w:val="ListNumber"/>
        <w:rPr>
          <w:lang w:eastAsia="ja-JP"/>
        </w:rPr>
      </w:pPr>
      <w:r>
        <w:rPr>
          <w:lang w:eastAsia="ja-JP"/>
        </w:rPr>
        <w:t>That a</w:t>
      </w:r>
      <w:r w:rsidR="00555B56" w:rsidRPr="00314CD8">
        <w:rPr>
          <w:lang w:eastAsia="ja-JP"/>
        </w:rPr>
        <w:t xml:space="preserve">ll </w:t>
      </w:r>
      <w:r w:rsidR="00E41871" w:rsidRPr="00314CD8">
        <w:rPr>
          <w:lang w:eastAsia="ja-JP"/>
        </w:rPr>
        <w:t xml:space="preserve">communications </w:t>
      </w:r>
      <w:r w:rsidR="00555B56" w:rsidRPr="00314CD8">
        <w:rPr>
          <w:lang w:eastAsia="ja-JP"/>
        </w:rPr>
        <w:t xml:space="preserve">about the RFCS </w:t>
      </w:r>
      <w:r w:rsidR="00E41871" w:rsidRPr="00314CD8">
        <w:rPr>
          <w:lang w:eastAsia="ja-JP"/>
        </w:rPr>
        <w:t>emphasise</w:t>
      </w:r>
      <w:r w:rsidR="00D51281" w:rsidRPr="00314CD8">
        <w:rPr>
          <w:lang w:eastAsia="ja-JP"/>
        </w:rPr>
        <w:t xml:space="preserve"> </w:t>
      </w:r>
      <w:r w:rsidR="00FF7479">
        <w:rPr>
          <w:lang w:eastAsia="ja-JP"/>
        </w:rPr>
        <w:t xml:space="preserve">case management </w:t>
      </w:r>
      <w:r w:rsidR="00D51281" w:rsidRPr="00314CD8">
        <w:rPr>
          <w:lang w:eastAsia="ja-JP"/>
        </w:rPr>
        <w:t>activities and the broader policy goal of behavioural change.</w:t>
      </w:r>
    </w:p>
    <w:p w14:paraId="40DC5379" w14:textId="4AA30EAE" w:rsidR="0043348B" w:rsidRPr="00AF5B5B" w:rsidRDefault="0043348B" w:rsidP="0043348B">
      <w:pPr>
        <w:pStyle w:val="ListNumber"/>
        <w:rPr>
          <w:lang w:eastAsia="ja-JP"/>
        </w:rPr>
      </w:pPr>
      <w:r w:rsidRPr="00AF5B5B">
        <w:rPr>
          <w:lang w:eastAsia="ja-JP"/>
        </w:rPr>
        <w:t>That government encourage</w:t>
      </w:r>
      <w:r w:rsidR="0030028A" w:rsidRPr="00AF5B5B">
        <w:rPr>
          <w:lang w:eastAsia="ja-JP"/>
        </w:rPr>
        <w:t>s</w:t>
      </w:r>
      <w:r w:rsidRPr="00AF5B5B">
        <w:rPr>
          <w:lang w:eastAsia="ja-JP"/>
        </w:rPr>
        <w:t xml:space="preserve"> rural lenders to support early referrals to the RFCS to reach clients who are in early stages of financ</w:t>
      </w:r>
      <w:r w:rsidR="00517F4E">
        <w:rPr>
          <w:lang w:eastAsia="ja-JP"/>
        </w:rPr>
        <w:t>ial distress.</w:t>
      </w:r>
    </w:p>
    <w:p w14:paraId="27955C99" w14:textId="6E76C88E" w:rsidR="0043348B" w:rsidRPr="00AF5B5B" w:rsidRDefault="00B461DD" w:rsidP="0043348B">
      <w:pPr>
        <w:pStyle w:val="ListNumber"/>
        <w:rPr>
          <w:lang w:eastAsia="ja-JP"/>
        </w:rPr>
      </w:pPr>
      <w:r>
        <w:rPr>
          <w:lang w:eastAsia="ja-JP"/>
        </w:rPr>
        <w:t xml:space="preserve">That </w:t>
      </w:r>
      <w:r w:rsidR="001E5D09">
        <w:rPr>
          <w:lang w:eastAsia="ja-JP"/>
        </w:rPr>
        <w:t xml:space="preserve">RFCS </w:t>
      </w:r>
      <w:r>
        <w:rPr>
          <w:lang w:eastAsia="ja-JP"/>
        </w:rPr>
        <w:t>p</w:t>
      </w:r>
      <w:r w:rsidR="0043348B" w:rsidRPr="00AF5B5B">
        <w:rPr>
          <w:lang w:eastAsia="ja-JP"/>
        </w:rPr>
        <w:t>artner relationships</w:t>
      </w:r>
      <w:r w:rsidR="005C1686">
        <w:rPr>
          <w:lang w:eastAsia="ja-JP"/>
        </w:rPr>
        <w:t xml:space="preserve"> be strengthened, </w:t>
      </w:r>
      <w:r w:rsidR="0043348B" w:rsidRPr="00AF5B5B">
        <w:rPr>
          <w:lang w:eastAsia="ja-JP"/>
        </w:rPr>
        <w:t>including with Farm Household Case Officers (</w:t>
      </w:r>
      <w:proofErr w:type="spellStart"/>
      <w:r w:rsidR="0043348B" w:rsidRPr="00AF5B5B">
        <w:rPr>
          <w:lang w:eastAsia="ja-JP"/>
        </w:rPr>
        <w:t>FHCOs</w:t>
      </w:r>
      <w:proofErr w:type="spellEnd"/>
      <w:r w:rsidR="0043348B" w:rsidRPr="00AF5B5B">
        <w:rPr>
          <w:lang w:eastAsia="ja-JP"/>
        </w:rPr>
        <w:t>), the</w:t>
      </w:r>
      <w:r w:rsidR="00D178AD">
        <w:rPr>
          <w:lang w:eastAsia="ja-JP"/>
        </w:rPr>
        <w:t xml:space="preserve"> Regional Investment Corporation</w:t>
      </w:r>
      <w:r w:rsidR="0043348B" w:rsidRPr="00AF5B5B">
        <w:rPr>
          <w:lang w:eastAsia="ja-JP"/>
        </w:rPr>
        <w:t xml:space="preserve"> </w:t>
      </w:r>
      <w:r w:rsidR="00D178AD">
        <w:rPr>
          <w:lang w:eastAsia="ja-JP"/>
        </w:rPr>
        <w:t>(</w:t>
      </w:r>
      <w:proofErr w:type="spellStart"/>
      <w:r w:rsidR="0043348B" w:rsidRPr="00AF5B5B">
        <w:rPr>
          <w:lang w:eastAsia="ja-JP"/>
        </w:rPr>
        <w:t>RIC</w:t>
      </w:r>
      <w:proofErr w:type="spellEnd"/>
      <w:r w:rsidR="00D178AD">
        <w:rPr>
          <w:lang w:eastAsia="ja-JP"/>
        </w:rPr>
        <w:t>)</w:t>
      </w:r>
      <w:r w:rsidR="00AA3362">
        <w:rPr>
          <w:lang w:eastAsia="ja-JP"/>
        </w:rPr>
        <w:t xml:space="preserve"> and</w:t>
      </w:r>
      <w:r w:rsidR="0043348B" w:rsidRPr="00AF5B5B">
        <w:rPr>
          <w:lang w:eastAsia="ja-JP"/>
        </w:rPr>
        <w:t xml:space="preserve"> financial institutions.</w:t>
      </w:r>
    </w:p>
    <w:p w14:paraId="79571021" w14:textId="54FD508D" w:rsidR="0043348B" w:rsidRPr="00AF5B5B" w:rsidRDefault="00B461DD" w:rsidP="0043348B">
      <w:pPr>
        <w:pStyle w:val="ListNumber"/>
        <w:rPr>
          <w:lang w:eastAsia="ja-JP"/>
        </w:rPr>
      </w:pPr>
      <w:r>
        <w:rPr>
          <w:lang w:eastAsia="ja-JP"/>
        </w:rPr>
        <w:t>That t</w:t>
      </w:r>
      <w:r w:rsidR="0043348B" w:rsidRPr="00AF5B5B">
        <w:rPr>
          <w:lang w:eastAsia="ja-JP"/>
        </w:rPr>
        <w:t>he department establish</w:t>
      </w:r>
      <w:r w:rsidR="0030028A" w:rsidRPr="00AF5B5B">
        <w:rPr>
          <w:lang w:eastAsia="ja-JP"/>
        </w:rPr>
        <w:t>es</w:t>
      </w:r>
      <w:r w:rsidR="0043348B" w:rsidRPr="00AF5B5B">
        <w:rPr>
          <w:lang w:eastAsia="ja-JP"/>
        </w:rPr>
        <w:t xml:space="preserve"> direct communication with counsellors for timely and consistent national messaging, support and </w:t>
      </w:r>
      <w:r w:rsidR="0043348B" w:rsidRPr="00293D66">
        <w:rPr>
          <w:lang w:eastAsia="ja-JP"/>
        </w:rPr>
        <w:t>two</w:t>
      </w:r>
      <w:r>
        <w:rPr>
          <w:lang w:eastAsia="ja-JP"/>
        </w:rPr>
        <w:t>-</w:t>
      </w:r>
      <w:r w:rsidR="0043348B" w:rsidRPr="00AF5B5B">
        <w:rPr>
          <w:lang w:eastAsia="ja-JP"/>
        </w:rPr>
        <w:t>way feedback.</w:t>
      </w:r>
    </w:p>
    <w:p w14:paraId="14BB87D7" w14:textId="65E4BCF5" w:rsidR="0043348B" w:rsidRPr="001D4476" w:rsidRDefault="0043348B" w:rsidP="0043348B">
      <w:pPr>
        <w:pStyle w:val="ListNumber"/>
        <w:rPr>
          <w:lang w:eastAsia="ja-JP"/>
        </w:rPr>
      </w:pPr>
      <w:r w:rsidRPr="001D4476">
        <w:rPr>
          <w:lang w:eastAsia="ja-JP"/>
        </w:rPr>
        <w:t>That service providers implement strategies and structures to promote</w:t>
      </w:r>
      <w:r w:rsidR="0043626F">
        <w:rPr>
          <w:lang w:eastAsia="ja-JP"/>
        </w:rPr>
        <w:t xml:space="preserve"> the</w:t>
      </w:r>
      <w:r w:rsidR="00F93600">
        <w:rPr>
          <w:lang w:eastAsia="ja-JP"/>
        </w:rPr>
        <w:t xml:space="preserve"> physical and </w:t>
      </w:r>
      <w:proofErr w:type="gramStart"/>
      <w:r w:rsidR="00F93600">
        <w:rPr>
          <w:lang w:eastAsia="ja-JP"/>
        </w:rPr>
        <w:t>mental</w:t>
      </w:r>
      <w:proofErr w:type="gramEnd"/>
      <w:r w:rsidR="00F93600">
        <w:rPr>
          <w:lang w:eastAsia="ja-JP"/>
        </w:rPr>
        <w:t xml:space="preserve"> health of</w:t>
      </w:r>
      <w:r w:rsidRPr="001D4476">
        <w:rPr>
          <w:lang w:eastAsia="ja-JP"/>
        </w:rPr>
        <w:t xml:space="preserve"> counsellor</w:t>
      </w:r>
      <w:r w:rsidR="00F93600">
        <w:rPr>
          <w:lang w:eastAsia="ja-JP"/>
        </w:rPr>
        <w:t xml:space="preserve">s, including </w:t>
      </w:r>
      <w:r w:rsidRPr="001D4476">
        <w:rPr>
          <w:lang w:eastAsia="ja-JP"/>
        </w:rPr>
        <w:t>combatting fatigue</w:t>
      </w:r>
      <w:r w:rsidR="00F93600">
        <w:rPr>
          <w:lang w:eastAsia="ja-JP"/>
        </w:rPr>
        <w:t xml:space="preserve"> and</w:t>
      </w:r>
      <w:r w:rsidRPr="001D4476">
        <w:rPr>
          <w:lang w:eastAsia="ja-JP"/>
        </w:rPr>
        <w:t xml:space="preserve"> burnout.</w:t>
      </w:r>
    </w:p>
    <w:p w14:paraId="4D1BA8DE" w14:textId="77777777" w:rsidR="00517F4E" w:rsidRDefault="00E275CB" w:rsidP="00C11CC3">
      <w:pPr>
        <w:pStyle w:val="Heading4"/>
        <w:numPr>
          <w:ilvl w:val="0"/>
          <w:numId w:val="0"/>
        </w:numPr>
        <w:ind w:left="964" w:hanging="964"/>
        <w:rPr>
          <w:lang w:eastAsia="ja-JP"/>
        </w:rPr>
      </w:pPr>
      <w:r>
        <w:rPr>
          <w:lang w:eastAsia="ja-JP"/>
        </w:rPr>
        <w:t>Monitoring and evaluation</w:t>
      </w:r>
    </w:p>
    <w:p w14:paraId="0226FBD3" w14:textId="7B40ED46" w:rsidR="00CF1CF2" w:rsidRDefault="00CF1CF2" w:rsidP="00EF2381">
      <w:pPr>
        <w:pStyle w:val="ListNumber"/>
        <w:numPr>
          <w:ilvl w:val="0"/>
          <w:numId w:val="13"/>
        </w:numPr>
        <w:rPr>
          <w:lang w:eastAsia="ja-JP"/>
        </w:rPr>
      </w:pPr>
      <w:r>
        <w:rPr>
          <w:lang w:eastAsia="ja-JP"/>
        </w:rPr>
        <w:t xml:space="preserve">That </w:t>
      </w:r>
      <w:r w:rsidR="00836FF9">
        <w:rPr>
          <w:lang w:eastAsia="ja-JP"/>
        </w:rPr>
        <w:t xml:space="preserve">the department commits </w:t>
      </w:r>
      <w:r w:rsidRPr="004B209E">
        <w:rPr>
          <w:lang w:eastAsia="ja-JP"/>
        </w:rPr>
        <w:t xml:space="preserve">resources </w:t>
      </w:r>
      <w:r>
        <w:rPr>
          <w:lang w:eastAsia="ja-JP"/>
        </w:rPr>
        <w:t>to assess and rationalise current monitoring and evaluation activities</w:t>
      </w:r>
      <w:r w:rsidR="0030028A">
        <w:rPr>
          <w:lang w:eastAsia="ja-JP"/>
        </w:rPr>
        <w:t xml:space="preserve"> </w:t>
      </w:r>
      <w:r w:rsidR="0030028A" w:rsidRPr="005D61D1">
        <w:rPr>
          <w:lang w:eastAsia="ja-JP"/>
        </w:rPr>
        <w:t xml:space="preserve">to </w:t>
      </w:r>
      <w:r w:rsidR="00836FF9" w:rsidRPr="005D61D1">
        <w:rPr>
          <w:lang w:eastAsia="ja-JP"/>
        </w:rPr>
        <w:t xml:space="preserve">strengthen the </w:t>
      </w:r>
      <w:r w:rsidR="0030028A" w:rsidRPr="005D61D1">
        <w:rPr>
          <w:lang w:eastAsia="ja-JP"/>
        </w:rPr>
        <w:t xml:space="preserve">link </w:t>
      </w:r>
      <w:r w:rsidR="00836FF9" w:rsidRPr="005D61D1">
        <w:rPr>
          <w:lang w:eastAsia="ja-JP"/>
        </w:rPr>
        <w:t xml:space="preserve">between </w:t>
      </w:r>
      <w:r w:rsidR="0030028A" w:rsidRPr="005D61D1">
        <w:rPr>
          <w:lang w:eastAsia="ja-JP"/>
        </w:rPr>
        <w:t xml:space="preserve">provider performance </w:t>
      </w:r>
      <w:r w:rsidR="00836FF9" w:rsidRPr="005D61D1">
        <w:rPr>
          <w:lang w:eastAsia="ja-JP"/>
        </w:rPr>
        <w:t xml:space="preserve">and </w:t>
      </w:r>
      <w:r w:rsidR="0030028A" w:rsidRPr="005D61D1">
        <w:rPr>
          <w:lang w:eastAsia="ja-JP"/>
        </w:rPr>
        <w:t>client outcomes</w:t>
      </w:r>
      <w:r w:rsidR="00517F4E">
        <w:rPr>
          <w:lang w:eastAsia="ja-JP"/>
        </w:rPr>
        <w:t>.</w:t>
      </w:r>
    </w:p>
    <w:p w14:paraId="1C34000C" w14:textId="2BBC0172" w:rsidR="0030028A" w:rsidRDefault="00CF1CF2" w:rsidP="0068565C">
      <w:pPr>
        <w:pStyle w:val="ListNumber"/>
        <w:rPr>
          <w:lang w:eastAsia="ja-JP"/>
        </w:rPr>
      </w:pPr>
      <w:r>
        <w:rPr>
          <w:lang w:eastAsia="ja-JP"/>
        </w:rPr>
        <w:t>Th</w:t>
      </w:r>
      <w:r w:rsidR="0030028A">
        <w:rPr>
          <w:lang w:eastAsia="ja-JP"/>
        </w:rPr>
        <w:t>at th</w:t>
      </w:r>
      <w:r>
        <w:rPr>
          <w:lang w:eastAsia="ja-JP"/>
        </w:rPr>
        <w:t xml:space="preserve">e department </w:t>
      </w:r>
      <w:r w:rsidR="0030028A">
        <w:rPr>
          <w:lang w:eastAsia="ja-JP"/>
        </w:rPr>
        <w:t xml:space="preserve">closely </w:t>
      </w:r>
      <w:r>
        <w:rPr>
          <w:lang w:eastAsia="ja-JP"/>
        </w:rPr>
        <w:t>consult</w:t>
      </w:r>
      <w:r w:rsidR="008D10E2">
        <w:rPr>
          <w:lang w:eastAsia="ja-JP"/>
        </w:rPr>
        <w:t>s</w:t>
      </w:r>
      <w:r>
        <w:rPr>
          <w:lang w:eastAsia="ja-JP"/>
        </w:rPr>
        <w:t xml:space="preserve"> with service providers on any changes to </w:t>
      </w:r>
      <w:r w:rsidR="006D5913">
        <w:rPr>
          <w:lang w:eastAsia="ja-JP"/>
        </w:rPr>
        <w:t>monitoring and evaluation</w:t>
      </w:r>
      <w:r w:rsidR="00924FF2">
        <w:rPr>
          <w:lang w:eastAsia="ja-JP"/>
        </w:rPr>
        <w:t>,</w:t>
      </w:r>
      <w:r>
        <w:rPr>
          <w:lang w:eastAsia="ja-JP"/>
        </w:rPr>
        <w:t xml:space="preserve"> </w:t>
      </w:r>
      <w:r w:rsidR="006D5913">
        <w:rPr>
          <w:lang w:eastAsia="ja-JP"/>
        </w:rPr>
        <w:t xml:space="preserve">ensuring a </w:t>
      </w:r>
      <w:r>
        <w:rPr>
          <w:lang w:eastAsia="ja-JP"/>
        </w:rPr>
        <w:t>strong</w:t>
      </w:r>
      <w:r w:rsidR="008D10E2">
        <w:rPr>
          <w:lang w:eastAsia="ja-JP"/>
        </w:rPr>
        <w:t>er</w:t>
      </w:r>
      <w:r>
        <w:rPr>
          <w:lang w:eastAsia="ja-JP"/>
        </w:rPr>
        <w:t xml:space="preserve"> focus on counsellor input.</w:t>
      </w:r>
    </w:p>
    <w:p w14:paraId="2C9774B1" w14:textId="46184A53" w:rsidR="00CF1CF2" w:rsidRPr="00F13F30" w:rsidRDefault="00B461DD" w:rsidP="0068565C">
      <w:pPr>
        <w:pStyle w:val="ListNumber"/>
        <w:rPr>
          <w:lang w:eastAsia="ja-JP"/>
        </w:rPr>
      </w:pPr>
      <w:r>
        <w:rPr>
          <w:lang w:eastAsia="ja-JP"/>
        </w:rPr>
        <w:lastRenderedPageBreak/>
        <w:t>That d</w:t>
      </w:r>
      <w:r w:rsidR="006D5913">
        <w:rPr>
          <w:lang w:eastAsia="ja-JP"/>
        </w:rPr>
        <w:t xml:space="preserve">ata collection and reporting be adapted </w:t>
      </w:r>
      <w:r w:rsidR="00325FD9">
        <w:rPr>
          <w:lang w:eastAsia="ja-JP"/>
        </w:rPr>
        <w:t xml:space="preserve">to provide meaningful analysis of service provider performance and program </w:t>
      </w:r>
      <w:r w:rsidR="00325FD9" w:rsidRPr="005D61D1">
        <w:rPr>
          <w:lang w:eastAsia="ja-JP"/>
        </w:rPr>
        <w:t xml:space="preserve">effectiveness while </w:t>
      </w:r>
      <w:r w:rsidR="006D5913" w:rsidRPr="005D61D1">
        <w:rPr>
          <w:lang w:eastAsia="ja-JP"/>
        </w:rPr>
        <w:t>reduc</w:t>
      </w:r>
      <w:r w:rsidR="00325FD9" w:rsidRPr="005D61D1">
        <w:rPr>
          <w:lang w:eastAsia="ja-JP"/>
        </w:rPr>
        <w:t>ing</w:t>
      </w:r>
      <w:r w:rsidR="006D5913">
        <w:rPr>
          <w:lang w:eastAsia="ja-JP"/>
        </w:rPr>
        <w:t xml:space="preserve"> </w:t>
      </w:r>
      <w:r w:rsidR="006D5913" w:rsidRPr="00F13F30">
        <w:rPr>
          <w:lang w:eastAsia="ja-JP"/>
        </w:rPr>
        <w:t>administrative burden on service</w:t>
      </w:r>
      <w:r w:rsidR="003B4923" w:rsidRPr="00F13F30">
        <w:rPr>
          <w:lang w:eastAsia="ja-JP"/>
        </w:rPr>
        <w:t xml:space="preserve"> providers</w:t>
      </w:r>
      <w:r w:rsidR="006D5913" w:rsidRPr="00F13F30">
        <w:rPr>
          <w:lang w:eastAsia="ja-JP"/>
        </w:rPr>
        <w:t xml:space="preserve"> and counsellors</w:t>
      </w:r>
      <w:r w:rsidR="00325FD9" w:rsidRPr="00F13F30">
        <w:rPr>
          <w:lang w:eastAsia="ja-JP"/>
        </w:rPr>
        <w:t xml:space="preserve">. </w:t>
      </w:r>
      <w:r w:rsidR="00325FD9" w:rsidRPr="00575B2A">
        <w:rPr>
          <w:lang w:eastAsia="ja-JP"/>
        </w:rPr>
        <w:t>Further qualitative data collection and analysis should be explored to provide insight into client outcomes.</w:t>
      </w:r>
    </w:p>
    <w:p w14:paraId="22BFA7D1" w14:textId="77777777" w:rsidR="00517F4E" w:rsidRPr="00F13F30" w:rsidRDefault="00CF1CF2">
      <w:pPr>
        <w:pStyle w:val="ListNumber"/>
        <w:rPr>
          <w:lang w:eastAsia="ja-JP"/>
        </w:rPr>
      </w:pPr>
      <w:r w:rsidRPr="00F13F30">
        <w:rPr>
          <w:lang w:eastAsia="ja-JP"/>
        </w:rPr>
        <w:t xml:space="preserve">That the department considers an audit regime (in lieu of current reporting requirements) to </w:t>
      </w:r>
      <w:r w:rsidR="006D5913" w:rsidRPr="00F13F30">
        <w:rPr>
          <w:lang w:eastAsia="ja-JP"/>
        </w:rPr>
        <w:t xml:space="preserve">assess provider </w:t>
      </w:r>
      <w:r w:rsidR="002121F2" w:rsidRPr="00F13F30">
        <w:rPr>
          <w:lang w:eastAsia="ja-JP"/>
        </w:rPr>
        <w:t xml:space="preserve">compliance and </w:t>
      </w:r>
      <w:r w:rsidR="006D5913" w:rsidRPr="00F13F30">
        <w:rPr>
          <w:lang w:eastAsia="ja-JP"/>
        </w:rPr>
        <w:t>performance</w:t>
      </w:r>
      <w:r w:rsidR="002121F2" w:rsidRPr="00F13F30">
        <w:rPr>
          <w:lang w:eastAsia="ja-JP"/>
        </w:rPr>
        <w:t xml:space="preserve">. </w:t>
      </w:r>
      <w:r w:rsidRPr="00F13F30">
        <w:rPr>
          <w:lang w:eastAsia="ja-JP"/>
        </w:rPr>
        <w:t>The audit regime should also measure against agreed strategies for client engagement</w:t>
      </w:r>
      <w:r w:rsidR="00836F54" w:rsidRPr="00F13F30">
        <w:rPr>
          <w:lang w:eastAsia="ja-JP"/>
        </w:rPr>
        <w:t xml:space="preserve"> and</w:t>
      </w:r>
      <w:r w:rsidR="002121F2" w:rsidRPr="00F13F30">
        <w:rPr>
          <w:lang w:eastAsia="ja-JP"/>
        </w:rPr>
        <w:t xml:space="preserve"> application of case management model</w:t>
      </w:r>
      <w:r w:rsidR="00836F54" w:rsidRPr="00F13F30">
        <w:rPr>
          <w:lang w:eastAsia="ja-JP"/>
        </w:rPr>
        <w:t>s</w:t>
      </w:r>
      <w:r w:rsidR="002121F2" w:rsidRPr="00F13F30">
        <w:rPr>
          <w:lang w:eastAsia="ja-JP"/>
        </w:rPr>
        <w:t>.</w:t>
      </w:r>
      <w:r w:rsidR="00716581" w:rsidRPr="00F13F30">
        <w:rPr>
          <w:lang w:eastAsia="ja-JP"/>
        </w:rPr>
        <w:t xml:space="preserve"> </w:t>
      </w:r>
      <w:r w:rsidR="0030028A" w:rsidRPr="00F13F30">
        <w:rPr>
          <w:lang w:eastAsia="ja-JP"/>
        </w:rPr>
        <w:t>A graduated compliance regime should be considered to increase accountability for performance.</w:t>
      </w:r>
    </w:p>
    <w:p w14:paraId="0E9F0BC6" w14:textId="392A31A7" w:rsidR="00781956" w:rsidRPr="00F13F30" w:rsidRDefault="00781956" w:rsidP="00C11CC3">
      <w:pPr>
        <w:pStyle w:val="Heading3"/>
        <w:numPr>
          <w:ilvl w:val="0"/>
          <w:numId w:val="0"/>
        </w:numPr>
        <w:ind w:left="964" w:hanging="964"/>
      </w:pPr>
      <w:bookmarkStart w:id="6" w:name="_Toc18328838"/>
      <w:r w:rsidRPr="00F13F30">
        <w:t>Proposed action plan</w:t>
      </w:r>
      <w:bookmarkEnd w:id="6"/>
    </w:p>
    <w:p w14:paraId="069355B8" w14:textId="2EAA0F8D" w:rsidR="00781956" w:rsidRPr="00F13F30" w:rsidRDefault="00781956" w:rsidP="00781956">
      <w:r w:rsidRPr="00F13F30">
        <w:t xml:space="preserve">To address the recommendations of this report, </w:t>
      </w:r>
      <w:r w:rsidR="00F93600">
        <w:t>the review panel suggests</w:t>
      </w:r>
      <w:r w:rsidRPr="00F13F30">
        <w:t xml:space="preserve"> the department dedicate resources to consider </w:t>
      </w:r>
      <w:r w:rsidR="008E3477" w:rsidRPr="00F13F30">
        <w:t xml:space="preserve">improvements to </w:t>
      </w:r>
      <w:r w:rsidR="00F13F30" w:rsidRPr="00F13F30">
        <w:t>3</w:t>
      </w:r>
      <w:r w:rsidRPr="00F13F30">
        <w:t xml:space="preserve"> critical </w:t>
      </w:r>
      <w:r w:rsidR="008E3477" w:rsidRPr="00F13F30">
        <w:t>areas</w:t>
      </w:r>
      <w:r w:rsidRPr="00F13F30">
        <w:t xml:space="preserve"> </w:t>
      </w:r>
      <w:r w:rsidR="008E3477" w:rsidRPr="00F13F30">
        <w:t xml:space="preserve">before </w:t>
      </w:r>
      <w:r w:rsidR="00331133" w:rsidRPr="00F13F30">
        <w:t>the next funding round:</w:t>
      </w:r>
    </w:p>
    <w:p w14:paraId="5D4C1C74" w14:textId="3E418FA3" w:rsidR="00781956" w:rsidRPr="00F13F30" w:rsidRDefault="00781956" w:rsidP="00781956">
      <w:pPr>
        <w:pStyle w:val="ListBullet"/>
      </w:pPr>
      <w:r w:rsidRPr="00F13F30">
        <w:t xml:space="preserve">governance requirements </w:t>
      </w:r>
      <w:r w:rsidR="000D1B13">
        <w:t>for</w:t>
      </w:r>
      <w:r w:rsidRPr="00F13F30">
        <w:t xml:space="preserve"> service providers</w:t>
      </w:r>
    </w:p>
    <w:p w14:paraId="4BEC7936" w14:textId="7C338F0A" w:rsidR="00781956" w:rsidRPr="00F13F30" w:rsidRDefault="00781956" w:rsidP="00781956">
      <w:pPr>
        <w:pStyle w:val="ListBullet"/>
      </w:pPr>
      <w:r w:rsidRPr="00F13F30">
        <w:t xml:space="preserve">supporting communication and </w:t>
      </w:r>
      <w:r w:rsidR="00894A2C" w:rsidRPr="00F13F30">
        <w:t>coordination activities</w:t>
      </w:r>
    </w:p>
    <w:p w14:paraId="49F2FC1C" w14:textId="7A2B0C86" w:rsidR="00781956" w:rsidRPr="00F13F30" w:rsidRDefault="00781956" w:rsidP="00781956">
      <w:pPr>
        <w:pStyle w:val="ListBullet"/>
        <w:rPr>
          <w:lang w:eastAsia="ja-JP"/>
        </w:rPr>
      </w:pPr>
      <w:proofErr w:type="gramStart"/>
      <w:r w:rsidRPr="00F13F30">
        <w:rPr>
          <w:lang w:eastAsia="ja-JP"/>
        </w:rPr>
        <w:t>monitoring</w:t>
      </w:r>
      <w:proofErr w:type="gramEnd"/>
      <w:r w:rsidRPr="00F13F30">
        <w:rPr>
          <w:lang w:eastAsia="ja-JP"/>
        </w:rPr>
        <w:t xml:space="preserve"> and evaluation.</w:t>
      </w:r>
    </w:p>
    <w:p w14:paraId="09BEA2CE" w14:textId="76221FEE" w:rsidR="00781956" w:rsidRPr="00F13F30" w:rsidRDefault="00781956" w:rsidP="00781956">
      <w:r w:rsidRPr="00F13F30">
        <w:t xml:space="preserve">The current funding deeds should be rolled over </w:t>
      </w:r>
      <w:r w:rsidR="00F76DC2" w:rsidRPr="00F13F30">
        <w:t>until 30 June 2021</w:t>
      </w:r>
      <w:r w:rsidR="00F76DC2">
        <w:t xml:space="preserve"> </w:t>
      </w:r>
      <w:r w:rsidRPr="00F13F30">
        <w:t xml:space="preserve">to provide certainty for current service providers while work is undertaken to address </w:t>
      </w:r>
      <w:r w:rsidR="004B523F" w:rsidRPr="00F13F30">
        <w:t>key issues</w:t>
      </w:r>
      <w:r w:rsidR="00517F4E" w:rsidRPr="00F13F30">
        <w:t>.</w:t>
      </w:r>
    </w:p>
    <w:p w14:paraId="71786A23" w14:textId="57A87CCA" w:rsidR="00781956" w:rsidRPr="00F13F30" w:rsidRDefault="00781956" w:rsidP="00781956">
      <w:r w:rsidRPr="00F13F30">
        <w:t>The next RFCS program would commence on 1 July 2021 an</w:t>
      </w:r>
      <w:r w:rsidR="00517F4E" w:rsidRPr="00F13F30">
        <w:t>d would also take into account:</w:t>
      </w:r>
    </w:p>
    <w:p w14:paraId="338CAE7C" w14:textId="48F3D68A" w:rsidR="00781956" w:rsidRPr="00F13F30" w:rsidRDefault="00781956" w:rsidP="00781956">
      <w:pPr>
        <w:pStyle w:val="ListBullet"/>
      </w:pPr>
      <w:r w:rsidRPr="00F13F30">
        <w:t>the outcomes of the FHA review and any resultant change</w:t>
      </w:r>
      <w:r w:rsidR="00331133" w:rsidRPr="00F13F30">
        <w:t>s made to the role of the RFCS</w:t>
      </w:r>
    </w:p>
    <w:p w14:paraId="370EA8EF" w14:textId="327C48BC" w:rsidR="00781956" w:rsidRPr="00F13F30" w:rsidRDefault="00781956" w:rsidP="00781956">
      <w:pPr>
        <w:pStyle w:val="ListBullet"/>
      </w:pPr>
      <w:proofErr w:type="gramStart"/>
      <w:r w:rsidRPr="00F13F30">
        <w:t>another</w:t>
      </w:r>
      <w:proofErr w:type="gramEnd"/>
      <w:r w:rsidRPr="00F13F30">
        <w:t xml:space="preserve"> full year of trialling the current perfor</w:t>
      </w:r>
      <w:r w:rsidR="00517F4E" w:rsidRPr="00F13F30">
        <w:t>mance and assessment framework.</w:t>
      </w:r>
    </w:p>
    <w:p w14:paraId="4B5DF524" w14:textId="5F94E4A7" w:rsidR="00781956" w:rsidRPr="00F13F30" w:rsidRDefault="001E367F" w:rsidP="00856530">
      <w:r w:rsidRPr="00F13F30">
        <w:t>Applications for t</w:t>
      </w:r>
      <w:r w:rsidR="00781956" w:rsidRPr="00F13F30">
        <w:t>he next funding r</w:t>
      </w:r>
      <w:r w:rsidR="004B523F" w:rsidRPr="00F13F30">
        <w:t>ound should open by July 202</w:t>
      </w:r>
      <w:r w:rsidR="0030028A" w:rsidRPr="00F13F30">
        <w:t>0</w:t>
      </w:r>
      <w:r w:rsidR="00781956" w:rsidRPr="00F13F30">
        <w:t xml:space="preserve"> with the results announced b</w:t>
      </w:r>
      <w:r w:rsidR="004B523F" w:rsidRPr="00F13F30">
        <w:t>efore December 2020</w:t>
      </w:r>
      <w:r w:rsidR="00F76DC2">
        <w:t xml:space="preserve">—giving service providers </w:t>
      </w:r>
      <w:r w:rsidR="00F13F30" w:rsidRPr="00F13F30">
        <w:t>6</w:t>
      </w:r>
      <w:r w:rsidR="00781956" w:rsidRPr="00F13F30">
        <w:t xml:space="preserve"> months</w:t>
      </w:r>
      <w:r w:rsidR="000D1B13">
        <w:t>'</w:t>
      </w:r>
      <w:r w:rsidR="00781956" w:rsidRPr="00F13F30">
        <w:t xml:space="preserve"> notice to provide certainty for employment arrangements and sufficient time for bu</w:t>
      </w:r>
      <w:r w:rsidR="00856530">
        <w:t>siness planning and transition.</w:t>
      </w:r>
    </w:p>
    <w:p w14:paraId="62835241" w14:textId="77777777" w:rsidR="00517F4E" w:rsidRPr="00F13F30" w:rsidRDefault="007E3202" w:rsidP="0073209D">
      <w:pPr>
        <w:pStyle w:val="Heading2"/>
      </w:pPr>
      <w:bookmarkStart w:id="7" w:name="_Toc18328839"/>
      <w:r w:rsidRPr="00F13F30">
        <w:lastRenderedPageBreak/>
        <w:t>Terms of r</w:t>
      </w:r>
      <w:r w:rsidR="0073209D" w:rsidRPr="00F13F30">
        <w:t>eference</w:t>
      </w:r>
      <w:bookmarkEnd w:id="7"/>
    </w:p>
    <w:p w14:paraId="472053C9" w14:textId="1B114B81" w:rsidR="00517F4E" w:rsidRPr="00F13F30" w:rsidRDefault="0073209D" w:rsidP="0073209D">
      <w:r w:rsidRPr="00F13F30">
        <w:t xml:space="preserve">In March 2019 the department commenced an internal review into the operation and structure of the RFCS program to assess the efficiency and effectiveness of funding, services and administration in meeting the </w:t>
      </w:r>
      <w:r w:rsidR="001E3132">
        <w:t>2016 to 2020</w:t>
      </w:r>
      <w:r w:rsidR="00F13F30" w:rsidRPr="00F13F30">
        <w:t xml:space="preserve"> </w:t>
      </w:r>
      <w:r w:rsidRPr="00F13F30">
        <w:t>program objectives.</w:t>
      </w:r>
    </w:p>
    <w:p w14:paraId="30B1D194" w14:textId="185E2266" w:rsidR="00B83814" w:rsidRPr="00F13F30" w:rsidRDefault="00B83814" w:rsidP="00B83814">
      <w:pPr>
        <w:rPr>
          <w:lang w:eastAsia="ja-JP"/>
        </w:rPr>
      </w:pPr>
      <w:r w:rsidRPr="00F13F30">
        <w:rPr>
          <w:lang w:eastAsia="ja-JP"/>
        </w:rPr>
        <w:t xml:space="preserve">A review panel was formed </w:t>
      </w:r>
      <w:r w:rsidR="00F76DC2" w:rsidRPr="00F13F30">
        <w:rPr>
          <w:lang w:eastAsia="ja-JP"/>
        </w:rPr>
        <w:t>to undertake an independent assessment of the program</w:t>
      </w:r>
      <w:r w:rsidR="00F76DC2">
        <w:rPr>
          <w:lang w:eastAsia="ja-JP"/>
        </w:rPr>
        <w:t xml:space="preserve">. The panel </w:t>
      </w:r>
      <w:r w:rsidR="00505EB7">
        <w:rPr>
          <w:lang w:eastAsia="ja-JP"/>
        </w:rPr>
        <w:t xml:space="preserve">comprised </w:t>
      </w:r>
      <w:r w:rsidRPr="00F13F30">
        <w:rPr>
          <w:lang w:eastAsia="ja-JP"/>
        </w:rPr>
        <w:t>departmental staff who were separate to the current program administrators.</w:t>
      </w:r>
    </w:p>
    <w:p w14:paraId="57208B87" w14:textId="6E5A657A" w:rsidR="0073209D" w:rsidRDefault="0073209D" w:rsidP="0073209D">
      <w:pPr>
        <w:rPr>
          <w:lang w:eastAsia="ja-JP"/>
        </w:rPr>
      </w:pPr>
      <w:r w:rsidRPr="00F13F30">
        <w:rPr>
          <w:lang w:eastAsia="ja-JP"/>
        </w:rPr>
        <w:t xml:space="preserve">The review focused on </w:t>
      </w:r>
      <w:r w:rsidR="00F13F30" w:rsidRPr="00F13F30">
        <w:rPr>
          <w:lang w:eastAsia="ja-JP"/>
        </w:rPr>
        <w:t>6</w:t>
      </w:r>
      <w:r w:rsidRPr="00F13F30">
        <w:rPr>
          <w:lang w:eastAsia="ja-JP"/>
        </w:rPr>
        <w:t xml:space="preserve"> main themes:</w:t>
      </w:r>
    </w:p>
    <w:p w14:paraId="1695A1D2" w14:textId="53FC6AE1" w:rsidR="0073209D" w:rsidRPr="00F13F30" w:rsidRDefault="00F93600" w:rsidP="0073209D">
      <w:pPr>
        <w:pStyle w:val="ListBullet"/>
        <w:rPr>
          <w:lang w:eastAsia="ja-JP"/>
        </w:rPr>
      </w:pPr>
      <w:r>
        <w:rPr>
          <w:lang w:eastAsia="ja-JP"/>
        </w:rPr>
        <w:t>T</w:t>
      </w:r>
      <w:r w:rsidR="00CC66DF" w:rsidRPr="00F13F30">
        <w:rPr>
          <w:lang w:eastAsia="ja-JP"/>
        </w:rPr>
        <w:t xml:space="preserve">he </w:t>
      </w:r>
      <w:r w:rsidR="0073209D" w:rsidRPr="00F13F30">
        <w:rPr>
          <w:lang w:eastAsia="ja-JP"/>
        </w:rPr>
        <w:t>role of the RFCS</w:t>
      </w:r>
      <w:r w:rsidR="00505EB7">
        <w:rPr>
          <w:lang w:eastAsia="ja-JP"/>
        </w:rPr>
        <w:t>—</w:t>
      </w:r>
      <w:r w:rsidR="0073209D" w:rsidRPr="00F13F30">
        <w:rPr>
          <w:lang w:eastAsia="ja-JP"/>
        </w:rPr>
        <w:t>including objectives, activities, and client eligibility</w:t>
      </w:r>
    </w:p>
    <w:p w14:paraId="056DBEB9" w14:textId="4760B6CA" w:rsidR="0073209D" w:rsidRPr="00F13F30" w:rsidRDefault="00F93600" w:rsidP="0073209D">
      <w:pPr>
        <w:pStyle w:val="ListBullet"/>
        <w:rPr>
          <w:lang w:eastAsia="ja-JP"/>
        </w:rPr>
      </w:pPr>
      <w:r>
        <w:rPr>
          <w:lang w:eastAsia="ja-JP"/>
        </w:rPr>
        <w:t>S</w:t>
      </w:r>
      <w:r w:rsidR="0073209D" w:rsidRPr="00F13F30">
        <w:rPr>
          <w:lang w:eastAsia="ja-JP"/>
        </w:rPr>
        <w:t>ervice structure</w:t>
      </w:r>
      <w:r w:rsidR="00505EB7">
        <w:rPr>
          <w:lang w:eastAsia="ja-JP"/>
        </w:rPr>
        <w:t>—</w:t>
      </w:r>
      <w:r w:rsidR="0073209D" w:rsidRPr="00F13F30">
        <w:rPr>
          <w:lang w:eastAsia="ja-JP"/>
        </w:rPr>
        <w:t>including number,</w:t>
      </w:r>
      <w:r w:rsidR="006B7444" w:rsidRPr="00F13F30">
        <w:rPr>
          <w:lang w:eastAsia="ja-JP"/>
        </w:rPr>
        <w:t xml:space="preserve"> </w:t>
      </w:r>
      <w:r w:rsidR="0073209D" w:rsidRPr="00F13F30">
        <w:rPr>
          <w:lang w:eastAsia="ja-JP"/>
        </w:rPr>
        <w:t>geographic spread and type of providers, and provider governance arrangements</w:t>
      </w:r>
    </w:p>
    <w:p w14:paraId="7FE58E33" w14:textId="1B982607" w:rsidR="00517F4E" w:rsidRPr="00F13F30" w:rsidRDefault="00F93600" w:rsidP="0073209D">
      <w:pPr>
        <w:pStyle w:val="ListBullet"/>
        <w:rPr>
          <w:lang w:eastAsia="ja-JP"/>
        </w:rPr>
      </w:pPr>
      <w:r>
        <w:rPr>
          <w:lang w:eastAsia="ja-JP"/>
        </w:rPr>
        <w:t>F</w:t>
      </w:r>
      <w:r w:rsidR="0073209D" w:rsidRPr="00F13F30">
        <w:rPr>
          <w:lang w:eastAsia="ja-JP"/>
        </w:rPr>
        <w:t>unding arrangements</w:t>
      </w:r>
      <w:r w:rsidR="00505EB7">
        <w:rPr>
          <w:lang w:eastAsia="ja-JP"/>
        </w:rPr>
        <w:t>—</w:t>
      </w:r>
      <w:r w:rsidR="0073209D" w:rsidRPr="00F13F30">
        <w:rPr>
          <w:lang w:eastAsia="ja-JP"/>
        </w:rPr>
        <w:t>including criteria for allocation of core and contingency funding</w:t>
      </w:r>
    </w:p>
    <w:p w14:paraId="0359F4BC" w14:textId="551564B3" w:rsidR="0073209D" w:rsidRPr="00F13F30" w:rsidRDefault="00F93600" w:rsidP="0073209D">
      <w:pPr>
        <w:pStyle w:val="ListBullet"/>
        <w:rPr>
          <w:lang w:eastAsia="ja-JP"/>
        </w:rPr>
      </w:pPr>
      <w:r>
        <w:rPr>
          <w:lang w:eastAsia="ja-JP"/>
        </w:rPr>
        <w:t>S</w:t>
      </w:r>
      <w:r w:rsidR="0073209D" w:rsidRPr="00F13F30">
        <w:rPr>
          <w:lang w:eastAsia="ja-JP"/>
        </w:rPr>
        <w:t>ervice delivery</w:t>
      </w:r>
      <w:r w:rsidR="00505EB7">
        <w:rPr>
          <w:lang w:eastAsia="ja-JP"/>
        </w:rPr>
        <w:t>—</w:t>
      </w:r>
      <w:r w:rsidR="0073209D" w:rsidRPr="00F13F30">
        <w:rPr>
          <w:lang w:eastAsia="ja-JP"/>
        </w:rPr>
        <w:t>including approaches to case management and counsellor training</w:t>
      </w:r>
    </w:p>
    <w:p w14:paraId="2D0E72D7" w14:textId="1146303F" w:rsidR="0073209D" w:rsidRPr="00F13F30" w:rsidRDefault="00F93600" w:rsidP="0073209D">
      <w:pPr>
        <w:pStyle w:val="ListBullet"/>
        <w:rPr>
          <w:lang w:eastAsia="ja-JP"/>
        </w:rPr>
      </w:pPr>
      <w:r>
        <w:rPr>
          <w:lang w:eastAsia="ja-JP"/>
        </w:rPr>
        <w:t>C</w:t>
      </w:r>
      <w:r w:rsidR="0073209D" w:rsidRPr="00F13F30">
        <w:rPr>
          <w:lang w:eastAsia="ja-JP"/>
        </w:rPr>
        <w:t>oordination and support</w:t>
      </w:r>
      <w:r w:rsidR="00505EB7">
        <w:rPr>
          <w:lang w:eastAsia="ja-JP"/>
        </w:rPr>
        <w:t>—</w:t>
      </w:r>
      <w:r w:rsidR="0073209D" w:rsidRPr="00F13F30">
        <w:rPr>
          <w:lang w:eastAsia="ja-JP"/>
        </w:rPr>
        <w:t>including national initiatives and partner relationships</w:t>
      </w:r>
    </w:p>
    <w:p w14:paraId="1E5871D5" w14:textId="46CAE048" w:rsidR="0073209D" w:rsidRPr="00F13F30" w:rsidRDefault="00F93600" w:rsidP="0073209D">
      <w:pPr>
        <w:pStyle w:val="ListBullet"/>
        <w:rPr>
          <w:lang w:eastAsia="ja-JP"/>
        </w:rPr>
      </w:pPr>
      <w:r>
        <w:rPr>
          <w:lang w:eastAsia="ja-JP"/>
        </w:rPr>
        <w:t>M</w:t>
      </w:r>
      <w:r w:rsidR="0073209D" w:rsidRPr="00F13F30">
        <w:rPr>
          <w:lang w:eastAsia="ja-JP"/>
        </w:rPr>
        <w:t>onitoring and evaluation</w:t>
      </w:r>
      <w:r w:rsidR="00505EB7">
        <w:rPr>
          <w:lang w:eastAsia="ja-JP"/>
        </w:rPr>
        <w:t>—</w:t>
      </w:r>
      <w:r w:rsidR="0073209D" w:rsidRPr="00F13F30">
        <w:rPr>
          <w:lang w:eastAsia="ja-JP"/>
        </w:rPr>
        <w:t>including data collection and reporting systems</w:t>
      </w:r>
    </w:p>
    <w:p w14:paraId="47167867" w14:textId="46CB54EF" w:rsidR="007E3202" w:rsidRDefault="007E3202" w:rsidP="007E3202">
      <w:pPr>
        <w:rPr>
          <w:lang w:eastAsia="ja-JP"/>
        </w:rPr>
      </w:pPr>
      <w:r>
        <w:rPr>
          <w:lang w:eastAsia="ja-JP"/>
        </w:rPr>
        <w:t xml:space="preserve">The </w:t>
      </w:r>
      <w:r w:rsidR="007D6DC0">
        <w:rPr>
          <w:lang w:eastAsia="ja-JP"/>
        </w:rPr>
        <w:t xml:space="preserve">review panel </w:t>
      </w:r>
      <w:r>
        <w:rPr>
          <w:lang w:eastAsia="ja-JP"/>
        </w:rPr>
        <w:t xml:space="preserve">also considered where internal administrative and program management changes are required to best achieve program objectives, client outcomes, funding value for money and alignment with broader </w:t>
      </w:r>
      <w:r w:rsidR="00536984">
        <w:rPr>
          <w:lang w:eastAsia="ja-JP"/>
        </w:rPr>
        <w:t xml:space="preserve">Australian Government </w:t>
      </w:r>
      <w:r>
        <w:rPr>
          <w:lang w:eastAsia="ja-JP"/>
        </w:rPr>
        <w:t>rural support policy.</w:t>
      </w:r>
    </w:p>
    <w:p w14:paraId="7081A626" w14:textId="018630C4" w:rsidR="007E3202" w:rsidRPr="00803540" w:rsidRDefault="009322D0" w:rsidP="00B10D6E">
      <w:pPr>
        <w:rPr>
          <w:lang w:eastAsia="ja-JP"/>
        </w:rPr>
      </w:pPr>
      <w:r>
        <w:rPr>
          <w:lang w:eastAsia="ja-JP"/>
        </w:rPr>
        <w:t>The review did not include:</w:t>
      </w:r>
    </w:p>
    <w:p w14:paraId="38CFE7BB" w14:textId="14097DD0" w:rsidR="007E3202" w:rsidRDefault="009322D0" w:rsidP="007E3202">
      <w:pPr>
        <w:pStyle w:val="ListBullet"/>
        <w:rPr>
          <w:lang w:eastAsia="ja-JP"/>
        </w:rPr>
      </w:pPr>
      <w:r>
        <w:rPr>
          <w:lang w:eastAsia="ja-JP"/>
        </w:rPr>
        <w:t>an a</w:t>
      </w:r>
      <w:r w:rsidR="007E3202">
        <w:rPr>
          <w:lang w:eastAsia="ja-JP"/>
        </w:rPr>
        <w:t>ssessment of the overall need for, or satisfaction levels of, the service</w:t>
      </w:r>
    </w:p>
    <w:p w14:paraId="1AF9C861" w14:textId="313797EE" w:rsidR="007E3202" w:rsidRDefault="009322D0" w:rsidP="007E3202">
      <w:pPr>
        <w:pStyle w:val="ListBullet"/>
        <w:rPr>
          <w:lang w:eastAsia="ja-JP"/>
        </w:rPr>
      </w:pPr>
      <w:proofErr w:type="gramStart"/>
      <w:r>
        <w:rPr>
          <w:lang w:eastAsia="ja-JP"/>
        </w:rPr>
        <w:t>c</w:t>
      </w:r>
      <w:r w:rsidR="007E3202">
        <w:rPr>
          <w:lang w:eastAsia="ja-JP"/>
        </w:rPr>
        <w:t>onsideration</w:t>
      </w:r>
      <w:proofErr w:type="gramEnd"/>
      <w:r w:rsidR="007E3202">
        <w:rPr>
          <w:lang w:eastAsia="ja-JP"/>
        </w:rPr>
        <w:t xml:space="preserve"> of services or funding in the financial counselling sector outside rural Australia</w:t>
      </w:r>
      <w:r>
        <w:rPr>
          <w:lang w:eastAsia="ja-JP"/>
        </w:rPr>
        <w:t>.</w:t>
      </w:r>
    </w:p>
    <w:p w14:paraId="3C092D2A" w14:textId="07935D19" w:rsidR="007E3202" w:rsidRDefault="007E3202" w:rsidP="00A34A7F">
      <w:pPr>
        <w:rPr>
          <w:lang w:eastAsia="ja-JP"/>
        </w:rPr>
      </w:pPr>
      <w:r>
        <w:rPr>
          <w:lang w:eastAsia="ja-JP"/>
        </w:rPr>
        <w:t xml:space="preserve">Outcomes and recommendations from this review </w:t>
      </w:r>
      <w:r w:rsidR="009322D0">
        <w:rPr>
          <w:lang w:eastAsia="ja-JP"/>
        </w:rPr>
        <w:t>will</w:t>
      </w:r>
      <w:r w:rsidR="0030028A">
        <w:rPr>
          <w:lang w:eastAsia="ja-JP"/>
        </w:rPr>
        <w:t xml:space="preserve"> </w:t>
      </w:r>
      <w:r>
        <w:rPr>
          <w:lang w:eastAsia="ja-JP"/>
        </w:rPr>
        <w:t>inform the government</w:t>
      </w:r>
      <w:r w:rsidR="00736B18">
        <w:rPr>
          <w:lang w:eastAsia="ja-JP"/>
        </w:rPr>
        <w:t>'</w:t>
      </w:r>
      <w:r>
        <w:rPr>
          <w:lang w:eastAsia="ja-JP"/>
        </w:rPr>
        <w:t xml:space="preserve">s decisions on program design and funding arrangements for </w:t>
      </w:r>
      <w:r w:rsidR="009322D0">
        <w:rPr>
          <w:lang w:eastAsia="ja-JP"/>
        </w:rPr>
        <w:t xml:space="preserve">the </w:t>
      </w:r>
      <w:r>
        <w:rPr>
          <w:lang w:eastAsia="ja-JP"/>
        </w:rPr>
        <w:t xml:space="preserve">next </w:t>
      </w:r>
      <w:r w:rsidR="009322D0">
        <w:rPr>
          <w:lang w:eastAsia="ja-JP"/>
        </w:rPr>
        <w:t xml:space="preserve">RFCS </w:t>
      </w:r>
      <w:r>
        <w:rPr>
          <w:lang w:eastAsia="ja-JP"/>
        </w:rPr>
        <w:t>funding round</w:t>
      </w:r>
      <w:r w:rsidR="004B523F">
        <w:rPr>
          <w:lang w:eastAsia="ja-JP"/>
        </w:rPr>
        <w:t>.</w:t>
      </w:r>
    </w:p>
    <w:p w14:paraId="1EC4D3AC" w14:textId="77777777" w:rsidR="007E3202" w:rsidRDefault="007E3202">
      <w:pPr>
        <w:spacing w:before="0" w:after="0" w:line="240" w:lineRule="auto"/>
      </w:pPr>
      <w:r>
        <w:br w:type="page"/>
      </w:r>
    </w:p>
    <w:p w14:paraId="7FF91E42" w14:textId="25FAE71A" w:rsidR="007E3202" w:rsidRDefault="007E3202" w:rsidP="007E3202">
      <w:pPr>
        <w:pStyle w:val="Heading2"/>
      </w:pPr>
      <w:bookmarkStart w:id="8" w:name="_Toc18328840"/>
      <w:r>
        <w:lastRenderedPageBreak/>
        <w:t>Consultation</w:t>
      </w:r>
      <w:bookmarkEnd w:id="8"/>
    </w:p>
    <w:p w14:paraId="579A5A8C" w14:textId="77777777" w:rsidR="00517F4E" w:rsidRDefault="0073209D" w:rsidP="0073209D">
      <w:pPr>
        <w:rPr>
          <w:lang w:eastAsia="ja-JP"/>
        </w:rPr>
      </w:pPr>
      <w:r>
        <w:t xml:space="preserve">The </w:t>
      </w:r>
      <w:r>
        <w:rPr>
          <w:lang w:eastAsia="ja-JP"/>
        </w:rPr>
        <w:t xml:space="preserve">review included targeted and public consultation </w:t>
      </w:r>
      <w:r w:rsidR="007E3202">
        <w:rPr>
          <w:lang w:eastAsia="ja-JP"/>
        </w:rPr>
        <w:t>between</w:t>
      </w:r>
      <w:r>
        <w:rPr>
          <w:lang w:eastAsia="ja-JP"/>
        </w:rPr>
        <w:t xml:space="preserve"> April </w:t>
      </w:r>
      <w:r w:rsidR="007E3202">
        <w:rPr>
          <w:lang w:eastAsia="ja-JP"/>
        </w:rPr>
        <w:t>and June</w:t>
      </w:r>
      <w:r>
        <w:rPr>
          <w:lang w:eastAsia="ja-JP"/>
        </w:rPr>
        <w:t xml:space="preserve"> 2019. </w:t>
      </w:r>
      <w:r w:rsidR="00B83814">
        <w:rPr>
          <w:lang w:eastAsia="ja-JP"/>
        </w:rPr>
        <w:t xml:space="preserve">A discussion paper was provided to stakeholders and </w:t>
      </w:r>
      <w:r w:rsidR="00DA10D9">
        <w:rPr>
          <w:lang w:eastAsia="ja-JP"/>
        </w:rPr>
        <w:t xml:space="preserve">made publicly </w:t>
      </w:r>
      <w:r w:rsidR="00B83814">
        <w:rPr>
          <w:lang w:eastAsia="ja-JP"/>
        </w:rPr>
        <w:t>available to guide contributions to the review.</w:t>
      </w:r>
    </w:p>
    <w:p w14:paraId="5EE56EB0" w14:textId="15302FFE" w:rsidR="00517F4E" w:rsidRDefault="0073209D" w:rsidP="0073209D">
      <w:pPr>
        <w:rPr>
          <w:highlight w:val="yellow"/>
        </w:rPr>
      </w:pPr>
      <w:r>
        <w:rPr>
          <w:lang w:eastAsia="ja-JP"/>
        </w:rPr>
        <w:t xml:space="preserve">The review panel </w:t>
      </w:r>
      <w:r>
        <w:t xml:space="preserve">conducted face-to-face </w:t>
      </w:r>
      <w:r w:rsidR="004B523F">
        <w:t>meetings</w:t>
      </w:r>
      <w:r>
        <w:t xml:space="preserve"> with all current RFCS providers</w:t>
      </w:r>
      <w:r w:rsidR="008D12FD">
        <w:t>. The panel</w:t>
      </w:r>
      <w:r>
        <w:t xml:space="preserve"> talk</w:t>
      </w:r>
      <w:r w:rsidR="008D12FD">
        <w:t>ed</w:t>
      </w:r>
      <w:r>
        <w:t xml:space="preserve"> directly with counsellors</w:t>
      </w:r>
      <w:r w:rsidR="00FB0361">
        <w:t xml:space="preserve"> </w:t>
      </w:r>
      <w:r w:rsidR="004B523F">
        <w:t>and non</w:t>
      </w:r>
      <w:r w:rsidR="004B523F">
        <w:noBreakHyphen/>
      </w:r>
      <w:r>
        <w:t>executive staff</w:t>
      </w:r>
      <w:r w:rsidR="004B523F">
        <w:t>,</w:t>
      </w:r>
      <w:r>
        <w:t xml:space="preserve"> as well as boards and executive </w:t>
      </w:r>
      <w:r w:rsidRPr="00CC4F21">
        <w:t>officers. In most cases, providers e</w:t>
      </w:r>
      <w:r w:rsidR="004B523F">
        <w:t>ncouraged</w:t>
      </w:r>
      <w:r w:rsidRPr="00CC4F21">
        <w:t xml:space="preserve"> their staff to</w:t>
      </w:r>
      <w:r>
        <w:t xml:space="preserve"> contribute</w:t>
      </w:r>
      <w:r w:rsidR="00DA10D9">
        <w:t xml:space="preserve"> freely</w:t>
      </w:r>
      <w:r>
        <w:t xml:space="preserve"> and</w:t>
      </w:r>
      <w:r w:rsidRPr="00CC4F21">
        <w:t xml:space="preserve"> provide confidential feedback to the review.</w:t>
      </w:r>
    </w:p>
    <w:p w14:paraId="5E242EC4" w14:textId="77777777" w:rsidR="00C95782" w:rsidRDefault="00D702F3" w:rsidP="0073209D">
      <w:r>
        <w:t>The review panel also consulted</w:t>
      </w:r>
      <w:r w:rsidR="00C95782">
        <w:t>:</w:t>
      </w:r>
    </w:p>
    <w:p w14:paraId="2A36959E" w14:textId="74ADDE2A" w:rsidR="00C95782" w:rsidRDefault="00D702F3" w:rsidP="00AB0BAE">
      <w:pPr>
        <w:pStyle w:val="ListBullet"/>
      </w:pPr>
      <w:r>
        <w:t>s</w:t>
      </w:r>
      <w:r w:rsidR="004B523F">
        <w:t>tate and territory governments</w:t>
      </w:r>
    </w:p>
    <w:p w14:paraId="7DABB010" w14:textId="1B60DD69" w:rsidR="00C95782" w:rsidRDefault="004B523F" w:rsidP="00AB0BAE">
      <w:pPr>
        <w:pStyle w:val="ListBullet"/>
      </w:pPr>
      <w:r>
        <w:t xml:space="preserve">other stakeholders, including </w:t>
      </w:r>
      <w:r w:rsidR="0073209D" w:rsidRPr="00BF2E79">
        <w:t xml:space="preserve">peak </w:t>
      </w:r>
      <w:r w:rsidR="00BF2E79" w:rsidRPr="00BF2E79">
        <w:t>bodies such as the National Farmers</w:t>
      </w:r>
      <w:r w:rsidR="00736B18">
        <w:t>'</w:t>
      </w:r>
      <w:r>
        <w:t xml:space="preserve"> Federation and </w:t>
      </w:r>
      <w:proofErr w:type="spellStart"/>
      <w:r>
        <w:t>F</w:t>
      </w:r>
      <w:r w:rsidR="007D6DC0">
        <w:t>CA</w:t>
      </w:r>
      <w:proofErr w:type="spellEnd"/>
    </w:p>
    <w:p w14:paraId="315F4D95" w14:textId="742C2716" w:rsidR="00C95782" w:rsidRDefault="00C95782" w:rsidP="00AB0BAE">
      <w:pPr>
        <w:pStyle w:val="ListBullet"/>
      </w:pPr>
      <w:r>
        <w:t xml:space="preserve">within the </w:t>
      </w:r>
      <w:r w:rsidR="0073209D" w:rsidRPr="00BF2E79">
        <w:t>department</w:t>
      </w:r>
    </w:p>
    <w:p w14:paraId="28DE4A75" w14:textId="0CC9EB66" w:rsidR="0073209D" w:rsidRDefault="00C95782" w:rsidP="00AB0BAE">
      <w:pPr>
        <w:pStyle w:val="ListBullet"/>
      </w:pPr>
      <w:proofErr w:type="gramStart"/>
      <w:r>
        <w:t>other</w:t>
      </w:r>
      <w:proofErr w:type="gramEnd"/>
      <w:r>
        <w:t xml:space="preserve"> </w:t>
      </w:r>
      <w:r w:rsidR="0073209D" w:rsidRPr="00BF2E79">
        <w:t xml:space="preserve">Australian </w:t>
      </w:r>
      <w:r>
        <w:t>G</w:t>
      </w:r>
      <w:r w:rsidR="0073209D" w:rsidRPr="00BF2E79">
        <w:t>overnment</w:t>
      </w:r>
      <w:r>
        <w:t xml:space="preserve"> departments</w:t>
      </w:r>
      <w:r w:rsidR="0073209D" w:rsidRPr="00BF2E79">
        <w:t>.</w:t>
      </w:r>
    </w:p>
    <w:p w14:paraId="45026B62" w14:textId="40E88034" w:rsidR="00517F4E" w:rsidRDefault="0073209D" w:rsidP="0073209D">
      <w:r w:rsidRPr="00BA68B3">
        <w:rPr>
          <w:lang w:eastAsia="ja-JP"/>
        </w:rPr>
        <w:t xml:space="preserve">Written submissions were encouraged using the </w:t>
      </w:r>
      <w:proofErr w:type="spellStart"/>
      <w:r w:rsidRPr="00BA68B3">
        <w:rPr>
          <w:lang w:eastAsia="ja-JP"/>
        </w:rPr>
        <w:t>department</w:t>
      </w:r>
      <w:r w:rsidR="00736B18">
        <w:rPr>
          <w:lang w:eastAsia="ja-JP"/>
        </w:rPr>
        <w:t>'</w:t>
      </w:r>
      <w:r w:rsidR="004B523F" w:rsidRPr="00BA68B3">
        <w:rPr>
          <w:lang w:eastAsia="ja-JP"/>
        </w:rPr>
        <w:t>s</w:t>
      </w:r>
      <w:proofErr w:type="spellEnd"/>
      <w:r w:rsidR="004B523F" w:rsidRPr="00BA68B3">
        <w:rPr>
          <w:lang w:eastAsia="ja-JP"/>
        </w:rPr>
        <w:t xml:space="preserve"> </w:t>
      </w:r>
      <w:r w:rsidR="004B523F" w:rsidRPr="00014F8B">
        <w:t>Have Your Say</w:t>
      </w:r>
      <w:r w:rsidRPr="00BA68B3">
        <w:t xml:space="preserve"> web</w:t>
      </w:r>
      <w:r w:rsidR="00C95782">
        <w:t xml:space="preserve"> </w:t>
      </w:r>
      <w:r w:rsidRPr="00BA68B3">
        <w:t xml:space="preserve">page. </w:t>
      </w:r>
      <w:r w:rsidR="006C15B0" w:rsidRPr="00BA68B3">
        <w:t>Most service p</w:t>
      </w:r>
      <w:r w:rsidR="00005632" w:rsidRPr="00BA68B3">
        <w:t xml:space="preserve">roviders </w:t>
      </w:r>
      <w:r w:rsidR="004B523F" w:rsidRPr="00BA68B3">
        <w:t>made</w:t>
      </w:r>
      <w:r w:rsidR="00005632" w:rsidRPr="00BA68B3">
        <w:t xml:space="preserve"> </w:t>
      </w:r>
      <w:r w:rsidR="007E3202" w:rsidRPr="00BA68B3">
        <w:t xml:space="preserve">written </w:t>
      </w:r>
      <w:r w:rsidR="00005632" w:rsidRPr="00BA68B3">
        <w:t>submission</w:t>
      </w:r>
      <w:r w:rsidR="00AB0BAE">
        <w:t>s</w:t>
      </w:r>
      <w:r w:rsidR="004B523F" w:rsidRPr="00BA68B3">
        <w:t>,</w:t>
      </w:r>
      <w:r w:rsidR="00005632" w:rsidRPr="00BA68B3">
        <w:t xml:space="preserve"> as </w:t>
      </w:r>
      <w:r w:rsidR="00AB0BAE">
        <w:t>did</w:t>
      </w:r>
      <w:r w:rsidR="00005632" w:rsidRPr="00BA68B3">
        <w:t xml:space="preserve"> individual counsellors and clients.</w:t>
      </w:r>
      <w:r w:rsidR="004B523F" w:rsidRPr="00BA68B3">
        <w:t xml:space="preserve"> </w:t>
      </w:r>
      <w:r w:rsidR="00F66686">
        <w:t>F</w:t>
      </w:r>
      <w:r w:rsidR="007E3202" w:rsidRPr="00BA68B3">
        <w:t xml:space="preserve">eedback focused on the key themes outlined in the </w:t>
      </w:r>
      <w:r w:rsidR="003D2824" w:rsidRPr="00BA68B3">
        <w:t>review d</w:t>
      </w:r>
      <w:r w:rsidR="007E3202" w:rsidRPr="00BA68B3">
        <w:t>iscussion paper</w:t>
      </w:r>
      <w:r w:rsidR="009C1B62">
        <w:t>. H</w:t>
      </w:r>
      <w:r w:rsidR="00F66686">
        <w:t>owever</w:t>
      </w:r>
      <w:r w:rsidR="007E3202" w:rsidRPr="00BA68B3">
        <w:t xml:space="preserve">, the review panel also received </w:t>
      </w:r>
      <w:r w:rsidR="003D2824" w:rsidRPr="00BA68B3">
        <w:t xml:space="preserve">feedback </w:t>
      </w:r>
      <w:r w:rsidR="006A6DAA" w:rsidRPr="00BA68B3">
        <w:t>on a range of related matters</w:t>
      </w:r>
      <w:r w:rsidR="00F66686">
        <w:t>—</w:t>
      </w:r>
      <w:r w:rsidR="006A6DAA" w:rsidRPr="00BA68B3">
        <w:t xml:space="preserve">such as internal workplace conditions and general drought policy. </w:t>
      </w:r>
      <w:r w:rsidR="00F66686">
        <w:t>T</w:t>
      </w:r>
      <w:r w:rsidR="006A6DAA" w:rsidRPr="00BA68B3">
        <w:t xml:space="preserve">his feedback was outside the scope of this review </w:t>
      </w:r>
      <w:r w:rsidR="00F66686">
        <w:t xml:space="preserve">but </w:t>
      </w:r>
      <w:r w:rsidR="006A6DAA" w:rsidRPr="00BA68B3">
        <w:t>the panel has noted the feedback.</w:t>
      </w:r>
    </w:p>
    <w:p w14:paraId="562036D1" w14:textId="26EB3502" w:rsidR="00517F4E" w:rsidRDefault="00CC66DF" w:rsidP="00CC66DF">
      <w:pPr>
        <w:rPr>
          <w:lang w:eastAsia="ja-JP"/>
        </w:rPr>
      </w:pPr>
      <w:r>
        <w:rPr>
          <w:lang w:eastAsia="ja-JP"/>
        </w:rPr>
        <w:t xml:space="preserve">In total, the review panel spoke with </w:t>
      </w:r>
      <w:r w:rsidRPr="006A6DAA">
        <w:rPr>
          <w:lang w:eastAsia="ja-JP"/>
        </w:rPr>
        <w:t xml:space="preserve">approximately </w:t>
      </w:r>
      <w:r w:rsidRPr="00BA68B3">
        <w:rPr>
          <w:lang w:eastAsia="ja-JP"/>
        </w:rPr>
        <w:t>1</w:t>
      </w:r>
      <w:r w:rsidR="00EC1A65">
        <w:rPr>
          <w:lang w:eastAsia="ja-JP"/>
        </w:rPr>
        <w:t>50</w:t>
      </w:r>
      <w:r w:rsidRPr="00BA68B3">
        <w:rPr>
          <w:lang w:eastAsia="ja-JP"/>
        </w:rPr>
        <w:t xml:space="preserve"> </w:t>
      </w:r>
      <w:r w:rsidRPr="006A6DAA">
        <w:rPr>
          <w:lang w:eastAsia="ja-JP"/>
        </w:rPr>
        <w:t>individuals</w:t>
      </w:r>
      <w:r>
        <w:rPr>
          <w:lang w:eastAsia="ja-JP"/>
        </w:rPr>
        <w:t xml:space="preserve"> and received 34 written submissions.</w:t>
      </w:r>
    </w:p>
    <w:p w14:paraId="2AD25B4A" w14:textId="6C70749C" w:rsidR="003D2824" w:rsidRDefault="00A410A0" w:rsidP="0073209D">
      <w:r w:rsidRPr="00BA68B3">
        <w:t xml:space="preserve">All stakeholders were positive about the </w:t>
      </w:r>
      <w:r w:rsidR="004B523F" w:rsidRPr="00BA68B3">
        <w:t xml:space="preserve">contribution </w:t>
      </w:r>
      <w:r w:rsidRPr="00BA68B3">
        <w:t xml:space="preserve">the RFCS program </w:t>
      </w:r>
      <w:r w:rsidR="004B523F" w:rsidRPr="00BA68B3">
        <w:t xml:space="preserve">makes </w:t>
      </w:r>
      <w:r w:rsidRPr="00BA68B3">
        <w:t>to</w:t>
      </w:r>
      <w:r w:rsidR="004B523F" w:rsidRPr="00BA68B3">
        <w:t xml:space="preserve"> individual clients, as well as</w:t>
      </w:r>
      <w:r w:rsidRPr="00BA68B3">
        <w:t xml:space="preserve"> </w:t>
      </w:r>
      <w:r w:rsidR="00F66686">
        <w:t xml:space="preserve">to </w:t>
      </w:r>
      <w:r w:rsidRPr="00BA68B3">
        <w:t xml:space="preserve">rural and regional </w:t>
      </w:r>
      <w:r w:rsidR="004B523F" w:rsidRPr="00BA68B3">
        <w:t>communities</w:t>
      </w:r>
      <w:r w:rsidRPr="00BA68B3">
        <w:t>.</w:t>
      </w:r>
    </w:p>
    <w:p w14:paraId="4A859CF6" w14:textId="3D4670AD" w:rsidR="00837CEC" w:rsidRDefault="009863C8" w:rsidP="007C35CE">
      <w:pPr>
        <w:pStyle w:val="Heading2"/>
      </w:pPr>
      <w:bookmarkStart w:id="9" w:name="_Toc430782150"/>
      <w:bookmarkStart w:id="10" w:name="_Toc18328841"/>
      <w:r w:rsidRPr="007C35CE">
        <w:lastRenderedPageBreak/>
        <w:t>Introduction</w:t>
      </w:r>
      <w:bookmarkEnd w:id="9"/>
      <w:bookmarkEnd w:id="10"/>
    </w:p>
    <w:p w14:paraId="4A859CF7" w14:textId="5337610B" w:rsidR="00837CEC" w:rsidRDefault="00A71ACA">
      <w:r>
        <w:t>For more than 35 years</w:t>
      </w:r>
      <w:r w:rsidR="00297067">
        <w:t xml:space="preserve">, the </w:t>
      </w:r>
      <w:r>
        <w:t xml:space="preserve">RFCS has </w:t>
      </w:r>
      <w:r w:rsidR="00297067">
        <w:t>provide</w:t>
      </w:r>
      <w:r>
        <w:t>d</w:t>
      </w:r>
      <w:r w:rsidR="00297067">
        <w:t xml:space="preserve"> free financial counselling to Australia</w:t>
      </w:r>
      <w:r w:rsidR="00736B18">
        <w:t>'</w:t>
      </w:r>
      <w:r w:rsidR="00297067">
        <w:t>s farmers, fishing enterprises, forestry growers and harvesters</w:t>
      </w:r>
      <w:r w:rsidR="00BA68B3">
        <w:t>,</w:t>
      </w:r>
      <w:r w:rsidR="00297067">
        <w:t xml:space="preserve"> and small, related businesses in</w:t>
      </w:r>
      <w:r w:rsidR="00F66686">
        <w:t>—</w:t>
      </w:r>
      <w:r w:rsidR="00B57975">
        <w:t xml:space="preserve">or at </w:t>
      </w:r>
      <w:r w:rsidR="00A63F63" w:rsidRPr="00BF2E79">
        <w:t>imminent</w:t>
      </w:r>
      <w:r w:rsidR="00A63F63">
        <w:t xml:space="preserve"> </w:t>
      </w:r>
      <w:r w:rsidR="00B57975">
        <w:t>risk of</w:t>
      </w:r>
      <w:r w:rsidR="00F66686">
        <w:t>—</w:t>
      </w:r>
      <w:r w:rsidR="00297067">
        <w:t>financial hardship.</w:t>
      </w:r>
      <w:r w:rsidR="00707578">
        <w:t xml:space="preserve"> The program was created in response to increased financial difficulties across the rural sector</w:t>
      </w:r>
      <w:r w:rsidR="00F66686">
        <w:t>, such as</w:t>
      </w:r>
      <w:r w:rsidR="00707578">
        <w:t xml:space="preserve"> </w:t>
      </w:r>
      <w:r w:rsidR="00C7067A">
        <w:t>the compounding</w:t>
      </w:r>
      <w:r w:rsidR="00707578">
        <w:t xml:space="preserve"> effects of high interest rates, the deregulation of the financial sector, drought and depressed commodity prices</w:t>
      </w:r>
      <w:r w:rsidR="00C7067A">
        <w:t>.</w:t>
      </w:r>
    </w:p>
    <w:p w14:paraId="3DC267B5" w14:textId="77777777" w:rsidR="00517F4E" w:rsidRDefault="002B427C">
      <w:r>
        <w:t xml:space="preserve">The objective of the RFCS program is to assist clients </w:t>
      </w:r>
      <w:r w:rsidR="009F19FF">
        <w:t>to understand</w:t>
      </w:r>
      <w:r>
        <w:t xml:space="preserve"> their financial position and the viability of their enterprise, and to develop and implement plans to become financially self-</w:t>
      </w:r>
      <w:r w:rsidR="009F19FF">
        <w:t>s</w:t>
      </w:r>
      <w:r>
        <w:t xml:space="preserve">ufficient. This assistance </w:t>
      </w:r>
      <w:r w:rsidR="006B4316">
        <w:t xml:space="preserve">is expected to help </w:t>
      </w:r>
      <w:r>
        <w:t>businesses become more resilient to risks, or to take steps to exit the industry</w:t>
      </w:r>
      <w:r w:rsidR="00583E08">
        <w:t xml:space="preserve"> with dignity</w:t>
      </w:r>
      <w:r>
        <w:t xml:space="preserve"> if long-term viability is not achievable.</w:t>
      </w:r>
    </w:p>
    <w:p w14:paraId="423924D1" w14:textId="33BA0AFB" w:rsidR="00517F4E" w:rsidRDefault="002B427C">
      <w:r>
        <w:t>The RFCS</w:t>
      </w:r>
      <w:r w:rsidR="00DB10CF">
        <w:t xml:space="preserve"> </w:t>
      </w:r>
      <w:r w:rsidR="00EC36F1">
        <w:t xml:space="preserve">is </w:t>
      </w:r>
      <w:r w:rsidR="00DB10CF">
        <w:rPr>
          <w:lang w:eastAsia="ja-JP"/>
        </w:rPr>
        <w:t>an ongoing Australian Governme</w:t>
      </w:r>
      <w:r w:rsidR="00F13F30">
        <w:rPr>
          <w:lang w:eastAsia="ja-JP"/>
        </w:rPr>
        <w:t xml:space="preserve">nt program, </w:t>
      </w:r>
      <w:r w:rsidR="00F13F30" w:rsidRPr="00F13F30">
        <w:rPr>
          <w:lang w:eastAsia="ja-JP"/>
        </w:rPr>
        <w:t>administered by the department</w:t>
      </w:r>
      <w:r w:rsidR="00DB10CF" w:rsidRPr="00F13F30">
        <w:rPr>
          <w:lang w:eastAsia="ja-JP"/>
        </w:rPr>
        <w:t>. It</w:t>
      </w:r>
      <w:r w:rsidR="00DB10CF">
        <w:rPr>
          <w:lang w:eastAsia="ja-JP"/>
        </w:rPr>
        <w:t xml:space="preserve"> </w:t>
      </w:r>
      <w:r>
        <w:t xml:space="preserve">is principally funded by the </w:t>
      </w:r>
      <w:r w:rsidR="00DB10CF">
        <w:t>Australian Government</w:t>
      </w:r>
      <w:r>
        <w:t xml:space="preserve">, with additional funding provided by the </w:t>
      </w:r>
      <w:r w:rsidR="00DB10CF">
        <w:t xml:space="preserve">states </w:t>
      </w:r>
      <w:r>
        <w:t xml:space="preserve">and </w:t>
      </w:r>
      <w:r w:rsidR="00DB10CF">
        <w:t xml:space="preserve">territories </w:t>
      </w:r>
      <w:r>
        <w:t>for their respective services.</w:t>
      </w:r>
    </w:p>
    <w:p w14:paraId="123CFD0F" w14:textId="44CC783B" w:rsidR="00517F4E" w:rsidRDefault="00DB10CF" w:rsidP="00496903">
      <w:r>
        <w:t xml:space="preserve">The program has </w:t>
      </w:r>
      <w:r w:rsidRPr="00014F8B">
        <w:t xml:space="preserve">existed since 1986 </w:t>
      </w:r>
      <w:r w:rsidR="00EC36F1" w:rsidRPr="00014F8B">
        <w:t xml:space="preserve">in </w:t>
      </w:r>
      <w:r w:rsidRPr="00014F8B">
        <w:t>various forms</w:t>
      </w:r>
      <w:r>
        <w:t>. Funding rounds and approaches have been reviewed continually</w:t>
      </w:r>
      <w:r w:rsidR="00CA551F">
        <w:t>. These reviews have focused on</w:t>
      </w:r>
      <w:r>
        <w:t xml:space="preserve"> improv</w:t>
      </w:r>
      <w:r w:rsidR="00CA551F">
        <w:t>ing</w:t>
      </w:r>
      <w:r>
        <w:t xml:space="preserve"> the performance of the program and </w:t>
      </w:r>
      <w:r w:rsidR="00C7067A">
        <w:t>driv</w:t>
      </w:r>
      <w:r w:rsidR="00CA551F">
        <w:t>ing</w:t>
      </w:r>
      <w:r w:rsidR="00C7067A">
        <w:t xml:space="preserve"> efficiencies</w:t>
      </w:r>
      <w:r w:rsidR="00CA551F">
        <w:t>,</w:t>
      </w:r>
      <w:r w:rsidR="00C7067A">
        <w:t xml:space="preserve"> </w:t>
      </w:r>
      <w:r w:rsidR="00CA551F">
        <w:t xml:space="preserve">to </w:t>
      </w:r>
      <w:r w:rsidR="00C7067A">
        <w:t>support the agricultural sector in times of stress.</w:t>
      </w:r>
      <w:bookmarkStart w:id="11" w:name="_Toc7440594"/>
      <w:bookmarkEnd w:id="11"/>
    </w:p>
    <w:p w14:paraId="69BD0708" w14:textId="164D9C0C" w:rsidR="00BF2E79" w:rsidRPr="00BF2E79" w:rsidRDefault="00A41319" w:rsidP="00BF2E79">
      <w:pPr>
        <w:pStyle w:val="Heading3"/>
      </w:pPr>
      <w:bookmarkStart w:id="12" w:name="_Toc18328842"/>
      <w:r>
        <w:t>Snapshot of the</w:t>
      </w:r>
      <w:r w:rsidR="00F2474B">
        <w:t xml:space="preserve"> </w:t>
      </w:r>
      <w:r w:rsidR="001E3132">
        <w:t>2016 to 2020</w:t>
      </w:r>
      <w:r w:rsidR="00F13F30">
        <w:t xml:space="preserve"> </w:t>
      </w:r>
      <w:r w:rsidR="00195ECB">
        <w:t xml:space="preserve">RFCS </w:t>
      </w:r>
      <w:r w:rsidR="00496903">
        <w:t>p</w:t>
      </w:r>
      <w:r w:rsidR="00195ECB">
        <w:t>rogram</w:t>
      </w:r>
      <w:bookmarkEnd w:id="12"/>
    </w:p>
    <w:p w14:paraId="46BF5C08" w14:textId="732D393C" w:rsidR="00517F4E" w:rsidRDefault="002D2F2F" w:rsidP="00F2474B">
      <w:pPr>
        <w:pStyle w:val="Heading4"/>
      </w:pPr>
      <w:r>
        <w:t xml:space="preserve">RFCS </w:t>
      </w:r>
      <w:r w:rsidR="00CA551F">
        <w:t>p</w:t>
      </w:r>
      <w:r>
        <w:t>roviders</w:t>
      </w:r>
    </w:p>
    <w:p w14:paraId="7D145F19" w14:textId="62354E93" w:rsidR="00517F4E" w:rsidRDefault="00FE199D" w:rsidP="002801E0">
      <w:r>
        <w:t xml:space="preserve">The RFCS is currently </w:t>
      </w:r>
      <w:r w:rsidR="00C26A17">
        <w:t xml:space="preserve">delivered by </w:t>
      </w:r>
      <w:r w:rsidR="00CD02E9">
        <w:t xml:space="preserve">12 </w:t>
      </w:r>
      <w:r w:rsidR="00C26A17">
        <w:t>service providers</w:t>
      </w:r>
      <w:r w:rsidR="004E1DEE">
        <w:t>. Service regions</w:t>
      </w:r>
      <w:r w:rsidR="00C26A17">
        <w:t xml:space="preserve"> cover all </w:t>
      </w:r>
      <w:r w:rsidR="000659BD">
        <w:t xml:space="preserve">states </w:t>
      </w:r>
      <w:r w:rsidR="00C26A17">
        <w:t xml:space="preserve">and </w:t>
      </w:r>
      <w:r w:rsidR="000659BD">
        <w:t xml:space="preserve">territories </w:t>
      </w:r>
      <w:r w:rsidR="004E1DEE">
        <w:t>and are defined</w:t>
      </w:r>
      <w:r w:rsidR="00C2687A">
        <w:t xml:space="preserve"> by state boundaries or </w:t>
      </w:r>
      <w:r w:rsidR="00B10D6E">
        <w:t>l</w:t>
      </w:r>
      <w:r w:rsidR="00C2687A">
        <w:t xml:space="preserve">ocal </w:t>
      </w:r>
      <w:r w:rsidR="00B10D6E">
        <w:t>g</w:t>
      </w:r>
      <w:r w:rsidR="00C2687A">
        <w:t xml:space="preserve">overnment </w:t>
      </w:r>
      <w:r w:rsidR="00B10D6E">
        <w:t>a</w:t>
      </w:r>
      <w:r w:rsidR="00C2687A">
        <w:t>reas (</w:t>
      </w:r>
      <w:proofErr w:type="spellStart"/>
      <w:r w:rsidR="00C2687A">
        <w:t>LGAs</w:t>
      </w:r>
      <w:proofErr w:type="spellEnd"/>
      <w:r w:rsidR="00C2687A">
        <w:t>) within a state</w:t>
      </w:r>
      <w:r w:rsidR="002801E0">
        <w:t xml:space="preserve"> (</w:t>
      </w:r>
      <w:r w:rsidR="00C97EC3">
        <w:fldChar w:fldCharType="begin" w:fldLock="1"/>
      </w:r>
      <w:r w:rsidR="00C97EC3">
        <w:instrText xml:space="preserve"> REF _Ref17201615 \h </w:instrText>
      </w:r>
      <w:r w:rsidR="00C97EC3">
        <w:fldChar w:fldCharType="separate"/>
      </w:r>
      <w:r w:rsidR="00474B0C">
        <w:t xml:space="preserve">Map </w:t>
      </w:r>
      <w:r w:rsidR="00474B0C">
        <w:rPr>
          <w:noProof/>
        </w:rPr>
        <w:t>1</w:t>
      </w:r>
      <w:r w:rsidR="00C97EC3">
        <w:fldChar w:fldCharType="end"/>
      </w:r>
      <w:r w:rsidR="002801E0">
        <w:t>)</w:t>
      </w:r>
      <w:r w:rsidR="007657D4">
        <w:t>.</w:t>
      </w:r>
    </w:p>
    <w:p w14:paraId="6BE4CBFB" w14:textId="2906D0B7" w:rsidR="002801E0" w:rsidRDefault="002801E0" w:rsidP="002801E0">
      <w:r>
        <w:t xml:space="preserve">The service providers are all not-for-profit organisations </w:t>
      </w:r>
      <w:r w:rsidR="00A07FC8">
        <w:t>that</w:t>
      </w:r>
      <w:r>
        <w:t xml:space="preserve"> successfully obtained a grant </w:t>
      </w:r>
      <w:r w:rsidR="00C97EC3">
        <w:t xml:space="preserve">to provide rural financial counselling services </w:t>
      </w:r>
      <w:r>
        <w:t>from the Australian Government following a competitive process. They are bound by a funding deed which sets out program</w:t>
      </w:r>
      <w:r w:rsidR="004E1DEE">
        <w:t xml:space="preserve"> </w:t>
      </w:r>
      <w:r>
        <w:t>requirements</w:t>
      </w:r>
      <w:r w:rsidR="00C97EC3">
        <w:t>,</w:t>
      </w:r>
      <w:r>
        <w:t xml:space="preserve"> consistent with the </w:t>
      </w:r>
      <w:r w:rsidR="00536984">
        <w:t>current</w:t>
      </w:r>
      <w:r w:rsidR="00F13F30">
        <w:t xml:space="preserve"> </w:t>
      </w:r>
      <w:r>
        <w:t>program guidelines.</w:t>
      </w:r>
    </w:p>
    <w:p w14:paraId="437240E3" w14:textId="6256C292" w:rsidR="002801E0" w:rsidRPr="00BF2E79" w:rsidRDefault="002801E0" w:rsidP="002801E0">
      <w:r>
        <w:t xml:space="preserve">There are approximately </w:t>
      </w:r>
      <w:r w:rsidRPr="001E10D1">
        <w:t>120 counsellors</w:t>
      </w:r>
      <w:r>
        <w:t xml:space="preserve"> employed by the 12 providers, with additional </w:t>
      </w:r>
      <w:r w:rsidR="004E1DEE">
        <w:t xml:space="preserve">client-facing and administrative </w:t>
      </w:r>
      <w:r w:rsidR="00C97EC3">
        <w:t>support staff</w:t>
      </w:r>
      <w:r w:rsidR="004E1DEE">
        <w:t>.</w:t>
      </w:r>
    </w:p>
    <w:p w14:paraId="05E6FAAF" w14:textId="6ECD0F3F" w:rsidR="00DE37A5" w:rsidRDefault="00B10D6E" w:rsidP="00B10D6E">
      <w:pPr>
        <w:pStyle w:val="Caption"/>
      </w:pPr>
      <w:bookmarkStart w:id="13" w:name="_Ref17201615"/>
      <w:bookmarkStart w:id="14" w:name="_Ref16607879"/>
      <w:bookmarkStart w:id="15" w:name="_Toc18328868"/>
      <w:r>
        <w:lastRenderedPageBreak/>
        <w:t xml:space="preserve">Map </w:t>
      </w:r>
      <w:r w:rsidR="0027293D">
        <w:rPr>
          <w:noProof/>
        </w:rPr>
        <w:fldChar w:fldCharType="begin" w:fldLock="1"/>
      </w:r>
      <w:r w:rsidR="0027293D">
        <w:rPr>
          <w:noProof/>
        </w:rPr>
        <w:instrText xml:space="preserve"> SEQ Map \* ARABIC </w:instrText>
      </w:r>
      <w:r w:rsidR="0027293D">
        <w:rPr>
          <w:noProof/>
        </w:rPr>
        <w:fldChar w:fldCharType="separate"/>
      </w:r>
      <w:r w:rsidR="00474B0C">
        <w:rPr>
          <w:noProof/>
        </w:rPr>
        <w:t>1</w:t>
      </w:r>
      <w:r w:rsidR="0027293D">
        <w:rPr>
          <w:noProof/>
        </w:rPr>
        <w:fldChar w:fldCharType="end"/>
      </w:r>
      <w:bookmarkEnd w:id="13"/>
      <w:r w:rsidR="00DE37A5">
        <w:t xml:space="preserve"> RFCS defined service regions</w:t>
      </w:r>
      <w:bookmarkEnd w:id="14"/>
      <w:bookmarkEnd w:id="15"/>
    </w:p>
    <w:p w14:paraId="34D1DC2C" w14:textId="0C619E16" w:rsidR="00BF2E79" w:rsidRDefault="004C24AF" w:rsidP="00C9282E">
      <w:pPr>
        <w:pStyle w:val="FigureTableNoteSource"/>
      </w:pPr>
      <w:r w:rsidRPr="004C24AF">
        <w:rPr>
          <w:noProof/>
          <w:lang w:eastAsia="en-AU"/>
        </w:rPr>
        <w:drawing>
          <wp:inline distT="0" distB="0" distL="0" distR="0" wp14:anchorId="308D4731" wp14:editId="6407A614">
            <wp:extent cx="5937250" cy="4156710"/>
            <wp:effectExtent l="0" t="0" r="6350" b="0"/>
            <wp:docPr id="8" name="Picture 8" descr="Shows RFCS service provider region boundaries by state: 1 region in Western Australia; 1 region covering South Australia and Northern Territory; 2 regions in Queensland; 3 regions in New South Wales; 4 regions in Victoria; and 1 region in Tasman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7250" cy="4156710"/>
                    </a:xfrm>
                    <a:prstGeom prst="rect">
                      <a:avLst/>
                    </a:prstGeom>
                    <a:noFill/>
                    <a:ln>
                      <a:noFill/>
                    </a:ln>
                  </pic:spPr>
                </pic:pic>
              </a:graphicData>
            </a:graphic>
          </wp:inline>
        </w:drawing>
      </w:r>
    </w:p>
    <w:p w14:paraId="138B7AAF" w14:textId="74A92C23" w:rsidR="004E5419" w:rsidRDefault="004E5419" w:rsidP="00C9282E">
      <w:pPr>
        <w:pStyle w:val="FigureTableNoteSource"/>
      </w:pPr>
      <w:r w:rsidRPr="00C9282E">
        <w:t>Source: Australian Bureau of Agricultural and Resource Econo</w:t>
      </w:r>
      <w:r w:rsidR="00C9282E">
        <w:t>mics and Sciences</w:t>
      </w:r>
    </w:p>
    <w:p w14:paraId="0B07EF19" w14:textId="77777777" w:rsidR="00517F4E" w:rsidRDefault="00610598" w:rsidP="00F2474B">
      <w:pPr>
        <w:pStyle w:val="Heading4"/>
      </w:pPr>
      <w:r>
        <w:t>Funding</w:t>
      </w:r>
    </w:p>
    <w:p w14:paraId="364AF568" w14:textId="15AFF8E0" w:rsidR="00517F4E" w:rsidRDefault="003F3CEC">
      <w:r>
        <w:t xml:space="preserve">By </w:t>
      </w:r>
      <w:r w:rsidR="00FC5203">
        <w:t xml:space="preserve">30 June 2020 the Australian Government </w:t>
      </w:r>
      <w:r w:rsidR="00F2474B">
        <w:t xml:space="preserve">will </w:t>
      </w:r>
      <w:r w:rsidR="00C97EC3">
        <w:t xml:space="preserve">have </w:t>
      </w:r>
      <w:r w:rsidR="00FC5203">
        <w:t>allocated more than $77</w:t>
      </w:r>
      <w:r w:rsidR="00A236A3">
        <w:t> </w:t>
      </w:r>
      <w:r w:rsidR="00FC5203">
        <w:t xml:space="preserve">million to the </w:t>
      </w:r>
      <w:r>
        <w:t xml:space="preserve">2016 to 2020 </w:t>
      </w:r>
      <w:r w:rsidR="00FC5203">
        <w:t xml:space="preserve">RFCS program. </w:t>
      </w:r>
      <w:r w:rsidR="00A07FC8">
        <w:t>A</w:t>
      </w:r>
      <w:r w:rsidR="008B4D06">
        <w:t>t 30</w:t>
      </w:r>
      <w:r w:rsidR="00A236A3">
        <w:t> </w:t>
      </w:r>
      <w:r w:rsidR="008B4D06">
        <w:t xml:space="preserve">June 2019, </w:t>
      </w:r>
      <w:r w:rsidR="00610598" w:rsidRPr="00331133">
        <w:t>$76.2</w:t>
      </w:r>
      <w:r w:rsidR="00A236A3">
        <w:t> </w:t>
      </w:r>
      <w:r w:rsidR="00610598" w:rsidRPr="00331133">
        <w:t>million</w:t>
      </w:r>
      <w:r w:rsidR="00610598">
        <w:t xml:space="preserve"> ha</w:t>
      </w:r>
      <w:r w:rsidR="00C97EC3">
        <w:t>d</w:t>
      </w:r>
      <w:r w:rsidR="00610598">
        <w:t xml:space="preserve"> been</w:t>
      </w:r>
      <w:r w:rsidR="00C97EC3">
        <w:t xml:space="preserve"> allocated</w:t>
      </w:r>
      <w:r w:rsidR="007C43E0">
        <w:t xml:space="preserve"> (</w:t>
      </w:r>
      <w:r w:rsidR="007C43E0">
        <w:fldChar w:fldCharType="begin" w:fldLock="1"/>
      </w:r>
      <w:r w:rsidR="007C43E0">
        <w:instrText xml:space="preserve"> REF _Ref17202366 \h </w:instrText>
      </w:r>
      <w:r w:rsidR="007C43E0">
        <w:fldChar w:fldCharType="separate"/>
      </w:r>
      <w:r w:rsidR="00474B0C">
        <w:t xml:space="preserve">Table </w:t>
      </w:r>
      <w:r w:rsidR="00474B0C">
        <w:rPr>
          <w:noProof/>
        </w:rPr>
        <w:t>1</w:t>
      </w:r>
      <w:r w:rsidR="007C43E0">
        <w:fldChar w:fldCharType="end"/>
      </w:r>
      <w:r w:rsidR="007C43E0">
        <w:t>)</w:t>
      </w:r>
      <w:r w:rsidR="00610598">
        <w:t xml:space="preserve">. </w:t>
      </w:r>
      <w:r w:rsidR="00FC5203">
        <w:t xml:space="preserve">The funding is </w:t>
      </w:r>
      <w:r w:rsidR="003D2824">
        <w:t>provided</w:t>
      </w:r>
      <w:r w:rsidR="00FC5203">
        <w:t xml:space="preserve"> through a mix of </w:t>
      </w:r>
      <w:r w:rsidR="00186655">
        <w:t>core program funding</w:t>
      </w:r>
      <w:r w:rsidR="00FC5203">
        <w:t xml:space="preserve"> and contingency funding. </w:t>
      </w:r>
      <w:r w:rsidR="000D3713">
        <w:t xml:space="preserve">Consistent with </w:t>
      </w:r>
      <w:r w:rsidR="00C97EC3">
        <w:t xml:space="preserve">the recommendations of the </w:t>
      </w:r>
      <w:r w:rsidR="00F2474B">
        <w:t xml:space="preserve">2014 </w:t>
      </w:r>
      <w:r w:rsidR="002D2F2F">
        <w:t xml:space="preserve">National Rural Advisory Council </w:t>
      </w:r>
      <w:r w:rsidR="00F2474B" w:rsidRPr="00F2474B">
        <w:t>(</w:t>
      </w:r>
      <w:proofErr w:type="spellStart"/>
      <w:r w:rsidR="000D3713" w:rsidRPr="00F2474B">
        <w:t>NRAC</w:t>
      </w:r>
      <w:proofErr w:type="spellEnd"/>
      <w:r w:rsidR="00F2474B" w:rsidRPr="00F2474B">
        <w:t>)</w:t>
      </w:r>
      <w:r w:rsidR="00496903">
        <w:t xml:space="preserve"> review</w:t>
      </w:r>
      <w:r w:rsidR="000D3713">
        <w:t>,</w:t>
      </w:r>
      <w:r w:rsidR="003B470A">
        <w:t xml:space="preserve"> </w:t>
      </w:r>
      <w:r w:rsidR="00FC5203">
        <w:t xml:space="preserve">contingency funding is </w:t>
      </w:r>
      <w:r w:rsidR="000D3713">
        <w:t xml:space="preserve">used </w:t>
      </w:r>
      <w:r w:rsidR="00FC5203">
        <w:t xml:space="preserve">to provide </w:t>
      </w:r>
      <w:r w:rsidR="000D3713">
        <w:t>government</w:t>
      </w:r>
      <w:r w:rsidR="00FC5203">
        <w:t xml:space="preserve"> with funding flexibility</w:t>
      </w:r>
      <w:r w:rsidR="00C97EC3">
        <w:t xml:space="preserve"> and</w:t>
      </w:r>
      <w:r w:rsidR="00FC5203">
        <w:t xml:space="preserve"> allow</w:t>
      </w:r>
      <w:r w:rsidR="00C97EC3">
        <w:t>s</w:t>
      </w:r>
      <w:r w:rsidR="00FC5203">
        <w:t xml:space="preserve"> additional funds to be provided to </w:t>
      </w:r>
      <w:r w:rsidR="003B4923">
        <w:t>the RFCS</w:t>
      </w:r>
      <w:r w:rsidR="003779BB">
        <w:t xml:space="preserve"> as needed</w:t>
      </w:r>
      <w:r w:rsidR="00FC5203">
        <w:t>.</w:t>
      </w:r>
    </w:p>
    <w:p w14:paraId="7607CF7E" w14:textId="4C9940D9" w:rsidR="00DA0FF2" w:rsidRDefault="00296221" w:rsidP="00296221">
      <w:pPr>
        <w:pStyle w:val="Caption"/>
      </w:pPr>
      <w:bookmarkStart w:id="16" w:name="_Ref17202366"/>
      <w:bookmarkStart w:id="17" w:name="_Toc18320668"/>
      <w:bookmarkStart w:id="18" w:name="_Toc13501557"/>
      <w:r>
        <w:t xml:space="preserve">Table </w:t>
      </w:r>
      <w:r w:rsidR="001E3132">
        <w:rPr>
          <w:noProof/>
        </w:rPr>
        <w:fldChar w:fldCharType="begin" w:fldLock="1"/>
      </w:r>
      <w:r w:rsidR="001E3132">
        <w:rPr>
          <w:noProof/>
        </w:rPr>
        <w:instrText xml:space="preserve"> SEQ Table \* ARABIC </w:instrText>
      </w:r>
      <w:r w:rsidR="001E3132">
        <w:rPr>
          <w:noProof/>
        </w:rPr>
        <w:fldChar w:fldCharType="separate"/>
      </w:r>
      <w:r w:rsidR="00474B0C">
        <w:rPr>
          <w:noProof/>
        </w:rPr>
        <w:t>1</w:t>
      </w:r>
      <w:r w:rsidR="001E3132">
        <w:rPr>
          <w:noProof/>
        </w:rPr>
        <w:fldChar w:fldCharType="end"/>
      </w:r>
      <w:bookmarkEnd w:id="16"/>
      <w:r>
        <w:t xml:space="preserve"> </w:t>
      </w:r>
      <w:r w:rsidR="003779BB">
        <w:t>Australian Government funding by RFCS region</w:t>
      </w:r>
      <w:bookmarkEnd w:id="17"/>
    </w:p>
    <w:tbl>
      <w:tblPr>
        <w:tblW w:w="5000" w:type="pct"/>
        <w:tblBorders>
          <w:top w:val="single" w:sz="4" w:space="0" w:color="auto"/>
          <w:bottom w:val="single" w:sz="4" w:space="0" w:color="auto"/>
        </w:tblBorders>
        <w:tblLook w:val="04A0" w:firstRow="1" w:lastRow="0" w:firstColumn="1" w:lastColumn="0" w:noHBand="0" w:noVBand="1"/>
        <w:tblDescription w:val="Shows a breakdown of total program funding by state and service region."/>
      </w:tblPr>
      <w:tblGrid>
        <w:gridCol w:w="3501"/>
        <w:gridCol w:w="1602"/>
        <w:gridCol w:w="2268"/>
        <w:gridCol w:w="1699"/>
      </w:tblGrid>
      <w:tr w:rsidR="00DA0FF2" w:rsidRPr="00610598" w14:paraId="7F0DD921" w14:textId="77777777" w:rsidTr="00D45644">
        <w:trPr>
          <w:tblHeader/>
        </w:trPr>
        <w:tc>
          <w:tcPr>
            <w:tcW w:w="3501" w:type="dxa"/>
            <w:tcBorders>
              <w:top w:val="single" w:sz="4" w:space="0" w:color="auto"/>
              <w:bottom w:val="single" w:sz="4" w:space="0" w:color="auto"/>
            </w:tcBorders>
            <w:shd w:val="clear" w:color="auto" w:fill="auto"/>
            <w:noWrap/>
            <w:hideMark/>
          </w:tcPr>
          <w:p w14:paraId="1B45C4E5" w14:textId="6EBEA208" w:rsidR="00DA0FF2" w:rsidRPr="00610598" w:rsidRDefault="00DA0FF2" w:rsidP="007C43E0">
            <w:pPr>
              <w:pStyle w:val="TableHeading"/>
            </w:pPr>
            <w:r>
              <w:t>Service region</w:t>
            </w:r>
          </w:p>
        </w:tc>
        <w:tc>
          <w:tcPr>
            <w:tcW w:w="1602" w:type="dxa"/>
            <w:tcBorders>
              <w:top w:val="single" w:sz="4" w:space="0" w:color="auto"/>
              <w:bottom w:val="single" w:sz="4" w:space="0" w:color="auto"/>
            </w:tcBorders>
            <w:shd w:val="clear" w:color="auto" w:fill="auto"/>
            <w:noWrap/>
            <w:hideMark/>
          </w:tcPr>
          <w:p w14:paraId="5E9F4E2C" w14:textId="2E5996E1" w:rsidR="00DA0FF2" w:rsidRPr="00610598" w:rsidRDefault="00DA0FF2" w:rsidP="007C43E0">
            <w:pPr>
              <w:pStyle w:val="TableHeading"/>
            </w:pPr>
            <w:r w:rsidRPr="00610598">
              <w:t xml:space="preserve">Core </w:t>
            </w:r>
            <w:r w:rsidR="007C43E0">
              <w:t>f</w:t>
            </w:r>
            <w:r w:rsidRPr="00610598">
              <w:t>unding</w:t>
            </w:r>
            <w:r w:rsidR="007C43E0">
              <w:t xml:space="preserve"> ($)</w:t>
            </w:r>
          </w:p>
        </w:tc>
        <w:tc>
          <w:tcPr>
            <w:tcW w:w="2268" w:type="dxa"/>
            <w:tcBorders>
              <w:top w:val="single" w:sz="4" w:space="0" w:color="auto"/>
              <w:bottom w:val="single" w:sz="4" w:space="0" w:color="auto"/>
            </w:tcBorders>
            <w:shd w:val="clear" w:color="auto" w:fill="auto"/>
            <w:noWrap/>
            <w:hideMark/>
          </w:tcPr>
          <w:p w14:paraId="2086C4AE" w14:textId="3DFE0B9B" w:rsidR="00DA0FF2" w:rsidRPr="00610598" w:rsidRDefault="00DA0FF2" w:rsidP="007C43E0">
            <w:pPr>
              <w:pStyle w:val="TableHeading"/>
            </w:pPr>
            <w:r w:rsidRPr="00610598">
              <w:t xml:space="preserve">Contingency </w:t>
            </w:r>
            <w:r w:rsidR="007C43E0">
              <w:t>f</w:t>
            </w:r>
            <w:r w:rsidRPr="00610598">
              <w:t>unding</w:t>
            </w:r>
            <w:r w:rsidR="007C43E0">
              <w:t xml:space="preserve"> ($)</w:t>
            </w:r>
          </w:p>
        </w:tc>
        <w:tc>
          <w:tcPr>
            <w:tcW w:w="1699" w:type="dxa"/>
            <w:tcBorders>
              <w:top w:val="single" w:sz="4" w:space="0" w:color="auto"/>
              <w:bottom w:val="single" w:sz="4" w:space="0" w:color="auto"/>
            </w:tcBorders>
            <w:shd w:val="clear" w:color="auto" w:fill="auto"/>
            <w:noWrap/>
            <w:hideMark/>
          </w:tcPr>
          <w:p w14:paraId="6D3400C1" w14:textId="5610194A" w:rsidR="00DA0FF2" w:rsidRPr="00610598" w:rsidRDefault="00DA0FF2" w:rsidP="007C43E0">
            <w:pPr>
              <w:pStyle w:val="TableHeading"/>
            </w:pPr>
            <w:r w:rsidRPr="00610598">
              <w:t xml:space="preserve">Total </w:t>
            </w:r>
            <w:r w:rsidR="007C43E0">
              <w:t>f</w:t>
            </w:r>
            <w:r w:rsidRPr="00610598">
              <w:t>unding</w:t>
            </w:r>
            <w:r w:rsidR="007C43E0">
              <w:t xml:space="preserve"> ($)</w:t>
            </w:r>
          </w:p>
        </w:tc>
      </w:tr>
      <w:tr w:rsidR="00DA0FF2" w:rsidRPr="00610598" w14:paraId="0A893743" w14:textId="77777777" w:rsidTr="00D45644">
        <w:tc>
          <w:tcPr>
            <w:tcW w:w="3501" w:type="dxa"/>
            <w:tcBorders>
              <w:top w:val="single" w:sz="4" w:space="0" w:color="auto"/>
            </w:tcBorders>
            <w:shd w:val="clear" w:color="auto" w:fill="auto"/>
            <w:noWrap/>
            <w:vAlign w:val="bottom"/>
            <w:hideMark/>
          </w:tcPr>
          <w:p w14:paraId="514FD247" w14:textId="77777777" w:rsidR="00DA0FF2" w:rsidRPr="00610598" w:rsidRDefault="00DA0FF2" w:rsidP="00856530">
            <w:pPr>
              <w:pStyle w:val="TableText"/>
            </w:pPr>
            <w:r w:rsidRPr="00610598">
              <w:t>NSW Central</w:t>
            </w:r>
          </w:p>
        </w:tc>
        <w:tc>
          <w:tcPr>
            <w:tcW w:w="1602" w:type="dxa"/>
            <w:tcBorders>
              <w:top w:val="single" w:sz="4" w:space="0" w:color="auto"/>
            </w:tcBorders>
            <w:shd w:val="clear" w:color="auto" w:fill="auto"/>
            <w:noWrap/>
            <w:hideMark/>
          </w:tcPr>
          <w:p w14:paraId="7E42E167" w14:textId="42A71FDF" w:rsidR="00DA0FF2" w:rsidRPr="00610598" w:rsidRDefault="00DA0FF2" w:rsidP="00586F46">
            <w:pPr>
              <w:pStyle w:val="TableText"/>
              <w:jc w:val="right"/>
            </w:pPr>
            <w:r w:rsidRPr="00610598">
              <w:t>4,946,12</w:t>
            </w:r>
            <w:r w:rsidR="00586F46">
              <w:t>4</w:t>
            </w:r>
          </w:p>
        </w:tc>
        <w:tc>
          <w:tcPr>
            <w:tcW w:w="2268" w:type="dxa"/>
            <w:tcBorders>
              <w:top w:val="single" w:sz="4" w:space="0" w:color="auto"/>
            </w:tcBorders>
            <w:shd w:val="clear" w:color="auto" w:fill="auto"/>
            <w:noWrap/>
            <w:hideMark/>
          </w:tcPr>
          <w:p w14:paraId="66CE3709" w14:textId="207E8EBF" w:rsidR="00DA0FF2" w:rsidRPr="00610598" w:rsidRDefault="00DA0FF2" w:rsidP="00586F46">
            <w:pPr>
              <w:pStyle w:val="TableText"/>
              <w:jc w:val="right"/>
            </w:pPr>
            <w:r w:rsidRPr="00610598">
              <w:t>2,265,000</w:t>
            </w:r>
          </w:p>
        </w:tc>
        <w:tc>
          <w:tcPr>
            <w:tcW w:w="1699" w:type="dxa"/>
            <w:tcBorders>
              <w:top w:val="single" w:sz="4" w:space="0" w:color="auto"/>
            </w:tcBorders>
            <w:shd w:val="clear" w:color="auto" w:fill="auto"/>
            <w:noWrap/>
            <w:hideMark/>
          </w:tcPr>
          <w:p w14:paraId="10222F9C" w14:textId="3236FBF8" w:rsidR="00DA0FF2" w:rsidRPr="00610598" w:rsidRDefault="00DA0FF2" w:rsidP="00586F46">
            <w:pPr>
              <w:pStyle w:val="TableText"/>
              <w:jc w:val="right"/>
            </w:pPr>
            <w:r w:rsidRPr="00610598">
              <w:t>7,211,12</w:t>
            </w:r>
            <w:r w:rsidR="00586F46">
              <w:t>4</w:t>
            </w:r>
          </w:p>
        </w:tc>
      </w:tr>
      <w:tr w:rsidR="00DA0FF2" w:rsidRPr="00610598" w14:paraId="66CE2BF1" w14:textId="77777777" w:rsidTr="00D45644">
        <w:tc>
          <w:tcPr>
            <w:tcW w:w="3501" w:type="dxa"/>
            <w:shd w:val="clear" w:color="auto" w:fill="auto"/>
            <w:noWrap/>
            <w:vAlign w:val="bottom"/>
            <w:hideMark/>
          </w:tcPr>
          <w:p w14:paraId="4D19B2AC" w14:textId="77777777" w:rsidR="00DA0FF2" w:rsidRPr="00610598" w:rsidRDefault="00DA0FF2" w:rsidP="00856530">
            <w:pPr>
              <w:pStyle w:val="TableText"/>
            </w:pPr>
            <w:r w:rsidRPr="00610598">
              <w:t>NSW Northern</w:t>
            </w:r>
          </w:p>
        </w:tc>
        <w:tc>
          <w:tcPr>
            <w:tcW w:w="1602" w:type="dxa"/>
            <w:shd w:val="clear" w:color="auto" w:fill="auto"/>
            <w:noWrap/>
            <w:hideMark/>
          </w:tcPr>
          <w:p w14:paraId="6DE84633" w14:textId="026D36FC" w:rsidR="00DA0FF2" w:rsidRPr="00610598" w:rsidRDefault="00DA0FF2" w:rsidP="00586F46">
            <w:pPr>
              <w:pStyle w:val="TableText"/>
              <w:jc w:val="right"/>
            </w:pPr>
            <w:r w:rsidRPr="00610598">
              <w:t>6,305,99</w:t>
            </w:r>
            <w:r w:rsidR="00586F46">
              <w:t>7</w:t>
            </w:r>
          </w:p>
        </w:tc>
        <w:tc>
          <w:tcPr>
            <w:tcW w:w="2268" w:type="dxa"/>
            <w:shd w:val="clear" w:color="auto" w:fill="auto"/>
            <w:noWrap/>
            <w:hideMark/>
          </w:tcPr>
          <w:p w14:paraId="02DA0AF1" w14:textId="32E30583" w:rsidR="00DA0FF2" w:rsidRPr="00610598" w:rsidRDefault="00DA0FF2" w:rsidP="00586F46">
            <w:pPr>
              <w:pStyle w:val="TableText"/>
              <w:jc w:val="right"/>
            </w:pPr>
            <w:r w:rsidRPr="00610598">
              <w:t>2,912,000</w:t>
            </w:r>
          </w:p>
        </w:tc>
        <w:tc>
          <w:tcPr>
            <w:tcW w:w="1699" w:type="dxa"/>
            <w:shd w:val="clear" w:color="auto" w:fill="auto"/>
            <w:noWrap/>
            <w:hideMark/>
          </w:tcPr>
          <w:p w14:paraId="01E26F22" w14:textId="4A5753A0" w:rsidR="00DA0FF2" w:rsidRPr="00610598" w:rsidRDefault="00DA0FF2" w:rsidP="00586F46">
            <w:pPr>
              <w:pStyle w:val="TableText"/>
              <w:jc w:val="right"/>
            </w:pPr>
            <w:r w:rsidRPr="00610598">
              <w:t>9,217,99</w:t>
            </w:r>
            <w:r w:rsidR="00586F46">
              <w:t>7</w:t>
            </w:r>
          </w:p>
        </w:tc>
      </w:tr>
      <w:tr w:rsidR="00DA0FF2" w:rsidRPr="00610598" w14:paraId="38ABD5AE" w14:textId="77777777" w:rsidTr="00D45644">
        <w:tc>
          <w:tcPr>
            <w:tcW w:w="3501" w:type="dxa"/>
            <w:shd w:val="clear" w:color="auto" w:fill="auto"/>
            <w:noWrap/>
            <w:vAlign w:val="bottom"/>
            <w:hideMark/>
          </w:tcPr>
          <w:p w14:paraId="0E789D0F" w14:textId="77777777" w:rsidR="00DA0FF2" w:rsidRPr="00610598" w:rsidRDefault="00DA0FF2" w:rsidP="00856530">
            <w:pPr>
              <w:pStyle w:val="TableText"/>
            </w:pPr>
            <w:r w:rsidRPr="00610598">
              <w:t>NSW Southern</w:t>
            </w:r>
          </w:p>
        </w:tc>
        <w:tc>
          <w:tcPr>
            <w:tcW w:w="1602" w:type="dxa"/>
            <w:shd w:val="clear" w:color="auto" w:fill="auto"/>
            <w:noWrap/>
            <w:hideMark/>
          </w:tcPr>
          <w:p w14:paraId="442DF27C" w14:textId="132FF439" w:rsidR="00DA0FF2" w:rsidRPr="00610598" w:rsidRDefault="00DA0FF2" w:rsidP="00586F46">
            <w:pPr>
              <w:pStyle w:val="TableText"/>
              <w:jc w:val="right"/>
            </w:pPr>
            <w:r w:rsidRPr="00610598">
              <w:t>5,982,62</w:t>
            </w:r>
            <w:r w:rsidR="00586F46">
              <w:t>9</w:t>
            </w:r>
          </w:p>
        </w:tc>
        <w:tc>
          <w:tcPr>
            <w:tcW w:w="2268" w:type="dxa"/>
            <w:shd w:val="clear" w:color="auto" w:fill="auto"/>
            <w:noWrap/>
            <w:hideMark/>
          </w:tcPr>
          <w:p w14:paraId="31BC5511" w14:textId="31B8F30B" w:rsidR="00DA0FF2" w:rsidRPr="00610598" w:rsidRDefault="00DA0FF2" w:rsidP="00586F46">
            <w:pPr>
              <w:pStyle w:val="TableText"/>
              <w:jc w:val="right"/>
            </w:pPr>
            <w:r w:rsidRPr="00610598">
              <w:t>1,460,000</w:t>
            </w:r>
          </w:p>
        </w:tc>
        <w:tc>
          <w:tcPr>
            <w:tcW w:w="1699" w:type="dxa"/>
            <w:shd w:val="clear" w:color="auto" w:fill="auto"/>
            <w:noWrap/>
            <w:hideMark/>
          </w:tcPr>
          <w:p w14:paraId="211834BC" w14:textId="1F50B9A6" w:rsidR="00DA0FF2" w:rsidRPr="00610598" w:rsidRDefault="00DA0FF2" w:rsidP="00586F46">
            <w:pPr>
              <w:pStyle w:val="TableText"/>
              <w:jc w:val="right"/>
            </w:pPr>
            <w:r w:rsidRPr="00610598">
              <w:t>7,442,62</w:t>
            </w:r>
            <w:r w:rsidR="00586F46">
              <w:t>9</w:t>
            </w:r>
          </w:p>
        </w:tc>
      </w:tr>
      <w:tr w:rsidR="00DA0FF2" w:rsidRPr="00610598" w14:paraId="663211F2" w14:textId="77777777" w:rsidTr="00D45644">
        <w:tc>
          <w:tcPr>
            <w:tcW w:w="3501" w:type="dxa"/>
            <w:shd w:val="clear" w:color="auto" w:fill="auto"/>
            <w:noWrap/>
            <w:vAlign w:val="bottom"/>
            <w:hideMark/>
          </w:tcPr>
          <w:p w14:paraId="333155B2" w14:textId="77777777" w:rsidR="00DA0FF2" w:rsidRPr="00610598" w:rsidRDefault="00DA0FF2" w:rsidP="00856530">
            <w:pPr>
              <w:pStyle w:val="TableText"/>
            </w:pPr>
            <w:r w:rsidRPr="00610598">
              <w:t>Queensland Northern</w:t>
            </w:r>
          </w:p>
        </w:tc>
        <w:tc>
          <w:tcPr>
            <w:tcW w:w="1602" w:type="dxa"/>
            <w:shd w:val="clear" w:color="auto" w:fill="auto"/>
            <w:noWrap/>
            <w:hideMark/>
          </w:tcPr>
          <w:p w14:paraId="06B14D35" w14:textId="76EEE82C" w:rsidR="00DA0FF2" w:rsidRPr="00610598" w:rsidRDefault="00DA0FF2" w:rsidP="00586F46">
            <w:pPr>
              <w:pStyle w:val="TableText"/>
              <w:jc w:val="right"/>
            </w:pPr>
            <w:r w:rsidRPr="00610598">
              <w:t>4,079,0</w:t>
            </w:r>
            <w:r w:rsidR="00586F46">
              <w:t>40</w:t>
            </w:r>
          </w:p>
        </w:tc>
        <w:tc>
          <w:tcPr>
            <w:tcW w:w="2268" w:type="dxa"/>
            <w:shd w:val="clear" w:color="auto" w:fill="auto"/>
            <w:noWrap/>
            <w:hideMark/>
          </w:tcPr>
          <w:p w14:paraId="5AEB9EED" w14:textId="464DDC24" w:rsidR="00DA0FF2" w:rsidRPr="00610598" w:rsidRDefault="00DA0FF2" w:rsidP="00586F46">
            <w:pPr>
              <w:pStyle w:val="TableText"/>
              <w:jc w:val="right"/>
            </w:pPr>
            <w:r w:rsidRPr="00610598">
              <w:t>1,932,000</w:t>
            </w:r>
          </w:p>
        </w:tc>
        <w:tc>
          <w:tcPr>
            <w:tcW w:w="1699" w:type="dxa"/>
            <w:shd w:val="clear" w:color="auto" w:fill="auto"/>
            <w:noWrap/>
            <w:hideMark/>
          </w:tcPr>
          <w:p w14:paraId="1C3CDE8A" w14:textId="34032A2B" w:rsidR="00DA0FF2" w:rsidRPr="00610598" w:rsidRDefault="00DA0FF2" w:rsidP="00586F46">
            <w:pPr>
              <w:pStyle w:val="TableText"/>
              <w:jc w:val="right"/>
            </w:pPr>
            <w:r w:rsidRPr="00610598">
              <w:t>6,011,0</w:t>
            </w:r>
            <w:r w:rsidR="00586F46">
              <w:t>40</w:t>
            </w:r>
          </w:p>
        </w:tc>
      </w:tr>
      <w:tr w:rsidR="00DA0FF2" w:rsidRPr="00610598" w14:paraId="066BA185" w14:textId="77777777" w:rsidTr="00D45644">
        <w:tc>
          <w:tcPr>
            <w:tcW w:w="3501" w:type="dxa"/>
            <w:shd w:val="clear" w:color="auto" w:fill="auto"/>
            <w:noWrap/>
            <w:vAlign w:val="bottom"/>
            <w:hideMark/>
          </w:tcPr>
          <w:p w14:paraId="29E76B80" w14:textId="77777777" w:rsidR="00DA0FF2" w:rsidRPr="00610598" w:rsidRDefault="00DA0FF2" w:rsidP="00856530">
            <w:pPr>
              <w:pStyle w:val="TableText"/>
            </w:pPr>
            <w:r w:rsidRPr="00610598">
              <w:t>Queensland Southern</w:t>
            </w:r>
          </w:p>
        </w:tc>
        <w:tc>
          <w:tcPr>
            <w:tcW w:w="1602" w:type="dxa"/>
            <w:shd w:val="clear" w:color="auto" w:fill="auto"/>
            <w:noWrap/>
            <w:hideMark/>
          </w:tcPr>
          <w:p w14:paraId="2E13C745" w14:textId="50959B7A" w:rsidR="00DA0FF2" w:rsidRPr="00610598" w:rsidRDefault="00DA0FF2" w:rsidP="00586F46">
            <w:pPr>
              <w:pStyle w:val="TableText"/>
              <w:jc w:val="right"/>
            </w:pPr>
            <w:r w:rsidRPr="00610598">
              <w:t>7,144,633</w:t>
            </w:r>
          </w:p>
        </w:tc>
        <w:tc>
          <w:tcPr>
            <w:tcW w:w="2268" w:type="dxa"/>
            <w:shd w:val="clear" w:color="auto" w:fill="auto"/>
            <w:noWrap/>
            <w:hideMark/>
          </w:tcPr>
          <w:p w14:paraId="47D07DA1" w14:textId="167A883D" w:rsidR="00DA0FF2" w:rsidRPr="00610598" w:rsidRDefault="00DA0FF2" w:rsidP="00586F46">
            <w:pPr>
              <w:pStyle w:val="TableText"/>
              <w:jc w:val="right"/>
            </w:pPr>
            <w:r w:rsidRPr="00610598">
              <w:t>2,596,000</w:t>
            </w:r>
          </w:p>
        </w:tc>
        <w:tc>
          <w:tcPr>
            <w:tcW w:w="1699" w:type="dxa"/>
            <w:shd w:val="clear" w:color="auto" w:fill="auto"/>
            <w:noWrap/>
            <w:hideMark/>
          </w:tcPr>
          <w:p w14:paraId="247061FB" w14:textId="75C95BBB" w:rsidR="00DA0FF2" w:rsidRPr="00610598" w:rsidRDefault="00DA0FF2" w:rsidP="00586F46">
            <w:pPr>
              <w:pStyle w:val="TableText"/>
              <w:jc w:val="right"/>
            </w:pPr>
            <w:r w:rsidRPr="00610598">
              <w:t>9,740,633</w:t>
            </w:r>
          </w:p>
        </w:tc>
      </w:tr>
      <w:tr w:rsidR="00DA0FF2" w:rsidRPr="00610598" w14:paraId="6EB25889" w14:textId="77777777" w:rsidTr="00D45644">
        <w:tc>
          <w:tcPr>
            <w:tcW w:w="3501" w:type="dxa"/>
            <w:shd w:val="clear" w:color="auto" w:fill="auto"/>
            <w:noWrap/>
            <w:vAlign w:val="bottom"/>
            <w:hideMark/>
          </w:tcPr>
          <w:p w14:paraId="6A201BCB" w14:textId="48D11164" w:rsidR="00DA0FF2" w:rsidRPr="00014F8B" w:rsidRDefault="00DA0FF2" w:rsidP="00856530">
            <w:pPr>
              <w:pStyle w:val="TableText"/>
            </w:pPr>
            <w:r w:rsidRPr="00014F8B">
              <w:t>South Australia</w:t>
            </w:r>
            <w:r w:rsidR="007C43E0" w:rsidRPr="00014F8B">
              <w:t xml:space="preserve"> and </w:t>
            </w:r>
            <w:r w:rsidRPr="00014F8B">
              <w:t>Northern Territory</w:t>
            </w:r>
          </w:p>
        </w:tc>
        <w:tc>
          <w:tcPr>
            <w:tcW w:w="1602" w:type="dxa"/>
            <w:shd w:val="clear" w:color="auto" w:fill="auto"/>
            <w:noWrap/>
            <w:hideMark/>
          </w:tcPr>
          <w:p w14:paraId="6CD72897" w14:textId="1794F7EE" w:rsidR="00DA0FF2" w:rsidRPr="00610598" w:rsidRDefault="00DA0FF2" w:rsidP="00586F46">
            <w:pPr>
              <w:pStyle w:val="TableText"/>
              <w:jc w:val="right"/>
            </w:pPr>
            <w:r w:rsidRPr="00610598">
              <w:t>6,441,807</w:t>
            </w:r>
          </w:p>
        </w:tc>
        <w:tc>
          <w:tcPr>
            <w:tcW w:w="2268" w:type="dxa"/>
            <w:shd w:val="clear" w:color="auto" w:fill="auto"/>
            <w:noWrap/>
            <w:hideMark/>
          </w:tcPr>
          <w:p w14:paraId="153D0DA3" w14:textId="48F82DB1" w:rsidR="00DA0FF2" w:rsidRPr="00610598" w:rsidRDefault="00DA0FF2" w:rsidP="00586F46">
            <w:pPr>
              <w:pStyle w:val="TableText"/>
              <w:jc w:val="right"/>
            </w:pPr>
            <w:r w:rsidRPr="00610598">
              <w:t>1,480,000</w:t>
            </w:r>
          </w:p>
        </w:tc>
        <w:tc>
          <w:tcPr>
            <w:tcW w:w="1699" w:type="dxa"/>
            <w:shd w:val="clear" w:color="auto" w:fill="auto"/>
            <w:noWrap/>
            <w:hideMark/>
          </w:tcPr>
          <w:p w14:paraId="6240E587" w14:textId="73FDBD09" w:rsidR="00DA0FF2" w:rsidRPr="00610598" w:rsidRDefault="00DA0FF2" w:rsidP="00586F46">
            <w:pPr>
              <w:pStyle w:val="TableText"/>
              <w:jc w:val="right"/>
            </w:pPr>
            <w:r w:rsidRPr="00610598">
              <w:t>7,921,807</w:t>
            </w:r>
          </w:p>
        </w:tc>
      </w:tr>
      <w:tr w:rsidR="00DA0FF2" w:rsidRPr="00610598" w14:paraId="14180324" w14:textId="77777777" w:rsidTr="00D45644">
        <w:tc>
          <w:tcPr>
            <w:tcW w:w="3501" w:type="dxa"/>
            <w:shd w:val="clear" w:color="auto" w:fill="auto"/>
            <w:noWrap/>
            <w:vAlign w:val="bottom"/>
            <w:hideMark/>
          </w:tcPr>
          <w:p w14:paraId="4AFB8092" w14:textId="77777777" w:rsidR="00DA0FF2" w:rsidRPr="00610598" w:rsidRDefault="00DA0FF2" w:rsidP="00856530">
            <w:pPr>
              <w:pStyle w:val="TableText"/>
            </w:pPr>
            <w:r w:rsidRPr="00610598">
              <w:t>Tasmania</w:t>
            </w:r>
          </w:p>
        </w:tc>
        <w:tc>
          <w:tcPr>
            <w:tcW w:w="1602" w:type="dxa"/>
            <w:shd w:val="clear" w:color="auto" w:fill="auto"/>
            <w:noWrap/>
            <w:hideMark/>
          </w:tcPr>
          <w:p w14:paraId="2D80442C" w14:textId="6849E506" w:rsidR="00DA0FF2" w:rsidRPr="00610598" w:rsidRDefault="00DA0FF2" w:rsidP="00586F46">
            <w:pPr>
              <w:pStyle w:val="TableText"/>
              <w:jc w:val="right"/>
            </w:pPr>
            <w:r w:rsidRPr="00610598">
              <w:t>2,114,42</w:t>
            </w:r>
            <w:r w:rsidR="00586F46">
              <w:t>3</w:t>
            </w:r>
          </w:p>
        </w:tc>
        <w:tc>
          <w:tcPr>
            <w:tcW w:w="2268" w:type="dxa"/>
            <w:shd w:val="clear" w:color="auto" w:fill="auto"/>
            <w:noWrap/>
            <w:hideMark/>
          </w:tcPr>
          <w:p w14:paraId="2CC40B60" w14:textId="75E4009A" w:rsidR="00DA0FF2" w:rsidRPr="00610598" w:rsidRDefault="00DA0FF2" w:rsidP="00586F46">
            <w:pPr>
              <w:pStyle w:val="TableText"/>
              <w:jc w:val="right"/>
            </w:pPr>
            <w:r w:rsidRPr="00610598">
              <w:t>665,000</w:t>
            </w:r>
          </w:p>
        </w:tc>
        <w:tc>
          <w:tcPr>
            <w:tcW w:w="1699" w:type="dxa"/>
            <w:shd w:val="clear" w:color="auto" w:fill="auto"/>
            <w:noWrap/>
            <w:hideMark/>
          </w:tcPr>
          <w:p w14:paraId="77F52EF9" w14:textId="46F80397" w:rsidR="00DA0FF2" w:rsidRPr="00610598" w:rsidRDefault="00DA0FF2" w:rsidP="00586F46">
            <w:pPr>
              <w:pStyle w:val="TableText"/>
              <w:jc w:val="right"/>
            </w:pPr>
            <w:r w:rsidRPr="00610598">
              <w:t>2,779,42</w:t>
            </w:r>
            <w:r w:rsidR="00586F46">
              <w:t>3</w:t>
            </w:r>
          </w:p>
        </w:tc>
      </w:tr>
      <w:tr w:rsidR="00DA0FF2" w:rsidRPr="00610598" w14:paraId="1E22C6A5" w14:textId="77777777" w:rsidTr="00D45644">
        <w:tc>
          <w:tcPr>
            <w:tcW w:w="3501" w:type="dxa"/>
            <w:shd w:val="clear" w:color="auto" w:fill="auto"/>
            <w:noWrap/>
            <w:vAlign w:val="bottom"/>
            <w:hideMark/>
          </w:tcPr>
          <w:p w14:paraId="783D3924" w14:textId="77777777" w:rsidR="00DA0FF2" w:rsidRPr="00610598" w:rsidRDefault="00DA0FF2" w:rsidP="00856530">
            <w:pPr>
              <w:pStyle w:val="TableText"/>
            </w:pPr>
            <w:r w:rsidRPr="00610598">
              <w:t>Victoria Eastern</w:t>
            </w:r>
          </w:p>
        </w:tc>
        <w:tc>
          <w:tcPr>
            <w:tcW w:w="1602" w:type="dxa"/>
            <w:shd w:val="clear" w:color="auto" w:fill="auto"/>
            <w:noWrap/>
            <w:hideMark/>
          </w:tcPr>
          <w:p w14:paraId="5FC61BB4" w14:textId="33AE8435" w:rsidR="00DA0FF2" w:rsidRPr="00610598" w:rsidRDefault="00DA0FF2" w:rsidP="00586F46">
            <w:pPr>
              <w:pStyle w:val="TableText"/>
              <w:jc w:val="right"/>
            </w:pPr>
            <w:r w:rsidRPr="00610598">
              <w:t>3,087,29</w:t>
            </w:r>
            <w:r w:rsidR="00586F46">
              <w:t>6</w:t>
            </w:r>
          </w:p>
        </w:tc>
        <w:tc>
          <w:tcPr>
            <w:tcW w:w="2268" w:type="dxa"/>
            <w:shd w:val="clear" w:color="auto" w:fill="auto"/>
            <w:noWrap/>
            <w:hideMark/>
          </w:tcPr>
          <w:p w14:paraId="4E21AB85" w14:textId="4912C29D" w:rsidR="00DA0FF2" w:rsidRPr="00610598" w:rsidRDefault="00DA0FF2" w:rsidP="00586F46">
            <w:pPr>
              <w:pStyle w:val="TableText"/>
              <w:jc w:val="right"/>
            </w:pPr>
            <w:r w:rsidRPr="00610598">
              <w:t>790,000</w:t>
            </w:r>
          </w:p>
        </w:tc>
        <w:tc>
          <w:tcPr>
            <w:tcW w:w="1699" w:type="dxa"/>
            <w:shd w:val="clear" w:color="auto" w:fill="auto"/>
            <w:noWrap/>
            <w:hideMark/>
          </w:tcPr>
          <w:p w14:paraId="7CBDF311" w14:textId="6FC0E74F" w:rsidR="00DA0FF2" w:rsidRPr="00610598" w:rsidRDefault="00DA0FF2" w:rsidP="00586F46">
            <w:pPr>
              <w:pStyle w:val="TableText"/>
              <w:jc w:val="right"/>
            </w:pPr>
            <w:r w:rsidRPr="00610598">
              <w:t>3,877,29</w:t>
            </w:r>
            <w:r w:rsidR="00586F46">
              <w:t>6</w:t>
            </w:r>
          </w:p>
        </w:tc>
      </w:tr>
      <w:tr w:rsidR="00DA0FF2" w:rsidRPr="00610598" w14:paraId="167B4B15" w14:textId="77777777" w:rsidTr="00D45644">
        <w:tc>
          <w:tcPr>
            <w:tcW w:w="3501" w:type="dxa"/>
            <w:shd w:val="clear" w:color="auto" w:fill="auto"/>
            <w:noWrap/>
            <w:vAlign w:val="bottom"/>
            <w:hideMark/>
          </w:tcPr>
          <w:p w14:paraId="372B57F9" w14:textId="77777777" w:rsidR="00DA0FF2" w:rsidRPr="00610598" w:rsidRDefault="00DA0FF2" w:rsidP="00856530">
            <w:pPr>
              <w:pStyle w:val="TableText"/>
            </w:pPr>
            <w:r w:rsidRPr="00610598">
              <w:t>Victoria North-East</w:t>
            </w:r>
          </w:p>
        </w:tc>
        <w:tc>
          <w:tcPr>
            <w:tcW w:w="1602" w:type="dxa"/>
            <w:shd w:val="clear" w:color="auto" w:fill="auto"/>
            <w:noWrap/>
            <w:hideMark/>
          </w:tcPr>
          <w:p w14:paraId="14DAAF7F" w14:textId="5676BF94" w:rsidR="00DA0FF2" w:rsidRPr="00610598" w:rsidRDefault="00DA0FF2" w:rsidP="00586F46">
            <w:pPr>
              <w:pStyle w:val="TableText"/>
              <w:jc w:val="right"/>
            </w:pPr>
            <w:r w:rsidRPr="00610598">
              <w:t>3,333,222</w:t>
            </w:r>
          </w:p>
        </w:tc>
        <w:tc>
          <w:tcPr>
            <w:tcW w:w="2268" w:type="dxa"/>
            <w:shd w:val="clear" w:color="auto" w:fill="auto"/>
            <w:noWrap/>
            <w:hideMark/>
          </w:tcPr>
          <w:p w14:paraId="248B4BEB" w14:textId="24A0709A" w:rsidR="00DA0FF2" w:rsidRPr="00610598" w:rsidRDefault="00DA0FF2" w:rsidP="00586F46">
            <w:pPr>
              <w:pStyle w:val="TableText"/>
              <w:jc w:val="right"/>
            </w:pPr>
            <w:r w:rsidRPr="00610598">
              <w:t>1,930,000</w:t>
            </w:r>
          </w:p>
        </w:tc>
        <w:tc>
          <w:tcPr>
            <w:tcW w:w="1699" w:type="dxa"/>
            <w:shd w:val="clear" w:color="auto" w:fill="auto"/>
            <w:noWrap/>
            <w:hideMark/>
          </w:tcPr>
          <w:p w14:paraId="0EEC335E" w14:textId="3A0C83A3" w:rsidR="00DA0FF2" w:rsidRPr="00610598" w:rsidRDefault="00DA0FF2" w:rsidP="00586F46">
            <w:pPr>
              <w:pStyle w:val="TableText"/>
              <w:jc w:val="right"/>
            </w:pPr>
            <w:r w:rsidRPr="00610598">
              <w:t>5,263,222</w:t>
            </w:r>
          </w:p>
        </w:tc>
      </w:tr>
      <w:tr w:rsidR="00DA0FF2" w:rsidRPr="00610598" w14:paraId="3BF181CC" w14:textId="77777777" w:rsidTr="00D45644">
        <w:tc>
          <w:tcPr>
            <w:tcW w:w="3501" w:type="dxa"/>
            <w:shd w:val="clear" w:color="auto" w:fill="auto"/>
            <w:noWrap/>
            <w:vAlign w:val="bottom"/>
            <w:hideMark/>
          </w:tcPr>
          <w:p w14:paraId="12FC255F" w14:textId="77777777" w:rsidR="00DA0FF2" w:rsidRPr="00610598" w:rsidRDefault="00DA0FF2" w:rsidP="00856530">
            <w:pPr>
              <w:pStyle w:val="TableText"/>
            </w:pPr>
            <w:r w:rsidRPr="00610598">
              <w:t>Victoria North-West</w:t>
            </w:r>
          </w:p>
        </w:tc>
        <w:tc>
          <w:tcPr>
            <w:tcW w:w="1602" w:type="dxa"/>
            <w:shd w:val="clear" w:color="auto" w:fill="auto"/>
            <w:noWrap/>
            <w:hideMark/>
          </w:tcPr>
          <w:p w14:paraId="6E325E96" w14:textId="0D22C6D4" w:rsidR="00DA0FF2" w:rsidRPr="00610598" w:rsidRDefault="00DA0FF2" w:rsidP="00586F46">
            <w:pPr>
              <w:pStyle w:val="TableText"/>
              <w:jc w:val="right"/>
            </w:pPr>
            <w:r w:rsidRPr="00610598">
              <w:t>3,103,689</w:t>
            </w:r>
          </w:p>
        </w:tc>
        <w:tc>
          <w:tcPr>
            <w:tcW w:w="2268" w:type="dxa"/>
            <w:shd w:val="clear" w:color="auto" w:fill="auto"/>
            <w:noWrap/>
            <w:hideMark/>
          </w:tcPr>
          <w:p w14:paraId="1D639FB9" w14:textId="0A3278DA" w:rsidR="00DA0FF2" w:rsidRPr="00610598" w:rsidRDefault="00DA0FF2" w:rsidP="00586F46">
            <w:pPr>
              <w:pStyle w:val="TableText"/>
              <w:jc w:val="right"/>
            </w:pPr>
            <w:r w:rsidRPr="00610598">
              <w:t>1,975,000</w:t>
            </w:r>
          </w:p>
        </w:tc>
        <w:tc>
          <w:tcPr>
            <w:tcW w:w="1699" w:type="dxa"/>
            <w:shd w:val="clear" w:color="auto" w:fill="auto"/>
            <w:noWrap/>
            <w:hideMark/>
          </w:tcPr>
          <w:p w14:paraId="11F3402C" w14:textId="4D5301C3" w:rsidR="00DA0FF2" w:rsidRPr="00610598" w:rsidRDefault="00DA0FF2" w:rsidP="00586F46">
            <w:pPr>
              <w:pStyle w:val="TableText"/>
              <w:jc w:val="right"/>
            </w:pPr>
            <w:r w:rsidRPr="00610598">
              <w:t>5,078,689</w:t>
            </w:r>
          </w:p>
        </w:tc>
      </w:tr>
      <w:tr w:rsidR="00DA0FF2" w:rsidRPr="00610598" w14:paraId="03110252" w14:textId="77777777" w:rsidTr="00D45644">
        <w:tc>
          <w:tcPr>
            <w:tcW w:w="3501" w:type="dxa"/>
            <w:shd w:val="clear" w:color="auto" w:fill="auto"/>
            <w:noWrap/>
            <w:vAlign w:val="bottom"/>
            <w:hideMark/>
          </w:tcPr>
          <w:p w14:paraId="3B0D3039" w14:textId="77777777" w:rsidR="00DA0FF2" w:rsidRPr="00610598" w:rsidRDefault="00DA0FF2" w:rsidP="00856530">
            <w:pPr>
              <w:pStyle w:val="TableText"/>
            </w:pPr>
            <w:r w:rsidRPr="00610598">
              <w:lastRenderedPageBreak/>
              <w:t>Victoria Western</w:t>
            </w:r>
          </w:p>
        </w:tc>
        <w:tc>
          <w:tcPr>
            <w:tcW w:w="1602" w:type="dxa"/>
            <w:shd w:val="clear" w:color="auto" w:fill="auto"/>
            <w:noWrap/>
            <w:hideMark/>
          </w:tcPr>
          <w:p w14:paraId="03FFCEA1" w14:textId="04776305" w:rsidR="00DA0FF2" w:rsidRPr="00610598" w:rsidRDefault="00DA0FF2" w:rsidP="00586F46">
            <w:pPr>
              <w:pStyle w:val="TableText"/>
              <w:jc w:val="right"/>
            </w:pPr>
            <w:r w:rsidRPr="00610598">
              <w:t>4,520,73</w:t>
            </w:r>
            <w:r w:rsidR="00586F46">
              <w:t>4</w:t>
            </w:r>
          </w:p>
        </w:tc>
        <w:tc>
          <w:tcPr>
            <w:tcW w:w="2268" w:type="dxa"/>
            <w:shd w:val="clear" w:color="auto" w:fill="auto"/>
            <w:noWrap/>
            <w:hideMark/>
          </w:tcPr>
          <w:p w14:paraId="07A6BAC0" w14:textId="731E6DBC" w:rsidR="00DA0FF2" w:rsidRPr="00610598" w:rsidRDefault="00DA0FF2" w:rsidP="00586F46">
            <w:pPr>
              <w:pStyle w:val="TableText"/>
              <w:jc w:val="right"/>
            </w:pPr>
            <w:r w:rsidRPr="00610598">
              <w:t>605,000</w:t>
            </w:r>
          </w:p>
        </w:tc>
        <w:tc>
          <w:tcPr>
            <w:tcW w:w="1699" w:type="dxa"/>
            <w:shd w:val="clear" w:color="auto" w:fill="auto"/>
            <w:noWrap/>
            <w:hideMark/>
          </w:tcPr>
          <w:p w14:paraId="22571D6F" w14:textId="7164CAF7" w:rsidR="00DA0FF2" w:rsidRPr="00610598" w:rsidRDefault="00DA0FF2" w:rsidP="00586F46">
            <w:pPr>
              <w:pStyle w:val="TableText"/>
              <w:jc w:val="right"/>
            </w:pPr>
            <w:r w:rsidRPr="00610598">
              <w:t>5,125,73</w:t>
            </w:r>
            <w:r w:rsidR="00586F46">
              <w:t>4</w:t>
            </w:r>
          </w:p>
        </w:tc>
      </w:tr>
      <w:tr w:rsidR="00DA0FF2" w:rsidRPr="00610598" w14:paraId="5FB7A2E0" w14:textId="77777777" w:rsidTr="00D45644">
        <w:tc>
          <w:tcPr>
            <w:tcW w:w="3501" w:type="dxa"/>
            <w:shd w:val="clear" w:color="auto" w:fill="auto"/>
            <w:noWrap/>
            <w:vAlign w:val="bottom"/>
            <w:hideMark/>
          </w:tcPr>
          <w:p w14:paraId="3E92B2D8" w14:textId="77777777" w:rsidR="00DA0FF2" w:rsidRPr="00610598" w:rsidRDefault="00DA0FF2" w:rsidP="00856530">
            <w:pPr>
              <w:pStyle w:val="TableText"/>
            </w:pPr>
            <w:r w:rsidRPr="00610598">
              <w:t>Western Australia</w:t>
            </w:r>
          </w:p>
        </w:tc>
        <w:tc>
          <w:tcPr>
            <w:tcW w:w="1602" w:type="dxa"/>
            <w:shd w:val="clear" w:color="auto" w:fill="auto"/>
            <w:noWrap/>
            <w:hideMark/>
          </w:tcPr>
          <w:p w14:paraId="1CE3E503" w14:textId="42CB67BB" w:rsidR="00DA0FF2" w:rsidRPr="00610598" w:rsidRDefault="00DA0FF2" w:rsidP="00586F46">
            <w:pPr>
              <w:pStyle w:val="TableText"/>
              <w:jc w:val="right"/>
            </w:pPr>
            <w:r w:rsidRPr="00610598">
              <w:t>5,901,253</w:t>
            </w:r>
          </w:p>
        </w:tc>
        <w:tc>
          <w:tcPr>
            <w:tcW w:w="2268" w:type="dxa"/>
            <w:shd w:val="clear" w:color="auto" w:fill="auto"/>
            <w:noWrap/>
            <w:hideMark/>
          </w:tcPr>
          <w:p w14:paraId="6DD554B7" w14:textId="10575078" w:rsidR="00DA0FF2" w:rsidRPr="00610598" w:rsidRDefault="00DA0FF2" w:rsidP="00586F46">
            <w:pPr>
              <w:pStyle w:val="TableText"/>
              <w:jc w:val="right"/>
            </w:pPr>
            <w:r w:rsidRPr="00610598">
              <w:t>640,000</w:t>
            </w:r>
          </w:p>
        </w:tc>
        <w:tc>
          <w:tcPr>
            <w:tcW w:w="1699" w:type="dxa"/>
            <w:shd w:val="clear" w:color="auto" w:fill="auto"/>
            <w:noWrap/>
            <w:hideMark/>
          </w:tcPr>
          <w:p w14:paraId="2C1FEC43" w14:textId="00B6D5C7" w:rsidR="00DA0FF2" w:rsidRPr="00610598" w:rsidRDefault="00DA0FF2" w:rsidP="00586F46">
            <w:pPr>
              <w:pStyle w:val="TableText"/>
              <w:jc w:val="right"/>
            </w:pPr>
            <w:r w:rsidRPr="00610598">
              <w:t>6,541,253</w:t>
            </w:r>
          </w:p>
        </w:tc>
      </w:tr>
      <w:tr w:rsidR="00DA0FF2" w:rsidRPr="00610598" w14:paraId="0FA2703A" w14:textId="77777777" w:rsidTr="00D45644">
        <w:tc>
          <w:tcPr>
            <w:tcW w:w="3501" w:type="dxa"/>
            <w:shd w:val="clear" w:color="auto" w:fill="auto"/>
            <w:noWrap/>
            <w:vAlign w:val="bottom"/>
            <w:hideMark/>
          </w:tcPr>
          <w:p w14:paraId="22F051BB" w14:textId="178E1556" w:rsidR="00DA0FF2" w:rsidRPr="007C43E0" w:rsidRDefault="00DA0FF2" w:rsidP="00856530">
            <w:pPr>
              <w:pStyle w:val="TableText"/>
              <w:rPr>
                <w:rStyle w:val="Strong"/>
              </w:rPr>
            </w:pPr>
            <w:r w:rsidRPr="007C43E0">
              <w:rPr>
                <w:rStyle w:val="Strong"/>
              </w:rPr>
              <w:t>Total</w:t>
            </w:r>
          </w:p>
        </w:tc>
        <w:tc>
          <w:tcPr>
            <w:tcW w:w="1602" w:type="dxa"/>
            <w:shd w:val="clear" w:color="auto" w:fill="auto"/>
            <w:noWrap/>
            <w:hideMark/>
          </w:tcPr>
          <w:p w14:paraId="787C2B0D" w14:textId="1B392BEA" w:rsidR="00DA0FF2" w:rsidRPr="007C43E0" w:rsidRDefault="00DA0FF2" w:rsidP="00586F46">
            <w:pPr>
              <w:pStyle w:val="TableText"/>
              <w:jc w:val="right"/>
              <w:rPr>
                <w:rStyle w:val="Strong"/>
              </w:rPr>
            </w:pPr>
            <w:r w:rsidRPr="007C43E0">
              <w:rPr>
                <w:rStyle w:val="Strong"/>
              </w:rPr>
              <w:t>56,960,84</w:t>
            </w:r>
            <w:r w:rsidR="007D6FF6">
              <w:rPr>
                <w:rStyle w:val="Strong"/>
              </w:rPr>
              <w:t>7</w:t>
            </w:r>
          </w:p>
        </w:tc>
        <w:tc>
          <w:tcPr>
            <w:tcW w:w="2268" w:type="dxa"/>
            <w:shd w:val="clear" w:color="auto" w:fill="auto"/>
            <w:noWrap/>
            <w:hideMark/>
          </w:tcPr>
          <w:p w14:paraId="4E8C93CC" w14:textId="3E2630E1" w:rsidR="00DA0FF2" w:rsidRPr="007C43E0" w:rsidRDefault="00DA0FF2" w:rsidP="00586F46">
            <w:pPr>
              <w:pStyle w:val="TableText"/>
              <w:jc w:val="right"/>
              <w:rPr>
                <w:rStyle w:val="Strong"/>
              </w:rPr>
            </w:pPr>
            <w:r w:rsidRPr="007C43E0">
              <w:rPr>
                <w:rStyle w:val="Strong"/>
              </w:rPr>
              <w:t>19,250,000</w:t>
            </w:r>
          </w:p>
        </w:tc>
        <w:tc>
          <w:tcPr>
            <w:tcW w:w="1699" w:type="dxa"/>
            <w:shd w:val="clear" w:color="auto" w:fill="auto"/>
            <w:noWrap/>
            <w:hideMark/>
          </w:tcPr>
          <w:p w14:paraId="020EDF8A" w14:textId="7D21E054" w:rsidR="00DA0FF2" w:rsidRPr="007C43E0" w:rsidRDefault="00DA0FF2" w:rsidP="00586F46">
            <w:pPr>
              <w:pStyle w:val="TableText"/>
              <w:jc w:val="right"/>
              <w:rPr>
                <w:rStyle w:val="Strong"/>
              </w:rPr>
            </w:pPr>
            <w:r w:rsidRPr="007C43E0">
              <w:rPr>
                <w:rStyle w:val="Strong"/>
              </w:rPr>
              <w:t>76,210,84</w:t>
            </w:r>
            <w:r w:rsidR="007D6FF6">
              <w:rPr>
                <w:rStyle w:val="Strong"/>
              </w:rPr>
              <w:t>7</w:t>
            </w:r>
          </w:p>
        </w:tc>
      </w:tr>
    </w:tbl>
    <w:bookmarkEnd w:id="18"/>
    <w:p w14:paraId="6F77B7E3" w14:textId="77777777" w:rsidR="00517F4E" w:rsidRDefault="002D2F2F" w:rsidP="00856530">
      <w:pPr>
        <w:pStyle w:val="Heading4"/>
        <w:spacing w:before="240"/>
      </w:pPr>
      <w:r>
        <w:t>Services</w:t>
      </w:r>
    </w:p>
    <w:p w14:paraId="661A92CC" w14:textId="3E4688B7" w:rsidR="00517F4E" w:rsidRDefault="00AD2681">
      <w:r>
        <w:t>The RFCS delivers an important and useful service to rural communities through free financial counselling to eligible clients. The services the RFCS provide</w:t>
      </w:r>
      <w:r w:rsidR="00D45644">
        <w:t>s</w:t>
      </w:r>
      <w:r>
        <w:t xml:space="preserve"> include:</w:t>
      </w:r>
    </w:p>
    <w:p w14:paraId="1CD0E0B7" w14:textId="5ED680DD" w:rsidR="00AD2681" w:rsidRDefault="00AD2681" w:rsidP="00AD2681">
      <w:pPr>
        <w:pStyle w:val="ListBullet"/>
      </w:pPr>
      <w:r>
        <w:t>identifying financial and business options</w:t>
      </w:r>
    </w:p>
    <w:p w14:paraId="4790A1D2" w14:textId="0216EC8A" w:rsidR="00AD2681" w:rsidRDefault="00AD2681" w:rsidP="00AD2681">
      <w:pPr>
        <w:pStyle w:val="ListBullet"/>
      </w:pPr>
      <w:r>
        <w:t>preparing for meetings with lenders</w:t>
      </w:r>
    </w:p>
    <w:p w14:paraId="2494F8BB" w14:textId="256B4FD3" w:rsidR="00AD2681" w:rsidRDefault="002D2F2F" w:rsidP="00AD2681">
      <w:pPr>
        <w:pStyle w:val="ListBullet"/>
      </w:pPr>
      <w:r>
        <w:t xml:space="preserve">providing </w:t>
      </w:r>
      <w:r w:rsidR="00AD2681">
        <w:t>information about other assistance schemes</w:t>
      </w:r>
    </w:p>
    <w:p w14:paraId="447D0C00" w14:textId="32F79E5C" w:rsidR="00AD2681" w:rsidRDefault="00AD2681" w:rsidP="00AD2681">
      <w:pPr>
        <w:pStyle w:val="ListBullet"/>
      </w:pPr>
      <w:r>
        <w:t>helping people apply for FHA and supporting them to reach their goals while on payment</w:t>
      </w:r>
    </w:p>
    <w:p w14:paraId="2517BF14" w14:textId="77777777" w:rsidR="00517F4E" w:rsidRDefault="002D2F2F" w:rsidP="00AD2681">
      <w:pPr>
        <w:pStyle w:val="ListBullet"/>
      </w:pPr>
      <w:proofErr w:type="gramStart"/>
      <w:r>
        <w:t>providing</w:t>
      </w:r>
      <w:proofErr w:type="gramEnd"/>
      <w:r>
        <w:t xml:space="preserve"> </w:t>
      </w:r>
      <w:r w:rsidR="00AD2681">
        <w:t>referrals to accountants, agricultural advisers, educational services and mental health services.</w:t>
      </w:r>
    </w:p>
    <w:p w14:paraId="2BAE87C7" w14:textId="247E8742" w:rsidR="00AD2681" w:rsidRDefault="00AD2681" w:rsidP="00AD2681">
      <w:r>
        <w:t>Rural financial counsellors are prohibited from providing financial advice, succession planning or family, emotional or social c</w:t>
      </w:r>
      <w:r w:rsidR="007D1558">
        <w:t>ounselling. They can, however,</w:t>
      </w:r>
      <w:r>
        <w:t xml:space="preserve"> provide referrals to appropriate professionals and information on how to prepare for discussions </w:t>
      </w:r>
      <w:r w:rsidR="00EC3361">
        <w:t>with relevant</w:t>
      </w:r>
      <w:r w:rsidR="006F1763">
        <w:t xml:space="preserve"> </w:t>
      </w:r>
      <w:r>
        <w:t>experts.</w:t>
      </w:r>
    </w:p>
    <w:p w14:paraId="1B98A326" w14:textId="77777777" w:rsidR="00610598" w:rsidRPr="00141000" w:rsidRDefault="00610598" w:rsidP="00610598">
      <w:pPr>
        <w:pStyle w:val="Heading4"/>
      </w:pPr>
      <w:r w:rsidRPr="00141000">
        <w:t>Expected program outcomes</w:t>
      </w:r>
    </w:p>
    <w:p w14:paraId="6DF0C02F" w14:textId="1E96DA8C" w:rsidR="00517F4E" w:rsidRDefault="00610598" w:rsidP="00610598">
      <w:r>
        <w:t xml:space="preserve">The </w:t>
      </w:r>
      <w:r w:rsidR="00536984">
        <w:t>current</w:t>
      </w:r>
      <w:r w:rsidR="002971C7">
        <w:t xml:space="preserve"> </w:t>
      </w:r>
      <w:r w:rsidR="002D2F2F">
        <w:t xml:space="preserve">program guidelines outline the </w:t>
      </w:r>
      <w:r>
        <w:t>expected outcomes of the RFCS program</w:t>
      </w:r>
      <w:r w:rsidR="00241820">
        <w:t>:</w:t>
      </w:r>
    </w:p>
    <w:p w14:paraId="28B8F0DE" w14:textId="1C4AF804" w:rsidR="00610598" w:rsidRDefault="008D54AC" w:rsidP="00610598">
      <w:pPr>
        <w:pStyle w:val="ListBullet"/>
      </w:pPr>
      <w:r>
        <w:t>T</w:t>
      </w:r>
      <w:r w:rsidR="00610598">
        <w:t xml:space="preserve">he majority of clients will exit the service </w:t>
      </w:r>
      <w:r w:rsidR="00610598" w:rsidRPr="002A4CC2">
        <w:t xml:space="preserve">within </w:t>
      </w:r>
      <w:r w:rsidR="00F13F30">
        <w:t>3</w:t>
      </w:r>
      <w:r w:rsidR="00610598" w:rsidRPr="002A4CC2">
        <w:t xml:space="preserve"> years,</w:t>
      </w:r>
      <w:r w:rsidR="00610598">
        <w:t xml:space="preserve"> having come to understand their financial position and having achieved their client plan or objectives towards financial self-sufficiency.</w:t>
      </w:r>
    </w:p>
    <w:p w14:paraId="59FD34F0" w14:textId="03196C0D" w:rsidR="00610598" w:rsidRDefault="008D54AC" w:rsidP="00610598">
      <w:pPr>
        <w:pStyle w:val="ListBullet"/>
      </w:pPr>
      <w:r>
        <w:t>C</w:t>
      </w:r>
      <w:r w:rsidR="00610598">
        <w:t>lients will be aware of, and have ready access to, rural financial counselling services in their region. Waiting times for clients to receive services will be short.</w:t>
      </w:r>
    </w:p>
    <w:p w14:paraId="377DFA82" w14:textId="0152E3DA" w:rsidR="00517F4E" w:rsidRDefault="008D54AC" w:rsidP="00331133">
      <w:pPr>
        <w:pStyle w:val="ListBullet"/>
      </w:pPr>
      <w:r>
        <w:t>P</w:t>
      </w:r>
      <w:r w:rsidR="00610598">
        <w:t xml:space="preserve">roviders will manage counselling services to meet client needs within acceptable response times and provide timely and effective reporting to the department. From information supplied to it by grantees, the department will be able to assess the impact of the service on clients and compliance with </w:t>
      </w:r>
      <w:r w:rsidR="00536984">
        <w:t>Australian Government</w:t>
      </w:r>
      <w:r w:rsidR="00610598">
        <w:t xml:space="preserve"> requirements.</w:t>
      </w:r>
    </w:p>
    <w:p w14:paraId="1D21694E" w14:textId="63FBCD5B" w:rsidR="00610598" w:rsidRDefault="008D54AC" w:rsidP="00331133">
      <w:pPr>
        <w:pStyle w:val="ListBullet"/>
      </w:pPr>
      <w:r>
        <w:t>T</w:t>
      </w:r>
      <w:r w:rsidR="00610598">
        <w:t xml:space="preserve">he department will be responsive to providers and efficiently administer the program and the </w:t>
      </w:r>
      <w:r w:rsidR="006E45AC">
        <w:t>portal</w:t>
      </w:r>
      <w:r w:rsidR="00610598">
        <w:t>.</w:t>
      </w:r>
    </w:p>
    <w:p w14:paraId="5AE7B45B" w14:textId="77777777" w:rsidR="00517F4E" w:rsidRDefault="002D2F2F" w:rsidP="00496903">
      <w:pPr>
        <w:pStyle w:val="Heading4"/>
      </w:pPr>
      <w:r>
        <w:t>Clients</w:t>
      </w:r>
    </w:p>
    <w:p w14:paraId="213144C2" w14:textId="7B0D56E5" w:rsidR="00517F4E" w:rsidRDefault="00E172EA" w:rsidP="007657D4">
      <w:r w:rsidRPr="0090348D">
        <w:t xml:space="preserve">Between </w:t>
      </w:r>
      <w:r w:rsidRPr="00D166F8">
        <w:t>1 April 2016 and 30 June 2019</w:t>
      </w:r>
      <w:r>
        <w:t xml:space="preserve"> </w:t>
      </w:r>
      <w:r w:rsidR="007657D4">
        <w:t xml:space="preserve">the RFCS </w:t>
      </w:r>
      <w:r w:rsidR="00782E62">
        <w:t xml:space="preserve">assisted </w:t>
      </w:r>
      <w:r w:rsidR="006E45AC">
        <w:t xml:space="preserve">a total of </w:t>
      </w:r>
      <w:r>
        <w:t xml:space="preserve">10,090 active clients across all </w:t>
      </w:r>
      <w:r w:rsidR="003B4923">
        <w:t>regions</w:t>
      </w:r>
      <w:r>
        <w:t>.</w:t>
      </w:r>
      <w:r w:rsidR="006B7444">
        <w:t xml:space="preserve"> </w:t>
      </w:r>
      <w:r>
        <w:t xml:space="preserve">During this period, </w:t>
      </w:r>
      <w:r w:rsidR="007657D4">
        <w:t>the national</w:t>
      </w:r>
      <w:r>
        <w:t xml:space="preserve"> monthly average of </w:t>
      </w:r>
      <w:r w:rsidR="007657D4">
        <w:t>active clients</w:t>
      </w:r>
      <w:r w:rsidR="007657D4" w:rsidRPr="007657D4">
        <w:t xml:space="preserve"> </w:t>
      </w:r>
      <w:r w:rsidR="007657D4">
        <w:t xml:space="preserve">was </w:t>
      </w:r>
      <w:r w:rsidR="00675039" w:rsidRPr="007657D4">
        <w:t>3,270</w:t>
      </w:r>
      <w:r w:rsidR="007657D4">
        <w:t>, noting that many clients stay with the service for many months or years</w:t>
      </w:r>
      <w:r w:rsidR="00675039" w:rsidRPr="007657D4">
        <w:t xml:space="preserve">. </w:t>
      </w:r>
      <w:r w:rsidR="00FA6D8D">
        <w:t>T</w:t>
      </w:r>
      <w:r w:rsidR="00675039" w:rsidRPr="007657D4">
        <w:t xml:space="preserve">he highest </w:t>
      </w:r>
      <w:r w:rsidR="002801E0">
        <w:t>national monthly average of active clients</w:t>
      </w:r>
      <w:r w:rsidR="002801E0" w:rsidRPr="007657D4">
        <w:t xml:space="preserve"> </w:t>
      </w:r>
      <w:r w:rsidR="002801E0">
        <w:t>was recorded</w:t>
      </w:r>
      <w:r w:rsidR="00FA6D8D">
        <w:t xml:space="preserve"> in 2018–</w:t>
      </w:r>
      <w:r w:rsidR="00FA6D8D" w:rsidRPr="007657D4">
        <w:t>19</w:t>
      </w:r>
      <w:r w:rsidR="00675039" w:rsidRPr="007657D4">
        <w:t xml:space="preserve">, with </w:t>
      </w:r>
      <w:r w:rsidR="002801E0">
        <w:t>more than</w:t>
      </w:r>
      <w:r w:rsidR="00675039" w:rsidRPr="007657D4">
        <w:t xml:space="preserve"> 3,800</w:t>
      </w:r>
      <w:r w:rsidR="002801E0">
        <w:t xml:space="preserve"> clients</w:t>
      </w:r>
      <w:r w:rsidR="006E45AC">
        <w:t xml:space="preserve"> per month</w:t>
      </w:r>
      <w:r w:rsidR="00675039" w:rsidRPr="007657D4">
        <w:t>.</w:t>
      </w:r>
    </w:p>
    <w:p w14:paraId="4F2B156E" w14:textId="447B5933" w:rsidR="00675039" w:rsidRPr="007657D4" w:rsidRDefault="007657D4" w:rsidP="007657D4">
      <w:r>
        <w:t>The majority of RFCS service uptake occurs across Queensland, New South Wales and Victoria</w:t>
      </w:r>
      <w:r w:rsidR="0090348D">
        <w:t xml:space="preserve"> </w:t>
      </w:r>
      <w:r w:rsidR="00D62BB6">
        <w:t>(Table 2).</w:t>
      </w:r>
    </w:p>
    <w:p w14:paraId="3EFA0A6F" w14:textId="6B4C82A4" w:rsidR="00E172EA" w:rsidRPr="00296221" w:rsidRDefault="00285515" w:rsidP="00285515">
      <w:pPr>
        <w:pStyle w:val="Caption"/>
      </w:pPr>
      <w:bookmarkStart w:id="19" w:name="_Ref17898776"/>
      <w:bookmarkStart w:id="20" w:name="_Ref16603781"/>
      <w:bookmarkStart w:id="21" w:name="_Toc18320669"/>
      <w:r>
        <w:lastRenderedPageBreak/>
        <w:t xml:space="preserve">Table </w:t>
      </w:r>
      <w:r w:rsidR="0027293D">
        <w:rPr>
          <w:noProof/>
        </w:rPr>
        <w:fldChar w:fldCharType="begin" w:fldLock="1"/>
      </w:r>
      <w:r w:rsidR="0027293D">
        <w:rPr>
          <w:noProof/>
        </w:rPr>
        <w:instrText xml:space="preserve"> SEQ Table \* ARABIC </w:instrText>
      </w:r>
      <w:r w:rsidR="0027293D">
        <w:rPr>
          <w:noProof/>
        </w:rPr>
        <w:fldChar w:fldCharType="separate"/>
      </w:r>
      <w:r w:rsidR="00474B0C">
        <w:rPr>
          <w:noProof/>
        </w:rPr>
        <w:t>2</w:t>
      </w:r>
      <w:r w:rsidR="0027293D">
        <w:rPr>
          <w:noProof/>
        </w:rPr>
        <w:fldChar w:fldCharType="end"/>
      </w:r>
      <w:bookmarkEnd w:id="19"/>
      <w:r w:rsidR="00296221" w:rsidRPr="00296221">
        <w:t xml:space="preserve"> Active clients </w:t>
      </w:r>
      <w:r w:rsidR="00D02DEF">
        <w:t>in each</w:t>
      </w:r>
      <w:r w:rsidR="00296221" w:rsidRPr="00296221">
        <w:t xml:space="preserve"> RFCS service region</w:t>
      </w:r>
      <w:r w:rsidR="00D02DEF">
        <w:t>,</w:t>
      </w:r>
      <w:r w:rsidR="00296221" w:rsidRPr="00296221">
        <w:t xml:space="preserve"> by financial year</w:t>
      </w:r>
      <w:bookmarkEnd w:id="20"/>
      <w:bookmarkEnd w:id="21"/>
    </w:p>
    <w:tbl>
      <w:tblPr>
        <w:tblW w:w="4220" w:type="pct"/>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Description w:val="Shows a breakdown of active RFCS clients by service region over the years 2016-17, 2017-18 and 2018-19."/>
      </w:tblPr>
      <w:tblGrid>
        <w:gridCol w:w="3402"/>
        <w:gridCol w:w="1417"/>
        <w:gridCol w:w="1418"/>
        <w:gridCol w:w="1418"/>
      </w:tblGrid>
      <w:tr w:rsidR="00E172EA" w:rsidRPr="00856530" w14:paraId="28408773" w14:textId="77777777" w:rsidTr="007D6FF6">
        <w:trPr>
          <w:cantSplit/>
          <w:tblHeader/>
        </w:trPr>
        <w:tc>
          <w:tcPr>
            <w:tcW w:w="3402" w:type="dxa"/>
            <w:tcBorders>
              <w:top w:val="single" w:sz="4" w:space="0" w:color="auto"/>
              <w:bottom w:val="single" w:sz="4" w:space="0" w:color="auto"/>
            </w:tcBorders>
            <w:noWrap/>
            <w:tcMar>
              <w:top w:w="0" w:type="dxa"/>
              <w:left w:w="108" w:type="dxa"/>
              <w:bottom w:w="0" w:type="dxa"/>
              <w:right w:w="108" w:type="dxa"/>
            </w:tcMar>
            <w:vAlign w:val="bottom"/>
            <w:hideMark/>
          </w:tcPr>
          <w:p w14:paraId="7980E268" w14:textId="5FDC0335" w:rsidR="00E172EA" w:rsidRPr="00856530" w:rsidRDefault="00296221" w:rsidP="00856530">
            <w:pPr>
              <w:pStyle w:val="TableHeading"/>
            </w:pPr>
            <w:r w:rsidRPr="00856530">
              <w:t>Region</w:t>
            </w:r>
          </w:p>
        </w:tc>
        <w:tc>
          <w:tcPr>
            <w:tcW w:w="1417" w:type="dxa"/>
            <w:tcBorders>
              <w:top w:val="single" w:sz="4" w:space="0" w:color="auto"/>
              <w:bottom w:val="single" w:sz="4" w:space="0" w:color="auto"/>
            </w:tcBorders>
            <w:noWrap/>
            <w:tcMar>
              <w:top w:w="0" w:type="dxa"/>
              <w:left w:w="108" w:type="dxa"/>
              <w:bottom w:w="0" w:type="dxa"/>
              <w:right w:w="108" w:type="dxa"/>
            </w:tcMar>
            <w:hideMark/>
          </w:tcPr>
          <w:p w14:paraId="607AA890" w14:textId="1B016B07" w:rsidR="00E172EA" w:rsidRPr="00856530" w:rsidRDefault="002971C7" w:rsidP="00782E62">
            <w:pPr>
              <w:pStyle w:val="TableHeading"/>
              <w:jc w:val="right"/>
            </w:pPr>
            <w:r w:rsidRPr="00856530">
              <w:t>2016–</w:t>
            </w:r>
            <w:r w:rsidR="00E172EA" w:rsidRPr="00856530">
              <w:t>17</w:t>
            </w:r>
          </w:p>
        </w:tc>
        <w:tc>
          <w:tcPr>
            <w:tcW w:w="1418" w:type="dxa"/>
            <w:tcBorders>
              <w:top w:val="single" w:sz="4" w:space="0" w:color="auto"/>
              <w:bottom w:val="single" w:sz="4" w:space="0" w:color="auto"/>
            </w:tcBorders>
            <w:noWrap/>
            <w:tcMar>
              <w:top w:w="0" w:type="dxa"/>
              <w:left w:w="108" w:type="dxa"/>
              <w:bottom w:w="0" w:type="dxa"/>
              <w:right w:w="108" w:type="dxa"/>
            </w:tcMar>
            <w:hideMark/>
          </w:tcPr>
          <w:p w14:paraId="5CA19505" w14:textId="5D33812B" w:rsidR="00E172EA" w:rsidRPr="00856530" w:rsidRDefault="002971C7" w:rsidP="00782E62">
            <w:pPr>
              <w:pStyle w:val="TableHeading"/>
              <w:jc w:val="right"/>
            </w:pPr>
            <w:r w:rsidRPr="00856530">
              <w:t>2017–</w:t>
            </w:r>
            <w:r w:rsidR="00E172EA" w:rsidRPr="00856530">
              <w:t>18</w:t>
            </w:r>
          </w:p>
        </w:tc>
        <w:tc>
          <w:tcPr>
            <w:tcW w:w="1418" w:type="dxa"/>
            <w:tcBorders>
              <w:top w:val="single" w:sz="4" w:space="0" w:color="auto"/>
              <w:bottom w:val="single" w:sz="4" w:space="0" w:color="auto"/>
            </w:tcBorders>
            <w:noWrap/>
            <w:tcMar>
              <w:top w:w="0" w:type="dxa"/>
              <w:left w:w="108" w:type="dxa"/>
              <w:bottom w:w="0" w:type="dxa"/>
              <w:right w:w="108" w:type="dxa"/>
            </w:tcMar>
            <w:hideMark/>
          </w:tcPr>
          <w:p w14:paraId="3DDED28F" w14:textId="1E051208" w:rsidR="00E172EA" w:rsidRPr="00856530" w:rsidRDefault="002971C7" w:rsidP="00782E62">
            <w:pPr>
              <w:pStyle w:val="TableHeading"/>
              <w:jc w:val="right"/>
            </w:pPr>
            <w:r w:rsidRPr="00856530">
              <w:t>2018–</w:t>
            </w:r>
            <w:r w:rsidR="00E172EA" w:rsidRPr="00856530">
              <w:t>19</w:t>
            </w:r>
          </w:p>
        </w:tc>
      </w:tr>
      <w:tr w:rsidR="00E172EA" w:rsidRPr="00856530" w14:paraId="665F33FF" w14:textId="77777777" w:rsidTr="007D6FF6">
        <w:tc>
          <w:tcPr>
            <w:tcW w:w="3402" w:type="dxa"/>
            <w:tcBorders>
              <w:top w:val="single" w:sz="4" w:space="0" w:color="auto"/>
            </w:tcBorders>
            <w:noWrap/>
            <w:tcMar>
              <w:top w:w="0" w:type="dxa"/>
              <w:left w:w="108" w:type="dxa"/>
              <w:bottom w:w="0" w:type="dxa"/>
              <w:right w:w="108" w:type="dxa"/>
            </w:tcMar>
            <w:hideMark/>
          </w:tcPr>
          <w:p w14:paraId="4E9915E7" w14:textId="77777777" w:rsidR="00E172EA" w:rsidRPr="00856530" w:rsidRDefault="00E172EA" w:rsidP="00856530">
            <w:pPr>
              <w:pStyle w:val="TableText"/>
            </w:pPr>
            <w:r w:rsidRPr="00856530">
              <w:t>NSW Central</w:t>
            </w:r>
          </w:p>
        </w:tc>
        <w:tc>
          <w:tcPr>
            <w:tcW w:w="1417" w:type="dxa"/>
            <w:tcBorders>
              <w:top w:val="single" w:sz="4" w:space="0" w:color="auto"/>
            </w:tcBorders>
            <w:noWrap/>
            <w:tcMar>
              <w:top w:w="0" w:type="dxa"/>
              <w:left w:w="108" w:type="dxa"/>
              <w:bottom w:w="0" w:type="dxa"/>
              <w:right w:w="108" w:type="dxa"/>
            </w:tcMar>
            <w:hideMark/>
          </w:tcPr>
          <w:p w14:paraId="61EA1190" w14:textId="77777777" w:rsidR="00E172EA" w:rsidRPr="00856530" w:rsidRDefault="00E172EA" w:rsidP="00782E62">
            <w:pPr>
              <w:pStyle w:val="TableText"/>
              <w:jc w:val="right"/>
            </w:pPr>
            <w:r w:rsidRPr="00856530">
              <w:t>457</w:t>
            </w:r>
          </w:p>
        </w:tc>
        <w:tc>
          <w:tcPr>
            <w:tcW w:w="1418" w:type="dxa"/>
            <w:tcBorders>
              <w:top w:val="single" w:sz="4" w:space="0" w:color="auto"/>
            </w:tcBorders>
            <w:noWrap/>
            <w:tcMar>
              <w:top w:w="0" w:type="dxa"/>
              <w:left w:w="108" w:type="dxa"/>
              <w:bottom w:w="0" w:type="dxa"/>
              <w:right w:w="108" w:type="dxa"/>
            </w:tcMar>
            <w:hideMark/>
          </w:tcPr>
          <w:p w14:paraId="6BB0A890" w14:textId="77777777" w:rsidR="00E172EA" w:rsidRPr="00856530" w:rsidRDefault="00E172EA" w:rsidP="00782E62">
            <w:pPr>
              <w:pStyle w:val="TableText"/>
              <w:jc w:val="right"/>
            </w:pPr>
            <w:r w:rsidRPr="00856530">
              <w:t>517</w:t>
            </w:r>
          </w:p>
        </w:tc>
        <w:tc>
          <w:tcPr>
            <w:tcW w:w="1418" w:type="dxa"/>
            <w:tcBorders>
              <w:top w:val="single" w:sz="4" w:space="0" w:color="auto"/>
            </w:tcBorders>
            <w:noWrap/>
            <w:tcMar>
              <w:top w:w="0" w:type="dxa"/>
              <w:left w:w="108" w:type="dxa"/>
              <w:bottom w:w="0" w:type="dxa"/>
              <w:right w:w="108" w:type="dxa"/>
            </w:tcMar>
            <w:hideMark/>
          </w:tcPr>
          <w:p w14:paraId="733F81B0" w14:textId="77777777" w:rsidR="00E172EA" w:rsidRPr="00856530" w:rsidRDefault="00E172EA" w:rsidP="00782E62">
            <w:pPr>
              <w:pStyle w:val="TableText"/>
              <w:jc w:val="right"/>
            </w:pPr>
            <w:r w:rsidRPr="00856530">
              <w:t>675</w:t>
            </w:r>
          </w:p>
        </w:tc>
      </w:tr>
      <w:tr w:rsidR="00E172EA" w:rsidRPr="00856530" w14:paraId="4CCAF41E" w14:textId="77777777" w:rsidTr="007D6FF6">
        <w:tc>
          <w:tcPr>
            <w:tcW w:w="3402" w:type="dxa"/>
            <w:noWrap/>
            <w:tcMar>
              <w:top w:w="0" w:type="dxa"/>
              <w:left w:w="108" w:type="dxa"/>
              <w:bottom w:w="0" w:type="dxa"/>
              <w:right w:w="108" w:type="dxa"/>
            </w:tcMar>
            <w:hideMark/>
          </w:tcPr>
          <w:p w14:paraId="6D5AAF9A" w14:textId="77777777" w:rsidR="00E172EA" w:rsidRPr="00856530" w:rsidRDefault="00E172EA" w:rsidP="00856530">
            <w:pPr>
              <w:pStyle w:val="TableText"/>
            </w:pPr>
            <w:r w:rsidRPr="00856530">
              <w:t>NSW Northern</w:t>
            </w:r>
          </w:p>
        </w:tc>
        <w:tc>
          <w:tcPr>
            <w:tcW w:w="1417" w:type="dxa"/>
            <w:noWrap/>
            <w:tcMar>
              <w:top w:w="0" w:type="dxa"/>
              <w:left w:w="108" w:type="dxa"/>
              <w:bottom w:w="0" w:type="dxa"/>
              <w:right w:w="108" w:type="dxa"/>
            </w:tcMar>
            <w:hideMark/>
          </w:tcPr>
          <w:p w14:paraId="4B0F8B59" w14:textId="77777777" w:rsidR="00E172EA" w:rsidRPr="00856530" w:rsidRDefault="00E172EA" w:rsidP="00782E62">
            <w:pPr>
              <w:pStyle w:val="TableText"/>
              <w:jc w:val="right"/>
            </w:pPr>
            <w:r w:rsidRPr="00856530">
              <w:t>605</w:t>
            </w:r>
          </w:p>
        </w:tc>
        <w:tc>
          <w:tcPr>
            <w:tcW w:w="1418" w:type="dxa"/>
            <w:noWrap/>
            <w:tcMar>
              <w:top w:w="0" w:type="dxa"/>
              <w:left w:w="108" w:type="dxa"/>
              <w:bottom w:w="0" w:type="dxa"/>
              <w:right w:w="108" w:type="dxa"/>
            </w:tcMar>
            <w:hideMark/>
          </w:tcPr>
          <w:p w14:paraId="2E61BE75" w14:textId="77777777" w:rsidR="00E172EA" w:rsidRPr="00856530" w:rsidRDefault="00E172EA" w:rsidP="00782E62">
            <w:pPr>
              <w:pStyle w:val="TableText"/>
              <w:jc w:val="right"/>
            </w:pPr>
            <w:r w:rsidRPr="00856530">
              <w:t>584</w:t>
            </w:r>
          </w:p>
        </w:tc>
        <w:tc>
          <w:tcPr>
            <w:tcW w:w="1418" w:type="dxa"/>
            <w:noWrap/>
            <w:tcMar>
              <w:top w:w="0" w:type="dxa"/>
              <w:left w:w="108" w:type="dxa"/>
              <w:bottom w:w="0" w:type="dxa"/>
              <w:right w:w="108" w:type="dxa"/>
            </w:tcMar>
            <w:hideMark/>
          </w:tcPr>
          <w:p w14:paraId="76D46245" w14:textId="77777777" w:rsidR="00E172EA" w:rsidRPr="00856530" w:rsidRDefault="00E172EA" w:rsidP="00782E62">
            <w:pPr>
              <w:pStyle w:val="TableText"/>
              <w:jc w:val="right"/>
            </w:pPr>
            <w:r w:rsidRPr="00856530">
              <w:t>687</w:t>
            </w:r>
          </w:p>
        </w:tc>
      </w:tr>
      <w:tr w:rsidR="00E172EA" w:rsidRPr="00856530" w14:paraId="4620C3B2" w14:textId="77777777" w:rsidTr="007D6FF6">
        <w:tc>
          <w:tcPr>
            <w:tcW w:w="3402" w:type="dxa"/>
            <w:noWrap/>
            <w:tcMar>
              <w:top w:w="0" w:type="dxa"/>
              <w:left w:w="108" w:type="dxa"/>
              <w:bottom w:w="0" w:type="dxa"/>
              <w:right w:w="108" w:type="dxa"/>
            </w:tcMar>
            <w:hideMark/>
          </w:tcPr>
          <w:p w14:paraId="2103F0E7" w14:textId="77777777" w:rsidR="00E172EA" w:rsidRPr="00856530" w:rsidRDefault="00E172EA" w:rsidP="00856530">
            <w:pPr>
              <w:pStyle w:val="TableText"/>
            </w:pPr>
            <w:r w:rsidRPr="00856530">
              <w:t>NSW Southern</w:t>
            </w:r>
          </w:p>
        </w:tc>
        <w:tc>
          <w:tcPr>
            <w:tcW w:w="1417" w:type="dxa"/>
            <w:noWrap/>
            <w:tcMar>
              <w:top w:w="0" w:type="dxa"/>
              <w:left w:w="108" w:type="dxa"/>
              <w:bottom w:w="0" w:type="dxa"/>
              <w:right w:w="108" w:type="dxa"/>
            </w:tcMar>
            <w:hideMark/>
          </w:tcPr>
          <w:p w14:paraId="2F3D84C4" w14:textId="77777777" w:rsidR="00E172EA" w:rsidRPr="00856530" w:rsidRDefault="00E172EA" w:rsidP="00782E62">
            <w:pPr>
              <w:pStyle w:val="TableText"/>
              <w:jc w:val="right"/>
            </w:pPr>
            <w:r w:rsidRPr="00856530">
              <w:t>356</w:t>
            </w:r>
          </w:p>
        </w:tc>
        <w:tc>
          <w:tcPr>
            <w:tcW w:w="1418" w:type="dxa"/>
            <w:noWrap/>
            <w:tcMar>
              <w:top w:w="0" w:type="dxa"/>
              <w:left w:w="108" w:type="dxa"/>
              <w:bottom w:w="0" w:type="dxa"/>
              <w:right w:w="108" w:type="dxa"/>
            </w:tcMar>
            <w:hideMark/>
          </w:tcPr>
          <w:p w14:paraId="661B2B8B" w14:textId="77777777" w:rsidR="00E172EA" w:rsidRPr="00856530" w:rsidRDefault="00E172EA" w:rsidP="00782E62">
            <w:pPr>
              <w:pStyle w:val="TableText"/>
              <w:jc w:val="right"/>
            </w:pPr>
            <w:r w:rsidRPr="00856530">
              <w:t>450</w:t>
            </w:r>
          </w:p>
        </w:tc>
        <w:tc>
          <w:tcPr>
            <w:tcW w:w="1418" w:type="dxa"/>
            <w:noWrap/>
            <w:tcMar>
              <w:top w:w="0" w:type="dxa"/>
              <w:left w:w="108" w:type="dxa"/>
              <w:bottom w:w="0" w:type="dxa"/>
              <w:right w:w="108" w:type="dxa"/>
            </w:tcMar>
            <w:hideMark/>
          </w:tcPr>
          <w:p w14:paraId="3B625341" w14:textId="77777777" w:rsidR="00E172EA" w:rsidRPr="00856530" w:rsidRDefault="00E172EA" w:rsidP="00782E62">
            <w:pPr>
              <w:pStyle w:val="TableText"/>
              <w:jc w:val="right"/>
            </w:pPr>
            <w:r w:rsidRPr="00856530">
              <w:t>784</w:t>
            </w:r>
          </w:p>
        </w:tc>
      </w:tr>
      <w:tr w:rsidR="00E172EA" w:rsidRPr="00856530" w14:paraId="769E2BBC" w14:textId="77777777" w:rsidTr="007D6FF6">
        <w:tc>
          <w:tcPr>
            <w:tcW w:w="3402" w:type="dxa"/>
            <w:noWrap/>
            <w:tcMar>
              <w:top w:w="0" w:type="dxa"/>
              <w:left w:w="108" w:type="dxa"/>
              <w:bottom w:w="0" w:type="dxa"/>
              <w:right w:w="108" w:type="dxa"/>
            </w:tcMar>
            <w:hideMark/>
          </w:tcPr>
          <w:p w14:paraId="720070C2" w14:textId="6E7C84C1" w:rsidR="00E172EA" w:rsidRPr="00856530" w:rsidRDefault="00E172EA" w:rsidP="00782E62">
            <w:pPr>
              <w:pStyle w:val="TableText"/>
            </w:pPr>
            <w:r w:rsidRPr="00856530">
              <w:t>Q</w:t>
            </w:r>
            <w:r w:rsidR="00782E62">
              <w:t>ueensland</w:t>
            </w:r>
            <w:r w:rsidRPr="00856530">
              <w:t xml:space="preserve"> Northern</w:t>
            </w:r>
          </w:p>
        </w:tc>
        <w:tc>
          <w:tcPr>
            <w:tcW w:w="1417" w:type="dxa"/>
            <w:noWrap/>
            <w:tcMar>
              <w:top w:w="0" w:type="dxa"/>
              <w:left w:w="108" w:type="dxa"/>
              <w:bottom w:w="0" w:type="dxa"/>
              <w:right w:w="108" w:type="dxa"/>
            </w:tcMar>
            <w:hideMark/>
          </w:tcPr>
          <w:p w14:paraId="15F2AE4D" w14:textId="77777777" w:rsidR="00E172EA" w:rsidRPr="00856530" w:rsidRDefault="00E172EA" w:rsidP="00782E62">
            <w:pPr>
              <w:pStyle w:val="TableText"/>
              <w:jc w:val="right"/>
            </w:pPr>
            <w:r w:rsidRPr="00856530">
              <w:t>174</w:t>
            </w:r>
          </w:p>
        </w:tc>
        <w:tc>
          <w:tcPr>
            <w:tcW w:w="1418" w:type="dxa"/>
            <w:noWrap/>
            <w:tcMar>
              <w:top w:w="0" w:type="dxa"/>
              <w:left w:w="108" w:type="dxa"/>
              <w:bottom w:w="0" w:type="dxa"/>
              <w:right w:w="108" w:type="dxa"/>
            </w:tcMar>
            <w:hideMark/>
          </w:tcPr>
          <w:p w14:paraId="1A158223" w14:textId="77777777" w:rsidR="00E172EA" w:rsidRPr="00856530" w:rsidRDefault="00E172EA" w:rsidP="00782E62">
            <w:pPr>
              <w:pStyle w:val="TableText"/>
              <w:jc w:val="right"/>
            </w:pPr>
            <w:r w:rsidRPr="00856530">
              <w:t>176</w:t>
            </w:r>
          </w:p>
        </w:tc>
        <w:tc>
          <w:tcPr>
            <w:tcW w:w="1418" w:type="dxa"/>
            <w:noWrap/>
            <w:tcMar>
              <w:top w:w="0" w:type="dxa"/>
              <w:left w:w="108" w:type="dxa"/>
              <w:bottom w:w="0" w:type="dxa"/>
              <w:right w:w="108" w:type="dxa"/>
            </w:tcMar>
            <w:hideMark/>
          </w:tcPr>
          <w:p w14:paraId="462E3B1A" w14:textId="77777777" w:rsidR="00E172EA" w:rsidRPr="00856530" w:rsidRDefault="00E172EA" w:rsidP="00782E62">
            <w:pPr>
              <w:pStyle w:val="TableText"/>
              <w:jc w:val="right"/>
            </w:pPr>
            <w:r w:rsidRPr="00856530">
              <w:t>219</w:t>
            </w:r>
          </w:p>
        </w:tc>
      </w:tr>
      <w:tr w:rsidR="00E172EA" w:rsidRPr="00856530" w14:paraId="38D387C5" w14:textId="77777777" w:rsidTr="007D6FF6">
        <w:tc>
          <w:tcPr>
            <w:tcW w:w="3402" w:type="dxa"/>
            <w:noWrap/>
            <w:tcMar>
              <w:top w:w="0" w:type="dxa"/>
              <w:left w:w="108" w:type="dxa"/>
              <w:bottom w:w="0" w:type="dxa"/>
              <w:right w:w="108" w:type="dxa"/>
            </w:tcMar>
            <w:hideMark/>
          </w:tcPr>
          <w:p w14:paraId="2D00BC97" w14:textId="39FDD560" w:rsidR="00E172EA" w:rsidRPr="00856530" w:rsidRDefault="00E172EA" w:rsidP="00782E62">
            <w:pPr>
              <w:pStyle w:val="TableText"/>
            </w:pPr>
            <w:r w:rsidRPr="00856530">
              <w:t>Q</w:t>
            </w:r>
            <w:r w:rsidR="00782E62">
              <w:t>ueensland</w:t>
            </w:r>
            <w:r w:rsidRPr="00856530">
              <w:t xml:space="preserve"> Southern</w:t>
            </w:r>
          </w:p>
        </w:tc>
        <w:tc>
          <w:tcPr>
            <w:tcW w:w="1417" w:type="dxa"/>
            <w:noWrap/>
            <w:tcMar>
              <w:top w:w="0" w:type="dxa"/>
              <w:left w:w="108" w:type="dxa"/>
              <w:bottom w:w="0" w:type="dxa"/>
              <w:right w:w="108" w:type="dxa"/>
            </w:tcMar>
            <w:hideMark/>
          </w:tcPr>
          <w:p w14:paraId="104FB8E9" w14:textId="77777777" w:rsidR="00E172EA" w:rsidRPr="00856530" w:rsidRDefault="00E172EA" w:rsidP="00782E62">
            <w:pPr>
              <w:pStyle w:val="TableText"/>
              <w:jc w:val="right"/>
            </w:pPr>
            <w:r w:rsidRPr="00856530">
              <w:t>379</w:t>
            </w:r>
          </w:p>
        </w:tc>
        <w:tc>
          <w:tcPr>
            <w:tcW w:w="1418" w:type="dxa"/>
            <w:noWrap/>
            <w:tcMar>
              <w:top w:w="0" w:type="dxa"/>
              <w:left w:w="108" w:type="dxa"/>
              <w:bottom w:w="0" w:type="dxa"/>
              <w:right w:w="108" w:type="dxa"/>
            </w:tcMar>
            <w:hideMark/>
          </w:tcPr>
          <w:p w14:paraId="5D758421" w14:textId="77777777" w:rsidR="00E172EA" w:rsidRPr="00856530" w:rsidRDefault="00E172EA" w:rsidP="00782E62">
            <w:pPr>
              <w:pStyle w:val="TableText"/>
              <w:jc w:val="right"/>
            </w:pPr>
            <w:r w:rsidRPr="00856530">
              <w:t>397</w:t>
            </w:r>
          </w:p>
        </w:tc>
        <w:tc>
          <w:tcPr>
            <w:tcW w:w="1418" w:type="dxa"/>
            <w:noWrap/>
            <w:tcMar>
              <w:top w:w="0" w:type="dxa"/>
              <w:left w:w="108" w:type="dxa"/>
              <w:bottom w:w="0" w:type="dxa"/>
              <w:right w:w="108" w:type="dxa"/>
            </w:tcMar>
            <w:hideMark/>
          </w:tcPr>
          <w:p w14:paraId="005ADCC1" w14:textId="77777777" w:rsidR="00E172EA" w:rsidRPr="00856530" w:rsidRDefault="00E172EA" w:rsidP="00782E62">
            <w:pPr>
              <w:pStyle w:val="TableText"/>
              <w:jc w:val="right"/>
            </w:pPr>
            <w:r w:rsidRPr="00856530">
              <w:t>822</w:t>
            </w:r>
          </w:p>
        </w:tc>
      </w:tr>
      <w:tr w:rsidR="00E172EA" w:rsidRPr="00856530" w14:paraId="1835E681" w14:textId="77777777" w:rsidTr="007D6FF6">
        <w:tc>
          <w:tcPr>
            <w:tcW w:w="3402" w:type="dxa"/>
            <w:noWrap/>
            <w:tcMar>
              <w:top w:w="0" w:type="dxa"/>
              <w:left w:w="108" w:type="dxa"/>
              <w:bottom w:w="0" w:type="dxa"/>
              <w:right w:w="108" w:type="dxa"/>
            </w:tcMar>
            <w:hideMark/>
          </w:tcPr>
          <w:p w14:paraId="260C5820" w14:textId="59EFA80E" w:rsidR="00E172EA" w:rsidRPr="00856530" w:rsidRDefault="00E172EA" w:rsidP="00782E62">
            <w:pPr>
              <w:pStyle w:val="TableText"/>
            </w:pPr>
            <w:r w:rsidRPr="00856530">
              <w:t>S</w:t>
            </w:r>
            <w:r w:rsidR="00782E62">
              <w:t xml:space="preserve">outh </w:t>
            </w:r>
            <w:r w:rsidRPr="00856530">
              <w:t>A</w:t>
            </w:r>
            <w:r w:rsidR="00782E62">
              <w:t>ustralia and</w:t>
            </w:r>
            <w:r w:rsidR="002801E0" w:rsidRPr="00856530">
              <w:t xml:space="preserve"> </w:t>
            </w:r>
            <w:r w:rsidRPr="00856530">
              <w:t>N</w:t>
            </w:r>
            <w:r w:rsidR="00782E62">
              <w:t xml:space="preserve">orthern </w:t>
            </w:r>
            <w:r w:rsidRPr="00856530">
              <w:t>T</w:t>
            </w:r>
            <w:r w:rsidR="00782E62">
              <w:t>erritory</w:t>
            </w:r>
          </w:p>
        </w:tc>
        <w:tc>
          <w:tcPr>
            <w:tcW w:w="1417" w:type="dxa"/>
            <w:noWrap/>
            <w:tcMar>
              <w:top w:w="0" w:type="dxa"/>
              <w:left w:w="108" w:type="dxa"/>
              <w:bottom w:w="0" w:type="dxa"/>
              <w:right w:w="108" w:type="dxa"/>
            </w:tcMar>
            <w:hideMark/>
          </w:tcPr>
          <w:p w14:paraId="429D9765" w14:textId="77777777" w:rsidR="00E172EA" w:rsidRPr="00856530" w:rsidRDefault="00E172EA" w:rsidP="00782E62">
            <w:pPr>
              <w:pStyle w:val="TableText"/>
              <w:jc w:val="right"/>
            </w:pPr>
            <w:r w:rsidRPr="00856530">
              <w:t>420</w:t>
            </w:r>
          </w:p>
        </w:tc>
        <w:tc>
          <w:tcPr>
            <w:tcW w:w="1418" w:type="dxa"/>
            <w:noWrap/>
            <w:tcMar>
              <w:top w:w="0" w:type="dxa"/>
              <w:left w:w="108" w:type="dxa"/>
              <w:bottom w:w="0" w:type="dxa"/>
              <w:right w:w="108" w:type="dxa"/>
            </w:tcMar>
            <w:hideMark/>
          </w:tcPr>
          <w:p w14:paraId="32C5DA61" w14:textId="77777777" w:rsidR="00E172EA" w:rsidRPr="00856530" w:rsidRDefault="00E172EA" w:rsidP="00782E62">
            <w:pPr>
              <w:pStyle w:val="TableText"/>
              <w:jc w:val="right"/>
            </w:pPr>
            <w:r w:rsidRPr="00856530">
              <w:t>383</w:t>
            </w:r>
          </w:p>
        </w:tc>
        <w:tc>
          <w:tcPr>
            <w:tcW w:w="1418" w:type="dxa"/>
            <w:noWrap/>
            <w:tcMar>
              <w:top w:w="0" w:type="dxa"/>
              <w:left w:w="108" w:type="dxa"/>
              <w:bottom w:w="0" w:type="dxa"/>
              <w:right w:w="108" w:type="dxa"/>
            </w:tcMar>
            <w:hideMark/>
          </w:tcPr>
          <w:p w14:paraId="6B578929" w14:textId="77777777" w:rsidR="00E172EA" w:rsidRPr="00856530" w:rsidRDefault="00E172EA" w:rsidP="00782E62">
            <w:pPr>
              <w:pStyle w:val="TableText"/>
              <w:jc w:val="right"/>
            </w:pPr>
            <w:r w:rsidRPr="00856530">
              <w:t>556</w:t>
            </w:r>
          </w:p>
        </w:tc>
      </w:tr>
      <w:tr w:rsidR="00E172EA" w:rsidRPr="00856530" w14:paraId="48A25602" w14:textId="77777777" w:rsidTr="007D6FF6">
        <w:tc>
          <w:tcPr>
            <w:tcW w:w="3402" w:type="dxa"/>
            <w:noWrap/>
            <w:tcMar>
              <w:top w:w="0" w:type="dxa"/>
              <w:left w:w="108" w:type="dxa"/>
              <w:bottom w:w="0" w:type="dxa"/>
              <w:right w:w="108" w:type="dxa"/>
            </w:tcMar>
            <w:hideMark/>
          </w:tcPr>
          <w:p w14:paraId="66D89909" w14:textId="5A0EF54E" w:rsidR="00E172EA" w:rsidRPr="00856530" w:rsidRDefault="00E172EA" w:rsidP="00856530">
            <w:pPr>
              <w:pStyle w:val="TableText"/>
            </w:pPr>
            <w:r w:rsidRPr="00856530">
              <w:t>T</w:t>
            </w:r>
            <w:r w:rsidR="00782E62">
              <w:t>asmania</w:t>
            </w:r>
          </w:p>
        </w:tc>
        <w:tc>
          <w:tcPr>
            <w:tcW w:w="1417" w:type="dxa"/>
            <w:noWrap/>
            <w:tcMar>
              <w:top w:w="0" w:type="dxa"/>
              <w:left w:w="108" w:type="dxa"/>
              <w:bottom w:w="0" w:type="dxa"/>
              <w:right w:w="108" w:type="dxa"/>
            </w:tcMar>
            <w:hideMark/>
          </w:tcPr>
          <w:p w14:paraId="1E73D4A0" w14:textId="77777777" w:rsidR="00E172EA" w:rsidRPr="00856530" w:rsidRDefault="00E172EA" w:rsidP="00782E62">
            <w:pPr>
              <w:pStyle w:val="TableText"/>
              <w:jc w:val="right"/>
            </w:pPr>
            <w:r w:rsidRPr="00856530">
              <w:t>137</w:t>
            </w:r>
          </w:p>
        </w:tc>
        <w:tc>
          <w:tcPr>
            <w:tcW w:w="1418" w:type="dxa"/>
            <w:noWrap/>
            <w:tcMar>
              <w:top w:w="0" w:type="dxa"/>
              <w:left w:w="108" w:type="dxa"/>
              <w:bottom w:w="0" w:type="dxa"/>
              <w:right w:w="108" w:type="dxa"/>
            </w:tcMar>
            <w:hideMark/>
          </w:tcPr>
          <w:p w14:paraId="5CB0B63F" w14:textId="77777777" w:rsidR="00E172EA" w:rsidRPr="00856530" w:rsidRDefault="00E172EA" w:rsidP="00782E62">
            <w:pPr>
              <w:pStyle w:val="TableText"/>
              <w:jc w:val="right"/>
            </w:pPr>
            <w:r w:rsidRPr="00856530">
              <w:t>132</w:t>
            </w:r>
          </w:p>
        </w:tc>
        <w:tc>
          <w:tcPr>
            <w:tcW w:w="1418" w:type="dxa"/>
            <w:noWrap/>
            <w:tcMar>
              <w:top w:w="0" w:type="dxa"/>
              <w:left w:w="108" w:type="dxa"/>
              <w:bottom w:w="0" w:type="dxa"/>
              <w:right w:w="108" w:type="dxa"/>
            </w:tcMar>
            <w:hideMark/>
          </w:tcPr>
          <w:p w14:paraId="024C6A9A" w14:textId="77777777" w:rsidR="00E172EA" w:rsidRPr="00856530" w:rsidRDefault="00E172EA" w:rsidP="00782E62">
            <w:pPr>
              <w:pStyle w:val="TableText"/>
              <w:jc w:val="right"/>
            </w:pPr>
            <w:r w:rsidRPr="00856530">
              <w:t>118</w:t>
            </w:r>
          </w:p>
        </w:tc>
      </w:tr>
      <w:tr w:rsidR="00E172EA" w:rsidRPr="00856530" w14:paraId="14903465" w14:textId="77777777" w:rsidTr="007D6FF6">
        <w:tc>
          <w:tcPr>
            <w:tcW w:w="3402" w:type="dxa"/>
            <w:noWrap/>
            <w:tcMar>
              <w:top w:w="0" w:type="dxa"/>
              <w:left w:w="108" w:type="dxa"/>
              <w:bottom w:w="0" w:type="dxa"/>
              <w:right w:w="108" w:type="dxa"/>
            </w:tcMar>
            <w:hideMark/>
          </w:tcPr>
          <w:p w14:paraId="16CA702F" w14:textId="0AE59179" w:rsidR="00E172EA" w:rsidRPr="00856530" w:rsidRDefault="00E172EA" w:rsidP="00782E62">
            <w:pPr>
              <w:pStyle w:val="TableText"/>
            </w:pPr>
            <w:r w:rsidRPr="00856530">
              <w:t>V</w:t>
            </w:r>
            <w:r w:rsidR="00782E62">
              <w:t>ictoria</w:t>
            </w:r>
            <w:r w:rsidRPr="00856530">
              <w:t xml:space="preserve"> Eastern</w:t>
            </w:r>
          </w:p>
        </w:tc>
        <w:tc>
          <w:tcPr>
            <w:tcW w:w="1417" w:type="dxa"/>
            <w:noWrap/>
            <w:tcMar>
              <w:top w:w="0" w:type="dxa"/>
              <w:left w:w="108" w:type="dxa"/>
              <w:bottom w:w="0" w:type="dxa"/>
              <w:right w:w="108" w:type="dxa"/>
            </w:tcMar>
            <w:hideMark/>
          </w:tcPr>
          <w:p w14:paraId="6F3E834D" w14:textId="77777777" w:rsidR="00E172EA" w:rsidRPr="00856530" w:rsidRDefault="00E172EA" w:rsidP="00782E62">
            <w:pPr>
              <w:pStyle w:val="TableText"/>
              <w:jc w:val="right"/>
            </w:pPr>
            <w:r w:rsidRPr="00856530">
              <w:t>328</w:t>
            </w:r>
          </w:p>
        </w:tc>
        <w:tc>
          <w:tcPr>
            <w:tcW w:w="1418" w:type="dxa"/>
            <w:noWrap/>
            <w:tcMar>
              <w:top w:w="0" w:type="dxa"/>
              <w:left w:w="108" w:type="dxa"/>
              <w:bottom w:w="0" w:type="dxa"/>
              <w:right w:w="108" w:type="dxa"/>
            </w:tcMar>
            <w:hideMark/>
          </w:tcPr>
          <w:p w14:paraId="4C402512" w14:textId="77777777" w:rsidR="00E172EA" w:rsidRPr="00856530" w:rsidRDefault="00E172EA" w:rsidP="00782E62">
            <w:pPr>
              <w:pStyle w:val="TableText"/>
              <w:jc w:val="right"/>
            </w:pPr>
            <w:r w:rsidRPr="00856530">
              <w:t>268</w:t>
            </w:r>
          </w:p>
        </w:tc>
        <w:tc>
          <w:tcPr>
            <w:tcW w:w="1418" w:type="dxa"/>
            <w:noWrap/>
            <w:tcMar>
              <w:top w:w="0" w:type="dxa"/>
              <w:left w:w="108" w:type="dxa"/>
              <w:bottom w:w="0" w:type="dxa"/>
              <w:right w:w="108" w:type="dxa"/>
            </w:tcMar>
            <w:hideMark/>
          </w:tcPr>
          <w:p w14:paraId="53DB065E" w14:textId="77777777" w:rsidR="00E172EA" w:rsidRPr="00856530" w:rsidRDefault="00E172EA" w:rsidP="00782E62">
            <w:pPr>
              <w:pStyle w:val="TableText"/>
              <w:jc w:val="right"/>
            </w:pPr>
            <w:r w:rsidRPr="00856530">
              <w:t>369</w:t>
            </w:r>
          </w:p>
        </w:tc>
      </w:tr>
      <w:tr w:rsidR="00E172EA" w:rsidRPr="00856530" w14:paraId="6B36891F" w14:textId="77777777" w:rsidTr="007D6FF6">
        <w:tc>
          <w:tcPr>
            <w:tcW w:w="3402" w:type="dxa"/>
            <w:noWrap/>
            <w:tcMar>
              <w:top w:w="0" w:type="dxa"/>
              <w:left w:w="108" w:type="dxa"/>
              <w:bottom w:w="0" w:type="dxa"/>
              <w:right w:w="108" w:type="dxa"/>
            </w:tcMar>
            <w:hideMark/>
          </w:tcPr>
          <w:p w14:paraId="7B36BDE9" w14:textId="240A8428" w:rsidR="00E172EA" w:rsidRPr="00014F8B" w:rsidRDefault="00E172EA" w:rsidP="00782E62">
            <w:pPr>
              <w:pStyle w:val="TableText"/>
            </w:pPr>
            <w:r w:rsidRPr="00014F8B">
              <w:t>V</w:t>
            </w:r>
            <w:r w:rsidR="00782E62" w:rsidRPr="00014F8B">
              <w:t>ictoria</w:t>
            </w:r>
            <w:r w:rsidRPr="00014F8B">
              <w:t xml:space="preserve"> North</w:t>
            </w:r>
            <w:r w:rsidR="00782E62" w:rsidRPr="00014F8B">
              <w:t>-</w:t>
            </w:r>
            <w:r w:rsidRPr="00014F8B">
              <w:t>East</w:t>
            </w:r>
          </w:p>
        </w:tc>
        <w:tc>
          <w:tcPr>
            <w:tcW w:w="1417" w:type="dxa"/>
            <w:noWrap/>
            <w:tcMar>
              <w:top w:w="0" w:type="dxa"/>
              <w:left w:w="108" w:type="dxa"/>
              <w:bottom w:w="0" w:type="dxa"/>
              <w:right w:w="108" w:type="dxa"/>
            </w:tcMar>
            <w:hideMark/>
          </w:tcPr>
          <w:p w14:paraId="7E208ED3" w14:textId="77777777" w:rsidR="00E172EA" w:rsidRPr="00856530" w:rsidRDefault="00E172EA" w:rsidP="00782E62">
            <w:pPr>
              <w:pStyle w:val="TableText"/>
              <w:jc w:val="right"/>
            </w:pPr>
            <w:r w:rsidRPr="00856530">
              <w:t>339</w:t>
            </w:r>
          </w:p>
        </w:tc>
        <w:tc>
          <w:tcPr>
            <w:tcW w:w="1418" w:type="dxa"/>
            <w:noWrap/>
            <w:tcMar>
              <w:top w:w="0" w:type="dxa"/>
              <w:left w:w="108" w:type="dxa"/>
              <w:bottom w:w="0" w:type="dxa"/>
              <w:right w:w="108" w:type="dxa"/>
            </w:tcMar>
            <w:hideMark/>
          </w:tcPr>
          <w:p w14:paraId="4214262B" w14:textId="77777777" w:rsidR="00E172EA" w:rsidRPr="00856530" w:rsidRDefault="00E172EA" w:rsidP="00782E62">
            <w:pPr>
              <w:pStyle w:val="TableText"/>
              <w:jc w:val="right"/>
            </w:pPr>
            <w:r w:rsidRPr="00856530">
              <w:t>347</w:t>
            </w:r>
          </w:p>
        </w:tc>
        <w:tc>
          <w:tcPr>
            <w:tcW w:w="1418" w:type="dxa"/>
            <w:noWrap/>
            <w:tcMar>
              <w:top w:w="0" w:type="dxa"/>
              <w:left w:w="108" w:type="dxa"/>
              <w:bottom w:w="0" w:type="dxa"/>
              <w:right w:w="108" w:type="dxa"/>
            </w:tcMar>
            <w:hideMark/>
          </w:tcPr>
          <w:p w14:paraId="1A0920A8" w14:textId="77777777" w:rsidR="00E172EA" w:rsidRPr="00856530" w:rsidRDefault="00E172EA" w:rsidP="00782E62">
            <w:pPr>
              <w:pStyle w:val="TableText"/>
              <w:jc w:val="right"/>
            </w:pPr>
            <w:r w:rsidRPr="00856530">
              <w:t>344</w:t>
            </w:r>
          </w:p>
        </w:tc>
      </w:tr>
      <w:tr w:rsidR="00E172EA" w:rsidRPr="00856530" w14:paraId="08C8C3CE" w14:textId="77777777" w:rsidTr="007D6FF6">
        <w:tc>
          <w:tcPr>
            <w:tcW w:w="3402" w:type="dxa"/>
            <w:noWrap/>
            <w:tcMar>
              <w:top w:w="0" w:type="dxa"/>
              <w:left w:w="108" w:type="dxa"/>
              <w:bottom w:w="0" w:type="dxa"/>
              <w:right w:w="108" w:type="dxa"/>
            </w:tcMar>
            <w:hideMark/>
          </w:tcPr>
          <w:p w14:paraId="26375E07" w14:textId="427CCB06" w:rsidR="00E172EA" w:rsidRPr="00014F8B" w:rsidRDefault="00E172EA" w:rsidP="00782E62">
            <w:pPr>
              <w:pStyle w:val="TableText"/>
            </w:pPr>
            <w:r w:rsidRPr="00014F8B">
              <w:t>V</w:t>
            </w:r>
            <w:r w:rsidR="00782E62" w:rsidRPr="00014F8B">
              <w:t>ictoria</w:t>
            </w:r>
            <w:r w:rsidRPr="00014F8B">
              <w:t xml:space="preserve"> North</w:t>
            </w:r>
            <w:r w:rsidR="00782E62" w:rsidRPr="00014F8B">
              <w:t>-</w:t>
            </w:r>
            <w:r w:rsidRPr="00014F8B">
              <w:t>West</w:t>
            </w:r>
          </w:p>
        </w:tc>
        <w:tc>
          <w:tcPr>
            <w:tcW w:w="1417" w:type="dxa"/>
            <w:noWrap/>
            <w:tcMar>
              <w:top w:w="0" w:type="dxa"/>
              <w:left w:w="108" w:type="dxa"/>
              <w:bottom w:w="0" w:type="dxa"/>
              <w:right w:w="108" w:type="dxa"/>
            </w:tcMar>
            <w:hideMark/>
          </w:tcPr>
          <w:p w14:paraId="351EFE72" w14:textId="77777777" w:rsidR="00E172EA" w:rsidRPr="00856530" w:rsidRDefault="00E172EA" w:rsidP="00782E62">
            <w:pPr>
              <w:pStyle w:val="TableText"/>
              <w:jc w:val="right"/>
            </w:pPr>
            <w:r w:rsidRPr="00856530">
              <w:t>401</w:t>
            </w:r>
          </w:p>
        </w:tc>
        <w:tc>
          <w:tcPr>
            <w:tcW w:w="1418" w:type="dxa"/>
            <w:noWrap/>
            <w:tcMar>
              <w:top w:w="0" w:type="dxa"/>
              <w:left w:w="108" w:type="dxa"/>
              <w:bottom w:w="0" w:type="dxa"/>
              <w:right w:w="108" w:type="dxa"/>
            </w:tcMar>
            <w:hideMark/>
          </w:tcPr>
          <w:p w14:paraId="01143555" w14:textId="77777777" w:rsidR="00E172EA" w:rsidRPr="00856530" w:rsidRDefault="00E172EA" w:rsidP="00782E62">
            <w:pPr>
              <w:pStyle w:val="TableText"/>
              <w:jc w:val="right"/>
            </w:pPr>
            <w:r w:rsidRPr="00856530">
              <w:t>321</w:t>
            </w:r>
          </w:p>
        </w:tc>
        <w:tc>
          <w:tcPr>
            <w:tcW w:w="1418" w:type="dxa"/>
            <w:noWrap/>
            <w:tcMar>
              <w:top w:w="0" w:type="dxa"/>
              <w:left w:w="108" w:type="dxa"/>
              <w:bottom w:w="0" w:type="dxa"/>
              <w:right w:w="108" w:type="dxa"/>
            </w:tcMar>
            <w:hideMark/>
          </w:tcPr>
          <w:p w14:paraId="7F4EB027" w14:textId="77777777" w:rsidR="00E172EA" w:rsidRPr="00856530" w:rsidRDefault="00E172EA" w:rsidP="00782E62">
            <w:pPr>
              <w:pStyle w:val="TableText"/>
              <w:jc w:val="right"/>
            </w:pPr>
            <w:r w:rsidRPr="00856530">
              <w:t>304</w:t>
            </w:r>
          </w:p>
        </w:tc>
      </w:tr>
      <w:tr w:rsidR="00E172EA" w:rsidRPr="00856530" w14:paraId="7E58D67C" w14:textId="77777777" w:rsidTr="007D6FF6">
        <w:tc>
          <w:tcPr>
            <w:tcW w:w="3402" w:type="dxa"/>
            <w:noWrap/>
            <w:tcMar>
              <w:top w:w="0" w:type="dxa"/>
              <w:left w:w="108" w:type="dxa"/>
              <w:bottom w:w="0" w:type="dxa"/>
              <w:right w:w="108" w:type="dxa"/>
            </w:tcMar>
            <w:hideMark/>
          </w:tcPr>
          <w:p w14:paraId="190C699D" w14:textId="48856C83" w:rsidR="00E172EA" w:rsidRPr="00856530" w:rsidRDefault="00E172EA" w:rsidP="00782E62">
            <w:pPr>
              <w:pStyle w:val="TableText"/>
            </w:pPr>
            <w:r w:rsidRPr="00856530">
              <w:t>V</w:t>
            </w:r>
            <w:r w:rsidR="00782E62">
              <w:t>ictoria</w:t>
            </w:r>
            <w:r w:rsidRPr="00856530">
              <w:t xml:space="preserve"> Western</w:t>
            </w:r>
          </w:p>
        </w:tc>
        <w:tc>
          <w:tcPr>
            <w:tcW w:w="1417" w:type="dxa"/>
            <w:noWrap/>
            <w:tcMar>
              <w:top w:w="0" w:type="dxa"/>
              <w:left w:w="108" w:type="dxa"/>
              <w:bottom w:w="0" w:type="dxa"/>
              <w:right w:w="108" w:type="dxa"/>
            </w:tcMar>
            <w:hideMark/>
          </w:tcPr>
          <w:p w14:paraId="0C3C7338" w14:textId="77777777" w:rsidR="00E172EA" w:rsidRPr="00856530" w:rsidRDefault="00E172EA" w:rsidP="00782E62">
            <w:pPr>
              <w:pStyle w:val="TableText"/>
              <w:jc w:val="right"/>
            </w:pPr>
            <w:r w:rsidRPr="00856530">
              <w:t>570</w:t>
            </w:r>
          </w:p>
        </w:tc>
        <w:tc>
          <w:tcPr>
            <w:tcW w:w="1418" w:type="dxa"/>
            <w:noWrap/>
            <w:tcMar>
              <w:top w:w="0" w:type="dxa"/>
              <w:left w:w="108" w:type="dxa"/>
              <w:bottom w:w="0" w:type="dxa"/>
              <w:right w:w="108" w:type="dxa"/>
            </w:tcMar>
            <w:hideMark/>
          </w:tcPr>
          <w:p w14:paraId="061CF441" w14:textId="77777777" w:rsidR="00E172EA" w:rsidRPr="00856530" w:rsidRDefault="00E172EA" w:rsidP="00782E62">
            <w:pPr>
              <w:pStyle w:val="TableText"/>
              <w:jc w:val="right"/>
            </w:pPr>
            <w:r w:rsidRPr="00856530">
              <w:t>713</w:t>
            </w:r>
          </w:p>
        </w:tc>
        <w:tc>
          <w:tcPr>
            <w:tcW w:w="1418" w:type="dxa"/>
            <w:noWrap/>
            <w:tcMar>
              <w:top w:w="0" w:type="dxa"/>
              <w:left w:w="108" w:type="dxa"/>
              <w:bottom w:w="0" w:type="dxa"/>
              <w:right w:w="108" w:type="dxa"/>
            </w:tcMar>
            <w:hideMark/>
          </w:tcPr>
          <w:p w14:paraId="1FD30AFA" w14:textId="77777777" w:rsidR="00E172EA" w:rsidRPr="00856530" w:rsidRDefault="00E172EA" w:rsidP="00782E62">
            <w:pPr>
              <w:pStyle w:val="TableText"/>
              <w:jc w:val="right"/>
            </w:pPr>
            <w:r w:rsidRPr="00856530">
              <w:t>794</w:t>
            </w:r>
          </w:p>
        </w:tc>
      </w:tr>
      <w:tr w:rsidR="00E172EA" w:rsidRPr="00856530" w14:paraId="302D130C" w14:textId="77777777" w:rsidTr="007D6FF6">
        <w:tc>
          <w:tcPr>
            <w:tcW w:w="3402" w:type="dxa"/>
            <w:noWrap/>
            <w:tcMar>
              <w:top w:w="0" w:type="dxa"/>
              <w:left w:w="108" w:type="dxa"/>
              <w:bottom w:w="0" w:type="dxa"/>
              <w:right w:w="108" w:type="dxa"/>
            </w:tcMar>
            <w:hideMark/>
          </w:tcPr>
          <w:p w14:paraId="31293FB2" w14:textId="3B0787CA" w:rsidR="00E172EA" w:rsidRPr="00856530" w:rsidRDefault="00E172EA" w:rsidP="00856530">
            <w:pPr>
              <w:pStyle w:val="TableText"/>
            </w:pPr>
            <w:r w:rsidRPr="00856530">
              <w:t>W</w:t>
            </w:r>
            <w:r w:rsidR="00782E62">
              <w:t xml:space="preserve">estern </w:t>
            </w:r>
            <w:r w:rsidRPr="00856530">
              <w:t>A</w:t>
            </w:r>
            <w:r w:rsidR="00782E62">
              <w:t>ustralia</w:t>
            </w:r>
          </w:p>
        </w:tc>
        <w:tc>
          <w:tcPr>
            <w:tcW w:w="1417" w:type="dxa"/>
            <w:noWrap/>
            <w:tcMar>
              <w:top w:w="0" w:type="dxa"/>
              <w:left w:w="108" w:type="dxa"/>
              <w:bottom w:w="0" w:type="dxa"/>
              <w:right w:w="108" w:type="dxa"/>
            </w:tcMar>
            <w:hideMark/>
          </w:tcPr>
          <w:p w14:paraId="167D51D4" w14:textId="77777777" w:rsidR="00E172EA" w:rsidRPr="00856530" w:rsidRDefault="00E172EA" w:rsidP="00782E62">
            <w:pPr>
              <w:pStyle w:val="TableText"/>
              <w:jc w:val="right"/>
            </w:pPr>
            <w:r w:rsidRPr="00856530">
              <w:t>536</w:t>
            </w:r>
          </w:p>
        </w:tc>
        <w:tc>
          <w:tcPr>
            <w:tcW w:w="1418" w:type="dxa"/>
            <w:noWrap/>
            <w:tcMar>
              <w:top w:w="0" w:type="dxa"/>
              <w:left w:w="108" w:type="dxa"/>
              <w:bottom w:w="0" w:type="dxa"/>
              <w:right w:w="108" w:type="dxa"/>
            </w:tcMar>
            <w:hideMark/>
          </w:tcPr>
          <w:p w14:paraId="60B8F467" w14:textId="77777777" w:rsidR="00E172EA" w:rsidRPr="00856530" w:rsidRDefault="00E172EA" w:rsidP="00782E62">
            <w:pPr>
              <w:pStyle w:val="TableText"/>
              <w:jc w:val="right"/>
            </w:pPr>
            <w:r w:rsidRPr="00856530">
              <w:t>478</w:t>
            </w:r>
          </w:p>
        </w:tc>
        <w:tc>
          <w:tcPr>
            <w:tcW w:w="1418" w:type="dxa"/>
            <w:noWrap/>
            <w:tcMar>
              <w:top w:w="0" w:type="dxa"/>
              <w:left w:w="108" w:type="dxa"/>
              <w:bottom w:w="0" w:type="dxa"/>
              <w:right w:w="108" w:type="dxa"/>
            </w:tcMar>
            <w:hideMark/>
          </w:tcPr>
          <w:p w14:paraId="3284EAB6" w14:textId="77777777" w:rsidR="00E172EA" w:rsidRPr="00856530" w:rsidRDefault="00E172EA" w:rsidP="00782E62">
            <w:pPr>
              <w:pStyle w:val="TableText"/>
              <w:jc w:val="right"/>
            </w:pPr>
            <w:r w:rsidRPr="00856530">
              <w:t>447</w:t>
            </w:r>
          </w:p>
        </w:tc>
      </w:tr>
      <w:tr w:rsidR="00E172EA" w:rsidRPr="00856530" w14:paraId="1E1C4E71" w14:textId="77777777" w:rsidTr="007D6FF6">
        <w:tc>
          <w:tcPr>
            <w:tcW w:w="3402" w:type="dxa"/>
            <w:noWrap/>
            <w:tcMar>
              <w:top w:w="0" w:type="dxa"/>
              <w:left w:w="108" w:type="dxa"/>
              <w:bottom w:w="0" w:type="dxa"/>
              <w:right w:w="108" w:type="dxa"/>
            </w:tcMar>
            <w:hideMark/>
          </w:tcPr>
          <w:p w14:paraId="4C407F69" w14:textId="77777777" w:rsidR="00E172EA" w:rsidRPr="00856530" w:rsidRDefault="00E172EA" w:rsidP="00856530">
            <w:pPr>
              <w:pStyle w:val="TableText"/>
              <w:rPr>
                <w:rStyle w:val="Strong"/>
              </w:rPr>
            </w:pPr>
            <w:r w:rsidRPr="00856530">
              <w:rPr>
                <w:rStyle w:val="Strong"/>
              </w:rPr>
              <w:t>Nationally</w:t>
            </w:r>
          </w:p>
        </w:tc>
        <w:tc>
          <w:tcPr>
            <w:tcW w:w="1417" w:type="dxa"/>
            <w:noWrap/>
            <w:tcMar>
              <w:top w:w="0" w:type="dxa"/>
              <w:left w:w="108" w:type="dxa"/>
              <w:bottom w:w="0" w:type="dxa"/>
              <w:right w:w="108" w:type="dxa"/>
            </w:tcMar>
            <w:hideMark/>
          </w:tcPr>
          <w:p w14:paraId="6164C6FE" w14:textId="77777777" w:rsidR="00E172EA" w:rsidRPr="00856530" w:rsidRDefault="00E172EA" w:rsidP="00782E62">
            <w:pPr>
              <w:pStyle w:val="TableText"/>
              <w:jc w:val="right"/>
              <w:rPr>
                <w:rStyle w:val="Strong"/>
              </w:rPr>
            </w:pPr>
            <w:r w:rsidRPr="00856530">
              <w:rPr>
                <w:rStyle w:val="Strong"/>
              </w:rPr>
              <w:t>4,702</w:t>
            </w:r>
          </w:p>
        </w:tc>
        <w:tc>
          <w:tcPr>
            <w:tcW w:w="1418" w:type="dxa"/>
            <w:noWrap/>
            <w:tcMar>
              <w:top w:w="0" w:type="dxa"/>
              <w:left w:w="108" w:type="dxa"/>
              <w:bottom w:w="0" w:type="dxa"/>
              <w:right w:w="108" w:type="dxa"/>
            </w:tcMar>
            <w:hideMark/>
          </w:tcPr>
          <w:p w14:paraId="7232F508" w14:textId="77777777" w:rsidR="00E172EA" w:rsidRPr="00856530" w:rsidRDefault="00E172EA" w:rsidP="00782E62">
            <w:pPr>
              <w:pStyle w:val="TableText"/>
              <w:jc w:val="right"/>
              <w:rPr>
                <w:rStyle w:val="Strong"/>
              </w:rPr>
            </w:pPr>
            <w:r w:rsidRPr="00856530">
              <w:rPr>
                <w:rStyle w:val="Strong"/>
              </w:rPr>
              <w:t>4,766</w:t>
            </w:r>
          </w:p>
        </w:tc>
        <w:tc>
          <w:tcPr>
            <w:tcW w:w="1418" w:type="dxa"/>
            <w:noWrap/>
            <w:tcMar>
              <w:top w:w="0" w:type="dxa"/>
              <w:left w:w="108" w:type="dxa"/>
              <w:bottom w:w="0" w:type="dxa"/>
              <w:right w:w="108" w:type="dxa"/>
            </w:tcMar>
            <w:hideMark/>
          </w:tcPr>
          <w:p w14:paraId="27EF304A" w14:textId="77777777" w:rsidR="00E172EA" w:rsidRPr="00856530" w:rsidRDefault="00E172EA" w:rsidP="00782E62">
            <w:pPr>
              <w:pStyle w:val="TableText"/>
              <w:jc w:val="right"/>
              <w:rPr>
                <w:rStyle w:val="Strong"/>
              </w:rPr>
            </w:pPr>
            <w:r w:rsidRPr="00856530">
              <w:rPr>
                <w:rStyle w:val="Strong"/>
              </w:rPr>
              <w:t>6,119</w:t>
            </w:r>
          </w:p>
        </w:tc>
      </w:tr>
    </w:tbl>
    <w:p w14:paraId="1636A4CF" w14:textId="393690CE" w:rsidR="00675039" w:rsidRDefault="006A6D8B" w:rsidP="008444D1">
      <w:pPr>
        <w:pStyle w:val="FigureTableNoteSource"/>
        <w:spacing w:after="240"/>
      </w:pPr>
      <w:r w:rsidRPr="00285515">
        <w:t>Note:</w:t>
      </w:r>
      <w:r>
        <w:t xml:space="preserve"> </w:t>
      </w:r>
      <w:r w:rsidR="007D6FF6" w:rsidRPr="007D6FF6">
        <w:t xml:space="preserve">Active client numbers may vary depending on how clients interact with their counsellor and whether more </w:t>
      </w:r>
      <w:r w:rsidR="007D6FF6">
        <w:t>than one farmer per business is</w:t>
      </w:r>
      <w:r w:rsidR="007D6FF6" w:rsidRPr="007D6FF6">
        <w:t xml:space="preserve"> counted as a client.</w:t>
      </w:r>
      <w:r w:rsidR="007D6FF6">
        <w:t xml:space="preserve"> </w:t>
      </w:r>
      <w:r w:rsidR="0090348D" w:rsidRPr="006A6D8B">
        <w:t>Most clients who were</w:t>
      </w:r>
      <w:r w:rsidR="00BA68B3" w:rsidRPr="006A6D8B">
        <w:t xml:space="preserve"> active in the period of April to</w:t>
      </w:r>
      <w:r w:rsidR="0090348D" w:rsidRPr="006A6D8B">
        <w:t xml:space="preserve"> June 2016 would have continued as clients into the 201</w:t>
      </w:r>
      <w:r w:rsidR="00F13F30">
        <w:t>6–</w:t>
      </w:r>
      <w:r w:rsidR="0090348D" w:rsidRPr="006A6D8B">
        <w:t>17 financial year.</w:t>
      </w:r>
      <w:r>
        <w:t xml:space="preserve"> A</w:t>
      </w:r>
      <w:r w:rsidR="007657D4" w:rsidRPr="006A6D8B">
        <w:t>nnual numbers cannot be summed from year to year. Active clients may reappear in annual counts.</w:t>
      </w:r>
    </w:p>
    <w:p w14:paraId="09EE794D" w14:textId="11D43B07" w:rsidR="004F3DB6" w:rsidRPr="00141000" w:rsidRDefault="00F83661" w:rsidP="008F3FF0">
      <w:pPr>
        <w:pStyle w:val="Heading3"/>
      </w:pPr>
      <w:bookmarkStart w:id="22" w:name="_Toc18328843"/>
      <w:r>
        <w:t>Previous review</w:t>
      </w:r>
      <w:r w:rsidR="00241820">
        <w:t>s</w:t>
      </w:r>
      <w:r w:rsidR="004F3DB6">
        <w:t xml:space="preserve"> of the RFCS</w:t>
      </w:r>
      <w:bookmarkEnd w:id="22"/>
    </w:p>
    <w:p w14:paraId="5B7DA945" w14:textId="1E30EC96" w:rsidR="00517F4E" w:rsidRDefault="00F83661">
      <w:r>
        <w:t xml:space="preserve">The RFCS program has been reviewed </w:t>
      </w:r>
      <w:r w:rsidR="00241820">
        <w:t>many times</w:t>
      </w:r>
      <w:r w:rsidR="000B590F">
        <w:t>,</w:t>
      </w:r>
      <w:r w:rsidR="00241820">
        <w:t xml:space="preserve"> </w:t>
      </w:r>
      <w:r>
        <w:t>both internally and independently</w:t>
      </w:r>
      <w:r w:rsidR="007657D4">
        <w:t>.</w:t>
      </w:r>
    </w:p>
    <w:p w14:paraId="1A7A854B" w14:textId="3DB52063" w:rsidR="00517F4E" w:rsidRPr="00731C30" w:rsidRDefault="00195ECB" w:rsidP="00496903">
      <w:pPr>
        <w:pStyle w:val="Heading4"/>
      </w:pPr>
      <w:r w:rsidRPr="00731C30">
        <w:t>National Rural Advisory Council</w:t>
      </w:r>
      <w:r w:rsidR="00BA761B" w:rsidRPr="00731C30">
        <w:t xml:space="preserve"> </w:t>
      </w:r>
      <w:r w:rsidR="00ED5C80">
        <w:t>r</w:t>
      </w:r>
      <w:r w:rsidRPr="00731C30">
        <w:t>eview</w:t>
      </w:r>
    </w:p>
    <w:p w14:paraId="18FE81BB" w14:textId="2CBF1C1D" w:rsidR="000B590F" w:rsidRDefault="004F3DB6">
      <w:r>
        <w:t>In the last comprehensive review of the RFCS</w:t>
      </w:r>
      <w:r w:rsidR="000B590F">
        <w:t>, conducted</w:t>
      </w:r>
      <w:r>
        <w:t xml:space="preserve"> in 2014, </w:t>
      </w:r>
      <w:proofErr w:type="spellStart"/>
      <w:r>
        <w:t>NRAC</w:t>
      </w:r>
      <w:proofErr w:type="spellEnd"/>
      <w:r>
        <w:t xml:space="preserve"> provided 33 recommendations to improve administration and delivery of the service. The government accepted in full 26 of </w:t>
      </w:r>
      <w:proofErr w:type="spellStart"/>
      <w:r>
        <w:t>NRAC</w:t>
      </w:r>
      <w:r w:rsidR="00736B18">
        <w:t>'</w:t>
      </w:r>
      <w:r>
        <w:t>s</w:t>
      </w:r>
      <w:proofErr w:type="spellEnd"/>
      <w:r>
        <w:t xml:space="preserve"> recommendations, including ongoing support for the program. </w:t>
      </w:r>
      <w:r w:rsidR="00602322">
        <w:t>Four recommendations</w:t>
      </w:r>
      <w:r w:rsidR="00602322" w:rsidRPr="00602322">
        <w:t xml:space="preserve"> were accepted in part and </w:t>
      </w:r>
      <w:r w:rsidR="00EF7F7B">
        <w:t>3</w:t>
      </w:r>
      <w:r w:rsidR="00602322">
        <w:t xml:space="preserve"> </w:t>
      </w:r>
      <w:r w:rsidR="00602322" w:rsidRPr="00602322">
        <w:t>were rejected. The</w:t>
      </w:r>
      <w:r w:rsidR="00EF7F7B">
        <w:t xml:space="preserve"> rejected</w:t>
      </w:r>
      <w:r w:rsidR="00602322" w:rsidRPr="00602322">
        <w:t xml:space="preserve"> recommendations concerned</w:t>
      </w:r>
      <w:r w:rsidR="000B590F">
        <w:t>:</w:t>
      </w:r>
    </w:p>
    <w:p w14:paraId="499EBE1C" w14:textId="643D1652" w:rsidR="000B590F" w:rsidRDefault="00EF7F7B" w:rsidP="000B590F">
      <w:pPr>
        <w:pStyle w:val="ListBullet"/>
      </w:pPr>
      <w:r>
        <w:t>co</w:t>
      </w:r>
      <w:r>
        <w:noBreakHyphen/>
        <w:t>f</w:t>
      </w:r>
      <w:r w:rsidR="00602322" w:rsidRPr="00602322">
        <w:t>unding by financial institutions</w:t>
      </w:r>
      <w:r w:rsidR="008D54AC">
        <w:t xml:space="preserve">, which benefit from the </w:t>
      </w:r>
      <w:proofErr w:type="spellStart"/>
      <w:r w:rsidR="008D54AC">
        <w:t>RFCS’s</w:t>
      </w:r>
      <w:proofErr w:type="spellEnd"/>
      <w:r w:rsidR="008D54AC">
        <w:t xml:space="preserve"> work</w:t>
      </w:r>
    </w:p>
    <w:p w14:paraId="37A56925" w14:textId="168E2873" w:rsidR="000B590F" w:rsidRDefault="00602322" w:rsidP="000B590F">
      <w:pPr>
        <w:pStyle w:val="ListBullet"/>
      </w:pPr>
      <w:r w:rsidRPr="00602322">
        <w:t>hav</w:t>
      </w:r>
      <w:r>
        <w:t>ing a single provider per state</w:t>
      </w:r>
    </w:p>
    <w:p w14:paraId="6B923ADB" w14:textId="69677555" w:rsidR="000B590F" w:rsidRDefault="00602322" w:rsidP="000B590F">
      <w:pPr>
        <w:pStyle w:val="ListBullet"/>
      </w:pPr>
      <w:proofErr w:type="gramStart"/>
      <w:r w:rsidRPr="00602322">
        <w:t>a</w:t>
      </w:r>
      <w:proofErr w:type="gramEnd"/>
      <w:r w:rsidRPr="00602322">
        <w:t xml:space="preserve"> total budget reduction of 20</w:t>
      </w:r>
      <w:r>
        <w:t>%</w:t>
      </w:r>
      <w:r w:rsidRPr="00602322">
        <w:t>.</w:t>
      </w:r>
    </w:p>
    <w:p w14:paraId="7E2276BB" w14:textId="410D2E32" w:rsidR="00517F4E" w:rsidRDefault="004F3DB6" w:rsidP="000B590F">
      <w:r>
        <w:t xml:space="preserve">The changes arising from the </w:t>
      </w:r>
      <w:proofErr w:type="spellStart"/>
      <w:r>
        <w:t>NRAC</w:t>
      </w:r>
      <w:proofErr w:type="spellEnd"/>
      <w:r>
        <w:t xml:space="preserve"> review were incorporated into the </w:t>
      </w:r>
      <w:r w:rsidR="001E3132">
        <w:t>2016 to 2020</w:t>
      </w:r>
      <w:r w:rsidR="002971C7">
        <w:t xml:space="preserve"> </w:t>
      </w:r>
      <w:r w:rsidR="000B590F">
        <w:t xml:space="preserve">RFCS </w:t>
      </w:r>
      <w:r>
        <w:t>funding round.</w:t>
      </w:r>
    </w:p>
    <w:p w14:paraId="0FEB730A" w14:textId="600C6F06" w:rsidR="000B590F" w:rsidRDefault="004F3DB6">
      <w:r>
        <w:t xml:space="preserve">While </w:t>
      </w:r>
      <w:proofErr w:type="spellStart"/>
      <w:r>
        <w:t>NRAC</w:t>
      </w:r>
      <w:proofErr w:type="spellEnd"/>
      <w:r>
        <w:t xml:space="preserve"> considered the RFCS program to be functional </w:t>
      </w:r>
      <w:r w:rsidRPr="00731C30">
        <w:t>and well designed</w:t>
      </w:r>
      <w:r>
        <w:t xml:space="preserve">, improvements </w:t>
      </w:r>
      <w:r w:rsidR="002801E0">
        <w:t>were identified</w:t>
      </w:r>
      <w:r>
        <w:t>. Key recommendations included</w:t>
      </w:r>
      <w:r w:rsidR="000B590F">
        <w:t>:</w:t>
      </w:r>
    </w:p>
    <w:p w14:paraId="644F4351" w14:textId="580C169D" w:rsidR="000B590F" w:rsidRDefault="004F3DB6" w:rsidP="00523888">
      <w:pPr>
        <w:pStyle w:val="ListBullet"/>
      </w:pPr>
      <w:r>
        <w:t>moving to a state-based delivery model</w:t>
      </w:r>
    </w:p>
    <w:p w14:paraId="6F9BE1A5" w14:textId="62CC7247" w:rsidR="000B590F" w:rsidRDefault="004F3DB6" w:rsidP="00523888">
      <w:pPr>
        <w:pStyle w:val="ListBullet"/>
      </w:pPr>
      <w:r>
        <w:t>improving professionalism and quality of service provider boards</w:t>
      </w:r>
    </w:p>
    <w:p w14:paraId="23E6FA97" w14:textId="5849078D" w:rsidR="000B590F" w:rsidRDefault="004F3DB6" w:rsidP="00523888">
      <w:pPr>
        <w:pStyle w:val="ListBullet"/>
      </w:pPr>
      <w:r>
        <w:t>gaining greater clarity in the governance roles and responsibilities of the Australian Government and service providers</w:t>
      </w:r>
    </w:p>
    <w:p w14:paraId="769A8B46" w14:textId="04B38C6F" w:rsidR="000B590F" w:rsidRDefault="004F3DB6" w:rsidP="00523888">
      <w:pPr>
        <w:pStyle w:val="ListBullet"/>
      </w:pPr>
      <w:r>
        <w:lastRenderedPageBreak/>
        <w:t>making funding arrangements more responsive to demand</w:t>
      </w:r>
    </w:p>
    <w:p w14:paraId="5C8DA075" w14:textId="771F3A7D" w:rsidR="000B590F" w:rsidRDefault="004F3DB6" w:rsidP="00523888">
      <w:pPr>
        <w:pStyle w:val="ListBullet"/>
      </w:pPr>
      <w:r>
        <w:t>increasing flexibility in the RFCS workforce</w:t>
      </w:r>
    </w:p>
    <w:p w14:paraId="15011958" w14:textId="0413C826" w:rsidR="00517F4E" w:rsidRDefault="004F3DB6" w:rsidP="00523888">
      <w:pPr>
        <w:pStyle w:val="ListBullet"/>
      </w:pPr>
      <w:proofErr w:type="gramStart"/>
      <w:r>
        <w:t>introducing</w:t>
      </w:r>
      <w:proofErr w:type="gramEnd"/>
      <w:r>
        <w:t xml:space="preserve"> more robust eligibility criteria.</w:t>
      </w:r>
    </w:p>
    <w:p w14:paraId="7ADFE1D1" w14:textId="2F4273DE" w:rsidR="004F3DB6" w:rsidRDefault="004F3DB6">
      <w:r>
        <w:t xml:space="preserve">To monitor the ongoing performance of the RFCS program and the success of changes implemented, </w:t>
      </w:r>
      <w:proofErr w:type="spellStart"/>
      <w:r>
        <w:t>NRAC</w:t>
      </w:r>
      <w:proofErr w:type="spellEnd"/>
      <w:r>
        <w:t xml:space="preserve"> also recommended more structured monitoring and evaluation, supported by an improved data collection tool.</w:t>
      </w:r>
    </w:p>
    <w:p w14:paraId="3F24639D" w14:textId="2A22A3E5" w:rsidR="00517F4E" w:rsidRDefault="00107D4A">
      <w:r>
        <w:t>The current review considered the s</w:t>
      </w:r>
      <w:r w:rsidR="004F3DB6">
        <w:t xml:space="preserve">uccess of the accepted </w:t>
      </w:r>
      <w:proofErr w:type="spellStart"/>
      <w:r w:rsidR="004F3DB6">
        <w:t>NRAC</w:t>
      </w:r>
      <w:proofErr w:type="spellEnd"/>
      <w:r w:rsidR="004F3DB6">
        <w:t xml:space="preserve"> recommendations, as well as the continued relevance of outstanding recommendations</w:t>
      </w:r>
      <w:r>
        <w:t>.</w:t>
      </w:r>
    </w:p>
    <w:p w14:paraId="638E5F1C" w14:textId="6635F5D2" w:rsidR="00B9735F" w:rsidRDefault="00B9735F" w:rsidP="00241820">
      <w:pPr>
        <w:pStyle w:val="Heading4"/>
      </w:pPr>
      <w:r w:rsidRPr="00241820">
        <w:t>Related</w:t>
      </w:r>
      <w:r>
        <w:t xml:space="preserve"> reviews</w:t>
      </w:r>
    </w:p>
    <w:p w14:paraId="75B6CBAF" w14:textId="2834A573" w:rsidR="00241820" w:rsidRPr="00241820" w:rsidRDefault="00241820" w:rsidP="00241820">
      <w:pPr>
        <w:rPr>
          <w:rStyle w:val="Emphasis"/>
          <w:i w:val="0"/>
        </w:rPr>
      </w:pPr>
      <w:r w:rsidRPr="00241820">
        <w:rPr>
          <w:rStyle w:val="Emphasis"/>
          <w:i w:val="0"/>
        </w:rPr>
        <w:t xml:space="preserve">There have </w:t>
      </w:r>
      <w:r w:rsidRPr="002A4CC2">
        <w:rPr>
          <w:rStyle w:val="Emphasis"/>
          <w:i w:val="0"/>
        </w:rPr>
        <w:t xml:space="preserve">been </w:t>
      </w:r>
      <w:r w:rsidR="00F13F30">
        <w:rPr>
          <w:rStyle w:val="Emphasis"/>
          <w:i w:val="0"/>
        </w:rPr>
        <w:t>2</w:t>
      </w:r>
      <w:r w:rsidRPr="002A4CC2">
        <w:rPr>
          <w:rStyle w:val="Emphasis"/>
          <w:i w:val="0"/>
        </w:rPr>
        <w:t xml:space="preserve"> other</w:t>
      </w:r>
      <w:r w:rsidRPr="00241820">
        <w:rPr>
          <w:rStyle w:val="Emphasis"/>
          <w:i w:val="0"/>
        </w:rPr>
        <w:t xml:space="preserve"> recent reviews </w:t>
      </w:r>
      <w:r w:rsidR="006A6D8B">
        <w:rPr>
          <w:rStyle w:val="Emphasis"/>
          <w:i w:val="0"/>
        </w:rPr>
        <w:t>that</w:t>
      </w:r>
      <w:r w:rsidRPr="00241820">
        <w:rPr>
          <w:rStyle w:val="Emphasis"/>
          <w:i w:val="0"/>
        </w:rPr>
        <w:t xml:space="preserve"> relate directly to the RFCS.</w:t>
      </w:r>
    </w:p>
    <w:p w14:paraId="0547944D" w14:textId="0DF65A9E" w:rsidR="00B9735F" w:rsidRPr="00CA329D" w:rsidRDefault="00B9735F" w:rsidP="00E62C47">
      <w:pPr>
        <w:pStyle w:val="Heading5"/>
        <w:rPr>
          <w:rStyle w:val="Emphasis"/>
          <w:i w:val="0"/>
          <w:iCs w:val="0"/>
        </w:rPr>
      </w:pPr>
      <w:r w:rsidRPr="00CA329D">
        <w:rPr>
          <w:rStyle w:val="Emphasis"/>
          <w:i w:val="0"/>
          <w:iCs w:val="0"/>
        </w:rPr>
        <w:t xml:space="preserve">Farm Household Allowance </w:t>
      </w:r>
      <w:r w:rsidR="00ED5C80">
        <w:rPr>
          <w:rStyle w:val="Emphasis"/>
          <w:i w:val="0"/>
          <w:iCs w:val="0"/>
        </w:rPr>
        <w:t>r</w:t>
      </w:r>
      <w:r w:rsidRPr="00CA329D">
        <w:rPr>
          <w:rStyle w:val="Emphasis"/>
          <w:i w:val="0"/>
          <w:iCs w:val="0"/>
        </w:rPr>
        <w:t>eview 2018</w:t>
      </w:r>
    </w:p>
    <w:p w14:paraId="29DB2EBB" w14:textId="7EA861AE" w:rsidR="00517F4E" w:rsidRDefault="00B9735F" w:rsidP="007663BA">
      <w:r>
        <w:t xml:space="preserve">The </w:t>
      </w:r>
      <w:r w:rsidR="00D97022">
        <w:t xml:space="preserve">FHA </w:t>
      </w:r>
      <w:r>
        <w:t xml:space="preserve">program provides eligible farmers with up </w:t>
      </w:r>
      <w:r w:rsidRPr="002A4CC2">
        <w:t xml:space="preserve">to </w:t>
      </w:r>
      <w:r w:rsidR="00F13F30">
        <w:t>4</w:t>
      </w:r>
      <w:r w:rsidRPr="002A4CC2">
        <w:t xml:space="preserve"> cumulative</w:t>
      </w:r>
      <w:r>
        <w:t xml:space="preserve"> years of support</w:t>
      </w:r>
      <w:r w:rsidR="009D4C2D">
        <w:t>, training</w:t>
      </w:r>
      <w:r>
        <w:t xml:space="preserve"> </w:t>
      </w:r>
      <w:r w:rsidR="00107D4A">
        <w:t>and</w:t>
      </w:r>
      <w:r>
        <w:t xml:space="preserve"> </w:t>
      </w:r>
      <w:r w:rsidR="009D4C2D">
        <w:t xml:space="preserve">planning </w:t>
      </w:r>
      <w:r>
        <w:t xml:space="preserve">assistance </w:t>
      </w:r>
      <w:r w:rsidR="009D4C2D">
        <w:t xml:space="preserve">to make </w:t>
      </w:r>
      <w:r>
        <w:t xml:space="preserve">long-term financial improvements. An independent review was undertaken at the end of 2018 to assess </w:t>
      </w:r>
      <w:r w:rsidR="00614C66">
        <w:t>FHA program settings and administration.</w:t>
      </w:r>
    </w:p>
    <w:p w14:paraId="02F96A48" w14:textId="77777777" w:rsidR="007D6FF6" w:rsidRDefault="007D6FF6" w:rsidP="00B9735F">
      <w:r w:rsidRPr="007D6FF6">
        <w:t>The review explored FHA client interactions with the RFCS providers. It broadly considered how the FHA program prepared people to cope with ongoing financial hardship.</w:t>
      </w:r>
    </w:p>
    <w:p w14:paraId="1F3068A7" w14:textId="356EF871" w:rsidR="00517F4E" w:rsidRDefault="00B9735F" w:rsidP="00B9735F">
      <w:r>
        <w:t>The FHA review made recommendations to the government in February 2019</w:t>
      </w:r>
      <w:r w:rsidR="00195ECB">
        <w:t xml:space="preserve"> and the report was released </w:t>
      </w:r>
      <w:r w:rsidR="00A410A0">
        <w:t>in April 2019</w:t>
      </w:r>
      <w:r w:rsidR="00195ECB">
        <w:t xml:space="preserve">. </w:t>
      </w:r>
      <w:r w:rsidR="006560A3">
        <w:t>The government has not yet provided a comprehensive response to the report</w:t>
      </w:r>
      <w:r w:rsidR="00736B18">
        <w:t>'</w:t>
      </w:r>
      <w:r w:rsidR="006560A3">
        <w:t xml:space="preserve">s recommendations. </w:t>
      </w:r>
      <w:r w:rsidR="00195ECB">
        <w:t>The review panel notes that the outcome of th</w:t>
      </w:r>
      <w:r w:rsidR="006A6D8B">
        <w:t>e FHA</w:t>
      </w:r>
      <w:r w:rsidR="00195ECB">
        <w:t xml:space="preserve"> review will be highly relevant </w:t>
      </w:r>
      <w:r w:rsidR="00C655A3">
        <w:t xml:space="preserve">for </w:t>
      </w:r>
      <w:r w:rsidR="007735A2">
        <w:t>any future RFCS program design</w:t>
      </w:r>
      <w:r w:rsidR="00195ECB">
        <w:t>.</w:t>
      </w:r>
    </w:p>
    <w:p w14:paraId="50AAE964" w14:textId="069F0FDE" w:rsidR="00B9735F" w:rsidRPr="00C655A3" w:rsidRDefault="006A6D8B" w:rsidP="00C655A3">
      <w:pPr>
        <w:pStyle w:val="Heading5"/>
      </w:pPr>
      <w:r w:rsidRPr="00C655A3">
        <w:t>Review of the co</w:t>
      </w:r>
      <w:r w:rsidR="0093319D" w:rsidRPr="00C655A3">
        <w:t>ordination and funding of financial counselling services across Australia</w:t>
      </w:r>
    </w:p>
    <w:p w14:paraId="67BBA29B" w14:textId="554B0819" w:rsidR="00517F4E" w:rsidRDefault="0093319D" w:rsidP="00CA329D">
      <w:r>
        <w:t>In February 2019 the government announced its intention to hold a</w:t>
      </w:r>
      <w:r w:rsidR="003A4DCF">
        <w:t>n independent</w:t>
      </w:r>
      <w:r>
        <w:t xml:space="preserve"> review into the coordination and funding of financial counselling services across Australia</w:t>
      </w:r>
      <w:r w:rsidR="00C655A3">
        <w:t>. This was</w:t>
      </w:r>
      <w:r>
        <w:t xml:space="preserve"> in response to Commissioner Hayne</w:t>
      </w:r>
      <w:r w:rsidR="00736B18">
        <w:t>'</w:t>
      </w:r>
      <w:r>
        <w:t>s observations about the importan</w:t>
      </w:r>
      <w:r w:rsidR="002801E0">
        <w:t>ce</w:t>
      </w:r>
      <w:r>
        <w:t xml:space="preserve"> of financial counselling services</w:t>
      </w:r>
      <w:r w:rsidR="00277C29">
        <w:t>,</w:t>
      </w:r>
      <w:r>
        <w:t xml:space="preserve"> in the </w:t>
      </w:r>
      <w:r w:rsidR="0027293D" w:rsidRPr="0027293D">
        <w:t>Final Report of the Royal Commission into Misconduct in the Banking, Superannuation and Financial Services Industry</w:t>
      </w:r>
      <w:r>
        <w:t>.</w:t>
      </w:r>
    </w:p>
    <w:p w14:paraId="2B39E0A6" w14:textId="1FEFA3D4" w:rsidR="00517F4E" w:rsidRDefault="0093319D" w:rsidP="00B9735F">
      <w:r>
        <w:t xml:space="preserve">The </w:t>
      </w:r>
      <w:r w:rsidR="003A4DCF">
        <w:t xml:space="preserve">independent review </w:t>
      </w:r>
      <w:r w:rsidR="002801E0">
        <w:t xml:space="preserve">was </w:t>
      </w:r>
      <w:r>
        <w:t>support</w:t>
      </w:r>
      <w:r w:rsidR="003A4DCF">
        <w:t>ed by</w:t>
      </w:r>
      <w:r>
        <w:t xml:space="preserve"> the Department of Social </w:t>
      </w:r>
      <w:r w:rsidR="002763FB">
        <w:t>Services in</w:t>
      </w:r>
      <w:r>
        <w:t xml:space="preserve"> consultation with </w:t>
      </w:r>
      <w:r w:rsidR="00C07493">
        <w:t>t</w:t>
      </w:r>
      <w:r>
        <w:t>he Treasury and the Department of the Prime Minister and Cabinet.</w:t>
      </w:r>
    </w:p>
    <w:p w14:paraId="15A0D8CB" w14:textId="5D97C1B3" w:rsidR="0079258A" w:rsidRDefault="0093319D" w:rsidP="00A34A7F">
      <w:r>
        <w:t xml:space="preserve">The review </w:t>
      </w:r>
      <w:r w:rsidR="00A410A0">
        <w:t>reported to</w:t>
      </w:r>
      <w:r>
        <w:t xml:space="preserve"> </w:t>
      </w:r>
      <w:r w:rsidRPr="00A410A0">
        <w:t xml:space="preserve">government </w:t>
      </w:r>
      <w:r w:rsidRPr="006A6D8B">
        <w:t>in April 2019</w:t>
      </w:r>
      <w:r w:rsidRPr="00A410A0">
        <w:t xml:space="preserve">. </w:t>
      </w:r>
      <w:r w:rsidR="00676EEF">
        <w:t>Although t</w:t>
      </w:r>
      <w:r>
        <w:t xml:space="preserve">he RFCS </w:t>
      </w:r>
      <w:r w:rsidR="002801E0">
        <w:t>was</w:t>
      </w:r>
      <w:r>
        <w:t xml:space="preserve"> noted as part of the review</w:t>
      </w:r>
      <w:r w:rsidR="00C07493">
        <w:t>,</w:t>
      </w:r>
      <w:r>
        <w:t xml:space="preserve"> funding arrangements for the service </w:t>
      </w:r>
      <w:r w:rsidR="00A410A0">
        <w:t>w</w:t>
      </w:r>
      <w:r w:rsidR="006A6D8B">
        <w:t>ere</w:t>
      </w:r>
      <w:r w:rsidR="00A410A0">
        <w:t xml:space="preserve"> not</w:t>
      </w:r>
      <w:r>
        <w:t xml:space="preserve"> considered.</w:t>
      </w:r>
    </w:p>
    <w:p w14:paraId="44E70471" w14:textId="25AD245B" w:rsidR="00816A67" w:rsidRDefault="002035FB" w:rsidP="00AE4B07">
      <w:pPr>
        <w:pStyle w:val="Heading2"/>
      </w:pPr>
      <w:bookmarkStart w:id="23" w:name="_Toc18328844"/>
      <w:r>
        <w:lastRenderedPageBreak/>
        <w:t>Role of the RFCS</w:t>
      </w:r>
      <w:bookmarkEnd w:id="23"/>
    </w:p>
    <w:p w14:paraId="1DCDCE51" w14:textId="3A35547B" w:rsidR="007D6FF6" w:rsidRDefault="007D6FF6" w:rsidP="00A34A7F">
      <w:pPr>
        <w:rPr>
          <w:lang w:eastAsia="ja-JP"/>
        </w:rPr>
      </w:pPr>
      <w:r w:rsidRPr="007D6FF6">
        <w:rPr>
          <w:lang w:eastAsia="ja-JP"/>
        </w:rPr>
        <w:t>The review panel considered the current role of the RFCS and expectations placed on providers and counsellors. Discussion with stakeholders focused on whether the current deeds adequately capture the activities performed by the RFCS and the effectiveness of RFCS activities in achieving client outcomes. A potentially expanded role to either deliver preparedness training or to assist small, rural and regiona</w:t>
      </w:r>
      <w:r>
        <w:rPr>
          <w:lang w:eastAsia="ja-JP"/>
        </w:rPr>
        <w:t>l businesses was also discussed.</w:t>
      </w:r>
    </w:p>
    <w:p w14:paraId="5B2F9920" w14:textId="7B70CAA5" w:rsidR="00413F16" w:rsidRDefault="00413F16" w:rsidP="00A34A7F">
      <w:pPr>
        <w:rPr>
          <w:lang w:eastAsia="ja-JP"/>
        </w:rPr>
      </w:pPr>
      <w:r>
        <w:rPr>
          <w:lang w:eastAsia="ja-JP"/>
        </w:rPr>
        <w:t>With some rural and regional areas facing ongoing adverse conditions, the panel was particularly interested in investigating how providers were prioritising their time and activities and using fund</w:t>
      </w:r>
      <w:r w:rsidR="002801E0">
        <w:rPr>
          <w:lang w:eastAsia="ja-JP"/>
        </w:rPr>
        <w:t>ing</w:t>
      </w:r>
      <w:r>
        <w:rPr>
          <w:lang w:eastAsia="ja-JP"/>
        </w:rPr>
        <w:t xml:space="preserve"> to meet program expectations </w:t>
      </w:r>
      <w:r w:rsidR="00C07493">
        <w:rPr>
          <w:lang w:eastAsia="ja-JP"/>
        </w:rPr>
        <w:t xml:space="preserve">during </w:t>
      </w:r>
      <w:r>
        <w:rPr>
          <w:lang w:eastAsia="ja-JP"/>
        </w:rPr>
        <w:t>periods of high demand.</w:t>
      </w:r>
    </w:p>
    <w:p w14:paraId="4C125656" w14:textId="13630D3F" w:rsidR="00413F16" w:rsidRPr="00F659B6" w:rsidRDefault="00413F16" w:rsidP="00413F16">
      <w:pPr>
        <w:pStyle w:val="Heading3"/>
        <w:rPr>
          <w:lang w:eastAsia="ja-JP"/>
        </w:rPr>
      </w:pPr>
      <w:bookmarkStart w:id="24" w:name="_Toc12993387"/>
      <w:bookmarkStart w:id="25" w:name="_Toc18328845"/>
      <w:r w:rsidRPr="00F659B6">
        <w:rPr>
          <w:lang w:eastAsia="ja-JP"/>
        </w:rPr>
        <w:t>Program objectives</w:t>
      </w:r>
      <w:bookmarkEnd w:id="24"/>
      <w:bookmarkEnd w:id="25"/>
    </w:p>
    <w:p w14:paraId="588AB946" w14:textId="2FCBB784" w:rsidR="00517F4E" w:rsidRDefault="00413F16" w:rsidP="00413F16">
      <w:pPr>
        <w:rPr>
          <w:lang w:eastAsia="ja-JP"/>
        </w:rPr>
      </w:pPr>
      <w:r>
        <w:rPr>
          <w:lang w:eastAsia="ja-JP"/>
        </w:rPr>
        <w:t xml:space="preserve">The core activity funded by the RFCS program </w:t>
      </w:r>
      <w:r w:rsidRPr="00F779D4">
        <w:rPr>
          <w:lang w:eastAsia="ja-JP"/>
        </w:rPr>
        <w:t xml:space="preserve">is </w:t>
      </w:r>
      <w:r>
        <w:rPr>
          <w:lang w:eastAsia="ja-JP"/>
        </w:rPr>
        <w:t xml:space="preserve">free, independent financial counselling to assist </w:t>
      </w:r>
      <w:r w:rsidR="00CB47DD">
        <w:rPr>
          <w:lang w:eastAsia="ja-JP"/>
        </w:rPr>
        <w:t>eligible clients</w:t>
      </w:r>
      <w:r>
        <w:rPr>
          <w:lang w:eastAsia="ja-JP"/>
        </w:rPr>
        <w:t xml:space="preserve"> plan for the </w:t>
      </w:r>
      <w:r w:rsidRPr="00433414">
        <w:rPr>
          <w:lang w:eastAsia="ja-JP"/>
        </w:rPr>
        <w:t xml:space="preserve">future. RFCS services are </w:t>
      </w:r>
      <w:r w:rsidR="003D3803">
        <w:rPr>
          <w:lang w:eastAsia="ja-JP"/>
        </w:rPr>
        <w:t xml:space="preserve">regionally </w:t>
      </w:r>
      <w:r w:rsidRPr="00433414">
        <w:rPr>
          <w:lang w:eastAsia="ja-JP"/>
        </w:rPr>
        <w:t xml:space="preserve">based, </w:t>
      </w:r>
      <w:r w:rsidRPr="00B31116">
        <w:rPr>
          <w:lang w:eastAsia="ja-JP"/>
        </w:rPr>
        <w:t>trusted, and deploy a unique blend of local knowledge</w:t>
      </w:r>
      <w:r>
        <w:rPr>
          <w:lang w:eastAsia="ja-JP"/>
        </w:rPr>
        <w:t xml:space="preserve"> and</w:t>
      </w:r>
      <w:r w:rsidRPr="00433414">
        <w:rPr>
          <w:lang w:eastAsia="ja-JP"/>
        </w:rPr>
        <w:t xml:space="preserve"> agribusiness understanding </w:t>
      </w:r>
      <w:r w:rsidR="00101F31">
        <w:rPr>
          <w:lang w:eastAsia="ja-JP"/>
        </w:rPr>
        <w:t>while</w:t>
      </w:r>
      <w:r w:rsidR="00101F31" w:rsidRPr="00CB47DD">
        <w:rPr>
          <w:lang w:eastAsia="ja-JP"/>
        </w:rPr>
        <w:t xml:space="preserve"> </w:t>
      </w:r>
      <w:r w:rsidRPr="00CB47DD">
        <w:rPr>
          <w:lang w:eastAsia="ja-JP"/>
        </w:rPr>
        <w:t>they provide professional counselling.</w:t>
      </w:r>
    </w:p>
    <w:p w14:paraId="4E873D93" w14:textId="24167BFE" w:rsidR="008266E3" w:rsidRPr="00575B2A" w:rsidRDefault="00575B2A" w:rsidP="00575B2A">
      <w:r>
        <w:rPr>
          <w:lang w:eastAsia="ja-JP"/>
        </w:rPr>
        <w:t>Under the guidelines, t</w:t>
      </w:r>
      <w:r w:rsidR="00413F16" w:rsidRPr="00F659B6">
        <w:rPr>
          <w:lang w:eastAsia="ja-JP"/>
        </w:rPr>
        <w:t xml:space="preserve">he program objective </w:t>
      </w:r>
      <w:r w:rsidR="00413F16">
        <w:rPr>
          <w:lang w:eastAsia="ja-JP"/>
        </w:rPr>
        <w:t>is</w:t>
      </w:r>
      <w:r>
        <w:t xml:space="preserve"> t</w:t>
      </w:r>
      <w:r w:rsidR="00792666" w:rsidRPr="00575B2A">
        <w:t>o h</w:t>
      </w:r>
      <w:r w:rsidR="00413F16" w:rsidRPr="00575B2A">
        <w:t>elp clients, through the provision of rural financial counselling services, understand their financial position and the viability of their enterprise, and to develop and implement plans to become financially self-sufficient.</w:t>
      </w:r>
    </w:p>
    <w:p w14:paraId="0A9021C3" w14:textId="12512864" w:rsidR="00517F4E" w:rsidRPr="00575B2A" w:rsidRDefault="00413F16" w:rsidP="00575B2A">
      <w:r w:rsidRPr="00575B2A">
        <w:t>The</w:t>
      </w:r>
      <w:r w:rsidR="003461A5" w:rsidRPr="00575B2A">
        <w:t xml:space="preserve"> deed</w:t>
      </w:r>
      <w:r w:rsidRPr="00575B2A">
        <w:t xml:space="preserve"> provides that the program objectives </w:t>
      </w:r>
      <w:r w:rsidR="003D3803" w:rsidRPr="00575B2A">
        <w:t>are</w:t>
      </w:r>
      <w:r w:rsidRPr="00575B2A">
        <w:t>:</w:t>
      </w:r>
    </w:p>
    <w:p w14:paraId="43ED1C42" w14:textId="1F107CAD" w:rsidR="00413F16" w:rsidRPr="00575B2A" w:rsidRDefault="00413F16" w:rsidP="00575B2A">
      <w:pPr>
        <w:pStyle w:val="ListNumber2"/>
      </w:pPr>
      <w:r w:rsidRPr="00575B2A">
        <w:t xml:space="preserve">to assist Eligible Clients, through the provision of Rural Financial Counselling Services, [to] understand their financial position and the viability of their </w:t>
      </w:r>
      <w:r w:rsidRPr="00523888">
        <w:t>enterprise;</w:t>
      </w:r>
    </w:p>
    <w:p w14:paraId="7A61F786" w14:textId="0D068B9D" w:rsidR="00413F16" w:rsidRPr="00575B2A" w:rsidRDefault="00413F16" w:rsidP="00575B2A">
      <w:pPr>
        <w:pStyle w:val="ListNumber2"/>
      </w:pPr>
      <w:r w:rsidRPr="00575B2A">
        <w:t>to assist Eligible Clients identify options and develop and implement plans to improve their financial self-sufficiency; and</w:t>
      </w:r>
    </w:p>
    <w:p w14:paraId="1B61D0EF" w14:textId="30336403" w:rsidR="00413F16" w:rsidRPr="00575B2A" w:rsidRDefault="00413F16" w:rsidP="00575B2A">
      <w:pPr>
        <w:pStyle w:val="ListNumber2"/>
      </w:pPr>
      <w:proofErr w:type="gramStart"/>
      <w:r w:rsidRPr="00575B2A">
        <w:t>to</w:t>
      </w:r>
      <w:proofErr w:type="gramEnd"/>
      <w:r w:rsidRPr="00575B2A">
        <w:t xml:space="preserve"> deliver an effective, responsive and flexible service to Eligible Clients.</w:t>
      </w:r>
    </w:p>
    <w:p w14:paraId="06698883" w14:textId="4657DFDE" w:rsidR="00517F4E" w:rsidRDefault="00413F16" w:rsidP="00413F16">
      <w:pPr>
        <w:rPr>
          <w:lang w:eastAsia="ja-JP"/>
        </w:rPr>
      </w:pPr>
      <w:r>
        <w:rPr>
          <w:lang w:eastAsia="ja-JP"/>
        </w:rPr>
        <w:t xml:space="preserve">While case management remains the focus of the RFCS program, the panel heard that from 2018 there was a marked increase in demand for the RFCS to help </w:t>
      </w:r>
      <w:proofErr w:type="gramStart"/>
      <w:r>
        <w:rPr>
          <w:lang w:eastAsia="ja-JP"/>
        </w:rPr>
        <w:t>clients</w:t>
      </w:r>
      <w:proofErr w:type="gramEnd"/>
      <w:r>
        <w:rPr>
          <w:lang w:eastAsia="ja-JP"/>
        </w:rPr>
        <w:t xml:space="preserve"> access government assistance programs</w:t>
      </w:r>
      <w:r w:rsidR="00AE262A">
        <w:rPr>
          <w:lang w:eastAsia="ja-JP"/>
        </w:rPr>
        <w:t>—</w:t>
      </w:r>
      <w:r w:rsidRPr="00706891">
        <w:rPr>
          <w:lang w:eastAsia="ja-JP"/>
        </w:rPr>
        <w:t>particularly</w:t>
      </w:r>
      <w:r>
        <w:rPr>
          <w:lang w:eastAsia="ja-JP"/>
        </w:rPr>
        <w:t xml:space="preserve"> in </w:t>
      </w:r>
      <w:r w:rsidRPr="00706891">
        <w:rPr>
          <w:lang w:eastAsia="ja-JP"/>
        </w:rPr>
        <w:t>areas experiencing prolonged drought</w:t>
      </w:r>
      <w:r>
        <w:rPr>
          <w:lang w:eastAsia="ja-JP"/>
        </w:rPr>
        <w:t xml:space="preserve"> conditions</w:t>
      </w:r>
      <w:r w:rsidRPr="00706891">
        <w:rPr>
          <w:lang w:eastAsia="ja-JP"/>
        </w:rPr>
        <w:t>.</w:t>
      </w:r>
      <w:r>
        <w:rPr>
          <w:lang w:eastAsia="ja-JP"/>
        </w:rPr>
        <w:t xml:space="preserve"> </w:t>
      </w:r>
      <w:r w:rsidR="00101F31">
        <w:rPr>
          <w:lang w:eastAsia="ja-JP"/>
        </w:rPr>
        <w:t>S</w:t>
      </w:r>
      <w:r w:rsidR="00101F31" w:rsidRPr="00296221">
        <w:rPr>
          <w:lang w:eastAsia="ja-JP"/>
        </w:rPr>
        <w:t xml:space="preserve">ervicing </w:t>
      </w:r>
      <w:r w:rsidRPr="00296221">
        <w:rPr>
          <w:lang w:eastAsia="ja-JP"/>
        </w:rPr>
        <w:t>this</w:t>
      </w:r>
      <w:r w:rsidR="00517F4E" w:rsidRPr="00296221">
        <w:rPr>
          <w:lang w:eastAsia="ja-JP"/>
        </w:rPr>
        <w:t xml:space="preserve"> </w:t>
      </w:r>
      <w:r w:rsidRPr="00296221">
        <w:rPr>
          <w:lang w:eastAsia="ja-JP"/>
        </w:rPr>
        <w:t>transactional assistance</w:t>
      </w:r>
      <w:r w:rsidR="00745579" w:rsidRPr="00296221">
        <w:rPr>
          <w:lang w:eastAsia="ja-JP"/>
        </w:rPr>
        <w:t xml:space="preserve"> </w:t>
      </w:r>
      <w:r w:rsidRPr="00296221">
        <w:rPr>
          <w:lang w:eastAsia="ja-JP"/>
        </w:rPr>
        <w:t>has come</w:t>
      </w:r>
      <w:r>
        <w:rPr>
          <w:lang w:eastAsia="ja-JP"/>
        </w:rPr>
        <w:t xml:space="preserve"> at the cost of traditional case management in some areas as they struggled to keep up with demand.</w:t>
      </w:r>
    </w:p>
    <w:p w14:paraId="2EDDADC3" w14:textId="03898F6A" w:rsidR="00517F4E" w:rsidRDefault="00413F16" w:rsidP="00413F16">
      <w:pPr>
        <w:rPr>
          <w:lang w:eastAsia="ja-JP"/>
        </w:rPr>
      </w:pPr>
      <w:r w:rsidRPr="00706891">
        <w:rPr>
          <w:lang w:eastAsia="ja-JP"/>
        </w:rPr>
        <w:t xml:space="preserve">While government </w:t>
      </w:r>
      <w:r w:rsidR="00101F31">
        <w:rPr>
          <w:lang w:eastAsia="ja-JP"/>
        </w:rPr>
        <w:t>programs</w:t>
      </w:r>
      <w:r w:rsidR="00101F31" w:rsidRPr="00706891">
        <w:rPr>
          <w:lang w:eastAsia="ja-JP"/>
        </w:rPr>
        <w:t xml:space="preserve"> </w:t>
      </w:r>
      <w:r w:rsidR="003D3803">
        <w:rPr>
          <w:lang w:eastAsia="ja-JP"/>
        </w:rPr>
        <w:t>aim to</w:t>
      </w:r>
      <w:r w:rsidR="003D3803" w:rsidRPr="00706891">
        <w:rPr>
          <w:lang w:eastAsia="ja-JP"/>
        </w:rPr>
        <w:t xml:space="preserve"> </w:t>
      </w:r>
      <w:r w:rsidRPr="00706891">
        <w:rPr>
          <w:lang w:eastAsia="ja-JP"/>
        </w:rPr>
        <w:t>provide immediate relief,</w:t>
      </w:r>
      <w:r>
        <w:rPr>
          <w:lang w:eastAsia="ja-JP"/>
        </w:rPr>
        <w:t xml:space="preserve"> </w:t>
      </w:r>
      <w:r w:rsidR="00101F31">
        <w:rPr>
          <w:lang w:eastAsia="ja-JP"/>
        </w:rPr>
        <w:t xml:space="preserve">the need for assistance </w:t>
      </w:r>
      <w:r>
        <w:rPr>
          <w:lang w:eastAsia="ja-JP"/>
        </w:rPr>
        <w:t xml:space="preserve">is often indicative of broader underlying issues. </w:t>
      </w:r>
      <w:r w:rsidR="00101F31">
        <w:rPr>
          <w:lang w:eastAsia="ja-JP"/>
        </w:rPr>
        <w:t>As such, c</w:t>
      </w:r>
      <w:r w:rsidR="00AE262A">
        <w:rPr>
          <w:lang w:eastAsia="ja-JP"/>
        </w:rPr>
        <w:t xml:space="preserve">lients can </w:t>
      </w:r>
      <w:r w:rsidR="003D3803">
        <w:rPr>
          <w:lang w:eastAsia="ja-JP"/>
        </w:rPr>
        <w:t xml:space="preserve">benefit </w:t>
      </w:r>
      <w:r w:rsidR="00AE262A">
        <w:rPr>
          <w:lang w:eastAsia="ja-JP"/>
        </w:rPr>
        <w:t xml:space="preserve">from </w:t>
      </w:r>
      <w:r>
        <w:rPr>
          <w:lang w:eastAsia="ja-JP"/>
        </w:rPr>
        <w:t>a case</w:t>
      </w:r>
      <w:r w:rsidR="00D724AF">
        <w:rPr>
          <w:lang w:eastAsia="ja-JP"/>
        </w:rPr>
        <w:t>-</w:t>
      </w:r>
      <w:r>
        <w:rPr>
          <w:lang w:eastAsia="ja-JP"/>
        </w:rPr>
        <w:t>managed relationship with a counsellor to work on</w:t>
      </w:r>
      <w:r w:rsidRPr="008E65BC">
        <w:rPr>
          <w:lang w:eastAsia="ja-JP"/>
        </w:rPr>
        <w:t xml:space="preserve"> </w:t>
      </w:r>
      <w:r>
        <w:rPr>
          <w:lang w:eastAsia="ja-JP"/>
        </w:rPr>
        <w:t>behavioural change and</w:t>
      </w:r>
      <w:r w:rsidRPr="00F659B6">
        <w:rPr>
          <w:lang w:eastAsia="ja-JP"/>
        </w:rPr>
        <w:t xml:space="preserve"> improve</w:t>
      </w:r>
      <w:r>
        <w:rPr>
          <w:lang w:eastAsia="ja-JP"/>
        </w:rPr>
        <w:t>d</w:t>
      </w:r>
      <w:r w:rsidRPr="00F659B6">
        <w:rPr>
          <w:lang w:eastAsia="ja-JP"/>
        </w:rPr>
        <w:t xml:space="preserve"> self-sufficiency</w:t>
      </w:r>
      <w:r>
        <w:rPr>
          <w:lang w:eastAsia="ja-JP"/>
        </w:rPr>
        <w:t>, as soon as caseloads permit.</w:t>
      </w:r>
    </w:p>
    <w:p w14:paraId="579FB6AB" w14:textId="19A6CB9B" w:rsidR="004C51AD" w:rsidRDefault="002801E0" w:rsidP="00413F16">
      <w:pPr>
        <w:rPr>
          <w:lang w:eastAsia="ja-JP"/>
        </w:rPr>
      </w:pPr>
      <w:r>
        <w:rPr>
          <w:lang w:eastAsia="ja-JP"/>
        </w:rPr>
        <w:t>S</w:t>
      </w:r>
      <w:r w:rsidR="004C51AD">
        <w:rPr>
          <w:lang w:eastAsia="ja-JP"/>
        </w:rPr>
        <w:t xml:space="preserve">tate governments </w:t>
      </w:r>
      <w:r>
        <w:rPr>
          <w:lang w:eastAsia="ja-JP"/>
        </w:rPr>
        <w:t xml:space="preserve">were </w:t>
      </w:r>
      <w:r w:rsidR="004C51AD">
        <w:rPr>
          <w:lang w:eastAsia="ja-JP"/>
        </w:rPr>
        <w:t>supportive of re-establishing a focus on preparedness for the RFCS service.</w:t>
      </w:r>
    </w:p>
    <w:p w14:paraId="3AFBFC45" w14:textId="66E17996" w:rsidR="00517F4E" w:rsidRDefault="00101F31" w:rsidP="00413F16">
      <w:pPr>
        <w:rPr>
          <w:lang w:eastAsia="ja-JP"/>
        </w:rPr>
      </w:pPr>
      <w:r>
        <w:rPr>
          <w:lang w:eastAsia="ja-JP"/>
        </w:rPr>
        <w:t>F</w:t>
      </w:r>
      <w:r w:rsidR="00413F16">
        <w:rPr>
          <w:lang w:eastAsia="ja-JP"/>
        </w:rPr>
        <w:t>uture program settings need to recognise and address the tension between high transactional workloads and assisting case</w:t>
      </w:r>
      <w:r w:rsidR="00D724AF">
        <w:rPr>
          <w:lang w:eastAsia="ja-JP"/>
        </w:rPr>
        <w:t>-</w:t>
      </w:r>
      <w:r w:rsidR="00413F16">
        <w:rPr>
          <w:lang w:eastAsia="ja-JP"/>
        </w:rPr>
        <w:t>managed clients to make change. P</w:t>
      </w:r>
      <w:r w:rsidR="00413F16" w:rsidRPr="00F659B6">
        <w:rPr>
          <w:lang w:eastAsia="ja-JP"/>
        </w:rPr>
        <w:t>rogram settings</w:t>
      </w:r>
      <w:r w:rsidR="00413F16">
        <w:rPr>
          <w:lang w:eastAsia="ja-JP"/>
        </w:rPr>
        <w:t xml:space="preserve"> and communications</w:t>
      </w:r>
      <w:r w:rsidR="00413F16" w:rsidRPr="00F659B6">
        <w:rPr>
          <w:lang w:eastAsia="ja-JP"/>
        </w:rPr>
        <w:t xml:space="preserve"> </w:t>
      </w:r>
      <w:r w:rsidR="002801E0">
        <w:rPr>
          <w:lang w:eastAsia="ja-JP"/>
        </w:rPr>
        <w:t xml:space="preserve">also </w:t>
      </w:r>
      <w:r w:rsidR="00413F16" w:rsidRPr="00F659B6">
        <w:rPr>
          <w:lang w:eastAsia="ja-JP"/>
        </w:rPr>
        <w:t xml:space="preserve">need to reflect that case management is the goal </w:t>
      </w:r>
      <w:r w:rsidR="00413F16">
        <w:rPr>
          <w:lang w:eastAsia="ja-JP"/>
        </w:rPr>
        <w:t xml:space="preserve">of the program. </w:t>
      </w:r>
      <w:r w:rsidR="00AA3F0E">
        <w:rPr>
          <w:lang w:eastAsia="ja-JP"/>
        </w:rPr>
        <w:t>O</w:t>
      </w:r>
      <w:r w:rsidR="00413F16">
        <w:rPr>
          <w:lang w:eastAsia="ja-JP"/>
        </w:rPr>
        <w:t xml:space="preserve">ther </w:t>
      </w:r>
      <w:r w:rsidR="00413F16" w:rsidRPr="00890AB9">
        <w:rPr>
          <w:lang w:eastAsia="ja-JP"/>
        </w:rPr>
        <w:lastRenderedPageBreak/>
        <w:t>activities</w:t>
      </w:r>
      <w:r w:rsidR="00890AB9">
        <w:rPr>
          <w:lang w:eastAsia="ja-JP"/>
        </w:rPr>
        <w:t xml:space="preserve"> </w:t>
      </w:r>
      <w:r w:rsidR="00413F16" w:rsidRPr="00890AB9">
        <w:rPr>
          <w:lang w:eastAsia="ja-JP"/>
        </w:rPr>
        <w:t>such as general enquiries and transactional assistance</w:t>
      </w:r>
      <w:r w:rsidR="00890AB9">
        <w:rPr>
          <w:lang w:eastAsia="ja-JP"/>
        </w:rPr>
        <w:t xml:space="preserve"> </w:t>
      </w:r>
      <w:r w:rsidR="00413F16">
        <w:rPr>
          <w:lang w:eastAsia="ja-JP"/>
        </w:rPr>
        <w:t>have value when directly connected to case management and longer</w:t>
      </w:r>
      <w:r w:rsidR="00B32307">
        <w:rPr>
          <w:lang w:eastAsia="ja-JP"/>
        </w:rPr>
        <w:t>-</w:t>
      </w:r>
      <w:r w:rsidR="00413F16">
        <w:rPr>
          <w:lang w:eastAsia="ja-JP"/>
        </w:rPr>
        <w:t>term outcomes for the client.</w:t>
      </w:r>
    </w:p>
    <w:p w14:paraId="63597D9B" w14:textId="77777777" w:rsidR="00AA3F0E" w:rsidRDefault="00413F16" w:rsidP="00413F16">
      <w:pPr>
        <w:rPr>
          <w:lang w:eastAsia="ja-JP"/>
        </w:rPr>
      </w:pPr>
      <w:r>
        <w:rPr>
          <w:lang w:eastAsia="ja-JP"/>
        </w:rPr>
        <w:t>At a national level, transformational change to improve the profitability and resilience of the sector is only possible if agricultural businesses are</w:t>
      </w:r>
      <w:r w:rsidR="00AA3F0E">
        <w:rPr>
          <w:lang w:eastAsia="ja-JP"/>
        </w:rPr>
        <w:t>:</w:t>
      </w:r>
    </w:p>
    <w:p w14:paraId="6F0F2F11" w14:textId="73026580" w:rsidR="00AA3F0E" w:rsidRDefault="00413F16" w:rsidP="00523888">
      <w:pPr>
        <w:pStyle w:val="ListBullet"/>
        <w:rPr>
          <w:lang w:eastAsia="ja-JP"/>
        </w:rPr>
      </w:pPr>
      <w:r>
        <w:rPr>
          <w:lang w:eastAsia="ja-JP"/>
        </w:rPr>
        <w:t>actively addressing and overcoming financial difficulties</w:t>
      </w:r>
    </w:p>
    <w:p w14:paraId="3550DEC8" w14:textId="299A68A7" w:rsidR="00AA3F0E" w:rsidRDefault="00291D43" w:rsidP="00523888">
      <w:pPr>
        <w:pStyle w:val="ListBullet"/>
        <w:rPr>
          <w:lang w:eastAsia="ja-JP"/>
        </w:rPr>
      </w:pPr>
      <w:r>
        <w:rPr>
          <w:lang w:eastAsia="ja-JP"/>
        </w:rPr>
        <w:t xml:space="preserve">undergoing succession </w:t>
      </w:r>
      <w:r w:rsidR="00413F16">
        <w:rPr>
          <w:lang w:eastAsia="ja-JP"/>
        </w:rPr>
        <w:t>or</w:t>
      </w:r>
    </w:p>
    <w:p w14:paraId="3F9E2D98" w14:textId="23AD9E3E" w:rsidR="00517F4E" w:rsidRDefault="00413F16" w:rsidP="00523888">
      <w:pPr>
        <w:pStyle w:val="ListBullet"/>
        <w:rPr>
          <w:lang w:eastAsia="ja-JP"/>
        </w:rPr>
      </w:pPr>
      <w:proofErr w:type="gramStart"/>
      <w:r>
        <w:rPr>
          <w:lang w:eastAsia="ja-JP"/>
        </w:rPr>
        <w:t>transitioning</w:t>
      </w:r>
      <w:proofErr w:type="gramEnd"/>
      <w:r>
        <w:rPr>
          <w:lang w:eastAsia="ja-JP"/>
        </w:rPr>
        <w:t xml:space="preserve"> into alternative career paths </w:t>
      </w:r>
      <w:r w:rsidR="00AA3F0E">
        <w:rPr>
          <w:lang w:eastAsia="ja-JP"/>
        </w:rPr>
        <w:t xml:space="preserve">if current </w:t>
      </w:r>
      <w:r>
        <w:rPr>
          <w:lang w:eastAsia="ja-JP"/>
        </w:rPr>
        <w:t>businesses are unviable.</w:t>
      </w:r>
    </w:p>
    <w:p w14:paraId="0C56F9E3" w14:textId="5A2353C5" w:rsidR="00517F4E" w:rsidRDefault="0079524D" w:rsidP="00413F16">
      <w:pPr>
        <w:rPr>
          <w:lang w:eastAsia="ja-JP"/>
        </w:rPr>
      </w:pPr>
      <w:r>
        <w:rPr>
          <w:lang w:eastAsia="ja-JP"/>
        </w:rPr>
        <w:t xml:space="preserve">Influencing </w:t>
      </w:r>
      <w:r w:rsidR="006560A3">
        <w:rPr>
          <w:lang w:eastAsia="ja-JP"/>
        </w:rPr>
        <w:t xml:space="preserve">and supporting </w:t>
      </w:r>
      <w:r w:rsidR="004446C3">
        <w:rPr>
          <w:lang w:eastAsia="ja-JP"/>
        </w:rPr>
        <w:t>change</w:t>
      </w:r>
      <w:r>
        <w:rPr>
          <w:lang w:eastAsia="ja-JP"/>
        </w:rPr>
        <w:t xml:space="preserve"> should be the core philosophy of the RFCS program. Where clients demonstrate an </w:t>
      </w:r>
      <w:r w:rsidR="00AC17D6">
        <w:rPr>
          <w:lang w:eastAsia="ja-JP"/>
        </w:rPr>
        <w:t xml:space="preserve">ongoing </w:t>
      </w:r>
      <w:r>
        <w:rPr>
          <w:lang w:eastAsia="ja-JP"/>
        </w:rPr>
        <w:t>unwillingness or inability to enga</w:t>
      </w:r>
      <w:r w:rsidR="004446C3">
        <w:rPr>
          <w:lang w:eastAsia="ja-JP"/>
        </w:rPr>
        <w:t xml:space="preserve">ge with change, </w:t>
      </w:r>
      <w:r w:rsidR="00E714CB">
        <w:rPr>
          <w:lang w:eastAsia="ja-JP"/>
        </w:rPr>
        <w:t>RFCS resources</w:t>
      </w:r>
      <w:r w:rsidR="004446C3">
        <w:rPr>
          <w:lang w:eastAsia="ja-JP"/>
        </w:rPr>
        <w:t xml:space="preserve"> should be </w:t>
      </w:r>
      <w:r w:rsidR="00AC17D6">
        <w:rPr>
          <w:lang w:eastAsia="ja-JP"/>
        </w:rPr>
        <w:t xml:space="preserve">concentrated on </w:t>
      </w:r>
      <w:r w:rsidR="0013030C">
        <w:rPr>
          <w:lang w:eastAsia="ja-JP"/>
        </w:rPr>
        <w:t>others who are able to get the most out of a case manage</w:t>
      </w:r>
      <w:r w:rsidR="0070397E">
        <w:rPr>
          <w:lang w:eastAsia="ja-JP"/>
        </w:rPr>
        <w:t>ment model.</w:t>
      </w:r>
    </w:p>
    <w:p w14:paraId="5537A7BE" w14:textId="7F926D5E" w:rsidR="00413F16" w:rsidRPr="00FB0AEB" w:rsidRDefault="00E05675" w:rsidP="00EB3871">
      <w:pPr>
        <w:pStyle w:val="BoxHeading"/>
      </w:pPr>
      <w:r w:rsidRPr="00FB0AEB">
        <w:t>Recommendation</w:t>
      </w:r>
      <w:r w:rsidR="00EB3871" w:rsidRPr="00FB0AEB">
        <w:t xml:space="preserve"> 1</w:t>
      </w:r>
    </w:p>
    <w:p w14:paraId="4C554DB1" w14:textId="38829F53" w:rsidR="00EB3871" w:rsidRPr="00EB3871" w:rsidRDefault="0037056A" w:rsidP="00EB3871">
      <w:pPr>
        <w:pStyle w:val="BoxText"/>
        <w:rPr>
          <w:highlight w:val="green"/>
        </w:rPr>
      </w:pPr>
      <w:r w:rsidRPr="00CE687C">
        <w:rPr>
          <w:lang w:eastAsia="ja-JP"/>
        </w:rPr>
        <w:t>That program objectives be amended to clearly reflect the role of the RFCS as change agents</w:t>
      </w:r>
      <w:r>
        <w:rPr>
          <w:lang w:eastAsia="ja-JP"/>
        </w:rPr>
        <w:t xml:space="preserve">. All RFCS activities should </w:t>
      </w:r>
      <w:r w:rsidRPr="00CE687C">
        <w:rPr>
          <w:lang w:eastAsia="ja-JP"/>
        </w:rPr>
        <w:t>point</w:t>
      </w:r>
      <w:r>
        <w:rPr>
          <w:lang w:eastAsia="ja-JP"/>
        </w:rPr>
        <w:t xml:space="preserve"> </w:t>
      </w:r>
      <w:r w:rsidRPr="00CE687C">
        <w:rPr>
          <w:lang w:eastAsia="ja-JP"/>
        </w:rPr>
        <w:t xml:space="preserve">towards case management and the broader policy </w:t>
      </w:r>
      <w:r>
        <w:rPr>
          <w:lang w:eastAsia="ja-JP"/>
        </w:rPr>
        <w:t>outcome</w:t>
      </w:r>
      <w:r w:rsidRPr="00CE687C">
        <w:rPr>
          <w:lang w:eastAsia="ja-JP"/>
        </w:rPr>
        <w:t xml:space="preserve"> of behavioural change to improve the resilience of Australia</w:t>
      </w:r>
      <w:r>
        <w:rPr>
          <w:lang w:eastAsia="ja-JP"/>
        </w:rPr>
        <w:t>'</w:t>
      </w:r>
      <w:r w:rsidRPr="00CE687C">
        <w:rPr>
          <w:lang w:eastAsia="ja-JP"/>
        </w:rPr>
        <w:t>s primary production industries.</w:t>
      </w:r>
    </w:p>
    <w:p w14:paraId="010D2E07" w14:textId="630CD0A5" w:rsidR="00413F16" w:rsidRPr="00F659B6" w:rsidRDefault="00413F16" w:rsidP="00413F16">
      <w:pPr>
        <w:pStyle w:val="Heading3"/>
        <w:rPr>
          <w:lang w:eastAsia="ja-JP"/>
        </w:rPr>
      </w:pPr>
      <w:bookmarkStart w:id="26" w:name="_Toc12993388"/>
      <w:bookmarkStart w:id="27" w:name="_Toc18328846"/>
      <w:r w:rsidRPr="00F659B6">
        <w:rPr>
          <w:lang w:eastAsia="ja-JP"/>
        </w:rPr>
        <w:t>RFCS activities</w:t>
      </w:r>
      <w:bookmarkEnd w:id="26"/>
      <w:bookmarkEnd w:id="27"/>
    </w:p>
    <w:p w14:paraId="16D6B236" w14:textId="424AD45B" w:rsidR="00517F4E" w:rsidRDefault="00413F16" w:rsidP="00413F16">
      <w:pPr>
        <w:rPr>
          <w:lang w:eastAsia="ja-JP"/>
        </w:rPr>
      </w:pPr>
      <w:r w:rsidRPr="00F659B6">
        <w:rPr>
          <w:lang w:eastAsia="ja-JP"/>
        </w:rPr>
        <w:t>RFCS providers undertake a range of activities to support the objectives of the program.</w:t>
      </w:r>
      <w:r>
        <w:rPr>
          <w:lang w:eastAsia="ja-JP"/>
        </w:rPr>
        <w:t xml:space="preserve"> </w:t>
      </w:r>
      <w:r w:rsidRPr="00F659B6">
        <w:rPr>
          <w:lang w:eastAsia="ja-JP"/>
        </w:rPr>
        <w:t xml:space="preserve">Broadly, existing client-facing activities fall </w:t>
      </w:r>
      <w:r w:rsidRPr="002A4CC2">
        <w:rPr>
          <w:lang w:eastAsia="ja-JP"/>
        </w:rPr>
        <w:t xml:space="preserve">into </w:t>
      </w:r>
      <w:r w:rsidR="00F13F30">
        <w:rPr>
          <w:lang w:eastAsia="ja-JP"/>
        </w:rPr>
        <w:t>3</w:t>
      </w:r>
      <w:r w:rsidRPr="002A4CC2">
        <w:rPr>
          <w:lang w:eastAsia="ja-JP"/>
        </w:rPr>
        <w:t xml:space="preserve"> categories</w:t>
      </w:r>
      <w:r>
        <w:rPr>
          <w:lang w:eastAsia="ja-JP"/>
        </w:rPr>
        <w:t>:</w:t>
      </w:r>
    </w:p>
    <w:p w14:paraId="3CCB021D" w14:textId="7FBD28E4" w:rsidR="00B32307" w:rsidRDefault="00413F16" w:rsidP="00D166F8">
      <w:pPr>
        <w:pStyle w:val="ListBullet"/>
        <w:rPr>
          <w:lang w:eastAsia="ja-JP"/>
        </w:rPr>
      </w:pPr>
      <w:r w:rsidRPr="00F659B6">
        <w:rPr>
          <w:lang w:eastAsia="ja-JP"/>
        </w:rPr>
        <w:t>general enquiries</w:t>
      </w:r>
    </w:p>
    <w:p w14:paraId="0A1ABAED" w14:textId="6A886FFB" w:rsidR="00B32307" w:rsidRDefault="00413F16" w:rsidP="00D166F8">
      <w:pPr>
        <w:pStyle w:val="ListBullet"/>
        <w:rPr>
          <w:lang w:eastAsia="ja-JP"/>
        </w:rPr>
      </w:pPr>
      <w:r w:rsidRPr="00F659B6">
        <w:rPr>
          <w:lang w:eastAsia="ja-JP"/>
        </w:rPr>
        <w:t>transactional assistance</w:t>
      </w:r>
    </w:p>
    <w:p w14:paraId="4485795C" w14:textId="6038B8C1" w:rsidR="00517F4E" w:rsidRDefault="006560A3" w:rsidP="00D166F8">
      <w:pPr>
        <w:pStyle w:val="ListBullet"/>
        <w:rPr>
          <w:lang w:eastAsia="ja-JP"/>
        </w:rPr>
      </w:pPr>
      <w:proofErr w:type="gramStart"/>
      <w:r>
        <w:rPr>
          <w:lang w:eastAsia="ja-JP"/>
        </w:rPr>
        <w:t>intensive</w:t>
      </w:r>
      <w:proofErr w:type="gramEnd"/>
      <w:r w:rsidR="00413F16" w:rsidRPr="00F659B6">
        <w:rPr>
          <w:lang w:eastAsia="ja-JP"/>
        </w:rPr>
        <w:t xml:space="preserve"> case management.</w:t>
      </w:r>
    </w:p>
    <w:p w14:paraId="03BB6F2D" w14:textId="1360B8EE" w:rsidR="00517F4E" w:rsidRDefault="00413F16" w:rsidP="00A34A7F">
      <w:pPr>
        <w:rPr>
          <w:lang w:eastAsia="ja-JP"/>
        </w:rPr>
      </w:pPr>
      <w:r w:rsidRPr="00F659B6">
        <w:rPr>
          <w:lang w:eastAsia="ja-JP"/>
        </w:rPr>
        <w:t>Organisations also undertake a number of corporate and administrative activities to support the business</w:t>
      </w:r>
      <w:r w:rsidR="005C1686">
        <w:rPr>
          <w:lang w:eastAsia="ja-JP"/>
        </w:rPr>
        <w:t xml:space="preserve">. These activities </w:t>
      </w:r>
      <w:r w:rsidRPr="00F659B6">
        <w:rPr>
          <w:lang w:eastAsia="ja-JP"/>
        </w:rPr>
        <w:t xml:space="preserve">require adequate resourcing, </w:t>
      </w:r>
      <w:r w:rsidR="005C1686">
        <w:rPr>
          <w:lang w:eastAsia="ja-JP"/>
        </w:rPr>
        <w:t xml:space="preserve">including </w:t>
      </w:r>
      <w:r w:rsidRPr="00F659B6">
        <w:rPr>
          <w:lang w:eastAsia="ja-JP"/>
        </w:rPr>
        <w:t>payroll</w:t>
      </w:r>
      <w:r w:rsidR="00475AC8">
        <w:rPr>
          <w:lang w:eastAsia="ja-JP"/>
        </w:rPr>
        <w:t xml:space="preserve">, </w:t>
      </w:r>
      <w:r w:rsidRPr="00F659B6">
        <w:rPr>
          <w:lang w:eastAsia="ja-JP"/>
        </w:rPr>
        <w:t>accounting</w:t>
      </w:r>
      <w:r w:rsidR="006560A3">
        <w:rPr>
          <w:lang w:eastAsia="ja-JP"/>
        </w:rPr>
        <w:t>, outreach, networking</w:t>
      </w:r>
      <w:r w:rsidR="006B7444">
        <w:rPr>
          <w:lang w:eastAsia="ja-JP"/>
        </w:rPr>
        <w:t xml:space="preserve"> </w:t>
      </w:r>
      <w:r w:rsidRPr="00F659B6">
        <w:rPr>
          <w:lang w:eastAsia="ja-JP"/>
        </w:rPr>
        <w:t>and communications.</w:t>
      </w:r>
    </w:p>
    <w:p w14:paraId="58E9FA5A" w14:textId="00A32E00" w:rsidR="00413F16" w:rsidRPr="00F659B6" w:rsidRDefault="00413F16" w:rsidP="00413F16">
      <w:pPr>
        <w:rPr>
          <w:lang w:eastAsia="ja-JP"/>
        </w:rPr>
      </w:pPr>
      <w:r w:rsidRPr="00F659B6">
        <w:rPr>
          <w:lang w:eastAsia="ja-JP"/>
        </w:rPr>
        <w:t xml:space="preserve">The panel notes that not all providers use counsellor-only staffing models to deliver services. </w:t>
      </w:r>
      <w:r>
        <w:rPr>
          <w:lang w:eastAsia="ja-JP"/>
        </w:rPr>
        <w:t>For example, several service</w:t>
      </w:r>
      <w:r w:rsidR="00B32307">
        <w:rPr>
          <w:lang w:eastAsia="ja-JP"/>
        </w:rPr>
        <w:t xml:space="preserve"> providers</w:t>
      </w:r>
      <w:r>
        <w:rPr>
          <w:lang w:eastAsia="ja-JP"/>
        </w:rPr>
        <w:t xml:space="preserve"> hire support staff to assist with transactional activities, allowing counsellors to concentrate on case</w:t>
      </w:r>
      <w:r w:rsidR="00D724AF">
        <w:rPr>
          <w:lang w:eastAsia="ja-JP"/>
        </w:rPr>
        <w:t>-</w:t>
      </w:r>
      <w:r>
        <w:rPr>
          <w:lang w:eastAsia="ja-JP"/>
        </w:rPr>
        <w:t>managed relationships.</w:t>
      </w:r>
      <w:r w:rsidR="006560A3">
        <w:rPr>
          <w:lang w:eastAsia="ja-JP"/>
        </w:rPr>
        <w:t xml:space="preserve"> This was particularly the case with the contingency funds approved in September 2018 to deal with the anticipated spike in demand due to changes to FHA.</w:t>
      </w:r>
    </w:p>
    <w:p w14:paraId="23363486" w14:textId="77777777" w:rsidR="00413F16" w:rsidRPr="00F659B6" w:rsidRDefault="00413F16" w:rsidP="00413F16">
      <w:pPr>
        <w:pStyle w:val="Heading4"/>
        <w:rPr>
          <w:lang w:eastAsia="ja-JP"/>
        </w:rPr>
      </w:pPr>
      <w:r>
        <w:rPr>
          <w:lang w:eastAsia="ja-JP"/>
        </w:rPr>
        <w:t>Initial contact and triage</w:t>
      </w:r>
    </w:p>
    <w:p w14:paraId="7189CCBF" w14:textId="32B79F4C" w:rsidR="00413F16" w:rsidRDefault="00413F16" w:rsidP="00413F16">
      <w:pPr>
        <w:rPr>
          <w:lang w:eastAsia="ja-JP"/>
        </w:rPr>
      </w:pPr>
      <w:r>
        <w:rPr>
          <w:lang w:eastAsia="ja-JP"/>
        </w:rPr>
        <w:t>In</w:t>
      </w:r>
      <w:r w:rsidRPr="00F659B6">
        <w:rPr>
          <w:lang w:eastAsia="ja-JP"/>
        </w:rPr>
        <w:t xml:space="preserve"> most regions, client contact is first made with the service</w:t>
      </w:r>
      <w:r w:rsidR="00475AC8">
        <w:rPr>
          <w:lang w:eastAsia="ja-JP"/>
        </w:rPr>
        <w:t xml:space="preserve"> provider</w:t>
      </w:r>
      <w:r w:rsidRPr="00F659B6">
        <w:rPr>
          <w:lang w:eastAsia="ja-JP"/>
        </w:rPr>
        <w:t xml:space="preserve"> via a general enquiries line typically handled by administrati</w:t>
      </w:r>
      <w:r>
        <w:rPr>
          <w:lang w:eastAsia="ja-JP"/>
        </w:rPr>
        <w:t xml:space="preserve">on or support </w:t>
      </w:r>
      <w:r w:rsidRPr="00F659B6">
        <w:rPr>
          <w:lang w:eastAsia="ja-JP"/>
        </w:rPr>
        <w:t>staff</w:t>
      </w:r>
      <w:r w:rsidR="008179F8">
        <w:rPr>
          <w:lang w:eastAsia="ja-JP"/>
        </w:rPr>
        <w:t>. I</w:t>
      </w:r>
      <w:r>
        <w:rPr>
          <w:lang w:eastAsia="ja-JP"/>
        </w:rPr>
        <w:t xml:space="preserve">n some cases, </w:t>
      </w:r>
      <w:r w:rsidR="008179F8">
        <w:rPr>
          <w:lang w:eastAsia="ja-JP"/>
        </w:rPr>
        <w:t xml:space="preserve">however, </w:t>
      </w:r>
      <w:r>
        <w:rPr>
          <w:lang w:eastAsia="ja-JP"/>
        </w:rPr>
        <w:t>calls are made directly to counsellors. Providers had similar models for triaging clients</w:t>
      </w:r>
      <w:r w:rsidR="00475AC8">
        <w:rPr>
          <w:lang w:eastAsia="ja-JP"/>
        </w:rPr>
        <w:t>—</w:t>
      </w:r>
      <w:r>
        <w:rPr>
          <w:lang w:eastAsia="ja-JP"/>
        </w:rPr>
        <w:t>prioritising urgent work</w:t>
      </w:r>
      <w:r w:rsidR="00475AC8">
        <w:rPr>
          <w:lang w:eastAsia="ja-JP"/>
        </w:rPr>
        <w:t>,</w:t>
      </w:r>
      <w:r>
        <w:rPr>
          <w:lang w:eastAsia="ja-JP"/>
        </w:rPr>
        <w:t xml:space="preserve"> such as farm debt mediation or </w:t>
      </w:r>
      <w:r w:rsidR="00475AC8">
        <w:rPr>
          <w:lang w:eastAsia="ja-JP"/>
        </w:rPr>
        <w:t xml:space="preserve">immediate </w:t>
      </w:r>
      <w:r>
        <w:rPr>
          <w:lang w:eastAsia="ja-JP"/>
        </w:rPr>
        <w:t xml:space="preserve">assistance for clients experiencing severe financial difficulty. Clients who requested assistance to apply for government programs were generally </w:t>
      </w:r>
      <w:r w:rsidR="00475AC8">
        <w:rPr>
          <w:lang w:eastAsia="ja-JP"/>
        </w:rPr>
        <w:t>given</w:t>
      </w:r>
      <w:r>
        <w:rPr>
          <w:lang w:eastAsia="ja-JP"/>
        </w:rPr>
        <w:t xml:space="preserve"> higher priority than those wishing to access a longer-term, case</w:t>
      </w:r>
      <w:r w:rsidR="00D724AF">
        <w:rPr>
          <w:lang w:eastAsia="ja-JP"/>
        </w:rPr>
        <w:t>-</w:t>
      </w:r>
      <w:r>
        <w:rPr>
          <w:lang w:eastAsia="ja-JP"/>
        </w:rPr>
        <w:t>managed relationship, especially when demand was high.</w:t>
      </w:r>
    </w:p>
    <w:p w14:paraId="4E80B3F2" w14:textId="41C9DB32" w:rsidR="00413F16" w:rsidRDefault="007D6FF6" w:rsidP="00413F16">
      <w:pPr>
        <w:rPr>
          <w:lang w:eastAsia="ja-JP"/>
        </w:rPr>
      </w:pPr>
      <w:r w:rsidRPr="007D6FF6">
        <w:rPr>
          <w:lang w:eastAsia="ja-JP"/>
        </w:rPr>
        <w:lastRenderedPageBreak/>
        <w:t>Where clients are making a general enquiry or seeking a referral to related services, support staff could provide relevant information in order to save counsellor time. It is noted that any client contact is an opportunity to develop a long-term relationship. Where possible, potentially eligible clients should be followed up to see if it could lead to a longer term, case managed relationship.</w:t>
      </w:r>
    </w:p>
    <w:p w14:paraId="3A842ECB" w14:textId="77777777" w:rsidR="00413F16" w:rsidRPr="00F659B6" w:rsidRDefault="00413F16" w:rsidP="00413F16">
      <w:pPr>
        <w:pStyle w:val="Heading4"/>
        <w:rPr>
          <w:lang w:eastAsia="ja-JP"/>
        </w:rPr>
      </w:pPr>
      <w:r w:rsidRPr="00F659B6">
        <w:rPr>
          <w:lang w:eastAsia="ja-JP"/>
        </w:rPr>
        <w:t>Transactional assistance</w:t>
      </w:r>
    </w:p>
    <w:p w14:paraId="7184C253" w14:textId="5A77F0C3" w:rsidR="00517F4E" w:rsidRDefault="00413F16" w:rsidP="00413F16">
      <w:pPr>
        <w:rPr>
          <w:lang w:eastAsia="ja-JP"/>
        </w:rPr>
      </w:pPr>
      <w:r w:rsidRPr="00F659B6">
        <w:rPr>
          <w:lang w:eastAsia="ja-JP"/>
        </w:rPr>
        <w:t>Some providers have experienced a significant increase in demand for appointments with counsellors, largely associated with assistance to access government programs.</w:t>
      </w:r>
      <w:r>
        <w:rPr>
          <w:lang w:eastAsia="ja-JP"/>
        </w:rPr>
        <w:t xml:space="preserve"> </w:t>
      </w:r>
      <w:r w:rsidR="008179F8">
        <w:rPr>
          <w:lang w:eastAsia="ja-JP"/>
        </w:rPr>
        <w:t xml:space="preserve">Demand </w:t>
      </w:r>
      <w:r>
        <w:rPr>
          <w:lang w:eastAsia="ja-JP"/>
        </w:rPr>
        <w:t xml:space="preserve">was particularly high </w:t>
      </w:r>
      <w:r w:rsidRPr="00F659B6">
        <w:rPr>
          <w:lang w:eastAsia="ja-JP"/>
        </w:rPr>
        <w:t>across Queensland, New South Wales</w:t>
      </w:r>
      <w:r>
        <w:rPr>
          <w:lang w:eastAsia="ja-JP"/>
        </w:rPr>
        <w:t>, South Australia</w:t>
      </w:r>
      <w:r w:rsidRPr="00F659B6">
        <w:rPr>
          <w:lang w:eastAsia="ja-JP"/>
        </w:rPr>
        <w:t xml:space="preserve"> and Victori</w:t>
      </w:r>
      <w:r>
        <w:rPr>
          <w:lang w:eastAsia="ja-JP"/>
        </w:rPr>
        <w:t>a.</w:t>
      </w:r>
    </w:p>
    <w:p w14:paraId="409252C2" w14:textId="4C79BF78" w:rsidR="00413F16" w:rsidRDefault="00413F16" w:rsidP="00413F16">
      <w:pPr>
        <w:rPr>
          <w:lang w:eastAsia="ja-JP"/>
        </w:rPr>
      </w:pPr>
      <w:r w:rsidRPr="00F659B6">
        <w:rPr>
          <w:lang w:eastAsia="ja-JP"/>
        </w:rPr>
        <w:t xml:space="preserve">The review panel received mixed feedback </w:t>
      </w:r>
      <w:r>
        <w:rPr>
          <w:lang w:eastAsia="ja-JP"/>
        </w:rPr>
        <w:t>on</w:t>
      </w:r>
      <w:r w:rsidRPr="00F659B6">
        <w:rPr>
          <w:lang w:eastAsia="ja-JP"/>
        </w:rPr>
        <w:t xml:space="preserve"> the value of assisting clients to access </w:t>
      </w:r>
      <w:r>
        <w:rPr>
          <w:lang w:eastAsia="ja-JP"/>
        </w:rPr>
        <w:t>government support</w:t>
      </w:r>
      <w:r w:rsidRPr="00F659B6">
        <w:rPr>
          <w:lang w:eastAsia="ja-JP"/>
        </w:rPr>
        <w:t xml:space="preserve">. Counsellors identified </w:t>
      </w:r>
      <w:r w:rsidRPr="002A4CC2">
        <w:rPr>
          <w:lang w:eastAsia="ja-JP"/>
        </w:rPr>
        <w:t>that</w:t>
      </w:r>
      <w:r w:rsidR="00517F4E">
        <w:rPr>
          <w:lang w:eastAsia="ja-JP"/>
        </w:rPr>
        <w:t xml:space="preserve"> </w:t>
      </w:r>
      <w:r w:rsidRPr="00967344">
        <w:rPr>
          <w:lang w:eastAsia="ja-JP"/>
        </w:rPr>
        <w:t>form</w:t>
      </w:r>
      <w:r w:rsidR="008179F8" w:rsidRPr="00967344">
        <w:rPr>
          <w:lang w:eastAsia="ja-JP"/>
        </w:rPr>
        <w:t>-</w:t>
      </w:r>
      <w:r w:rsidRPr="00967344">
        <w:rPr>
          <w:lang w:eastAsia="ja-JP"/>
        </w:rPr>
        <w:t>filling</w:t>
      </w:r>
      <w:r w:rsidR="00745579" w:rsidRPr="002A4CC2">
        <w:rPr>
          <w:lang w:eastAsia="ja-JP"/>
        </w:rPr>
        <w:t xml:space="preserve"> </w:t>
      </w:r>
      <w:r w:rsidRPr="002A4CC2">
        <w:rPr>
          <w:lang w:eastAsia="ja-JP"/>
        </w:rPr>
        <w:t>can</w:t>
      </w:r>
      <w:r w:rsidRPr="00F659B6">
        <w:rPr>
          <w:lang w:eastAsia="ja-JP"/>
        </w:rPr>
        <w:t xml:space="preserve"> be a useful tool to develop an understanding of a client</w:t>
      </w:r>
      <w:r w:rsidR="00736B18">
        <w:rPr>
          <w:lang w:eastAsia="ja-JP"/>
        </w:rPr>
        <w:t>'</w:t>
      </w:r>
      <w:r w:rsidRPr="00F659B6">
        <w:rPr>
          <w:lang w:eastAsia="ja-JP"/>
        </w:rPr>
        <w:t>s financial circumstances and to establish a relationship, while others found the role administratively burdensome and distracting from the core work of the service—case</w:t>
      </w:r>
      <w:r w:rsidR="00D724AF">
        <w:rPr>
          <w:lang w:eastAsia="ja-JP"/>
        </w:rPr>
        <w:t>-</w:t>
      </w:r>
      <w:r w:rsidRPr="00F659B6">
        <w:rPr>
          <w:lang w:eastAsia="ja-JP"/>
        </w:rPr>
        <w:t>managed financial counselling. Some counsellors believe</w:t>
      </w:r>
      <w:r w:rsidR="003F1979">
        <w:rPr>
          <w:lang w:eastAsia="ja-JP"/>
        </w:rPr>
        <w:t>d</w:t>
      </w:r>
      <w:r w:rsidRPr="00F659B6">
        <w:rPr>
          <w:lang w:eastAsia="ja-JP"/>
        </w:rPr>
        <w:t xml:space="preserve"> that providing assistance to access </w:t>
      </w:r>
      <w:r>
        <w:rPr>
          <w:lang w:eastAsia="ja-JP"/>
        </w:rPr>
        <w:t>government support</w:t>
      </w:r>
      <w:r w:rsidRPr="00F659B6">
        <w:rPr>
          <w:lang w:eastAsia="ja-JP"/>
        </w:rPr>
        <w:t xml:space="preserve"> was inconsistent with the role of the </w:t>
      </w:r>
      <w:r w:rsidR="00683351">
        <w:rPr>
          <w:lang w:eastAsia="ja-JP"/>
        </w:rPr>
        <w:t>RFCS</w:t>
      </w:r>
      <w:r w:rsidRPr="00F659B6">
        <w:rPr>
          <w:lang w:eastAsia="ja-JP"/>
        </w:rPr>
        <w:t>.</w:t>
      </w:r>
    </w:p>
    <w:p w14:paraId="2335C7CB" w14:textId="1B6445A4" w:rsidR="00EA0324" w:rsidRPr="00F659B6" w:rsidRDefault="00EA0324" w:rsidP="00413F16">
      <w:pPr>
        <w:rPr>
          <w:lang w:eastAsia="ja-JP"/>
        </w:rPr>
      </w:pPr>
      <w:r>
        <w:rPr>
          <w:lang w:eastAsia="ja-JP"/>
        </w:rPr>
        <w:t>Some clients of the service provided feedback that they accessed the RFCS purely for the purpose of gaining access to government assistance.</w:t>
      </w:r>
    </w:p>
    <w:p w14:paraId="1BEA3CC2" w14:textId="6CA4B0C0" w:rsidR="00517F4E" w:rsidRDefault="00413F16" w:rsidP="00413F16">
      <w:pPr>
        <w:rPr>
          <w:lang w:eastAsia="ja-JP"/>
        </w:rPr>
      </w:pPr>
      <w:r w:rsidRPr="00F659B6">
        <w:rPr>
          <w:lang w:eastAsia="ja-JP"/>
        </w:rPr>
        <w:t>The review panel also noted that service providers undertaking high levels of transactional activities manage</w:t>
      </w:r>
      <w:r w:rsidR="008179F8">
        <w:rPr>
          <w:lang w:eastAsia="ja-JP"/>
        </w:rPr>
        <w:t>d</w:t>
      </w:r>
      <w:r w:rsidRPr="00F659B6">
        <w:rPr>
          <w:lang w:eastAsia="ja-JP"/>
        </w:rPr>
        <w:t xml:space="preserve"> increased demand</w:t>
      </w:r>
      <w:r w:rsidR="008179F8">
        <w:rPr>
          <w:lang w:eastAsia="ja-JP"/>
        </w:rPr>
        <w:t xml:space="preserve"> differently</w:t>
      </w:r>
      <w:r w:rsidRPr="00F659B6">
        <w:rPr>
          <w:lang w:eastAsia="ja-JP"/>
        </w:rPr>
        <w:t>. Several providers reported handling increased transactional deman</w:t>
      </w:r>
      <w:r>
        <w:rPr>
          <w:lang w:eastAsia="ja-JP"/>
        </w:rPr>
        <w:t xml:space="preserve">d by recruiting support officers. </w:t>
      </w:r>
      <w:r w:rsidRPr="00F659B6">
        <w:rPr>
          <w:lang w:eastAsia="ja-JP"/>
        </w:rPr>
        <w:t>These officers were able to ease the workload of counsellors by assisting clients at the front end of their engagement</w:t>
      </w:r>
      <w:r w:rsidR="008179F8">
        <w:rPr>
          <w:lang w:eastAsia="ja-JP"/>
        </w:rPr>
        <w:t>. F</w:t>
      </w:r>
      <w:r w:rsidRPr="00F659B6">
        <w:rPr>
          <w:lang w:eastAsia="ja-JP"/>
        </w:rPr>
        <w:t xml:space="preserve">or example, </w:t>
      </w:r>
      <w:r w:rsidR="008179F8">
        <w:rPr>
          <w:lang w:eastAsia="ja-JP"/>
        </w:rPr>
        <w:t xml:space="preserve">by </w:t>
      </w:r>
      <w:r w:rsidRPr="00F659B6">
        <w:rPr>
          <w:lang w:eastAsia="ja-JP"/>
        </w:rPr>
        <w:t xml:space="preserve">collecting basic personal and financial information prior to the client meeting with a counsellor. </w:t>
      </w:r>
      <w:r>
        <w:rPr>
          <w:lang w:eastAsia="ja-JP"/>
        </w:rPr>
        <w:t>Support staff were provided with</w:t>
      </w:r>
      <w:r w:rsidRPr="00F659B6">
        <w:rPr>
          <w:lang w:eastAsia="ja-JP"/>
        </w:rPr>
        <w:t xml:space="preserve"> on-the-job training</w:t>
      </w:r>
      <w:r>
        <w:rPr>
          <w:lang w:eastAsia="ja-JP"/>
        </w:rPr>
        <w:t xml:space="preserve">, although some stakeholders expressed concerns </w:t>
      </w:r>
      <w:r w:rsidR="008179F8">
        <w:rPr>
          <w:lang w:eastAsia="ja-JP"/>
        </w:rPr>
        <w:t xml:space="preserve">about </w:t>
      </w:r>
      <w:r>
        <w:rPr>
          <w:lang w:eastAsia="ja-JP"/>
        </w:rPr>
        <w:t xml:space="preserve">the adequacy of training and stressed the importance </w:t>
      </w:r>
      <w:r w:rsidR="009A0F99">
        <w:rPr>
          <w:lang w:eastAsia="ja-JP"/>
        </w:rPr>
        <w:t xml:space="preserve">of </w:t>
      </w:r>
      <w:r>
        <w:rPr>
          <w:lang w:eastAsia="ja-JP"/>
        </w:rPr>
        <w:t>support staff not stray</w:t>
      </w:r>
      <w:r w:rsidR="009A0F99">
        <w:rPr>
          <w:lang w:eastAsia="ja-JP"/>
        </w:rPr>
        <w:t>ing</w:t>
      </w:r>
      <w:r>
        <w:rPr>
          <w:lang w:eastAsia="ja-JP"/>
        </w:rPr>
        <w:t xml:space="preserve"> into counselling</w:t>
      </w:r>
      <w:r w:rsidRPr="00F659B6">
        <w:rPr>
          <w:lang w:eastAsia="ja-JP"/>
        </w:rPr>
        <w:t>.</w:t>
      </w:r>
      <w:r>
        <w:rPr>
          <w:lang w:eastAsia="ja-JP"/>
        </w:rPr>
        <w:t xml:space="preserve"> </w:t>
      </w:r>
      <w:r w:rsidRPr="00F659B6">
        <w:rPr>
          <w:lang w:eastAsia="ja-JP"/>
        </w:rPr>
        <w:t xml:space="preserve">In practice, this approach </w:t>
      </w:r>
      <w:r>
        <w:rPr>
          <w:lang w:eastAsia="ja-JP"/>
        </w:rPr>
        <w:t>provided</w:t>
      </w:r>
      <w:r w:rsidRPr="00F659B6">
        <w:rPr>
          <w:lang w:eastAsia="ja-JP"/>
        </w:rPr>
        <w:t xml:space="preserve"> capacity for </w:t>
      </w:r>
      <w:r>
        <w:rPr>
          <w:lang w:eastAsia="ja-JP"/>
        </w:rPr>
        <w:t xml:space="preserve">trained </w:t>
      </w:r>
      <w:r w:rsidRPr="00F659B6">
        <w:rPr>
          <w:lang w:eastAsia="ja-JP"/>
        </w:rPr>
        <w:t xml:space="preserve">counsellors to </w:t>
      </w:r>
      <w:r>
        <w:rPr>
          <w:lang w:eastAsia="ja-JP"/>
        </w:rPr>
        <w:t>focus more time</w:t>
      </w:r>
      <w:r w:rsidRPr="00F659B6">
        <w:rPr>
          <w:lang w:eastAsia="ja-JP"/>
        </w:rPr>
        <w:t xml:space="preserve"> </w:t>
      </w:r>
      <w:r>
        <w:rPr>
          <w:lang w:eastAsia="ja-JP"/>
        </w:rPr>
        <w:t>o</w:t>
      </w:r>
      <w:r w:rsidRPr="00F659B6">
        <w:rPr>
          <w:lang w:eastAsia="ja-JP"/>
        </w:rPr>
        <w:t>n activities that require a higher level of financial or agricultural expertise</w:t>
      </w:r>
      <w:r w:rsidR="005B0517">
        <w:rPr>
          <w:lang w:eastAsia="ja-JP"/>
        </w:rPr>
        <w:t>—</w:t>
      </w:r>
      <w:r>
        <w:rPr>
          <w:lang w:eastAsia="ja-JP"/>
        </w:rPr>
        <w:t>in particular</w:t>
      </w:r>
      <w:r w:rsidRPr="00F659B6">
        <w:rPr>
          <w:lang w:eastAsia="ja-JP"/>
        </w:rPr>
        <w:t xml:space="preserve"> long-term case management, farm debt mediation or access to </w:t>
      </w:r>
      <w:proofErr w:type="spellStart"/>
      <w:r w:rsidR="001F00E5">
        <w:rPr>
          <w:lang w:eastAsia="ja-JP"/>
        </w:rPr>
        <w:t>RIC</w:t>
      </w:r>
      <w:proofErr w:type="spellEnd"/>
      <w:r w:rsidRPr="00F659B6">
        <w:rPr>
          <w:lang w:eastAsia="ja-JP"/>
        </w:rPr>
        <w:t xml:space="preserve"> loan products.</w:t>
      </w:r>
    </w:p>
    <w:p w14:paraId="19D39295" w14:textId="5DA0FCFE" w:rsidR="00413F16" w:rsidRPr="00F659B6" w:rsidRDefault="00413F16" w:rsidP="00413F16">
      <w:pPr>
        <w:rPr>
          <w:lang w:eastAsia="ja-JP"/>
        </w:rPr>
      </w:pPr>
      <w:r w:rsidRPr="00F659B6">
        <w:rPr>
          <w:lang w:eastAsia="ja-JP"/>
        </w:rPr>
        <w:t xml:space="preserve">Several providers noted that </w:t>
      </w:r>
      <w:r>
        <w:rPr>
          <w:lang w:eastAsia="ja-JP"/>
        </w:rPr>
        <w:t xml:space="preserve">some </w:t>
      </w:r>
      <w:r w:rsidRPr="00F659B6">
        <w:rPr>
          <w:lang w:eastAsia="ja-JP"/>
        </w:rPr>
        <w:t xml:space="preserve">administrative </w:t>
      </w:r>
      <w:r>
        <w:rPr>
          <w:lang w:eastAsia="ja-JP"/>
        </w:rPr>
        <w:t xml:space="preserve">or support </w:t>
      </w:r>
      <w:r w:rsidRPr="00F659B6">
        <w:rPr>
          <w:lang w:eastAsia="ja-JP"/>
        </w:rPr>
        <w:t xml:space="preserve">officers were </w:t>
      </w:r>
      <w:r>
        <w:rPr>
          <w:lang w:eastAsia="ja-JP"/>
        </w:rPr>
        <w:t>c</w:t>
      </w:r>
      <w:r w:rsidRPr="00F659B6">
        <w:rPr>
          <w:lang w:eastAsia="ja-JP"/>
        </w:rPr>
        <w:t xml:space="preserve">ommencing, or were intending to commence, diploma-level training with the </w:t>
      </w:r>
      <w:r>
        <w:rPr>
          <w:lang w:eastAsia="ja-JP"/>
        </w:rPr>
        <w:t>goal</w:t>
      </w:r>
      <w:r w:rsidRPr="00F659B6">
        <w:rPr>
          <w:lang w:eastAsia="ja-JP"/>
        </w:rPr>
        <w:t xml:space="preserve"> of becoming engaged as financial counsellors. </w:t>
      </w:r>
      <w:r>
        <w:rPr>
          <w:lang w:eastAsia="ja-JP"/>
        </w:rPr>
        <w:t>Although not a common situation, it was noted that this may assist succession planning in the service and promote staff retention through career progression opportunities.</w:t>
      </w:r>
    </w:p>
    <w:p w14:paraId="64AB2708" w14:textId="12DDAFF1" w:rsidR="00413F16" w:rsidRPr="00F659B6" w:rsidRDefault="00413F16" w:rsidP="00413F16">
      <w:pPr>
        <w:rPr>
          <w:lang w:eastAsia="ja-JP"/>
        </w:rPr>
      </w:pPr>
      <w:r w:rsidRPr="00F659B6">
        <w:rPr>
          <w:lang w:eastAsia="ja-JP"/>
        </w:rPr>
        <w:t>Several counsellors</w:t>
      </w:r>
      <w:r w:rsidR="009B472C">
        <w:rPr>
          <w:lang w:eastAsia="ja-JP"/>
        </w:rPr>
        <w:t>,</w:t>
      </w:r>
      <w:r w:rsidRPr="00F659B6">
        <w:rPr>
          <w:lang w:eastAsia="ja-JP"/>
        </w:rPr>
        <w:t xml:space="preserve"> </w:t>
      </w:r>
      <w:r>
        <w:rPr>
          <w:lang w:eastAsia="ja-JP"/>
        </w:rPr>
        <w:t xml:space="preserve">particularly </w:t>
      </w:r>
      <w:r w:rsidRPr="00F659B6">
        <w:rPr>
          <w:lang w:eastAsia="ja-JP"/>
        </w:rPr>
        <w:t xml:space="preserve">from regions experiencing </w:t>
      </w:r>
      <w:r>
        <w:rPr>
          <w:lang w:eastAsia="ja-JP"/>
        </w:rPr>
        <w:t>less demand</w:t>
      </w:r>
      <w:r w:rsidRPr="00F659B6">
        <w:rPr>
          <w:lang w:eastAsia="ja-JP"/>
        </w:rPr>
        <w:t xml:space="preserve"> for transactional assistance</w:t>
      </w:r>
      <w:r w:rsidR="009B472C">
        <w:rPr>
          <w:lang w:eastAsia="ja-JP"/>
        </w:rPr>
        <w:t>,</w:t>
      </w:r>
      <w:r w:rsidRPr="00F659B6">
        <w:rPr>
          <w:lang w:eastAsia="ja-JP"/>
        </w:rPr>
        <w:t xml:space="preserve"> found the engagement useful</w:t>
      </w:r>
      <w:r>
        <w:rPr>
          <w:lang w:eastAsia="ja-JP"/>
        </w:rPr>
        <w:t xml:space="preserve"> </w:t>
      </w:r>
      <w:r w:rsidRPr="002A4CC2">
        <w:rPr>
          <w:lang w:eastAsia="ja-JP"/>
        </w:rPr>
        <w:t>as a</w:t>
      </w:r>
      <w:r w:rsidR="00517F4E">
        <w:rPr>
          <w:lang w:eastAsia="ja-JP"/>
        </w:rPr>
        <w:t xml:space="preserve"> </w:t>
      </w:r>
      <w:r w:rsidRPr="00890AB9">
        <w:rPr>
          <w:lang w:eastAsia="ja-JP"/>
        </w:rPr>
        <w:t>hook</w:t>
      </w:r>
      <w:r w:rsidRPr="002A4CC2">
        <w:rPr>
          <w:lang w:eastAsia="ja-JP"/>
        </w:rPr>
        <w:t xml:space="preserve"> to develop</w:t>
      </w:r>
      <w:r w:rsidRPr="00F659B6">
        <w:rPr>
          <w:lang w:eastAsia="ja-JP"/>
        </w:rPr>
        <w:t xml:space="preserve"> trust and to better understand the client</w:t>
      </w:r>
      <w:r w:rsidR="00736B18">
        <w:rPr>
          <w:lang w:eastAsia="ja-JP"/>
        </w:rPr>
        <w:t>'</w:t>
      </w:r>
      <w:r w:rsidRPr="00F659B6">
        <w:rPr>
          <w:lang w:eastAsia="ja-JP"/>
        </w:rPr>
        <w:t>s broader financial position. This was seen as beneficial when the client converted to an ongoing case management arrangement.</w:t>
      </w:r>
    </w:p>
    <w:p w14:paraId="4A74E7F1" w14:textId="48083B95" w:rsidR="00517F4E" w:rsidRDefault="00413F16" w:rsidP="00413F16">
      <w:pPr>
        <w:rPr>
          <w:lang w:eastAsia="ja-JP"/>
        </w:rPr>
      </w:pPr>
      <w:r w:rsidRPr="00F659B6">
        <w:rPr>
          <w:lang w:eastAsia="ja-JP"/>
        </w:rPr>
        <w:t>The panel received broadly consistent feedback from executive officers, who noted that conducting longer-term, case</w:t>
      </w:r>
      <w:r w:rsidR="00D724AF">
        <w:rPr>
          <w:lang w:eastAsia="ja-JP"/>
        </w:rPr>
        <w:t>-</w:t>
      </w:r>
      <w:r w:rsidRPr="00F659B6">
        <w:rPr>
          <w:lang w:eastAsia="ja-JP"/>
        </w:rPr>
        <w:t>managed financial counselling activities was difficult during times of increased demand for assistance measures.</w:t>
      </w:r>
    </w:p>
    <w:p w14:paraId="5D1D90EC" w14:textId="0C6E4636" w:rsidR="00517F4E" w:rsidRDefault="00413F16" w:rsidP="00413F16">
      <w:pPr>
        <w:rPr>
          <w:lang w:eastAsia="ja-JP"/>
        </w:rPr>
      </w:pPr>
      <w:r w:rsidRPr="00F659B6">
        <w:rPr>
          <w:lang w:eastAsia="ja-JP"/>
        </w:rPr>
        <w:t xml:space="preserve">The panel acknowledges the benefits of </w:t>
      </w:r>
      <w:r w:rsidR="00967344">
        <w:rPr>
          <w:lang w:eastAsia="ja-JP"/>
        </w:rPr>
        <w:t xml:space="preserve">recruiting </w:t>
      </w:r>
      <w:r>
        <w:rPr>
          <w:lang w:eastAsia="ja-JP"/>
        </w:rPr>
        <w:t>support officers</w:t>
      </w:r>
      <w:r w:rsidRPr="00F659B6">
        <w:rPr>
          <w:lang w:eastAsia="ja-JP"/>
        </w:rPr>
        <w:t xml:space="preserve"> </w:t>
      </w:r>
      <w:r w:rsidR="00967344">
        <w:rPr>
          <w:lang w:eastAsia="ja-JP"/>
        </w:rPr>
        <w:t xml:space="preserve">in </w:t>
      </w:r>
      <w:r w:rsidR="009B472C">
        <w:rPr>
          <w:lang w:eastAsia="ja-JP"/>
        </w:rPr>
        <w:t>regions</w:t>
      </w:r>
      <w:r w:rsidR="003B4923">
        <w:rPr>
          <w:lang w:eastAsia="ja-JP"/>
        </w:rPr>
        <w:t xml:space="preserve"> </w:t>
      </w:r>
      <w:r w:rsidRPr="00F659B6">
        <w:rPr>
          <w:lang w:eastAsia="ja-JP"/>
        </w:rPr>
        <w:t>experiencing high transactional workloads</w:t>
      </w:r>
      <w:r>
        <w:rPr>
          <w:lang w:eastAsia="ja-JP"/>
        </w:rPr>
        <w:t xml:space="preserve">. </w:t>
      </w:r>
      <w:r w:rsidR="00967344">
        <w:rPr>
          <w:lang w:eastAsia="ja-JP"/>
        </w:rPr>
        <w:t xml:space="preserve">For example, it can take several months to recruit a trained counsellor, </w:t>
      </w:r>
      <w:r w:rsidR="00967344" w:rsidRPr="00967344">
        <w:rPr>
          <w:lang w:eastAsia="ja-JP"/>
        </w:rPr>
        <w:lastRenderedPageBreak/>
        <w:t xml:space="preserve">but </w:t>
      </w:r>
      <w:r w:rsidR="007D6FF6">
        <w:rPr>
          <w:lang w:eastAsia="ja-JP"/>
        </w:rPr>
        <w:t>only a few weeks</w:t>
      </w:r>
      <w:r w:rsidR="00FA7DDC">
        <w:rPr>
          <w:lang w:eastAsia="ja-JP"/>
        </w:rPr>
        <w:t xml:space="preserve"> to recruit</w:t>
      </w:r>
      <w:r w:rsidR="002763FB">
        <w:rPr>
          <w:lang w:eastAsia="ja-JP"/>
        </w:rPr>
        <w:t xml:space="preserve"> </w:t>
      </w:r>
      <w:r w:rsidRPr="00967344">
        <w:rPr>
          <w:lang w:eastAsia="ja-JP"/>
        </w:rPr>
        <w:t>support officer</w:t>
      </w:r>
      <w:r w:rsidR="00967344" w:rsidRPr="00967344">
        <w:rPr>
          <w:lang w:eastAsia="ja-JP"/>
        </w:rPr>
        <w:t>s</w:t>
      </w:r>
      <w:r w:rsidR="009B472C" w:rsidRPr="00277C29">
        <w:rPr>
          <w:lang w:eastAsia="ja-JP"/>
        </w:rPr>
        <w:t>.</w:t>
      </w:r>
      <w:r w:rsidR="009B472C">
        <w:rPr>
          <w:lang w:eastAsia="ja-JP"/>
        </w:rPr>
        <w:t xml:space="preserve"> In times of sudden </w:t>
      </w:r>
      <w:r w:rsidR="00E714CB">
        <w:rPr>
          <w:lang w:eastAsia="ja-JP"/>
        </w:rPr>
        <w:t xml:space="preserve">surging </w:t>
      </w:r>
      <w:r w:rsidR="009B472C">
        <w:rPr>
          <w:lang w:eastAsia="ja-JP"/>
        </w:rPr>
        <w:t xml:space="preserve">demand this could have </w:t>
      </w:r>
      <w:r>
        <w:rPr>
          <w:lang w:eastAsia="ja-JP"/>
        </w:rPr>
        <w:t>significant consequences for client wait times and existing counsellor fatigue.</w:t>
      </w:r>
    </w:p>
    <w:p w14:paraId="05A44092" w14:textId="3AF02F9E" w:rsidR="00517F4E" w:rsidRDefault="00413F16" w:rsidP="00CA329D">
      <w:pPr>
        <w:rPr>
          <w:lang w:eastAsia="ja-JP"/>
        </w:rPr>
      </w:pPr>
      <w:r>
        <w:rPr>
          <w:lang w:eastAsia="ja-JP"/>
        </w:rPr>
        <w:t>It is important</w:t>
      </w:r>
      <w:r w:rsidR="009B472C">
        <w:rPr>
          <w:lang w:eastAsia="ja-JP"/>
        </w:rPr>
        <w:t>,</w:t>
      </w:r>
      <w:r>
        <w:rPr>
          <w:lang w:eastAsia="ja-JP"/>
        </w:rPr>
        <w:t xml:space="preserve"> however</w:t>
      </w:r>
      <w:r w:rsidR="009B472C">
        <w:rPr>
          <w:lang w:eastAsia="ja-JP"/>
        </w:rPr>
        <w:t>,</w:t>
      </w:r>
      <w:r>
        <w:rPr>
          <w:lang w:eastAsia="ja-JP"/>
        </w:rPr>
        <w:t xml:space="preserve"> that</w:t>
      </w:r>
      <w:r w:rsidRPr="00F659B6">
        <w:rPr>
          <w:lang w:eastAsia="ja-JP"/>
        </w:rPr>
        <w:t xml:space="preserve"> </w:t>
      </w:r>
      <w:r w:rsidR="00E714CB">
        <w:rPr>
          <w:lang w:eastAsia="ja-JP"/>
        </w:rPr>
        <w:t xml:space="preserve">any supporting </w:t>
      </w:r>
      <w:r w:rsidRPr="00F659B6">
        <w:rPr>
          <w:lang w:eastAsia="ja-JP"/>
        </w:rPr>
        <w:t xml:space="preserve">role be </w:t>
      </w:r>
      <w:r w:rsidR="00E714CB">
        <w:rPr>
          <w:lang w:eastAsia="ja-JP"/>
        </w:rPr>
        <w:t>backed</w:t>
      </w:r>
      <w:r w:rsidR="00E714CB" w:rsidRPr="00F659B6">
        <w:rPr>
          <w:lang w:eastAsia="ja-JP"/>
        </w:rPr>
        <w:t xml:space="preserve"> </w:t>
      </w:r>
      <w:r w:rsidRPr="00F659B6">
        <w:rPr>
          <w:lang w:eastAsia="ja-JP"/>
        </w:rPr>
        <w:t xml:space="preserve">by adequate training and development to ensure clients receive competent assistance. The panel also </w:t>
      </w:r>
      <w:r w:rsidR="009B472C">
        <w:rPr>
          <w:lang w:eastAsia="ja-JP"/>
        </w:rPr>
        <w:t>observed</w:t>
      </w:r>
      <w:r w:rsidR="009B472C" w:rsidRPr="00F659B6">
        <w:rPr>
          <w:lang w:eastAsia="ja-JP"/>
        </w:rPr>
        <w:t xml:space="preserve"> </w:t>
      </w:r>
      <w:r w:rsidRPr="00F659B6">
        <w:rPr>
          <w:lang w:eastAsia="ja-JP"/>
        </w:rPr>
        <w:t xml:space="preserve">that different providers experience different levels </w:t>
      </w:r>
      <w:r>
        <w:rPr>
          <w:lang w:eastAsia="ja-JP"/>
        </w:rPr>
        <w:t xml:space="preserve">and types </w:t>
      </w:r>
      <w:r w:rsidRPr="00F659B6">
        <w:rPr>
          <w:lang w:eastAsia="ja-JP"/>
        </w:rPr>
        <w:t>of demand for accessing government programs</w:t>
      </w:r>
      <w:r w:rsidR="009A0F99">
        <w:rPr>
          <w:lang w:eastAsia="ja-JP"/>
        </w:rPr>
        <w:t>. The panel</w:t>
      </w:r>
      <w:r w:rsidRPr="00F659B6">
        <w:rPr>
          <w:lang w:eastAsia="ja-JP"/>
        </w:rPr>
        <w:t xml:space="preserve"> notes that taking a </w:t>
      </w:r>
      <w:r w:rsidR="001B191A">
        <w:rPr>
          <w:lang w:eastAsia="ja-JP"/>
        </w:rPr>
        <w:t>flexible</w:t>
      </w:r>
      <w:r w:rsidRPr="00F659B6">
        <w:rPr>
          <w:lang w:eastAsia="ja-JP"/>
        </w:rPr>
        <w:t xml:space="preserve"> approach to provider staffing is beneficial</w:t>
      </w:r>
      <w:r w:rsidR="000423E2">
        <w:rPr>
          <w:lang w:eastAsia="ja-JP"/>
        </w:rPr>
        <w:t xml:space="preserve">, and commends </w:t>
      </w:r>
      <w:r>
        <w:rPr>
          <w:lang w:eastAsia="ja-JP"/>
        </w:rPr>
        <w:t>innovative ways to manage transactional demand</w:t>
      </w:r>
      <w:r w:rsidR="000423E2">
        <w:rPr>
          <w:lang w:eastAsia="ja-JP"/>
        </w:rPr>
        <w:t>—</w:t>
      </w:r>
      <w:r>
        <w:rPr>
          <w:lang w:eastAsia="ja-JP"/>
        </w:rPr>
        <w:t>including through the use of technology.</w:t>
      </w:r>
    </w:p>
    <w:p w14:paraId="0BB30C44" w14:textId="31E058D1" w:rsidR="00595768" w:rsidRDefault="00595768" w:rsidP="00EB3871">
      <w:pPr>
        <w:pStyle w:val="BoxHeading"/>
      </w:pPr>
      <w:r w:rsidRPr="00EB3871">
        <w:t>Recommendation</w:t>
      </w:r>
      <w:r w:rsidR="00481210">
        <w:t xml:space="preserve"> 2</w:t>
      </w:r>
    </w:p>
    <w:p w14:paraId="10C6B37C" w14:textId="0E0603D4" w:rsidR="00481210" w:rsidRPr="00EB3871" w:rsidRDefault="00FA7DDC" w:rsidP="00481210">
      <w:pPr>
        <w:pStyle w:val="BoxText"/>
      </w:pPr>
      <w:r w:rsidRPr="00CE687C">
        <w:rPr>
          <w:lang w:eastAsia="ja-JP"/>
        </w:rPr>
        <w:t>That guidelines formally recognise the role of the RFCS in providing transactional assistance—</w:t>
      </w:r>
      <w:r w:rsidRPr="00AC14F0">
        <w:rPr>
          <w:lang w:eastAsia="ja-JP"/>
        </w:rPr>
        <w:t>help applying for immediate relief through Australi</w:t>
      </w:r>
      <w:r>
        <w:rPr>
          <w:lang w:eastAsia="ja-JP"/>
        </w:rPr>
        <w:t>an and state government programs</w:t>
      </w:r>
      <w:r w:rsidRPr="00CE687C">
        <w:rPr>
          <w:lang w:eastAsia="ja-JP"/>
        </w:rPr>
        <w:t xml:space="preserve">—and that there are flexible staffing profiles to achieve this. Transactional assistance should be used as a means to </w:t>
      </w:r>
      <w:r w:rsidRPr="00AC14F0">
        <w:rPr>
          <w:lang w:eastAsia="ja-JP"/>
        </w:rPr>
        <w:t xml:space="preserve">lead clients onto </w:t>
      </w:r>
      <w:r w:rsidRPr="00CE687C">
        <w:rPr>
          <w:lang w:eastAsia="ja-JP"/>
        </w:rPr>
        <w:t xml:space="preserve">a pathway </w:t>
      </w:r>
      <w:r>
        <w:rPr>
          <w:lang w:eastAsia="ja-JP"/>
        </w:rPr>
        <w:t>of</w:t>
      </w:r>
      <w:r w:rsidRPr="00CE687C">
        <w:rPr>
          <w:lang w:eastAsia="ja-JP"/>
        </w:rPr>
        <w:t xml:space="preserve"> case management.</w:t>
      </w:r>
    </w:p>
    <w:p w14:paraId="6948459E" w14:textId="77777777" w:rsidR="00413F16" w:rsidRDefault="00413F16" w:rsidP="00E62C47">
      <w:pPr>
        <w:pStyle w:val="Heading5"/>
        <w:rPr>
          <w:lang w:eastAsia="ja-JP"/>
        </w:rPr>
      </w:pPr>
      <w:r>
        <w:rPr>
          <w:lang w:eastAsia="ja-JP"/>
        </w:rPr>
        <w:t xml:space="preserve">Farm debt </w:t>
      </w:r>
      <w:r w:rsidRPr="00E62C47">
        <w:t>mediation</w:t>
      </w:r>
    </w:p>
    <w:p w14:paraId="14A3A6C7" w14:textId="17CD8262" w:rsidR="00413F16" w:rsidRDefault="00413F16" w:rsidP="00413F16">
      <w:pPr>
        <w:rPr>
          <w:lang w:eastAsia="ja-JP"/>
        </w:rPr>
      </w:pPr>
      <w:r>
        <w:rPr>
          <w:lang w:eastAsia="ja-JP"/>
        </w:rPr>
        <w:t xml:space="preserve">Farm debt mediation frameworks differ between </w:t>
      </w:r>
      <w:r w:rsidR="009B472C">
        <w:rPr>
          <w:lang w:eastAsia="ja-JP"/>
        </w:rPr>
        <w:t>jurisdictions</w:t>
      </w:r>
      <w:r>
        <w:rPr>
          <w:lang w:eastAsia="ja-JP"/>
        </w:rPr>
        <w:t xml:space="preserve">. Some </w:t>
      </w:r>
      <w:r w:rsidR="009B472C">
        <w:rPr>
          <w:lang w:eastAsia="ja-JP"/>
        </w:rPr>
        <w:t>s</w:t>
      </w:r>
      <w:r>
        <w:rPr>
          <w:lang w:eastAsia="ja-JP"/>
        </w:rPr>
        <w:t xml:space="preserve">tates employ mandatory statutory regimes (Queensland, Victoria, New South Wales), while others offer voluntary schemes (South Australia and Western Australia). The </w:t>
      </w:r>
      <w:r w:rsidR="00B278B5">
        <w:rPr>
          <w:lang w:eastAsia="ja-JP"/>
        </w:rPr>
        <w:t>t</w:t>
      </w:r>
      <w:r>
        <w:rPr>
          <w:lang w:eastAsia="ja-JP"/>
        </w:rPr>
        <w:t>erritories and Tasmania currently have no formal scheme in place, although Tasmania does offer mediation services through their RFCS provider.</w:t>
      </w:r>
    </w:p>
    <w:p w14:paraId="0851EF7A" w14:textId="6DE9408D" w:rsidR="00517F4E" w:rsidRDefault="00413F16" w:rsidP="00413F16">
      <w:r>
        <w:rPr>
          <w:lang w:eastAsia="ja-JP"/>
        </w:rPr>
        <w:t xml:space="preserve">In </w:t>
      </w:r>
      <w:r w:rsidR="00683351">
        <w:rPr>
          <w:lang w:eastAsia="ja-JP"/>
        </w:rPr>
        <w:t>s</w:t>
      </w:r>
      <w:r>
        <w:rPr>
          <w:lang w:eastAsia="ja-JP"/>
        </w:rPr>
        <w:t xml:space="preserve">tates that have farm debt mediation frameworks, counsellors are </w:t>
      </w:r>
      <w:r w:rsidR="00B278B5">
        <w:rPr>
          <w:lang w:eastAsia="ja-JP"/>
        </w:rPr>
        <w:t>frequently involved in</w:t>
      </w:r>
      <w:r>
        <w:rPr>
          <w:lang w:eastAsia="ja-JP"/>
        </w:rPr>
        <w:t xml:space="preserve"> prepar</w:t>
      </w:r>
      <w:r w:rsidR="00B278B5">
        <w:rPr>
          <w:lang w:eastAsia="ja-JP"/>
        </w:rPr>
        <w:t>ing</w:t>
      </w:r>
      <w:r>
        <w:rPr>
          <w:lang w:eastAsia="ja-JP"/>
        </w:rPr>
        <w:t xml:space="preserve"> financial documentation for farmers and </w:t>
      </w:r>
      <w:r w:rsidR="00B278B5">
        <w:rPr>
          <w:lang w:eastAsia="ja-JP"/>
        </w:rPr>
        <w:t>providing</w:t>
      </w:r>
      <w:r>
        <w:rPr>
          <w:lang w:eastAsia="ja-JP"/>
        </w:rPr>
        <w:t xml:space="preserve"> general support throughout the mediation process.</w:t>
      </w:r>
      <w:r>
        <w:t xml:space="preserve"> </w:t>
      </w:r>
      <w:r w:rsidRPr="00890AB9">
        <w:t xml:space="preserve">Service providers are often contacted </w:t>
      </w:r>
      <w:r w:rsidR="00890AB9" w:rsidRPr="00890AB9">
        <w:t xml:space="preserve">when </w:t>
      </w:r>
      <w:r w:rsidRPr="00890AB9">
        <w:t xml:space="preserve">farm debt mediation </w:t>
      </w:r>
      <w:r w:rsidR="00890AB9" w:rsidRPr="00890AB9">
        <w:t xml:space="preserve">is about to commence or </w:t>
      </w:r>
      <w:r w:rsidRPr="00890AB9">
        <w:t xml:space="preserve">has </w:t>
      </w:r>
      <w:r w:rsidR="00890AB9" w:rsidRPr="00890AB9">
        <w:t xml:space="preserve">already </w:t>
      </w:r>
      <w:r w:rsidRPr="00890AB9">
        <w:t>commenced</w:t>
      </w:r>
      <w:r w:rsidRPr="00277C29">
        <w:t>.</w:t>
      </w:r>
      <w:r>
        <w:t xml:space="preserve"> </w:t>
      </w:r>
      <w:r w:rsidRPr="00007F36">
        <w:t xml:space="preserve">Legal </w:t>
      </w:r>
      <w:r w:rsidR="007D6FF6">
        <w:t>A</w:t>
      </w:r>
      <w:r w:rsidRPr="00007F36">
        <w:t xml:space="preserve">id stakeholders indicated that they </w:t>
      </w:r>
      <w:r w:rsidR="00681539">
        <w:t xml:space="preserve">have </w:t>
      </w:r>
      <w:r w:rsidR="00681539" w:rsidRPr="00007F36">
        <w:t xml:space="preserve">close relationships with local counsellors </w:t>
      </w:r>
      <w:r w:rsidR="00681539">
        <w:t xml:space="preserve">and </w:t>
      </w:r>
      <w:r w:rsidRPr="00007F36">
        <w:t xml:space="preserve">rely on </w:t>
      </w:r>
      <w:r w:rsidR="00681539">
        <w:t xml:space="preserve">them </w:t>
      </w:r>
      <w:r w:rsidRPr="00007F36">
        <w:t>to assist in preparing for farm debt mediation.</w:t>
      </w:r>
    </w:p>
    <w:p w14:paraId="64624632" w14:textId="77777777" w:rsidR="00517F4E" w:rsidRDefault="00324FDC" w:rsidP="00413F16">
      <w:r>
        <w:t>When f</w:t>
      </w:r>
      <w:r w:rsidR="00413F16">
        <w:t xml:space="preserve">arm debt mediation work </w:t>
      </w:r>
      <w:r>
        <w:t xml:space="preserve">arises, it </w:t>
      </w:r>
      <w:r w:rsidR="00413F16">
        <w:t xml:space="preserve">is </w:t>
      </w:r>
      <w:r>
        <w:t xml:space="preserve">typically </w:t>
      </w:r>
      <w:r w:rsidR="00413F16">
        <w:t xml:space="preserve">urgent and </w:t>
      </w:r>
      <w:r>
        <w:t>requires priority attention from</w:t>
      </w:r>
      <w:r w:rsidR="00413F16">
        <w:t xml:space="preserve"> counsellors. The panel notes that mediation requires </w:t>
      </w:r>
      <w:r w:rsidR="00E714CB">
        <w:t xml:space="preserve">specialised </w:t>
      </w:r>
      <w:r w:rsidR="00413F16">
        <w:t xml:space="preserve">financial and legal literacy skills by an experienced counsellor. Some counsellors indicated that they did not feel appropriately skilled to </w:t>
      </w:r>
      <w:r w:rsidR="00E714CB">
        <w:t xml:space="preserve">assist with </w:t>
      </w:r>
      <w:r w:rsidR="00413F16">
        <w:t>farm debt mediation, having received little or no formal training.</w:t>
      </w:r>
    </w:p>
    <w:p w14:paraId="117420D9" w14:textId="77F7D22E" w:rsidR="00517F4E" w:rsidRDefault="00413F16" w:rsidP="00413F16">
      <w:r>
        <w:t>Farm debt mediation does not always result in longer-term</w:t>
      </w:r>
      <w:r w:rsidR="00324FDC">
        <w:t>, case</w:t>
      </w:r>
      <w:r w:rsidR="00D724AF">
        <w:t>-</w:t>
      </w:r>
      <w:r w:rsidR="00324FDC">
        <w:t>managed</w:t>
      </w:r>
      <w:r>
        <w:t xml:space="preserve"> relationship</w:t>
      </w:r>
      <w:r w:rsidR="00324FDC">
        <w:t>s</w:t>
      </w:r>
      <w:r w:rsidR="00D12FD0">
        <w:t>.</w:t>
      </w:r>
      <w:r w:rsidR="00324FDC">
        <w:t xml:space="preserve"> </w:t>
      </w:r>
      <w:r w:rsidR="00D12FD0">
        <w:t>C</w:t>
      </w:r>
      <w:r>
        <w:t xml:space="preserve">ounsellors are often presented with clients </w:t>
      </w:r>
      <w:r w:rsidR="003B0160">
        <w:t xml:space="preserve">who </w:t>
      </w:r>
      <w:r w:rsidR="00E714CB">
        <w:t xml:space="preserve">have </w:t>
      </w:r>
      <w:r>
        <w:t>significant, unserviceable debt. In these circumstances</w:t>
      </w:r>
      <w:r w:rsidR="00D12FD0">
        <w:t>,</w:t>
      </w:r>
      <w:r w:rsidR="00324FDC">
        <w:t xml:space="preserve"> it is difficult for counsellors</w:t>
      </w:r>
      <w:r>
        <w:t xml:space="preserve"> to provide ongoing support as </w:t>
      </w:r>
      <w:r w:rsidR="00324FDC">
        <w:t xml:space="preserve">recovery or dignified exit </w:t>
      </w:r>
      <w:r>
        <w:t>options are limited.</w:t>
      </w:r>
      <w:r w:rsidR="007D6FF6">
        <w:t xml:space="preserve"> However</w:t>
      </w:r>
      <w:r>
        <w:t>, it is important that service</w:t>
      </w:r>
      <w:r w:rsidR="003B4923">
        <w:t xml:space="preserve"> </w:t>
      </w:r>
      <w:proofErr w:type="gramStart"/>
      <w:r w:rsidR="003B4923">
        <w:t>providers</w:t>
      </w:r>
      <w:proofErr w:type="gramEnd"/>
      <w:r>
        <w:t xml:space="preserve"> follow-up and </w:t>
      </w:r>
      <w:r w:rsidR="003B4923">
        <w:t xml:space="preserve">present </w:t>
      </w:r>
      <w:r>
        <w:t>the option of longer-term assistance to farm debt mediation clients, where possible and appropriate.</w:t>
      </w:r>
    </w:p>
    <w:p w14:paraId="79DDCA2B" w14:textId="7459D93A" w:rsidR="007D6FF6" w:rsidRDefault="007D6FF6" w:rsidP="00413F16">
      <w:r w:rsidRPr="007D6FF6">
        <w:t>It was widely recognised that most clients would benefit greatly from financial counselling prior to farm debt mediation being triggered. Early referrals are critical to give clients more options and time to make decisions. It would also enable counsellors to manage workloads more effectively with less urgent and critical cases presenting. The panel acknowledges the work of several providers in developing early referral pathways with local financial institutions and notes this could be encouraged by government at a national level</w:t>
      </w:r>
      <w:r>
        <w:t>.</w:t>
      </w:r>
    </w:p>
    <w:p w14:paraId="626AA420" w14:textId="36C08418" w:rsidR="00413F16" w:rsidRDefault="00EF3D7A" w:rsidP="00413F16">
      <w:r w:rsidRPr="00EF3D7A">
        <w:lastRenderedPageBreak/>
        <w:t xml:space="preserve">It is also noted that in the Final Report of the Royal Commission into Misconduct in the Banking, Superannuation and Financial Services Industry it </w:t>
      </w:r>
      <w:r>
        <w:t>was</w:t>
      </w:r>
      <w:r w:rsidRPr="00EF3D7A">
        <w:t xml:space="preserve"> recommended that a national scheme for farm debt mediation be established.</w:t>
      </w:r>
      <w:r>
        <w:t xml:space="preserve"> </w:t>
      </w:r>
    </w:p>
    <w:p w14:paraId="675C699A" w14:textId="77777777" w:rsidR="00D92904" w:rsidRPr="004D3E7C" w:rsidRDefault="00D92904" w:rsidP="00E62C47">
      <w:pPr>
        <w:pStyle w:val="Heading5"/>
        <w:rPr>
          <w:lang w:eastAsia="ja-JP"/>
        </w:rPr>
      </w:pPr>
      <w:r w:rsidRPr="004D3E7C">
        <w:rPr>
          <w:lang w:eastAsia="ja-JP"/>
        </w:rPr>
        <w:t>Farm Household Allowance</w:t>
      </w:r>
    </w:p>
    <w:p w14:paraId="0D8FC0A6" w14:textId="45DE3D4A" w:rsidR="00517F4E" w:rsidRDefault="00D92904" w:rsidP="00D92904">
      <w:pPr>
        <w:rPr>
          <w:lang w:eastAsia="ja-JP"/>
        </w:rPr>
      </w:pPr>
      <w:r w:rsidRPr="007B2972">
        <w:rPr>
          <w:lang w:eastAsia="ja-JP"/>
        </w:rPr>
        <w:t>Counsellors are heavily involved in preparing applications for FHA. While the assistance itself is of great benefit to clients who are suffering financial hardship, the application process is detailed and time</w:t>
      </w:r>
      <w:r w:rsidR="001E50E4">
        <w:rPr>
          <w:lang w:eastAsia="ja-JP"/>
        </w:rPr>
        <w:t>-</w:t>
      </w:r>
      <w:r w:rsidRPr="007B2972">
        <w:rPr>
          <w:lang w:eastAsia="ja-JP"/>
        </w:rPr>
        <w:t>consuming. Many clients are unable to complete applications themselves but most counsellors find the process frustrating too.</w:t>
      </w:r>
    </w:p>
    <w:p w14:paraId="14185C1F" w14:textId="79E22316" w:rsidR="00517F4E" w:rsidRDefault="00D92904" w:rsidP="00D92904">
      <w:pPr>
        <w:rPr>
          <w:lang w:eastAsia="ja-JP"/>
        </w:rPr>
      </w:pPr>
      <w:r w:rsidRPr="007B2972">
        <w:rPr>
          <w:lang w:eastAsia="ja-JP"/>
        </w:rPr>
        <w:t>In October 2018 the government engaged an external panel to review the FHA program. The external review has recommended some significant changes</w:t>
      </w:r>
      <w:r w:rsidR="00DB4C55">
        <w:rPr>
          <w:lang w:eastAsia="ja-JP"/>
        </w:rPr>
        <w:t>,</w:t>
      </w:r>
      <w:r w:rsidRPr="007B2972">
        <w:rPr>
          <w:lang w:eastAsia="ja-JP"/>
        </w:rPr>
        <w:t xml:space="preserve"> which are currently under consideration by government.</w:t>
      </w:r>
    </w:p>
    <w:p w14:paraId="1D9D4F58" w14:textId="4FF50083" w:rsidR="00D92904" w:rsidRPr="007B2972" w:rsidRDefault="00DB4C55" w:rsidP="00D92904">
      <w:pPr>
        <w:rPr>
          <w:lang w:eastAsia="ja-JP"/>
        </w:rPr>
      </w:pPr>
      <w:r>
        <w:rPr>
          <w:lang w:eastAsia="ja-JP"/>
        </w:rPr>
        <w:t>I</w:t>
      </w:r>
      <w:r w:rsidRPr="007B2972">
        <w:rPr>
          <w:lang w:eastAsia="ja-JP"/>
        </w:rPr>
        <w:t>n the course of this review</w:t>
      </w:r>
      <w:r>
        <w:rPr>
          <w:lang w:eastAsia="ja-JP"/>
        </w:rPr>
        <w:t>, the panel received</w:t>
      </w:r>
      <w:r w:rsidRPr="007B2972">
        <w:rPr>
          <w:lang w:eastAsia="ja-JP"/>
        </w:rPr>
        <w:t xml:space="preserve"> </w:t>
      </w:r>
      <w:r>
        <w:rPr>
          <w:lang w:eastAsia="ja-JP"/>
        </w:rPr>
        <w:t>s</w:t>
      </w:r>
      <w:r w:rsidR="00D92904" w:rsidRPr="007B2972">
        <w:rPr>
          <w:lang w:eastAsia="ja-JP"/>
        </w:rPr>
        <w:t>trong feedback that counsellors are concerned about an increased official role of the RFCS in the FHA program</w:t>
      </w:r>
      <w:r>
        <w:rPr>
          <w:lang w:eastAsia="ja-JP"/>
        </w:rPr>
        <w:t>. Counsellors</w:t>
      </w:r>
      <w:r w:rsidR="00D92904" w:rsidRPr="007B2972">
        <w:rPr>
          <w:lang w:eastAsia="ja-JP"/>
        </w:rPr>
        <w:t xml:space="preserve"> noted that it may compromise the independence of service. </w:t>
      </w:r>
      <w:r>
        <w:rPr>
          <w:lang w:eastAsia="ja-JP"/>
        </w:rPr>
        <w:t>C</w:t>
      </w:r>
      <w:r w:rsidR="00D92904" w:rsidRPr="007B2972">
        <w:rPr>
          <w:lang w:eastAsia="ja-JP"/>
        </w:rPr>
        <w:t>ounsellors</w:t>
      </w:r>
      <w:r>
        <w:rPr>
          <w:lang w:eastAsia="ja-JP"/>
        </w:rPr>
        <w:t xml:space="preserve"> and</w:t>
      </w:r>
      <w:r w:rsidR="00D92904" w:rsidRPr="007B2972">
        <w:rPr>
          <w:lang w:eastAsia="ja-JP"/>
        </w:rPr>
        <w:t xml:space="preserve"> the Department of Human Services </w:t>
      </w:r>
      <w:r w:rsidR="00251448">
        <w:rPr>
          <w:lang w:eastAsia="ja-JP"/>
        </w:rPr>
        <w:t xml:space="preserve">(DHS) </w:t>
      </w:r>
      <w:r>
        <w:rPr>
          <w:lang w:eastAsia="ja-JP"/>
        </w:rPr>
        <w:t xml:space="preserve">expressed concern </w:t>
      </w:r>
      <w:r w:rsidR="00D92904" w:rsidRPr="007B2972">
        <w:rPr>
          <w:lang w:eastAsia="ja-JP"/>
        </w:rPr>
        <w:t xml:space="preserve">about the need for </w:t>
      </w:r>
      <w:r>
        <w:rPr>
          <w:lang w:eastAsia="ja-JP"/>
        </w:rPr>
        <w:t xml:space="preserve">counsellors to receive </w:t>
      </w:r>
      <w:r w:rsidR="00D92904" w:rsidRPr="007B2972">
        <w:rPr>
          <w:lang w:eastAsia="ja-JP"/>
        </w:rPr>
        <w:t xml:space="preserve">more training </w:t>
      </w:r>
      <w:r>
        <w:rPr>
          <w:lang w:eastAsia="ja-JP"/>
        </w:rPr>
        <w:t xml:space="preserve">on the </w:t>
      </w:r>
      <w:r w:rsidR="00D92904" w:rsidRPr="007B2972">
        <w:rPr>
          <w:lang w:eastAsia="ja-JP"/>
        </w:rPr>
        <w:t>FHA</w:t>
      </w:r>
      <w:r>
        <w:rPr>
          <w:lang w:eastAsia="ja-JP"/>
        </w:rPr>
        <w:t>.</w:t>
      </w:r>
    </w:p>
    <w:p w14:paraId="36F9B6F7" w14:textId="05217B35" w:rsidR="00D92904" w:rsidRPr="007B2972" w:rsidRDefault="00D92904" w:rsidP="00D92904">
      <w:pPr>
        <w:rPr>
          <w:lang w:eastAsia="ja-JP"/>
        </w:rPr>
      </w:pPr>
      <w:r w:rsidRPr="007B2972">
        <w:rPr>
          <w:lang w:eastAsia="ja-JP"/>
        </w:rPr>
        <w:t xml:space="preserve">This review makes no recommendations regarding the role of the RFCS in the FHA program, but notes this is an important issue </w:t>
      </w:r>
      <w:r w:rsidR="00324FDC">
        <w:rPr>
          <w:lang w:eastAsia="ja-JP"/>
        </w:rPr>
        <w:t>that</w:t>
      </w:r>
      <w:r w:rsidR="00324FDC" w:rsidRPr="007B2972">
        <w:rPr>
          <w:lang w:eastAsia="ja-JP"/>
        </w:rPr>
        <w:t xml:space="preserve"> </w:t>
      </w:r>
      <w:r w:rsidRPr="007B2972">
        <w:rPr>
          <w:lang w:eastAsia="ja-JP"/>
        </w:rPr>
        <w:t>should be resolved prior to the next funding round.</w:t>
      </w:r>
    </w:p>
    <w:p w14:paraId="24ECECF6" w14:textId="19846B86" w:rsidR="00D92904" w:rsidRPr="00A33C3A" w:rsidRDefault="00D92904" w:rsidP="00523888">
      <w:pPr>
        <w:pStyle w:val="BoxHeading"/>
        <w:keepNext/>
      </w:pPr>
      <w:r w:rsidRPr="00A33C3A">
        <w:t>Recommendation</w:t>
      </w:r>
      <w:r w:rsidR="00A33C3A">
        <w:t xml:space="preserve"> 3</w:t>
      </w:r>
    </w:p>
    <w:p w14:paraId="27772C53" w14:textId="3DBC8BD4" w:rsidR="002618AF" w:rsidRPr="00A33C3A" w:rsidRDefault="00B12955" w:rsidP="00A33C3A">
      <w:pPr>
        <w:pStyle w:val="BoxText"/>
      </w:pPr>
      <w:r w:rsidRPr="00A33C3A">
        <w:t>That the next RFCS funding round does not commence until after the FHA review has been considered by government and any changes to the role of the RFCS (in the context of the government</w:t>
      </w:r>
      <w:r w:rsidR="00736B18">
        <w:t>'</w:t>
      </w:r>
      <w:r w:rsidRPr="00A33C3A">
        <w:t>s response to that review) are incorporated into the next RFCS program.</w:t>
      </w:r>
    </w:p>
    <w:p w14:paraId="30275916" w14:textId="77777777" w:rsidR="00413F16" w:rsidRPr="00F659B6" w:rsidRDefault="00413F16" w:rsidP="00413F16">
      <w:pPr>
        <w:pStyle w:val="Heading4"/>
        <w:rPr>
          <w:lang w:eastAsia="ja-JP"/>
        </w:rPr>
      </w:pPr>
      <w:r w:rsidRPr="00F659B6">
        <w:rPr>
          <w:lang w:eastAsia="ja-JP"/>
        </w:rPr>
        <w:t>Case management</w:t>
      </w:r>
    </w:p>
    <w:p w14:paraId="70916553" w14:textId="26219FD9" w:rsidR="00413F16" w:rsidRPr="00F659B6" w:rsidRDefault="00413F16" w:rsidP="00413F16">
      <w:pPr>
        <w:rPr>
          <w:lang w:eastAsia="ja-JP"/>
        </w:rPr>
      </w:pPr>
      <w:r w:rsidRPr="00F659B6">
        <w:rPr>
          <w:lang w:eastAsia="ja-JP"/>
        </w:rPr>
        <w:t xml:space="preserve">Program </w:t>
      </w:r>
      <w:r>
        <w:rPr>
          <w:lang w:eastAsia="ja-JP"/>
        </w:rPr>
        <w:t>guidelines</w:t>
      </w:r>
      <w:r w:rsidRPr="00F659B6">
        <w:rPr>
          <w:lang w:eastAsia="ja-JP"/>
        </w:rPr>
        <w:t xml:space="preserve"> require that all service </w:t>
      </w:r>
      <w:r w:rsidR="00E714CB">
        <w:rPr>
          <w:lang w:eastAsia="ja-JP"/>
        </w:rPr>
        <w:t xml:space="preserve">providers </w:t>
      </w:r>
      <w:r w:rsidR="006240C6">
        <w:rPr>
          <w:lang w:eastAsia="ja-JP"/>
        </w:rPr>
        <w:t>use</w:t>
      </w:r>
      <w:r w:rsidRPr="00F659B6">
        <w:rPr>
          <w:lang w:eastAsia="ja-JP"/>
        </w:rPr>
        <w:t xml:space="preserve"> a case management </w:t>
      </w:r>
      <w:r w:rsidR="006240C6">
        <w:rPr>
          <w:lang w:eastAsia="ja-JP"/>
        </w:rPr>
        <w:t>approach</w:t>
      </w:r>
      <w:r w:rsidRPr="00F659B6">
        <w:rPr>
          <w:lang w:eastAsia="ja-JP"/>
        </w:rPr>
        <w:t xml:space="preserve"> </w:t>
      </w:r>
      <w:r>
        <w:rPr>
          <w:lang w:eastAsia="ja-JP"/>
        </w:rPr>
        <w:t>for p</w:t>
      </w:r>
      <w:r w:rsidRPr="00F659B6">
        <w:rPr>
          <w:lang w:eastAsia="ja-JP"/>
        </w:rPr>
        <w:t>roviding rural financial counselling services.</w:t>
      </w:r>
    </w:p>
    <w:p w14:paraId="6CB47FC2" w14:textId="207DFE80" w:rsidR="00517F4E" w:rsidRDefault="00413F16" w:rsidP="00413F16">
      <w:pPr>
        <w:rPr>
          <w:lang w:eastAsia="ja-JP"/>
        </w:rPr>
      </w:pPr>
      <w:r w:rsidRPr="00F659B6">
        <w:rPr>
          <w:lang w:eastAsia="ja-JP"/>
        </w:rPr>
        <w:t xml:space="preserve">All service providers indicated they had implemented </w:t>
      </w:r>
      <w:r>
        <w:rPr>
          <w:lang w:eastAsia="ja-JP"/>
        </w:rPr>
        <w:t xml:space="preserve">a </w:t>
      </w:r>
      <w:r w:rsidRPr="00F659B6">
        <w:rPr>
          <w:lang w:eastAsia="ja-JP"/>
        </w:rPr>
        <w:t xml:space="preserve">case management </w:t>
      </w:r>
      <w:r w:rsidR="006240C6">
        <w:rPr>
          <w:lang w:eastAsia="ja-JP"/>
        </w:rPr>
        <w:t xml:space="preserve">approach </w:t>
      </w:r>
      <w:r w:rsidRPr="00F659B6">
        <w:rPr>
          <w:lang w:eastAsia="ja-JP"/>
        </w:rPr>
        <w:t xml:space="preserve">for longer-term client relationships. </w:t>
      </w:r>
      <w:r w:rsidR="005F4877">
        <w:rPr>
          <w:lang w:eastAsia="ja-JP"/>
        </w:rPr>
        <w:t>S</w:t>
      </w:r>
      <w:r>
        <w:rPr>
          <w:lang w:eastAsia="ja-JP"/>
        </w:rPr>
        <w:t xml:space="preserve">ome </w:t>
      </w:r>
      <w:r w:rsidR="003B4923">
        <w:rPr>
          <w:lang w:eastAsia="ja-JP"/>
        </w:rPr>
        <w:t xml:space="preserve">providers </w:t>
      </w:r>
      <w:r>
        <w:rPr>
          <w:lang w:eastAsia="ja-JP"/>
        </w:rPr>
        <w:t>displayed a strong commitment to using a consistent, clearly articulated case management framework for all counsellors,</w:t>
      </w:r>
      <w:r w:rsidR="005F4877">
        <w:rPr>
          <w:lang w:eastAsia="ja-JP"/>
        </w:rPr>
        <w:t xml:space="preserve"> but</w:t>
      </w:r>
      <w:r>
        <w:rPr>
          <w:lang w:eastAsia="ja-JP"/>
        </w:rPr>
        <w:t xml:space="preserve"> other</w:t>
      </w:r>
      <w:r w:rsidR="00B278B5">
        <w:rPr>
          <w:lang w:eastAsia="ja-JP"/>
        </w:rPr>
        <w:t>s</w:t>
      </w:r>
      <w:r>
        <w:rPr>
          <w:lang w:eastAsia="ja-JP"/>
        </w:rPr>
        <w:t xml:space="preserve"> had ill-defined case management </w:t>
      </w:r>
      <w:r w:rsidR="006240C6">
        <w:rPr>
          <w:lang w:eastAsia="ja-JP"/>
        </w:rPr>
        <w:t>processes</w:t>
      </w:r>
      <w:r>
        <w:rPr>
          <w:lang w:eastAsia="ja-JP"/>
        </w:rPr>
        <w:t xml:space="preserve"> or provided counsellors with broad discretion. Some counsellors valued</w:t>
      </w:r>
      <w:r w:rsidR="002B7BD2">
        <w:rPr>
          <w:lang w:eastAsia="ja-JP"/>
        </w:rPr>
        <w:t xml:space="preserve"> their</w:t>
      </w:r>
      <w:r>
        <w:rPr>
          <w:lang w:eastAsia="ja-JP"/>
        </w:rPr>
        <w:t xml:space="preserve"> </w:t>
      </w:r>
      <w:r w:rsidR="003B4923">
        <w:rPr>
          <w:lang w:eastAsia="ja-JP"/>
        </w:rPr>
        <w:t>autonomy</w:t>
      </w:r>
      <w:r>
        <w:rPr>
          <w:lang w:eastAsia="ja-JP"/>
        </w:rPr>
        <w:t xml:space="preserve">, noting the diversity of approaches helped </w:t>
      </w:r>
      <w:r w:rsidR="002618C3">
        <w:rPr>
          <w:lang w:eastAsia="ja-JP"/>
        </w:rPr>
        <w:t xml:space="preserve">providers </w:t>
      </w:r>
      <w:r>
        <w:rPr>
          <w:lang w:eastAsia="ja-JP"/>
        </w:rPr>
        <w:t xml:space="preserve">to try different styles with clients </w:t>
      </w:r>
      <w:r w:rsidR="00F65DA5">
        <w:rPr>
          <w:lang w:eastAsia="ja-JP"/>
        </w:rPr>
        <w:t>with different needs</w:t>
      </w:r>
      <w:r>
        <w:rPr>
          <w:lang w:eastAsia="ja-JP"/>
        </w:rPr>
        <w:t>.</w:t>
      </w:r>
    </w:p>
    <w:p w14:paraId="4CB78891" w14:textId="3B1DEDCD" w:rsidR="00413F16" w:rsidRPr="00F659B6" w:rsidRDefault="00676EEF" w:rsidP="00413F16">
      <w:pPr>
        <w:rPr>
          <w:lang w:eastAsia="ja-JP"/>
        </w:rPr>
      </w:pPr>
      <w:r>
        <w:rPr>
          <w:lang w:eastAsia="ja-JP"/>
        </w:rPr>
        <w:t>Although d</w:t>
      </w:r>
      <w:r w:rsidR="00413F16">
        <w:rPr>
          <w:lang w:eastAsia="ja-JP"/>
        </w:rPr>
        <w:t xml:space="preserve">ifferent case management styles have varying levels of success with different clients, it is unclear if </w:t>
      </w:r>
      <w:r w:rsidR="007D38A0">
        <w:rPr>
          <w:lang w:eastAsia="ja-JP"/>
        </w:rPr>
        <w:t xml:space="preserve">greater </w:t>
      </w:r>
      <w:r w:rsidR="00413F16">
        <w:rPr>
          <w:lang w:eastAsia="ja-JP"/>
        </w:rPr>
        <w:t>discretion in case management introduce</w:t>
      </w:r>
      <w:r w:rsidR="002B7BD2">
        <w:rPr>
          <w:lang w:eastAsia="ja-JP"/>
        </w:rPr>
        <w:t>s</w:t>
      </w:r>
      <w:r w:rsidR="00413F16">
        <w:rPr>
          <w:lang w:eastAsia="ja-JP"/>
        </w:rPr>
        <w:t xml:space="preserve"> risks to the integrity of the program.</w:t>
      </w:r>
      <w:r w:rsidR="00413F16" w:rsidRPr="00F659B6">
        <w:rPr>
          <w:lang w:eastAsia="ja-JP"/>
        </w:rPr>
        <w:t xml:space="preserve"> </w:t>
      </w:r>
      <w:r>
        <w:rPr>
          <w:lang w:eastAsia="ja-JP"/>
        </w:rPr>
        <w:t>W</w:t>
      </w:r>
      <w:r w:rsidR="00413F16">
        <w:rPr>
          <w:lang w:eastAsia="ja-JP"/>
        </w:rPr>
        <w:t>here there was no well-articulated, consistent case management style, newer counsellors indicated that they found it difficult to learn their role.</w:t>
      </w:r>
      <w:r w:rsidR="00E714CB">
        <w:rPr>
          <w:lang w:eastAsia="ja-JP"/>
        </w:rPr>
        <w:t xml:space="preserve"> C</w:t>
      </w:r>
      <w:r w:rsidR="00E32B54">
        <w:rPr>
          <w:lang w:eastAsia="ja-JP"/>
        </w:rPr>
        <w:t>lient</w:t>
      </w:r>
      <w:r w:rsidR="00E714CB">
        <w:rPr>
          <w:lang w:eastAsia="ja-JP"/>
        </w:rPr>
        <w:t xml:space="preserve"> experience</w:t>
      </w:r>
      <w:r w:rsidR="00E32B54">
        <w:rPr>
          <w:lang w:eastAsia="ja-JP"/>
        </w:rPr>
        <w:t>s</w:t>
      </w:r>
      <w:r w:rsidR="00E714CB">
        <w:rPr>
          <w:lang w:eastAsia="ja-JP"/>
        </w:rPr>
        <w:t xml:space="preserve"> </w:t>
      </w:r>
      <w:r w:rsidR="007D38A0">
        <w:rPr>
          <w:lang w:eastAsia="ja-JP"/>
        </w:rPr>
        <w:t>were</w:t>
      </w:r>
      <w:r w:rsidR="00E714CB">
        <w:rPr>
          <w:lang w:eastAsia="ja-JP"/>
        </w:rPr>
        <w:t xml:space="preserve"> also variable.</w:t>
      </w:r>
    </w:p>
    <w:p w14:paraId="37FEFF70" w14:textId="47A46983" w:rsidR="00413F16" w:rsidRPr="00F659B6" w:rsidRDefault="00413F16" w:rsidP="00413F16">
      <w:pPr>
        <w:rPr>
          <w:lang w:eastAsia="ja-JP"/>
        </w:rPr>
      </w:pPr>
      <w:r w:rsidRPr="00F659B6">
        <w:rPr>
          <w:lang w:eastAsia="ja-JP"/>
        </w:rPr>
        <w:t xml:space="preserve">Case management models varied depending on service provider philosophy, industry considerations and provider capacity. The review </w:t>
      </w:r>
      <w:r w:rsidR="00052D61">
        <w:rPr>
          <w:lang w:eastAsia="ja-JP"/>
        </w:rPr>
        <w:t xml:space="preserve">panel </w:t>
      </w:r>
      <w:r>
        <w:rPr>
          <w:lang w:eastAsia="ja-JP"/>
        </w:rPr>
        <w:t>did not</w:t>
      </w:r>
      <w:r w:rsidRPr="00F659B6">
        <w:rPr>
          <w:lang w:eastAsia="ja-JP"/>
        </w:rPr>
        <w:t xml:space="preserve"> examine, or determine, the appropriateness of </w:t>
      </w:r>
      <w:r w:rsidR="00E714CB">
        <w:rPr>
          <w:lang w:eastAsia="ja-JP"/>
        </w:rPr>
        <w:t xml:space="preserve">particular </w:t>
      </w:r>
      <w:r w:rsidRPr="00F659B6">
        <w:rPr>
          <w:lang w:eastAsia="ja-JP"/>
        </w:rPr>
        <w:t xml:space="preserve">case management </w:t>
      </w:r>
      <w:r w:rsidR="00E714CB">
        <w:rPr>
          <w:lang w:eastAsia="ja-JP"/>
        </w:rPr>
        <w:t>approaches</w:t>
      </w:r>
      <w:r>
        <w:rPr>
          <w:lang w:eastAsia="ja-JP"/>
        </w:rPr>
        <w:t>. The panel is of the view</w:t>
      </w:r>
      <w:r w:rsidRPr="0073404A">
        <w:rPr>
          <w:lang w:eastAsia="ja-JP"/>
        </w:rPr>
        <w:t xml:space="preserve"> </w:t>
      </w:r>
      <w:r>
        <w:rPr>
          <w:lang w:eastAsia="ja-JP"/>
        </w:rPr>
        <w:t>that the department does not need to mandate</w:t>
      </w:r>
      <w:r w:rsidRPr="00F659B6">
        <w:rPr>
          <w:lang w:eastAsia="ja-JP"/>
        </w:rPr>
        <w:t xml:space="preserve"> </w:t>
      </w:r>
      <w:r>
        <w:rPr>
          <w:lang w:eastAsia="ja-JP"/>
        </w:rPr>
        <w:t>a particular case management approach</w:t>
      </w:r>
      <w:r w:rsidR="002B7BD2">
        <w:rPr>
          <w:lang w:eastAsia="ja-JP"/>
        </w:rPr>
        <w:t xml:space="preserve"> at this stage</w:t>
      </w:r>
      <w:r w:rsidR="00E714CB">
        <w:rPr>
          <w:lang w:eastAsia="ja-JP"/>
        </w:rPr>
        <w:t>,</w:t>
      </w:r>
      <w:r>
        <w:rPr>
          <w:lang w:eastAsia="ja-JP"/>
        </w:rPr>
        <w:t xml:space="preserve"> but </w:t>
      </w:r>
      <w:r w:rsidRPr="00F659B6">
        <w:rPr>
          <w:lang w:eastAsia="ja-JP"/>
        </w:rPr>
        <w:lastRenderedPageBreak/>
        <w:t>encourages the pursuit of improved case management models</w:t>
      </w:r>
      <w:r w:rsidR="003D5791">
        <w:rPr>
          <w:lang w:eastAsia="ja-JP"/>
        </w:rPr>
        <w:t xml:space="preserve">. </w:t>
      </w:r>
      <w:r>
        <w:rPr>
          <w:lang w:eastAsia="ja-JP"/>
        </w:rPr>
        <w:t xml:space="preserve">Service providers should develop, invest in, own and drive their own case management </w:t>
      </w:r>
      <w:r w:rsidR="00B278B5">
        <w:rPr>
          <w:lang w:eastAsia="ja-JP"/>
        </w:rPr>
        <w:t xml:space="preserve">models </w:t>
      </w:r>
      <w:r>
        <w:rPr>
          <w:lang w:eastAsia="ja-JP"/>
        </w:rPr>
        <w:t>so that they are consistently applied in their region.</w:t>
      </w:r>
    </w:p>
    <w:p w14:paraId="4C9A4095" w14:textId="77777777" w:rsidR="00413F16" w:rsidRPr="00E62C47" w:rsidRDefault="00413F16" w:rsidP="00E62C47">
      <w:pPr>
        <w:pStyle w:val="Heading5"/>
      </w:pPr>
      <w:r>
        <w:rPr>
          <w:lang w:eastAsia="ja-JP"/>
        </w:rPr>
        <w:t>Structural adjustment and exit options</w:t>
      </w:r>
    </w:p>
    <w:p w14:paraId="122941E5" w14:textId="384DFF90" w:rsidR="00517F4E" w:rsidRDefault="00413F16" w:rsidP="00B56288">
      <w:pPr>
        <w:rPr>
          <w:lang w:eastAsia="ja-JP"/>
        </w:rPr>
      </w:pPr>
      <w:r>
        <w:rPr>
          <w:lang w:eastAsia="ja-JP"/>
        </w:rPr>
        <w:t>Counsellors</w:t>
      </w:r>
      <w:r w:rsidRPr="00F659B6">
        <w:rPr>
          <w:lang w:eastAsia="ja-JP"/>
        </w:rPr>
        <w:t xml:space="preserve"> provided mixed feedback on the role of the RFCS in</w:t>
      </w:r>
      <w:r>
        <w:rPr>
          <w:lang w:eastAsia="ja-JP"/>
        </w:rPr>
        <w:t xml:space="preserve"> promoting </w:t>
      </w:r>
      <w:r w:rsidR="00B278B5">
        <w:rPr>
          <w:lang w:eastAsia="ja-JP"/>
        </w:rPr>
        <w:t xml:space="preserve">industry </w:t>
      </w:r>
      <w:r>
        <w:rPr>
          <w:lang w:eastAsia="ja-JP"/>
        </w:rPr>
        <w:t xml:space="preserve">exit </w:t>
      </w:r>
      <w:r w:rsidR="00B278B5">
        <w:rPr>
          <w:lang w:eastAsia="ja-JP"/>
        </w:rPr>
        <w:t>f</w:t>
      </w:r>
      <w:r>
        <w:rPr>
          <w:lang w:eastAsia="ja-JP"/>
        </w:rPr>
        <w:t xml:space="preserve">or </w:t>
      </w:r>
      <w:r w:rsidR="00C80BA8">
        <w:rPr>
          <w:lang w:eastAsia="ja-JP"/>
        </w:rPr>
        <w:t xml:space="preserve">unviable </w:t>
      </w:r>
      <w:r>
        <w:rPr>
          <w:lang w:eastAsia="ja-JP"/>
        </w:rPr>
        <w:t>clients</w:t>
      </w:r>
      <w:r w:rsidRPr="00F659B6">
        <w:rPr>
          <w:lang w:eastAsia="ja-JP"/>
        </w:rPr>
        <w:t xml:space="preserve">. Some </w:t>
      </w:r>
      <w:r>
        <w:rPr>
          <w:lang w:eastAsia="ja-JP"/>
        </w:rPr>
        <w:t>counsellors</w:t>
      </w:r>
      <w:r w:rsidRPr="00F659B6">
        <w:rPr>
          <w:lang w:eastAsia="ja-JP"/>
        </w:rPr>
        <w:t xml:space="preserve"> believed that exiting primary production was a decision best identified</w:t>
      </w:r>
      <w:r>
        <w:rPr>
          <w:lang w:eastAsia="ja-JP"/>
        </w:rPr>
        <w:t>—</w:t>
      </w:r>
      <w:r w:rsidRPr="00F659B6">
        <w:rPr>
          <w:lang w:eastAsia="ja-JP"/>
        </w:rPr>
        <w:t>and made</w:t>
      </w:r>
      <w:r>
        <w:rPr>
          <w:lang w:eastAsia="ja-JP"/>
        </w:rPr>
        <w:t>—</w:t>
      </w:r>
      <w:r w:rsidR="00C80BA8">
        <w:rPr>
          <w:lang w:eastAsia="ja-JP"/>
        </w:rPr>
        <w:t>by the client</w:t>
      </w:r>
      <w:r w:rsidRPr="00F659B6">
        <w:rPr>
          <w:lang w:eastAsia="ja-JP"/>
        </w:rPr>
        <w:t xml:space="preserve">, rather than </w:t>
      </w:r>
      <w:r w:rsidR="004E0FCC">
        <w:rPr>
          <w:lang w:eastAsia="ja-JP"/>
        </w:rPr>
        <w:t xml:space="preserve">suggested by counsellors at the beginning </w:t>
      </w:r>
      <w:r w:rsidR="006C6319">
        <w:rPr>
          <w:lang w:eastAsia="ja-JP"/>
        </w:rPr>
        <w:t>of client engagement.</w:t>
      </w:r>
    </w:p>
    <w:p w14:paraId="1DCC743F" w14:textId="62AED0AB" w:rsidR="00C80BA8" w:rsidRDefault="00413F16" w:rsidP="00B56288">
      <w:pPr>
        <w:rPr>
          <w:lang w:eastAsia="ja-JP"/>
        </w:rPr>
      </w:pPr>
      <w:r w:rsidRPr="00F659B6">
        <w:rPr>
          <w:lang w:eastAsia="ja-JP"/>
        </w:rPr>
        <w:t xml:space="preserve">Some </w:t>
      </w:r>
      <w:r>
        <w:rPr>
          <w:lang w:eastAsia="ja-JP"/>
        </w:rPr>
        <w:t>counsellors</w:t>
      </w:r>
      <w:r w:rsidRPr="00F659B6">
        <w:rPr>
          <w:lang w:eastAsia="ja-JP"/>
        </w:rPr>
        <w:t xml:space="preserve"> noted that</w:t>
      </w:r>
      <w:r w:rsidR="004E0FCC">
        <w:rPr>
          <w:lang w:eastAsia="ja-JP"/>
        </w:rPr>
        <w:t xml:space="preserve"> a conversation about industry exit would naturally arise</w:t>
      </w:r>
      <w:r w:rsidR="004E0FCC" w:rsidRPr="001E3521">
        <w:rPr>
          <w:lang w:eastAsia="ja-JP"/>
        </w:rPr>
        <w:t xml:space="preserve"> </w:t>
      </w:r>
      <w:r w:rsidR="004E0FCC">
        <w:rPr>
          <w:lang w:eastAsia="ja-JP"/>
        </w:rPr>
        <w:t>where warranted. This</w:t>
      </w:r>
      <w:r w:rsidRPr="00F659B6">
        <w:rPr>
          <w:lang w:eastAsia="ja-JP"/>
        </w:rPr>
        <w:t xml:space="preserve"> often </w:t>
      </w:r>
      <w:r w:rsidR="004E0FCC">
        <w:rPr>
          <w:lang w:eastAsia="ja-JP"/>
        </w:rPr>
        <w:t xml:space="preserve">occurred </w:t>
      </w:r>
      <w:r w:rsidRPr="00F659B6">
        <w:rPr>
          <w:lang w:eastAsia="ja-JP"/>
        </w:rPr>
        <w:t xml:space="preserve">after </w:t>
      </w:r>
      <w:r>
        <w:rPr>
          <w:lang w:eastAsia="ja-JP"/>
        </w:rPr>
        <w:t>working on a client</w:t>
      </w:r>
      <w:r w:rsidR="00736B18">
        <w:rPr>
          <w:lang w:eastAsia="ja-JP"/>
        </w:rPr>
        <w:t>'</w:t>
      </w:r>
      <w:r>
        <w:rPr>
          <w:lang w:eastAsia="ja-JP"/>
        </w:rPr>
        <w:t>s financial literacy</w:t>
      </w:r>
      <w:r w:rsidR="00E32B54">
        <w:rPr>
          <w:lang w:eastAsia="ja-JP"/>
        </w:rPr>
        <w:t>, as well as</w:t>
      </w:r>
      <w:r>
        <w:rPr>
          <w:lang w:eastAsia="ja-JP"/>
        </w:rPr>
        <w:t xml:space="preserve"> developing cash flows, profit and loss statements and other business planning documents</w:t>
      </w:r>
      <w:r w:rsidR="001E3521">
        <w:rPr>
          <w:lang w:eastAsia="ja-JP"/>
        </w:rPr>
        <w:t xml:space="preserve">. </w:t>
      </w:r>
      <w:r w:rsidR="00C80BA8">
        <w:rPr>
          <w:lang w:eastAsia="ja-JP"/>
        </w:rPr>
        <w:t>Other</w:t>
      </w:r>
      <w:r w:rsidR="001E3521">
        <w:rPr>
          <w:lang w:eastAsia="ja-JP"/>
        </w:rPr>
        <w:t xml:space="preserve"> counsellors indicated a willingness to</w:t>
      </w:r>
      <w:r w:rsidR="00C80BA8">
        <w:rPr>
          <w:lang w:eastAsia="ja-JP"/>
        </w:rPr>
        <w:t xml:space="preserve"> </w:t>
      </w:r>
      <w:r w:rsidR="001E3521">
        <w:rPr>
          <w:lang w:eastAsia="ja-JP"/>
        </w:rPr>
        <w:t>proactively</w:t>
      </w:r>
      <w:r w:rsidR="00C80BA8">
        <w:rPr>
          <w:lang w:eastAsia="ja-JP"/>
        </w:rPr>
        <w:t xml:space="preserve"> </w:t>
      </w:r>
      <w:r w:rsidR="001E3521">
        <w:rPr>
          <w:lang w:eastAsia="ja-JP"/>
        </w:rPr>
        <w:t>d</w:t>
      </w:r>
      <w:r w:rsidR="000903EE">
        <w:rPr>
          <w:lang w:eastAsia="ja-JP"/>
        </w:rPr>
        <w:t>r</w:t>
      </w:r>
      <w:r w:rsidR="001E3521">
        <w:rPr>
          <w:lang w:eastAsia="ja-JP"/>
        </w:rPr>
        <w:t>ive</w:t>
      </w:r>
      <w:r w:rsidR="00C80BA8">
        <w:rPr>
          <w:lang w:eastAsia="ja-JP"/>
        </w:rPr>
        <w:t xml:space="preserve"> conversation</w:t>
      </w:r>
      <w:r w:rsidR="001E3521">
        <w:rPr>
          <w:lang w:eastAsia="ja-JP"/>
        </w:rPr>
        <w:t>s</w:t>
      </w:r>
      <w:r w:rsidR="00C80BA8">
        <w:rPr>
          <w:lang w:eastAsia="ja-JP"/>
        </w:rPr>
        <w:t xml:space="preserve"> on industry exit</w:t>
      </w:r>
      <w:r w:rsidR="006C6319">
        <w:rPr>
          <w:lang w:eastAsia="ja-JP"/>
        </w:rPr>
        <w:t xml:space="preserve"> as a </w:t>
      </w:r>
      <w:r w:rsidR="001E3521">
        <w:rPr>
          <w:lang w:eastAsia="ja-JP"/>
        </w:rPr>
        <w:t>legitimate and potentially positive outcome.</w:t>
      </w:r>
    </w:p>
    <w:p w14:paraId="42B20C08" w14:textId="67880EFA" w:rsidR="00B56288" w:rsidRDefault="00413F16" w:rsidP="00B56288">
      <w:pPr>
        <w:rPr>
          <w:lang w:eastAsia="ja-JP"/>
        </w:rPr>
      </w:pPr>
      <w:r>
        <w:rPr>
          <w:lang w:eastAsia="ja-JP"/>
        </w:rPr>
        <w:t>Counsellors</w:t>
      </w:r>
      <w:r w:rsidRPr="00F659B6">
        <w:rPr>
          <w:lang w:eastAsia="ja-JP"/>
        </w:rPr>
        <w:t xml:space="preserve"> noted that exit conversations were </w:t>
      </w:r>
      <w:r w:rsidR="006B3496">
        <w:rPr>
          <w:lang w:eastAsia="ja-JP"/>
        </w:rPr>
        <w:t xml:space="preserve">often </w:t>
      </w:r>
      <w:r w:rsidRPr="00F659B6">
        <w:rPr>
          <w:lang w:eastAsia="ja-JP"/>
        </w:rPr>
        <w:t xml:space="preserve">difficult </w:t>
      </w:r>
      <w:r>
        <w:rPr>
          <w:lang w:eastAsia="ja-JP"/>
        </w:rPr>
        <w:t>because</w:t>
      </w:r>
      <w:r w:rsidRPr="00F659B6">
        <w:rPr>
          <w:lang w:eastAsia="ja-JP"/>
        </w:rPr>
        <w:t xml:space="preserve"> many </w:t>
      </w:r>
      <w:r w:rsidR="006B3496">
        <w:rPr>
          <w:lang w:eastAsia="ja-JP"/>
        </w:rPr>
        <w:t xml:space="preserve">clients </w:t>
      </w:r>
      <w:r w:rsidRPr="00F659B6">
        <w:rPr>
          <w:lang w:eastAsia="ja-JP"/>
        </w:rPr>
        <w:t xml:space="preserve">who access the RFCS </w:t>
      </w:r>
      <w:r>
        <w:rPr>
          <w:lang w:eastAsia="ja-JP"/>
        </w:rPr>
        <w:t>intend to improve</w:t>
      </w:r>
      <w:r w:rsidRPr="00F659B6">
        <w:rPr>
          <w:lang w:eastAsia="ja-JP"/>
        </w:rPr>
        <w:t xml:space="preserve"> their </w:t>
      </w:r>
      <w:r w:rsidR="006B3496">
        <w:rPr>
          <w:lang w:eastAsia="ja-JP"/>
        </w:rPr>
        <w:t>financial position</w:t>
      </w:r>
      <w:r>
        <w:rPr>
          <w:lang w:eastAsia="ja-JP"/>
        </w:rPr>
        <w:t xml:space="preserve">, regardless of the likelihood </w:t>
      </w:r>
      <w:r w:rsidR="001E3521">
        <w:rPr>
          <w:lang w:eastAsia="ja-JP"/>
        </w:rPr>
        <w:t xml:space="preserve">of </w:t>
      </w:r>
      <w:r w:rsidR="006B3496">
        <w:rPr>
          <w:lang w:eastAsia="ja-JP"/>
        </w:rPr>
        <w:t>recovery.</w:t>
      </w:r>
      <w:r w:rsidRPr="00F659B6">
        <w:rPr>
          <w:lang w:eastAsia="ja-JP"/>
        </w:rPr>
        <w:t xml:space="preserve"> </w:t>
      </w:r>
      <w:r w:rsidR="006B3496">
        <w:rPr>
          <w:lang w:eastAsia="ja-JP"/>
        </w:rPr>
        <w:t xml:space="preserve">Exit conversations were further </w:t>
      </w:r>
      <w:r>
        <w:rPr>
          <w:lang w:eastAsia="ja-JP"/>
        </w:rPr>
        <w:t>complicated by social and emotion</w:t>
      </w:r>
      <w:r w:rsidR="006B3496">
        <w:rPr>
          <w:lang w:eastAsia="ja-JP"/>
        </w:rPr>
        <w:t>al</w:t>
      </w:r>
      <w:r>
        <w:rPr>
          <w:lang w:eastAsia="ja-JP"/>
        </w:rPr>
        <w:t xml:space="preserve"> issues</w:t>
      </w:r>
      <w:r w:rsidR="00D73FF5">
        <w:rPr>
          <w:lang w:eastAsia="ja-JP"/>
        </w:rPr>
        <w:t xml:space="preserve"> related to identity and dignity</w:t>
      </w:r>
      <w:r>
        <w:rPr>
          <w:lang w:eastAsia="ja-JP"/>
        </w:rPr>
        <w:t>.</w:t>
      </w:r>
    </w:p>
    <w:p w14:paraId="74DB8215" w14:textId="43845C15" w:rsidR="00413F16" w:rsidRDefault="00413F16" w:rsidP="00B56288">
      <w:pPr>
        <w:pStyle w:val="Heading5"/>
        <w:rPr>
          <w:lang w:eastAsia="ja-JP"/>
        </w:rPr>
      </w:pPr>
      <w:r>
        <w:rPr>
          <w:lang w:eastAsia="ja-JP"/>
        </w:rPr>
        <w:t>Mental health and financial counselling</w:t>
      </w:r>
    </w:p>
    <w:p w14:paraId="241A61DB" w14:textId="59462A6F" w:rsidR="00413F16" w:rsidRPr="00655616" w:rsidRDefault="00413F16" w:rsidP="00413F16">
      <w:r w:rsidRPr="00655616">
        <w:t xml:space="preserve">The panel received feedback from </w:t>
      </w:r>
      <w:r w:rsidR="004E0FCC">
        <w:t>some</w:t>
      </w:r>
      <w:r w:rsidRPr="00655616">
        <w:t xml:space="preserve"> executive officers and counsellors that </w:t>
      </w:r>
      <w:r w:rsidR="003319AA">
        <w:t>opportunities exist for the RFCS to take on</w:t>
      </w:r>
      <w:r w:rsidR="008D7617">
        <w:t>—and be funded for—</w:t>
      </w:r>
      <w:r w:rsidR="003319AA">
        <w:t xml:space="preserve">an expanded role delivering </w:t>
      </w:r>
      <w:r w:rsidRPr="00655616">
        <w:t xml:space="preserve">discreet mental health </w:t>
      </w:r>
      <w:r w:rsidR="003319AA">
        <w:t>counselling services</w:t>
      </w:r>
      <w:r w:rsidRPr="00655616">
        <w:t xml:space="preserve">. The panel heard </w:t>
      </w:r>
      <w:r>
        <w:t xml:space="preserve">that regional </w:t>
      </w:r>
      <w:r w:rsidR="008D7617">
        <w:t xml:space="preserve">providers </w:t>
      </w:r>
      <w:r>
        <w:t xml:space="preserve">have difficulty accessing </w:t>
      </w:r>
      <w:r w:rsidR="003319AA">
        <w:t>reliable</w:t>
      </w:r>
      <w:r>
        <w:t>, local</w:t>
      </w:r>
      <w:r w:rsidR="003319AA">
        <w:t xml:space="preserve"> </w:t>
      </w:r>
      <w:r>
        <w:t>mental health services for their clients</w:t>
      </w:r>
      <w:r w:rsidR="003319AA">
        <w:t xml:space="preserve"> and broader communities.</w:t>
      </w:r>
    </w:p>
    <w:p w14:paraId="2E58F618" w14:textId="100DC5A6" w:rsidR="00517F4E" w:rsidRDefault="008D7617" w:rsidP="00413F16">
      <w:pPr>
        <w:rPr>
          <w:lang w:eastAsia="ja-JP"/>
        </w:rPr>
      </w:pPr>
      <w:r>
        <w:t>T</w:t>
      </w:r>
      <w:r w:rsidR="00413F16" w:rsidRPr="00655616">
        <w:t xml:space="preserve">he review panel </w:t>
      </w:r>
      <w:r w:rsidR="001B1253">
        <w:t xml:space="preserve">also </w:t>
      </w:r>
      <w:r w:rsidR="00413F16" w:rsidRPr="00655616">
        <w:t>heard that farmers facing mental health</w:t>
      </w:r>
      <w:r w:rsidR="00413F16" w:rsidRPr="00F659B6">
        <w:rPr>
          <w:lang w:eastAsia="ja-JP"/>
        </w:rPr>
        <w:t xml:space="preserve"> challenges are </w:t>
      </w:r>
      <w:r w:rsidR="00413F16">
        <w:rPr>
          <w:lang w:eastAsia="ja-JP"/>
        </w:rPr>
        <w:t>less likely to fully engage in long-term</w:t>
      </w:r>
      <w:r w:rsidR="003319AA">
        <w:rPr>
          <w:lang w:eastAsia="ja-JP"/>
        </w:rPr>
        <w:t xml:space="preserve"> business</w:t>
      </w:r>
      <w:r w:rsidR="00F359B6">
        <w:rPr>
          <w:lang w:eastAsia="ja-JP"/>
        </w:rPr>
        <w:t xml:space="preserve"> </w:t>
      </w:r>
      <w:r w:rsidR="00413F16">
        <w:rPr>
          <w:lang w:eastAsia="ja-JP"/>
        </w:rPr>
        <w:t>planning and decision</w:t>
      </w:r>
      <w:r>
        <w:rPr>
          <w:lang w:eastAsia="ja-JP"/>
        </w:rPr>
        <w:t>-</w:t>
      </w:r>
      <w:r w:rsidR="00413F16">
        <w:rPr>
          <w:lang w:eastAsia="ja-JP"/>
        </w:rPr>
        <w:t>making with their counsellor without mental health support</w:t>
      </w:r>
      <w:r w:rsidR="00413F16" w:rsidRPr="00F659B6">
        <w:rPr>
          <w:lang w:eastAsia="ja-JP"/>
        </w:rPr>
        <w:t>.</w:t>
      </w:r>
    </w:p>
    <w:p w14:paraId="2328DCB6" w14:textId="467D3421" w:rsidR="00413F16" w:rsidRPr="00F659B6" w:rsidRDefault="00E552A3" w:rsidP="00413F16">
      <w:pPr>
        <w:rPr>
          <w:lang w:eastAsia="ja-JP"/>
        </w:rPr>
      </w:pPr>
      <w:r>
        <w:rPr>
          <w:lang w:eastAsia="ja-JP"/>
        </w:rPr>
        <w:t>C</w:t>
      </w:r>
      <w:r w:rsidR="00413F16" w:rsidRPr="00F659B6">
        <w:rPr>
          <w:lang w:eastAsia="ja-JP"/>
        </w:rPr>
        <w:t>ounsellors acknowledged the role of the RFCS was strictly financial in its objective and purpose</w:t>
      </w:r>
      <w:r>
        <w:rPr>
          <w:lang w:eastAsia="ja-JP"/>
        </w:rPr>
        <w:t xml:space="preserve">. However, </w:t>
      </w:r>
      <w:r w:rsidR="00413F16" w:rsidRPr="00F659B6">
        <w:rPr>
          <w:lang w:eastAsia="ja-JP"/>
        </w:rPr>
        <w:t>they noted that, as a trusted</w:t>
      </w:r>
      <w:r w:rsidR="00413F16">
        <w:rPr>
          <w:lang w:eastAsia="ja-JP"/>
        </w:rPr>
        <w:t xml:space="preserve"> independent </w:t>
      </w:r>
      <w:r w:rsidR="00413F16" w:rsidRPr="00F659B6">
        <w:rPr>
          <w:lang w:eastAsia="ja-JP"/>
        </w:rPr>
        <w:t xml:space="preserve">adviser, they often found themselves providing mental-health support before—or in the absence of—a successful referral to </w:t>
      </w:r>
      <w:r w:rsidR="006B3496">
        <w:rPr>
          <w:lang w:eastAsia="ja-JP"/>
        </w:rPr>
        <w:t>professional</w:t>
      </w:r>
      <w:r w:rsidR="006B3496" w:rsidRPr="00F659B6">
        <w:rPr>
          <w:lang w:eastAsia="ja-JP"/>
        </w:rPr>
        <w:t xml:space="preserve"> </w:t>
      </w:r>
      <w:r w:rsidR="00413F16" w:rsidRPr="00F659B6">
        <w:rPr>
          <w:lang w:eastAsia="ja-JP"/>
        </w:rPr>
        <w:t xml:space="preserve">mental health </w:t>
      </w:r>
      <w:r w:rsidR="006B7444">
        <w:rPr>
          <w:lang w:eastAsia="ja-JP"/>
        </w:rPr>
        <w:t>services.</w:t>
      </w:r>
    </w:p>
    <w:p w14:paraId="7973D2AA" w14:textId="0E59D060" w:rsidR="00517F4E" w:rsidRDefault="00413F16" w:rsidP="00595768">
      <w:pPr>
        <w:rPr>
          <w:lang w:eastAsia="ja-JP"/>
        </w:rPr>
      </w:pPr>
      <w:r w:rsidRPr="00F659B6">
        <w:rPr>
          <w:lang w:eastAsia="ja-JP"/>
        </w:rPr>
        <w:t xml:space="preserve">While the department does not hold policy responsibility for rural mental health, </w:t>
      </w:r>
      <w:r>
        <w:rPr>
          <w:lang w:eastAsia="ja-JP"/>
        </w:rPr>
        <w:t>the panel notes</w:t>
      </w:r>
      <w:r w:rsidRPr="00F659B6">
        <w:rPr>
          <w:lang w:eastAsia="ja-JP"/>
        </w:rPr>
        <w:t xml:space="preserve"> that significant inroads are being </w:t>
      </w:r>
      <w:r w:rsidR="00602E79">
        <w:rPr>
          <w:lang w:eastAsia="ja-JP"/>
        </w:rPr>
        <w:t xml:space="preserve">made by </w:t>
      </w:r>
      <w:r w:rsidRPr="00F659B6">
        <w:rPr>
          <w:lang w:eastAsia="ja-JP"/>
        </w:rPr>
        <w:t xml:space="preserve">the </w:t>
      </w:r>
      <w:r>
        <w:rPr>
          <w:lang w:eastAsia="ja-JP"/>
        </w:rPr>
        <w:t xml:space="preserve">Australian </w:t>
      </w:r>
      <w:r w:rsidR="006B3496">
        <w:rPr>
          <w:lang w:eastAsia="ja-JP"/>
        </w:rPr>
        <w:t>G</w:t>
      </w:r>
      <w:r>
        <w:rPr>
          <w:lang w:eastAsia="ja-JP"/>
        </w:rPr>
        <w:t>overnment</w:t>
      </w:r>
      <w:r w:rsidR="00736B18">
        <w:rPr>
          <w:lang w:eastAsia="ja-JP"/>
        </w:rPr>
        <w:t>'</w:t>
      </w:r>
      <w:r>
        <w:rPr>
          <w:lang w:eastAsia="ja-JP"/>
        </w:rPr>
        <w:t>s</w:t>
      </w:r>
      <w:r w:rsidRPr="00F659B6">
        <w:rPr>
          <w:lang w:eastAsia="ja-JP"/>
        </w:rPr>
        <w:t xml:space="preserve"> P</w:t>
      </w:r>
      <w:r>
        <w:rPr>
          <w:lang w:eastAsia="ja-JP"/>
        </w:rPr>
        <w:t>rimary</w:t>
      </w:r>
      <w:r w:rsidRPr="00F659B6">
        <w:rPr>
          <w:lang w:eastAsia="ja-JP"/>
        </w:rPr>
        <w:t xml:space="preserve"> Health Networks</w:t>
      </w:r>
      <w:r w:rsidR="00517F4E">
        <w:rPr>
          <w:lang w:eastAsia="ja-JP"/>
        </w:rPr>
        <w:t>,</w:t>
      </w:r>
      <w:r w:rsidR="00602E79">
        <w:rPr>
          <w:lang w:eastAsia="ja-JP"/>
        </w:rPr>
        <w:t xml:space="preserve"> which has mental </w:t>
      </w:r>
      <w:r w:rsidR="00602E79" w:rsidRPr="002A4CC2">
        <w:rPr>
          <w:lang w:eastAsia="ja-JP"/>
        </w:rPr>
        <w:t xml:space="preserve">health </w:t>
      </w:r>
      <w:r w:rsidR="00602E79" w:rsidRPr="00277C29">
        <w:rPr>
          <w:lang w:eastAsia="ja-JP"/>
        </w:rPr>
        <w:t>as</w:t>
      </w:r>
      <w:r w:rsidR="00051B19">
        <w:rPr>
          <w:lang w:eastAsia="ja-JP"/>
        </w:rPr>
        <w:t xml:space="preserve"> one </w:t>
      </w:r>
      <w:r w:rsidR="00602E79">
        <w:rPr>
          <w:lang w:eastAsia="ja-JP"/>
        </w:rPr>
        <w:t>of its key priority areas</w:t>
      </w:r>
      <w:r w:rsidRPr="00F659B6">
        <w:rPr>
          <w:lang w:eastAsia="ja-JP"/>
        </w:rPr>
        <w:t>.</w:t>
      </w:r>
    </w:p>
    <w:p w14:paraId="6B58DEA3" w14:textId="25E5BC41" w:rsidR="00413F16" w:rsidRPr="00F659B6" w:rsidRDefault="00982099" w:rsidP="00413F16">
      <w:pPr>
        <w:pStyle w:val="Heading3"/>
        <w:rPr>
          <w:lang w:eastAsia="ja-JP"/>
        </w:rPr>
      </w:pPr>
      <w:bookmarkStart w:id="28" w:name="_Toc18328847"/>
      <w:r>
        <w:rPr>
          <w:lang w:eastAsia="ja-JP"/>
        </w:rPr>
        <w:t>Eligible clients and activities</w:t>
      </w:r>
      <w:bookmarkEnd w:id="28"/>
    </w:p>
    <w:p w14:paraId="4B61F465" w14:textId="3E380620" w:rsidR="00413F16" w:rsidRDefault="00413F16" w:rsidP="00413F16">
      <w:pPr>
        <w:rPr>
          <w:lang w:eastAsia="ja-JP"/>
        </w:rPr>
      </w:pPr>
      <w:r>
        <w:rPr>
          <w:lang w:eastAsia="ja-JP"/>
        </w:rPr>
        <w:t xml:space="preserve">During consultations, the panel sought views about a potential expansion of </w:t>
      </w:r>
      <w:r w:rsidR="00982099">
        <w:rPr>
          <w:lang w:eastAsia="ja-JP"/>
        </w:rPr>
        <w:t xml:space="preserve">eligible </w:t>
      </w:r>
      <w:r w:rsidR="00982D5B">
        <w:rPr>
          <w:lang w:eastAsia="ja-JP"/>
        </w:rPr>
        <w:t>clients and</w:t>
      </w:r>
      <w:r w:rsidR="00982099">
        <w:rPr>
          <w:lang w:eastAsia="ja-JP"/>
        </w:rPr>
        <w:t xml:space="preserve"> activities, particularly small business engagement and preparedness activities.</w:t>
      </w:r>
    </w:p>
    <w:p w14:paraId="4B58BBD4" w14:textId="3EE2819A" w:rsidR="00517F4E" w:rsidRDefault="00413F16" w:rsidP="00413F16">
      <w:pPr>
        <w:rPr>
          <w:lang w:eastAsia="ja-JP"/>
        </w:rPr>
      </w:pPr>
      <w:r>
        <w:rPr>
          <w:lang w:eastAsia="ja-JP"/>
        </w:rPr>
        <w:t>The</w:t>
      </w:r>
      <w:r w:rsidR="003461A5">
        <w:rPr>
          <w:lang w:eastAsia="ja-JP"/>
        </w:rPr>
        <w:t xml:space="preserve"> </w:t>
      </w:r>
      <w:r w:rsidR="003461A5" w:rsidRPr="0086461F">
        <w:rPr>
          <w:lang w:eastAsia="ja-JP"/>
        </w:rPr>
        <w:t>deed</w:t>
      </w:r>
      <w:r w:rsidRPr="0086461F">
        <w:rPr>
          <w:lang w:eastAsia="ja-JP"/>
        </w:rPr>
        <w:t xml:space="preserve"> defines an</w:t>
      </w:r>
      <w:r w:rsidR="00517F4E" w:rsidRPr="0086461F">
        <w:rPr>
          <w:lang w:eastAsia="ja-JP"/>
        </w:rPr>
        <w:t xml:space="preserve"> </w:t>
      </w:r>
      <w:r w:rsidR="002D0C07" w:rsidRPr="0086461F">
        <w:rPr>
          <w:lang w:eastAsia="ja-JP"/>
        </w:rPr>
        <w:t>e</w:t>
      </w:r>
      <w:r w:rsidRPr="0086461F">
        <w:rPr>
          <w:lang w:eastAsia="ja-JP"/>
        </w:rPr>
        <w:t xml:space="preserve">ligible </w:t>
      </w:r>
      <w:r w:rsidR="002D0C07" w:rsidRPr="0086461F">
        <w:rPr>
          <w:lang w:eastAsia="ja-JP"/>
        </w:rPr>
        <w:t>c</w:t>
      </w:r>
      <w:r w:rsidRPr="0086461F">
        <w:rPr>
          <w:lang w:eastAsia="ja-JP"/>
        </w:rPr>
        <w:t>lient</w:t>
      </w:r>
      <w:r w:rsidR="00745579" w:rsidRPr="0086461F">
        <w:rPr>
          <w:lang w:eastAsia="ja-JP"/>
        </w:rPr>
        <w:t xml:space="preserve"> </w:t>
      </w:r>
      <w:r w:rsidRPr="0086461F">
        <w:rPr>
          <w:lang w:eastAsia="ja-JP"/>
        </w:rPr>
        <w:t>as an individual:</w:t>
      </w:r>
    </w:p>
    <w:p w14:paraId="2C246C06" w14:textId="2A9C5AEB" w:rsidR="00413F16" w:rsidRPr="00967344" w:rsidRDefault="00413F16" w:rsidP="00967344">
      <w:pPr>
        <w:pStyle w:val="ListNumber2"/>
        <w:numPr>
          <w:ilvl w:val="1"/>
          <w:numId w:val="29"/>
        </w:numPr>
        <w:rPr>
          <w:rStyle w:val="SubtleEmphasis"/>
          <w:i w:val="0"/>
          <w:iCs w:val="0"/>
          <w:color w:val="auto"/>
        </w:rPr>
      </w:pPr>
      <w:r w:rsidRPr="00967344">
        <w:rPr>
          <w:rStyle w:val="SubtleEmphasis"/>
          <w:i w:val="0"/>
          <w:iCs w:val="0"/>
          <w:color w:val="auto"/>
        </w:rPr>
        <w:t>who is a recipient of the Farm Household Allowance; or</w:t>
      </w:r>
    </w:p>
    <w:p w14:paraId="0C50EAA4" w14:textId="77777777" w:rsidR="00413F16" w:rsidRPr="00967344" w:rsidRDefault="00413F16" w:rsidP="00967344">
      <w:pPr>
        <w:pStyle w:val="ListNumber2"/>
        <w:numPr>
          <w:ilvl w:val="1"/>
          <w:numId w:val="29"/>
        </w:numPr>
        <w:rPr>
          <w:rStyle w:val="SubtleEmphasis"/>
          <w:i w:val="0"/>
          <w:iCs w:val="0"/>
          <w:color w:val="auto"/>
        </w:rPr>
      </w:pPr>
      <w:r w:rsidRPr="00967344">
        <w:rPr>
          <w:rStyle w:val="SubtleEmphasis"/>
          <w:i w:val="0"/>
          <w:iCs w:val="0"/>
          <w:color w:val="auto"/>
        </w:rPr>
        <w:t>who has an interest in a Primary Production Enterprise; and</w:t>
      </w:r>
    </w:p>
    <w:p w14:paraId="17463B7F" w14:textId="77777777" w:rsidR="00413F16" w:rsidRPr="00967344" w:rsidRDefault="00413F16" w:rsidP="00967344">
      <w:pPr>
        <w:pStyle w:val="ListNumber2"/>
        <w:numPr>
          <w:ilvl w:val="1"/>
          <w:numId w:val="29"/>
        </w:numPr>
        <w:rPr>
          <w:rStyle w:val="SubtleEmphasis"/>
          <w:i w:val="0"/>
          <w:iCs w:val="0"/>
          <w:color w:val="auto"/>
        </w:rPr>
      </w:pPr>
      <w:r w:rsidRPr="00967344">
        <w:rPr>
          <w:rStyle w:val="SubtleEmphasis"/>
          <w:i w:val="0"/>
          <w:iCs w:val="0"/>
          <w:color w:val="auto"/>
        </w:rPr>
        <w:lastRenderedPageBreak/>
        <w:t>who contributes a significant part of his or her labour and capital to the enterprise; and</w:t>
      </w:r>
    </w:p>
    <w:p w14:paraId="4BD6F201" w14:textId="77777777" w:rsidR="00517F4E" w:rsidRPr="00967344" w:rsidRDefault="00413F16" w:rsidP="00967344">
      <w:pPr>
        <w:pStyle w:val="ListNumber2"/>
        <w:numPr>
          <w:ilvl w:val="1"/>
          <w:numId w:val="29"/>
        </w:numPr>
        <w:rPr>
          <w:rStyle w:val="SubtleEmphasis"/>
          <w:i w:val="0"/>
          <w:iCs w:val="0"/>
          <w:color w:val="auto"/>
        </w:rPr>
      </w:pPr>
      <w:proofErr w:type="gramStart"/>
      <w:r w:rsidRPr="00967344">
        <w:rPr>
          <w:rStyle w:val="SubtleEmphasis"/>
          <w:i w:val="0"/>
          <w:iCs w:val="0"/>
          <w:color w:val="auto"/>
        </w:rPr>
        <w:t>who</w:t>
      </w:r>
      <w:proofErr w:type="gramEnd"/>
      <w:r w:rsidRPr="00967344">
        <w:rPr>
          <w:rStyle w:val="SubtleEmphasis"/>
          <w:i w:val="0"/>
          <w:iCs w:val="0"/>
          <w:color w:val="auto"/>
        </w:rPr>
        <w:t>, in the opinion of a Rural Financial Counsellor is, or is at imminent risk of, experiencing financial hardship.</w:t>
      </w:r>
    </w:p>
    <w:p w14:paraId="3A5B9D9F" w14:textId="11C4F0BE" w:rsidR="00517F4E" w:rsidRPr="0086461F" w:rsidRDefault="00B940BB" w:rsidP="00B940BB">
      <w:r>
        <w:rPr>
          <w:lang w:eastAsia="ja-JP"/>
        </w:rPr>
        <w:t>It does not mean an individual w</w:t>
      </w:r>
      <w:r w:rsidR="00413F16" w:rsidRPr="00B940BB">
        <w:rPr>
          <w:lang w:eastAsia="ja-JP"/>
        </w:rPr>
        <w:t>ho s</w:t>
      </w:r>
      <w:r>
        <w:rPr>
          <w:lang w:eastAsia="ja-JP"/>
        </w:rPr>
        <w:t>upplies goods or services to a primary production e</w:t>
      </w:r>
      <w:r w:rsidR="00413F16" w:rsidRPr="00B940BB">
        <w:rPr>
          <w:lang w:eastAsia="ja-JP"/>
        </w:rPr>
        <w:t>nterprise.</w:t>
      </w:r>
    </w:p>
    <w:p w14:paraId="31224F57" w14:textId="58FF6672" w:rsidR="00413F16" w:rsidRPr="00F659B6" w:rsidRDefault="00413F16" w:rsidP="00413F16">
      <w:pPr>
        <w:rPr>
          <w:lang w:eastAsia="ja-JP"/>
        </w:rPr>
      </w:pPr>
      <w:r w:rsidRPr="00F659B6">
        <w:rPr>
          <w:lang w:eastAsia="ja-JP"/>
        </w:rPr>
        <w:t xml:space="preserve">The review panel received mixed feedback on how the </w:t>
      </w:r>
      <w:r w:rsidR="00B81CCB">
        <w:rPr>
          <w:lang w:eastAsia="ja-JP"/>
        </w:rPr>
        <w:t>RFCS</w:t>
      </w:r>
      <w:r w:rsidRPr="00F659B6">
        <w:rPr>
          <w:lang w:eastAsia="ja-JP"/>
        </w:rPr>
        <w:t xml:space="preserve"> providers would cope with an increased scope to client eligibility. Generally, stakeholders were supportive of providing case management services</w:t>
      </w:r>
      <w:r>
        <w:rPr>
          <w:lang w:eastAsia="ja-JP"/>
        </w:rPr>
        <w:t xml:space="preserve"> </w:t>
      </w:r>
      <w:r w:rsidRPr="00F659B6">
        <w:rPr>
          <w:lang w:eastAsia="ja-JP"/>
        </w:rPr>
        <w:t>to businesses in rural or regional areas</w:t>
      </w:r>
      <w:r w:rsidR="00B81CCB">
        <w:rPr>
          <w:lang w:eastAsia="ja-JP"/>
        </w:rPr>
        <w:t>. They also supported</w:t>
      </w:r>
      <w:r>
        <w:rPr>
          <w:lang w:eastAsia="ja-JP"/>
        </w:rPr>
        <w:t xml:space="preserve"> earlier </w:t>
      </w:r>
      <w:r w:rsidR="00B81CCB">
        <w:rPr>
          <w:lang w:eastAsia="ja-JP"/>
        </w:rPr>
        <w:t xml:space="preserve">engagement </w:t>
      </w:r>
      <w:r>
        <w:rPr>
          <w:lang w:eastAsia="ja-JP"/>
        </w:rPr>
        <w:t xml:space="preserve">with clients </w:t>
      </w:r>
      <w:r w:rsidR="00B81CCB">
        <w:rPr>
          <w:lang w:eastAsia="ja-JP"/>
        </w:rPr>
        <w:t xml:space="preserve">to decrease the risk of financial hardship, </w:t>
      </w:r>
      <w:r>
        <w:rPr>
          <w:lang w:eastAsia="ja-JP"/>
        </w:rPr>
        <w:t>through the provision of preparedness and resilience workshops</w:t>
      </w:r>
      <w:r w:rsidRPr="00F659B6">
        <w:rPr>
          <w:lang w:eastAsia="ja-JP"/>
        </w:rPr>
        <w:t>.</w:t>
      </w:r>
    </w:p>
    <w:p w14:paraId="0C4A90E7" w14:textId="77777777" w:rsidR="00413F16" w:rsidRPr="00F659B6" w:rsidRDefault="00413F16" w:rsidP="00413F16">
      <w:pPr>
        <w:pStyle w:val="Heading4"/>
        <w:rPr>
          <w:lang w:eastAsia="ja-JP"/>
        </w:rPr>
      </w:pPr>
      <w:r w:rsidRPr="00F659B6">
        <w:rPr>
          <w:lang w:eastAsia="ja-JP"/>
        </w:rPr>
        <w:t>Small business support</w:t>
      </w:r>
    </w:p>
    <w:p w14:paraId="00104E3A" w14:textId="6F6D0832" w:rsidR="00517F4E" w:rsidRDefault="00413F16" w:rsidP="00413F16">
      <w:pPr>
        <w:rPr>
          <w:lang w:eastAsia="ja-JP"/>
        </w:rPr>
      </w:pPr>
      <w:r w:rsidRPr="00F659B6">
        <w:rPr>
          <w:lang w:eastAsia="ja-JP"/>
        </w:rPr>
        <w:t xml:space="preserve">The panel heard there was a clear need for financial counselling tailored for small businesses in </w:t>
      </w:r>
      <w:r>
        <w:rPr>
          <w:lang w:eastAsia="ja-JP"/>
        </w:rPr>
        <w:t>rural areas</w:t>
      </w:r>
      <w:r w:rsidRPr="00F659B6">
        <w:rPr>
          <w:lang w:eastAsia="ja-JP"/>
        </w:rPr>
        <w:t xml:space="preserve">. </w:t>
      </w:r>
      <w:r>
        <w:rPr>
          <w:lang w:eastAsia="ja-JP"/>
        </w:rPr>
        <w:t xml:space="preserve">It is well known that </w:t>
      </w:r>
      <w:r w:rsidRPr="00F659B6">
        <w:rPr>
          <w:lang w:eastAsia="ja-JP"/>
        </w:rPr>
        <w:t>primary producers are intrinsically linked</w:t>
      </w:r>
      <w:r w:rsidRPr="00126A3E">
        <w:rPr>
          <w:lang w:eastAsia="ja-JP"/>
        </w:rPr>
        <w:t xml:space="preserve"> </w:t>
      </w:r>
      <w:r>
        <w:rPr>
          <w:lang w:eastAsia="ja-JP"/>
        </w:rPr>
        <w:t>with their local</w:t>
      </w:r>
      <w:r w:rsidRPr="00F659B6">
        <w:rPr>
          <w:lang w:eastAsia="ja-JP"/>
        </w:rPr>
        <w:t xml:space="preserve"> communities</w:t>
      </w:r>
      <w:r w:rsidR="00681539" w:rsidRPr="00681539">
        <w:rPr>
          <w:lang w:eastAsia="ja-JP"/>
        </w:rPr>
        <w:t>. W</w:t>
      </w:r>
      <w:r w:rsidRPr="00681539">
        <w:rPr>
          <w:lang w:eastAsia="ja-JP"/>
        </w:rPr>
        <w:t>hen local industries face a downturn</w:t>
      </w:r>
      <w:r w:rsidR="003319AA" w:rsidRPr="00681539">
        <w:rPr>
          <w:lang w:eastAsia="ja-JP"/>
        </w:rPr>
        <w:t>, small rural businesses also experience hardship</w:t>
      </w:r>
      <w:r w:rsidRPr="00681539">
        <w:rPr>
          <w:lang w:eastAsia="ja-JP"/>
        </w:rPr>
        <w:t>.</w:t>
      </w:r>
      <w:r w:rsidRPr="00F659B6">
        <w:rPr>
          <w:lang w:eastAsia="ja-JP"/>
        </w:rPr>
        <w:t xml:space="preserve"> Several </w:t>
      </w:r>
      <w:r>
        <w:rPr>
          <w:lang w:eastAsia="ja-JP"/>
        </w:rPr>
        <w:t>counsellors</w:t>
      </w:r>
      <w:r w:rsidRPr="00F659B6">
        <w:rPr>
          <w:lang w:eastAsia="ja-JP"/>
        </w:rPr>
        <w:t xml:space="preserve"> noted that small rural or regional businesses are often the last creditors to receive payment from struggling farm businesses.</w:t>
      </w:r>
    </w:p>
    <w:p w14:paraId="65F76BFB" w14:textId="4BFF7EA7" w:rsidR="00517F4E" w:rsidRDefault="00413F16" w:rsidP="00413F16">
      <w:pPr>
        <w:rPr>
          <w:lang w:eastAsia="ja-JP"/>
        </w:rPr>
      </w:pPr>
      <w:r w:rsidRPr="00F659B6">
        <w:rPr>
          <w:lang w:eastAsia="ja-JP"/>
        </w:rPr>
        <w:t xml:space="preserve">The panel received mixed views on the ability of </w:t>
      </w:r>
      <w:r>
        <w:rPr>
          <w:lang w:eastAsia="ja-JP"/>
        </w:rPr>
        <w:t>counsellors</w:t>
      </w:r>
      <w:r w:rsidRPr="00F659B6">
        <w:rPr>
          <w:lang w:eastAsia="ja-JP"/>
        </w:rPr>
        <w:t xml:space="preserve"> to service </w:t>
      </w:r>
      <w:r w:rsidR="00E714CB">
        <w:rPr>
          <w:lang w:eastAsia="ja-JP"/>
        </w:rPr>
        <w:t>other small rural businesses</w:t>
      </w:r>
      <w:r w:rsidRPr="00F659B6">
        <w:rPr>
          <w:lang w:eastAsia="ja-JP"/>
        </w:rPr>
        <w:t xml:space="preserve">. </w:t>
      </w:r>
      <w:r>
        <w:rPr>
          <w:lang w:eastAsia="ja-JP"/>
        </w:rPr>
        <w:t>Some felt</w:t>
      </w:r>
      <w:r w:rsidRPr="00F659B6">
        <w:rPr>
          <w:lang w:eastAsia="ja-JP"/>
        </w:rPr>
        <w:t xml:space="preserve"> that RFCS skillsets are more appropriately </w:t>
      </w:r>
      <w:r w:rsidR="00982099">
        <w:rPr>
          <w:lang w:eastAsia="ja-JP"/>
        </w:rPr>
        <w:t>suited</w:t>
      </w:r>
      <w:r w:rsidR="00982099" w:rsidRPr="00F659B6">
        <w:rPr>
          <w:lang w:eastAsia="ja-JP"/>
        </w:rPr>
        <w:t xml:space="preserve"> </w:t>
      </w:r>
      <w:r w:rsidR="00982099">
        <w:rPr>
          <w:lang w:eastAsia="ja-JP"/>
        </w:rPr>
        <w:t xml:space="preserve">to </w:t>
      </w:r>
      <w:r w:rsidRPr="00F659B6">
        <w:rPr>
          <w:lang w:eastAsia="ja-JP"/>
        </w:rPr>
        <w:t>servicing primary producers</w:t>
      </w:r>
      <w:r>
        <w:rPr>
          <w:lang w:eastAsia="ja-JP"/>
        </w:rPr>
        <w:t>. Others suggested that assisting a business with basic financial</w:t>
      </w:r>
      <w:r w:rsidR="008806A3">
        <w:rPr>
          <w:lang w:eastAsia="ja-JP"/>
        </w:rPr>
        <w:t xml:space="preserve"> skill</w:t>
      </w:r>
      <w:r>
        <w:rPr>
          <w:lang w:eastAsia="ja-JP"/>
        </w:rPr>
        <w:t xml:space="preserve">s </w:t>
      </w:r>
      <w:r w:rsidR="00982099">
        <w:rPr>
          <w:lang w:eastAsia="ja-JP"/>
        </w:rPr>
        <w:t>would be a natural fit for the RFCS</w:t>
      </w:r>
      <w:r>
        <w:rPr>
          <w:lang w:eastAsia="ja-JP"/>
        </w:rPr>
        <w:t>. In many cases, the capacity to service higher demand in peak times</w:t>
      </w:r>
      <w:r w:rsidR="007D38A0">
        <w:rPr>
          <w:lang w:eastAsia="ja-JP"/>
        </w:rPr>
        <w:t xml:space="preserve"> was of concern</w:t>
      </w:r>
      <w:r w:rsidR="008806A3">
        <w:rPr>
          <w:lang w:eastAsia="ja-JP"/>
        </w:rPr>
        <w:t xml:space="preserve"> </w:t>
      </w:r>
      <w:r>
        <w:rPr>
          <w:lang w:eastAsia="ja-JP"/>
        </w:rPr>
        <w:t>rather than the capability of counsellors.</w:t>
      </w:r>
    </w:p>
    <w:p w14:paraId="0B468BA9" w14:textId="672C9F17" w:rsidR="00517F4E" w:rsidRDefault="00413F16" w:rsidP="00413F16">
      <w:pPr>
        <w:rPr>
          <w:lang w:eastAsia="ja-JP"/>
        </w:rPr>
      </w:pPr>
      <w:r>
        <w:rPr>
          <w:lang w:eastAsia="ja-JP"/>
        </w:rPr>
        <w:t>S</w:t>
      </w:r>
      <w:r w:rsidRPr="00F659B6">
        <w:rPr>
          <w:lang w:eastAsia="ja-JP"/>
        </w:rPr>
        <w:t xml:space="preserve">everal state governments indicated that they are currently engaging local RFCS providers to run rural and regional non-farm business counselling pilots through additional funding </w:t>
      </w:r>
      <w:r>
        <w:rPr>
          <w:lang w:eastAsia="ja-JP"/>
        </w:rPr>
        <w:t>for</w:t>
      </w:r>
      <w:r w:rsidRPr="00F659B6">
        <w:rPr>
          <w:lang w:eastAsia="ja-JP"/>
        </w:rPr>
        <w:t xml:space="preserve"> </w:t>
      </w:r>
      <w:r>
        <w:rPr>
          <w:lang w:eastAsia="ja-JP"/>
        </w:rPr>
        <w:t>specialist small business</w:t>
      </w:r>
      <w:r w:rsidRPr="00F659B6">
        <w:rPr>
          <w:lang w:eastAsia="ja-JP"/>
        </w:rPr>
        <w:t xml:space="preserve"> counsellors. </w:t>
      </w:r>
      <w:r w:rsidR="008806A3">
        <w:rPr>
          <w:lang w:eastAsia="ja-JP"/>
        </w:rPr>
        <w:t>E</w:t>
      </w:r>
      <w:r w:rsidRPr="00F659B6">
        <w:rPr>
          <w:lang w:eastAsia="ja-JP"/>
        </w:rPr>
        <w:t>arly indications of the expanded service role were positive, but pilots were still in the early stages of implementation.</w:t>
      </w:r>
    </w:p>
    <w:p w14:paraId="26DE663E" w14:textId="46C40BE4" w:rsidR="006C25A0" w:rsidRDefault="006C25A0" w:rsidP="00413F16">
      <w:pPr>
        <w:rPr>
          <w:lang w:eastAsia="ja-JP"/>
        </w:rPr>
      </w:pPr>
      <w:proofErr w:type="spellStart"/>
      <w:r>
        <w:rPr>
          <w:lang w:eastAsia="ja-JP"/>
        </w:rPr>
        <w:t>ANZ</w:t>
      </w:r>
      <w:proofErr w:type="spellEnd"/>
      <w:r>
        <w:rPr>
          <w:lang w:eastAsia="ja-JP"/>
        </w:rPr>
        <w:t xml:space="preserve">, in partnership with the Financial Counselling Foundation, </w:t>
      </w:r>
      <w:r w:rsidRPr="00681539">
        <w:rPr>
          <w:lang w:eastAsia="ja-JP"/>
        </w:rPr>
        <w:t xml:space="preserve">is also funding </w:t>
      </w:r>
      <w:r w:rsidR="008806A3" w:rsidRPr="00681539">
        <w:rPr>
          <w:lang w:eastAsia="ja-JP"/>
        </w:rPr>
        <w:t xml:space="preserve">specialist counselling services for small rural businesses through </w:t>
      </w:r>
      <w:r w:rsidRPr="00681539">
        <w:rPr>
          <w:lang w:eastAsia="ja-JP"/>
        </w:rPr>
        <w:t xml:space="preserve">a limited program across several </w:t>
      </w:r>
      <w:r w:rsidR="007076F3" w:rsidRPr="00681539">
        <w:rPr>
          <w:lang w:eastAsia="ja-JP"/>
        </w:rPr>
        <w:t xml:space="preserve">RFCS </w:t>
      </w:r>
      <w:r w:rsidR="00C77696" w:rsidRPr="00681539">
        <w:rPr>
          <w:lang w:eastAsia="ja-JP"/>
        </w:rPr>
        <w:t>r</w:t>
      </w:r>
      <w:r w:rsidRPr="00681539">
        <w:rPr>
          <w:lang w:eastAsia="ja-JP"/>
        </w:rPr>
        <w:t>egions</w:t>
      </w:r>
      <w:r w:rsidR="00C77696" w:rsidRPr="00681539">
        <w:rPr>
          <w:lang w:eastAsia="ja-JP"/>
        </w:rPr>
        <w:t>.</w:t>
      </w:r>
    </w:p>
    <w:p w14:paraId="3D120CD3" w14:textId="2DBDD589" w:rsidR="00413F16" w:rsidRPr="00F659B6" w:rsidRDefault="00413F16" w:rsidP="00413F16">
      <w:pPr>
        <w:rPr>
          <w:lang w:eastAsia="ja-JP"/>
        </w:rPr>
      </w:pPr>
      <w:r>
        <w:rPr>
          <w:lang w:eastAsia="ja-JP"/>
        </w:rPr>
        <w:t>Some counsellors noted that small businesses</w:t>
      </w:r>
      <w:r w:rsidR="005B41DF">
        <w:rPr>
          <w:lang w:eastAsia="ja-JP"/>
        </w:rPr>
        <w:t>—unlike primary producers—</w:t>
      </w:r>
      <w:r>
        <w:rPr>
          <w:lang w:eastAsia="ja-JP"/>
        </w:rPr>
        <w:t>would have limited access to government support measures, restricting the options available to clients in hardship.</w:t>
      </w:r>
    </w:p>
    <w:p w14:paraId="7882BE76" w14:textId="4CD5EE30" w:rsidR="00413F16" w:rsidRPr="00F659B6" w:rsidRDefault="00413F16" w:rsidP="00413F16">
      <w:pPr>
        <w:rPr>
          <w:lang w:eastAsia="ja-JP"/>
        </w:rPr>
      </w:pPr>
      <w:r w:rsidRPr="00F659B6">
        <w:rPr>
          <w:lang w:eastAsia="ja-JP"/>
        </w:rPr>
        <w:t xml:space="preserve">The review panel notes that the </w:t>
      </w:r>
      <w:r w:rsidR="00A352CB">
        <w:rPr>
          <w:lang w:eastAsia="ja-JP"/>
        </w:rPr>
        <w:t>Australian G</w:t>
      </w:r>
      <w:r w:rsidRPr="00F659B6">
        <w:rPr>
          <w:lang w:eastAsia="ja-JP"/>
        </w:rPr>
        <w:t>overnment</w:t>
      </w:r>
      <w:r>
        <w:rPr>
          <w:lang w:eastAsia="ja-JP"/>
        </w:rPr>
        <w:t xml:space="preserve"> made a commitment</w:t>
      </w:r>
      <w:r w:rsidRPr="00F659B6">
        <w:rPr>
          <w:lang w:eastAsia="ja-JP"/>
        </w:rPr>
        <w:t xml:space="preserve"> </w:t>
      </w:r>
      <w:r w:rsidR="005B41DF" w:rsidRPr="00F659B6">
        <w:rPr>
          <w:lang w:eastAsia="ja-JP"/>
        </w:rPr>
        <w:t xml:space="preserve">during the 2019 election campaign </w:t>
      </w:r>
      <w:r w:rsidRPr="00F659B6">
        <w:rPr>
          <w:lang w:eastAsia="ja-JP"/>
        </w:rPr>
        <w:t xml:space="preserve">to </w:t>
      </w:r>
      <w:r>
        <w:rPr>
          <w:lang w:eastAsia="ja-JP"/>
        </w:rPr>
        <w:t>fund</w:t>
      </w:r>
      <w:r w:rsidRPr="00F659B6">
        <w:rPr>
          <w:lang w:eastAsia="ja-JP"/>
        </w:rPr>
        <w:t xml:space="preserve"> addition</w:t>
      </w:r>
      <w:r w:rsidR="00E714CB">
        <w:rPr>
          <w:lang w:eastAsia="ja-JP"/>
        </w:rPr>
        <w:t xml:space="preserve">al </w:t>
      </w:r>
      <w:r w:rsidRPr="00F659B6">
        <w:rPr>
          <w:lang w:eastAsia="ja-JP"/>
        </w:rPr>
        <w:t xml:space="preserve">financial counselling services </w:t>
      </w:r>
      <w:r>
        <w:rPr>
          <w:lang w:eastAsia="ja-JP"/>
        </w:rPr>
        <w:t>for</w:t>
      </w:r>
      <w:r w:rsidRPr="00F659B6">
        <w:rPr>
          <w:lang w:eastAsia="ja-JP"/>
        </w:rPr>
        <w:t xml:space="preserve"> small rural and regional businesses.</w:t>
      </w:r>
      <w:r>
        <w:rPr>
          <w:lang w:eastAsia="ja-JP"/>
        </w:rPr>
        <w:t xml:space="preserve"> No recommendations are made on this issue.</w:t>
      </w:r>
    </w:p>
    <w:p w14:paraId="4AD19D77" w14:textId="77777777" w:rsidR="00413F16" w:rsidRPr="00F659B6" w:rsidRDefault="00413F16" w:rsidP="00413F16">
      <w:pPr>
        <w:pStyle w:val="Heading4"/>
        <w:rPr>
          <w:lang w:eastAsia="ja-JP"/>
        </w:rPr>
      </w:pPr>
      <w:r w:rsidRPr="00F659B6">
        <w:rPr>
          <w:lang w:eastAsia="ja-JP"/>
        </w:rPr>
        <w:t>Preparedness</w:t>
      </w:r>
    </w:p>
    <w:p w14:paraId="4417C8D3" w14:textId="461F7583" w:rsidR="00517F4E" w:rsidRDefault="00413F16" w:rsidP="00413F16">
      <w:pPr>
        <w:rPr>
          <w:lang w:eastAsia="ja-JP"/>
        </w:rPr>
      </w:pPr>
      <w:r>
        <w:rPr>
          <w:lang w:eastAsia="ja-JP"/>
        </w:rPr>
        <w:t>The review panel was particularly interested in opportunities for RFCS services to engage further in preparedness and resili</w:t>
      </w:r>
      <w:r w:rsidR="00CD7E29">
        <w:rPr>
          <w:lang w:eastAsia="ja-JP"/>
        </w:rPr>
        <w:t xml:space="preserve">ence activities, noting the </w:t>
      </w:r>
      <w:r>
        <w:rPr>
          <w:lang w:eastAsia="ja-JP"/>
        </w:rPr>
        <w:t>department</w:t>
      </w:r>
      <w:r w:rsidR="00736B18">
        <w:rPr>
          <w:lang w:eastAsia="ja-JP"/>
        </w:rPr>
        <w:t>'</w:t>
      </w:r>
      <w:r>
        <w:rPr>
          <w:lang w:eastAsia="ja-JP"/>
        </w:rPr>
        <w:t>s goal of creating a</w:t>
      </w:r>
      <w:r w:rsidR="00E714CB">
        <w:rPr>
          <w:lang w:eastAsia="ja-JP"/>
        </w:rPr>
        <w:t xml:space="preserve"> more</w:t>
      </w:r>
      <w:r>
        <w:rPr>
          <w:lang w:eastAsia="ja-JP"/>
        </w:rPr>
        <w:t xml:space="preserve"> competitive and resilient agricultural sector.</w:t>
      </w:r>
    </w:p>
    <w:p w14:paraId="53905ABE" w14:textId="2D820A27" w:rsidR="00517F4E" w:rsidRDefault="00EF171C" w:rsidP="00064020">
      <w:pPr>
        <w:rPr>
          <w:lang w:eastAsia="ja-JP"/>
        </w:rPr>
      </w:pPr>
      <w:r>
        <w:rPr>
          <w:lang w:eastAsia="ja-JP"/>
        </w:rPr>
        <w:t>C</w:t>
      </w:r>
      <w:r w:rsidR="00413F16" w:rsidRPr="002A4CC2">
        <w:rPr>
          <w:lang w:eastAsia="ja-JP"/>
        </w:rPr>
        <w:t>urrent program settings allow for clients that are</w:t>
      </w:r>
      <w:r w:rsidR="00517F4E">
        <w:rPr>
          <w:lang w:eastAsia="ja-JP"/>
        </w:rPr>
        <w:t xml:space="preserve"> </w:t>
      </w:r>
      <w:r w:rsidR="00736B18">
        <w:rPr>
          <w:lang w:eastAsia="ja-JP"/>
        </w:rPr>
        <w:t>'</w:t>
      </w:r>
      <w:r w:rsidR="007D38A0">
        <w:rPr>
          <w:lang w:eastAsia="ja-JP"/>
        </w:rPr>
        <w:t>at</w:t>
      </w:r>
      <w:r w:rsidR="00413F16" w:rsidRPr="002A4CC2">
        <w:rPr>
          <w:lang w:eastAsia="ja-JP"/>
        </w:rPr>
        <w:t xml:space="preserve"> imminent risk of</w:t>
      </w:r>
      <w:r w:rsidR="00736B18">
        <w:rPr>
          <w:lang w:eastAsia="ja-JP"/>
        </w:rPr>
        <w:t>'</w:t>
      </w:r>
      <w:r w:rsidR="00413F16" w:rsidRPr="002A4CC2">
        <w:rPr>
          <w:lang w:eastAsia="ja-JP"/>
        </w:rPr>
        <w:t xml:space="preserve"> financial</w:t>
      </w:r>
      <w:r w:rsidR="00413F16">
        <w:rPr>
          <w:lang w:eastAsia="ja-JP"/>
        </w:rPr>
        <w:t xml:space="preserve"> hardship</w:t>
      </w:r>
      <w:r>
        <w:rPr>
          <w:lang w:eastAsia="ja-JP"/>
        </w:rPr>
        <w:t>; however</w:t>
      </w:r>
      <w:r w:rsidR="00413F16">
        <w:rPr>
          <w:lang w:eastAsia="ja-JP"/>
        </w:rPr>
        <w:t>, service providers interpreted this narrowly.</w:t>
      </w:r>
    </w:p>
    <w:p w14:paraId="28AB2515" w14:textId="24EB75B6" w:rsidR="00413F16" w:rsidRPr="00F659B6" w:rsidRDefault="00EF171C" w:rsidP="00413F16">
      <w:pPr>
        <w:rPr>
          <w:lang w:eastAsia="ja-JP"/>
        </w:rPr>
      </w:pPr>
      <w:r>
        <w:rPr>
          <w:lang w:eastAsia="ja-JP"/>
        </w:rPr>
        <w:lastRenderedPageBreak/>
        <w:t>S</w:t>
      </w:r>
      <w:r w:rsidR="00413F16" w:rsidRPr="00F659B6">
        <w:rPr>
          <w:lang w:eastAsia="ja-JP"/>
        </w:rPr>
        <w:t xml:space="preserve">takeholders </w:t>
      </w:r>
      <w:r>
        <w:rPr>
          <w:lang w:eastAsia="ja-JP"/>
        </w:rPr>
        <w:t xml:space="preserve">supported broadened </w:t>
      </w:r>
      <w:r w:rsidR="00413F16" w:rsidRPr="00F659B6">
        <w:rPr>
          <w:lang w:eastAsia="ja-JP"/>
        </w:rPr>
        <w:t>e</w:t>
      </w:r>
      <w:r w:rsidR="00064020">
        <w:rPr>
          <w:lang w:eastAsia="ja-JP"/>
        </w:rPr>
        <w:t xml:space="preserve">ligibility. Early intervention would </w:t>
      </w:r>
      <w:r w:rsidR="00064020" w:rsidRPr="00F659B6">
        <w:rPr>
          <w:lang w:eastAsia="ja-JP"/>
        </w:rPr>
        <w:t xml:space="preserve">provide </w:t>
      </w:r>
      <w:r w:rsidR="00064020">
        <w:rPr>
          <w:lang w:eastAsia="ja-JP"/>
        </w:rPr>
        <w:t xml:space="preserve">counsellors more options when </w:t>
      </w:r>
      <w:r w:rsidR="00413F16" w:rsidRPr="00F659B6">
        <w:rPr>
          <w:lang w:eastAsia="ja-JP"/>
        </w:rPr>
        <w:t xml:space="preserve">servicing </w:t>
      </w:r>
      <w:r w:rsidR="00FD5C30">
        <w:rPr>
          <w:lang w:eastAsia="ja-JP"/>
        </w:rPr>
        <w:t>new clients</w:t>
      </w:r>
      <w:r w:rsidR="00064020">
        <w:rPr>
          <w:lang w:eastAsia="ja-JP"/>
        </w:rPr>
        <w:t xml:space="preserve">. It could also </w:t>
      </w:r>
      <w:r w:rsidR="00413F16" w:rsidRPr="00F659B6">
        <w:rPr>
          <w:lang w:eastAsia="ja-JP"/>
        </w:rPr>
        <w:t xml:space="preserve">increase farmer resilience </w:t>
      </w:r>
      <w:r w:rsidR="00DB2BFF">
        <w:rPr>
          <w:lang w:eastAsia="ja-JP"/>
        </w:rPr>
        <w:t>by improving</w:t>
      </w:r>
      <w:r w:rsidR="00413F16">
        <w:rPr>
          <w:lang w:eastAsia="ja-JP"/>
        </w:rPr>
        <w:t xml:space="preserve"> </w:t>
      </w:r>
      <w:r w:rsidR="00413F16" w:rsidRPr="00F659B6">
        <w:rPr>
          <w:lang w:eastAsia="ja-JP"/>
        </w:rPr>
        <w:t>financial literacy</w:t>
      </w:r>
      <w:r w:rsidR="00413F16">
        <w:rPr>
          <w:lang w:eastAsia="ja-JP"/>
        </w:rPr>
        <w:t>, promoting long-term business planning and following up on previous clients to ensure they are continuing to make improvements</w:t>
      </w:r>
      <w:r w:rsidR="00413F16" w:rsidRPr="00F659B6">
        <w:rPr>
          <w:lang w:eastAsia="ja-JP"/>
        </w:rPr>
        <w:t xml:space="preserve">. Stakeholders indicated that delivery could be flexible, from financial literacy training in small groups to one-on-one </w:t>
      </w:r>
      <w:r w:rsidR="00413F16">
        <w:rPr>
          <w:lang w:eastAsia="ja-JP"/>
        </w:rPr>
        <w:t>coaching</w:t>
      </w:r>
      <w:r w:rsidR="00413F16" w:rsidRPr="00F659B6">
        <w:rPr>
          <w:lang w:eastAsia="ja-JP"/>
        </w:rPr>
        <w:t xml:space="preserve"> over a limited period.</w:t>
      </w:r>
    </w:p>
    <w:p w14:paraId="72DA24C9" w14:textId="7C214317" w:rsidR="00517F4E" w:rsidRDefault="00413F16" w:rsidP="00413F16">
      <w:pPr>
        <w:rPr>
          <w:lang w:eastAsia="ja-JP"/>
        </w:rPr>
      </w:pPr>
      <w:r w:rsidRPr="00DE6948">
        <w:rPr>
          <w:lang w:eastAsia="ja-JP"/>
        </w:rPr>
        <w:t>Competitive neutrality with similar fee-for-service providers was raised as a concern if the RFCS program increased eligibility. That is, if the government provided subsidised financial counselling to profitable or semi-profitable primary producers, the program may impact on the private professional services market. Some service</w:t>
      </w:r>
      <w:r w:rsidR="002618C3" w:rsidRPr="00DE6948">
        <w:rPr>
          <w:lang w:eastAsia="ja-JP"/>
        </w:rPr>
        <w:t xml:space="preserve"> providers</w:t>
      </w:r>
      <w:r w:rsidRPr="00DE6948">
        <w:rPr>
          <w:lang w:eastAsia="ja-JP"/>
        </w:rPr>
        <w:t xml:space="preserve"> indicated that this would </w:t>
      </w:r>
      <w:r w:rsidR="00681539" w:rsidRPr="00DE6948">
        <w:rPr>
          <w:lang w:eastAsia="ja-JP"/>
        </w:rPr>
        <w:t xml:space="preserve">not </w:t>
      </w:r>
      <w:r w:rsidRPr="00DE6948">
        <w:rPr>
          <w:lang w:eastAsia="ja-JP"/>
        </w:rPr>
        <w:t xml:space="preserve">represent a significant problem in regional areas, </w:t>
      </w:r>
      <w:r w:rsidR="00681539" w:rsidRPr="00DE6948">
        <w:rPr>
          <w:lang w:eastAsia="ja-JP"/>
        </w:rPr>
        <w:t xml:space="preserve">because </w:t>
      </w:r>
      <w:r w:rsidR="00E714CB" w:rsidRPr="00DE6948">
        <w:rPr>
          <w:lang w:eastAsia="ja-JP"/>
        </w:rPr>
        <w:t>the availability of such education services</w:t>
      </w:r>
      <w:r w:rsidR="00681539" w:rsidRPr="00DE6948">
        <w:rPr>
          <w:lang w:eastAsia="ja-JP"/>
        </w:rPr>
        <w:t xml:space="preserve"> is</w:t>
      </w:r>
      <w:r w:rsidRPr="00DE6948">
        <w:rPr>
          <w:lang w:eastAsia="ja-JP"/>
        </w:rPr>
        <w:t xml:space="preserve"> more limited. However, </w:t>
      </w:r>
      <w:r w:rsidR="00681539" w:rsidRPr="00DE6948">
        <w:rPr>
          <w:lang w:eastAsia="ja-JP"/>
        </w:rPr>
        <w:t>the panel</w:t>
      </w:r>
      <w:r w:rsidRPr="00DE6948">
        <w:rPr>
          <w:lang w:eastAsia="ja-JP"/>
        </w:rPr>
        <w:t xml:space="preserve"> noted that the RFCS was not the only </w:t>
      </w:r>
      <w:r w:rsidR="00123704">
        <w:rPr>
          <w:lang w:eastAsia="ja-JP"/>
        </w:rPr>
        <w:t xml:space="preserve">delivery </w:t>
      </w:r>
      <w:r w:rsidRPr="00DE6948">
        <w:rPr>
          <w:lang w:eastAsia="ja-JP"/>
        </w:rPr>
        <w:t xml:space="preserve">option </w:t>
      </w:r>
      <w:r w:rsidR="00123704">
        <w:rPr>
          <w:lang w:eastAsia="ja-JP"/>
        </w:rPr>
        <w:t>and</w:t>
      </w:r>
      <w:r w:rsidRPr="00DE6948">
        <w:rPr>
          <w:lang w:eastAsia="ja-JP"/>
        </w:rPr>
        <w:t xml:space="preserve"> such services</w:t>
      </w:r>
      <w:r w:rsidR="002763FB">
        <w:rPr>
          <w:lang w:eastAsia="ja-JP"/>
        </w:rPr>
        <w:t xml:space="preserve"> </w:t>
      </w:r>
      <w:r w:rsidRPr="00DE6948">
        <w:rPr>
          <w:lang w:eastAsia="ja-JP"/>
        </w:rPr>
        <w:t>could be funded and delivered separately.</w:t>
      </w:r>
    </w:p>
    <w:p w14:paraId="48BA5F29" w14:textId="4A6545B0" w:rsidR="00413F16" w:rsidRPr="00F659B6" w:rsidRDefault="003A15F6" w:rsidP="00413F16">
      <w:pPr>
        <w:rPr>
          <w:lang w:eastAsia="ja-JP"/>
        </w:rPr>
      </w:pPr>
      <w:r>
        <w:rPr>
          <w:lang w:eastAsia="ja-JP"/>
        </w:rPr>
        <w:t>T</w:t>
      </w:r>
      <w:r w:rsidR="00602E79">
        <w:rPr>
          <w:lang w:eastAsia="ja-JP"/>
        </w:rPr>
        <w:t xml:space="preserve">he </w:t>
      </w:r>
      <w:r w:rsidR="00602E79" w:rsidRPr="006F2FAF">
        <w:rPr>
          <w:lang w:eastAsia="ja-JP"/>
        </w:rPr>
        <w:t xml:space="preserve">Future Drought Fund </w:t>
      </w:r>
      <w:r w:rsidR="00602E79">
        <w:rPr>
          <w:lang w:eastAsia="ja-JP"/>
        </w:rPr>
        <w:t xml:space="preserve">will support </w:t>
      </w:r>
      <w:r w:rsidR="00602E79" w:rsidRPr="00F32722">
        <w:rPr>
          <w:lang w:eastAsia="ja-JP"/>
        </w:rPr>
        <w:t>Australian farmers and communities to become more prepared for</w:t>
      </w:r>
      <w:r>
        <w:rPr>
          <w:lang w:eastAsia="ja-JP"/>
        </w:rPr>
        <w:t>—</w:t>
      </w:r>
      <w:r w:rsidR="00602E79" w:rsidRPr="00F32722">
        <w:rPr>
          <w:lang w:eastAsia="ja-JP"/>
        </w:rPr>
        <w:t>and resilient to</w:t>
      </w:r>
      <w:r>
        <w:rPr>
          <w:lang w:eastAsia="ja-JP"/>
        </w:rPr>
        <w:t>—</w:t>
      </w:r>
      <w:r w:rsidR="00602E79" w:rsidRPr="00F32722">
        <w:rPr>
          <w:lang w:eastAsia="ja-JP"/>
        </w:rPr>
        <w:t>the effects of drought</w:t>
      </w:r>
      <w:r>
        <w:rPr>
          <w:lang w:eastAsia="ja-JP"/>
        </w:rPr>
        <w:t>,</w:t>
      </w:r>
      <w:r w:rsidR="00602E79">
        <w:rPr>
          <w:lang w:eastAsia="ja-JP"/>
        </w:rPr>
        <w:t xml:space="preserve"> through a variety of programs</w:t>
      </w:r>
      <w:r>
        <w:rPr>
          <w:lang w:eastAsia="ja-JP"/>
        </w:rPr>
        <w:t>. F</w:t>
      </w:r>
      <w:r w:rsidR="002B7BD2">
        <w:rPr>
          <w:lang w:eastAsia="ja-JP"/>
        </w:rPr>
        <w:t>rom 1 </w:t>
      </w:r>
      <w:r w:rsidR="00602E79" w:rsidRPr="00F32722">
        <w:rPr>
          <w:lang w:eastAsia="ja-JP"/>
        </w:rPr>
        <w:t>July 2020</w:t>
      </w:r>
      <w:r w:rsidR="002B0C94">
        <w:rPr>
          <w:lang w:eastAsia="ja-JP"/>
        </w:rPr>
        <w:t>,</w:t>
      </w:r>
      <w:r w:rsidR="00602E79">
        <w:rPr>
          <w:lang w:eastAsia="ja-JP"/>
        </w:rPr>
        <w:t xml:space="preserve"> </w:t>
      </w:r>
      <w:r w:rsidR="002B7BD2">
        <w:rPr>
          <w:lang w:eastAsia="ja-JP"/>
        </w:rPr>
        <w:t>$100 </w:t>
      </w:r>
      <w:r w:rsidR="00602E79" w:rsidRPr="00CE729E">
        <w:rPr>
          <w:lang w:eastAsia="ja-JP"/>
        </w:rPr>
        <w:t xml:space="preserve">million will be available </w:t>
      </w:r>
      <w:r w:rsidR="002B0C94">
        <w:rPr>
          <w:lang w:eastAsia="ja-JP"/>
        </w:rPr>
        <w:t xml:space="preserve">annually </w:t>
      </w:r>
      <w:r w:rsidR="00602E79">
        <w:rPr>
          <w:lang w:eastAsia="ja-JP"/>
        </w:rPr>
        <w:t xml:space="preserve">to fund grants or other programs in line with the </w:t>
      </w:r>
      <w:r w:rsidR="00602E79" w:rsidRPr="006F2FAF">
        <w:rPr>
          <w:lang w:eastAsia="ja-JP"/>
        </w:rPr>
        <w:t>Drought Resilience Funding Plan</w:t>
      </w:r>
      <w:r w:rsidR="00602E79">
        <w:rPr>
          <w:lang w:eastAsia="ja-JP"/>
        </w:rPr>
        <w:t xml:space="preserve"> (to be developed following a public consultation process).</w:t>
      </w:r>
    </w:p>
    <w:p w14:paraId="26124D33" w14:textId="53710DDB" w:rsidR="008266E3" w:rsidRDefault="00413F16" w:rsidP="00E62C47">
      <w:pPr>
        <w:rPr>
          <w:lang w:eastAsia="ja-JP"/>
        </w:rPr>
      </w:pPr>
      <w:r w:rsidRPr="00F659B6">
        <w:rPr>
          <w:lang w:eastAsia="ja-JP"/>
        </w:rPr>
        <w:t>It is the panel</w:t>
      </w:r>
      <w:r w:rsidR="00736B18">
        <w:rPr>
          <w:lang w:eastAsia="ja-JP"/>
        </w:rPr>
        <w:t>'</w:t>
      </w:r>
      <w:r w:rsidRPr="00F659B6">
        <w:rPr>
          <w:lang w:eastAsia="ja-JP"/>
        </w:rPr>
        <w:t xml:space="preserve">s view that that RFCS is well placed to deliver early intervention and broad financial literacy activities to clients </w:t>
      </w:r>
      <w:r w:rsidR="002B0C94">
        <w:rPr>
          <w:lang w:eastAsia="ja-JP"/>
        </w:rPr>
        <w:t>who</w:t>
      </w:r>
      <w:r w:rsidRPr="00F659B6">
        <w:rPr>
          <w:lang w:eastAsia="ja-JP"/>
        </w:rPr>
        <w:t xml:space="preserve"> may</w:t>
      </w:r>
      <w:r w:rsidR="002B0C94">
        <w:rPr>
          <w:lang w:eastAsia="ja-JP"/>
        </w:rPr>
        <w:t xml:space="preserve"> </w:t>
      </w:r>
      <w:r w:rsidR="00806523">
        <w:rPr>
          <w:lang w:eastAsia="ja-JP"/>
        </w:rPr>
        <w:t>experience</w:t>
      </w:r>
      <w:r w:rsidRPr="00F659B6">
        <w:rPr>
          <w:lang w:eastAsia="ja-JP"/>
        </w:rPr>
        <w:t xml:space="preserve"> hardship. </w:t>
      </w:r>
      <w:r w:rsidR="002B0C94">
        <w:rPr>
          <w:lang w:eastAsia="ja-JP"/>
        </w:rPr>
        <w:t>T</w:t>
      </w:r>
      <w:r w:rsidRPr="00F659B6">
        <w:rPr>
          <w:lang w:eastAsia="ja-JP"/>
        </w:rPr>
        <w:t xml:space="preserve">he terms of the current funding round </w:t>
      </w:r>
      <w:r w:rsidR="002B0C94">
        <w:rPr>
          <w:lang w:eastAsia="ja-JP"/>
        </w:rPr>
        <w:t>cover</w:t>
      </w:r>
      <w:r w:rsidRPr="00F659B6">
        <w:rPr>
          <w:lang w:eastAsia="ja-JP"/>
        </w:rPr>
        <w:t xml:space="preserve"> </w:t>
      </w:r>
      <w:r>
        <w:rPr>
          <w:lang w:eastAsia="ja-JP"/>
        </w:rPr>
        <w:t xml:space="preserve">some of these activities </w:t>
      </w:r>
      <w:r w:rsidRPr="00F659B6">
        <w:rPr>
          <w:lang w:eastAsia="ja-JP"/>
        </w:rPr>
        <w:t xml:space="preserve">by allowing for those who are </w:t>
      </w:r>
      <w:r w:rsidRPr="002A4CC2">
        <w:rPr>
          <w:lang w:eastAsia="ja-JP"/>
        </w:rPr>
        <w:t>at</w:t>
      </w:r>
      <w:r w:rsidR="00517F4E">
        <w:rPr>
          <w:lang w:eastAsia="ja-JP"/>
        </w:rPr>
        <w:t xml:space="preserve"> </w:t>
      </w:r>
      <w:r w:rsidR="00736B18">
        <w:rPr>
          <w:lang w:eastAsia="ja-JP"/>
        </w:rPr>
        <w:t>'</w:t>
      </w:r>
      <w:r w:rsidRPr="002A4CC2">
        <w:rPr>
          <w:lang w:eastAsia="ja-JP"/>
        </w:rPr>
        <w:t>imminent risk of</w:t>
      </w:r>
      <w:r w:rsidR="00736B18">
        <w:rPr>
          <w:lang w:eastAsia="ja-JP"/>
        </w:rPr>
        <w:t>'</w:t>
      </w:r>
      <w:r w:rsidR="00745579">
        <w:rPr>
          <w:lang w:eastAsia="ja-JP"/>
        </w:rPr>
        <w:t xml:space="preserve"> </w:t>
      </w:r>
      <w:r w:rsidRPr="00F659B6">
        <w:rPr>
          <w:lang w:eastAsia="ja-JP"/>
        </w:rPr>
        <w:t>financial hardship</w:t>
      </w:r>
      <w:r w:rsidR="002B0C94">
        <w:rPr>
          <w:lang w:eastAsia="ja-JP"/>
        </w:rPr>
        <w:t>. However</w:t>
      </w:r>
      <w:r w:rsidRPr="00F659B6">
        <w:rPr>
          <w:lang w:eastAsia="ja-JP"/>
        </w:rPr>
        <w:t xml:space="preserve">, this has not translated </w:t>
      </w:r>
      <w:proofErr w:type="gramStart"/>
      <w:r w:rsidRPr="00F659B6">
        <w:rPr>
          <w:lang w:eastAsia="ja-JP"/>
        </w:rPr>
        <w:t>to</w:t>
      </w:r>
      <w:proofErr w:type="gramEnd"/>
      <w:r w:rsidRPr="00F659B6">
        <w:rPr>
          <w:lang w:eastAsia="ja-JP"/>
        </w:rPr>
        <w:t xml:space="preserve"> </w:t>
      </w:r>
      <w:r w:rsidR="001D47C9">
        <w:rPr>
          <w:lang w:eastAsia="ja-JP"/>
        </w:rPr>
        <w:t>many</w:t>
      </w:r>
      <w:r w:rsidR="00E714CB">
        <w:rPr>
          <w:lang w:eastAsia="ja-JP"/>
        </w:rPr>
        <w:t xml:space="preserve"> </w:t>
      </w:r>
      <w:r w:rsidRPr="00F659B6">
        <w:rPr>
          <w:lang w:eastAsia="ja-JP"/>
        </w:rPr>
        <w:t xml:space="preserve">on-the-ground activities, including </w:t>
      </w:r>
      <w:r>
        <w:rPr>
          <w:lang w:eastAsia="ja-JP"/>
        </w:rPr>
        <w:t xml:space="preserve">through </w:t>
      </w:r>
      <w:r w:rsidRPr="00F659B6">
        <w:rPr>
          <w:lang w:eastAsia="ja-JP"/>
        </w:rPr>
        <w:t>case management.</w:t>
      </w:r>
      <w:r w:rsidR="00234996">
        <w:rPr>
          <w:lang w:eastAsia="ja-JP"/>
        </w:rPr>
        <w:t xml:space="preserve"> This group would need to be carefully screened for eligibility to ensure clients who are capable of paying for professional support are not gaining access to the government-funded support. This delineation is also important </w:t>
      </w:r>
      <w:r w:rsidR="002B0C94">
        <w:rPr>
          <w:lang w:eastAsia="ja-JP"/>
        </w:rPr>
        <w:t xml:space="preserve">to ensure the RFCS program competes fairly </w:t>
      </w:r>
      <w:r w:rsidR="00234996">
        <w:rPr>
          <w:lang w:eastAsia="ja-JP"/>
        </w:rPr>
        <w:t>with fee-for</w:t>
      </w:r>
      <w:r w:rsidR="008266E3">
        <w:rPr>
          <w:lang w:eastAsia="ja-JP"/>
        </w:rPr>
        <w:t>-</w:t>
      </w:r>
      <w:r w:rsidR="00234996">
        <w:rPr>
          <w:lang w:eastAsia="ja-JP"/>
        </w:rPr>
        <w:t>service providers.</w:t>
      </w:r>
    </w:p>
    <w:p w14:paraId="553DE659" w14:textId="5B37A960" w:rsidR="00413F16" w:rsidRPr="00A33C3A" w:rsidRDefault="001E153D" w:rsidP="00A33C3A">
      <w:pPr>
        <w:pStyle w:val="BoxHeading"/>
      </w:pPr>
      <w:r w:rsidRPr="00A33C3A">
        <w:t>Recommendation</w:t>
      </w:r>
      <w:r w:rsidR="00A33C3A">
        <w:t xml:space="preserve"> 4</w:t>
      </w:r>
    </w:p>
    <w:p w14:paraId="138DBBA8" w14:textId="332D6705" w:rsidR="00595768" w:rsidRPr="00A33C3A" w:rsidRDefault="00623BB6" w:rsidP="00A33C3A">
      <w:pPr>
        <w:pStyle w:val="BoxText"/>
      </w:pPr>
      <w:r w:rsidRPr="00A33C3A">
        <w:t>That the role of the RFCS more explicitly allows for preparedness and resilience activities, as capacity of the service permits. Client eligibility should be broadened to those</w:t>
      </w:r>
      <w:r w:rsidR="00517F4E" w:rsidRPr="00A33C3A">
        <w:t xml:space="preserve"> </w:t>
      </w:r>
      <w:r w:rsidR="00736B18">
        <w:t>'</w:t>
      </w:r>
      <w:r w:rsidRPr="00A33C3A">
        <w:t>at risk</w:t>
      </w:r>
      <w:r w:rsidR="00736B18">
        <w:t>'</w:t>
      </w:r>
      <w:r w:rsidRPr="00A33C3A">
        <w:t xml:space="preserve"> of financial hardship (rather than only those</w:t>
      </w:r>
      <w:r w:rsidR="00517F4E" w:rsidRPr="00A33C3A">
        <w:t xml:space="preserve"> </w:t>
      </w:r>
      <w:r w:rsidR="00736B18">
        <w:t>'</w:t>
      </w:r>
      <w:r w:rsidRPr="00A33C3A">
        <w:t>at imminent risk</w:t>
      </w:r>
      <w:r w:rsidR="00736B18">
        <w:t>'</w:t>
      </w:r>
      <w:r w:rsidRPr="00A33C3A">
        <w:t xml:space="preserve"> of financial hardship</w:t>
      </w:r>
      <w:r w:rsidR="004971CB" w:rsidRPr="00A33C3A">
        <w:t>)</w:t>
      </w:r>
      <w:r w:rsidRPr="00A33C3A">
        <w:t>, as well as core clients who are already experiencing financial hardship.</w:t>
      </w:r>
    </w:p>
    <w:p w14:paraId="195B52E2" w14:textId="6CE5D82D" w:rsidR="002035FB" w:rsidRDefault="002035FB" w:rsidP="006B25D1">
      <w:pPr>
        <w:pStyle w:val="Heading2"/>
      </w:pPr>
      <w:bookmarkStart w:id="29" w:name="_Toc18328848"/>
      <w:r>
        <w:lastRenderedPageBreak/>
        <w:t>Service structure</w:t>
      </w:r>
      <w:bookmarkEnd w:id="29"/>
    </w:p>
    <w:p w14:paraId="03B891FD" w14:textId="01522923" w:rsidR="00517F4E" w:rsidRDefault="00D01659" w:rsidP="005C2F46">
      <w:pPr>
        <w:rPr>
          <w:szCs w:val="20"/>
        </w:rPr>
      </w:pPr>
      <w:r>
        <w:rPr>
          <w:lang w:eastAsia="ja-JP"/>
        </w:rPr>
        <w:t xml:space="preserve">Over </w:t>
      </w:r>
      <w:r w:rsidRPr="002A4CC2">
        <w:rPr>
          <w:lang w:eastAsia="ja-JP"/>
        </w:rPr>
        <w:t xml:space="preserve">the </w:t>
      </w:r>
      <w:r w:rsidR="00F13F30">
        <w:rPr>
          <w:lang w:eastAsia="ja-JP"/>
        </w:rPr>
        <w:t>3</w:t>
      </w:r>
      <w:r w:rsidRPr="002A4CC2">
        <w:rPr>
          <w:lang w:eastAsia="ja-JP"/>
        </w:rPr>
        <w:t xml:space="preserve"> decades that the RFCS has operated, </w:t>
      </w:r>
      <w:r w:rsidR="007735A2" w:rsidRPr="002A4CC2">
        <w:rPr>
          <w:lang w:eastAsia="ja-JP"/>
        </w:rPr>
        <w:t>there has been significant change</w:t>
      </w:r>
      <w:r w:rsidRPr="002A4CC2">
        <w:rPr>
          <w:lang w:eastAsia="ja-JP"/>
        </w:rPr>
        <w:t xml:space="preserve"> in the structure of the service. In</w:t>
      </w:r>
      <w:r w:rsidRPr="002A4CC2">
        <w:t xml:space="preserve"> the </w:t>
      </w:r>
      <w:r w:rsidR="001E3132">
        <w:t>2004 to 2006</w:t>
      </w:r>
      <w:r w:rsidRPr="002A4CC2">
        <w:t xml:space="preserve"> grant funding round, there were 68 community-based RFCS groups employing more than 80 full-time equivalent </w:t>
      </w:r>
      <w:r w:rsidR="006A6B84" w:rsidRPr="002A4CC2">
        <w:t>counsellors</w:t>
      </w:r>
      <w:r w:rsidRPr="002A4CC2">
        <w:t xml:space="preserve">. This reduced to 16 service providers in the </w:t>
      </w:r>
      <w:r w:rsidR="001E3132">
        <w:t>2006 to 2008</w:t>
      </w:r>
      <w:r w:rsidRPr="002A4CC2">
        <w:t xml:space="preserve"> grant funding round and then</w:t>
      </w:r>
      <w:r w:rsidR="006A6B84" w:rsidRPr="002A4CC2">
        <w:t xml:space="preserve"> </w:t>
      </w:r>
      <w:r w:rsidRPr="002A4CC2">
        <w:t xml:space="preserve">14 service providers in the </w:t>
      </w:r>
      <w:r w:rsidR="001E3132">
        <w:rPr>
          <w:szCs w:val="20"/>
        </w:rPr>
        <w:t>2008 to 2011</w:t>
      </w:r>
      <w:r w:rsidRPr="002A4CC2">
        <w:rPr>
          <w:szCs w:val="20"/>
        </w:rPr>
        <w:t xml:space="preserve"> and </w:t>
      </w:r>
      <w:r w:rsidR="001E3132">
        <w:rPr>
          <w:szCs w:val="20"/>
        </w:rPr>
        <w:t>2011 to 2016</w:t>
      </w:r>
      <w:r w:rsidRPr="002A4CC2">
        <w:rPr>
          <w:szCs w:val="20"/>
        </w:rPr>
        <w:t xml:space="preserve"> funding rounds. Rationalisation of the service over these periods was driven by government in an effort to increase efficiencies and improve service quality and consistency.</w:t>
      </w:r>
    </w:p>
    <w:p w14:paraId="5FAF1385" w14:textId="6385C1E3" w:rsidR="00517F4E" w:rsidRDefault="00D01659" w:rsidP="005C2F46">
      <w:r w:rsidRPr="002A4CC2">
        <w:rPr>
          <w:szCs w:val="20"/>
        </w:rPr>
        <w:t xml:space="preserve">In 2014 the </w:t>
      </w:r>
      <w:proofErr w:type="spellStart"/>
      <w:r w:rsidRPr="002A4CC2">
        <w:rPr>
          <w:szCs w:val="20"/>
        </w:rPr>
        <w:t>NRAC</w:t>
      </w:r>
      <w:proofErr w:type="spellEnd"/>
      <w:r w:rsidRPr="002A4CC2">
        <w:rPr>
          <w:szCs w:val="20"/>
        </w:rPr>
        <w:t xml:space="preserve"> review recommended moving to a state-based delivery model. This was not adopted by the government. </w:t>
      </w:r>
      <w:r w:rsidR="004B5D08" w:rsidRPr="002A4CC2">
        <w:rPr>
          <w:lang w:eastAsia="ja-JP"/>
        </w:rPr>
        <w:t xml:space="preserve">However, in the </w:t>
      </w:r>
      <w:r w:rsidR="001E3132">
        <w:rPr>
          <w:lang w:eastAsia="ja-JP"/>
        </w:rPr>
        <w:t>2016 to 2020</w:t>
      </w:r>
      <w:r w:rsidR="002971C7" w:rsidRPr="002A4CC2">
        <w:rPr>
          <w:lang w:eastAsia="ja-JP"/>
        </w:rPr>
        <w:t xml:space="preserve"> </w:t>
      </w:r>
      <w:r w:rsidR="004B5D08" w:rsidRPr="002A4CC2">
        <w:rPr>
          <w:lang w:eastAsia="ja-JP"/>
        </w:rPr>
        <w:t xml:space="preserve">funding round the RFCS was reduced to </w:t>
      </w:r>
      <w:r w:rsidR="004B5D08" w:rsidRPr="002A4CC2">
        <w:t>12 regions.</w:t>
      </w:r>
    </w:p>
    <w:p w14:paraId="11139391" w14:textId="5AC55733" w:rsidR="006A7E18" w:rsidRPr="002A4CC2" w:rsidRDefault="006B33D7" w:rsidP="00EF2381">
      <w:pPr>
        <w:pStyle w:val="Heading3"/>
        <w:numPr>
          <w:ilvl w:val="1"/>
          <w:numId w:val="12"/>
        </w:numPr>
        <w:rPr>
          <w:lang w:eastAsia="ja-JP"/>
        </w:rPr>
      </w:pPr>
      <w:bookmarkStart w:id="30" w:name="_Toc18328849"/>
      <w:r w:rsidRPr="002A4CC2">
        <w:rPr>
          <w:lang w:eastAsia="ja-JP"/>
        </w:rPr>
        <w:t>Current service structure</w:t>
      </w:r>
      <w:bookmarkEnd w:id="30"/>
    </w:p>
    <w:p w14:paraId="65AA4A94" w14:textId="77777777" w:rsidR="006B33D7" w:rsidRPr="002A4CC2" w:rsidRDefault="006B33D7" w:rsidP="00EF2381">
      <w:pPr>
        <w:pStyle w:val="Heading4"/>
        <w:numPr>
          <w:ilvl w:val="2"/>
          <w:numId w:val="12"/>
        </w:numPr>
        <w:rPr>
          <w:lang w:eastAsia="ja-JP"/>
        </w:rPr>
      </w:pPr>
      <w:r w:rsidRPr="002A4CC2">
        <w:rPr>
          <w:lang w:eastAsia="ja-JP"/>
        </w:rPr>
        <w:t>Region boundaries</w:t>
      </w:r>
    </w:p>
    <w:p w14:paraId="4EE43DED" w14:textId="4EF49693" w:rsidR="006A7E18" w:rsidRPr="002A4CC2" w:rsidRDefault="00CF2875" w:rsidP="005C2F46">
      <w:r w:rsidRPr="002A4CC2">
        <w:t>The</w:t>
      </w:r>
      <w:r w:rsidR="006B33D7" w:rsidRPr="002A4CC2">
        <w:rPr>
          <w:lang w:eastAsia="ja-JP"/>
        </w:rPr>
        <w:t xml:space="preserve"> geographic boundaries of the current service reg</w:t>
      </w:r>
      <w:r w:rsidR="00A03424" w:rsidRPr="002A4CC2">
        <w:rPr>
          <w:lang w:eastAsia="ja-JP"/>
        </w:rPr>
        <w:t>ions were predetermined by the Australian G</w:t>
      </w:r>
      <w:r w:rsidR="006B33D7" w:rsidRPr="002A4CC2">
        <w:rPr>
          <w:lang w:eastAsia="ja-JP"/>
        </w:rPr>
        <w:t>overnment</w:t>
      </w:r>
      <w:r w:rsidR="00E07F92" w:rsidRPr="002A4CC2">
        <w:rPr>
          <w:lang w:eastAsia="ja-JP"/>
        </w:rPr>
        <w:t xml:space="preserve"> in consultation with the states and territories</w:t>
      </w:r>
      <w:r w:rsidR="00F376FE">
        <w:rPr>
          <w:lang w:eastAsia="ja-JP"/>
        </w:rPr>
        <w:t>,</w:t>
      </w:r>
      <w:r w:rsidR="006B33D7" w:rsidRPr="002A4CC2">
        <w:rPr>
          <w:lang w:eastAsia="ja-JP"/>
        </w:rPr>
        <w:t xml:space="preserve"> and </w:t>
      </w:r>
      <w:r w:rsidR="00E07F92" w:rsidRPr="002A4CC2">
        <w:rPr>
          <w:lang w:eastAsia="ja-JP"/>
        </w:rPr>
        <w:t xml:space="preserve">were </w:t>
      </w:r>
      <w:r w:rsidRPr="002A4CC2">
        <w:rPr>
          <w:lang w:eastAsia="ja-JP"/>
        </w:rPr>
        <w:t xml:space="preserve">released with </w:t>
      </w:r>
      <w:r w:rsidR="006B33D7" w:rsidRPr="002A4CC2">
        <w:rPr>
          <w:lang w:eastAsia="ja-JP"/>
        </w:rPr>
        <w:t xml:space="preserve">the </w:t>
      </w:r>
      <w:r w:rsidR="00536984">
        <w:rPr>
          <w:lang w:eastAsia="ja-JP"/>
        </w:rPr>
        <w:t>current</w:t>
      </w:r>
      <w:r w:rsidR="00F13F30">
        <w:rPr>
          <w:lang w:eastAsia="ja-JP"/>
        </w:rPr>
        <w:t xml:space="preserve"> </w:t>
      </w:r>
      <w:r w:rsidR="006B33D7" w:rsidRPr="002A4CC2">
        <w:rPr>
          <w:lang w:eastAsia="ja-JP"/>
        </w:rPr>
        <w:t xml:space="preserve">program guidelines. </w:t>
      </w:r>
      <w:r w:rsidR="00F376FE">
        <w:rPr>
          <w:lang w:eastAsia="ja-JP"/>
        </w:rPr>
        <w:t>The boundaries u</w:t>
      </w:r>
      <w:r w:rsidR="006A7E18" w:rsidRPr="002A4CC2">
        <w:rPr>
          <w:lang w:eastAsia="ja-JP"/>
        </w:rPr>
        <w:t>s</w:t>
      </w:r>
      <w:r w:rsidR="00F376FE">
        <w:rPr>
          <w:lang w:eastAsia="ja-JP"/>
        </w:rPr>
        <w:t>ed</w:t>
      </w:r>
      <w:r w:rsidR="006A7E18" w:rsidRPr="002A4CC2">
        <w:rPr>
          <w:lang w:eastAsia="ja-JP"/>
        </w:rPr>
        <w:t xml:space="preserve"> </w:t>
      </w:r>
      <w:r w:rsidR="006A7E18" w:rsidRPr="002A4CC2">
        <w:t xml:space="preserve">state lines and </w:t>
      </w:r>
      <w:proofErr w:type="spellStart"/>
      <w:r w:rsidR="006A7E18" w:rsidRPr="002A4CC2">
        <w:t>LGAs</w:t>
      </w:r>
      <w:proofErr w:type="spellEnd"/>
      <w:r w:rsidR="006A7E18" w:rsidRPr="002A4CC2">
        <w:t xml:space="preserve"> as reference points</w:t>
      </w:r>
      <w:r w:rsidR="00F376FE">
        <w:t xml:space="preserve"> and</w:t>
      </w:r>
      <w:r w:rsidR="006A7E18" w:rsidRPr="002A4CC2">
        <w:t xml:space="preserve"> took into consideration </w:t>
      </w:r>
      <w:r w:rsidR="00E07F92" w:rsidRPr="002A4CC2">
        <w:t>the potential RFCS client base in each region.</w:t>
      </w:r>
    </w:p>
    <w:p w14:paraId="7D667CE7" w14:textId="184172BA" w:rsidR="006A7E18" w:rsidRDefault="006A7E18" w:rsidP="005C2F46">
      <w:r w:rsidRPr="002A4CC2">
        <w:rPr>
          <w:lang w:eastAsia="ja-JP"/>
        </w:rPr>
        <w:t xml:space="preserve">There are now </w:t>
      </w:r>
      <w:r w:rsidR="00F13F30">
        <w:rPr>
          <w:lang w:eastAsia="ja-JP"/>
        </w:rPr>
        <w:t>2</w:t>
      </w:r>
      <w:r w:rsidRPr="002A4CC2">
        <w:rPr>
          <w:lang w:eastAsia="ja-JP"/>
        </w:rPr>
        <w:t xml:space="preserve"> single</w:t>
      </w:r>
      <w:r w:rsidR="008E604A" w:rsidRPr="002A4CC2">
        <w:rPr>
          <w:lang w:eastAsia="ja-JP"/>
        </w:rPr>
        <w:t>-</w:t>
      </w:r>
      <w:r w:rsidRPr="002A4CC2">
        <w:rPr>
          <w:lang w:eastAsia="ja-JP"/>
        </w:rPr>
        <w:t xml:space="preserve">state providers (Western Australia and Tasmania) and </w:t>
      </w:r>
      <w:r w:rsidR="00F13F30">
        <w:rPr>
          <w:lang w:eastAsia="ja-JP"/>
        </w:rPr>
        <w:t>1</w:t>
      </w:r>
      <w:r w:rsidRPr="002A4CC2">
        <w:rPr>
          <w:lang w:eastAsia="ja-JP"/>
        </w:rPr>
        <w:t xml:space="preserve"> provider that jointly services South Australia and </w:t>
      </w:r>
      <w:r w:rsidR="00F376FE">
        <w:rPr>
          <w:lang w:eastAsia="ja-JP"/>
        </w:rPr>
        <w:t xml:space="preserve">the </w:t>
      </w:r>
      <w:r w:rsidRPr="002A4CC2">
        <w:rPr>
          <w:lang w:eastAsia="ja-JP"/>
        </w:rPr>
        <w:t xml:space="preserve">Northern Territory. Queensland is serviced by </w:t>
      </w:r>
      <w:r w:rsidR="00F13F30">
        <w:rPr>
          <w:lang w:eastAsia="ja-JP"/>
        </w:rPr>
        <w:t>2</w:t>
      </w:r>
      <w:r w:rsidRPr="002A4CC2">
        <w:rPr>
          <w:lang w:eastAsia="ja-JP"/>
        </w:rPr>
        <w:t xml:space="preserve"> providers, New South Wales is serviced by </w:t>
      </w:r>
      <w:r w:rsidR="00F13F30">
        <w:rPr>
          <w:lang w:eastAsia="ja-JP"/>
        </w:rPr>
        <w:t>3</w:t>
      </w:r>
      <w:r w:rsidRPr="002A4CC2">
        <w:rPr>
          <w:lang w:eastAsia="ja-JP"/>
        </w:rPr>
        <w:t xml:space="preserve"> providers and Victoria is serviced by </w:t>
      </w:r>
      <w:r w:rsidR="00F13F30">
        <w:rPr>
          <w:lang w:eastAsia="ja-JP"/>
        </w:rPr>
        <w:t>4</w:t>
      </w:r>
      <w:r w:rsidR="00296221">
        <w:rPr>
          <w:lang w:eastAsia="ja-JP"/>
        </w:rPr>
        <w:t xml:space="preserve"> providers </w:t>
      </w:r>
      <w:r w:rsidR="00296221">
        <w:t>(</w:t>
      </w:r>
      <w:r w:rsidR="00F376FE">
        <w:fldChar w:fldCharType="begin" w:fldLock="1"/>
      </w:r>
      <w:r w:rsidR="00F376FE">
        <w:instrText xml:space="preserve"> REF _Ref17201615 \h </w:instrText>
      </w:r>
      <w:r w:rsidR="00F376FE">
        <w:fldChar w:fldCharType="separate"/>
      </w:r>
      <w:r w:rsidR="00474B0C">
        <w:t xml:space="preserve">Map </w:t>
      </w:r>
      <w:r w:rsidR="00474B0C">
        <w:rPr>
          <w:noProof/>
        </w:rPr>
        <w:t>1</w:t>
      </w:r>
      <w:r w:rsidR="00F376FE">
        <w:fldChar w:fldCharType="end"/>
      </w:r>
      <w:r w:rsidR="00296221">
        <w:t>).</w:t>
      </w:r>
    </w:p>
    <w:p w14:paraId="534D874A" w14:textId="4D1FBE41" w:rsidR="008266E3" w:rsidRDefault="006455CB" w:rsidP="006455CB">
      <w:r>
        <w:t xml:space="preserve">Until 2013 the Northern Territory was not included in the RFCS footprint. A trial was undertaken </w:t>
      </w:r>
      <w:r w:rsidR="000604E8">
        <w:t xml:space="preserve">by </w:t>
      </w:r>
      <w:r>
        <w:t>the South Australian service where clients were supported through a fly</w:t>
      </w:r>
      <w:r w:rsidR="00F376FE">
        <w:noBreakHyphen/>
      </w:r>
      <w:r>
        <w:t>in fly</w:t>
      </w:r>
      <w:r w:rsidR="00F376FE">
        <w:noBreakHyphen/>
      </w:r>
      <w:r>
        <w:t>out model, supported by telephone counselling. From 2016 the Northern Territory Government became a financial supporter of the program. A decision was taken to include the Northern Territory in South Australia</w:t>
      </w:r>
      <w:r w:rsidR="00736B18">
        <w:t>'</w:t>
      </w:r>
      <w:r>
        <w:t>s area from April 2016.</w:t>
      </w:r>
    </w:p>
    <w:p w14:paraId="53CC57D8" w14:textId="2728623D" w:rsidR="00041B43" w:rsidRDefault="00041B43" w:rsidP="00EF2381">
      <w:pPr>
        <w:pStyle w:val="Heading4"/>
        <w:numPr>
          <w:ilvl w:val="2"/>
          <w:numId w:val="12"/>
        </w:numPr>
      </w:pPr>
      <w:r>
        <w:t>Service providers</w:t>
      </w:r>
    </w:p>
    <w:p w14:paraId="0F896A9D" w14:textId="50127E59" w:rsidR="006A7E18" w:rsidRDefault="0016141B" w:rsidP="005C2F46">
      <w:r>
        <w:t>The</w:t>
      </w:r>
      <w:r w:rsidR="004A751D" w:rsidRPr="006A7E18">
        <w:t xml:space="preserve"> </w:t>
      </w:r>
      <w:r w:rsidR="006B33D7" w:rsidRPr="006A7E18">
        <w:t xml:space="preserve">current service providers </w:t>
      </w:r>
      <w:r w:rsidR="00E714CB">
        <w:t xml:space="preserve">are well established and </w:t>
      </w:r>
      <w:r w:rsidR="006B33D7" w:rsidRPr="006A7E18">
        <w:t xml:space="preserve">have been offering rural financial counselling services </w:t>
      </w:r>
      <w:r w:rsidR="00E07F92">
        <w:t xml:space="preserve">for </w:t>
      </w:r>
      <w:r w:rsidR="00E714CB">
        <w:t>many</w:t>
      </w:r>
      <w:r w:rsidR="00E07F92">
        <w:t xml:space="preserve"> years</w:t>
      </w:r>
      <w:r w:rsidR="006A6D8B">
        <w:t xml:space="preserve"> on a not-for-</w:t>
      </w:r>
      <w:r>
        <w:t>profit basis</w:t>
      </w:r>
      <w:r w:rsidR="006B33D7" w:rsidRPr="006A7E18">
        <w:t xml:space="preserve">. </w:t>
      </w:r>
      <w:r w:rsidR="006B33D7">
        <w:t xml:space="preserve">Many providers have board members, executive officers and counsellors that have </w:t>
      </w:r>
      <w:r w:rsidR="00A03424">
        <w:t>served</w:t>
      </w:r>
      <w:r w:rsidR="006B33D7">
        <w:t xml:space="preserve"> in the RFCS for significant periods of time</w:t>
      </w:r>
      <w:r w:rsidR="004A751D">
        <w:t>.</w:t>
      </w:r>
    </w:p>
    <w:p w14:paraId="1A5A941E" w14:textId="4942CED5" w:rsidR="00517F4E" w:rsidRDefault="00676EEF" w:rsidP="005C2F46">
      <w:r>
        <w:t>T</w:t>
      </w:r>
      <w:r w:rsidR="00CF2875">
        <w:t>he current group of service providers</w:t>
      </w:r>
      <w:r w:rsidR="00CF2875" w:rsidRPr="00CF2875">
        <w:t xml:space="preserve"> </w:t>
      </w:r>
      <w:r w:rsidR="00CF2875">
        <w:t xml:space="preserve">represents an evolution of historical arrangements. </w:t>
      </w:r>
      <w:r w:rsidR="00647898">
        <w:t>There are o</w:t>
      </w:r>
      <w:r w:rsidR="006B33D7">
        <w:t xml:space="preserve">ther organisations </w:t>
      </w:r>
      <w:r w:rsidR="00647898">
        <w:t xml:space="preserve">that </w:t>
      </w:r>
      <w:r w:rsidR="006B33D7">
        <w:t xml:space="preserve">provide </w:t>
      </w:r>
      <w:r w:rsidR="00A03424">
        <w:t xml:space="preserve">generalist </w:t>
      </w:r>
      <w:r w:rsidR="006B33D7">
        <w:t>financial counselling across Australia</w:t>
      </w:r>
      <w:r>
        <w:t xml:space="preserve">, but </w:t>
      </w:r>
      <w:r w:rsidR="006B33D7">
        <w:t xml:space="preserve">having the requisite agricultural knowledge and rural community links may make it difficult for new players </w:t>
      </w:r>
      <w:r w:rsidR="00647898">
        <w:t xml:space="preserve">entering </w:t>
      </w:r>
      <w:r w:rsidR="006B33D7">
        <w:t>the market to provide the same</w:t>
      </w:r>
      <w:r w:rsidR="008F41AB">
        <w:t xml:space="preserve"> quality, or type, of</w:t>
      </w:r>
      <w:r w:rsidR="006B33D7">
        <w:t xml:space="preserve"> services. Highly experienced</w:t>
      </w:r>
      <w:r w:rsidR="005C2F46">
        <w:t xml:space="preserve"> generalist </w:t>
      </w:r>
      <w:r w:rsidR="006B33D7">
        <w:t>financial counsellors who routinely help clients deal with personal debt</w:t>
      </w:r>
      <w:r w:rsidR="00B56288">
        <w:t xml:space="preserve"> problems</w:t>
      </w:r>
      <w:r w:rsidR="006B33D7">
        <w:t xml:space="preserve"> </w:t>
      </w:r>
      <w:r w:rsidR="006455CB">
        <w:t xml:space="preserve">would </w:t>
      </w:r>
      <w:r w:rsidR="006B33D7">
        <w:t xml:space="preserve">require </w:t>
      </w:r>
      <w:r w:rsidR="006455CB">
        <w:t xml:space="preserve">significant </w:t>
      </w:r>
      <w:r w:rsidR="006A7E18">
        <w:t xml:space="preserve">upskilling to </w:t>
      </w:r>
      <w:r w:rsidR="00041B43">
        <w:t>assist</w:t>
      </w:r>
      <w:r w:rsidR="006B33D7">
        <w:t xml:space="preserve"> agribusiness </w:t>
      </w:r>
      <w:r w:rsidR="00041B43">
        <w:t>clients</w:t>
      </w:r>
      <w:r w:rsidR="006A7E18">
        <w:t>.</w:t>
      </w:r>
      <w:r w:rsidR="006B7444">
        <w:t xml:space="preserve"> </w:t>
      </w:r>
      <w:r w:rsidR="00647898">
        <w:t>C</w:t>
      </w:r>
      <w:r w:rsidR="00A03424">
        <w:t xml:space="preserve">urrent </w:t>
      </w:r>
      <w:r w:rsidR="00521975">
        <w:t xml:space="preserve">board </w:t>
      </w:r>
      <w:r w:rsidR="00A03424">
        <w:t xml:space="preserve">governance arrangements may also </w:t>
      </w:r>
      <w:r w:rsidR="008E604A">
        <w:t xml:space="preserve">be </w:t>
      </w:r>
      <w:r w:rsidR="001D47C9">
        <w:t xml:space="preserve">limiting </w:t>
      </w:r>
      <w:r w:rsidR="00A03424">
        <w:t>competition in the market for RFCS program grants.</w:t>
      </w:r>
    </w:p>
    <w:p w14:paraId="309288FD" w14:textId="5E0C5660" w:rsidR="006B33D7" w:rsidRPr="005B0D1D" w:rsidRDefault="006B33D7" w:rsidP="00EF2381">
      <w:pPr>
        <w:pStyle w:val="Heading4"/>
        <w:numPr>
          <w:ilvl w:val="2"/>
          <w:numId w:val="12"/>
        </w:numPr>
        <w:rPr>
          <w:lang w:eastAsia="ja-JP"/>
        </w:rPr>
      </w:pPr>
      <w:r>
        <w:rPr>
          <w:lang w:eastAsia="ja-JP"/>
        </w:rPr>
        <w:lastRenderedPageBreak/>
        <w:t>Impact of service rationalisation to date</w:t>
      </w:r>
    </w:p>
    <w:p w14:paraId="7C3F3A7D" w14:textId="1446C234" w:rsidR="00517F4E" w:rsidRDefault="005C2F46" w:rsidP="005C2F46">
      <w:r w:rsidRPr="005C2F46">
        <w:t xml:space="preserve">At the beginning of the current grant round, RFCS regions in Victoria reduced </w:t>
      </w:r>
      <w:r w:rsidRPr="002A4CC2">
        <w:t xml:space="preserve">from </w:t>
      </w:r>
      <w:r w:rsidR="00F13F30">
        <w:t>5</w:t>
      </w:r>
      <w:r w:rsidRPr="002A4CC2">
        <w:t xml:space="preserve"> to </w:t>
      </w:r>
      <w:r w:rsidR="00F13F30">
        <w:t>4</w:t>
      </w:r>
      <w:r w:rsidRPr="002A4CC2">
        <w:t xml:space="preserve">, </w:t>
      </w:r>
      <w:r w:rsidR="005001A1" w:rsidRPr="002A4CC2">
        <w:t>and the</w:t>
      </w:r>
      <w:r w:rsidRPr="002A4CC2">
        <w:t xml:space="preserve"> New South Wales regions reduced from </w:t>
      </w:r>
      <w:r w:rsidR="00F13F30">
        <w:t>4</w:t>
      </w:r>
      <w:r w:rsidRPr="002A4CC2">
        <w:t xml:space="preserve"> to </w:t>
      </w:r>
      <w:r w:rsidR="00F13F30">
        <w:t>3</w:t>
      </w:r>
      <w:r w:rsidRPr="002A4CC2">
        <w:t>. Two service providers (</w:t>
      </w:r>
      <w:r w:rsidR="00CF2875" w:rsidRPr="002A4CC2">
        <w:t>RFCS Victoria North Central and RFCS NSW Bourke</w:t>
      </w:r>
      <w:r w:rsidRPr="002A4CC2">
        <w:t>)</w:t>
      </w:r>
      <w:r w:rsidR="00CF2875" w:rsidRPr="002A4CC2">
        <w:t xml:space="preserve"> ceased servicing clients on 31 March 2016</w:t>
      </w:r>
      <w:r w:rsidR="00DD5466" w:rsidRPr="002A4CC2">
        <w:t>.</w:t>
      </w:r>
      <w:r w:rsidR="00DD5466">
        <w:t xml:space="preserve"> S</w:t>
      </w:r>
      <w:r w:rsidR="000D1E0D">
        <w:t>ome</w:t>
      </w:r>
      <w:r w:rsidR="00CF2875" w:rsidRPr="005C2F46">
        <w:t xml:space="preserve"> regions</w:t>
      </w:r>
      <w:r w:rsidR="000D1E0D">
        <w:t xml:space="preserve"> in Victoria, New South Wales and Queensland</w:t>
      </w:r>
      <w:r w:rsidR="00CF2875" w:rsidRPr="005C2F46">
        <w:t xml:space="preserve"> </w:t>
      </w:r>
      <w:r w:rsidR="00DD5466">
        <w:t xml:space="preserve">also </w:t>
      </w:r>
      <w:r w:rsidR="00CF2875" w:rsidRPr="005C2F46">
        <w:t xml:space="preserve">had </w:t>
      </w:r>
      <w:r w:rsidR="000D1E0D">
        <w:t xml:space="preserve">significant </w:t>
      </w:r>
      <w:r w:rsidR="00CF2875" w:rsidRPr="005C2F46">
        <w:t>boundary changes</w:t>
      </w:r>
      <w:r w:rsidR="00A03424" w:rsidRPr="005C2F46">
        <w:t xml:space="preserve"> as part of </w:t>
      </w:r>
      <w:r w:rsidR="000D1E0D">
        <w:t>the</w:t>
      </w:r>
      <w:r w:rsidR="00A03424" w:rsidRPr="005C2F46">
        <w:t xml:space="preserve"> transition to the current arrangements</w:t>
      </w:r>
      <w:r w:rsidRPr="005C2F46">
        <w:t>.</w:t>
      </w:r>
    </w:p>
    <w:p w14:paraId="2A56D805" w14:textId="4BDA299C" w:rsidR="000D1E0D" w:rsidRDefault="000D1E0D" w:rsidP="008E604A">
      <w:r>
        <w:t xml:space="preserve">Providers were consulted about the proposed changes to regional boundaries and </w:t>
      </w:r>
      <w:r>
        <w:rPr>
          <w:lang w:eastAsia="ja-JP"/>
        </w:rPr>
        <w:t>were constructive in implementing the changes</w:t>
      </w:r>
      <w:r w:rsidR="008E604A">
        <w:rPr>
          <w:lang w:eastAsia="ja-JP"/>
        </w:rPr>
        <w:t>,</w:t>
      </w:r>
      <w:r>
        <w:rPr>
          <w:lang w:eastAsia="ja-JP"/>
        </w:rPr>
        <w:t xml:space="preserve"> which affected some </w:t>
      </w:r>
      <w:r w:rsidRPr="006A7E18">
        <w:t>staff arrangements and client caseloads</w:t>
      </w:r>
      <w:r>
        <w:t xml:space="preserve">. </w:t>
      </w:r>
      <w:r w:rsidR="00DD5466">
        <w:t>H</w:t>
      </w:r>
      <w:r>
        <w:t xml:space="preserve">igh </w:t>
      </w:r>
      <w:r>
        <w:rPr>
          <w:lang w:eastAsia="ja-JP"/>
        </w:rPr>
        <w:t>staff turnover</w:t>
      </w:r>
      <w:r w:rsidR="00DD5466">
        <w:rPr>
          <w:lang w:eastAsia="ja-JP"/>
        </w:rPr>
        <w:t xml:space="preserve"> occurred</w:t>
      </w:r>
      <w:r>
        <w:rPr>
          <w:lang w:eastAsia="ja-JP"/>
        </w:rPr>
        <w:t xml:space="preserve"> in affected regions</w:t>
      </w:r>
      <w:r w:rsidR="001C3968">
        <w:rPr>
          <w:lang w:eastAsia="ja-JP"/>
        </w:rPr>
        <w:t xml:space="preserve"> with </w:t>
      </w:r>
      <w:r>
        <w:rPr>
          <w:lang w:eastAsia="ja-JP"/>
        </w:rPr>
        <w:t xml:space="preserve">counsellors </w:t>
      </w:r>
      <w:r w:rsidR="00DD5466">
        <w:rPr>
          <w:lang w:eastAsia="ja-JP"/>
        </w:rPr>
        <w:t>chang</w:t>
      </w:r>
      <w:r w:rsidR="001C3968">
        <w:rPr>
          <w:lang w:eastAsia="ja-JP"/>
        </w:rPr>
        <w:t>ing</w:t>
      </w:r>
      <w:r>
        <w:rPr>
          <w:lang w:eastAsia="ja-JP"/>
        </w:rPr>
        <w:t xml:space="preserve"> employer</w:t>
      </w:r>
      <w:r w:rsidR="00B56288">
        <w:rPr>
          <w:lang w:eastAsia="ja-JP"/>
        </w:rPr>
        <w:t>s</w:t>
      </w:r>
      <w:r>
        <w:rPr>
          <w:lang w:eastAsia="ja-JP"/>
        </w:rPr>
        <w:t xml:space="preserve"> and encounter</w:t>
      </w:r>
      <w:r w:rsidR="001C3968">
        <w:rPr>
          <w:lang w:eastAsia="ja-JP"/>
        </w:rPr>
        <w:t>ing</w:t>
      </w:r>
      <w:r>
        <w:rPr>
          <w:lang w:eastAsia="ja-JP"/>
        </w:rPr>
        <w:t xml:space="preserve"> differences in</w:t>
      </w:r>
      <w:r w:rsidR="008E604A">
        <w:rPr>
          <w:lang w:eastAsia="ja-JP"/>
        </w:rPr>
        <w:t xml:space="preserve"> </w:t>
      </w:r>
      <w:r>
        <w:rPr>
          <w:lang w:eastAsia="ja-JP"/>
        </w:rPr>
        <w:t>workplace culture, management styles</w:t>
      </w:r>
      <w:r w:rsidR="001C3968">
        <w:rPr>
          <w:lang w:eastAsia="ja-JP"/>
        </w:rPr>
        <w:t>,</w:t>
      </w:r>
      <w:r w:rsidR="0079647C">
        <w:rPr>
          <w:lang w:eastAsia="ja-JP"/>
        </w:rPr>
        <w:t xml:space="preserve"> employment conditions</w:t>
      </w:r>
      <w:r w:rsidR="008E604A">
        <w:rPr>
          <w:lang w:eastAsia="ja-JP"/>
        </w:rPr>
        <w:t xml:space="preserve">, </w:t>
      </w:r>
      <w:r w:rsidR="006543A3">
        <w:rPr>
          <w:lang w:eastAsia="ja-JP"/>
        </w:rPr>
        <w:t xml:space="preserve">approaches to </w:t>
      </w:r>
      <w:r>
        <w:rPr>
          <w:lang w:eastAsia="ja-JP"/>
        </w:rPr>
        <w:t>case management</w:t>
      </w:r>
      <w:r w:rsidR="008E604A">
        <w:rPr>
          <w:lang w:eastAsia="ja-JP"/>
        </w:rPr>
        <w:t xml:space="preserve"> and</w:t>
      </w:r>
      <w:r w:rsidR="00B56288">
        <w:rPr>
          <w:lang w:eastAsia="ja-JP"/>
        </w:rPr>
        <w:t xml:space="preserve"> the</w:t>
      </w:r>
      <w:r w:rsidR="008E604A">
        <w:rPr>
          <w:lang w:eastAsia="ja-JP"/>
        </w:rPr>
        <w:t xml:space="preserve"> </w:t>
      </w:r>
      <w:r w:rsidR="00C709FD">
        <w:rPr>
          <w:lang w:eastAsia="ja-JP"/>
        </w:rPr>
        <w:t>overall philosophy of the service</w:t>
      </w:r>
      <w:r w:rsidR="008E604A">
        <w:rPr>
          <w:lang w:eastAsia="ja-JP"/>
        </w:rPr>
        <w:t>.</w:t>
      </w:r>
    </w:p>
    <w:p w14:paraId="2CEF5144" w14:textId="324C1E86" w:rsidR="00517F4E" w:rsidRDefault="006543A3" w:rsidP="000D1E0D">
      <w:pPr>
        <w:rPr>
          <w:lang w:eastAsia="ja-JP"/>
        </w:rPr>
      </w:pPr>
      <w:r>
        <w:rPr>
          <w:lang w:eastAsia="ja-JP"/>
        </w:rPr>
        <w:t>These changes</w:t>
      </w:r>
      <w:r w:rsidR="001C3968">
        <w:rPr>
          <w:lang w:eastAsia="ja-JP"/>
        </w:rPr>
        <w:t xml:space="preserve"> </w:t>
      </w:r>
      <w:r>
        <w:rPr>
          <w:lang w:eastAsia="ja-JP"/>
        </w:rPr>
        <w:t>affected</w:t>
      </w:r>
      <w:r w:rsidR="000D1E0D">
        <w:rPr>
          <w:lang w:eastAsia="ja-JP"/>
        </w:rPr>
        <w:t xml:space="preserve"> continuity and quality of service to clients</w:t>
      </w:r>
      <w:r>
        <w:rPr>
          <w:lang w:eastAsia="ja-JP"/>
        </w:rPr>
        <w:t xml:space="preserve"> through the period of transition.</w:t>
      </w:r>
    </w:p>
    <w:p w14:paraId="68EDFF8C" w14:textId="6A5EE6CA" w:rsidR="006B33D7" w:rsidRDefault="002B7BD2" w:rsidP="00EF2381">
      <w:pPr>
        <w:pStyle w:val="Heading4"/>
        <w:numPr>
          <w:ilvl w:val="2"/>
          <w:numId w:val="12"/>
        </w:numPr>
        <w:rPr>
          <w:lang w:eastAsia="ja-JP"/>
        </w:rPr>
      </w:pPr>
      <w:r>
        <w:rPr>
          <w:lang w:eastAsia="ja-JP"/>
        </w:rPr>
        <w:t>Potential</w:t>
      </w:r>
      <w:r w:rsidR="00D55448">
        <w:rPr>
          <w:lang w:eastAsia="ja-JP"/>
        </w:rPr>
        <w:t xml:space="preserve"> </w:t>
      </w:r>
      <w:r w:rsidR="001D47C9">
        <w:rPr>
          <w:lang w:eastAsia="ja-JP"/>
        </w:rPr>
        <w:t xml:space="preserve">changes to </w:t>
      </w:r>
      <w:r w:rsidR="00D55448">
        <w:rPr>
          <w:lang w:eastAsia="ja-JP"/>
        </w:rPr>
        <w:t xml:space="preserve">service </w:t>
      </w:r>
      <w:r w:rsidR="001D47C9">
        <w:rPr>
          <w:lang w:eastAsia="ja-JP"/>
        </w:rPr>
        <w:t>structure</w:t>
      </w:r>
    </w:p>
    <w:p w14:paraId="66ED0F3A" w14:textId="77777777" w:rsidR="000268B4" w:rsidRPr="00E62C47" w:rsidRDefault="000268B4" w:rsidP="00E62C47">
      <w:pPr>
        <w:pStyle w:val="Heading5"/>
      </w:pPr>
      <w:r>
        <w:t>Potential a</w:t>
      </w:r>
      <w:r w:rsidRPr="0044225F">
        <w:t>dvantages</w:t>
      </w:r>
    </w:p>
    <w:p w14:paraId="0D7189E9" w14:textId="4C55F782" w:rsidR="006B33D7" w:rsidRDefault="006B33D7" w:rsidP="006543A3">
      <w:r>
        <w:t xml:space="preserve">The case for further </w:t>
      </w:r>
      <w:r w:rsidR="00455015">
        <w:t>ration</w:t>
      </w:r>
      <w:r w:rsidR="000268B4">
        <w:t>alising the service</w:t>
      </w:r>
      <w:r>
        <w:t xml:space="preserve"> </w:t>
      </w:r>
      <w:r w:rsidRPr="006543A3">
        <w:t>centres</w:t>
      </w:r>
      <w:r>
        <w:t xml:space="preserve"> on achieving efficiencies that </w:t>
      </w:r>
      <w:r w:rsidR="006543A3">
        <w:t xml:space="preserve">would </w:t>
      </w:r>
      <w:r>
        <w:t xml:space="preserve">lead to improved client outcomes. </w:t>
      </w:r>
      <w:r w:rsidR="00455015" w:rsidRPr="00741B33">
        <w:t xml:space="preserve">The </w:t>
      </w:r>
      <w:r w:rsidR="00741B33" w:rsidRPr="00741B33">
        <w:t>potential advantages</w:t>
      </w:r>
      <w:r w:rsidRPr="00741B33">
        <w:t xml:space="preserve"> </w:t>
      </w:r>
      <w:r w:rsidR="00455015" w:rsidRPr="00741B33">
        <w:t>include</w:t>
      </w:r>
      <w:r w:rsidRPr="00741B33">
        <w:t>:</w:t>
      </w:r>
    </w:p>
    <w:p w14:paraId="23AE32DA" w14:textId="43DAF798" w:rsidR="006B33D7" w:rsidRDefault="000268B4" w:rsidP="006B33D7">
      <w:pPr>
        <w:pStyle w:val="ListBullet"/>
      </w:pPr>
      <w:r>
        <w:t>c</w:t>
      </w:r>
      <w:r w:rsidR="006B33D7">
        <w:t>onsistency</w:t>
      </w:r>
      <w:r w:rsidR="008A25E1">
        <w:t>—</w:t>
      </w:r>
      <w:r w:rsidR="006B33D7">
        <w:t>providing a more standardised approach to service delivery with successful case management models and measureable outcomes</w:t>
      </w:r>
    </w:p>
    <w:p w14:paraId="6CE18B5E" w14:textId="7186592D" w:rsidR="006B33D7" w:rsidRPr="00455015" w:rsidRDefault="000268B4" w:rsidP="006B33D7">
      <w:pPr>
        <w:pStyle w:val="ListBullet"/>
      </w:pPr>
      <w:r>
        <w:t>c</w:t>
      </w:r>
      <w:r w:rsidR="006B33D7">
        <w:t>ost-s</w:t>
      </w:r>
      <w:r w:rsidR="006543A3">
        <w:t>aving</w:t>
      </w:r>
      <w:r w:rsidR="008A25E1">
        <w:t>—</w:t>
      </w:r>
      <w:r w:rsidR="006543A3">
        <w:t xml:space="preserve">with reduced </w:t>
      </w:r>
      <w:r w:rsidR="006543A3" w:rsidRPr="00455015">
        <w:t xml:space="preserve">board fees, </w:t>
      </w:r>
      <w:r w:rsidR="006B33D7" w:rsidRPr="00455015">
        <w:t>executive officer salaries and consolidated corporate services (</w:t>
      </w:r>
      <w:r w:rsidR="0016493E">
        <w:t xml:space="preserve">e.g. </w:t>
      </w:r>
      <w:r w:rsidR="006B33D7" w:rsidRPr="00455015">
        <w:t>finance, payroll)</w:t>
      </w:r>
    </w:p>
    <w:p w14:paraId="4231925E" w14:textId="39AA1D76" w:rsidR="00517F4E" w:rsidRDefault="00B56288" w:rsidP="00B56288">
      <w:pPr>
        <w:pStyle w:val="ListBullet"/>
      </w:pPr>
      <w:r>
        <w:t>efficiency—in program administration and stakeholder management for the Australian and state and territory governments</w:t>
      </w:r>
      <w:r w:rsidR="0016493E">
        <w:t>,</w:t>
      </w:r>
      <w:r>
        <w:t xml:space="preserve"> with fewer grantees and a more unified voice</w:t>
      </w:r>
    </w:p>
    <w:p w14:paraId="23AC7B81" w14:textId="740D6D93" w:rsidR="006B33D7" w:rsidRPr="00455015" w:rsidRDefault="00455015" w:rsidP="006B33D7">
      <w:pPr>
        <w:pStyle w:val="ListBullet"/>
      </w:pPr>
      <w:proofErr w:type="gramStart"/>
      <w:r w:rsidRPr="00455015">
        <w:rPr>
          <w:lang w:eastAsia="ja-JP"/>
        </w:rPr>
        <w:t>better</w:t>
      </w:r>
      <w:proofErr w:type="gramEnd"/>
      <w:r w:rsidRPr="00455015">
        <w:rPr>
          <w:lang w:eastAsia="ja-JP"/>
        </w:rPr>
        <w:t xml:space="preserve"> </w:t>
      </w:r>
      <w:r w:rsidR="006B33D7" w:rsidRPr="00455015">
        <w:t>governance and service provision</w:t>
      </w:r>
      <w:r w:rsidR="008A25E1">
        <w:t>—</w:t>
      </w:r>
      <w:r w:rsidR="006B33D7" w:rsidRPr="00455015">
        <w:t>through healthy competition and renewal of organisational management</w:t>
      </w:r>
      <w:r w:rsidR="00596A68">
        <w:t>.</w:t>
      </w:r>
    </w:p>
    <w:p w14:paraId="2B0ABC23" w14:textId="60ECC00F" w:rsidR="006B33D7" w:rsidRDefault="006B33D7" w:rsidP="00866B0C">
      <w:pPr>
        <w:rPr>
          <w:lang w:eastAsia="ja-JP"/>
        </w:rPr>
      </w:pPr>
      <w:r>
        <w:rPr>
          <w:lang w:eastAsia="ja-JP"/>
        </w:rPr>
        <w:t xml:space="preserve">The review panel tested these </w:t>
      </w:r>
      <w:r w:rsidR="0086558D">
        <w:rPr>
          <w:lang w:eastAsia="ja-JP"/>
        </w:rPr>
        <w:t>ideas</w:t>
      </w:r>
      <w:r>
        <w:rPr>
          <w:lang w:eastAsia="ja-JP"/>
        </w:rPr>
        <w:t xml:space="preserve"> with stakeholders and discussed </w:t>
      </w:r>
      <w:r w:rsidR="00D55448">
        <w:rPr>
          <w:lang w:eastAsia="ja-JP"/>
        </w:rPr>
        <w:t xml:space="preserve">potential effects </w:t>
      </w:r>
      <w:r>
        <w:rPr>
          <w:lang w:eastAsia="ja-JP"/>
        </w:rPr>
        <w:t>of further rationalisation.</w:t>
      </w:r>
    </w:p>
    <w:p w14:paraId="74C35E37" w14:textId="7D2E55A4" w:rsidR="00517F4E" w:rsidRDefault="00771D24" w:rsidP="00866B0C">
      <w:pPr>
        <w:rPr>
          <w:lang w:eastAsia="ja-JP"/>
        </w:rPr>
      </w:pPr>
      <w:r>
        <w:rPr>
          <w:lang w:eastAsia="ja-JP"/>
        </w:rPr>
        <w:t>In New South Wales and Queensland, high farm numbers</w:t>
      </w:r>
      <w:r w:rsidR="002414A4">
        <w:rPr>
          <w:lang w:eastAsia="ja-JP"/>
        </w:rPr>
        <w:t xml:space="preserve">, diversity of agricultural industries, </w:t>
      </w:r>
      <w:r>
        <w:rPr>
          <w:lang w:eastAsia="ja-JP"/>
        </w:rPr>
        <w:t xml:space="preserve">and </w:t>
      </w:r>
      <w:r w:rsidR="002414A4">
        <w:rPr>
          <w:lang w:eastAsia="ja-JP"/>
        </w:rPr>
        <w:t>geographic</w:t>
      </w:r>
      <w:r w:rsidR="00EA7655">
        <w:rPr>
          <w:lang w:eastAsia="ja-JP"/>
        </w:rPr>
        <w:t>ally large</w:t>
      </w:r>
      <w:r w:rsidR="002414A4">
        <w:rPr>
          <w:lang w:eastAsia="ja-JP"/>
        </w:rPr>
        <w:t xml:space="preserve"> service regions</w:t>
      </w:r>
      <w:r>
        <w:rPr>
          <w:lang w:eastAsia="ja-JP"/>
        </w:rPr>
        <w:t xml:space="preserve"> were</w:t>
      </w:r>
      <w:r w:rsidRPr="00771D24">
        <w:rPr>
          <w:lang w:eastAsia="ja-JP"/>
        </w:rPr>
        <w:t xml:space="preserve"> </w:t>
      </w:r>
      <w:r>
        <w:rPr>
          <w:lang w:eastAsia="ja-JP"/>
        </w:rPr>
        <w:t>emphasised as critical reasons to avoid further consolidation</w:t>
      </w:r>
      <w:r w:rsidR="0044225F">
        <w:rPr>
          <w:lang w:eastAsia="ja-JP"/>
        </w:rPr>
        <w:t>, particularly to a single state</w:t>
      </w:r>
      <w:r w:rsidR="002618C3">
        <w:rPr>
          <w:lang w:eastAsia="ja-JP"/>
        </w:rPr>
        <w:t xml:space="preserve"> provider</w:t>
      </w:r>
      <w:r w:rsidR="0044225F">
        <w:rPr>
          <w:lang w:eastAsia="ja-JP"/>
        </w:rPr>
        <w:t xml:space="preserve"> model. </w:t>
      </w:r>
      <w:r w:rsidR="00EA7655">
        <w:rPr>
          <w:lang w:eastAsia="ja-JP"/>
        </w:rPr>
        <w:t>R</w:t>
      </w:r>
      <w:r>
        <w:rPr>
          <w:lang w:eastAsia="ja-JP"/>
        </w:rPr>
        <w:t xml:space="preserve">egional hubs would be needed to manage the high levels of demand and </w:t>
      </w:r>
      <w:r w:rsidR="0044225F">
        <w:rPr>
          <w:lang w:eastAsia="ja-JP"/>
        </w:rPr>
        <w:t xml:space="preserve">the </w:t>
      </w:r>
      <w:r>
        <w:rPr>
          <w:lang w:eastAsia="ja-JP"/>
        </w:rPr>
        <w:t xml:space="preserve">large number of counsellors </w:t>
      </w:r>
      <w:r w:rsidR="00EA7655">
        <w:rPr>
          <w:lang w:eastAsia="ja-JP"/>
        </w:rPr>
        <w:t xml:space="preserve">required </w:t>
      </w:r>
      <w:r>
        <w:rPr>
          <w:lang w:eastAsia="ja-JP"/>
        </w:rPr>
        <w:t>to service clients. The</w:t>
      </w:r>
      <w:r w:rsidR="007D0FDA">
        <w:rPr>
          <w:lang w:eastAsia="ja-JP"/>
        </w:rPr>
        <w:t>se</w:t>
      </w:r>
      <w:r>
        <w:rPr>
          <w:lang w:eastAsia="ja-JP"/>
        </w:rPr>
        <w:t xml:space="preserve"> regional hubs would likely need </w:t>
      </w:r>
      <w:r w:rsidR="0044225F">
        <w:rPr>
          <w:lang w:eastAsia="ja-JP"/>
        </w:rPr>
        <w:t xml:space="preserve">a </w:t>
      </w:r>
      <w:r>
        <w:rPr>
          <w:lang w:eastAsia="ja-JP"/>
        </w:rPr>
        <w:t xml:space="preserve">senior </w:t>
      </w:r>
      <w:r w:rsidR="0044225F">
        <w:rPr>
          <w:lang w:eastAsia="ja-JP"/>
        </w:rPr>
        <w:t xml:space="preserve">counsellor or manager </w:t>
      </w:r>
      <w:r>
        <w:rPr>
          <w:lang w:eastAsia="ja-JP"/>
        </w:rPr>
        <w:t>to assist with staff and client management.</w:t>
      </w:r>
    </w:p>
    <w:p w14:paraId="23435957" w14:textId="5433B042" w:rsidR="00517F4E" w:rsidRDefault="002414A4" w:rsidP="00866B0C">
      <w:pPr>
        <w:rPr>
          <w:lang w:eastAsia="ja-JP"/>
        </w:rPr>
      </w:pPr>
      <w:r w:rsidRPr="00DE6948">
        <w:rPr>
          <w:lang w:eastAsia="ja-JP"/>
        </w:rPr>
        <w:t xml:space="preserve">In Victoria, while the service regions were smaller (with smaller farm numbers, client numbers and counsellor levels) there was a particular reluctance to consider further consolidation. Service providers and </w:t>
      </w:r>
      <w:r w:rsidR="0037169A" w:rsidRPr="00DE6948">
        <w:rPr>
          <w:lang w:eastAsia="ja-JP"/>
        </w:rPr>
        <w:t>state g</w:t>
      </w:r>
      <w:r w:rsidRPr="00DE6948">
        <w:rPr>
          <w:lang w:eastAsia="ja-JP"/>
        </w:rPr>
        <w:t xml:space="preserve">overnment </w:t>
      </w:r>
      <w:r w:rsidR="0037169A" w:rsidRPr="00DE6948">
        <w:rPr>
          <w:lang w:eastAsia="ja-JP"/>
        </w:rPr>
        <w:t xml:space="preserve">officials </w:t>
      </w:r>
      <w:r w:rsidRPr="00DE6948">
        <w:rPr>
          <w:lang w:eastAsia="ja-JP"/>
        </w:rPr>
        <w:t>reflected that counselling services were being delivered effectively under the current arrangements and further consolidation would introduce risks to service delivery.</w:t>
      </w:r>
    </w:p>
    <w:p w14:paraId="14D60350" w14:textId="06025A00" w:rsidR="000268B4" w:rsidRPr="002414A4" w:rsidRDefault="000268B4" w:rsidP="000268B4">
      <w:pPr>
        <w:pStyle w:val="Heading5"/>
        <w:rPr>
          <w:lang w:eastAsia="ja-JP"/>
        </w:rPr>
      </w:pPr>
      <w:r>
        <w:rPr>
          <w:lang w:eastAsia="ja-JP"/>
        </w:rPr>
        <w:lastRenderedPageBreak/>
        <w:t>Potential</w:t>
      </w:r>
      <w:r w:rsidRPr="002414A4">
        <w:rPr>
          <w:lang w:eastAsia="ja-JP"/>
        </w:rPr>
        <w:t xml:space="preserve"> risks</w:t>
      </w:r>
    </w:p>
    <w:p w14:paraId="17214961" w14:textId="59E109E1" w:rsidR="00517F4E" w:rsidRDefault="00535025" w:rsidP="00866B0C">
      <w:r>
        <w:t>All s</w:t>
      </w:r>
      <w:r w:rsidRPr="00DE1AF4">
        <w:t>ervice</w:t>
      </w:r>
      <w:r w:rsidR="002618C3">
        <w:t xml:space="preserve"> prov</w:t>
      </w:r>
      <w:r w:rsidR="00111976">
        <w:t>id</w:t>
      </w:r>
      <w:r w:rsidR="002618C3">
        <w:t>ers</w:t>
      </w:r>
      <w:r w:rsidRPr="00DE1AF4">
        <w:t xml:space="preserve"> stressed the need for embedded counsellors in local communities </w:t>
      </w:r>
      <w:r>
        <w:t>so as to be seen as a</w:t>
      </w:r>
      <w:r w:rsidRPr="00DE1AF4">
        <w:t xml:space="preserve"> trusted source of information</w:t>
      </w:r>
      <w:r w:rsidR="00CC5CBC">
        <w:t>. Some c</w:t>
      </w:r>
      <w:r>
        <w:t xml:space="preserve">ounsellors felt that a large organisation </w:t>
      </w:r>
      <w:r w:rsidR="00CC5CBC">
        <w:t>could jeopardise this position</w:t>
      </w:r>
      <w:r w:rsidR="00754883">
        <w:t>. O</w:t>
      </w:r>
      <w:r w:rsidR="00CC5CBC">
        <w:t>thers thought that as long as local offices were maintained</w:t>
      </w:r>
      <w:r w:rsidR="00754883">
        <w:t>,</w:t>
      </w:r>
      <w:r w:rsidR="00CC5CBC">
        <w:t xml:space="preserve"> a single state provider could be effective.</w:t>
      </w:r>
    </w:p>
    <w:p w14:paraId="32A5F386" w14:textId="6B0DDB91" w:rsidR="00517F4E" w:rsidRDefault="00676EEF" w:rsidP="00866B0C">
      <w:pPr>
        <w:rPr>
          <w:lang w:eastAsia="ja-JP"/>
        </w:rPr>
      </w:pPr>
      <w:r>
        <w:rPr>
          <w:lang w:eastAsia="ja-JP"/>
        </w:rPr>
        <w:t>P</w:t>
      </w:r>
      <w:r w:rsidR="005A065B">
        <w:rPr>
          <w:lang w:eastAsia="ja-JP"/>
        </w:rPr>
        <w:t xml:space="preserve">roviders recognised the potential for </w:t>
      </w:r>
      <w:r w:rsidR="002B7BD2">
        <w:rPr>
          <w:lang w:eastAsia="ja-JP"/>
        </w:rPr>
        <w:t xml:space="preserve">some </w:t>
      </w:r>
      <w:r w:rsidR="005A065B">
        <w:rPr>
          <w:lang w:eastAsia="ja-JP"/>
        </w:rPr>
        <w:t>cost-saving and administrative efficiencies (mainly for program administration)</w:t>
      </w:r>
      <w:r>
        <w:rPr>
          <w:lang w:eastAsia="ja-JP"/>
        </w:rPr>
        <w:t xml:space="preserve">. </w:t>
      </w:r>
      <w:r w:rsidR="00B15115">
        <w:rPr>
          <w:lang w:eastAsia="ja-JP"/>
        </w:rPr>
        <w:t>T</w:t>
      </w:r>
      <w:r w:rsidR="005A065B">
        <w:rPr>
          <w:lang w:eastAsia="ja-JP"/>
        </w:rPr>
        <w:t xml:space="preserve">hese </w:t>
      </w:r>
      <w:r w:rsidR="00B15115">
        <w:rPr>
          <w:lang w:eastAsia="ja-JP"/>
        </w:rPr>
        <w:t xml:space="preserve">efficiencies </w:t>
      </w:r>
      <w:r w:rsidR="005A065B">
        <w:rPr>
          <w:lang w:eastAsia="ja-JP"/>
        </w:rPr>
        <w:t>were anticipa</w:t>
      </w:r>
      <w:r w:rsidR="0044225F">
        <w:rPr>
          <w:lang w:eastAsia="ja-JP"/>
        </w:rPr>
        <w:t xml:space="preserve">ted to be modest and </w:t>
      </w:r>
      <w:r w:rsidR="00CC5CBC">
        <w:rPr>
          <w:lang w:eastAsia="ja-JP"/>
        </w:rPr>
        <w:t xml:space="preserve">potentially </w:t>
      </w:r>
      <w:r w:rsidR="0044225F">
        <w:rPr>
          <w:lang w:eastAsia="ja-JP"/>
        </w:rPr>
        <w:t xml:space="preserve">offset by </w:t>
      </w:r>
      <w:r w:rsidR="005A065B">
        <w:rPr>
          <w:lang w:eastAsia="ja-JP"/>
        </w:rPr>
        <w:t xml:space="preserve">the </w:t>
      </w:r>
      <w:r w:rsidR="007D0FDA">
        <w:rPr>
          <w:lang w:eastAsia="ja-JP"/>
        </w:rPr>
        <w:t>cost of</w:t>
      </w:r>
      <w:r w:rsidR="005A065B">
        <w:rPr>
          <w:lang w:eastAsia="ja-JP"/>
        </w:rPr>
        <w:t xml:space="preserve"> additional layers of management and increased travel costs for the executive.</w:t>
      </w:r>
    </w:p>
    <w:p w14:paraId="6D1E5801" w14:textId="68A11684" w:rsidR="00517F4E" w:rsidRDefault="009B59EC" w:rsidP="00866B0C">
      <w:pPr>
        <w:rPr>
          <w:lang w:eastAsia="ja-JP"/>
        </w:rPr>
      </w:pPr>
      <w:r>
        <w:rPr>
          <w:lang w:eastAsia="ja-JP"/>
        </w:rPr>
        <w:t>T</w:t>
      </w:r>
      <w:r w:rsidR="005001A1">
        <w:rPr>
          <w:lang w:eastAsia="ja-JP"/>
        </w:rPr>
        <w:t>he</w:t>
      </w:r>
      <w:r w:rsidR="0037169A">
        <w:rPr>
          <w:lang w:eastAsia="ja-JP"/>
        </w:rPr>
        <w:t xml:space="preserve"> pot</w:t>
      </w:r>
      <w:r w:rsidR="005001A1">
        <w:rPr>
          <w:lang w:eastAsia="ja-JP"/>
        </w:rPr>
        <w:t xml:space="preserve">ential risks identified </w:t>
      </w:r>
      <w:r w:rsidR="008B1168">
        <w:rPr>
          <w:lang w:eastAsia="ja-JP"/>
        </w:rPr>
        <w:t xml:space="preserve">by service providers </w:t>
      </w:r>
      <w:r w:rsidR="005001A1">
        <w:rPr>
          <w:lang w:eastAsia="ja-JP"/>
        </w:rPr>
        <w:t>include</w:t>
      </w:r>
      <w:r w:rsidR="0037169A">
        <w:rPr>
          <w:lang w:eastAsia="ja-JP"/>
        </w:rPr>
        <w:t>:</w:t>
      </w:r>
    </w:p>
    <w:p w14:paraId="40A5E9DC" w14:textId="06E9A424" w:rsidR="005A065B" w:rsidRDefault="000268B4" w:rsidP="005A065B">
      <w:pPr>
        <w:pStyle w:val="ListBullet"/>
        <w:rPr>
          <w:lang w:eastAsia="ja-JP"/>
        </w:rPr>
      </w:pPr>
      <w:r>
        <w:rPr>
          <w:lang w:eastAsia="ja-JP"/>
        </w:rPr>
        <w:t>l</w:t>
      </w:r>
      <w:r w:rsidR="00771D24">
        <w:rPr>
          <w:lang w:eastAsia="ja-JP"/>
        </w:rPr>
        <w:t>oss of</w:t>
      </w:r>
      <w:r w:rsidR="005A065B">
        <w:rPr>
          <w:lang w:eastAsia="ja-JP"/>
        </w:rPr>
        <w:t xml:space="preserve"> </w:t>
      </w:r>
      <w:r w:rsidR="005A065B" w:rsidRPr="00455015">
        <w:rPr>
          <w:lang w:eastAsia="ja-JP"/>
        </w:rPr>
        <w:t>local connections, recognition and trust bu</w:t>
      </w:r>
      <w:r w:rsidR="0037169A">
        <w:rPr>
          <w:lang w:eastAsia="ja-JP"/>
        </w:rPr>
        <w:t>ilt through local partnerships</w:t>
      </w:r>
      <w:r w:rsidR="009B59EC">
        <w:rPr>
          <w:lang w:eastAsia="ja-JP"/>
        </w:rPr>
        <w:t>—</w:t>
      </w:r>
      <w:r w:rsidR="0037169A">
        <w:rPr>
          <w:lang w:eastAsia="ja-JP"/>
        </w:rPr>
        <w:t>affecting the potential client base</w:t>
      </w:r>
      <w:r w:rsidR="00535025">
        <w:rPr>
          <w:lang w:eastAsia="ja-JP"/>
        </w:rPr>
        <w:t xml:space="preserve"> and board membership</w:t>
      </w:r>
    </w:p>
    <w:p w14:paraId="1C581A46" w14:textId="2BAB3BD5" w:rsidR="0037169A" w:rsidRDefault="000268B4" w:rsidP="0037169A">
      <w:pPr>
        <w:pStyle w:val="ListBullet"/>
        <w:rPr>
          <w:lang w:eastAsia="ja-JP"/>
        </w:rPr>
      </w:pPr>
      <w:r>
        <w:rPr>
          <w:lang w:eastAsia="ja-JP"/>
        </w:rPr>
        <w:t>r</w:t>
      </w:r>
      <w:r w:rsidR="0037169A">
        <w:rPr>
          <w:lang w:eastAsia="ja-JP"/>
        </w:rPr>
        <w:t>educed quality of reporting and advice to government</w:t>
      </w:r>
      <w:r w:rsidR="00D46D8D">
        <w:rPr>
          <w:lang w:eastAsia="ja-JP"/>
        </w:rPr>
        <w:t xml:space="preserve"> (based on local or regional intel)</w:t>
      </w:r>
      <w:r w:rsidR="005751BC">
        <w:rPr>
          <w:lang w:eastAsia="ja-JP"/>
        </w:rPr>
        <w:t>,</w:t>
      </w:r>
      <w:r w:rsidR="0037169A" w:rsidRPr="0037169A">
        <w:rPr>
          <w:lang w:eastAsia="ja-JP"/>
        </w:rPr>
        <w:t xml:space="preserve"> </w:t>
      </w:r>
      <w:r w:rsidR="0037169A">
        <w:rPr>
          <w:lang w:eastAsia="ja-JP"/>
        </w:rPr>
        <w:t>particularly in times of drought, natural disaster and industry downturn</w:t>
      </w:r>
    </w:p>
    <w:p w14:paraId="7E686D78" w14:textId="0AE14787" w:rsidR="007D0FDA" w:rsidRDefault="00596A68" w:rsidP="007D0FDA">
      <w:pPr>
        <w:pStyle w:val="ListBullet"/>
        <w:rPr>
          <w:lang w:eastAsia="ja-JP"/>
        </w:rPr>
      </w:pPr>
      <w:r>
        <w:rPr>
          <w:lang w:eastAsia="ja-JP"/>
        </w:rPr>
        <w:t>s</w:t>
      </w:r>
      <w:r w:rsidR="005A065B" w:rsidRPr="00455015">
        <w:rPr>
          <w:lang w:eastAsia="ja-JP"/>
        </w:rPr>
        <w:t>taff turnover</w:t>
      </w:r>
      <w:r w:rsidR="0044225F">
        <w:rPr>
          <w:lang w:eastAsia="ja-JP"/>
        </w:rPr>
        <w:t xml:space="preserve"> </w:t>
      </w:r>
      <w:r w:rsidR="007D0FDA">
        <w:rPr>
          <w:lang w:eastAsia="ja-JP"/>
        </w:rPr>
        <w:t>due to cultural differences between providers</w:t>
      </w:r>
      <w:r>
        <w:rPr>
          <w:lang w:eastAsia="ja-JP"/>
        </w:rPr>
        <w:t>—p</w:t>
      </w:r>
      <w:r w:rsidR="007D0FDA">
        <w:rPr>
          <w:lang w:eastAsia="ja-JP"/>
        </w:rPr>
        <w:t xml:space="preserve">articular </w:t>
      </w:r>
      <w:r w:rsidR="005001A1">
        <w:rPr>
          <w:lang w:eastAsia="ja-JP"/>
        </w:rPr>
        <w:t>problems</w:t>
      </w:r>
      <w:r w:rsidR="007D0FDA">
        <w:rPr>
          <w:lang w:eastAsia="ja-JP"/>
        </w:rPr>
        <w:t xml:space="preserve"> </w:t>
      </w:r>
      <w:r w:rsidR="00B56288">
        <w:rPr>
          <w:lang w:eastAsia="ja-JP"/>
        </w:rPr>
        <w:t xml:space="preserve">were </w:t>
      </w:r>
      <w:r w:rsidR="007D0FDA">
        <w:rPr>
          <w:lang w:eastAsia="ja-JP"/>
        </w:rPr>
        <w:t>anticipated if staff were automatically transferred to another service</w:t>
      </w:r>
    </w:p>
    <w:p w14:paraId="6BE15C20" w14:textId="55A5FBE6" w:rsidR="005751BC" w:rsidRDefault="0037169A" w:rsidP="00535025">
      <w:pPr>
        <w:pStyle w:val="ListBullet"/>
        <w:rPr>
          <w:lang w:eastAsia="ja-JP"/>
        </w:rPr>
      </w:pPr>
      <w:r>
        <w:rPr>
          <w:lang w:eastAsia="ja-JP"/>
        </w:rPr>
        <w:t xml:space="preserve">boards and executive </w:t>
      </w:r>
      <w:r w:rsidR="005751BC">
        <w:rPr>
          <w:lang w:eastAsia="ja-JP"/>
        </w:rPr>
        <w:t xml:space="preserve">with reduced local knowledge </w:t>
      </w:r>
      <w:r>
        <w:rPr>
          <w:lang w:eastAsia="ja-JP"/>
        </w:rPr>
        <w:t xml:space="preserve">of </w:t>
      </w:r>
      <w:r w:rsidR="00535025">
        <w:rPr>
          <w:lang w:eastAsia="ja-JP"/>
        </w:rPr>
        <w:t xml:space="preserve">the </w:t>
      </w:r>
      <w:r w:rsidRPr="00DE1AF4">
        <w:t>diverse agricultural sectors</w:t>
      </w:r>
      <w:r>
        <w:t xml:space="preserve"> </w:t>
      </w:r>
      <w:r w:rsidR="00535025">
        <w:t xml:space="preserve">they </w:t>
      </w:r>
      <w:r w:rsidR="004E3E25">
        <w:t xml:space="preserve">are </w:t>
      </w:r>
      <w:r w:rsidR="00535025">
        <w:t>servicing</w:t>
      </w:r>
    </w:p>
    <w:p w14:paraId="24E183A2" w14:textId="5BBD857D" w:rsidR="00535025" w:rsidRDefault="00535025" w:rsidP="00535025">
      <w:pPr>
        <w:pStyle w:val="ListBullet"/>
        <w:rPr>
          <w:lang w:eastAsia="ja-JP"/>
        </w:rPr>
      </w:pPr>
      <w:r>
        <w:rPr>
          <w:lang w:eastAsia="ja-JP"/>
        </w:rPr>
        <w:t xml:space="preserve">concerns that counsellors would not be </w:t>
      </w:r>
      <w:r w:rsidRPr="00DE1AF4">
        <w:t xml:space="preserve">embedded </w:t>
      </w:r>
      <w:r>
        <w:t>in areas of need</w:t>
      </w:r>
    </w:p>
    <w:p w14:paraId="76A0B71C" w14:textId="1E2856FB" w:rsidR="0037169A" w:rsidRPr="00535025" w:rsidRDefault="00596A68" w:rsidP="0037169A">
      <w:pPr>
        <w:pStyle w:val="ListBullet"/>
        <w:rPr>
          <w:lang w:eastAsia="ja-JP"/>
        </w:rPr>
      </w:pPr>
      <w:r>
        <w:rPr>
          <w:lang w:eastAsia="ja-JP"/>
        </w:rPr>
        <w:t>c</w:t>
      </w:r>
      <w:r w:rsidR="0037169A" w:rsidRPr="00535025">
        <w:rPr>
          <w:lang w:eastAsia="ja-JP"/>
        </w:rPr>
        <w:t>reating extra levels of bureaucracy and layers of management within the service</w:t>
      </w:r>
    </w:p>
    <w:p w14:paraId="5FC6469E" w14:textId="627AB2CD" w:rsidR="007D0FDA" w:rsidRDefault="00596A68" w:rsidP="007D0FDA">
      <w:pPr>
        <w:pStyle w:val="ListBullet"/>
      </w:pPr>
      <w:r>
        <w:t>i</w:t>
      </w:r>
      <w:r w:rsidR="007D0FDA" w:rsidRPr="00DE1AF4">
        <w:t xml:space="preserve">ncreased travel </w:t>
      </w:r>
      <w:r w:rsidR="007D0FDA">
        <w:t xml:space="preserve">costs and time </w:t>
      </w:r>
      <w:r w:rsidR="007D0FDA" w:rsidRPr="00DE1AF4">
        <w:t xml:space="preserve">for board </w:t>
      </w:r>
      <w:r w:rsidR="004E3E25">
        <w:t xml:space="preserve">members </w:t>
      </w:r>
      <w:r w:rsidR="007D0FDA" w:rsidRPr="00DE1AF4">
        <w:t>and executive officer</w:t>
      </w:r>
      <w:r w:rsidR="007D0FDA">
        <w:t>s</w:t>
      </w:r>
    </w:p>
    <w:p w14:paraId="7E918F7C" w14:textId="182A4B4D" w:rsidR="0044225F" w:rsidRDefault="00596A68" w:rsidP="006B33D7">
      <w:pPr>
        <w:pStyle w:val="ListBullet"/>
        <w:rPr>
          <w:lang w:eastAsia="ja-JP"/>
        </w:rPr>
      </w:pPr>
      <w:proofErr w:type="gramStart"/>
      <w:r>
        <w:rPr>
          <w:lang w:eastAsia="ja-JP"/>
        </w:rPr>
        <w:t>s</w:t>
      </w:r>
      <w:r w:rsidR="005A065B" w:rsidRPr="00455015">
        <w:rPr>
          <w:lang w:eastAsia="ja-JP"/>
        </w:rPr>
        <w:t>ervice</w:t>
      </w:r>
      <w:proofErr w:type="gramEnd"/>
      <w:r w:rsidR="005A065B" w:rsidRPr="00455015">
        <w:rPr>
          <w:lang w:eastAsia="ja-JP"/>
        </w:rPr>
        <w:t xml:space="preserve"> </w:t>
      </w:r>
      <w:r w:rsidR="0037169A">
        <w:rPr>
          <w:lang w:eastAsia="ja-JP"/>
        </w:rPr>
        <w:t>disruption</w:t>
      </w:r>
      <w:r w:rsidR="005A065B" w:rsidRPr="00455015">
        <w:rPr>
          <w:lang w:eastAsia="ja-JP"/>
        </w:rPr>
        <w:t xml:space="preserve"> </w:t>
      </w:r>
      <w:r w:rsidR="00013D2B">
        <w:rPr>
          <w:lang w:eastAsia="ja-JP"/>
        </w:rPr>
        <w:t>for clients during transition</w:t>
      </w:r>
      <w:r w:rsidR="00921AAB">
        <w:rPr>
          <w:lang w:eastAsia="ja-JP"/>
        </w:rPr>
        <w:t>.</w:t>
      </w:r>
    </w:p>
    <w:p w14:paraId="4DC400BB" w14:textId="10DDB397" w:rsidR="006B33D7" w:rsidRPr="00535025" w:rsidRDefault="0037169A" w:rsidP="00FB0361">
      <w:pPr>
        <w:pStyle w:val="Heading5"/>
        <w:rPr>
          <w:lang w:eastAsia="ja-JP"/>
        </w:rPr>
      </w:pPr>
      <w:r w:rsidRPr="00535025">
        <w:rPr>
          <w:lang w:eastAsia="ja-JP"/>
        </w:rPr>
        <w:t>Process</w:t>
      </w:r>
    </w:p>
    <w:p w14:paraId="1EF96B2F" w14:textId="68902820" w:rsidR="00517F4E" w:rsidRDefault="005751BC" w:rsidP="00866B0C">
      <w:pPr>
        <w:rPr>
          <w:lang w:eastAsia="ja-JP"/>
        </w:rPr>
      </w:pPr>
      <w:r>
        <w:rPr>
          <w:lang w:eastAsia="ja-JP"/>
        </w:rPr>
        <w:t>I</w:t>
      </w:r>
      <w:r w:rsidR="006B33D7">
        <w:rPr>
          <w:lang w:eastAsia="ja-JP"/>
        </w:rPr>
        <w:t xml:space="preserve">f service regions were to be consolidated further, </w:t>
      </w:r>
      <w:r>
        <w:rPr>
          <w:lang w:eastAsia="ja-JP"/>
        </w:rPr>
        <w:t>providers</w:t>
      </w:r>
      <w:r w:rsidR="00D46D8D">
        <w:rPr>
          <w:lang w:eastAsia="ja-JP"/>
        </w:rPr>
        <w:t xml:space="preserve"> requested</w:t>
      </w:r>
      <w:r>
        <w:rPr>
          <w:lang w:eastAsia="ja-JP"/>
        </w:rPr>
        <w:t xml:space="preserve"> </w:t>
      </w:r>
      <w:r w:rsidR="006B33D7">
        <w:rPr>
          <w:lang w:eastAsia="ja-JP"/>
        </w:rPr>
        <w:t>a formal, well</w:t>
      </w:r>
      <w:r>
        <w:rPr>
          <w:lang w:eastAsia="ja-JP"/>
        </w:rPr>
        <w:t>-</w:t>
      </w:r>
      <w:r w:rsidR="006B33D7">
        <w:rPr>
          <w:lang w:eastAsia="ja-JP"/>
        </w:rPr>
        <w:t xml:space="preserve">managed </w:t>
      </w:r>
      <w:r w:rsidR="005001A1">
        <w:rPr>
          <w:lang w:eastAsia="ja-JP"/>
        </w:rPr>
        <w:t xml:space="preserve">consultation </w:t>
      </w:r>
      <w:r w:rsidR="006B33D7">
        <w:rPr>
          <w:lang w:eastAsia="ja-JP"/>
        </w:rPr>
        <w:t xml:space="preserve">process </w:t>
      </w:r>
      <w:r w:rsidR="0018536C">
        <w:rPr>
          <w:lang w:eastAsia="ja-JP"/>
        </w:rPr>
        <w:t xml:space="preserve">with ample time to </w:t>
      </w:r>
      <w:r w:rsidR="00F406D3">
        <w:rPr>
          <w:lang w:eastAsia="ja-JP"/>
        </w:rPr>
        <w:t>prepare and transition</w:t>
      </w:r>
      <w:r w:rsidR="006B33D7" w:rsidRPr="004725F2">
        <w:rPr>
          <w:lang w:eastAsia="ja-JP"/>
        </w:rPr>
        <w:t>.</w:t>
      </w:r>
      <w:r w:rsidR="006B33D7">
        <w:rPr>
          <w:lang w:eastAsia="ja-JP"/>
        </w:rPr>
        <w:t xml:space="preserve"> </w:t>
      </w:r>
      <w:r w:rsidR="00FB0361">
        <w:rPr>
          <w:lang w:eastAsia="ja-JP"/>
        </w:rPr>
        <w:t>Stakeholders stressed that c</w:t>
      </w:r>
      <w:r w:rsidR="006B33D7">
        <w:rPr>
          <w:lang w:eastAsia="ja-JP"/>
        </w:rPr>
        <w:t>ounsellors would still need to be regionally based, operati</w:t>
      </w:r>
      <w:r w:rsidR="00FB0361">
        <w:rPr>
          <w:lang w:eastAsia="ja-JP"/>
        </w:rPr>
        <w:t>ng out of local offices or hubs to retain local connections.</w:t>
      </w:r>
    </w:p>
    <w:p w14:paraId="1EE9DAF7" w14:textId="031D8B70" w:rsidR="00013D2B" w:rsidRPr="002A4CC2" w:rsidRDefault="002414A4" w:rsidP="00866B0C">
      <w:pPr>
        <w:rPr>
          <w:lang w:eastAsia="ja-JP"/>
        </w:rPr>
      </w:pPr>
      <w:r>
        <w:rPr>
          <w:lang w:eastAsia="ja-JP"/>
        </w:rPr>
        <w:t xml:space="preserve">In Victoria, </w:t>
      </w:r>
      <w:r w:rsidR="00596A68">
        <w:rPr>
          <w:lang w:eastAsia="ja-JP"/>
        </w:rPr>
        <w:t>there was a strong preference for the status quo</w:t>
      </w:r>
      <w:r w:rsidR="005751BC">
        <w:rPr>
          <w:lang w:eastAsia="ja-JP"/>
        </w:rPr>
        <w:t>; however, stakeholders believed</w:t>
      </w:r>
      <w:r w:rsidR="006B33D7" w:rsidRPr="004725F2">
        <w:rPr>
          <w:lang w:eastAsia="ja-JP"/>
        </w:rPr>
        <w:t xml:space="preserve"> </w:t>
      </w:r>
      <w:r w:rsidR="006B33D7">
        <w:rPr>
          <w:lang w:eastAsia="ja-JP"/>
        </w:rPr>
        <w:t xml:space="preserve">a reduction </w:t>
      </w:r>
      <w:r w:rsidR="006B33D7" w:rsidRPr="002A4CC2">
        <w:rPr>
          <w:lang w:eastAsia="ja-JP"/>
        </w:rPr>
        <w:t xml:space="preserve">to </w:t>
      </w:r>
      <w:r w:rsidR="00F13F30">
        <w:rPr>
          <w:lang w:eastAsia="ja-JP"/>
        </w:rPr>
        <w:t>2</w:t>
      </w:r>
      <w:r w:rsidR="006B33D7" w:rsidRPr="002A4CC2">
        <w:rPr>
          <w:lang w:eastAsia="ja-JP"/>
        </w:rPr>
        <w:t xml:space="preserve"> providers would work better than a single</w:t>
      </w:r>
      <w:r w:rsidR="004E3E25" w:rsidRPr="002A4CC2">
        <w:rPr>
          <w:lang w:eastAsia="ja-JP"/>
        </w:rPr>
        <w:t>-</w:t>
      </w:r>
      <w:r w:rsidR="006B33D7" w:rsidRPr="002A4CC2">
        <w:rPr>
          <w:lang w:eastAsia="ja-JP"/>
        </w:rPr>
        <w:t>state provider</w:t>
      </w:r>
      <w:r w:rsidR="00754883">
        <w:rPr>
          <w:lang w:eastAsia="ja-JP"/>
        </w:rPr>
        <w:t>. Stakeholders suggested</w:t>
      </w:r>
      <w:r w:rsidR="006B33D7" w:rsidRPr="002A4CC2">
        <w:rPr>
          <w:lang w:eastAsia="ja-JP"/>
        </w:rPr>
        <w:t xml:space="preserve"> the logical split </w:t>
      </w:r>
      <w:r w:rsidR="00754883">
        <w:rPr>
          <w:lang w:eastAsia="ja-JP"/>
        </w:rPr>
        <w:t xml:space="preserve">would </w:t>
      </w:r>
      <w:r w:rsidR="005751BC">
        <w:rPr>
          <w:lang w:eastAsia="ja-JP"/>
        </w:rPr>
        <w:t>b</w:t>
      </w:r>
      <w:r w:rsidR="00754883">
        <w:rPr>
          <w:lang w:eastAsia="ja-JP"/>
        </w:rPr>
        <w:t>e</w:t>
      </w:r>
      <w:r w:rsidR="005751BC">
        <w:rPr>
          <w:lang w:eastAsia="ja-JP"/>
        </w:rPr>
        <w:t xml:space="preserve"> </w:t>
      </w:r>
      <w:r w:rsidR="006B33D7" w:rsidRPr="002A4CC2">
        <w:rPr>
          <w:lang w:eastAsia="ja-JP"/>
        </w:rPr>
        <w:t>eastern and western region</w:t>
      </w:r>
      <w:r w:rsidR="004E3E25" w:rsidRPr="002A4CC2">
        <w:rPr>
          <w:lang w:eastAsia="ja-JP"/>
        </w:rPr>
        <w:t>s</w:t>
      </w:r>
      <w:r w:rsidR="006B33D7" w:rsidRPr="002A4CC2">
        <w:rPr>
          <w:lang w:eastAsia="ja-JP"/>
        </w:rPr>
        <w:t xml:space="preserve"> via a north-south boundary through the middle of Victoria.</w:t>
      </w:r>
      <w:r w:rsidR="00455015" w:rsidRPr="002A4CC2">
        <w:rPr>
          <w:lang w:eastAsia="ja-JP"/>
        </w:rPr>
        <w:t xml:space="preserve"> </w:t>
      </w:r>
      <w:r w:rsidR="00FB0361" w:rsidRPr="002A4CC2">
        <w:rPr>
          <w:lang w:eastAsia="ja-JP"/>
        </w:rPr>
        <w:t xml:space="preserve">There was not a consensus position in New South Wales on whether a reduction of the service to </w:t>
      </w:r>
      <w:r w:rsidR="00F13F30">
        <w:rPr>
          <w:lang w:eastAsia="ja-JP"/>
        </w:rPr>
        <w:t>2</w:t>
      </w:r>
      <w:r w:rsidR="00FB0361" w:rsidRPr="002A4CC2">
        <w:rPr>
          <w:lang w:eastAsia="ja-JP"/>
        </w:rPr>
        <w:t xml:space="preserve"> providers or a single state provider would be more effective.</w:t>
      </w:r>
    </w:p>
    <w:p w14:paraId="7E768E05" w14:textId="6E11EB1A" w:rsidR="00013D2B" w:rsidRPr="002A4CC2" w:rsidRDefault="007663BA" w:rsidP="00FB0361">
      <w:pPr>
        <w:pStyle w:val="Heading5"/>
        <w:rPr>
          <w:bCs/>
          <w:lang w:eastAsia="ja-JP"/>
        </w:rPr>
      </w:pPr>
      <w:r w:rsidRPr="002A4CC2">
        <w:rPr>
          <w:lang w:eastAsia="ja-JP"/>
        </w:rPr>
        <w:t>Discussion</w:t>
      </w:r>
    </w:p>
    <w:p w14:paraId="6D241F37" w14:textId="430BD80C" w:rsidR="006B33D7" w:rsidRPr="002A4CC2" w:rsidRDefault="00013D2B" w:rsidP="00866B0C">
      <w:pPr>
        <w:rPr>
          <w:lang w:eastAsia="ja-JP"/>
        </w:rPr>
      </w:pPr>
      <w:r w:rsidRPr="002A4CC2">
        <w:rPr>
          <w:lang w:eastAsia="ja-JP"/>
        </w:rPr>
        <w:t xml:space="preserve">The panel considered the views of stakeholders along with </w:t>
      </w:r>
      <w:proofErr w:type="spellStart"/>
      <w:r w:rsidRPr="002A4CC2">
        <w:rPr>
          <w:lang w:eastAsia="ja-JP"/>
        </w:rPr>
        <w:t>NRAC</w:t>
      </w:r>
      <w:r w:rsidR="00736B18">
        <w:rPr>
          <w:lang w:eastAsia="ja-JP"/>
        </w:rPr>
        <w:t>'</w:t>
      </w:r>
      <w:r w:rsidRPr="002A4CC2">
        <w:rPr>
          <w:lang w:eastAsia="ja-JP"/>
        </w:rPr>
        <w:t>s</w:t>
      </w:r>
      <w:proofErr w:type="spellEnd"/>
      <w:r w:rsidRPr="002A4CC2">
        <w:rPr>
          <w:lang w:eastAsia="ja-JP"/>
        </w:rPr>
        <w:t xml:space="preserve"> previous recommendation that the RFCS move to a state-based delivery model. </w:t>
      </w:r>
      <w:r w:rsidR="00754883">
        <w:rPr>
          <w:lang w:eastAsia="ja-JP"/>
        </w:rPr>
        <w:t>I</w:t>
      </w:r>
      <w:r w:rsidRPr="002A4CC2">
        <w:rPr>
          <w:lang w:eastAsia="ja-JP"/>
        </w:rPr>
        <w:t xml:space="preserve">t </w:t>
      </w:r>
      <w:r w:rsidR="004674E3" w:rsidRPr="002A4CC2">
        <w:rPr>
          <w:lang w:eastAsia="ja-JP"/>
        </w:rPr>
        <w:t>is</w:t>
      </w:r>
      <w:r w:rsidRPr="002A4CC2">
        <w:rPr>
          <w:lang w:eastAsia="ja-JP"/>
        </w:rPr>
        <w:t xml:space="preserve"> the panel</w:t>
      </w:r>
      <w:r w:rsidR="00736B18">
        <w:rPr>
          <w:lang w:eastAsia="ja-JP"/>
        </w:rPr>
        <w:t>'</w:t>
      </w:r>
      <w:r w:rsidRPr="002A4CC2">
        <w:rPr>
          <w:lang w:eastAsia="ja-JP"/>
        </w:rPr>
        <w:t xml:space="preserve">s view that there was a greater rationale to retain the status quo and not to </w:t>
      </w:r>
      <w:r w:rsidR="0079258A" w:rsidRPr="002A4CC2">
        <w:rPr>
          <w:lang w:eastAsia="ja-JP"/>
        </w:rPr>
        <w:t>mandate a reduction in the number of service regions</w:t>
      </w:r>
      <w:r w:rsidRPr="002A4CC2">
        <w:rPr>
          <w:lang w:eastAsia="ja-JP"/>
        </w:rPr>
        <w:t xml:space="preserve"> at this time. </w:t>
      </w:r>
      <w:r w:rsidR="00754883">
        <w:rPr>
          <w:lang w:eastAsia="ja-JP"/>
        </w:rPr>
        <w:t>Although</w:t>
      </w:r>
      <w:r w:rsidRPr="002A4CC2">
        <w:rPr>
          <w:lang w:eastAsia="ja-JP"/>
        </w:rPr>
        <w:t xml:space="preserve"> some efficiencies could be gained through a change to the service structure, one of the key strengths of the RFCS </w:t>
      </w:r>
      <w:r w:rsidR="0079258A" w:rsidRPr="002A4CC2">
        <w:rPr>
          <w:lang w:eastAsia="ja-JP"/>
        </w:rPr>
        <w:t xml:space="preserve">is </w:t>
      </w:r>
      <w:r w:rsidRPr="002A4CC2">
        <w:rPr>
          <w:lang w:eastAsia="ja-JP"/>
        </w:rPr>
        <w:t xml:space="preserve">its diversity and strong local connections. </w:t>
      </w:r>
      <w:r w:rsidR="001D3A54">
        <w:rPr>
          <w:lang w:eastAsia="ja-JP"/>
        </w:rPr>
        <w:t>T</w:t>
      </w:r>
      <w:r w:rsidRPr="002A4CC2">
        <w:rPr>
          <w:lang w:eastAsia="ja-JP"/>
        </w:rPr>
        <w:t xml:space="preserve">he timing of making a significant structural change to the service when it was </w:t>
      </w:r>
      <w:r w:rsidRPr="002A4CC2">
        <w:rPr>
          <w:lang w:eastAsia="ja-JP"/>
        </w:rPr>
        <w:lastRenderedPageBreak/>
        <w:t xml:space="preserve">currently under stress from high demand in </w:t>
      </w:r>
      <w:r w:rsidR="00B56288" w:rsidRPr="002A4CC2">
        <w:rPr>
          <w:lang w:eastAsia="ja-JP"/>
        </w:rPr>
        <w:t xml:space="preserve">several </w:t>
      </w:r>
      <w:r w:rsidRPr="002A4CC2">
        <w:rPr>
          <w:lang w:eastAsia="ja-JP"/>
        </w:rPr>
        <w:t>regions would pose significant risks to service quality and continuity.</w:t>
      </w:r>
      <w:r w:rsidR="00FB0361" w:rsidRPr="002A4CC2">
        <w:rPr>
          <w:lang w:eastAsia="ja-JP"/>
        </w:rPr>
        <w:t xml:space="preserve"> However, </w:t>
      </w:r>
      <w:r w:rsidR="005001A1" w:rsidRPr="002A4CC2">
        <w:rPr>
          <w:lang w:eastAsia="ja-JP"/>
        </w:rPr>
        <w:t xml:space="preserve">it is noted that </w:t>
      </w:r>
      <w:r w:rsidR="00FB0361" w:rsidRPr="002A4CC2">
        <w:rPr>
          <w:lang w:eastAsia="ja-JP"/>
        </w:rPr>
        <w:t xml:space="preserve">should rationalisation occur in the next </w:t>
      </w:r>
      <w:r w:rsidR="00FB0361" w:rsidRPr="00277C29">
        <w:rPr>
          <w:lang w:eastAsia="ja-JP"/>
        </w:rPr>
        <w:t>funding round(s) throu</w:t>
      </w:r>
      <w:r w:rsidR="005001A1" w:rsidRPr="00277C29">
        <w:rPr>
          <w:lang w:eastAsia="ja-JP"/>
        </w:rPr>
        <w:t>gh an open competitive process</w:t>
      </w:r>
      <w:r w:rsidR="00FB0361" w:rsidRPr="00277C29">
        <w:rPr>
          <w:lang w:eastAsia="ja-JP"/>
        </w:rPr>
        <w:t>,</w:t>
      </w:r>
      <w:r w:rsidR="00FB0361" w:rsidRPr="002A4CC2">
        <w:rPr>
          <w:lang w:eastAsia="ja-JP"/>
        </w:rPr>
        <w:t xml:space="preserve"> this </w:t>
      </w:r>
      <w:r w:rsidR="00337EDE" w:rsidRPr="002A4CC2">
        <w:rPr>
          <w:lang w:eastAsia="ja-JP"/>
        </w:rPr>
        <w:t>c</w:t>
      </w:r>
      <w:r w:rsidR="00FB0361" w:rsidRPr="002A4CC2">
        <w:rPr>
          <w:lang w:eastAsia="ja-JP"/>
        </w:rPr>
        <w:t>ould be beneficial for the</w:t>
      </w:r>
      <w:r w:rsidR="00CC5CBC" w:rsidRPr="002A4CC2">
        <w:rPr>
          <w:lang w:eastAsia="ja-JP"/>
        </w:rPr>
        <w:t xml:space="preserve"> RFCS in the long</w:t>
      </w:r>
      <w:r w:rsidR="00FB0361" w:rsidRPr="002A4CC2">
        <w:rPr>
          <w:lang w:eastAsia="ja-JP"/>
        </w:rPr>
        <w:t xml:space="preserve"> term.</w:t>
      </w:r>
    </w:p>
    <w:p w14:paraId="1DCE81B6" w14:textId="0169AA69" w:rsidR="006B33D7" w:rsidRPr="00A33C3A" w:rsidRDefault="001E153D" w:rsidP="00A33C3A">
      <w:pPr>
        <w:pStyle w:val="BoxHeading"/>
      </w:pPr>
      <w:r w:rsidRPr="00A33C3A">
        <w:t>Recommendation</w:t>
      </w:r>
      <w:r w:rsidR="00A33C3A">
        <w:t xml:space="preserve"> 5</w:t>
      </w:r>
    </w:p>
    <w:p w14:paraId="06714CE1" w14:textId="77777777" w:rsidR="00623BB6" w:rsidRPr="00A33C3A" w:rsidRDefault="00623BB6" w:rsidP="00A33C3A">
      <w:pPr>
        <w:pStyle w:val="BoxText"/>
      </w:pPr>
      <w:r w:rsidRPr="00A33C3A">
        <w:t xml:space="preserve">That a reduction in the number of service regions will not be mandated in the next funding round. Guidelines should allow for a competitive grants process whereby applicants can compete </w:t>
      </w:r>
      <w:r w:rsidRPr="00DE6948">
        <w:t>for one</w:t>
      </w:r>
      <w:r w:rsidRPr="00A33C3A">
        <w:t xml:space="preserve"> or more service areas in their funding application.</w:t>
      </w:r>
    </w:p>
    <w:p w14:paraId="2B3911AE" w14:textId="77777777" w:rsidR="00517F4E" w:rsidRDefault="000930BA" w:rsidP="00F359B6">
      <w:pPr>
        <w:pStyle w:val="Heading3"/>
        <w:numPr>
          <w:ilvl w:val="1"/>
          <w:numId w:val="12"/>
        </w:numPr>
        <w:rPr>
          <w:lang w:eastAsia="ja-JP"/>
        </w:rPr>
      </w:pPr>
      <w:bookmarkStart w:id="31" w:name="_Toc15838246"/>
      <w:bookmarkStart w:id="32" w:name="_Toc18328850"/>
      <w:r>
        <w:rPr>
          <w:lang w:eastAsia="ja-JP"/>
        </w:rPr>
        <w:t>Governance</w:t>
      </w:r>
      <w:bookmarkEnd w:id="31"/>
      <w:bookmarkEnd w:id="32"/>
    </w:p>
    <w:p w14:paraId="7CDF375F" w14:textId="77777777" w:rsidR="00517F4E" w:rsidRDefault="000930BA" w:rsidP="000930BA">
      <w:pPr>
        <w:pStyle w:val="Heading4"/>
        <w:numPr>
          <w:ilvl w:val="2"/>
          <w:numId w:val="12"/>
        </w:numPr>
        <w:rPr>
          <w:lang w:eastAsia="ja-JP"/>
        </w:rPr>
      </w:pPr>
      <w:r>
        <w:rPr>
          <w:lang w:eastAsia="ja-JP"/>
        </w:rPr>
        <w:t>Deed requirements</w:t>
      </w:r>
    </w:p>
    <w:p w14:paraId="5BDE836A" w14:textId="386C28C4" w:rsidR="00517F4E" w:rsidRDefault="000930BA" w:rsidP="000930BA">
      <w:pPr>
        <w:rPr>
          <w:szCs w:val="20"/>
        </w:rPr>
      </w:pPr>
      <w:r>
        <w:rPr>
          <w:lang w:eastAsia="ja-JP"/>
        </w:rPr>
        <w:t xml:space="preserve">The 2014 </w:t>
      </w:r>
      <w:proofErr w:type="spellStart"/>
      <w:r>
        <w:rPr>
          <w:lang w:eastAsia="ja-JP"/>
        </w:rPr>
        <w:t>NRAC</w:t>
      </w:r>
      <w:proofErr w:type="spellEnd"/>
      <w:r>
        <w:rPr>
          <w:lang w:eastAsia="ja-JP"/>
        </w:rPr>
        <w:t xml:space="preserve"> review focused on improving the corporate governance of service providers. Under the deed, boards are held accountable for</w:t>
      </w:r>
      <w:r w:rsidRPr="00181F27">
        <w:rPr>
          <w:szCs w:val="20"/>
        </w:rPr>
        <w:t xml:space="preserve"> governance </w:t>
      </w:r>
      <w:r>
        <w:rPr>
          <w:szCs w:val="20"/>
        </w:rPr>
        <w:t>and service delivery through annual and progress reporting as well as review meetings.</w:t>
      </w:r>
    </w:p>
    <w:p w14:paraId="2C63CDAE" w14:textId="76002EB3" w:rsidR="00517F4E" w:rsidRDefault="001D3A54" w:rsidP="000930BA">
      <w:pPr>
        <w:rPr>
          <w:lang w:eastAsia="ja-JP"/>
        </w:rPr>
      </w:pPr>
      <w:r>
        <w:rPr>
          <w:lang w:eastAsia="ja-JP"/>
        </w:rPr>
        <w:t>P</w:t>
      </w:r>
      <w:r w:rsidR="000930BA">
        <w:rPr>
          <w:lang w:eastAsia="ja-JP"/>
        </w:rPr>
        <w:t>roviders understood that they should be compl</w:t>
      </w:r>
      <w:r>
        <w:rPr>
          <w:lang w:eastAsia="ja-JP"/>
        </w:rPr>
        <w:t xml:space="preserve">ying with </w:t>
      </w:r>
      <w:r w:rsidR="000930BA">
        <w:rPr>
          <w:lang w:eastAsia="ja-JP"/>
        </w:rPr>
        <w:t>the deed and demonstrat</w:t>
      </w:r>
      <w:r>
        <w:rPr>
          <w:lang w:eastAsia="ja-JP"/>
        </w:rPr>
        <w:t>ing</w:t>
      </w:r>
      <w:r w:rsidR="000930BA">
        <w:rPr>
          <w:lang w:eastAsia="ja-JP"/>
        </w:rPr>
        <w:t xml:space="preserve"> accountability for </w:t>
      </w:r>
      <w:r>
        <w:rPr>
          <w:lang w:eastAsia="ja-JP"/>
        </w:rPr>
        <w:t>s</w:t>
      </w:r>
      <w:r w:rsidR="000930BA">
        <w:rPr>
          <w:lang w:eastAsia="ja-JP"/>
        </w:rPr>
        <w:t>pending public money</w:t>
      </w:r>
      <w:r>
        <w:rPr>
          <w:lang w:eastAsia="ja-JP"/>
        </w:rPr>
        <w:t>. However</w:t>
      </w:r>
      <w:r w:rsidR="000930BA">
        <w:rPr>
          <w:lang w:eastAsia="ja-JP"/>
        </w:rPr>
        <w:t>, most providers considered the deed to be overly prescriptive about their operational and corporate affairs.</w:t>
      </w:r>
    </w:p>
    <w:p w14:paraId="75878DCF" w14:textId="31F1248B" w:rsidR="000930BA" w:rsidRDefault="000930BA" w:rsidP="000930BA">
      <w:pPr>
        <w:rPr>
          <w:lang w:eastAsia="ja-JP"/>
        </w:rPr>
      </w:pPr>
      <w:r w:rsidDel="00CE788B">
        <w:rPr>
          <w:lang w:eastAsia="ja-JP"/>
        </w:rPr>
        <w:t xml:space="preserve">From a government perspective, the administrative burden of managing the RFCS program </w:t>
      </w:r>
      <w:r w:rsidR="00C252E0">
        <w:rPr>
          <w:lang w:eastAsia="ja-JP"/>
        </w:rPr>
        <w:t xml:space="preserve">has historically been </w:t>
      </w:r>
      <w:r w:rsidDel="00CE788B">
        <w:rPr>
          <w:lang w:eastAsia="ja-JP"/>
        </w:rPr>
        <w:t xml:space="preserve">high and, to some extent, out of sync with broader grants management. </w:t>
      </w:r>
      <w:r w:rsidR="001D3A54">
        <w:rPr>
          <w:lang w:eastAsia="ja-JP"/>
        </w:rPr>
        <w:t>S</w:t>
      </w:r>
      <w:r w:rsidR="00C252E0">
        <w:rPr>
          <w:lang w:eastAsia="ja-JP"/>
        </w:rPr>
        <w:t xml:space="preserve">treamlining of both financial and performance reporting has been implemented in the current grant round, particularly in the 2018–19 financial year. </w:t>
      </w:r>
      <w:r w:rsidR="00347665">
        <w:rPr>
          <w:lang w:eastAsia="ja-JP"/>
        </w:rPr>
        <w:t>T</w:t>
      </w:r>
      <w:r>
        <w:rPr>
          <w:lang w:eastAsia="ja-JP"/>
        </w:rPr>
        <w:t xml:space="preserve">here </w:t>
      </w:r>
      <w:r w:rsidR="00347665">
        <w:rPr>
          <w:lang w:eastAsia="ja-JP"/>
        </w:rPr>
        <w:t>are</w:t>
      </w:r>
      <w:r>
        <w:rPr>
          <w:lang w:eastAsia="ja-JP"/>
        </w:rPr>
        <w:t xml:space="preserve"> </w:t>
      </w:r>
      <w:r w:rsidR="00C252E0">
        <w:rPr>
          <w:lang w:eastAsia="ja-JP"/>
        </w:rPr>
        <w:t xml:space="preserve">still onerous </w:t>
      </w:r>
      <w:r>
        <w:rPr>
          <w:lang w:eastAsia="ja-JP"/>
        </w:rPr>
        <w:t>aspects of program administration, with the department needing to approv</w:t>
      </w:r>
      <w:r w:rsidR="00347665">
        <w:rPr>
          <w:lang w:eastAsia="ja-JP"/>
        </w:rPr>
        <w:t>e</w:t>
      </w:r>
      <w:r>
        <w:rPr>
          <w:lang w:eastAsia="ja-JP"/>
        </w:rPr>
        <w:t xml:space="preserve"> activities</w:t>
      </w:r>
      <w:r w:rsidR="00347665">
        <w:rPr>
          <w:lang w:eastAsia="ja-JP"/>
        </w:rPr>
        <w:t xml:space="preserve"> and</w:t>
      </w:r>
      <w:r>
        <w:rPr>
          <w:lang w:eastAsia="ja-JP"/>
        </w:rPr>
        <w:t xml:space="preserve"> check compliance. Streamlining these matters would help both parties but may need to be underpinned by an audit mechanism and graduated compliance regime.</w:t>
      </w:r>
      <w:r w:rsidR="00C252E0">
        <w:rPr>
          <w:lang w:eastAsia="ja-JP"/>
        </w:rPr>
        <w:t xml:space="preserve"> Double handling also exists for program administration with some grants management activities duplicated by the department and the </w:t>
      </w:r>
      <w:r w:rsidR="00C252E0">
        <w:t>Community Grants Hub.</w:t>
      </w:r>
    </w:p>
    <w:p w14:paraId="39A8C2D2" w14:textId="278F1EE1" w:rsidR="00517F4E" w:rsidRDefault="00347665" w:rsidP="000930BA">
      <w:pPr>
        <w:rPr>
          <w:lang w:eastAsia="ja-JP"/>
        </w:rPr>
      </w:pPr>
      <w:r>
        <w:rPr>
          <w:lang w:eastAsia="ja-JP"/>
        </w:rPr>
        <w:t xml:space="preserve">The deed requires </w:t>
      </w:r>
      <w:r w:rsidR="000930BA">
        <w:rPr>
          <w:lang w:eastAsia="ja-JP"/>
        </w:rPr>
        <w:t xml:space="preserve">service providers to be incorporated organisations and to run the service on a not-for-profit basis. In addition to the governance requirements set out in the guidelines and deed, most </w:t>
      </w:r>
      <w:r w:rsidR="000930BA" w:rsidRPr="00C31CC0">
        <w:rPr>
          <w:bCs/>
        </w:rPr>
        <w:t>not</w:t>
      </w:r>
      <w:r w:rsidR="000930BA">
        <w:rPr>
          <w:bCs/>
        </w:rPr>
        <w:t>-</w:t>
      </w:r>
      <w:r w:rsidR="000930BA" w:rsidRPr="00C31CC0">
        <w:rPr>
          <w:bCs/>
        </w:rPr>
        <w:t>for</w:t>
      </w:r>
      <w:r w:rsidR="000930BA">
        <w:rPr>
          <w:bCs/>
        </w:rPr>
        <w:t>-</w:t>
      </w:r>
      <w:r w:rsidR="000930BA" w:rsidRPr="00C31CC0">
        <w:rPr>
          <w:bCs/>
        </w:rPr>
        <w:t>profit entities</w:t>
      </w:r>
      <w:r w:rsidR="000930BA">
        <w:rPr>
          <w:bCs/>
        </w:rPr>
        <w:t xml:space="preserve"> are</w:t>
      </w:r>
      <w:r w:rsidR="000930BA">
        <w:t xml:space="preserve"> registered under the </w:t>
      </w:r>
      <w:r w:rsidR="000930BA">
        <w:rPr>
          <w:i/>
          <w:iCs/>
        </w:rPr>
        <w:t>Australian Charities and Not-for-profit</w:t>
      </w:r>
      <w:r>
        <w:rPr>
          <w:i/>
          <w:iCs/>
        </w:rPr>
        <w:t>s</w:t>
      </w:r>
      <w:r w:rsidR="000930BA">
        <w:rPr>
          <w:i/>
          <w:iCs/>
        </w:rPr>
        <w:t xml:space="preserve"> Commission Act 2012</w:t>
      </w:r>
      <w:r w:rsidR="000930BA">
        <w:t xml:space="preserve"> and are subject to the </w:t>
      </w:r>
      <w:r w:rsidR="000930BA">
        <w:rPr>
          <w:lang w:eastAsia="ja-JP"/>
        </w:rPr>
        <w:t xml:space="preserve">governance requirements in the regulations to that Act. Incorporated entities are also subject to either </w:t>
      </w:r>
      <w:r w:rsidR="000930BA" w:rsidRPr="00C31CC0">
        <w:rPr>
          <w:lang w:eastAsia="ja-JP"/>
        </w:rPr>
        <w:t xml:space="preserve">the </w:t>
      </w:r>
      <w:r w:rsidR="000930BA" w:rsidRPr="00C31CC0">
        <w:rPr>
          <w:i/>
          <w:lang w:eastAsia="ja-JP"/>
        </w:rPr>
        <w:t>Corporations Act</w:t>
      </w:r>
      <w:r w:rsidR="000930BA">
        <w:rPr>
          <w:i/>
          <w:lang w:eastAsia="ja-JP"/>
        </w:rPr>
        <w:t xml:space="preserve"> 2001</w:t>
      </w:r>
      <w:r w:rsidR="000930BA" w:rsidRPr="00C31CC0">
        <w:rPr>
          <w:lang w:eastAsia="ja-JP"/>
        </w:rPr>
        <w:t xml:space="preserve"> (for Commonwealth corporations) or </w:t>
      </w:r>
      <w:r w:rsidR="000930BA">
        <w:rPr>
          <w:lang w:eastAsia="ja-JP"/>
        </w:rPr>
        <w:t xml:space="preserve">relevant </w:t>
      </w:r>
      <w:r w:rsidR="00B93869">
        <w:rPr>
          <w:lang w:eastAsia="ja-JP"/>
        </w:rPr>
        <w:t>s</w:t>
      </w:r>
      <w:r w:rsidR="000930BA">
        <w:rPr>
          <w:lang w:eastAsia="ja-JP"/>
        </w:rPr>
        <w:t xml:space="preserve">tate legislation (for </w:t>
      </w:r>
      <w:r w:rsidR="00B93869">
        <w:rPr>
          <w:lang w:eastAsia="ja-JP"/>
        </w:rPr>
        <w:t>s</w:t>
      </w:r>
      <w:r w:rsidR="000930BA" w:rsidRPr="00C31CC0">
        <w:rPr>
          <w:lang w:eastAsia="ja-JP"/>
        </w:rPr>
        <w:t>tate-based incorporated entities).</w:t>
      </w:r>
    </w:p>
    <w:p w14:paraId="1019CA46" w14:textId="72E92400" w:rsidR="000930BA" w:rsidRPr="00E05675" w:rsidDel="00CE788B" w:rsidRDefault="000930BA" w:rsidP="00F359B6">
      <w:pPr>
        <w:spacing w:after="120"/>
        <w:rPr>
          <w:lang w:eastAsia="ja-JP"/>
        </w:rPr>
      </w:pPr>
      <w:r w:rsidRPr="00E05675" w:rsidDel="00CE788B">
        <w:rPr>
          <w:lang w:eastAsia="ja-JP"/>
        </w:rPr>
        <w:t>Moving forward, the review</w:t>
      </w:r>
      <w:r>
        <w:rPr>
          <w:lang w:eastAsia="ja-JP"/>
        </w:rPr>
        <w:t xml:space="preserve"> panel</w:t>
      </w:r>
      <w:r w:rsidR="00736B18">
        <w:rPr>
          <w:lang w:eastAsia="ja-JP"/>
        </w:rPr>
        <w:t>'</w:t>
      </w:r>
      <w:r w:rsidRPr="00E05675" w:rsidDel="00CE788B">
        <w:rPr>
          <w:lang w:eastAsia="ja-JP"/>
        </w:rPr>
        <w:t>s aspirations for service governance arrangements are</w:t>
      </w:r>
      <w:r w:rsidDel="00CE788B">
        <w:rPr>
          <w:lang w:eastAsia="ja-JP"/>
        </w:rPr>
        <w:t xml:space="preserve"> to</w:t>
      </w:r>
      <w:r w:rsidRPr="00E05675" w:rsidDel="00CE788B">
        <w:rPr>
          <w:lang w:eastAsia="ja-JP"/>
        </w:rPr>
        <w:t>:</w:t>
      </w:r>
    </w:p>
    <w:p w14:paraId="48718950" w14:textId="77777777" w:rsidR="000930BA" w:rsidRPr="00E05675" w:rsidDel="00CE788B" w:rsidRDefault="000930BA" w:rsidP="000930BA">
      <w:pPr>
        <w:pStyle w:val="ListBullet"/>
      </w:pPr>
      <w:r w:rsidRPr="00E05675" w:rsidDel="00CE788B">
        <w:t>reduce administration and streamline the relationship, providing efficiency for both providers and government</w:t>
      </w:r>
    </w:p>
    <w:p w14:paraId="46ADB082" w14:textId="7BA5C223" w:rsidR="000930BA" w:rsidRPr="00E05675" w:rsidDel="00CE788B" w:rsidRDefault="000930BA" w:rsidP="000930BA">
      <w:pPr>
        <w:pStyle w:val="ListBullet"/>
      </w:pPr>
      <w:r>
        <w:t>increase</w:t>
      </w:r>
      <w:r w:rsidRPr="00E05675">
        <w:t xml:space="preserve"> independence and autonomy of providers</w:t>
      </w:r>
      <w:r w:rsidR="00B93869">
        <w:t>,</w:t>
      </w:r>
      <w:r w:rsidRPr="00E05675">
        <w:t xml:space="preserve"> </w:t>
      </w:r>
      <w:r>
        <w:t xml:space="preserve">backed up by suitable </w:t>
      </w:r>
      <w:r w:rsidRPr="00F359B6">
        <w:t>compliance</w:t>
      </w:r>
      <w:r>
        <w:t xml:space="preserve"> measures</w:t>
      </w:r>
    </w:p>
    <w:p w14:paraId="10593B07" w14:textId="77777777" w:rsidR="000930BA" w:rsidRDefault="000930BA" w:rsidP="00F359B6">
      <w:pPr>
        <w:pStyle w:val="ListBullet"/>
        <w:spacing w:after="200"/>
      </w:pPr>
      <w:proofErr w:type="gramStart"/>
      <w:r w:rsidDel="00CE788B">
        <w:t>limit</w:t>
      </w:r>
      <w:proofErr w:type="gramEnd"/>
      <w:r w:rsidDel="00CE788B">
        <w:t xml:space="preserve"> </w:t>
      </w:r>
      <w:r w:rsidRPr="00E05675" w:rsidDel="00CE788B">
        <w:t>reporting to critical matters</w:t>
      </w:r>
      <w:r w:rsidDel="00CE788B">
        <w:t>.</w:t>
      </w:r>
    </w:p>
    <w:p w14:paraId="26F2981B" w14:textId="59330364" w:rsidR="00517F4E" w:rsidRDefault="000930BA" w:rsidP="00F359B6">
      <w:pPr>
        <w:rPr>
          <w:lang w:eastAsia="ja-JP"/>
        </w:rPr>
      </w:pPr>
      <w:r w:rsidRPr="00F359B6">
        <w:rPr>
          <w:lang w:eastAsia="ja-JP"/>
        </w:rPr>
        <w:lastRenderedPageBreak/>
        <w:t xml:space="preserve">In future funding rounds, the government </w:t>
      </w:r>
      <w:r w:rsidR="00B93869">
        <w:rPr>
          <w:lang w:eastAsia="ja-JP"/>
        </w:rPr>
        <w:t xml:space="preserve">must </w:t>
      </w:r>
      <w:r w:rsidRPr="00F359B6">
        <w:rPr>
          <w:lang w:eastAsia="ja-JP"/>
        </w:rPr>
        <w:t>be clear in its expectations and hold providers accountable for their results.</w:t>
      </w:r>
    </w:p>
    <w:p w14:paraId="04E4C9ED" w14:textId="1515F3FD" w:rsidR="00517F4E" w:rsidRDefault="000930BA" w:rsidP="00821039">
      <w:pPr>
        <w:rPr>
          <w:lang w:eastAsia="ja-JP"/>
        </w:rPr>
      </w:pPr>
      <w:r>
        <w:rPr>
          <w:lang w:eastAsia="ja-JP"/>
        </w:rPr>
        <w:t>Specific issues related to performance</w:t>
      </w:r>
      <w:r w:rsidR="00B93869">
        <w:rPr>
          <w:lang w:eastAsia="ja-JP"/>
        </w:rPr>
        <w:t xml:space="preserve">, </w:t>
      </w:r>
      <w:r>
        <w:rPr>
          <w:lang w:eastAsia="ja-JP"/>
        </w:rPr>
        <w:t xml:space="preserve">assessment and reporting are </w:t>
      </w:r>
      <w:r w:rsidRPr="00967344">
        <w:rPr>
          <w:lang w:eastAsia="ja-JP"/>
        </w:rPr>
        <w:t xml:space="preserve">discussed in </w:t>
      </w:r>
      <w:r w:rsidR="00821039" w:rsidRPr="00967344">
        <w:rPr>
          <w:lang w:eastAsia="ja-JP"/>
        </w:rPr>
        <w:fldChar w:fldCharType="begin" w:fldLock="1"/>
      </w:r>
      <w:r w:rsidR="00821039" w:rsidRPr="00967344">
        <w:rPr>
          <w:lang w:eastAsia="ja-JP"/>
        </w:rPr>
        <w:instrText xml:space="preserve"> REF _Ref16606117 \h </w:instrText>
      </w:r>
      <w:r w:rsidR="00B93869" w:rsidRPr="00967344">
        <w:rPr>
          <w:lang w:eastAsia="ja-JP"/>
        </w:rPr>
        <w:instrText xml:space="preserve"> \* MERGEFORMAT </w:instrText>
      </w:r>
      <w:r w:rsidR="00821039" w:rsidRPr="00967344">
        <w:rPr>
          <w:lang w:eastAsia="ja-JP"/>
        </w:rPr>
      </w:r>
      <w:r w:rsidR="00821039" w:rsidRPr="00967344">
        <w:rPr>
          <w:lang w:eastAsia="ja-JP"/>
        </w:rPr>
        <w:fldChar w:fldCharType="separate"/>
      </w:r>
      <w:r w:rsidR="00474B0C">
        <w:t>Monitoring and evaluation</w:t>
      </w:r>
      <w:r w:rsidR="00821039" w:rsidRPr="00967344">
        <w:rPr>
          <w:lang w:eastAsia="ja-JP"/>
        </w:rPr>
        <w:fldChar w:fldCharType="end"/>
      </w:r>
      <w:r w:rsidRPr="00967344">
        <w:rPr>
          <w:lang w:eastAsia="ja-JP"/>
        </w:rPr>
        <w:t>.</w:t>
      </w:r>
    </w:p>
    <w:p w14:paraId="7C8CDE8E" w14:textId="43C20273" w:rsidR="006B33D7" w:rsidRDefault="006B33D7" w:rsidP="00EF2381">
      <w:pPr>
        <w:pStyle w:val="Heading4"/>
        <w:numPr>
          <w:ilvl w:val="2"/>
          <w:numId w:val="12"/>
        </w:numPr>
        <w:rPr>
          <w:lang w:eastAsia="ja-JP"/>
        </w:rPr>
      </w:pPr>
      <w:r>
        <w:rPr>
          <w:lang w:eastAsia="ja-JP"/>
        </w:rPr>
        <w:t xml:space="preserve">Governance arrangements for </w:t>
      </w:r>
      <w:r w:rsidR="000930BA">
        <w:rPr>
          <w:lang w:eastAsia="ja-JP"/>
        </w:rPr>
        <w:t>boards</w:t>
      </w:r>
    </w:p>
    <w:p w14:paraId="5D18E3C1" w14:textId="114126B0" w:rsidR="00251928" w:rsidRDefault="006B33D7" w:rsidP="006B33D7">
      <w:r>
        <w:rPr>
          <w:lang w:eastAsia="ja-JP"/>
        </w:rPr>
        <w:t xml:space="preserve">One of </w:t>
      </w:r>
      <w:proofErr w:type="spellStart"/>
      <w:r>
        <w:rPr>
          <w:lang w:eastAsia="ja-JP"/>
        </w:rPr>
        <w:t>NRAC</w:t>
      </w:r>
      <w:r w:rsidR="00736B18">
        <w:rPr>
          <w:lang w:eastAsia="ja-JP"/>
        </w:rPr>
        <w:t>'</w:t>
      </w:r>
      <w:r>
        <w:rPr>
          <w:lang w:eastAsia="ja-JP"/>
        </w:rPr>
        <w:t>s</w:t>
      </w:r>
      <w:proofErr w:type="spellEnd"/>
      <w:r>
        <w:rPr>
          <w:lang w:eastAsia="ja-JP"/>
        </w:rPr>
        <w:t xml:space="preserve"> key recommendations </w:t>
      </w:r>
      <w:r w:rsidR="00337EDE">
        <w:rPr>
          <w:lang w:eastAsia="ja-JP"/>
        </w:rPr>
        <w:t xml:space="preserve">in 2014 </w:t>
      </w:r>
      <w:r>
        <w:rPr>
          <w:lang w:eastAsia="ja-JP"/>
        </w:rPr>
        <w:t xml:space="preserve">was to improve the professionalism of RFCS </w:t>
      </w:r>
      <w:r w:rsidRPr="00550DC2">
        <w:rPr>
          <w:lang w:eastAsia="ja-JP"/>
        </w:rPr>
        <w:t xml:space="preserve">boards so they </w:t>
      </w:r>
      <w:r w:rsidR="00B93869" w:rsidRPr="00550DC2">
        <w:rPr>
          <w:lang w:eastAsia="ja-JP"/>
        </w:rPr>
        <w:t>are</w:t>
      </w:r>
      <w:r w:rsidR="00B93869">
        <w:rPr>
          <w:lang w:eastAsia="ja-JP"/>
        </w:rPr>
        <w:t xml:space="preserve"> </w:t>
      </w:r>
      <w:r>
        <w:rPr>
          <w:lang w:eastAsia="ja-JP"/>
        </w:rPr>
        <w:t>skills</w:t>
      </w:r>
      <w:r w:rsidR="008C7FD3">
        <w:rPr>
          <w:lang w:eastAsia="ja-JP"/>
        </w:rPr>
        <w:t>-</w:t>
      </w:r>
      <w:r>
        <w:rPr>
          <w:lang w:eastAsia="ja-JP"/>
        </w:rPr>
        <w:t xml:space="preserve">based, experienced and capable of providing strategic direction and corporate governance. The detail of this recommendation was agreed in part by the government and implemented </w:t>
      </w:r>
      <w:r w:rsidRPr="00244A60">
        <w:t xml:space="preserve">in the </w:t>
      </w:r>
      <w:r w:rsidR="001E3132">
        <w:t>2016 to 2020</w:t>
      </w:r>
      <w:r w:rsidR="00F13F30">
        <w:t xml:space="preserve"> </w:t>
      </w:r>
      <w:r>
        <w:t xml:space="preserve">funding round. </w:t>
      </w:r>
      <w:proofErr w:type="spellStart"/>
      <w:r w:rsidR="00251928">
        <w:t>NRAC</w:t>
      </w:r>
      <w:r w:rsidR="00736B18">
        <w:t>'</w:t>
      </w:r>
      <w:r w:rsidR="00251928">
        <w:t>s</w:t>
      </w:r>
      <w:proofErr w:type="spellEnd"/>
      <w:r w:rsidR="00251928">
        <w:t xml:space="preserve"> recommendations had</w:t>
      </w:r>
      <w:r>
        <w:t xml:space="preserve"> a focus on delineating the role of boards and the required skills or competencies of board members. The </w:t>
      </w:r>
      <w:r w:rsidR="00536984">
        <w:t>current program</w:t>
      </w:r>
      <w:r w:rsidR="00F13F30">
        <w:t xml:space="preserve"> </w:t>
      </w:r>
      <w:r>
        <w:t>guidelines required that the organisations must</w:t>
      </w:r>
      <w:r w:rsidR="00251928">
        <w:t>:</w:t>
      </w:r>
    </w:p>
    <w:p w14:paraId="72ABB0ED" w14:textId="24F61311" w:rsidR="00251928" w:rsidRDefault="006B33D7" w:rsidP="00B52448">
      <w:pPr>
        <w:pStyle w:val="ListBullet"/>
      </w:pPr>
      <w:r>
        <w:t xml:space="preserve">be incorporated with a separate board to govern </w:t>
      </w:r>
      <w:r w:rsidR="00251928">
        <w:t>program delivery</w:t>
      </w:r>
    </w:p>
    <w:p w14:paraId="37EEBA2E" w14:textId="77655BFF" w:rsidR="00251928" w:rsidRDefault="00251928" w:rsidP="00B52448">
      <w:pPr>
        <w:pStyle w:val="ListBullet"/>
      </w:pPr>
      <w:r>
        <w:t xml:space="preserve">have a maximum of </w:t>
      </w:r>
      <w:r w:rsidR="00F13F30">
        <w:t>7</w:t>
      </w:r>
      <w:r w:rsidRPr="00F61EEE">
        <w:t xml:space="preserve"> board</w:t>
      </w:r>
      <w:r>
        <w:t xml:space="preserve"> members</w:t>
      </w:r>
    </w:p>
    <w:p w14:paraId="4D4FD966" w14:textId="0B75F7E5" w:rsidR="00251928" w:rsidRDefault="00251928" w:rsidP="00B52448">
      <w:pPr>
        <w:pStyle w:val="ListBullet"/>
      </w:pPr>
      <w:r>
        <w:t xml:space="preserve">receive reimbursement for a maximum of $66,000 per </w:t>
      </w:r>
      <w:r w:rsidR="00403E0F">
        <w:t xml:space="preserve">year </w:t>
      </w:r>
      <w:r>
        <w:t>for board costs</w:t>
      </w:r>
    </w:p>
    <w:p w14:paraId="00856A9C" w14:textId="5767E24C" w:rsidR="00251928" w:rsidRDefault="00E05675" w:rsidP="00B52448">
      <w:pPr>
        <w:pStyle w:val="ListBullet"/>
      </w:pPr>
      <w:r>
        <w:t>use merit selection for boards</w:t>
      </w:r>
    </w:p>
    <w:p w14:paraId="50B4DB24" w14:textId="57058799" w:rsidR="00251928" w:rsidRDefault="00251928" w:rsidP="00B52448">
      <w:pPr>
        <w:pStyle w:val="ListBullet"/>
      </w:pPr>
      <w:proofErr w:type="gramStart"/>
      <w:r>
        <w:t>not</w:t>
      </w:r>
      <w:proofErr w:type="gramEnd"/>
      <w:r>
        <w:t xml:space="preserve"> exceed remuneration limits prescribed by the Remuneration Tribunal for the Chair and other members</w:t>
      </w:r>
      <w:r w:rsidR="00E05675">
        <w:t>.</w:t>
      </w:r>
    </w:p>
    <w:p w14:paraId="5ABDC63D" w14:textId="60ADDAF0" w:rsidR="00517F4E" w:rsidRDefault="00180C80" w:rsidP="006B33D7">
      <w:pPr>
        <w:rPr>
          <w:szCs w:val="20"/>
        </w:rPr>
      </w:pPr>
      <w:r>
        <w:rPr>
          <w:szCs w:val="20"/>
        </w:rPr>
        <w:t xml:space="preserve">In 2014 </w:t>
      </w:r>
      <w:proofErr w:type="spellStart"/>
      <w:r w:rsidR="006B33D7">
        <w:rPr>
          <w:szCs w:val="20"/>
        </w:rPr>
        <w:t>NRAC</w:t>
      </w:r>
      <w:proofErr w:type="spellEnd"/>
      <w:r w:rsidR="006B33D7">
        <w:rPr>
          <w:szCs w:val="20"/>
        </w:rPr>
        <w:t xml:space="preserve"> found a </w:t>
      </w:r>
      <w:r w:rsidR="006B33D7" w:rsidRPr="00181F27">
        <w:rPr>
          <w:szCs w:val="20"/>
        </w:rPr>
        <w:t>substantial variation in the skills</w:t>
      </w:r>
      <w:r w:rsidR="008C7FD3">
        <w:rPr>
          <w:szCs w:val="20"/>
        </w:rPr>
        <w:t xml:space="preserve"> </w:t>
      </w:r>
      <w:r w:rsidR="006B33D7" w:rsidRPr="00181F27">
        <w:rPr>
          <w:szCs w:val="20"/>
        </w:rPr>
        <w:t>base, professionalis</w:t>
      </w:r>
      <w:r w:rsidR="006B33D7">
        <w:rPr>
          <w:szCs w:val="20"/>
        </w:rPr>
        <w:t xml:space="preserve">m and operations of RFCS boards. By </w:t>
      </w:r>
      <w:r w:rsidR="00950B24">
        <w:rPr>
          <w:szCs w:val="20"/>
        </w:rPr>
        <w:t xml:space="preserve">recommending an </w:t>
      </w:r>
      <w:r w:rsidR="006B33D7">
        <w:rPr>
          <w:szCs w:val="20"/>
        </w:rPr>
        <w:t>increas</w:t>
      </w:r>
      <w:r w:rsidR="00950B24">
        <w:rPr>
          <w:szCs w:val="20"/>
        </w:rPr>
        <w:t>ed</w:t>
      </w:r>
      <w:r w:rsidR="006B33D7">
        <w:rPr>
          <w:szCs w:val="20"/>
        </w:rPr>
        <w:t xml:space="preserve"> focus on the skills and selection of board members</w:t>
      </w:r>
      <w:r w:rsidR="002763FB">
        <w:rPr>
          <w:szCs w:val="20"/>
        </w:rPr>
        <w:t xml:space="preserve">, </w:t>
      </w:r>
      <w:proofErr w:type="spellStart"/>
      <w:r w:rsidR="00950B24">
        <w:rPr>
          <w:szCs w:val="20"/>
        </w:rPr>
        <w:t>NRAC</w:t>
      </w:r>
      <w:proofErr w:type="spellEnd"/>
      <w:r w:rsidR="00950B24">
        <w:rPr>
          <w:szCs w:val="20"/>
        </w:rPr>
        <w:t xml:space="preserve"> </w:t>
      </w:r>
      <w:r w:rsidR="006B33D7">
        <w:rPr>
          <w:szCs w:val="20"/>
        </w:rPr>
        <w:t>sought to improve the capacity of the board to apply sound corporate governance and strategic direction to the organisation.</w:t>
      </w:r>
    </w:p>
    <w:p w14:paraId="49AA70A5" w14:textId="59E473A2" w:rsidR="00517F4E" w:rsidRDefault="006B33D7" w:rsidP="006B33D7">
      <w:pPr>
        <w:rPr>
          <w:szCs w:val="20"/>
        </w:rPr>
      </w:pPr>
      <w:r>
        <w:rPr>
          <w:szCs w:val="20"/>
        </w:rPr>
        <w:t xml:space="preserve">The review panel noted that several boards stressed their commitment to ensuring </w:t>
      </w:r>
      <w:r w:rsidR="00F52F3B">
        <w:rPr>
          <w:szCs w:val="20"/>
        </w:rPr>
        <w:t xml:space="preserve">strong </w:t>
      </w:r>
      <w:r>
        <w:rPr>
          <w:szCs w:val="20"/>
        </w:rPr>
        <w:t>corporate governance in their organisation and that they understood all the</w:t>
      </w:r>
      <w:r w:rsidR="00F52F3B">
        <w:rPr>
          <w:szCs w:val="20"/>
        </w:rPr>
        <w:t>ir</w:t>
      </w:r>
      <w:r>
        <w:rPr>
          <w:szCs w:val="20"/>
        </w:rPr>
        <w:t xml:space="preserve"> obligations under the</w:t>
      </w:r>
      <w:r w:rsidR="003461A5">
        <w:rPr>
          <w:szCs w:val="20"/>
        </w:rPr>
        <w:t xml:space="preserve"> deed</w:t>
      </w:r>
      <w:r>
        <w:rPr>
          <w:szCs w:val="20"/>
        </w:rPr>
        <w:t xml:space="preserve">. Some boards </w:t>
      </w:r>
      <w:r w:rsidR="00F52F3B">
        <w:rPr>
          <w:szCs w:val="20"/>
        </w:rPr>
        <w:t>were</w:t>
      </w:r>
      <w:r w:rsidR="00180C80">
        <w:rPr>
          <w:szCs w:val="20"/>
        </w:rPr>
        <w:t xml:space="preserve"> </w:t>
      </w:r>
      <w:r>
        <w:rPr>
          <w:szCs w:val="20"/>
        </w:rPr>
        <w:t xml:space="preserve">strategic in their focus </w:t>
      </w:r>
      <w:r w:rsidR="008C7FD3">
        <w:rPr>
          <w:szCs w:val="20"/>
        </w:rPr>
        <w:t xml:space="preserve">while </w:t>
      </w:r>
      <w:r>
        <w:rPr>
          <w:szCs w:val="20"/>
        </w:rPr>
        <w:t xml:space="preserve">others </w:t>
      </w:r>
      <w:r w:rsidR="008C7FD3">
        <w:rPr>
          <w:szCs w:val="20"/>
        </w:rPr>
        <w:t>had an active</w:t>
      </w:r>
      <w:r>
        <w:rPr>
          <w:szCs w:val="20"/>
        </w:rPr>
        <w:t xml:space="preserve"> interest in the operational affairs of the</w:t>
      </w:r>
      <w:r w:rsidR="008C7FD3">
        <w:rPr>
          <w:szCs w:val="20"/>
        </w:rPr>
        <w:t>ir</w:t>
      </w:r>
      <w:r>
        <w:rPr>
          <w:szCs w:val="20"/>
        </w:rPr>
        <w:t xml:space="preserve"> organisation.</w:t>
      </w:r>
      <w:r w:rsidR="006B7444">
        <w:rPr>
          <w:szCs w:val="20"/>
        </w:rPr>
        <w:t xml:space="preserve"> </w:t>
      </w:r>
      <w:r w:rsidR="00D71E73" w:rsidRPr="00D71E73">
        <w:rPr>
          <w:szCs w:val="20"/>
        </w:rPr>
        <w:t>I</w:t>
      </w:r>
      <w:r w:rsidRPr="00D71E73">
        <w:rPr>
          <w:szCs w:val="20"/>
        </w:rPr>
        <w:t xml:space="preserve">t appears that corporate governance standards for </w:t>
      </w:r>
      <w:r w:rsidR="00D71E73" w:rsidRPr="00D71E73">
        <w:rPr>
          <w:szCs w:val="20"/>
        </w:rPr>
        <w:t xml:space="preserve">RFCS </w:t>
      </w:r>
      <w:r w:rsidRPr="00D71E73">
        <w:rPr>
          <w:szCs w:val="20"/>
        </w:rPr>
        <w:t>boards have lifted</w:t>
      </w:r>
      <w:r w:rsidR="00D71E73" w:rsidRPr="00D71E73">
        <w:rPr>
          <w:szCs w:val="20"/>
        </w:rPr>
        <w:t>. H</w:t>
      </w:r>
      <w:r w:rsidRPr="00D71E73">
        <w:rPr>
          <w:szCs w:val="20"/>
        </w:rPr>
        <w:t>owever</w:t>
      </w:r>
      <w:r w:rsidR="008C7FD3" w:rsidRPr="00D71E73">
        <w:rPr>
          <w:szCs w:val="20"/>
        </w:rPr>
        <w:t>,</w:t>
      </w:r>
      <w:r w:rsidRPr="00D71E73">
        <w:rPr>
          <w:szCs w:val="20"/>
        </w:rPr>
        <w:t xml:space="preserve"> this is in combination </w:t>
      </w:r>
      <w:r w:rsidR="00337EDE" w:rsidRPr="00D71E73">
        <w:rPr>
          <w:szCs w:val="20"/>
        </w:rPr>
        <w:t>with</w:t>
      </w:r>
      <w:r w:rsidRPr="00D71E73">
        <w:rPr>
          <w:szCs w:val="20"/>
        </w:rPr>
        <w:t xml:space="preserve"> strong oversight of th</w:t>
      </w:r>
      <w:r w:rsidR="006E6E72" w:rsidRPr="00D71E73">
        <w:rPr>
          <w:szCs w:val="20"/>
        </w:rPr>
        <w:t xml:space="preserve">eir operations by the </w:t>
      </w:r>
      <w:r w:rsidR="00180C80" w:rsidRPr="00D71E73">
        <w:rPr>
          <w:szCs w:val="20"/>
        </w:rPr>
        <w:t>department</w:t>
      </w:r>
      <w:r w:rsidRPr="00D71E73">
        <w:rPr>
          <w:szCs w:val="20"/>
        </w:rPr>
        <w:t>.</w:t>
      </w:r>
    </w:p>
    <w:p w14:paraId="49C8A2F0" w14:textId="77777777" w:rsidR="00517F4E" w:rsidRDefault="006B33D7" w:rsidP="008D3E60">
      <w:pPr>
        <w:pStyle w:val="Heading5"/>
      </w:pPr>
      <w:r>
        <w:t xml:space="preserve">Competition </w:t>
      </w:r>
      <w:r w:rsidR="008D3E60">
        <w:t xml:space="preserve">and </w:t>
      </w:r>
      <w:r w:rsidR="00756D00">
        <w:t xml:space="preserve">board </w:t>
      </w:r>
      <w:r w:rsidR="008D3E60">
        <w:t>renewal</w:t>
      </w:r>
    </w:p>
    <w:p w14:paraId="25786E29" w14:textId="2C34F913" w:rsidR="00517F4E" w:rsidRDefault="008D3E60" w:rsidP="006B33D7">
      <w:pPr>
        <w:rPr>
          <w:szCs w:val="20"/>
        </w:rPr>
      </w:pPr>
      <w:r>
        <w:rPr>
          <w:szCs w:val="20"/>
        </w:rPr>
        <w:t xml:space="preserve">Some of the measures aimed at strengthening board governance arrangements </w:t>
      </w:r>
      <w:r w:rsidR="0058758A">
        <w:rPr>
          <w:szCs w:val="20"/>
        </w:rPr>
        <w:t xml:space="preserve">in the </w:t>
      </w:r>
      <w:r w:rsidR="001E3132">
        <w:rPr>
          <w:szCs w:val="20"/>
        </w:rPr>
        <w:t>2016 to 2020</w:t>
      </w:r>
      <w:r w:rsidR="00F13F30">
        <w:rPr>
          <w:szCs w:val="20"/>
        </w:rPr>
        <w:t xml:space="preserve"> </w:t>
      </w:r>
      <w:r w:rsidR="0058758A">
        <w:rPr>
          <w:szCs w:val="20"/>
        </w:rPr>
        <w:t xml:space="preserve">program </w:t>
      </w:r>
      <w:r w:rsidR="0057498A">
        <w:rPr>
          <w:szCs w:val="20"/>
        </w:rPr>
        <w:t xml:space="preserve">have </w:t>
      </w:r>
      <w:r>
        <w:rPr>
          <w:szCs w:val="20"/>
        </w:rPr>
        <w:t xml:space="preserve">had a limiting effect on </w:t>
      </w:r>
      <w:r w:rsidR="00756D00">
        <w:rPr>
          <w:szCs w:val="20"/>
        </w:rPr>
        <w:t xml:space="preserve">competition </w:t>
      </w:r>
      <w:r>
        <w:rPr>
          <w:szCs w:val="20"/>
        </w:rPr>
        <w:t>to</w:t>
      </w:r>
      <w:r w:rsidR="00756D00">
        <w:rPr>
          <w:szCs w:val="20"/>
        </w:rPr>
        <w:t xml:space="preserve"> provide</w:t>
      </w:r>
      <w:r>
        <w:rPr>
          <w:szCs w:val="20"/>
        </w:rPr>
        <w:t xml:space="preserve"> services</w:t>
      </w:r>
      <w:r w:rsidR="008C7FD3">
        <w:rPr>
          <w:szCs w:val="20"/>
        </w:rPr>
        <w:t>,</w:t>
      </w:r>
      <w:r w:rsidR="003E1CB8">
        <w:rPr>
          <w:szCs w:val="20"/>
        </w:rPr>
        <w:t xml:space="preserve"> as well as board renewal</w:t>
      </w:r>
      <w:r>
        <w:rPr>
          <w:szCs w:val="20"/>
        </w:rPr>
        <w:t>.</w:t>
      </w:r>
    </w:p>
    <w:p w14:paraId="2421002D" w14:textId="14B3F15A" w:rsidR="00517F4E" w:rsidRDefault="008D3E60" w:rsidP="00C409A6">
      <w:r>
        <w:rPr>
          <w:szCs w:val="20"/>
        </w:rPr>
        <w:t xml:space="preserve">The need for a separate board </w:t>
      </w:r>
      <w:r w:rsidR="0057498A">
        <w:rPr>
          <w:szCs w:val="20"/>
        </w:rPr>
        <w:t>and the</w:t>
      </w:r>
      <w:r>
        <w:rPr>
          <w:szCs w:val="20"/>
        </w:rPr>
        <w:t xml:space="preserve"> strict requirements on the </w:t>
      </w:r>
      <w:r w:rsidR="00251928">
        <w:rPr>
          <w:szCs w:val="20"/>
        </w:rPr>
        <w:t xml:space="preserve">composition of boards and skillsets </w:t>
      </w:r>
      <w:r>
        <w:rPr>
          <w:szCs w:val="20"/>
        </w:rPr>
        <w:t xml:space="preserve">of board members </w:t>
      </w:r>
      <w:r w:rsidR="0057498A">
        <w:rPr>
          <w:szCs w:val="20"/>
        </w:rPr>
        <w:t xml:space="preserve">are </w:t>
      </w:r>
      <w:r>
        <w:rPr>
          <w:szCs w:val="20"/>
        </w:rPr>
        <w:t xml:space="preserve">a deterrent for other regionally based </w:t>
      </w:r>
      <w:r>
        <w:t xml:space="preserve">organisations who could </w:t>
      </w:r>
      <w:r w:rsidR="003E1CB8">
        <w:t xml:space="preserve">compete in funding rounds to </w:t>
      </w:r>
      <w:r>
        <w:t xml:space="preserve">deliver services effectively. </w:t>
      </w:r>
      <w:r w:rsidR="00C409A6" w:rsidRPr="00C409A6">
        <w:t>While there is unlikely to be a flood of new entrants bidding to deliver RFCS services, the panel notes that renewal of boards and management in existing providers is likely to invigorate organisations, increase professionalism and encourage innovation in service delivery.</w:t>
      </w:r>
    </w:p>
    <w:p w14:paraId="12B431BF" w14:textId="5C0DFF53" w:rsidR="00517F4E" w:rsidRDefault="00895A13" w:rsidP="00250AE2">
      <w:r>
        <w:t>T</w:t>
      </w:r>
      <w:r w:rsidRPr="00F61EEE">
        <w:t xml:space="preserve">he 2014 </w:t>
      </w:r>
      <w:proofErr w:type="spellStart"/>
      <w:r w:rsidRPr="00F61EEE">
        <w:t>NRAC</w:t>
      </w:r>
      <w:proofErr w:type="spellEnd"/>
      <w:r w:rsidRPr="00F61EEE">
        <w:t xml:space="preserve"> review </w:t>
      </w:r>
      <w:r>
        <w:t xml:space="preserve">recommended </w:t>
      </w:r>
      <w:r w:rsidRPr="0062729B">
        <w:rPr>
          <w:szCs w:val="20"/>
        </w:rPr>
        <w:t>time-limited tenure for all board members</w:t>
      </w:r>
      <w:r w:rsidR="0057498A">
        <w:rPr>
          <w:szCs w:val="20"/>
        </w:rPr>
        <w:t>. H</w:t>
      </w:r>
      <w:r>
        <w:rPr>
          <w:szCs w:val="20"/>
        </w:rPr>
        <w:t>owever, this was not accepted by government</w:t>
      </w:r>
      <w:r w:rsidR="00C409A6">
        <w:rPr>
          <w:szCs w:val="20"/>
        </w:rPr>
        <w:t>. A</w:t>
      </w:r>
      <w:r>
        <w:rPr>
          <w:szCs w:val="20"/>
        </w:rPr>
        <w:t xml:space="preserve">dherence to strong governance principles guides length of </w:t>
      </w:r>
      <w:r>
        <w:rPr>
          <w:szCs w:val="20"/>
        </w:rPr>
        <w:lastRenderedPageBreak/>
        <w:t>tenure</w:t>
      </w:r>
      <w:r w:rsidR="00872EB8">
        <w:rPr>
          <w:szCs w:val="20"/>
        </w:rPr>
        <w:t xml:space="preserve"> and</w:t>
      </w:r>
      <w:r>
        <w:rPr>
          <w:szCs w:val="20"/>
        </w:rPr>
        <w:t xml:space="preserve"> pla</w:t>
      </w:r>
      <w:r w:rsidR="00872EB8">
        <w:rPr>
          <w:szCs w:val="20"/>
        </w:rPr>
        <w:t>ces</w:t>
      </w:r>
      <w:r>
        <w:rPr>
          <w:szCs w:val="20"/>
        </w:rPr>
        <w:t xml:space="preserve"> high value on renewal. </w:t>
      </w:r>
      <w:r w:rsidR="003E1CB8" w:rsidRPr="0086461F">
        <w:t>S</w:t>
      </w:r>
      <w:r w:rsidR="00756D00" w:rsidRPr="0086461F">
        <w:t>ervice</w:t>
      </w:r>
      <w:r w:rsidR="00591DFE" w:rsidRPr="0086461F">
        <w:t xml:space="preserve"> providers</w:t>
      </w:r>
      <w:r w:rsidR="00756D00" w:rsidRPr="0086461F">
        <w:t xml:space="preserve"> </w:t>
      </w:r>
      <w:r w:rsidR="00591DFE" w:rsidRPr="0086461F">
        <w:t>that</w:t>
      </w:r>
      <w:r w:rsidR="00756D00" w:rsidRPr="00756D00">
        <w:t xml:space="preserve"> experienced turnover in board members or executive officers in recent years highlighted that the fresh perspective and skills brought to the service </w:t>
      </w:r>
      <w:r w:rsidR="008C7FD3">
        <w:t>has</w:t>
      </w:r>
      <w:r w:rsidR="00756D00" w:rsidRPr="00756D00">
        <w:t xml:space="preserve"> directly </w:t>
      </w:r>
      <w:r w:rsidR="00250AE2">
        <w:t>benefited</w:t>
      </w:r>
      <w:r w:rsidR="00756D00" w:rsidRPr="00756D00">
        <w:t xml:space="preserve"> clients.</w:t>
      </w:r>
      <w:r w:rsidR="006B7444">
        <w:t xml:space="preserve"> </w:t>
      </w:r>
      <w:r w:rsidR="00756D00" w:rsidRPr="00756D00">
        <w:t xml:space="preserve">Rejuvenation of boards may </w:t>
      </w:r>
      <w:r w:rsidR="002B66C0">
        <w:t>occur naturally,</w:t>
      </w:r>
      <w:r w:rsidR="00152522">
        <w:t xml:space="preserve"> particularly</w:t>
      </w:r>
      <w:r w:rsidR="00756D00" w:rsidRPr="00756D00">
        <w:t xml:space="preserve"> </w:t>
      </w:r>
      <w:r w:rsidR="002B66C0">
        <w:t>if</w:t>
      </w:r>
      <w:r w:rsidR="002B66C0" w:rsidRPr="00756D00">
        <w:t xml:space="preserve"> </w:t>
      </w:r>
      <w:r w:rsidR="00756D00" w:rsidRPr="00756D00">
        <w:t xml:space="preserve">the </w:t>
      </w:r>
      <w:r w:rsidR="008C7FD3">
        <w:t xml:space="preserve">number of service regions </w:t>
      </w:r>
      <w:r w:rsidR="009B709C">
        <w:t xml:space="preserve">decreases </w:t>
      </w:r>
      <w:r w:rsidR="00756D00" w:rsidRPr="00756D00">
        <w:t>in the future.</w:t>
      </w:r>
    </w:p>
    <w:p w14:paraId="15A39390" w14:textId="65D6553F" w:rsidR="006B33D7" w:rsidRDefault="00250AE2" w:rsidP="00E62C47">
      <w:r>
        <w:t xml:space="preserve">The panel notes that any easing of </w:t>
      </w:r>
      <w:r w:rsidRPr="0058758A">
        <w:t xml:space="preserve">governance requirements </w:t>
      </w:r>
      <w:r w:rsidR="0058758A" w:rsidRPr="0058758A">
        <w:t xml:space="preserve">on boards should not be seen as </w:t>
      </w:r>
      <w:r w:rsidRPr="0058758A">
        <w:t>promoting weaker corporate governance standards.</w:t>
      </w:r>
      <w:r w:rsidR="00152522" w:rsidRPr="0058758A">
        <w:t xml:space="preserve"> </w:t>
      </w:r>
      <w:r w:rsidR="006B33D7" w:rsidRPr="0058758A">
        <w:t>Skills</w:t>
      </w:r>
      <w:r w:rsidR="008C7FD3">
        <w:t>-</w:t>
      </w:r>
      <w:r w:rsidR="006B33D7" w:rsidRPr="0058758A">
        <w:t xml:space="preserve">based boards </w:t>
      </w:r>
      <w:r w:rsidRPr="0058758A">
        <w:t xml:space="preserve">are important and must be </w:t>
      </w:r>
      <w:r w:rsidR="006B33D7" w:rsidRPr="0058758A">
        <w:t>merit selected</w:t>
      </w:r>
      <w:r w:rsidRPr="0058758A">
        <w:t>. Boards must continue to deliver strong corporate governance for their organisation</w:t>
      </w:r>
      <w:r w:rsidR="008C7FD3">
        <w:t>,</w:t>
      </w:r>
      <w:r w:rsidRPr="0058758A">
        <w:t xml:space="preserve"> as well as</w:t>
      </w:r>
      <w:r w:rsidR="006B33D7" w:rsidRPr="0058758A">
        <w:t xml:space="preserve"> str</w:t>
      </w:r>
      <w:r w:rsidRPr="0058758A">
        <w:t xml:space="preserve">ategic direction and innovation. The panel supports </w:t>
      </w:r>
      <w:r w:rsidR="003E1CB8" w:rsidRPr="0058758A">
        <w:t xml:space="preserve">the retention of </w:t>
      </w:r>
      <w:r w:rsidRPr="0058758A">
        <w:t xml:space="preserve">a maximum spend on </w:t>
      </w:r>
      <w:r w:rsidR="003E1CB8" w:rsidRPr="0058758A">
        <w:t>board costs, with a fo</w:t>
      </w:r>
      <w:r w:rsidR="0058758A" w:rsidRPr="0058758A">
        <w:t>cus on more boots on the ground</w:t>
      </w:r>
      <w:r w:rsidR="009B709C">
        <w:t xml:space="preserve"> and</w:t>
      </w:r>
      <w:r w:rsidR="0058758A" w:rsidRPr="0058758A">
        <w:t xml:space="preserve"> maximising funding for client outcomes.</w:t>
      </w:r>
    </w:p>
    <w:p w14:paraId="2210954F" w14:textId="4DBB2C26" w:rsidR="006B33D7" w:rsidRPr="00A33C3A" w:rsidRDefault="006B33D7" w:rsidP="00A33C3A">
      <w:pPr>
        <w:pStyle w:val="BoxHeading"/>
      </w:pPr>
      <w:r w:rsidRPr="00A33C3A">
        <w:t>Recommendation</w:t>
      </w:r>
      <w:r w:rsidR="00A33C3A" w:rsidRPr="00A33C3A">
        <w:t xml:space="preserve"> 6</w:t>
      </w:r>
    </w:p>
    <w:p w14:paraId="4A9AEF01" w14:textId="6A9141C1" w:rsidR="00623BB6" w:rsidRPr="00A33C3A" w:rsidRDefault="00623BB6" w:rsidP="00A33C3A">
      <w:pPr>
        <w:pStyle w:val="BoxText"/>
      </w:pPr>
      <w:r w:rsidRPr="00A33C3A">
        <w:t>That governance restrictions on boards be revisited in the next funding round</w:t>
      </w:r>
      <w:r w:rsidR="00F844B1">
        <w:t>. In</w:t>
      </w:r>
      <w:r w:rsidRPr="00A33C3A">
        <w:t xml:space="preserve"> particular, </w:t>
      </w:r>
      <w:r w:rsidR="00F844B1">
        <w:t xml:space="preserve">that </w:t>
      </w:r>
      <w:r w:rsidRPr="00A33C3A">
        <w:t>the need for a separate board be removed and regulation of board composition be reconsidered. The commitment to skills</w:t>
      </w:r>
      <w:r w:rsidRPr="00A33C3A">
        <w:noBreakHyphen/>
        <w:t>based and merit</w:t>
      </w:r>
      <w:r w:rsidRPr="00A33C3A">
        <w:noBreakHyphen/>
        <w:t>selected boards must be retained to provide strong corporate governance, strategic direction and innovation.</w:t>
      </w:r>
    </w:p>
    <w:p w14:paraId="4A303D43" w14:textId="57CA72B4" w:rsidR="002035FB" w:rsidRDefault="002035FB" w:rsidP="006B25D1">
      <w:pPr>
        <w:pStyle w:val="Heading2"/>
      </w:pPr>
      <w:bookmarkStart w:id="33" w:name="_Toc18328851"/>
      <w:r>
        <w:lastRenderedPageBreak/>
        <w:t>Funding arrangements</w:t>
      </w:r>
      <w:bookmarkEnd w:id="33"/>
    </w:p>
    <w:p w14:paraId="3194C912" w14:textId="3118DD44" w:rsidR="006B33D7" w:rsidRDefault="006B33D7" w:rsidP="00EF2381">
      <w:pPr>
        <w:pStyle w:val="Heading3"/>
        <w:numPr>
          <w:ilvl w:val="1"/>
          <w:numId w:val="12"/>
        </w:numPr>
        <w:rPr>
          <w:lang w:eastAsia="ja-JP"/>
        </w:rPr>
      </w:pPr>
      <w:bookmarkStart w:id="34" w:name="_Toc18328852"/>
      <w:r>
        <w:rPr>
          <w:lang w:eastAsia="ja-JP"/>
        </w:rPr>
        <w:t>Funding sources</w:t>
      </w:r>
      <w:bookmarkEnd w:id="34"/>
    </w:p>
    <w:p w14:paraId="60CAE10D" w14:textId="61946A38" w:rsidR="00517F4E" w:rsidRDefault="006B33D7" w:rsidP="006B33D7">
      <w:pPr>
        <w:rPr>
          <w:lang w:eastAsia="ja-JP"/>
        </w:rPr>
      </w:pPr>
      <w:r>
        <w:rPr>
          <w:lang w:eastAsia="ja-JP"/>
        </w:rPr>
        <w:t xml:space="preserve">Service providers have multiple sources </w:t>
      </w:r>
      <w:r w:rsidR="001F3322">
        <w:rPr>
          <w:lang w:eastAsia="ja-JP"/>
        </w:rPr>
        <w:t xml:space="preserve">of revenue </w:t>
      </w:r>
      <w:r>
        <w:rPr>
          <w:lang w:eastAsia="ja-JP"/>
        </w:rPr>
        <w:t xml:space="preserve">to fund their activities. These arrangements are more complex for those </w:t>
      </w:r>
      <w:r w:rsidRPr="0086461F">
        <w:rPr>
          <w:lang w:eastAsia="ja-JP"/>
        </w:rPr>
        <w:t>service providers that</w:t>
      </w:r>
      <w:r>
        <w:rPr>
          <w:lang w:eastAsia="ja-JP"/>
        </w:rPr>
        <w:t xml:space="preserve"> deliver additional programs</w:t>
      </w:r>
      <w:r w:rsidR="00097D7A">
        <w:rPr>
          <w:lang w:eastAsia="ja-JP"/>
        </w:rPr>
        <w:t>:</w:t>
      </w:r>
    </w:p>
    <w:p w14:paraId="4C345CD1" w14:textId="77777777" w:rsidR="00517F4E" w:rsidRDefault="006B33D7" w:rsidP="006B33D7">
      <w:pPr>
        <w:pStyle w:val="ListBullet"/>
        <w:rPr>
          <w:lang w:eastAsia="ja-JP"/>
        </w:rPr>
      </w:pPr>
      <w:r>
        <w:rPr>
          <w:lang w:eastAsia="ja-JP"/>
        </w:rPr>
        <w:t xml:space="preserve">The Australian Government determines the funding levels per region and provides the majority </w:t>
      </w:r>
      <w:r w:rsidR="001F3322">
        <w:rPr>
          <w:lang w:eastAsia="ja-JP"/>
        </w:rPr>
        <w:t xml:space="preserve">of </w:t>
      </w:r>
      <w:r>
        <w:rPr>
          <w:lang w:eastAsia="ja-JP"/>
        </w:rPr>
        <w:t xml:space="preserve">funding for the RFCS </w:t>
      </w:r>
      <w:r w:rsidR="00180C80">
        <w:rPr>
          <w:lang w:eastAsia="ja-JP"/>
        </w:rPr>
        <w:t>program</w:t>
      </w:r>
      <w:r w:rsidR="005221D2">
        <w:rPr>
          <w:lang w:eastAsia="ja-JP"/>
        </w:rPr>
        <w:t>,</w:t>
      </w:r>
      <w:r>
        <w:rPr>
          <w:lang w:eastAsia="ja-JP"/>
        </w:rPr>
        <w:t xml:space="preserve"> subject to the </w:t>
      </w:r>
      <w:r w:rsidR="003461A5">
        <w:rPr>
          <w:lang w:eastAsia="ja-JP"/>
        </w:rPr>
        <w:t>f</w:t>
      </w:r>
      <w:r>
        <w:rPr>
          <w:lang w:eastAsia="ja-JP"/>
        </w:rPr>
        <w:t xml:space="preserve">unding </w:t>
      </w:r>
      <w:r w:rsidR="003461A5">
        <w:rPr>
          <w:lang w:eastAsia="ja-JP"/>
        </w:rPr>
        <w:t>d</w:t>
      </w:r>
      <w:r>
        <w:rPr>
          <w:lang w:eastAsia="ja-JP"/>
        </w:rPr>
        <w:t>eed.</w:t>
      </w:r>
    </w:p>
    <w:p w14:paraId="278C43CD" w14:textId="50FE1AD2" w:rsidR="00517F4E" w:rsidRDefault="006B33D7" w:rsidP="006B33D7">
      <w:pPr>
        <w:pStyle w:val="ListBullet"/>
        <w:rPr>
          <w:lang w:eastAsia="ja-JP"/>
        </w:rPr>
      </w:pPr>
      <w:r>
        <w:rPr>
          <w:lang w:eastAsia="ja-JP"/>
        </w:rPr>
        <w:t xml:space="preserve">State and </w:t>
      </w:r>
      <w:r w:rsidR="005221D2">
        <w:rPr>
          <w:lang w:eastAsia="ja-JP"/>
        </w:rPr>
        <w:t>t</w:t>
      </w:r>
      <w:r>
        <w:rPr>
          <w:lang w:eastAsia="ja-JP"/>
        </w:rPr>
        <w:t>erritory governments contribute</w:t>
      </w:r>
      <w:r w:rsidR="000447C1">
        <w:rPr>
          <w:lang w:eastAsia="ja-JP"/>
        </w:rPr>
        <w:t xml:space="preserve"> varying amounts</w:t>
      </w:r>
      <w:r>
        <w:rPr>
          <w:lang w:eastAsia="ja-JP"/>
        </w:rPr>
        <w:t xml:space="preserve"> </w:t>
      </w:r>
      <w:r w:rsidR="009232E4">
        <w:rPr>
          <w:lang w:eastAsia="ja-JP"/>
        </w:rPr>
        <w:t>of</w:t>
      </w:r>
      <w:r>
        <w:rPr>
          <w:lang w:eastAsia="ja-JP"/>
        </w:rPr>
        <w:t xml:space="preserve"> funding for the </w:t>
      </w:r>
      <w:r w:rsidR="000447C1">
        <w:rPr>
          <w:lang w:eastAsia="ja-JP"/>
        </w:rPr>
        <w:t>program</w:t>
      </w:r>
      <w:r>
        <w:rPr>
          <w:lang w:eastAsia="ja-JP"/>
        </w:rPr>
        <w:t>. A separate</w:t>
      </w:r>
      <w:r w:rsidR="003461A5">
        <w:rPr>
          <w:lang w:eastAsia="ja-JP"/>
        </w:rPr>
        <w:t xml:space="preserve"> deed</w:t>
      </w:r>
      <w:r>
        <w:rPr>
          <w:lang w:eastAsia="ja-JP"/>
        </w:rPr>
        <w:t xml:space="preserve"> between the service provider and the </w:t>
      </w:r>
      <w:r w:rsidR="005221D2">
        <w:rPr>
          <w:lang w:eastAsia="ja-JP"/>
        </w:rPr>
        <w:t>s</w:t>
      </w:r>
      <w:r>
        <w:rPr>
          <w:lang w:eastAsia="ja-JP"/>
        </w:rPr>
        <w:t xml:space="preserve">tate or </w:t>
      </w:r>
      <w:r w:rsidR="005221D2">
        <w:rPr>
          <w:lang w:eastAsia="ja-JP"/>
        </w:rPr>
        <w:t>t</w:t>
      </w:r>
      <w:r>
        <w:rPr>
          <w:lang w:eastAsia="ja-JP"/>
        </w:rPr>
        <w:t>erritory govern</w:t>
      </w:r>
      <w:r w:rsidR="00097D7A">
        <w:rPr>
          <w:lang w:eastAsia="ja-JP"/>
        </w:rPr>
        <w:t>s</w:t>
      </w:r>
      <w:r>
        <w:rPr>
          <w:lang w:eastAsia="ja-JP"/>
        </w:rPr>
        <w:t xml:space="preserve"> the use of these funds</w:t>
      </w:r>
      <w:r w:rsidR="00097D7A">
        <w:rPr>
          <w:lang w:eastAsia="ja-JP"/>
        </w:rPr>
        <w:t xml:space="preserve"> and </w:t>
      </w:r>
      <w:r>
        <w:rPr>
          <w:lang w:eastAsia="ja-JP"/>
        </w:rPr>
        <w:t>cross references the Australia</w:t>
      </w:r>
      <w:r w:rsidR="000447C1">
        <w:rPr>
          <w:lang w:eastAsia="ja-JP"/>
        </w:rPr>
        <w:t>n</w:t>
      </w:r>
      <w:r>
        <w:rPr>
          <w:lang w:eastAsia="ja-JP"/>
        </w:rPr>
        <w:t xml:space="preserve"> Government</w:t>
      </w:r>
      <w:r w:rsidR="00736B18">
        <w:rPr>
          <w:lang w:eastAsia="ja-JP"/>
        </w:rPr>
        <w:t>'</w:t>
      </w:r>
      <w:r>
        <w:rPr>
          <w:lang w:eastAsia="ja-JP"/>
        </w:rPr>
        <w:t xml:space="preserve">s </w:t>
      </w:r>
      <w:r w:rsidR="003461A5">
        <w:rPr>
          <w:lang w:eastAsia="ja-JP"/>
        </w:rPr>
        <w:t>f</w:t>
      </w:r>
      <w:r>
        <w:rPr>
          <w:lang w:eastAsia="ja-JP"/>
        </w:rPr>
        <w:t>unding</w:t>
      </w:r>
      <w:r w:rsidR="003461A5">
        <w:rPr>
          <w:lang w:eastAsia="ja-JP"/>
        </w:rPr>
        <w:t xml:space="preserve"> deed</w:t>
      </w:r>
      <w:r>
        <w:rPr>
          <w:lang w:eastAsia="ja-JP"/>
        </w:rPr>
        <w:t xml:space="preserve">. States also contribute </w:t>
      </w:r>
      <w:r w:rsidR="000447C1">
        <w:rPr>
          <w:lang w:eastAsia="ja-JP"/>
        </w:rPr>
        <w:t xml:space="preserve">additional </w:t>
      </w:r>
      <w:r>
        <w:rPr>
          <w:lang w:eastAsia="ja-JP"/>
        </w:rPr>
        <w:t>funds to some organisations to run complementary programs.</w:t>
      </w:r>
    </w:p>
    <w:p w14:paraId="08645CEC" w14:textId="0CB20C65" w:rsidR="00517F4E" w:rsidRDefault="006B33D7" w:rsidP="006B33D7">
      <w:pPr>
        <w:pStyle w:val="ListBullet"/>
        <w:rPr>
          <w:lang w:eastAsia="ja-JP"/>
        </w:rPr>
      </w:pPr>
      <w:r>
        <w:rPr>
          <w:lang w:eastAsia="ja-JP"/>
        </w:rPr>
        <w:t>Most service</w:t>
      </w:r>
      <w:r w:rsidR="00591DFE">
        <w:rPr>
          <w:lang w:eastAsia="ja-JP"/>
        </w:rPr>
        <w:t xml:space="preserve"> providers</w:t>
      </w:r>
      <w:r>
        <w:rPr>
          <w:lang w:eastAsia="ja-JP"/>
        </w:rPr>
        <w:t xml:space="preserve"> also receive funding </w:t>
      </w:r>
      <w:r w:rsidR="00502E47">
        <w:rPr>
          <w:lang w:eastAsia="ja-JP"/>
        </w:rPr>
        <w:t xml:space="preserve">through </w:t>
      </w:r>
      <w:r>
        <w:rPr>
          <w:lang w:eastAsia="ja-JP"/>
        </w:rPr>
        <w:t xml:space="preserve">charities or community schemes such as Rotary, </w:t>
      </w:r>
      <w:r w:rsidR="005221D2">
        <w:rPr>
          <w:lang w:eastAsia="ja-JP"/>
        </w:rPr>
        <w:t xml:space="preserve">the </w:t>
      </w:r>
      <w:r w:rsidRPr="009232E4">
        <w:rPr>
          <w:lang w:eastAsia="ja-JP"/>
        </w:rPr>
        <w:t>C</w:t>
      </w:r>
      <w:r w:rsidR="005221D2">
        <w:rPr>
          <w:lang w:eastAsia="ja-JP"/>
        </w:rPr>
        <w:t xml:space="preserve">ountry </w:t>
      </w:r>
      <w:r w:rsidRPr="009232E4">
        <w:rPr>
          <w:lang w:eastAsia="ja-JP"/>
        </w:rPr>
        <w:t>W</w:t>
      </w:r>
      <w:r w:rsidR="005221D2">
        <w:rPr>
          <w:lang w:eastAsia="ja-JP"/>
        </w:rPr>
        <w:t>omen</w:t>
      </w:r>
      <w:r w:rsidR="00736B18">
        <w:rPr>
          <w:lang w:eastAsia="ja-JP"/>
        </w:rPr>
        <w:t>'</w:t>
      </w:r>
      <w:r w:rsidR="005221D2">
        <w:rPr>
          <w:lang w:eastAsia="ja-JP"/>
        </w:rPr>
        <w:t xml:space="preserve">s </w:t>
      </w:r>
      <w:r w:rsidRPr="009232E4">
        <w:rPr>
          <w:lang w:eastAsia="ja-JP"/>
        </w:rPr>
        <w:t>A</w:t>
      </w:r>
      <w:r w:rsidR="005221D2">
        <w:rPr>
          <w:lang w:eastAsia="ja-JP"/>
        </w:rPr>
        <w:t>ssociation</w:t>
      </w:r>
      <w:r w:rsidR="0028000F">
        <w:rPr>
          <w:lang w:eastAsia="ja-JP"/>
        </w:rPr>
        <w:t xml:space="preserve"> (CWA)</w:t>
      </w:r>
      <w:r w:rsidRPr="009232E4">
        <w:rPr>
          <w:lang w:eastAsia="ja-JP"/>
        </w:rPr>
        <w:t xml:space="preserve"> and </w:t>
      </w:r>
      <w:r w:rsidR="00097D7A">
        <w:rPr>
          <w:lang w:eastAsia="ja-JP"/>
        </w:rPr>
        <w:t xml:space="preserve">Australian </w:t>
      </w:r>
      <w:r w:rsidRPr="009232E4">
        <w:rPr>
          <w:lang w:eastAsia="ja-JP"/>
        </w:rPr>
        <w:t>Red Cross</w:t>
      </w:r>
      <w:r w:rsidR="00097D7A">
        <w:rPr>
          <w:lang w:eastAsia="ja-JP"/>
        </w:rPr>
        <w:t>. O</w:t>
      </w:r>
      <w:r>
        <w:rPr>
          <w:lang w:eastAsia="ja-JP"/>
        </w:rPr>
        <w:t xml:space="preserve">ther businesses </w:t>
      </w:r>
      <w:r w:rsidR="00097D7A">
        <w:rPr>
          <w:lang w:eastAsia="ja-JP"/>
        </w:rPr>
        <w:t xml:space="preserve">also provide funding </w:t>
      </w:r>
      <w:r>
        <w:rPr>
          <w:lang w:eastAsia="ja-JP"/>
        </w:rPr>
        <w:t xml:space="preserve">to directly or indirectly support RFCS services. These funding streams may pay for additional counsellors or </w:t>
      </w:r>
      <w:r w:rsidR="005221D2">
        <w:rPr>
          <w:lang w:eastAsia="ja-JP"/>
        </w:rPr>
        <w:t>corporate costs</w:t>
      </w:r>
      <w:r w:rsidR="000447C1">
        <w:rPr>
          <w:lang w:eastAsia="ja-JP"/>
        </w:rPr>
        <w:t>,</w:t>
      </w:r>
      <w:r>
        <w:rPr>
          <w:lang w:eastAsia="ja-JP"/>
        </w:rPr>
        <w:t xml:space="preserve"> such as </w:t>
      </w:r>
      <w:r w:rsidR="005221D2">
        <w:rPr>
          <w:lang w:eastAsia="ja-JP"/>
        </w:rPr>
        <w:t xml:space="preserve">leasing </w:t>
      </w:r>
      <w:r>
        <w:rPr>
          <w:lang w:eastAsia="ja-JP"/>
        </w:rPr>
        <w:t>vehicles. Some charities also use the RFCS to distribute assistance to clients in hardship (for example</w:t>
      </w:r>
      <w:r w:rsidR="000447C1">
        <w:rPr>
          <w:lang w:eastAsia="ja-JP"/>
        </w:rPr>
        <w:t>,</w:t>
      </w:r>
      <w:r>
        <w:rPr>
          <w:lang w:eastAsia="ja-JP"/>
        </w:rPr>
        <w:t xml:space="preserve"> gift vouchers</w:t>
      </w:r>
      <w:r w:rsidR="000447C1">
        <w:rPr>
          <w:lang w:eastAsia="ja-JP"/>
        </w:rPr>
        <w:t xml:space="preserve"> for the purchase of groceries</w:t>
      </w:r>
      <w:r>
        <w:rPr>
          <w:lang w:eastAsia="ja-JP"/>
        </w:rPr>
        <w:t xml:space="preserve">). Some corporations fund complementary programs </w:t>
      </w:r>
      <w:r w:rsidR="007B3EA7">
        <w:rPr>
          <w:lang w:eastAsia="ja-JP"/>
        </w:rPr>
        <w:t>with dedicated personnel</w:t>
      </w:r>
      <w:r w:rsidR="00097D7A">
        <w:rPr>
          <w:lang w:eastAsia="ja-JP"/>
        </w:rPr>
        <w:t xml:space="preserve">, </w:t>
      </w:r>
      <w:r w:rsidR="00180C80">
        <w:rPr>
          <w:lang w:eastAsia="ja-JP"/>
        </w:rPr>
        <w:t xml:space="preserve">such as </w:t>
      </w:r>
      <w:proofErr w:type="spellStart"/>
      <w:r w:rsidR="00180C80">
        <w:rPr>
          <w:lang w:eastAsia="ja-JP"/>
        </w:rPr>
        <w:t>ANZ</w:t>
      </w:r>
      <w:proofErr w:type="spellEnd"/>
      <w:r w:rsidR="00180C80">
        <w:rPr>
          <w:lang w:eastAsia="ja-JP"/>
        </w:rPr>
        <w:t xml:space="preserve"> working in collaboration with the Financial Counselling Foundation</w:t>
      </w:r>
      <w:r w:rsidR="007B3EA7">
        <w:rPr>
          <w:lang w:eastAsia="ja-JP"/>
        </w:rPr>
        <w:t>.</w:t>
      </w:r>
    </w:p>
    <w:p w14:paraId="6E930BC4" w14:textId="77777777" w:rsidR="00517F4E" w:rsidRDefault="006B33D7" w:rsidP="007B3EA7">
      <w:pPr>
        <w:pStyle w:val="ListBullet"/>
        <w:rPr>
          <w:lang w:eastAsia="ja-JP"/>
        </w:rPr>
      </w:pPr>
      <w:r>
        <w:rPr>
          <w:lang w:eastAsia="ja-JP"/>
        </w:rPr>
        <w:t>Some providers, through separate arms of their business, also have commercial revenue streams.</w:t>
      </w:r>
    </w:p>
    <w:p w14:paraId="544B25B5" w14:textId="42096D96" w:rsidR="00517F4E" w:rsidRDefault="00536984" w:rsidP="00EF2381">
      <w:pPr>
        <w:pStyle w:val="Heading4"/>
        <w:numPr>
          <w:ilvl w:val="2"/>
          <w:numId w:val="12"/>
        </w:numPr>
        <w:rPr>
          <w:lang w:eastAsia="ja-JP"/>
        </w:rPr>
      </w:pPr>
      <w:r>
        <w:rPr>
          <w:lang w:eastAsia="ja-JP"/>
        </w:rPr>
        <w:t xml:space="preserve">Australian Government </w:t>
      </w:r>
      <w:r w:rsidR="006B33D7">
        <w:rPr>
          <w:lang w:eastAsia="ja-JP"/>
        </w:rPr>
        <w:t>funding</w:t>
      </w:r>
    </w:p>
    <w:p w14:paraId="78A1A451" w14:textId="5963F172" w:rsidR="006B33D7" w:rsidRDefault="006B33D7" w:rsidP="00866B0C">
      <w:r>
        <w:t xml:space="preserve">Over the period </w:t>
      </w:r>
      <w:r w:rsidR="001E3132">
        <w:rPr>
          <w:lang w:eastAsia="ja-JP"/>
        </w:rPr>
        <w:t>2016 to 2020</w:t>
      </w:r>
      <w:r>
        <w:rPr>
          <w:lang w:eastAsia="ja-JP"/>
        </w:rPr>
        <w:t xml:space="preserve"> the Australian Government will have invested more than $77</w:t>
      </w:r>
      <w:r w:rsidR="005221D2">
        <w:rPr>
          <w:lang w:eastAsia="ja-JP"/>
        </w:rPr>
        <w:t> </w:t>
      </w:r>
      <w:r>
        <w:rPr>
          <w:lang w:eastAsia="ja-JP"/>
        </w:rPr>
        <w:t xml:space="preserve">million in the RFCS program. </w:t>
      </w:r>
      <w:r w:rsidR="009B6251">
        <w:t xml:space="preserve">At </w:t>
      </w:r>
      <w:r w:rsidR="00180C80">
        <w:t>30 June 2019</w:t>
      </w:r>
      <w:r>
        <w:t xml:space="preserve"> the actual funding </w:t>
      </w:r>
      <w:r w:rsidRPr="00742F36">
        <w:t xml:space="preserve">committed </w:t>
      </w:r>
      <w:r w:rsidR="009B6251">
        <w:t>was</w:t>
      </w:r>
      <w:r w:rsidR="009B6251" w:rsidRPr="00742F36">
        <w:t xml:space="preserve"> </w:t>
      </w:r>
      <w:r w:rsidRPr="00742F36">
        <w:rPr>
          <w:lang w:eastAsia="ja-JP"/>
        </w:rPr>
        <w:t>$7</w:t>
      </w:r>
      <w:r w:rsidR="009232E4" w:rsidRPr="00742F36">
        <w:rPr>
          <w:lang w:eastAsia="ja-JP"/>
        </w:rPr>
        <w:t>6.2</w:t>
      </w:r>
      <w:r w:rsidR="005221D2" w:rsidRPr="00742F36">
        <w:rPr>
          <w:lang w:eastAsia="ja-JP"/>
        </w:rPr>
        <w:t> </w:t>
      </w:r>
      <w:r w:rsidR="009232E4" w:rsidRPr="00742F36">
        <w:rPr>
          <w:lang w:eastAsia="ja-JP"/>
        </w:rPr>
        <w:t>million</w:t>
      </w:r>
      <w:r w:rsidRPr="00742F36">
        <w:rPr>
          <w:lang w:eastAsia="ja-JP"/>
        </w:rPr>
        <w:t>.</w:t>
      </w:r>
    </w:p>
    <w:p w14:paraId="300F0B6E" w14:textId="30791CE5" w:rsidR="00517F4E" w:rsidRDefault="006B33D7" w:rsidP="00CA20EC">
      <w:pPr>
        <w:rPr>
          <w:lang w:eastAsia="ja-JP"/>
        </w:rPr>
      </w:pPr>
      <w:r>
        <w:rPr>
          <w:lang w:eastAsia="ja-JP"/>
        </w:rPr>
        <w:t xml:space="preserve">Under its terms of reference, the review panel did not consider the adequacy of the current funding. However, </w:t>
      </w:r>
      <w:r w:rsidR="00CA20EC">
        <w:rPr>
          <w:lang w:eastAsia="ja-JP"/>
        </w:rPr>
        <w:t>it is noted</w:t>
      </w:r>
      <w:r>
        <w:rPr>
          <w:lang w:eastAsia="ja-JP"/>
        </w:rPr>
        <w:t xml:space="preserve"> that when the </w:t>
      </w:r>
      <w:r w:rsidR="00536984">
        <w:rPr>
          <w:lang w:eastAsia="ja-JP"/>
        </w:rPr>
        <w:t>current</w:t>
      </w:r>
      <w:r w:rsidR="00F13F30">
        <w:rPr>
          <w:lang w:eastAsia="ja-JP"/>
        </w:rPr>
        <w:t xml:space="preserve"> </w:t>
      </w:r>
      <w:r>
        <w:rPr>
          <w:lang w:eastAsia="ja-JP"/>
        </w:rPr>
        <w:t>program guidelines w</w:t>
      </w:r>
      <w:r w:rsidR="005221D2">
        <w:rPr>
          <w:lang w:eastAsia="ja-JP"/>
        </w:rPr>
        <w:t>ere</w:t>
      </w:r>
      <w:r>
        <w:rPr>
          <w:lang w:eastAsia="ja-JP"/>
        </w:rPr>
        <w:t xml:space="preserve"> launched, the funding was projected a</w:t>
      </w:r>
      <w:r w:rsidR="001E3132">
        <w:rPr>
          <w:lang w:eastAsia="ja-JP"/>
        </w:rPr>
        <w:t>t approximately $15–</w:t>
      </w:r>
      <w:r>
        <w:rPr>
          <w:lang w:eastAsia="ja-JP"/>
        </w:rPr>
        <w:t>16</w:t>
      </w:r>
      <w:r w:rsidR="005221D2">
        <w:rPr>
          <w:lang w:eastAsia="ja-JP"/>
        </w:rPr>
        <w:t> </w:t>
      </w:r>
      <w:r>
        <w:rPr>
          <w:lang w:eastAsia="ja-JP"/>
        </w:rPr>
        <w:t xml:space="preserve">million per </w:t>
      </w:r>
      <w:r w:rsidR="00652242">
        <w:rPr>
          <w:lang w:eastAsia="ja-JP"/>
        </w:rPr>
        <w:t>year</w:t>
      </w:r>
      <w:r>
        <w:rPr>
          <w:lang w:eastAsia="ja-JP"/>
        </w:rPr>
        <w:t>. On 5 August 2018, the Australian Government made a significant injection of $5</w:t>
      </w:r>
      <w:r w:rsidR="005221D2">
        <w:rPr>
          <w:lang w:eastAsia="ja-JP"/>
        </w:rPr>
        <w:t> </w:t>
      </w:r>
      <w:r>
        <w:rPr>
          <w:lang w:eastAsia="ja-JP"/>
        </w:rPr>
        <w:t xml:space="preserve">million of additional funding for the RFCS to meet demand associated with drought assistance. </w:t>
      </w:r>
      <w:r w:rsidRPr="00CA20EC">
        <w:rPr>
          <w:lang w:eastAsia="ja-JP"/>
        </w:rPr>
        <w:t xml:space="preserve">Funding levels </w:t>
      </w:r>
      <w:r w:rsidR="00CA20EC" w:rsidRPr="00CA20EC">
        <w:rPr>
          <w:lang w:eastAsia="ja-JP"/>
        </w:rPr>
        <w:t xml:space="preserve">in each of the coming </w:t>
      </w:r>
      <w:r w:rsidR="00B6751D">
        <w:rPr>
          <w:lang w:eastAsia="ja-JP"/>
        </w:rPr>
        <w:t>3</w:t>
      </w:r>
      <w:r w:rsidR="00B6751D" w:rsidRPr="00F61EEE">
        <w:rPr>
          <w:lang w:eastAsia="ja-JP"/>
        </w:rPr>
        <w:t xml:space="preserve"> </w:t>
      </w:r>
      <w:r w:rsidR="00CA20EC" w:rsidRPr="00F61EEE">
        <w:rPr>
          <w:lang w:eastAsia="ja-JP"/>
        </w:rPr>
        <w:t>years</w:t>
      </w:r>
      <w:r w:rsidR="00CA20EC" w:rsidRPr="00CA20EC">
        <w:rPr>
          <w:lang w:eastAsia="ja-JP"/>
        </w:rPr>
        <w:t xml:space="preserve"> will be </w:t>
      </w:r>
      <w:r w:rsidRPr="00CA20EC">
        <w:rPr>
          <w:lang w:eastAsia="ja-JP"/>
        </w:rPr>
        <w:t>approximately $17 million (</w:t>
      </w:r>
      <w:r w:rsidR="00502B01">
        <w:rPr>
          <w:lang w:eastAsia="ja-JP"/>
        </w:rPr>
        <w:fldChar w:fldCharType="begin" w:fldLock="1"/>
      </w:r>
      <w:r w:rsidR="00502B01">
        <w:rPr>
          <w:lang w:eastAsia="ja-JP"/>
        </w:rPr>
        <w:instrText xml:space="preserve"> REF _Ref17293279 \h </w:instrText>
      </w:r>
      <w:r w:rsidR="00502B01">
        <w:rPr>
          <w:lang w:eastAsia="ja-JP"/>
        </w:rPr>
      </w:r>
      <w:r w:rsidR="00502B01">
        <w:rPr>
          <w:lang w:eastAsia="ja-JP"/>
        </w:rPr>
        <w:fldChar w:fldCharType="separate"/>
      </w:r>
      <w:r w:rsidR="00474B0C">
        <w:t xml:space="preserve">Table </w:t>
      </w:r>
      <w:r w:rsidR="00474B0C">
        <w:rPr>
          <w:noProof/>
        </w:rPr>
        <w:t>3</w:t>
      </w:r>
      <w:r w:rsidR="00502B01">
        <w:rPr>
          <w:lang w:eastAsia="ja-JP"/>
        </w:rPr>
        <w:fldChar w:fldCharType="end"/>
      </w:r>
      <w:r>
        <w:rPr>
          <w:lang w:eastAsia="ja-JP"/>
        </w:rPr>
        <w:t>). Service providers will need to manage staff and client engagement as the funding boost comes to an end.</w:t>
      </w:r>
    </w:p>
    <w:p w14:paraId="66AAD3E2" w14:textId="7148C56B" w:rsidR="00821039" w:rsidRDefault="00DE37A5" w:rsidP="00DE37A5">
      <w:pPr>
        <w:pStyle w:val="Caption"/>
      </w:pPr>
      <w:bookmarkStart w:id="35" w:name="_Ref17293279"/>
      <w:bookmarkStart w:id="36" w:name="_Ref16608118"/>
      <w:bookmarkStart w:id="37" w:name="_Toc18320670"/>
      <w:bookmarkStart w:id="38" w:name="_Toc16077189"/>
      <w:r>
        <w:t xml:space="preserve">Table </w:t>
      </w:r>
      <w:r w:rsidR="001E3132">
        <w:rPr>
          <w:noProof/>
        </w:rPr>
        <w:fldChar w:fldCharType="begin" w:fldLock="1"/>
      </w:r>
      <w:r w:rsidR="001E3132">
        <w:rPr>
          <w:noProof/>
        </w:rPr>
        <w:instrText xml:space="preserve"> SEQ Table \* ARABIC </w:instrText>
      </w:r>
      <w:r w:rsidR="001E3132">
        <w:rPr>
          <w:noProof/>
        </w:rPr>
        <w:fldChar w:fldCharType="separate"/>
      </w:r>
      <w:r w:rsidR="00474B0C">
        <w:rPr>
          <w:noProof/>
        </w:rPr>
        <w:t>3</w:t>
      </w:r>
      <w:r w:rsidR="001E3132">
        <w:rPr>
          <w:noProof/>
        </w:rPr>
        <w:fldChar w:fldCharType="end"/>
      </w:r>
      <w:bookmarkEnd w:id="35"/>
      <w:r>
        <w:t xml:space="preserve"> </w:t>
      </w:r>
      <w:r w:rsidR="0037056A">
        <w:t xml:space="preserve">Total </w:t>
      </w:r>
      <w:r w:rsidR="00B81545">
        <w:t xml:space="preserve">Australian Government </w:t>
      </w:r>
      <w:r>
        <w:t>RFCS program funding</w:t>
      </w:r>
      <w:bookmarkEnd w:id="36"/>
      <w:bookmarkEnd w:id="37"/>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842"/>
        <w:gridCol w:w="1985"/>
        <w:gridCol w:w="1984"/>
      </w:tblGrid>
      <w:tr w:rsidR="00821039" w:rsidRPr="00D87B29" w14:paraId="45B57969" w14:textId="77777777" w:rsidTr="00772F62">
        <w:trPr>
          <w:cantSplit/>
          <w:tblHeader/>
        </w:trPr>
        <w:tc>
          <w:tcPr>
            <w:tcW w:w="2127" w:type="dxa"/>
            <w:tcBorders>
              <w:top w:val="single" w:sz="4" w:space="0" w:color="auto"/>
              <w:bottom w:val="single" w:sz="4" w:space="0" w:color="auto"/>
            </w:tcBorders>
          </w:tcPr>
          <w:bookmarkEnd w:id="38"/>
          <w:p w14:paraId="0094FACA" w14:textId="52BEB021" w:rsidR="00821039" w:rsidRPr="00D87B29" w:rsidRDefault="00821039" w:rsidP="00502B01">
            <w:pPr>
              <w:pStyle w:val="TableHeading"/>
              <w:rPr>
                <w:lang w:eastAsia="ja-JP"/>
              </w:rPr>
            </w:pPr>
            <w:r w:rsidRPr="00D87B29">
              <w:rPr>
                <w:lang w:eastAsia="ja-JP"/>
              </w:rPr>
              <w:t>2019–20</w:t>
            </w:r>
            <w:r>
              <w:rPr>
                <w:lang w:eastAsia="ja-JP"/>
              </w:rPr>
              <w:t xml:space="preserve"> </w:t>
            </w:r>
            <w:r w:rsidRPr="00D87B29">
              <w:rPr>
                <w:lang w:eastAsia="ja-JP"/>
              </w:rPr>
              <w:t>Budget</w:t>
            </w:r>
            <w:r>
              <w:rPr>
                <w:lang w:eastAsia="ja-JP"/>
              </w:rPr>
              <w:t xml:space="preserve"> ($m)</w:t>
            </w:r>
          </w:p>
        </w:tc>
        <w:tc>
          <w:tcPr>
            <w:tcW w:w="1842" w:type="dxa"/>
            <w:tcBorders>
              <w:top w:val="single" w:sz="4" w:space="0" w:color="auto"/>
              <w:bottom w:val="single" w:sz="4" w:space="0" w:color="auto"/>
            </w:tcBorders>
          </w:tcPr>
          <w:p w14:paraId="6E65CF21" w14:textId="6587C92B" w:rsidR="00821039" w:rsidRPr="00D87B29" w:rsidRDefault="00821039" w:rsidP="00502B01">
            <w:pPr>
              <w:pStyle w:val="TableHeading"/>
              <w:rPr>
                <w:lang w:eastAsia="ja-JP"/>
              </w:rPr>
            </w:pPr>
            <w:r w:rsidRPr="00D87B29">
              <w:rPr>
                <w:lang w:eastAsia="ja-JP"/>
              </w:rPr>
              <w:t>2020–21</w:t>
            </w:r>
            <w:r>
              <w:rPr>
                <w:lang w:eastAsia="ja-JP"/>
              </w:rPr>
              <w:t xml:space="preserve"> f</w:t>
            </w:r>
            <w:r w:rsidRPr="00D87B29">
              <w:rPr>
                <w:lang w:eastAsia="ja-JP"/>
              </w:rPr>
              <w:t xml:space="preserve">orward estimate </w:t>
            </w:r>
            <w:r>
              <w:rPr>
                <w:lang w:eastAsia="ja-JP"/>
              </w:rPr>
              <w:t>($m)</w:t>
            </w:r>
          </w:p>
        </w:tc>
        <w:tc>
          <w:tcPr>
            <w:tcW w:w="1985" w:type="dxa"/>
            <w:tcBorders>
              <w:top w:val="single" w:sz="4" w:space="0" w:color="auto"/>
              <w:bottom w:val="single" w:sz="4" w:space="0" w:color="auto"/>
            </w:tcBorders>
          </w:tcPr>
          <w:p w14:paraId="52C80439" w14:textId="6FF482B8" w:rsidR="00821039" w:rsidRPr="00D87B29" w:rsidRDefault="00821039" w:rsidP="00502B01">
            <w:pPr>
              <w:pStyle w:val="TableHeading"/>
              <w:rPr>
                <w:lang w:eastAsia="ja-JP"/>
              </w:rPr>
            </w:pPr>
            <w:r w:rsidRPr="00D87B29">
              <w:rPr>
                <w:lang w:eastAsia="ja-JP"/>
              </w:rPr>
              <w:t>2021–22</w:t>
            </w:r>
            <w:r>
              <w:rPr>
                <w:lang w:eastAsia="ja-JP"/>
              </w:rPr>
              <w:t xml:space="preserve"> f</w:t>
            </w:r>
            <w:r w:rsidRPr="00D87B29">
              <w:rPr>
                <w:lang w:eastAsia="ja-JP"/>
              </w:rPr>
              <w:t>orward estimate</w:t>
            </w:r>
            <w:r>
              <w:rPr>
                <w:lang w:eastAsia="ja-JP"/>
              </w:rPr>
              <w:t xml:space="preserve"> ($m)</w:t>
            </w:r>
          </w:p>
        </w:tc>
        <w:tc>
          <w:tcPr>
            <w:tcW w:w="1984" w:type="dxa"/>
            <w:tcBorders>
              <w:top w:val="single" w:sz="4" w:space="0" w:color="auto"/>
              <w:bottom w:val="single" w:sz="4" w:space="0" w:color="auto"/>
            </w:tcBorders>
          </w:tcPr>
          <w:p w14:paraId="5E56DEFD" w14:textId="1E9C5EFB" w:rsidR="00821039" w:rsidRPr="00D87B29" w:rsidRDefault="00821039" w:rsidP="00502B01">
            <w:pPr>
              <w:pStyle w:val="TableHeading"/>
              <w:rPr>
                <w:lang w:eastAsia="ja-JP"/>
              </w:rPr>
            </w:pPr>
            <w:r w:rsidRPr="00D87B29">
              <w:rPr>
                <w:lang w:eastAsia="ja-JP"/>
              </w:rPr>
              <w:t>2022–23</w:t>
            </w:r>
            <w:r>
              <w:rPr>
                <w:lang w:eastAsia="ja-JP"/>
              </w:rPr>
              <w:t xml:space="preserve"> f</w:t>
            </w:r>
            <w:r w:rsidRPr="00D87B29">
              <w:rPr>
                <w:lang w:eastAsia="ja-JP"/>
              </w:rPr>
              <w:t>orward estimat</w:t>
            </w:r>
            <w:r>
              <w:rPr>
                <w:lang w:eastAsia="ja-JP"/>
              </w:rPr>
              <w:t>e ($m)</w:t>
            </w:r>
          </w:p>
        </w:tc>
      </w:tr>
      <w:tr w:rsidR="00821039" w14:paraId="117BD9D7" w14:textId="77777777" w:rsidTr="00403E0F">
        <w:tc>
          <w:tcPr>
            <w:tcW w:w="2127" w:type="dxa"/>
            <w:tcBorders>
              <w:top w:val="single" w:sz="4" w:space="0" w:color="auto"/>
            </w:tcBorders>
          </w:tcPr>
          <w:p w14:paraId="0D337E2E" w14:textId="3DDE2977" w:rsidR="00821039" w:rsidRPr="00D87B29" w:rsidRDefault="00821039" w:rsidP="00502B01">
            <w:pPr>
              <w:pStyle w:val="TableText"/>
              <w:jc w:val="right"/>
              <w:rPr>
                <w:lang w:eastAsia="ja-JP"/>
              </w:rPr>
            </w:pPr>
            <w:r w:rsidRPr="00D87B29">
              <w:rPr>
                <w:lang w:eastAsia="ja-JP"/>
              </w:rPr>
              <w:t>1</w:t>
            </w:r>
            <w:r w:rsidR="00895A13">
              <w:rPr>
                <w:lang w:eastAsia="ja-JP"/>
              </w:rPr>
              <w:t>6</w:t>
            </w:r>
            <w:r w:rsidRPr="00D87B29">
              <w:rPr>
                <w:lang w:eastAsia="ja-JP"/>
              </w:rPr>
              <w:t>.940</w:t>
            </w:r>
          </w:p>
        </w:tc>
        <w:tc>
          <w:tcPr>
            <w:tcW w:w="1842" w:type="dxa"/>
            <w:tcBorders>
              <w:top w:val="single" w:sz="4" w:space="0" w:color="auto"/>
            </w:tcBorders>
          </w:tcPr>
          <w:p w14:paraId="0B7C60E3" w14:textId="0EE994F9" w:rsidR="00821039" w:rsidRPr="00D87B29" w:rsidRDefault="00821039" w:rsidP="00502B01">
            <w:pPr>
              <w:pStyle w:val="TableText"/>
              <w:jc w:val="right"/>
              <w:rPr>
                <w:lang w:eastAsia="ja-JP"/>
              </w:rPr>
            </w:pPr>
            <w:r>
              <w:rPr>
                <w:lang w:eastAsia="ja-JP"/>
              </w:rPr>
              <w:t>17.229</w:t>
            </w:r>
          </w:p>
        </w:tc>
        <w:tc>
          <w:tcPr>
            <w:tcW w:w="1985" w:type="dxa"/>
            <w:tcBorders>
              <w:top w:val="single" w:sz="4" w:space="0" w:color="auto"/>
            </w:tcBorders>
          </w:tcPr>
          <w:p w14:paraId="3D9DA474" w14:textId="3204C6A9" w:rsidR="00821039" w:rsidRPr="00D87B29" w:rsidRDefault="00821039" w:rsidP="00502B01">
            <w:pPr>
              <w:pStyle w:val="TableText"/>
              <w:jc w:val="right"/>
              <w:rPr>
                <w:lang w:eastAsia="ja-JP"/>
              </w:rPr>
            </w:pPr>
            <w:r>
              <w:rPr>
                <w:lang w:eastAsia="ja-JP"/>
              </w:rPr>
              <w:t>17.522</w:t>
            </w:r>
          </w:p>
        </w:tc>
        <w:tc>
          <w:tcPr>
            <w:tcW w:w="1984" w:type="dxa"/>
            <w:tcBorders>
              <w:top w:val="single" w:sz="4" w:space="0" w:color="auto"/>
            </w:tcBorders>
          </w:tcPr>
          <w:p w14:paraId="63BAD4A0" w14:textId="7C460FB1" w:rsidR="00821039" w:rsidRDefault="00821039" w:rsidP="00502B01">
            <w:pPr>
              <w:pStyle w:val="TableText"/>
              <w:jc w:val="right"/>
              <w:rPr>
                <w:lang w:eastAsia="ja-JP"/>
              </w:rPr>
            </w:pPr>
            <w:r w:rsidRPr="00D87B29">
              <w:rPr>
                <w:lang w:eastAsia="ja-JP"/>
              </w:rPr>
              <w:t>17.819</w:t>
            </w:r>
          </w:p>
        </w:tc>
      </w:tr>
    </w:tbl>
    <w:p w14:paraId="2812A5AF" w14:textId="65A490DA" w:rsidR="00742F36" w:rsidRDefault="00742F36" w:rsidP="00742F36">
      <w:pPr>
        <w:pStyle w:val="FigureTableNoteSource"/>
      </w:pPr>
      <w:r>
        <w:t xml:space="preserve">Source: </w:t>
      </w:r>
      <w:r w:rsidR="00F13F30">
        <w:rPr>
          <w:lang w:eastAsia="ja-JP"/>
        </w:rPr>
        <w:t>2019–</w:t>
      </w:r>
      <w:r w:rsidRPr="00E05675">
        <w:rPr>
          <w:lang w:eastAsia="ja-JP"/>
        </w:rPr>
        <w:t>20 Portfolio Budget Statements</w:t>
      </w:r>
    </w:p>
    <w:p w14:paraId="6EC931E7" w14:textId="5204307F" w:rsidR="00517F4E" w:rsidRDefault="00536984" w:rsidP="006B33D7">
      <w:pPr>
        <w:rPr>
          <w:lang w:eastAsia="ja-JP"/>
        </w:rPr>
      </w:pPr>
      <w:r>
        <w:rPr>
          <w:lang w:eastAsia="ja-JP"/>
        </w:rPr>
        <w:t>Australian Government</w:t>
      </w:r>
      <w:r w:rsidR="006B33D7" w:rsidRPr="006320BE">
        <w:rPr>
          <w:lang w:eastAsia="ja-JP"/>
        </w:rPr>
        <w:t xml:space="preserve"> funding is discussed in </w:t>
      </w:r>
      <w:r w:rsidR="00821039" w:rsidRPr="00967344">
        <w:rPr>
          <w:lang w:eastAsia="ja-JP"/>
        </w:rPr>
        <w:fldChar w:fldCharType="begin" w:fldLock="1"/>
      </w:r>
      <w:r w:rsidR="00821039" w:rsidRPr="00967344">
        <w:rPr>
          <w:lang w:eastAsia="ja-JP"/>
        </w:rPr>
        <w:instrText xml:space="preserve"> REF _Ref16605533 \h </w:instrText>
      </w:r>
      <w:r w:rsidR="00652242" w:rsidRPr="00967344">
        <w:rPr>
          <w:lang w:eastAsia="ja-JP"/>
        </w:rPr>
        <w:instrText xml:space="preserve"> \* MERGEFORMAT </w:instrText>
      </w:r>
      <w:r w:rsidR="00821039" w:rsidRPr="00967344">
        <w:rPr>
          <w:lang w:eastAsia="ja-JP"/>
        </w:rPr>
      </w:r>
      <w:r w:rsidR="00821039" w:rsidRPr="00967344">
        <w:rPr>
          <w:lang w:eastAsia="ja-JP"/>
        </w:rPr>
        <w:fldChar w:fldCharType="separate"/>
      </w:r>
      <w:r w:rsidR="00474B0C">
        <w:rPr>
          <w:lang w:eastAsia="ja-JP"/>
        </w:rPr>
        <w:t>Funding parameters</w:t>
      </w:r>
      <w:r w:rsidR="00821039" w:rsidRPr="00967344">
        <w:rPr>
          <w:lang w:eastAsia="ja-JP"/>
        </w:rPr>
        <w:fldChar w:fldCharType="end"/>
      </w:r>
      <w:r w:rsidR="00821039">
        <w:rPr>
          <w:lang w:eastAsia="ja-JP"/>
        </w:rPr>
        <w:t>.</w:t>
      </w:r>
    </w:p>
    <w:p w14:paraId="20DF570C" w14:textId="77777777" w:rsidR="00517F4E" w:rsidRDefault="006B33D7" w:rsidP="00EF2381">
      <w:pPr>
        <w:pStyle w:val="Heading4"/>
        <w:numPr>
          <w:ilvl w:val="2"/>
          <w:numId w:val="12"/>
        </w:numPr>
        <w:rPr>
          <w:lang w:eastAsia="ja-JP"/>
        </w:rPr>
      </w:pPr>
      <w:r>
        <w:rPr>
          <w:lang w:eastAsia="ja-JP"/>
        </w:rPr>
        <w:lastRenderedPageBreak/>
        <w:t xml:space="preserve">State </w:t>
      </w:r>
      <w:r w:rsidR="00B806F7">
        <w:rPr>
          <w:lang w:eastAsia="ja-JP"/>
        </w:rPr>
        <w:t>and territory funding</w:t>
      </w:r>
    </w:p>
    <w:p w14:paraId="02690894" w14:textId="378C6A86" w:rsidR="006B33D7" w:rsidRDefault="006B33D7" w:rsidP="006B33D7">
      <w:r w:rsidRPr="00E62C47">
        <w:rPr>
          <w:lang w:eastAsia="ja-JP"/>
        </w:rPr>
        <w:t xml:space="preserve">State </w:t>
      </w:r>
      <w:r w:rsidR="009232E4" w:rsidRPr="00E62C47">
        <w:rPr>
          <w:lang w:eastAsia="ja-JP"/>
        </w:rPr>
        <w:t xml:space="preserve">and territory </w:t>
      </w:r>
      <w:r w:rsidRPr="00E62C47">
        <w:rPr>
          <w:lang w:eastAsia="ja-JP"/>
        </w:rPr>
        <w:t xml:space="preserve">funding levels for the various service providers </w:t>
      </w:r>
      <w:r w:rsidR="00224C0A" w:rsidRPr="00E62C47">
        <w:rPr>
          <w:lang w:eastAsia="ja-JP"/>
        </w:rPr>
        <w:t xml:space="preserve">vary, with the highest contribution representing </w:t>
      </w:r>
      <w:r w:rsidR="007642A4" w:rsidRPr="00E62C47">
        <w:rPr>
          <w:lang w:eastAsia="ja-JP"/>
        </w:rPr>
        <w:t xml:space="preserve">approximately </w:t>
      </w:r>
      <w:r w:rsidR="00224C0A" w:rsidRPr="00E62C47">
        <w:rPr>
          <w:lang w:eastAsia="ja-JP"/>
        </w:rPr>
        <w:t>27</w:t>
      </w:r>
      <w:r w:rsidR="00551B13">
        <w:rPr>
          <w:lang w:eastAsia="ja-JP"/>
        </w:rPr>
        <w:t>%</w:t>
      </w:r>
      <w:r w:rsidR="00224C0A" w:rsidRPr="00E62C47">
        <w:rPr>
          <w:lang w:eastAsia="ja-JP"/>
        </w:rPr>
        <w:t xml:space="preserve"> of total program funding for that jurisdiction.</w:t>
      </w:r>
    </w:p>
    <w:p w14:paraId="320C737A" w14:textId="5B6D8305" w:rsidR="00517F4E" w:rsidRDefault="006B33D7" w:rsidP="006B33D7">
      <w:pPr>
        <w:rPr>
          <w:lang w:eastAsia="ja-JP"/>
        </w:rPr>
      </w:pPr>
      <w:r>
        <w:rPr>
          <w:lang w:eastAsia="ja-JP"/>
        </w:rPr>
        <w:t>In most cases</w:t>
      </w:r>
      <w:r w:rsidR="00B806F7">
        <w:rPr>
          <w:lang w:eastAsia="ja-JP"/>
        </w:rPr>
        <w:t>,</w:t>
      </w:r>
      <w:r>
        <w:rPr>
          <w:lang w:eastAsia="ja-JP"/>
        </w:rPr>
        <w:t xml:space="preserve"> state</w:t>
      </w:r>
      <w:r w:rsidR="007C4D1A">
        <w:rPr>
          <w:lang w:eastAsia="ja-JP"/>
        </w:rPr>
        <w:t xml:space="preserve"> and </w:t>
      </w:r>
      <w:r w:rsidR="009232E4">
        <w:rPr>
          <w:lang w:eastAsia="ja-JP"/>
        </w:rPr>
        <w:t>territory</w:t>
      </w:r>
      <w:r>
        <w:rPr>
          <w:lang w:eastAsia="ja-JP"/>
        </w:rPr>
        <w:t xml:space="preserve"> funding reflect</w:t>
      </w:r>
      <w:r w:rsidR="007C4D1A">
        <w:rPr>
          <w:lang w:eastAsia="ja-JP"/>
        </w:rPr>
        <w:t>s</w:t>
      </w:r>
      <w:r>
        <w:rPr>
          <w:lang w:eastAsia="ja-JP"/>
        </w:rPr>
        <w:t xml:space="preserve"> historic levels of investment </w:t>
      </w:r>
      <w:r w:rsidR="00B806F7">
        <w:rPr>
          <w:lang w:eastAsia="ja-JP"/>
        </w:rPr>
        <w:t>rather than</w:t>
      </w:r>
      <w:r>
        <w:rPr>
          <w:lang w:eastAsia="ja-JP"/>
        </w:rPr>
        <w:t xml:space="preserve"> a recent </w:t>
      </w:r>
      <w:r w:rsidR="007642A4">
        <w:rPr>
          <w:lang w:eastAsia="ja-JP"/>
        </w:rPr>
        <w:t>assessment</w:t>
      </w:r>
      <w:r>
        <w:rPr>
          <w:lang w:eastAsia="ja-JP"/>
        </w:rPr>
        <w:t xml:space="preserve"> of the value or cost of the service. </w:t>
      </w:r>
      <w:r w:rsidR="00652242">
        <w:rPr>
          <w:lang w:eastAsia="ja-JP"/>
        </w:rPr>
        <w:t>S</w:t>
      </w:r>
      <w:r w:rsidR="007642A4">
        <w:rPr>
          <w:lang w:eastAsia="ja-JP"/>
        </w:rPr>
        <w:t>ome</w:t>
      </w:r>
      <w:r w:rsidRPr="00764892">
        <w:rPr>
          <w:lang w:eastAsia="ja-JP"/>
        </w:rPr>
        <w:t xml:space="preserve"> </w:t>
      </w:r>
      <w:r w:rsidR="00B806F7">
        <w:rPr>
          <w:lang w:eastAsia="ja-JP"/>
        </w:rPr>
        <w:t>s</w:t>
      </w:r>
      <w:r w:rsidRPr="00764892">
        <w:rPr>
          <w:lang w:eastAsia="ja-JP"/>
        </w:rPr>
        <w:t>tate payments do not account for indexation</w:t>
      </w:r>
      <w:r>
        <w:rPr>
          <w:lang w:eastAsia="ja-JP"/>
        </w:rPr>
        <w:t>.</w:t>
      </w:r>
      <w:r w:rsidR="006B7444">
        <w:rPr>
          <w:lang w:eastAsia="ja-JP"/>
        </w:rPr>
        <w:t xml:space="preserve"> </w:t>
      </w:r>
      <w:r w:rsidR="00652242">
        <w:rPr>
          <w:lang w:eastAsia="ja-JP"/>
        </w:rPr>
        <w:t>S</w:t>
      </w:r>
      <w:r>
        <w:rPr>
          <w:lang w:eastAsia="ja-JP"/>
        </w:rPr>
        <w:t>ome states drive demand for the service through their own assistance measures and directly refer enquiries from state departments to the RFCS.</w:t>
      </w:r>
      <w:r w:rsidR="006B7444">
        <w:rPr>
          <w:lang w:eastAsia="ja-JP"/>
        </w:rPr>
        <w:t xml:space="preserve"> </w:t>
      </w:r>
      <w:r>
        <w:rPr>
          <w:lang w:eastAsia="ja-JP"/>
        </w:rPr>
        <w:t xml:space="preserve">States should consider what programs require RFCS assistance and whether these referrals provide an </w:t>
      </w:r>
      <w:r w:rsidRPr="00F61EEE">
        <w:rPr>
          <w:lang w:eastAsia="ja-JP"/>
        </w:rPr>
        <w:t>effective</w:t>
      </w:r>
      <w:r w:rsidR="00517F4E">
        <w:rPr>
          <w:lang w:eastAsia="ja-JP"/>
        </w:rPr>
        <w:t xml:space="preserve"> </w:t>
      </w:r>
      <w:r w:rsidRPr="00F61EEE">
        <w:rPr>
          <w:lang w:eastAsia="ja-JP"/>
        </w:rPr>
        <w:t>hook</w:t>
      </w:r>
      <w:r w:rsidR="00745579" w:rsidRPr="00F61EEE">
        <w:rPr>
          <w:lang w:eastAsia="ja-JP"/>
        </w:rPr>
        <w:t xml:space="preserve"> </w:t>
      </w:r>
      <w:r w:rsidRPr="00F61EEE">
        <w:rPr>
          <w:lang w:eastAsia="ja-JP"/>
        </w:rPr>
        <w:t xml:space="preserve">to steer clients </w:t>
      </w:r>
      <w:r w:rsidR="007C4D1A" w:rsidRPr="00F61EEE">
        <w:rPr>
          <w:lang w:eastAsia="ja-JP"/>
        </w:rPr>
        <w:t xml:space="preserve">onto </w:t>
      </w:r>
      <w:r w:rsidR="00B806F7" w:rsidRPr="00F61EEE">
        <w:rPr>
          <w:lang w:eastAsia="ja-JP"/>
        </w:rPr>
        <w:t xml:space="preserve">a </w:t>
      </w:r>
      <w:r w:rsidRPr="00F61EEE">
        <w:rPr>
          <w:lang w:eastAsia="ja-JP"/>
        </w:rPr>
        <w:t xml:space="preserve">pathway to case management, as per the objectives of the program. States and territories should </w:t>
      </w:r>
      <w:r w:rsidR="007C4D1A" w:rsidRPr="00F61EEE">
        <w:rPr>
          <w:lang w:eastAsia="ja-JP"/>
        </w:rPr>
        <w:t xml:space="preserve">also </w:t>
      </w:r>
      <w:r w:rsidRPr="00F61EEE">
        <w:rPr>
          <w:lang w:eastAsia="ja-JP"/>
        </w:rPr>
        <w:t xml:space="preserve">consider increasing their proportion of funding to the service in light of current demand in their </w:t>
      </w:r>
      <w:r w:rsidR="007C4D1A" w:rsidRPr="00F61EEE">
        <w:rPr>
          <w:lang w:eastAsia="ja-JP"/>
        </w:rPr>
        <w:t>jurisdiction</w:t>
      </w:r>
      <w:r w:rsidRPr="00F61EEE">
        <w:rPr>
          <w:lang w:eastAsia="ja-JP"/>
        </w:rPr>
        <w:t>.</w:t>
      </w:r>
    </w:p>
    <w:p w14:paraId="0CBD933C" w14:textId="6536ABDB" w:rsidR="006B33D7" w:rsidRDefault="006B33D7" w:rsidP="006B33D7">
      <w:pPr>
        <w:rPr>
          <w:lang w:eastAsia="ja-JP"/>
        </w:rPr>
      </w:pPr>
      <w:r w:rsidRPr="00F61EEE">
        <w:rPr>
          <w:lang w:eastAsia="ja-JP"/>
        </w:rPr>
        <w:t xml:space="preserve">Some providers have indicated </w:t>
      </w:r>
      <w:r w:rsidR="005B11B0">
        <w:rPr>
          <w:lang w:eastAsia="ja-JP"/>
        </w:rPr>
        <w:t xml:space="preserve">that entering into a separate deed and payment arrangement with each state and territory creates a high </w:t>
      </w:r>
      <w:r w:rsidRPr="00F61EEE">
        <w:rPr>
          <w:lang w:eastAsia="ja-JP"/>
        </w:rPr>
        <w:t>administrative burden</w:t>
      </w:r>
      <w:r w:rsidR="005B11B0">
        <w:rPr>
          <w:lang w:eastAsia="ja-JP"/>
        </w:rPr>
        <w:t>.</w:t>
      </w:r>
      <w:r w:rsidRPr="00F61EEE">
        <w:rPr>
          <w:lang w:eastAsia="ja-JP"/>
        </w:rPr>
        <w:t xml:space="preserve"> </w:t>
      </w:r>
      <w:r w:rsidR="005B11B0">
        <w:rPr>
          <w:lang w:eastAsia="ja-JP"/>
        </w:rPr>
        <w:t>T</w:t>
      </w:r>
      <w:r w:rsidRPr="00F61EEE">
        <w:rPr>
          <w:lang w:eastAsia="ja-JP"/>
        </w:rPr>
        <w:t xml:space="preserve">here were </w:t>
      </w:r>
      <w:r w:rsidR="005B11B0">
        <w:rPr>
          <w:lang w:eastAsia="ja-JP"/>
        </w:rPr>
        <w:t xml:space="preserve">also </w:t>
      </w:r>
      <w:r w:rsidRPr="00F61EEE">
        <w:rPr>
          <w:lang w:eastAsia="ja-JP"/>
        </w:rPr>
        <w:t>complaints that</w:t>
      </w:r>
      <w:r w:rsidR="0047447F" w:rsidRPr="00F61EEE">
        <w:rPr>
          <w:lang w:eastAsia="ja-JP"/>
        </w:rPr>
        <w:t xml:space="preserve"> </w:t>
      </w:r>
      <w:r w:rsidRPr="00F61EEE">
        <w:rPr>
          <w:lang w:eastAsia="ja-JP"/>
        </w:rPr>
        <w:t xml:space="preserve">state payments </w:t>
      </w:r>
      <w:r w:rsidR="007C4D1A" w:rsidRPr="00F61EEE">
        <w:rPr>
          <w:lang w:eastAsia="ja-JP"/>
        </w:rPr>
        <w:t>are frequently</w:t>
      </w:r>
      <w:r w:rsidRPr="00F61EEE">
        <w:rPr>
          <w:lang w:eastAsia="ja-JP"/>
        </w:rPr>
        <w:t xml:space="preserve"> delayed</w:t>
      </w:r>
      <w:r w:rsidR="007C4D1A" w:rsidRPr="00F61EEE">
        <w:rPr>
          <w:lang w:eastAsia="ja-JP"/>
        </w:rPr>
        <w:t>—in one case,</w:t>
      </w:r>
      <w:r>
        <w:rPr>
          <w:lang w:eastAsia="ja-JP"/>
        </w:rPr>
        <w:t xml:space="preserve"> </w:t>
      </w:r>
      <w:r w:rsidR="00D66708">
        <w:t>payments amounting to 75% of the total annual funding were delayed</w:t>
      </w:r>
      <w:r>
        <w:rPr>
          <w:lang w:eastAsia="ja-JP"/>
        </w:rPr>
        <w:t xml:space="preserve">. </w:t>
      </w:r>
      <w:r w:rsidR="005B11B0">
        <w:rPr>
          <w:lang w:eastAsia="ja-JP"/>
        </w:rPr>
        <w:t>S</w:t>
      </w:r>
      <w:r>
        <w:rPr>
          <w:lang w:eastAsia="ja-JP"/>
        </w:rPr>
        <w:t xml:space="preserve">uch delays </w:t>
      </w:r>
      <w:r w:rsidR="005B11B0">
        <w:rPr>
          <w:lang w:eastAsia="ja-JP"/>
        </w:rPr>
        <w:t xml:space="preserve">make </w:t>
      </w:r>
      <w:r>
        <w:rPr>
          <w:lang w:eastAsia="ja-JP"/>
        </w:rPr>
        <w:t>it difficult for providers to plan</w:t>
      </w:r>
      <w:r w:rsidR="00180C80">
        <w:rPr>
          <w:lang w:eastAsia="ja-JP"/>
        </w:rPr>
        <w:t>,</w:t>
      </w:r>
      <w:r w:rsidR="00063FCC">
        <w:rPr>
          <w:lang w:eastAsia="ja-JP"/>
        </w:rPr>
        <w:t xml:space="preserve"> make financial commitments</w:t>
      </w:r>
      <w:r w:rsidR="00180C80">
        <w:rPr>
          <w:lang w:eastAsia="ja-JP"/>
        </w:rPr>
        <w:t xml:space="preserve"> and deploy staff</w:t>
      </w:r>
      <w:r w:rsidR="00063FCC">
        <w:rPr>
          <w:lang w:eastAsia="ja-JP"/>
        </w:rPr>
        <w:t>.</w:t>
      </w:r>
    </w:p>
    <w:p w14:paraId="5A86A4D2" w14:textId="4E9BF100" w:rsidR="00517F4E" w:rsidRDefault="00895A13" w:rsidP="006B33D7">
      <w:r w:rsidRPr="00895A13">
        <w:rPr>
          <w:lang w:eastAsia="ja-JP"/>
        </w:rPr>
        <w:t>States enter into a non-financial bilateral agreement with the Australian Government that underlines each party</w:t>
      </w:r>
      <w:r w:rsidR="00736B18">
        <w:rPr>
          <w:lang w:eastAsia="ja-JP"/>
        </w:rPr>
        <w:t>'</w:t>
      </w:r>
      <w:r w:rsidRPr="00895A13">
        <w:rPr>
          <w:lang w:eastAsia="ja-JP"/>
        </w:rPr>
        <w:t xml:space="preserve">s commitment to the program. It also acknowledges that that the Australian Government has responsibility for the administration of the program, by virtue of its </w:t>
      </w:r>
      <w:r w:rsidR="00552FA5">
        <w:rPr>
          <w:lang w:eastAsia="ja-JP"/>
        </w:rPr>
        <w:t xml:space="preserve">principal funding </w:t>
      </w:r>
      <w:r w:rsidRPr="00895A13">
        <w:rPr>
          <w:lang w:eastAsia="ja-JP"/>
        </w:rPr>
        <w:t>position.</w:t>
      </w:r>
      <w:r>
        <w:rPr>
          <w:lang w:eastAsia="ja-JP"/>
        </w:rPr>
        <w:t xml:space="preserve"> However, </w:t>
      </w:r>
      <w:r w:rsidR="00552FA5">
        <w:rPr>
          <w:lang w:eastAsia="ja-JP"/>
        </w:rPr>
        <w:t>f</w:t>
      </w:r>
      <w:r w:rsidR="006B33D7">
        <w:rPr>
          <w:lang w:eastAsia="ja-JP"/>
        </w:rPr>
        <w:t xml:space="preserve">rom a program </w:t>
      </w:r>
      <w:r w:rsidR="00B806F7">
        <w:rPr>
          <w:lang w:eastAsia="ja-JP"/>
        </w:rPr>
        <w:t xml:space="preserve">administration </w:t>
      </w:r>
      <w:r w:rsidR="006B33D7">
        <w:rPr>
          <w:lang w:eastAsia="ja-JP"/>
        </w:rPr>
        <w:t xml:space="preserve">perspective, the Australian Government does not have current visibility of the state and territory investment in the program without requesting data from the government or service provider. State governments have also indicated some concerns about providers </w:t>
      </w:r>
      <w:r w:rsidR="00D103BB">
        <w:rPr>
          <w:lang w:eastAsia="ja-JP"/>
        </w:rPr>
        <w:t>frequently</w:t>
      </w:r>
      <w:r w:rsidR="00B806F7">
        <w:rPr>
          <w:lang w:eastAsia="ja-JP"/>
        </w:rPr>
        <w:t xml:space="preserve"> </w:t>
      </w:r>
      <w:r w:rsidR="00D103BB">
        <w:rPr>
          <w:lang w:eastAsia="ja-JP"/>
        </w:rPr>
        <w:t>requesting funds from all levels of government</w:t>
      </w:r>
      <w:r w:rsidR="00D60824">
        <w:rPr>
          <w:lang w:eastAsia="ja-JP"/>
        </w:rPr>
        <w:t>.</w:t>
      </w:r>
      <w:r w:rsidR="006B33D7">
        <w:rPr>
          <w:lang w:eastAsia="ja-JP"/>
        </w:rPr>
        <w:t xml:space="preserve"> B</w:t>
      </w:r>
      <w:r w:rsidR="006B33D7">
        <w:t>etter efforts could be made to coordinate funding between the levels of government.</w:t>
      </w:r>
    </w:p>
    <w:p w14:paraId="4D89E802" w14:textId="2B2A4F8D" w:rsidR="006B33D7" w:rsidRPr="00293183" w:rsidRDefault="00293183" w:rsidP="00293183">
      <w:pPr>
        <w:pStyle w:val="BoxHeading"/>
      </w:pPr>
      <w:r>
        <w:t>Recommendation 7</w:t>
      </w:r>
    </w:p>
    <w:p w14:paraId="27B7D97A" w14:textId="4F797A65" w:rsidR="00293183" w:rsidRDefault="00836F54" w:rsidP="00293183">
      <w:pPr>
        <w:pStyle w:val="BoxText"/>
      </w:pPr>
      <w:r w:rsidRPr="00293183">
        <w:t>That states be encouraged to review their funding commitments to the RFCS to take into consideration current RFCS activities and demand for state</w:t>
      </w:r>
      <w:r w:rsidR="00D724AF">
        <w:t>-</w:t>
      </w:r>
      <w:r w:rsidRPr="00293183">
        <w:t>based programs.</w:t>
      </w:r>
    </w:p>
    <w:p w14:paraId="111DC58B" w14:textId="2D163D38" w:rsidR="00293183" w:rsidRPr="00293183" w:rsidRDefault="00293183" w:rsidP="00293183">
      <w:pPr>
        <w:pStyle w:val="BoxHeading"/>
      </w:pPr>
      <w:r>
        <w:t>Recommendation 8</w:t>
      </w:r>
    </w:p>
    <w:p w14:paraId="7F5F6CAD" w14:textId="77777777" w:rsidR="00517F4E" w:rsidRPr="00293183" w:rsidRDefault="00836F54" w:rsidP="00293183">
      <w:pPr>
        <w:pStyle w:val="BoxText"/>
      </w:pPr>
      <w:r w:rsidRPr="00293183">
        <w:t>That the Australian, state and territory governments work more collaboratively in determining funding levels and timing of contingency and top up amounts.</w:t>
      </w:r>
    </w:p>
    <w:p w14:paraId="4528CA94" w14:textId="77777777" w:rsidR="00517F4E" w:rsidRDefault="006B33D7" w:rsidP="00EF2381">
      <w:pPr>
        <w:pStyle w:val="Heading4"/>
        <w:numPr>
          <w:ilvl w:val="2"/>
          <w:numId w:val="12"/>
        </w:numPr>
        <w:rPr>
          <w:lang w:eastAsia="ja-JP"/>
        </w:rPr>
      </w:pPr>
      <w:r>
        <w:rPr>
          <w:lang w:eastAsia="ja-JP"/>
        </w:rPr>
        <w:t>Other sources of funding</w:t>
      </w:r>
    </w:p>
    <w:p w14:paraId="3AEE3423" w14:textId="5F3B1596" w:rsidR="00337EDE" w:rsidRDefault="006B33D7" w:rsidP="006B33D7">
      <w:pPr>
        <w:rPr>
          <w:lang w:eastAsia="ja-JP"/>
        </w:rPr>
      </w:pPr>
      <w:r>
        <w:rPr>
          <w:lang w:eastAsia="ja-JP"/>
        </w:rPr>
        <w:t>The existence of separate funding streams raises questions about appropriate separat</w:t>
      </w:r>
      <w:r w:rsidR="00D02957">
        <w:rPr>
          <w:lang w:eastAsia="ja-JP"/>
        </w:rPr>
        <w:t>ion of</w:t>
      </w:r>
      <w:r>
        <w:rPr>
          <w:lang w:eastAsia="ja-JP"/>
        </w:rPr>
        <w:t xml:space="preserve"> accounting for </w:t>
      </w:r>
      <w:r w:rsidR="000438A1">
        <w:rPr>
          <w:lang w:eastAsia="ja-JP"/>
        </w:rPr>
        <w:t>funding sources</w:t>
      </w:r>
      <w:r>
        <w:rPr>
          <w:lang w:eastAsia="ja-JP"/>
        </w:rPr>
        <w:t xml:space="preserve">. Where </w:t>
      </w:r>
      <w:r w:rsidR="00D60824">
        <w:rPr>
          <w:lang w:eastAsia="ja-JP"/>
        </w:rPr>
        <w:t xml:space="preserve">the provider receives </w:t>
      </w:r>
      <w:r>
        <w:rPr>
          <w:lang w:eastAsia="ja-JP"/>
        </w:rPr>
        <w:t>separate funding for a different program</w:t>
      </w:r>
      <w:r w:rsidR="00D60824">
        <w:rPr>
          <w:lang w:eastAsia="ja-JP"/>
        </w:rPr>
        <w:t xml:space="preserve"> they must keep</w:t>
      </w:r>
      <w:r>
        <w:rPr>
          <w:lang w:eastAsia="ja-JP"/>
        </w:rPr>
        <w:t xml:space="preserve"> separate financial records </w:t>
      </w:r>
      <w:r w:rsidR="00D60824">
        <w:rPr>
          <w:lang w:eastAsia="ja-JP"/>
        </w:rPr>
        <w:t>and</w:t>
      </w:r>
      <w:r>
        <w:rPr>
          <w:lang w:eastAsia="ja-JP"/>
        </w:rPr>
        <w:t xml:space="preserve"> use RFCS </w:t>
      </w:r>
      <w:r w:rsidR="000438A1">
        <w:rPr>
          <w:lang w:eastAsia="ja-JP"/>
        </w:rPr>
        <w:t>program resources</w:t>
      </w:r>
      <w:r>
        <w:rPr>
          <w:lang w:eastAsia="ja-JP"/>
        </w:rPr>
        <w:t xml:space="preserve"> </w:t>
      </w:r>
      <w:r w:rsidR="00742F36">
        <w:rPr>
          <w:lang w:eastAsia="ja-JP"/>
        </w:rPr>
        <w:t>only for RFCS services</w:t>
      </w:r>
      <w:r>
        <w:rPr>
          <w:lang w:eastAsia="ja-JP"/>
        </w:rPr>
        <w:t xml:space="preserve">. Some stakeholders anonymously raised concerns that there has already been some </w:t>
      </w:r>
      <w:r w:rsidR="00A931F7">
        <w:rPr>
          <w:lang w:eastAsia="ja-JP"/>
        </w:rPr>
        <w:t xml:space="preserve">crossover of resourcing. </w:t>
      </w:r>
      <w:r w:rsidR="00495726">
        <w:rPr>
          <w:lang w:eastAsia="ja-JP"/>
        </w:rPr>
        <w:t xml:space="preserve">Any conflict of interest or inappropriate use of funding is a serious </w:t>
      </w:r>
      <w:r w:rsidR="002A417E">
        <w:rPr>
          <w:lang w:eastAsia="ja-JP"/>
        </w:rPr>
        <w:t>matter</w:t>
      </w:r>
      <w:r w:rsidR="00495726">
        <w:rPr>
          <w:lang w:eastAsia="ja-JP"/>
        </w:rPr>
        <w:t xml:space="preserve"> and may </w:t>
      </w:r>
      <w:r w:rsidR="001E78A9">
        <w:rPr>
          <w:lang w:eastAsia="ja-JP"/>
        </w:rPr>
        <w:t>result in</w:t>
      </w:r>
      <w:r w:rsidR="00832D3A">
        <w:rPr>
          <w:lang w:eastAsia="ja-JP"/>
        </w:rPr>
        <w:t xml:space="preserve"> legal consequences</w:t>
      </w:r>
      <w:r w:rsidR="00923823">
        <w:rPr>
          <w:lang w:eastAsia="ja-JP"/>
        </w:rPr>
        <w:t>.</w:t>
      </w:r>
    </w:p>
    <w:p w14:paraId="10C2A26C" w14:textId="112C2B4F" w:rsidR="00495726" w:rsidRDefault="006B33D7" w:rsidP="00ED29AC">
      <w:pPr>
        <w:pStyle w:val="Heading3"/>
        <w:numPr>
          <w:ilvl w:val="1"/>
          <w:numId w:val="12"/>
        </w:numPr>
        <w:rPr>
          <w:lang w:eastAsia="ja-JP"/>
        </w:rPr>
      </w:pPr>
      <w:bookmarkStart w:id="39" w:name="_Ref16605444"/>
      <w:bookmarkStart w:id="40" w:name="_Ref16605449"/>
      <w:bookmarkStart w:id="41" w:name="_Ref16605450"/>
      <w:bookmarkStart w:id="42" w:name="_Ref16605462"/>
      <w:bookmarkStart w:id="43" w:name="_Ref16605468"/>
      <w:bookmarkStart w:id="44" w:name="_Ref16605479"/>
      <w:bookmarkStart w:id="45" w:name="_Ref16605512"/>
      <w:bookmarkStart w:id="46" w:name="_Ref16605533"/>
      <w:bookmarkStart w:id="47" w:name="_Toc18328853"/>
      <w:r>
        <w:rPr>
          <w:lang w:eastAsia="ja-JP"/>
        </w:rPr>
        <w:lastRenderedPageBreak/>
        <w:t>Funding parameters</w:t>
      </w:r>
      <w:bookmarkEnd w:id="39"/>
      <w:bookmarkEnd w:id="40"/>
      <w:bookmarkEnd w:id="41"/>
      <w:bookmarkEnd w:id="42"/>
      <w:bookmarkEnd w:id="43"/>
      <w:bookmarkEnd w:id="44"/>
      <w:bookmarkEnd w:id="45"/>
      <w:bookmarkEnd w:id="46"/>
      <w:bookmarkEnd w:id="47"/>
    </w:p>
    <w:p w14:paraId="121AE33D" w14:textId="747BF5D3" w:rsidR="006B33D7" w:rsidRDefault="006B33D7" w:rsidP="00EF2381">
      <w:pPr>
        <w:pStyle w:val="Heading4"/>
        <w:numPr>
          <w:ilvl w:val="2"/>
          <w:numId w:val="12"/>
        </w:numPr>
        <w:rPr>
          <w:lang w:eastAsia="ja-JP"/>
        </w:rPr>
      </w:pPr>
      <w:r>
        <w:rPr>
          <w:lang w:eastAsia="ja-JP"/>
        </w:rPr>
        <w:t>Funding allocation</w:t>
      </w:r>
    </w:p>
    <w:p w14:paraId="2C8C5B3A" w14:textId="43C216AC" w:rsidR="006B33D7" w:rsidRPr="00F61EEE" w:rsidRDefault="002B7A2B" w:rsidP="006B33D7">
      <w:r>
        <w:t xml:space="preserve">At the outset of </w:t>
      </w:r>
      <w:r w:rsidR="006B33D7" w:rsidRPr="00774B28">
        <w:t xml:space="preserve">the </w:t>
      </w:r>
      <w:r w:rsidR="001E3132">
        <w:rPr>
          <w:lang w:eastAsia="ja-JP"/>
        </w:rPr>
        <w:t>2016 to 2020</w:t>
      </w:r>
      <w:r w:rsidR="00F13F30">
        <w:rPr>
          <w:lang w:eastAsia="ja-JP"/>
        </w:rPr>
        <w:t xml:space="preserve"> </w:t>
      </w:r>
      <w:r w:rsidR="006B33D7" w:rsidRPr="00774B28">
        <w:rPr>
          <w:lang w:eastAsia="ja-JP"/>
        </w:rPr>
        <w:t>program</w:t>
      </w:r>
      <w:r>
        <w:t xml:space="preserve"> Australian Government</w:t>
      </w:r>
      <w:r w:rsidRPr="00774B28">
        <w:t xml:space="preserve"> funding </w:t>
      </w:r>
      <w:r>
        <w:t>was</w:t>
      </w:r>
      <w:r w:rsidR="006B33D7" w:rsidRPr="00774B28">
        <w:t xml:space="preserve"> divided into </w:t>
      </w:r>
      <w:r w:rsidR="00F13F30">
        <w:t>2</w:t>
      </w:r>
      <w:r w:rsidR="006B33D7" w:rsidRPr="00F61EEE">
        <w:t xml:space="preserve"> components:</w:t>
      </w:r>
    </w:p>
    <w:p w14:paraId="1F947F2A" w14:textId="5E4D8367" w:rsidR="006B33D7" w:rsidRPr="00F61EEE" w:rsidRDefault="002A3E86" w:rsidP="006B33D7">
      <w:pPr>
        <w:pStyle w:val="ListBullet"/>
      </w:pPr>
      <w:r w:rsidRPr="00F61EEE">
        <w:t>90</w:t>
      </w:r>
      <w:r w:rsidR="00551B13" w:rsidRPr="00F61EEE">
        <w:t>%</w:t>
      </w:r>
      <w:r w:rsidR="006B33D7" w:rsidRPr="00F61EEE">
        <w:t xml:space="preserve"> of the funding was distributed between the 12 regions as</w:t>
      </w:r>
      <w:r w:rsidR="00517F4E">
        <w:t xml:space="preserve"> </w:t>
      </w:r>
      <w:r w:rsidR="006B33D7" w:rsidRPr="00F61EEE">
        <w:t>core funding</w:t>
      </w:r>
    </w:p>
    <w:p w14:paraId="482A66D6" w14:textId="2DD67B53" w:rsidR="00517F4E" w:rsidRDefault="00A931F7" w:rsidP="006B33D7">
      <w:pPr>
        <w:pStyle w:val="ListBullet"/>
      </w:pPr>
      <w:r w:rsidRPr="00F61EEE">
        <w:t>10</w:t>
      </w:r>
      <w:r w:rsidR="00551B13" w:rsidRPr="00F61EEE">
        <w:t>%</w:t>
      </w:r>
      <w:r w:rsidRPr="00F61EEE">
        <w:t xml:space="preserve"> </w:t>
      </w:r>
      <w:r w:rsidR="006B33D7" w:rsidRPr="00F61EEE">
        <w:t>of the yearly allocation was reserved as</w:t>
      </w:r>
      <w:r w:rsidR="00517F4E">
        <w:t xml:space="preserve"> </w:t>
      </w:r>
      <w:r w:rsidR="00821039">
        <w:t>contingency funding</w:t>
      </w:r>
      <w:r w:rsidR="006B33D7" w:rsidRPr="00F61EEE">
        <w:t xml:space="preserve"> to provide additional counselling resources in regions experiencing unforeseen, increased demand that could not be met by core funding. </w:t>
      </w:r>
      <w:r w:rsidR="00FE2C3C" w:rsidRPr="00F61EEE">
        <w:t>This was designed</w:t>
      </w:r>
      <w:r w:rsidR="006B33D7" w:rsidRPr="00F61EEE">
        <w:t xml:space="preserve"> as a competitive process</w:t>
      </w:r>
      <w:r w:rsidR="005A676B" w:rsidRPr="00F61EEE">
        <w:t xml:space="preserve"> between providers</w:t>
      </w:r>
      <w:r w:rsidR="006B33D7" w:rsidRPr="00F61EEE">
        <w:t>.</w:t>
      </w:r>
    </w:p>
    <w:p w14:paraId="094E4184" w14:textId="0E775E00" w:rsidR="006455CB" w:rsidRDefault="009D1E21" w:rsidP="006B33D7">
      <w:pPr>
        <w:rPr>
          <w:szCs w:val="20"/>
        </w:rPr>
      </w:pPr>
      <w:r>
        <w:t>T</w:t>
      </w:r>
      <w:r w:rsidR="006B33D7" w:rsidRPr="00F61EEE">
        <w:t xml:space="preserve">his funding split was in response to the findings of the 2014 </w:t>
      </w:r>
      <w:proofErr w:type="spellStart"/>
      <w:r w:rsidR="006B33D7" w:rsidRPr="00F61EEE">
        <w:t>NRAC</w:t>
      </w:r>
      <w:proofErr w:type="spellEnd"/>
      <w:r w:rsidR="006B33D7" w:rsidRPr="00F61EEE">
        <w:t xml:space="preserve"> review</w:t>
      </w:r>
      <w:r>
        <w:t>,</w:t>
      </w:r>
      <w:r w:rsidR="006B33D7" w:rsidRPr="00F61EEE">
        <w:t xml:space="preserve"> which observed that</w:t>
      </w:r>
      <w:r w:rsidR="000C481F" w:rsidRPr="00F61EEE">
        <w:t xml:space="preserve"> the</w:t>
      </w:r>
      <w:r w:rsidR="006B33D7" w:rsidRPr="00F61EEE">
        <w:t xml:space="preserve"> funding model </w:t>
      </w:r>
      <w:r w:rsidR="000C481F" w:rsidRPr="00F61EEE">
        <w:t xml:space="preserve">at </w:t>
      </w:r>
      <w:r w:rsidR="006B33D7" w:rsidRPr="00F61EEE">
        <w:t>the time (2008</w:t>
      </w:r>
      <w:r w:rsidR="001E3132">
        <w:t xml:space="preserve"> to 2015</w:t>
      </w:r>
      <w:r w:rsidR="006B33D7" w:rsidRPr="00F61EEE">
        <w:t>) had resulted in some service</w:t>
      </w:r>
      <w:r w:rsidR="00591DFE" w:rsidRPr="00F61EEE">
        <w:t xml:space="preserve"> regions</w:t>
      </w:r>
      <w:r w:rsidR="006B7444" w:rsidRPr="00F61EEE">
        <w:t xml:space="preserve"> </w:t>
      </w:r>
      <w:r w:rsidR="006B33D7" w:rsidRPr="00F61EEE">
        <w:t xml:space="preserve">being significantly </w:t>
      </w:r>
      <w:r w:rsidR="006B33D7" w:rsidRPr="00F61EEE">
        <w:rPr>
          <w:szCs w:val="20"/>
        </w:rPr>
        <w:t>over-resourced and others under-resourced.</w:t>
      </w:r>
      <w:r w:rsidR="006455CB">
        <w:rPr>
          <w:szCs w:val="20"/>
        </w:rPr>
        <w:t xml:space="preserve"> In that model, around 98</w:t>
      </w:r>
      <w:r w:rsidR="008266E3">
        <w:rPr>
          <w:szCs w:val="20"/>
        </w:rPr>
        <w:t>%</w:t>
      </w:r>
      <w:r w:rsidR="006455CB">
        <w:rPr>
          <w:szCs w:val="20"/>
        </w:rPr>
        <w:t xml:space="preserve"> of funding was allocated each year, leaving around $300,000 for the </w:t>
      </w:r>
      <w:r>
        <w:rPr>
          <w:szCs w:val="20"/>
        </w:rPr>
        <w:t>m</w:t>
      </w:r>
      <w:r w:rsidR="006455CB">
        <w:rPr>
          <w:szCs w:val="20"/>
        </w:rPr>
        <w:t xml:space="preserve">inister to allocate as contingency. </w:t>
      </w:r>
      <w:r w:rsidR="004846CE">
        <w:rPr>
          <w:szCs w:val="20"/>
        </w:rPr>
        <w:t xml:space="preserve">Services had </w:t>
      </w:r>
      <w:r w:rsidR="006455CB">
        <w:rPr>
          <w:szCs w:val="20"/>
        </w:rPr>
        <w:t xml:space="preserve">little or no capacity to cope with a surge </w:t>
      </w:r>
      <w:r>
        <w:rPr>
          <w:szCs w:val="20"/>
        </w:rPr>
        <w:t xml:space="preserve">in </w:t>
      </w:r>
      <w:r w:rsidR="006455CB">
        <w:rPr>
          <w:szCs w:val="20"/>
        </w:rPr>
        <w:t>demand</w:t>
      </w:r>
      <w:r w:rsidR="004846CE">
        <w:rPr>
          <w:szCs w:val="20"/>
        </w:rPr>
        <w:t xml:space="preserve"> and the process to obtain additional funds for the program was lengthy.</w:t>
      </w:r>
    </w:p>
    <w:p w14:paraId="013EB53D" w14:textId="2E7BC566" w:rsidR="0063465C" w:rsidRDefault="006B33D7" w:rsidP="006B33D7">
      <w:r w:rsidRPr="00F61EEE">
        <w:rPr>
          <w:lang w:eastAsia="en-AU"/>
        </w:rPr>
        <w:t xml:space="preserve">The </w:t>
      </w:r>
      <w:r w:rsidR="00536984">
        <w:t>current</w:t>
      </w:r>
      <w:r w:rsidR="00F13F30">
        <w:t xml:space="preserve"> </w:t>
      </w:r>
      <w:r w:rsidR="00D02957" w:rsidRPr="00F61EEE">
        <w:t>program g</w:t>
      </w:r>
      <w:r w:rsidRPr="00F61EEE">
        <w:t xml:space="preserve">uidelines gave estimates of core funding per region for the duration of the program. The executed </w:t>
      </w:r>
      <w:r w:rsidR="003461A5" w:rsidRPr="00F61EEE">
        <w:t>f</w:t>
      </w:r>
      <w:r w:rsidR="000C481F" w:rsidRPr="00F61EEE">
        <w:rPr>
          <w:lang w:eastAsia="en-AU"/>
        </w:rPr>
        <w:t xml:space="preserve">unding </w:t>
      </w:r>
      <w:r w:rsidR="003461A5" w:rsidRPr="00F61EEE">
        <w:rPr>
          <w:lang w:eastAsia="en-AU"/>
        </w:rPr>
        <w:t>d</w:t>
      </w:r>
      <w:r w:rsidR="000C481F" w:rsidRPr="00F61EEE">
        <w:rPr>
          <w:lang w:eastAsia="en-AU"/>
        </w:rPr>
        <w:t xml:space="preserve">eeds </w:t>
      </w:r>
      <w:r w:rsidRPr="00F61EEE">
        <w:rPr>
          <w:lang w:eastAsia="en-AU"/>
        </w:rPr>
        <w:t xml:space="preserve">confirmed core funding and milestones for payment, providing </w:t>
      </w:r>
      <w:r w:rsidR="002B7A2B">
        <w:rPr>
          <w:lang w:eastAsia="en-AU"/>
        </w:rPr>
        <w:t>3</w:t>
      </w:r>
      <w:r w:rsidRPr="00F61EEE">
        <w:rPr>
          <w:lang w:eastAsia="en-AU"/>
        </w:rPr>
        <w:t xml:space="preserve"> years of certainty for providers.</w:t>
      </w:r>
      <w:r w:rsidR="006B7444" w:rsidRPr="00F61EEE">
        <w:rPr>
          <w:lang w:eastAsia="en-AU"/>
        </w:rPr>
        <w:t xml:space="preserve"> </w:t>
      </w:r>
      <w:r w:rsidRPr="00F61EEE">
        <w:rPr>
          <w:lang w:eastAsia="ja-JP"/>
        </w:rPr>
        <w:t>The process for managing contingency funds required service providers to request funds and provide business cases</w:t>
      </w:r>
      <w:r w:rsidR="000C481F" w:rsidRPr="00F61EEE">
        <w:rPr>
          <w:lang w:eastAsia="ja-JP"/>
        </w:rPr>
        <w:t xml:space="preserve"> for additional funding</w:t>
      </w:r>
      <w:r w:rsidRPr="00F61EEE">
        <w:t xml:space="preserve">. There have been </w:t>
      </w:r>
      <w:r w:rsidR="00F13F30">
        <w:t>8</w:t>
      </w:r>
      <w:r w:rsidRPr="00F61EEE">
        <w:t xml:space="preserve"> separate processe</w:t>
      </w:r>
      <w:r w:rsidR="00E05675" w:rsidRPr="00F61EEE">
        <w:t>s to allocate contingency fu</w:t>
      </w:r>
      <w:r w:rsidR="008266E3">
        <w:t>nds.</w:t>
      </w:r>
    </w:p>
    <w:p w14:paraId="48536250" w14:textId="7DC29523" w:rsidR="00517F4E" w:rsidRDefault="006B33D7" w:rsidP="006B33D7">
      <w:pPr>
        <w:rPr>
          <w:lang w:eastAsia="ja-JP"/>
        </w:rPr>
      </w:pPr>
      <w:r>
        <w:t>With additional drought funding</w:t>
      </w:r>
      <w:r w:rsidR="00324E38">
        <w:t xml:space="preserve"> being provided by government</w:t>
      </w:r>
      <w:r w:rsidR="0063465C">
        <w:t xml:space="preserve"> over the course of the current funding round</w:t>
      </w:r>
      <w:r>
        <w:t>, contingency funding now represents close to 20</w:t>
      </w:r>
      <w:r w:rsidR="00551B13">
        <w:t>%</w:t>
      </w:r>
      <w:r>
        <w:t xml:space="preserve"> of total funding.</w:t>
      </w:r>
    </w:p>
    <w:p w14:paraId="5D2BEB0F" w14:textId="37C13A16" w:rsidR="002B7A2B" w:rsidRDefault="002B7A2B" w:rsidP="008266E3">
      <w:pPr>
        <w:pStyle w:val="Heading4"/>
        <w:rPr>
          <w:lang w:eastAsia="ja-JP"/>
        </w:rPr>
      </w:pPr>
      <w:r>
        <w:rPr>
          <w:lang w:eastAsia="ja-JP"/>
        </w:rPr>
        <w:t>Stakeholder feedback</w:t>
      </w:r>
    </w:p>
    <w:p w14:paraId="7DE65E43" w14:textId="2CE054D4" w:rsidR="006B33D7" w:rsidRDefault="006B33D7" w:rsidP="006B33D7">
      <w:pPr>
        <w:rPr>
          <w:lang w:eastAsia="ja-JP"/>
        </w:rPr>
      </w:pPr>
      <w:r w:rsidRPr="00AA1FA1">
        <w:rPr>
          <w:lang w:eastAsia="ja-JP"/>
        </w:rPr>
        <w:t xml:space="preserve">Feedback from service providers about the funding allocation has been mixed. Some providers have managed well with their core funding to meet demand in their region. Others have </w:t>
      </w:r>
      <w:r w:rsidR="00324E38" w:rsidRPr="00AA1FA1">
        <w:rPr>
          <w:lang w:eastAsia="ja-JP"/>
        </w:rPr>
        <w:t xml:space="preserve">consistently </w:t>
      </w:r>
      <w:r w:rsidRPr="00AA1FA1">
        <w:rPr>
          <w:lang w:eastAsia="ja-JP"/>
        </w:rPr>
        <w:t xml:space="preserve">received significant contingency funds in response to spikes </w:t>
      </w:r>
      <w:r w:rsidR="00305657" w:rsidRPr="00AA1FA1">
        <w:rPr>
          <w:lang w:eastAsia="ja-JP"/>
        </w:rPr>
        <w:t>in</w:t>
      </w:r>
      <w:r w:rsidRPr="00AA1FA1">
        <w:rPr>
          <w:lang w:eastAsia="ja-JP"/>
        </w:rPr>
        <w:t xml:space="preserve"> demand</w:t>
      </w:r>
      <w:r w:rsidR="00D02957" w:rsidRPr="00AA1FA1">
        <w:rPr>
          <w:lang w:eastAsia="ja-JP"/>
        </w:rPr>
        <w:t>,</w:t>
      </w:r>
      <w:r w:rsidRPr="00AA1FA1">
        <w:rPr>
          <w:lang w:eastAsia="ja-JP"/>
        </w:rPr>
        <w:t xml:space="preserve"> driven </w:t>
      </w:r>
      <w:r w:rsidR="00180C80" w:rsidRPr="00AA1FA1">
        <w:rPr>
          <w:lang w:eastAsia="ja-JP"/>
        </w:rPr>
        <w:t xml:space="preserve">by </w:t>
      </w:r>
      <w:r w:rsidR="00EC478B" w:rsidRPr="00AA1FA1">
        <w:rPr>
          <w:lang w:eastAsia="ja-JP"/>
        </w:rPr>
        <w:t>natural disasters, prolonged drought</w:t>
      </w:r>
      <w:r w:rsidR="00D02957" w:rsidRPr="00AA1FA1">
        <w:rPr>
          <w:lang w:eastAsia="ja-JP"/>
        </w:rPr>
        <w:t xml:space="preserve"> and</w:t>
      </w:r>
      <w:r w:rsidR="00EC478B" w:rsidRPr="00AA1FA1">
        <w:rPr>
          <w:lang w:eastAsia="ja-JP"/>
        </w:rPr>
        <w:t xml:space="preserve"> industry crises</w:t>
      </w:r>
      <w:r w:rsidR="00D02957" w:rsidRPr="00AA1FA1">
        <w:rPr>
          <w:lang w:eastAsia="ja-JP"/>
        </w:rPr>
        <w:t>,</w:t>
      </w:r>
      <w:r w:rsidRPr="00AA1FA1">
        <w:rPr>
          <w:lang w:eastAsia="ja-JP"/>
        </w:rPr>
        <w:t xml:space="preserve"> and in response to </w:t>
      </w:r>
      <w:r w:rsidR="00A65AB5" w:rsidRPr="00AA1FA1">
        <w:rPr>
          <w:lang w:eastAsia="ja-JP"/>
        </w:rPr>
        <w:t>new</w:t>
      </w:r>
      <w:r w:rsidRPr="00AA1FA1">
        <w:rPr>
          <w:lang w:eastAsia="ja-JP"/>
        </w:rPr>
        <w:t xml:space="preserve"> government assistance</w:t>
      </w:r>
      <w:r w:rsidR="00A21601" w:rsidRPr="00AA1FA1">
        <w:rPr>
          <w:lang w:eastAsia="ja-JP"/>
        </w:rPr>
        <w:t xml:space="preserve"> measures</w:t>
      </w:r>
      <w:r w:rsidRPr="00AA1FA1">
        <w:rPr>
          <w:lang w:eastAsia="ja-JP"/>
        </w:rPr>
        <w:t>. Some service</w:t>
      </w:r>
      <w:r w:rsidR="00591DFE" w:rsidRPr="00AA1FA1">
        <w:rPr>
          <w:lang w:eastAsia="ja-JP"/>
        </w:rPr>
        <w:t xml:space="preserve"> providers</w:t>
      </w:r>
      <w:r w:rsidRPr="00AA1FA1">
        <w:rPr>
          <w:lang w:eastAsia="ja-JP"/>
        </w:rPr>
        <w:t xml:space="preserve"> suggested that </w:t>
      </w:r>
      <w:r w:rsidR="00721B9D" w:rsidRPr="00AA1FA1">
        <w:rPr>
          <w:lang w:eastAsia="ja-JP"/>
        </w:rPr>
        <w:t>their allocation of core funding</w:t>
      </w:r>
      <w:r w:rsidRPr="00AA1FA1">
        <w:rPr>
          <w:lang w:eastAsia="ja-JP"/>
        </w:rPr>
        <w:t xml:space="preserve"> </w:t>
      </w:r>
      <w:r w:rsidR="00F804EA" w:rsidRPr="00AA1FA1">
        <w:rPr>
          <w:lang w:eastAsia="ja-JP"/>
        </w:rPr>
        <w:t xml:space="preserve">was </w:t>
      </w:r>
      <w:r w:rsidR="00887584" w:rsidRPr="00AA1FA1">
        <w:rPr>
          <w:lang w:eastAsia="ja-JP"/>
        </w:rPr>
        <w:t>insufficient to meet</w:t>
      </w:r>
      <w:r w:rsidR="00721B9D" w:rsidRPr="00AA1FA1">
        <w:rPr>
          <w:lang w:eastAsia="ja-JP"/>
        </w:rPr>
        <w:t xml:space="preserve"> demand </w:t>
      </w:r>
      <w:r w:rsidR="00887584" w:rsidRPr="00AA1FA1">
        <w:rPr>
          <w:lang w:eastAsia="ja-JP"/>
        </w:rPr>
        <w:t xml:space="preserve">for </w:t>
      </w:r>
      <w:r w:rsidR="00257553" w:rsidRPr="00AA1FA1">
        <w:rPr>
          <w:lang w:eastAsia="ja-JP"/>
        </w:rPr>
        <w:t>normal services in their regions</w:t>
      </w:r>
      <w:r w:rsidR="00721B9D" w:rsidRPr="00AA1FA1">
        <w:rPr>
          <w:lang w:eastAsia="ja-JP"/>
        </w:rPr>
        <w:t>.</w:t>
      </w:r>
      <w:r w:rsidRPr="00AA1FA1">
        <w:rPr>
          <w:lang w:eastAsia="ja-JP"/>
        </w:rPr>
        <w:t xml:space="preserve"> This was a minority view.</w:t>
      </w:r>
    </w:p>
    <w:p w14:paraId="1966841E" w14:textId="2A6B0ADE" w:rsidR="00517F4E" w:rsidRDefault="00D71E73" w:rsidP="006B33D7">
      <w:pPr>
        <w:rPr>
          <w:lang w:eastAsia="ja-JP"/>
        </w:rPr>
      </w:pPr>
      <w:r>
        <w:rPr>
          <w:lang w:eastAsia="ja-JP"/>
        </w:rPr>
        <w:t>M</w:t>
      </w:r>
      <w:r w:rsidR="006B33D7">
        <w:rPr>
          <w:lang w:eastAsia="ja-JP"/>
        </w:rPr>
        <w:t xml:space="preserve">ost service providers support an increase to core funding to </w:t>
      </w:r>
      <w:r w:rsidR="00D02957">
        <w:rPr>
          <w:lang w:eastAsia="ja-JP"/>
        </w:rPr>
        <w:t>aid business planning—primarily</w:t>
      </w:r>
      <w:r w:rsidR="006B33D7">
        <w:rPr>
          <w:lang w:eastAsia="ja-JP"/>
        </w:rPr>
        <w:t xml:space="preserve"> to employ and retain trained staff and be ready to respond to spikes in demand. </w:t>
      </w:r>
      <w:r w:rsidR="00305657">
        <w:rPr>
          <w:lang w:eastAsia="ja-JP"/>
        </w:rPr>
        <w:t>H</w:t>
      </w:r>
      <w:r w:rsidR="006B33D7">
        <w:rPr>
          <w:lang w:eastAsia="ja-JP"/>
        </w:rPr>
        <w:t>owever</w:t>
      </w:r>
      <w:r w:rsidR="00A2032E">
        <w:rPr>
          <w:lang w:eastAsia="ja-JP"/>
        </w:rPr>
        <w:t>,</w:t>
      </w:r>
      <w:r w:rsidR="006B33D7">
        <w:rPr>
          <w:lang w:eastAsia="ja-JP"/>
        </w:rPr>
        <w:t xml:space="preserve"> </w:t>
      </w:r>
      <w:r w:rsidR="00305657">
        <w:rPr>
          <w:lang w:eastAsia="ja-JP"/>
        </w:rPr>
        <w:t xml:space="preserve">providers </w:t>
      </w:r>
      <w:r w:rsidR="00A2032E">
        <w:rPr>
          <w:lang w:eastAsia="ja-JP"/>
        </w:rPr>
        <w:t>express</w:t>
      </w:r>
      <w:r w:rsidR="00305657">
        <w:rPr>
          <w:lang w:eastAsia="ja-JP"/>
        </w:rPr>
        <w:t>ed</w:t>
      </w:r>
      <w:r w:rsidR="00A2032E">
        <w:rPr>
          <w:lang w:eastAsia="ja-JP"/>
        </w:rPr>
        <w:t xml:space="preserve"> </w:t>
      </w:r>
      <w:r w:rsidR="006B33D7">
        <w:rPr>
          <w:lang w:eastAsia="ja-JP"/>
        </w:rPr>
        <w:t>that contingency funding was essential to deal with unpredictable adverse events.</w:t>
      </w:r>
      <w:r w:rsidR="006B7444">
        <w:rPr>
          <w:lang w:eastAsia="ja-JP"/>
        </w:rPr>
        <w:t xml:space="preserve"> </w:t>
      </w:r>
      <w:r w:rsidR="006B33D7">
        <w:rPr>
          <w:lang w:eastAsia="ja-JP"/>
        </w:rPr>
        <w:t>Those that have received significant portions of contingency funding indicated it has been vital t</w:t>
      </w:r>
      <w:r w:rsidR="00C81391">
        <w:rPr>
          <w:lang w:eastAsia="ja-JP"/>
        </w:rPr>
        <w:t xml:space="preserve">o </w:t>
      </w:r>
      <w:r w:rsidR="00180C80">
        <w:rPr>
          <w:lang w:eastAsia="ja-JP"/>
        </w:rPr>
        <w:t xml:space="preserve">cope with </w:t>
      </w:r>
      <w:r w:rsidR="00C81391">
        <w:rPr>
          <w:lang w:eastAsia="ja-JP"/>
        </w:rPr>
        <w:t>sustained</w:t>
      </w:r>
      <w:r w:rsidR="006B33D7">
        <w:rPr>
          <w:lang w:eastAsia="ja-JP"/>
        </w:rPr>
        <w:t xml:space="preserve"> and surging demand. Those </w:t>
      </w:r>
      <w:r w:rsidR="00A2032E">
        <w:rPr>
          <w:lang w:eastAsia="ja-JP"/>
        </w:rPr>
        <w:t>providers</w:t>
      </w:r>
      <w:r w:rsidR="00591DFE">
        <w:rPr>
          <w:lang w:eastAsia="ja-JP"/>
        </w:rPr>
        <w:t xml:space="preserve"> </w:t>
      </w:r>
      <w:r w:rsidR="006B33D7">
        <w:rPr>
          <w:lang w:eastAsia="ja-JP"/>
        </w:rPr>
        <w:t xml:space="preserve">operating on significant portions of contingency funding were typically operating </w:t>
      </w:r>
      <w:r w:rsidR="006B33D7" w:rsidRPr="00F61EEE">
        <w:rPr>
          <w:lang w:eastAsia="ja-JP"/>
        </w:rPr>
        <w:t>in</w:t>
      </w:r>
      <w:r w:rsidR="00517F4E">
        <w:rPr>
          <w:lang w:eastAsia="ja-JP"/>
        </w:rPr>
        <w:t xml:space="preserve"> </w:t>
      </w:r>
      <w:r w:rsidR="006B33D7" w:rsidRPr="00D71E73">
        <w:rPr>
          <w:lang w:eastAsia="ja-JP"/>
        </w:rPr>
        <w:t>crisis mode</w:t>
      </w:r>
      <w:r>
        <w:rPr>
          <w:lang w:eastAsia="ja-JP"/>
        </w:rPr>
        <w:t xml:space="preserve">, </w:t>
      </w:r>
      <w:r w:rsidR="006B33D7" w:rsidRPr="00F61EEE">
        <w:rPr>
          <w:lang w:eastAsia="ja-JP"/>
        </w:rPr>
        <w:t>prioritising immediate transactional client needs.</w:t>
      </w:r>
    </w:p>
    <w:p w14:paraId="6F7346FD" w14:textId="46370EE3" w:rsidR="002B7A2B" w:rsidRDefault="002B7A2B" w:rsidP="008266E3">
      <w:pPr>
        <w:pStyle w:val="Heading4"/>
        <w:rPr>
          <w:lang w:eastAsia="ja-JP"/>
        </w:rPr>
      </w:pPr>
      <w:r>
        <w:rPr>
          <w:lang w:eastAsia="ja-JP"/>
        </w:rPr>
        <w:t>Process for contingency funding</w:t>
      </w:r>
    </w:p>
    <w:p w14:paraId="1F04F104" w14:textId="710592DD" w:rsidR="00517F4E" w:rsidRDefault="006B33D7" w:rsidP="006B33D7">
      <w:pPr>
        <w:rPr>
          <w:lang w:eastAsia="ja-JP"/>
        </w:rPr>
      </w:pPr>
      <w:r w:rsidRPr="00F61EEE">
        <w:rPr>
          <w:lang w:eastAsia="ja-JP"/>
        </w:rPr>
        <w:t xml:space="preserve">Substantial feedback was received </w:t>
      </w:r>
      <w:r w:rsidR="008A6093" w:rsidRPr="00F61EEE">
        <w:rPr>
          <w:lang w:eastAsia="ja-JP"/>
        </w:rPr>
        <w:t xml:space="preserve">about </w:t>
      </w:r>
      <w:r w:rsidRPr="00F61EEE">
        <w:rPr>
          <w:lang w:eastAsia="ja-JP"/>
        </w:rPr>
        <w:t xml:space="preserve">the process for obtaining contingency funds. </w:t>
      </w:r>
      <w:r w:rsidR="00ED5C80">
        <w:rPr>
          <w:lang w:eastAsia="ja-JP"/>
        </w:rPr>
        <w:t>S</w:t>
      </w:r>
      <w:r w:rsidRPr="00F61EEE">
        <w:rPr>
          <w:lang w:eastAsia="ja-JP"/>
        </w:rPr>
        <w:t xml:space="preserve">ome providers </w:t>
      </w:r>
      <w:r w:rsidR="00ED5C80">
        <w:rPr>
          <w:lang w:eastAsia="ja-JP"/>
        </w:rPr>
        <w:t xml:space="preserve">were confused </w:t>
      </w:r>
      <w:r w:rsidR="00305657">
        <w:rPr>
          <w:lang w:eastAsia="ja-JP"/>
        </w:rPr>
        <w:t xml:space="preserve">about </w:t>
      </w:r>
      <w:r w:rsidRPr="00F61EEE">
        <w:rPr>
          <w:lang w:eastAsia="ja-JP"/>
        </w:rPr>
        <w:t>how and when to request these funds. Several providers requested a more standardised process with set time</w:t>
      </w:r>
      <w:r w:rsidR="008E7838">
        <w:rPr>
          <w:lang w:eastAsia="ja-JP"/>
        </w:rPr>
        <w:t xml:space="preserve"> </w:t>
      </w:r>
      <w:r w:rsidRPr="00F61EEE">
        <w:rPr>
          <w:lang w:eastAsia="ja-JP"/>
        </w:rPr>
        <w:t>frames and templates</w:t>
      </w:r>
      <w:r w:rsidR="008B54DB" w:rsidRPr="00F61EEE">
        <w:rPr>
          <w:lang w:eastAsia="ja-JP"/>
        </w:rPr>
        <w:t xml:space="preserve"> to apply for </w:t>
      </w:r>
      <w:r w:rsidR="008A6093" w:rsidRPr="00F61EEE">
        <w:rPr>
          <w:lang w:eastAsia="ja-JP"/>
        </w:rPr>
        <w:t>contingency funding</w:t>
      </w:r>
      <w:r w:rsidRPr="00F61EEE">
        <w:rPr>
          <w:lang w:eastAsia="ja-JP"/>
        </w:rPr>
        <w:t xml:space="preserve">. From a departmental perspective, each time contingency funding is </w:t>
      </w:r>
      <w:r w:rsidRPr="00F61EEE">
        <w:rPr>
          <w:lang w:eastAsia="ja-JP"/>
        </w:rPr>
        <w:lastRenderedPageBreak/>
        <w:t>provided it must be run as a full grants process</w:t>
      </w:r>
      <w:r w:rsidR="008A25E1" w:rsidRPr="00F61EEE">
        <w:rPr>
          <w:lang w:eastAsia="ja-JP"/>
        </w:rPr>
        <w:t>—</w:t>
      </w:r>
      <w:r w:rsidRPr="00F61EEE">
        <w:rPr>
          <w:lang w:eastAsia="ja-JP"/>
        </w:rPr>
        <w:t>requiring substantial resources to assess business cases, provide recommendations, prepare</w:t>
      </w:r>
      <w:r w:rsidR="003461A5" w:rsidRPr="00F61EEE">
        <w:rPr>
          <w:lang w:eastAsia="ja-JP"/>
        </w:rPr>
        <w:t xml:space="preserve"> deed</w:t>
      </w:r>
      <w:r w:rsidRPr="00F61EEE">
        <w:rPr>
          <w:lang w:eastAsia="ja-JP"/>
        </w:rPr>
        <w:t xml:space="preserve"> variations and work with the </w:t>
      </w:r>
      <w:r w:rsidR="0069412F" w:rsidRPr="00F61EEE">
        <w:rPr>
          <w:lang w:eastAsia="ja-JP"/>
        </w:rPr>
        <w:t xml:space="preserve">Community </w:t>
      </w:r>
      <w:r w:rsidRPr="00F61EEE">
        <w:rPr>
          <w:lang w:eastAsia="ja-JP"/>
        </w:rPr>
        <w:t xml:space="preserve">Grants Hub to make payments. The review panel heard from providers that the timeliness of receiving additional funds was a significant problem, with delays of up to </w:t>
      </w:r>
      <w:r w:rsidR="00F13F30">
        <w:rPr>
          <w:lang w:eastAsia="ja-JP"/>
        </w:rPr>
        <w:t>5</w:t>
      </w:r>
      <w:r>
        <w:rPr>
          <w:lang w:eastAsia="ja-JP"/>
        </w:rPr>
        <w:t xml:space="preserve"> months to obtain funds.</w:t>
      </w:r>
      <w:r w:rsidR="006B7444">
        <w:rPr>
          <w:lang w:eastAsia="ja-JP"/>
        </w:rPr>
        <w:t xml:space="preserve"> </w:t>
      </w:r>
      <w:r>
        <w:rPr>
          <w:lang w:eastAsia="ja-JP"/>
        </w:rPr>
        <w:t>This in turn causes delays for recruiting and training new staff to respond to surges in demand.</w:t>
      </w:r>
    </w:p>
    <w:p w14:paraId="3CF7F923" w14:textId="5610F0BD" w:rsidR="00517F4E" w:rsidRDefault="006B33D7" w:rsidP="006B33D7">
      <w:pPr>
        <w:rPr>
          <w:lang w:eastAsia="ja-JP"/>
        </w:rPr>
      </w:pPr>
      <w:r>
        <w:rPr>
          <w:lang w:eastAsia="ja-JP"/>
        </w:rPr>
        <w:t>Providers have also commented that business planning and managing client expectations in this environment can be difficult.</w:t>
      </w:r>
      <w:r w:rsidR="006B7444">
        <w:rPr>
          <w:lang w:eastAsia="ja-JP"/>
        </w:rPr>
        <w:t xml:space="preserve"> </w:t>
      </w:r>
      <w:r>
        <w:rPr>
          <w:lang w:eastAsia="ja-JP"/>
        </w:rPr>
        <w:t>Business planning can only be bas</w:t>
      </w:r>
      <w:r w:rsidR="00337C33">
        <w:rPr>
          <w:lang w:eastAsia="ja-JP"/>
        </w:rPr>
        <w:t>ed</w:t>
      </w:r>
      <w:r>
        <w:rPr>
          <w:lang w:eastAsia="ja-JP"/>
        </w:rPr>
        <w:t xml:space="preserve"> o</w:t>
      </w:r>
      <w:r w:rsidR="00337C33">
        <w:rPr>
          <w:lang w:eastAsia="ja-JP"/>
        </w:rPr>
        <w:t>n</w:t>
      </w:r>
      <w:r>
        <w:rPr>
          <w:lang w:eastAsia="ja-JP"/>
        </w:rPr>
        <w:t xml:space="preserve"> core funding and updated as contingency funds are approved. </w:t>
      </w:r>
      <w:r w:rsidR="007F2D2D">
        <w:rPr>
          <w:lang w:eastAsia="ja-JP"/>
        </w:rPr>
        <w:t>E</w:t>
      </w:r>
      <w:r w:rsidR="0009422D">
        <w:rPr>
          <w:lang w:eastAsia="ja-JP"/>
        </w:rPr>
        <w:t>ight</w:t>
      </w:r>
      <w:r>
        <w:rPr>
          <w:lang w:eastAsia="ja-JP"/>
        </w:rPr>
        <w:t xml:space="preserve"> rounds of </w:t>
      </w:r>
      <w:r w:rsidR="00A2032E">
        <w:rPr>
          <w:lang w:eastAsia="ja-JP"/>
        </w:rPr>
        <w:t xml:space="preserve">contingency </w:t>
      </w:r>
      <w:r>
        <w:rPr>
          <w:lang w:eastAsia="ja-JP"/>
        </w:rPr>
        <w:t>funding</w:t>
      </w:r>
      <w:r w:rsidR="00A2032E">
        <w:rPr>
          <w:lang w:eastAsia="ja-JP"/>
        </w:rPr>
        <w:t>,</w:t>
      </w:r>
      <w:r>
        <w:rPr>
          <w:lang w:eastAsia="ja-JP"/>
        </w:rPr>
        <w:t xml:space="preserve"> as well as multiple funding milestones for core funding</w:t>
      </w:r>
      <w:r w:rsidR="00A2032E">
        <w:rPr>
          <w:lang w:eastAsia="ja-JP"/>
        </w:rPr>
        <w:t>,</w:t>
      </w:r>
      <w:r>
        <w:rPr>
          <w:lang w:eastAsia="ja-JP"/>
        </w:rPr>
        <w:t xml:space="preserve"> compounds this problem.</w:t>
      </w:r>
    </w:p>
    <w:p w14:paraId="26ECC116" w14:textId="7D6DA36B" w:rsidR="002B7A2B" w:rsidRDefault="002B7A2B" w:rsidP="008266E3">
      <w:pPr>
        <w:pStyle w:val="Heading4"/>
        <w:rPr>
          <w:lang w:eastAsia="ja-JP"/>
        </w:rPr>
      </w:pPr>
      <w:r>
        <w:rPr>
          <w:lang w:eastAsia="ja-JP"/>
        </w:rPr>
        <w:t>Split between core and contingency funding</w:t>
      </w:r>
    </w:p>
    <w:p w14:paraId="55C7150C" w14:textId="0CC38DCF" w:rsidR="00517F4E" w:rsidRDefault="006B33D7" w:rsidP="006B33D7">
      <w:pPr>
        <w:rPr>
          <w:lang w:eastAsia="ja-JP"/>
        </w:rPr>
      </w:pPr>
      <w:r>
        <w:rPr>
          <w:lang w:eastAsia="ja-JP"/>
        </w:rPr>
        <w:t xml:space="preserve">The review panel discussed </w:t>
      </w:r>
      <w:r w:rsidR="00337C33">
        <w:rPr>
          <w:lang w:eastAsia="ja-JP"/>
        </w:rPr>
        <w:t xml:space="preserve">with providers </w:t>
      </w:r>
      <w:r>
        <w:rPr>
          <w:lang w:eastAsia="ja-JP"/>
        </w:rPr>
        <w:t xml:space="preserve">the current split between core and </w:t>
      </w:r>
      <w:r w:rsidR="00CF5CF8">
        <w:rPr>
          <w:lang w:eastAsia="ja-JP"/>
        </w:rPr>
        <w:t xml:space="preserve">contingency </w:t>
      </w:r>
      <w:r>
        <w:rPr>
          <w:lang w:eastAsia="ja-JP"/>
        </w:rPr>
        <w:t>funding</w:t>
      </w:r>
      <w:r w:rsidR="00337C33">
        <w:rPr>
          <w:lang w:eastAsia="ja-JP"/>
        </w:rPr>
        <w:t>;</w:t>
      </w:r>
      <w:r>
        <w:rPr>
          <w:lang w:eastAsia="ja-JP"/>
        </w:rPr>
        <w:t xml:space="preserve"> in particular</w:t>
      </w:r>
      <w:r w:rsidR="00337C33">
        <w:rPr>
          <w:lang w:eastAsia="ja-JP"/>
        </w:rPr>
        <w:t>,</w:t>
      </w:r>
      <w:r>
        <w:rPr>
          <w:lang w:eastAsia="ja-JP"/>
        </w:rPr>
        <w:t xml:space="preserve"> the tension between providing certainty or flexibility in future funding rounds. Responses again were mixed. Providing </w:t>
      </w:r>
      <w:r w:rsidR="00337C33">
        <w:rPr>
          <w:lang w:eastAsia="ja-JP"/>
        </w:rPr>
        <w:t xml:space="preserve">more </w:t>
      </w:r>
      <w:r>
        <w:rPr>
          <w:lang w:eastAsia="ja-JP"/>
        </w:rPr>
        <w:t xml:space="preserve">core </w:t>
      </w:r>
      <w:r w:rsidR="00337C33">
        <w:rPr>
          <w:lang w:eastAsia="ja-JP"/>
        </w:rPr>
        <w:t xml:space="preserve">funding </w:t>
      </w:r>
      <w:r>
        <w:rPr>
          <w:lang w:eastAsia="ja-JP"/>
        </w:rPr>
        <w:t>increases the burden on the department to get the formula right at the outset. It would, however, provide space in the service provider</w:t>
      </w:r>
      <w:r w:rsidR="00736B18">
        <w:rPr>
          <w:lang w:eastAsia="ja-JP"/>
        </w:rPr>
        <w:t>'</w:t>
      </w:r>
      <w:r>
        <w:rPr>
          <w:lang w:eastAsia="ja-JP"/>
        </w:rPr>
        <w:t>s budget to plan and recruit</w:t>
      </w:r>
      <w:r w:rsidR="00A2032E">
        <w:rPr>
          <w:lang w:eastAsia="ja-JP"/>
        </w:rPr>
        <w:t xml:space="preserve"> for additional capacity</w:t>
      </w:r>
      <w:r w:rsidR="00337C33">
        <w:rPr>
          <w:lang w:eastAsia="ja-JP"/>
        </w:rPr>
        <w:t>. I</w:t>
      </w:r>
      <w:r>
        <w:rPr>
          <w:lang w:eastAsia="ja-JP"/>
        </w:rPr>
        <w:t>mportantly</w:t>
      </w:r>
      <w:r w:rsidR="00A2032E">
        <w:rPr>
          <w:lang w:eastAsia="ja-JP"/>
        </w:rPr>
        <w:t>,</w:t>
      </w:r>
      <w:r>
        <w:rPr>
          <w:lang w:eastAsia="ja-JP"/>
        </w:rPr>
        <w:t xml:space="preserve"> </w:t>
      </w:r>
      <w:r w:rsidR="00337C33">
        <w:rPr>
          <w:lang w:eastAsia="ja-JP"/>
        </w:rPr>
        <w:t xml:space="preserve">it </w:t>
      </w:r>
      <w:r>
        <w:rPr>
          <w:lang w:eastAsia="ja-JP"/>
        </w:rPr>
        <w:t xml:space="preserve">should </w:t>
      </w:r>
      <w:r w:rsidR="00337C33">
        <w:rPr>
          <w:lang w:eastAsia="ja-JP"/>
        </w:rPr>
        <w:t xml:space="preserve">also </w:t>
      </w:r>
      <w:r>
        <w:rPr>
          <w:lang w:eastAsia="ja-JP"/>
        </w:rPr>
        <w:t>allow proactive work and intense case management to occur in quieter times.</w:t>
      </w:r>
    </w:p>
    <w:p w14:paraId="369E0453" w14:textId="674B5A5F" w:rsidR="007F2D2D" w:rsidRDefault="006B33D7" w:rsidP="006B33D7">
      <w:pPr>
        <w:rPr>
          <w:lang w:eastAsia="ja-JP"/>
        </w:rPr>
      </w:pPr>
      <w:r>
        <w:rPr>
          <w:lang w:eastAsia="ja-JP"/>
        </w:rPr>
        <w:t>Providers could</w:t>
      </w:r>
      <w:r w:rsidR="007C5C89">
        <w:rPr>
          <w:lang w:eastAsia="ja-JP"/>
        </w:rPr>
        <w:t xml:space="preserve"> </w:t>
      </w:r>
      <w:r>
        <w:rPr>
          <w:lang w:eastAsia="ja-JP"/>
        </w:rPr>
        <w:t xml:space="preserve">quarantine funds for dealing with peaks and troughs </w:t>
      </w:r>
      <w:r w:rsidR="007C5C89">
        <w:rPr>
          <w:lang w:eastAsia="ja-JP"/>
        </w:rPr>
        <w:t xml:space="preserve">in </w:t>
      </w:r>
      <w:r>
        <w:rPr>
          <w:lang w:eastAsia="ja-JP"/>
        </w:rPr>
        <w:t>demand in their region</w:t>
      </w:r>
      <w:r w:rsidR="007C5C89">
        <w:rPr>
          <w:lang w:eastAsia="ja-JP"/>
        </w:rPr>
        <w:t>, if they are given more flexibility in managing their budgets</w:t>
      </w:r>
      <w:r>
        <w:rPr>
          <w:lang w:eastAsia="ja-JP"/>
        </w:rPr>
        <w:t xml:space="preserve">. </w:t>
      </w:r>
      <w:r w:rsidR="007C5C89">
        <w:rPr>
          <w:lang w:eastAsia="ja-JP"/>
        </w:rPr>
        <w:t>Q</w:t>
      </w:r>
      <w:r w:rsidR="009761DE">
        <w:rPr>
          <w:lang w:eastAsia="ja-JP"/>
        </w:rPr>
        <w:t>uarantined funding could be deployed to hire support staff</w:t>
      </w:r>
      <w:r w:rsidR="007C5C89">
        <w:rPr>
          <w:lang w:eastAsia="ja-JP"/>
        </w:rPr>
        <w:t>—</w:t>
      </w:r>
      <w:r>
        <w:rPr>
          <w:lang w:eastAsia="ja-JP"/>
        </w:rPr>
        <w:t>who are quicker to employ and train</w:t>
      </w:r>
      <w:r w:rsidR="007C5C89">
        <w:rPr>
          <w:lang w:eastAsia="ja-JP"/>
        </w:rPr>
        <w:t>—</w:t>
      </w:r>
      <w:r>
        <w:rPr>
          <w:lang w:eastAsia="ja-JP"/>
        </w:rPr>
        <w:t xml:space="preserve">to ease the burden on counsellors in times when demand for transactional assistance is high. </w:t>
      </w:r>
      <w:r w:rsidR="00A77B90">
        <w:rPr>
          <w:lang w:eastAsia="ja-JP"/>
        </w:rPr>
        <w:t>Alternatively</w:t>
      </w:r>
      <w:r>
        <w:rPr>
          <w:lang w:eastAsia="ja-JP"/>
        </w:rPr>
        <w:t xml:space="preserve">, </w:t>
      </w:r>
      <w:r w:rsidR="00A77B90">
        <w:rPr>
          <w:lang w:eastAsia="ja-JP"/>
        </w:rPr>
        <w:t>service</w:t>
      </w:r>
      <w:r w:rsidR="00591DFE">
        <w:rPr>
          <w:lang w:eastAsia="ja-JP"/>
        </w:rPr>
        <w:t xml:space="preserve"> providers</w:t>
      </w:r>
      <w:r w:rsidR="00A77B90">
        <w:rPr>
          <w:lang w:eastAsia="ja-JP"/>
        </w:rPr>
        <w:t xml:space="preserve"> could</w:t>
      </w:r>
      <w:r>
        <w:rPr>
          <w:lang w:eastAsia="ja-JP"/>
        </w:rPr>
        <w:t xml:space="preserve"> leverage </w:t>
      </w:r>
      <w:r w:rsidR="00A77B90">
        <w:rPr>
          <w:lang w:eastAsia="ja-JP"/>
        </w:rPr>
        <w:t xml:space="preserve">the </w:t>
      </w:r>
      <w:r>
        <w:rPr>
          <w:lang w:eastAsia="ja-JP"/>
        </w:rPr>
        <w:t>national workforce of counsellors and offer immediate secondments from other providers</w:t>
      </w:r>
      <w:r w:rsidR="007642A4">
        <w:rPr>
          <w:lang w:eastAsia="ja-JP"/>
        </w:rPr>
        <w:t xml:space="preserve"> </w:t>
      </w:r>
      <w:r w:rsidR="00063FCC">
        <w:rPr>
          <w:lang w:eastAsia="ja-JP"/>
        </w:rPr>
        <w:t>to assist with a crisis.</w:t>
      </w:r>
    </w:p>
    <w:p w14:paraId="0A4EB9E3" w14:textId="3B1949CA" w:rsidR="006B33D7" w:rsidRDefault="006B33D7" w:rsidP="00202967">
      <w:r>
        <w:rPr>
          <w:lang w:eastAsia="ja-JP"/>
        </w:rPr>
        <w:t xml:space="preserve">Increasing core funding would put the responsibility back </w:t>
      </w:r>
      <w:r w:rsidR="00791BC7">
        <w:rPr>
          <w:lang w:eastAsia="ja-JP"/>
        </w:rPr>
        <w:t>on</w:t>
      </w:r>
      <w:r>
        <w:rPr>
          <w:lang w:eastAsia="ja-JP"/>
        </w:rPr>
        <w:t xml:space="preserve"> service providers to manage demand and be less reliant on the government for additional funding. They would also spend less time on administration</w:t>
      </w:r>
      <w:r w:rsidR="00056A82">
        <w:rPr>
          <w:lang w:eastAsia="ja-JP"/>
        </w:rPr>
        <w:t xml:space="preserve"> by minimising the requirement to engage in a competitive funding round</w:t>
      </w:r>
      <w:r>
        <w:rPr>
          <w:lang w:eastAsia="ja-JP"/>
        </w:rPr>
        <w:t>. Contingen</w:t>
      </w:r>
      <w:r w:rsidR="00056A82">
        <w:rPr>
          <w:lang w:eastAsia="ja-JP"/>
        </w:rPr>
        <w:t>cy</w:t>
      </w:r>
      <w:r>
        <w:rPr>
          <w:lang w:eastAsia="ja-JP"/>
        </w:rPr>
        <w:t xml:space="preserve"> funds </w:t>
      </w:r>
      <w:r w:rsidR="00056A82">
        <w:rPr>
          <w:lang w:eastAsia="ja-JP"/>
        </w:rPr>
        <w:t xml:space="preserve">should </w:t>
      </w:r>
      <w:r>
        <w:rPr>
          <w:lang w:eastAsia="ja-JP"/>
        </w:rPr>
        <w:t xml:space="preserve">be reserved </w:t>
      </w:r>
      <w:r w:rsidRPr="005F73AA">
        <w:rPr>
          <w:lang w:eastAsia="ja-JP"/>
        </w:rPr>
        <w:t xml:space="preserve">for </w:t>
      </w:r>
      <w:r w:rsidRPr="005F73AA">
        <w:t>natural disaster</w:t>
      </w:r>
      <w:r w:rsidR="007C5C89">
        <w:t>s</w:t>
      </w:r>
      <w:r w:rsidRPr="005F73AA">
        <w:t xml:space="preserve"> or major unforeseen </w:t>
      </w:r>
      <w:r w:rsidR="00BB32B6">
        <w:t>events, rather than in response to drought conditions</w:t>
      </w:r>
      <w:r>
        <w:t xml:space="preserve">. </w:t>
      </w:r>
      <w:r w:rsidR="007C5C89">
        <w:t>However, e</w:t>
      </w:r>
      <w:r w:rsidR="00C40602">
        <w:t>nabling</w:t>
      </w:r>
      <w:r>
        <w:t xml:space="preserve"> </w:t>
      </w:r>
      <w:r w:rsidR="00F41612">
        <w:t xml:space="preserve">providers </w:t>
      </w:r>
      <w:r>
        <w:t>to be more independent in their operations would</w:t>
      </w:r>
      <w:r w:rsidR="007C5C89">
        <w:t xml:space="preserve"> </w:t>
      </w:r>
      <w:r>
        <w:t>require more accountability and</w:t>
      </w:r>
      <w:r w:rsidR="00A924D5">
        <w:t xml:space="preserve"> credible</w:t>
      </w:r>
      <w:r>
        <w:t xml:space="preserve"> consequences for providers </w:t>
      </w:r>
      <w:r w:rsidRPr="0086461F">
        <w:t>that</w:t>
      </w:r>
      <w:r>
        <w:t xml:space="preserve"> are not sufficiently meeting the program</w:t>
      </w:r>
      <w:r w:rsidR="00736B18">
        <w:t>'</w:t>
      </w:r>
      <w:r>
        <w:t xml:space="preserve">s </w:t>
      </w:r>
      <w:r w:rsidRPr="00277C29">
        <w:t>objectives</w:t>
      </w:r>
      <w:r w:rsidR="008A78F5" w:rsidRPr="00277C29">
        <w:t>,</w:t>
      </w:r>
      <w:r w:rsidR="00505BF9" w:rsidRPr="00277C29">
        <w:t xml:space="preserve"> or </w:t>
      </w:r>
      <w:r w:rsidR="0086461F" w:rsidRPr="00277C29">
        <w:t xml:space="preserve">that </w:t>
      </w:r>
      <w:r w:rsidR="00505BF9" w:rsidRPr="00277C29">
        <w:t>are</w:t>
      </w:r>
      <w:r w:rsidR="00505BF9">
        <w:t xml:space="preserve"> not in compliance with their </w:t>
      </w:r>
      <w:r w:rsidR="003461A5">
        <w:t>f</w:t>
      </w:r>
      <w:r w:rsidR="00505BF9">
        <w:t xml:space="preserve">unding </w:t>
      </w:r>
      <w:r w:rsidR="003461A5">
        <w:t>d</w:t>
      </w:r>
      <w:r w:rsidR="00505BF9">
        <w:t>eed</w:t>
      </w:r>
      <w:r w:rsidR="00202967">
        <w:t>.</w:t>
      </w:r>
      <w:r w:rsidR="00324E38">
        <w:t xml:space="preserve"> The panel understands this method has been employed with success at different times.</w:t>
      </w:r>
    </w:p>
    <w:p w14:paraId="1A31A8D5" w14:textId="77777777" w:rsidR="00517F4E" w:rsidRDefault="0060666E" w:rsidP="00202967">
      <w:r>
        <w:t xml:space="preserve">The panel also received feedback from </w:t>
      </w:r>
      <w:r w:rsidR="007642A4">
        <w:t>s</w:t>
      </w:r>
      <w:r>
        <w:t xml:space="preserve">tate governments that a greater degree of certainty in </w:t>
      </w:r>
      <w:r w:rsidR="00180C80">
        <w:t xml:space="preserve">Australian government </w:t>
      </w:r>
      <w:r>
        <w:t>funding across the long</w:t>
      </w:r>
      <w:r w:rsidR="007642A4">
        <w:t xml:space="preserve"> </w:t>
      </w:r>
      <w:r>
        <w:t xml:space="preserve">term would allow them to better plan their allocations to service providers, which would increase coordination in funding. Higher core funding allocations </w:t>
      </w:r>
      <w:r w:rsidR="004C51AD">
        <w:t xml:space="preserve">across program terms </w:t>
      </w:r>
      <w:r>
        <w:t xml:space="preserve">would allow </w:t>
      </w:r>
      <w:r w:rsidR="004C51AD">
        <w:t xml:space="preserve">for </w:t>
      </w:r>
      <w:r>
        <w:t>this.</w:t>
      </w:r>
    </w:p>
    <w:p w14:paraId="1C1DFC68" w14:textId="40535021" w:rsidR="00794BE7" w:rsidRDefault="00794BE7" w:rsidP="00794BE7">
      <w:pPr>
        <w:pStyle w:val="Heading4"/>
        <w:rPr>
          <w:lang w:eastAsia="ja-JP"/>
        </w:rPr>
      </w:pPr>
      <w:r>
        <w:rPr>
          <w:lang w:eastAsia="ja-JP"/>
        </w:rPr>
        <w:t>Future funding rounds</w:t>
      </w:r>
    </w:p>
    <w:p w14:paraId="7D71BA77" w14:textId="1E7AC58A" w:rsidR="007E556D" w:rsidRDefault="006B1E69" w:rsidP="006B33D7">
      <w:r>
        <w:rPr>
          <w:lang w:eastAsia="ja-JP"/>
        </w:rPr>
        <w:t xml:space="preserve">Implementation of a </w:t>
      </w:r>
      <w:r w:rsidR="006B33D7">
        <w:rPr>
          <w:lang w:eastAsia="ja-JP"/>
        </w:rPr>
        <w:t xml:space="preserve">90:10 split of funds </w:t>
      </w:r>
      <w:r w:rsidR="00742F36">
        <w:rPr>
          <w:lang w:eastAsia="ja-JP"/>
        </w:rPr>
        <w:t xml:space="preserve">or </w:t>
      </w:r>
      <w:r>
        <w:rPr>
          <w:lang w:eastAsia="ja-JP"/>
        </w:rPr>
        <w:t xml:space="preserve">an </w:t>
      </w:r>
      <w:r w:rsidR="00742F36">
        <w:rPr>
          <w:lang w:eastAsia="ja-JP"/>
        </w:rPr>
        <w:t>increase to a 95:5 ratio</w:t>
      </w:r>
      <w:r w:rsidR="006B33D7">
        <w:rPr>
          <w:lang w:eastAsia="ja-JP"/>
        </w:rPr>
        <w:t xml:space="preserve"> would </w:t>
      </w:r>
      <w:r>
        <w:rPr>
          <w:lang w:eastAsia="ja-JP"/>
        </w:rPr>
        <w:t xml:space="preserve">give the provider </w:t>
      </w:r>
      <w:r w:rsidR="006B33D7">
        <w:rPr>
          <w:lang w:eastAsia="ja-JP"/>
        </w:rPr>
        <w:t xml:space="preserve">more flexibility to </w:t>
      </w:r>
      <w:r w:rsidR="006B33D7">
        <w:t xml:space="preserve">match resources </w:t>
      </w:r>
      <w:r w:rsidR="00937A23">
        <w:t xml:space="preserve">to </w:t>
      </w:r>
      <w:r w:rsidR="006B33D7">
        <w:t>client demand</w:t>
      </w:r>
      <w:r w:rsidR="00937A23">
        <w:t xml:space="preserve"> in their region</w:t>
      </w:r>
      <w:r w:rsidR="006B33D7">
        <w:t xml:space="preserve">. </w:t>
      </w:r>
      <w:r>
        <w:t>A</w:t>
      </w:r>
      <w:r w:rsidR="00DE465A">
        <w:t xml:space="preserve"> larger contingency fund increases</w:t>
      </w:r>
      <w:r w:rsidR="006B33D7">
        <w:t xml:space="preserve"> the need for a </w:t>
      </w:r>
      <w:r w:rsidR="006B33D7">
        <w:rPr>
          <w:lang w:eastAsia="ja-JP"/>
        </w:rPr>
        <w:t>well-defined process and better coordination with the states to administer these funds.</w:t>
      </w:r>
      <w:r w:rsidR="006B7444">
        <w:rPr>
          <w:lang w:eastAsia="ja-JP"/>
        </w:rPr>
        <w:t xml:space="preserve"> </w:t>
      </w:r>
      <w:r w:rsidR="006B33D7">
        <w:rPr>
          <w:lang w:eastAsia="ja-JP"/>
        </w:rPr>
        <w:t xml:space="preserve">Contingency requests could be </w:t>
      </w:r>
      <w:r w:rsidR="008A78F5">
        <w:rPr>
          <w:lang w:eastAsia="ja-JP"/>
        </w:rPr>
        <w:t xml:space="preserve">routinely </w:t>
      </w:r>
      <w:r w:rsidR="006B33D7">
        <w:rPr>
          <w:lang w:eastAsia="ja-JP"/>
        </w:rPr>
        <w:t>submitted</w:t>
      </w:r>
      <w:r w:rsidR="008A78F5">
        <w:rPr>
          <w:lang w:eastAsia="ja-JP"/>
        </w:rPr>
        <w:t xml:space="preserve"> using a standard </w:t>
      </w:r>
      <w:r w:rsidR="008A78F5">
        <w:rPr>
          <w:lang w:eastAsia="ja-JP"/>
        </w:rPr>
        <w:lastRenderedPageBreak/>
        <w:t>template and tak</w:t>
      </w:r>
      <w:r>
        <w:rPr>
          <w:lang w:eastAsia="ja-JP"/>
        </w:rPr>
        <w:t>e</w:t>
      </w:r>
      <w:r w:rsidR="008A78F5">
        <w:rPr>
          <w:lang w:eastAsia="ja-JP"/>
        </w:rPr>
        <w:t xml:space="preserve"> into consideration </w:t>
      </w:r>
      <w:r w:rsidR="006B33D7">
        <w:rPr>
          <w:lang w:eastAsia="ja-JP"/>
        </w:rPr>
        <w:t>local industry pressures, impact</w:t>
      </w:r>
      <w:r w:rsidR="008A78F5">
        <w:rPr>
          <w:lang w:eastAsia="ja-JP"/>
        </w:rPr>
        <w:t>s</w:t>
      </w:r>
      <w:r w:rsidR="006B33D7">
        <w:rPr>
          <w:lang w:eastAsia="ja-JP"/>
        </w:rPr>
        <w:t xml:space="preserve"> of natural disasters </w:t>
      </w:r>
      <w:r w:rsidR="006B33D7" w:rsidRPr="005F73AA">
        <w:t xml:space="preserve">or </w:t>
      </w:r>
      <w:r w:rsidR="008A78F5">
        <w:t xml:space="preserve">other </w:t>
      </w:r>
      <w:r w:rsidR="006B33D7" w:rsidRPr="005F73AA">
        <w:t>major unforeseen circumstances</w:t>
      </w:r>
      <w:r w:rsidR="006B33D7">
        <w:t>.</w:t>
      </w:r>
    </w:p>
    <w:p w14:paraId="40D2862F" w14:textId="77A5BD2C" w:rsidR="00180C80" w:rsidRDefault="006B1E69" w:rsidP="006B33D7">
      <w:r>
        <w:t>The panel suggests a</w:t>
      </w:r>
      <w:r w:rsidR="006B33D7">
        <w:t xml:space="preserve"> formal process </w:t>
      </w:r>
      <w:r w:rsidR="007E556D">
        <w:t xml:space="preserve">that includes </w:t>
      </w:r>
      <w:r w:rsidR="006B33D7">
        <w:t>liaising with the states and territories about regional pressures and coordinat</w:t>
      </w:r>
      <w:r w:rsidR="007E556D">
        <w:t>ing</w:t>
      </w:r>
      <w:r w:rsidR="006B33D7">
        <w:t xml:space="preserve"> </w:t>
      </w:r>
      <w:r w:rsidR="00F0451B">
        <w:t xml:space="preserve">federal and </w:t>
      </w:r>
      <w:r w:rsidR="006B33D7">
        <w:t xml:space="preserve">state funding. Consistency and transparency in the process is important. For emergency </w:t>
      </w:r>
      <w:r w:rsidR="0009422D">
        <w:t xml:space="preserve">situations, </w:t>
      </w:r>
      <w:r w:rsidR="006B33D7">
        <w:t>service provider</w:t>
      </w:r>
      <w:r w:rsidR="0009422D">
        <w:t>s</w:t>
      </w:r>
      <w:r w:rsidR="006B33D7">
        <w:t xml:space="preserve"> </w:t>
      </w:r>
      <w:r w:rsidR="0009422D">
        <w:t xml:space="preserve">should be able </w:t>
      </w:r>
      <w:r w:rsidR="00490283">
        <w:t xml:space="preserve">to </w:t>
      </w:r>
      <w:r w:rsidR="006B33D7">
        <w:t>submit a request outside of the contingency cycle</w:t>
      </w:r>
      <w:r w:rsidR="007E556D">
        <w:t xml:space="preserve"> and there should be</w:t>
      </w:r>
      <w:r w:rsidR="0009422D">
        <w:t xml:space="preserve"> a set process around its assessment</w:t>
      </w:r>
      <w:r w:rsidR="006B33D7">
        <w:t>.</w:t>
      </w:r>
    </w:p>
    <w:p w14:paraId="51C6122E" w14:textId="29CA7638" w:rsidR="006B33D7" w:rsidRPr="00293183" w:rsidRDefault="00293183" w:rsidP="00293183">
      <w:pPr>
        <w:pStyle w:val="BoxHeading"/>
      </w:pPr>
      <w:r>
        <w:t>Recommendation 9</w:t>
      </w:r>
    </w:p>
    <w:p w14:paraId="7095C79C" w14:textId="77777777" w:rsidR="00517F4E" w:rsidRPr="00293183" w:rsidRDefault="00836F54" w:rsidP="00293183">
      <w:pPr>
        <w:pStyle w:val="BoxText"/>
      </w:pPr>
      <w:r w:rsidRPr="00293183">
        <w:t>That the proportion of core funding is at least 90% of total funding to allow service providers more flexibility to manage peak demand and to allow them to embrace an expanded role.</w:t>
      </w:r>
    </w:p>
    <w:p w14:paraId="16AEF63D" w14:textId="349CA428" w:rsidR="00293183" w:rsidRPr="00293183" w:rsidRDefault="00293183" w:rsidP="00293183">
      <w:pPr>
        <w:pStyle w:val="BoxHeading"/>
      </w:pPr>
      <w:r>
        <w:t>Recommendation 10</w:t>
      </w:r>
    </w:p>
    <w:p w14:paraId="4B893767" w14:textId="56927BFD" w:rsidR="00517F4E" w:rsidRPr="00293183" w:rsidRDefault="00836F54" w:rsidP="00293183">
      <w:pPr>
        <w:pStyle w:val="BoxText"/>
      </w:pPr>
      <w:r w:rsidRPr="00293183">
        <w:t>That contingency funds are only provided to cover unforeseen emergency events (</w:t>
      </w:r>
      <w:r w:rsidR="000F554E" w:rsidRPr="00293183">
        <w:t>that is,</w:t>
      </w:r>
      <w:r w:rsidRPr="00293183">
        <w:t xml:space="preserve"> not drought conditions) and are requested according to a set process.</w:t>
      </w:r>
    </w:p>
    <w:p w14:paraId="4EFFED53" w14:textId="3D58D5D4" w:rsidR="00517F4E" w:rsidRDefault="007E556D" w:rsidP="00EF2381">
      <w:pPr>
        <w:pStyle w:val="Heading4"/>
        <w:numPr>
          <w:ilvl w:val="2"/>
          <w:numId w:val="12"/>
        </w:numPr>
        <w:rPr>
          <w:lang w:eastAsia="ja-JP"/>
        </w:rPr>
      </w:pPr>
      <w:r>
        <w:rPr>
          <w:lang w:eastAsia="ja-JP"/>
        </w:rPr>
        <w:t>Australian Government core funding f</w:t>
      </w:r>
      <w:r w:rsidR="006B33D7">
        <w:rPr>
          <w:lang w:eastAsia="ja-JP"/>
        </w:rPr>
        <w:t>ormula</w:t>
      </w:r>
    </w:p>
    <w:p w14:paraId="02CBBD4D" w14:textId="28FAB660" w:rsidR="00517F4E" w:rsidRDefault="006B33D7" w:rsidP="006B33D7">
      <w:r>
        <w:rPr>
          <w:lang w:eastAsia="ja-JP"/>
        </w:rPr>
        <w:t xml:space="preserve">In the </w:t>
      </w:r>
      <w:r w:rsidR="001E3132">
        <w:rPr>
          <w:lang w:eastAsia="ja-JP"/>
        </w:rPr>
        <w:t>2016 to 2020</w:t>
      </w:r>
      <w:r w:rsidR="00F13F30">
        <w:rPr>
          <w:lang w:eastAsia="ja-JP"/>
        </w:rPr>
        <w:t xml:space="preserve"> </w:t>
      </w:r>
      <w:r>
        <w:rPr>
          <w:lang w:eastAsia="ja-JP"/>
        </w:rPr>
        <w:t>funding round, the formula to determine each region</w:t>
      </w:r>
      <w:r w:rsidR="00736B18">
        <w:rPr>
          <w:lang w:eastAsia="ja-JP"/>
        </w:rPr>
        <w:t>'</w:t>
      </w:r>
      <w:r>
        <w:rPr>
          <w:lang w:eastAsia="ja-JP"/>
        </w:rPr>
        <w:t xml:space="preserve">s funding </w:t>
      </w:r>
      <w:r>
        <w:t xml:space="preserve">was based on data regarding farm numbers, low </w:t>
      </w:r>
      <w:r w:rsidRPr="00277C29">
        <w:t>cash income farms and</w:t>
      </w:r>
      <w:r>
        <w:t xml:space="preserve"> debt profiles.</w:t>
      </w:r>
    </w:p>
    <w:p w14:paraId="28C5DA9F" w14:textId="61A96ECF" w:rsidR="00517F4E" w:rsidRDefault="007E556D" w:rsidP="006B33D7">
      <w:r w:rsidRPr="00517C76">
        <w:t>I</w:t>
      </w:r>
      <w:r w:rsidR="006B33D7" w:rsidRPr="00517C76">
        <w:t>n the 2008</w:t>
      </w:r>
      <w:r w:rsidR="001E3132" w:rsidRPr="00517C76">
        <w:t xml:space="preserve"> to </w:t>
      </w:r>
      <w:r w:rsidR="00F13F30" w:rsidRPr="00517C76">
        <w:t>20</w:t>
      </w:r>
      <w:r w:rsidR="006B33D7" w:rsidRPr="00517C76">
        <w:t>16 funding rounds, the</w:t>
      </w:r>
      <w:r w:rsidR="00517F4E" w:rsidRPr="00517C76">
        <w:t xml:space="preserve"> </w:t>
      </w:r>
      <w:r w:rsidR="006B33D7" w:rsidRPr="00517C76">
        <w:t>total number of clients</w:t>
      </w:r>
      <w:r w:rsidR="00745579" w:rsidRPr="00517C76">
        <w:t xml:space="preserve"> </w:t>
      </w:r>
      <w:r w:rsidR="006B33D7" w:rsidRPr="00517C76">
        <w:t>and</w:t>
      </w:r>
      <w:r w:rsidR="00517F4E" w:rsidRPr="00517C76">
        <w:t xml:space="preserve"> </w:t>
      </w:r>
      <w:r w:rsidR="006B33D7" w:rsidRPr="00517C76">
        <w:t>total number of client assistance hours</w:t>
      </w:r>
      <w:r w:rsidR="00745579" w:rsidRPr="00517C76">
        <w:t xml:space="preserve"> </w:t>
      </w:r>
      <w:r w:rsidR="006B33D7" w:rsidRPr="00517C76">
        <w:t xml:space="preserve">had been used to determine funding levels. </w:t>
      </w:r>
      <w:proofErr w:type="spellStart"/>
      <w:r w:rsidR="006B33D7" w:rsidRPr="00517C76">
        <w:t>NRAC</w:t>
      </w:r>
      <w:proofErr w:type="spellEnd"/>
      <w:r w:rsidR="006B33D7" w:rsidRPr="00517C76">
        <w:t xml:space="preserve"> found that this </w:t>
      </w:r>
      <w:r w:rsidR="00517C76">
        <w:t xml:space="preserve">methodology </w:t>
      </w:r>
      <w:r w:rsidR="006B33D7" w:rsidRPr="00517C76">
        <w:t>did not suitably take into consideration changes over time and could not respond adequately for a demand</w:t>
      </w:r>
      <w:r w:rsidR="00E35C21" w:rsidRPr="00517C76">
        <w:t>-</w:t>
      </w:r>
      <w:r w:rsidR="006B33D7" w:rsidRPr="00517C76">
        <w:t xml:space="preserve">driven program. In addition, some service providers </w:t>
      </w:r>
      <w:r w:rsidR="0086461F" w:rsidRPr="00517C76">
        <w:t>that</w:t>
      </w:r>
      <w:r w:rsidR="006B33D7" w:rsidRPr="00517C76">
        <w:t xml:space="preserve"> were overfunded had accrued large surpluses by the end of the period </w:t>
      </w:r>
      <w:r w:rsidRPr="00517C76">
        <w:t>that</w:t>
      </w:r>
      <w:r w:rsidR="006B33D7" w:rsidRPr="00517C76">
        <w:t xml:space="preserve"> could have been utilised in areas experiencing high demand.</w:t>
      </w:r>
    </w:p>
    <w:p w14:paraId="216C8B47" w14:textId="520D643F" w:rsidR="00517F4E" w:rsidRDefault="006B33D7" w:rsidP="006B33D7">
      <w:r>
        <w:t>Feedback from service providers is that</w:t>
      </w:r>
      <w:r w:rsidR="00E35C21">
        <w:t>,</w:t>
      </w:r>
      <w:r>
        <w:t xml:space="preserve"> by and large, the formula used to determine the </w:t>
      </w:r>
      <w:r w:rsidR="001E3132">
        <w:t>2016 to 2020</w:t>
      </w:r>
      <w:r w:rsidR="00F13F30">
        <w:t xml:space="preserve"> </w:t>
      </w:r>
      <w:r>
        <w:t xml:space="preserve">core funding </w:t>
      </w:r>
      <w:r w:rsidR="003F0745">
        <w:t>was sufficient</w:t>
      </w:r>
      <w:r>
        <w:t xml:space="preserve">, particularly when taking into account the availability of contingency to correct or address difficulties in meeting future demand. A small number of providers considered that their initial </w:t>
      </w:r>
      <w:r w:rsidR="001E3132">
        <w:t>2016 to 2020</w:t>
      </w:r>
      <w:r w:rsidR="00F13F30">
        <w:t xml:space="preserve"> </w:t>
      </w:r>
      <w:r>
        <w:t>funding was inadequate and client numbers should have been used as the proxy to determine ongoing funding levels.</w:t>
      </w:r>
    </w:p>
    <w:p w14:paraId="48AFBAE6" w14:textId="3C0CD6FD" w:rsidR="006B33D7" w:rsidRDefault="006B33D7" w:rsidP="006B33D7">
      <w:r>
        <w:t xml:space="preserve">The formula for future rounds of core funding was discussed with stakeholders and the following options were identified as possible </w:t>
      </w:r>
      <w:r w:rsidR="00A07B56">
        <w:t xml:space="preserve">bases for </w:t>
      </w:r>
      <w:r w:rsidR="00937A23">
        <w:t>the</w:t>
      </w:r>
      <w:r w:rsidR="00733671">
        <w:t xml:space="preserve"> </w:t>
      </w:r>
      <w:r w:rsidR="00A07B56">
        <w:t>funding calculation</w:t>
      </w:r>
      <w:r>
        <w:t>:</w:t>
      </w:r>
    </w:p>
    <w:p w14:paraId="18A1F767" w14:textId="53FD5BEF" w:rsidR="006B33D7" w:rsidRDefault="00E35C21" w:rsidP="006B33D7">
      <w:pPr>
        <w:pStyle w:val="ListBullet"/>
      </w:pPr>
      <w:r>
        <w:t>f</w:t>
      </w:r>
      <w:r w:rsidR="006B33D7">
        <w:t>arm numbers</w:t>
      </w:r>
      <w:r w:rsidR="008A25E1">
        <w:t>—</w:t>
      </w:r>
      <w:r w:rsidR="006B33D7">
        <w:t>recognising the potential eligible cohort</w:t>
      </w:r>
    </w:p>
    <w:p w14:paraId="569D18FB" w14:textId="7827448E" w:rsidR="006B33D7" w:rsidRDefault="00E57E2E" w:rsidP="006B33D7">
      <w:pPr>
        <w:pStyle w:val="ListBullet"/>
      </w:pPr>
      <w:r>
        <w:t>pro</w:t>
      </w:r>
      <w:r w:rsidR="00E35C21">
        <w:t>p</w:t>
      </w:r>
      <w:r w:rsidR="006B33D7">
        <w:t>ortion of farms in financial difficulty</w:t>
      </w:r>
      <w:r w:rsidR="008A25E1">
        <w:t>—</w:t>
      </w:r>
      <w:r w:rsidR="006B33D7">
        <w:t>recognising the eligible cohort</w:t>
      </w:r>
    </w:p>
    <w:p w14:paraId="63D43AB6" w14:textId="53A06EF1" w:rsidR="006B33D7" w:rsidRDefault="00E35C21" w:rsidP="006B33D7">
      <w:pPr>
        <w:pStyle w:val="ListBullet"/>
      </w:pPr>
      <w:r>
        <w:t>c</w:t>
      </w:r>
      <w:r w:rsidR="006B33D7">
        <w:t>urrent case</w:t>
      </w:r>
      <w:r w:rsidR="00D724AF">
        <w:t>-</w:t>
      </w:r>
      <w:r w:rsidR="006B33D7">
        <w:t>managed clients</w:t>
      </w:r>
      <w:r w:rsidR="008A25E1">
        <w:t>—</w:t>
      </w:r>
      <w:r w:rsidR="006B33D7">
        <w:t>recognising current demand and the backlog of clients following current spikes in demand</w:t>
      </w:r>
    </w:p>
    <w:p w14:paraId="5FDD36AD" w14:textId="4CCCF4E2" w:rsidR="006B33D7" w:rsidRDefault="00E35C21" w:rsidP="006B33D7">
      <w:pPr>
        <w:pStyle w:val="ListBullet"/>
      </w:pPr>
      <w:r>
        <w:t>c</w:t>
      </w:r>
      <w:r w:rsidR="006B33D7">
        <w:t>urrent transactional clients</w:t>
      </w:r>
      <w:r w:rsidR="008A25E1">
        <w:t>—</w:t>
      </w:r>
      <w:r w:rsidR="006B33D7">
        <w:t xml:space="preserve">recognising future demand, and the desire that </w:t>
      </w:r>
      <w:r w:rsidR="006B33D7">
        <w:rPr>
          <w:lang w:eastAsia="ja-JP"/>
        </w:rPr>
        <w:t>existing transactional clients should be encouraged into case management</w:t>
      </w:r>
    </w:p>
    <w:p w14:paraId="5339231E" w14:textId="131B2175" w:rsidR="00180C80" w:rsidRDefault="00180C80" w:rsidP="00180C80">
      <w:pPr>
        <w:pStyle w:val="ListBullet"/>
      </w:pPr>
      <w:r>
        <w:t>density of farmi</w:t>
      </w:r>
      <w:r w:rsidR="001E3132">
        <w:t>ng</w:t>
      </w:r>
      <w:r w:rsidR="00165FAA">
        <w:t xml:space="preserve"> and </w:t>
      </w:r>
      <w:r w:rsidR="001E3132">
        <w:t>geographical size of region—</w:t>
      </w:r>
      <w:r>
        <w:t xml:space="preserve">recognising travel </w:t>
      </w:r>
      <w:r w:rsidR="00517C76">
        <w:t xml:space="preserve">requirements to reach </w:t>
      </w:r>
      <w:r>
        <w:t>to clients</w:t>
      </w:r>
    </w:p>
    <w:p w14:paraId="44876D87" w14:textId="4BD15505" w:rsidR="006B33D7" w:rsidRDefault="00E35C21" w:rsidP="006B33D7">
      <w:pPr>
        <w:pStyle w:val="ListBullet"/>
      </w:pPr>
      <w:r>
        <w:rPr>
          <w:lang w:eastAsia="ja-JP"/>
        </w:rPr>
        <w:lastRenderedPageBreak/>
        <w:t>c</w:t>
      </w:r>
      <w:r w:rsidR="006B33D7">
        <w:rPr>
          <w:lang w:eastAsia="ja-JP"/>
        </w:rPr>
        <w:t>limate forecasting</w:t>
      </w:r>
      <w:r w:rsidR="008A25E1">
        <w:rPr>
          <w:lang w:eastAsia="ja-JP"/>
        </w:rPr>
        <w:t>—</w:t>
      </w:r>
      <w:r w:rsidR="006B33D7">
        <w:rPr>
          <w:lang w:eastAsia="ja-JP"/>
        </w:rPr>
        <w:t xml:space="preserve">recognising areas expected to be impacted by prolonged drought and other </w:t>
      </w:r>
      <w:r w:rsidR="00AC78FB">
        <w:rPr>
          <w:lang w:eastAsia="ja-JP"/>
        </w:rPr>
        <w:t xml:space="preserve">adverse </w:t>
      </w:r>
      <w:r w:rsidR="006B33D7">
        <w:rPr>
          <w:lang w:eastAsia="ja-JP"/>
        </w:rPr>
        <w:t>weather events</w:t>
      </w:r>
    </w:p>
    <w:p w14:paraId="1A81B65A" w14:textId="5875CDB2" w:rsidR="006B33D7" w:rsidRDefault="00E35C21" w:rsidP="006B33D7">
      <w:pPr>
        <w:pStyle w:val="ListBullet"/>
      </w:pPr>
      <w:proofErr w:type="gramStart"/>
      <w:r>
        <w:rPr>
          <w:lang w:eastAsia="ja-JP"/>
        </w:rPr>
        <w:t>i</w:t>
      </w:r>
      <w:r w:rsidR="006B33D7">
        <w:rPr>
          <w:lang w:eastAsia="ja-JP"/>
        </w:rPr>
        <w:t>ndustry</w:t>
      </w:r>
      <w:proofErr w:type="gramEnd"/>
      <w:r w:rsidR="006B33D7">
        <w:rPr>
          <w:lang w:eastAsia="ja-JP"/>
        </w:rPr>
        <w:t xml:space="preserve"> forecasting</w:t>
      </w:r>
      <w:r w:rsidR="008A25E1">
        <w:rPr>
          <w:lang w:eastAsia="ja-JP"/>
        </w:rPr>
        <w:t>—</w:t>
      </w:r>
      <w:r w:rsidR="006B33D7">
        <w:rPr>
          <w:lang w:eastAsia="ja-JP"/>
        </w:rPr>
        <w:t>recognising industries that are currently experiencing downturn, which may increase their financial vulnerability</w:t>
      </w:r>
      <w:r w:rsidR="00733671">
        <w:rPr>
          <w:lang w:eastAsia="ja-JP"/>
        </w:rPr>
        <w:t>.</w:t>
      </w:r>
    </w:p>
    <w:p w14:paraId="7D3D5A28" w14:textId="77777777" w:rsidR="006B33D7" w:rsidRPr="00202967" w:rsidRDefault="006B33D7" w:rsidP="00202967">
      <w:pPr>
        <w:pStyle w:val="Heading5"/>
        <w:rPr>
          <w:rStyle w:val="Strong"/>
          <w:b/>
          <w:bCs w:val="0"/>
        </w:rPr>
      </w:pPr>
      <w:r w:rsidRPr="00202967">
        <w:rPr>
          <w:rStyle w:val="Strong"/>
          <w:b/>
          <w:bCs w:val="0"/>
        </w:rPr>
        <w:t>Demand for the service</w:t>
      </w:r>
    </w:p>
    <w:p w14:paraId="03CBF345" w14:textId="4652F854" w:rsidR="00517F4E" w:rsidRDefault="00605BF3" w:rsidP="006B33D7">
      <w:pPr>
        <w:rPr>
          <w:lang w:eastAsia="ja-JP"/>
        </w:rPr>
      </w:pPr>
      <w:r>
        <w:t>Using</w:t>
      </w:r>
      <w:r w:rsidR="006B33D7" w:rsidRPr="0013696E">
        <w:t xml:space="preserve"> current client numbers </w:t>
      </w:r>
      <w:r w:rsidR="00B9112E">
        <w:t>to determine</w:t>
      </w:r>
      <w:r w:rsidR="006B33D7" w:rsidRPr="0013696E">
        <w:t xml:space="preserve"> future funding</w:t>
      </w:r>
      <w:r>
        <w:t xml:space="preserve"> </w:t>
      </w:r>
      <w:r w:rsidR="005E0AFA">
        <w:t>would be problematic</w:t>
      </w:r>
      <w:r w:rsidR="006B33D7" w:rsidRPr="0013696E">
        <w:t>.</w:t>
      </w:r>
      <w:r w:rsidR="00063FCC">
        <w:t xml:space="preserve"> </w:t>
      </w:r>
      <w:r w:rsidR="006B33D7" w:rsidRPr="0013696E">
        <w:t xml:space="preserve">Firstly, the data supporting current caseloads is </w:t>
      </w:r>
      <w:r w:rsidR="00CD3AC8">
        <w:t>unreliable</w:t>
      </w:r>
      <w:r w:rsidR="00CD3AC8" w:rsidRPr="0013696E">
        <w:t xml:space="preserve"> </w:t>
      </w:r>
      <w:r w:rsidR="006B33D7" w:rsidRPr="0013696E">
        <w:t>as different service</w:t>
      </w:r>
      <w:r w:rsidR="00591DFE">
        <w:t xml:space="preserve"> providers </w:t>
      </w:r>
      <w:r w:rsidR="007B687C" w:rsidRPr="0013696E">
        <w:t>have different</w:t>
      </w:r>
      <w:r w:rsidR="006B33D7" w:rsidRPr="0013696E">
        <w:t xml:space="preserve"> approaches to reporting their data.</w:t>
      </w:r>
      <w:r w:rsidR="00195A15">
        <w:t xml:space="preserve"> </w:t>
      </w:r>
      <w:r w:rsidR="00B9112E">
        <w:t>The panel</w:t>
      </w:r>
      <w:r w:rsidR="00B9112E" w:rsidRPr="0013696E">
        <w:t xml:space="preserve"> </w:t>
      </w:r>
      <w:r w:rsidR="006B33D7">
        <w:t xml:space="preserve">also </w:t>
      </w:r>
      <w:r w:rsidR="00B9112E">
        <w:t xml:space="preserve">recognises </w:t>
      </w:r>
      <w:r w:rsidR="006B33D7" w:rsidRPr="0013696E">
        <w:t xml:space="preserve">that demand </w:t>
      </w:r>
      <w:r w:rsidR="00E35C21">
        <w:t>fluctuates</w:t>
      </w:r>
      <w:r w:rsidR="006B33D7" w:rsidRPr="0013696E">
        <w:t xml:space="preserve">. </w:t>
      </w:r>
      <w:r w:rsidR="00B9112E">
        <w:t>However,</w:t>
      </w:r>
      <w:r w:rsidR="006B33D7" w:rsidRPr="0013696E">
        <w:t xml:space="preserve"> there has been </w:t>
      </w:r>
      <w:r w:rsidR="0072023B">
        <w:t>a significant</w:t>
      </w:r>
      <w:r w:rsidR="006B33D7" w:rsidRPr="0013696E">
        <w:t xml:space="preserve"> increase in transactional </w:t>
      </w:r>
      <w:r w:rsidR="00A32978" w:rsidRPr="0013696E">
        <w:t>caseloads</w:t>
      </w:r>
      <w:r w:rsidR="006B33D7" w:rsidRPr="0013696E">
        <w:t xml:space="preserve"> in eastern Australia over the last </w:t>
      </w:r>
      <w:r w:rsidR="006B33D7" w:rsidRPr="009A1D37">
        <w:t xml:space="preserve">18 months. </w:t>
      </w:r>
      <w:r w:rsidR="006B33D7">
        <w:rPr>
          <w:lang w:eastAsia="ja-JP"/>
        </w:rPr>
        <w:t>The review panel is conscious that several providers are currently working with caseloads of up to 90 client</w:t>
      </w:r>
      <w:r w:rsidR="00E35C21">
        <w:rPr>
          <w:lang w:eastAsia="ja-JP"/>
        </w:rPr>
        <w:t>s</w:t>
      </w:r>
      <w:r w:rsidR="006B33D7">
        <w:rPr>
          <w:lang w:eastAsia="ja-JP"/>
        </w:rPr>
        <w:t xml:space="preserve"> per counsellor</w:t>
      </w:r>
      <w:r w:rsidR="008A25E1">
        <w:rPr>
          <w:lang w:eastAsia="ja-JP"/>
        </w:rPr>
        <w:t>—</w:t>
      </w:r>
      <w:r w:rsidR="006B33D7">
        <w:rPr>
          <w:lang w:eastAsia="ja-JP"/>
        </w:rPr>
        <w:t>far beyond the number that could be actively case</w:t>
      </w:r>
      <w:r w:rsidR="00D724AF">
        <w:rPr>
          <w:lang w:eastAsia="ja-JP"/>
        </w:rPr>
        <w:t>-</w:t>
      </w:r>
      <w:r w:rsidR="006B33D7">
        <w:rPr>
          <w:lang w:eastAsia="ja-JP"/>
        </w:rPr>
        <w:t>managed. If these transactional clients are to be encouraged into case management, there is likely to be an 18</w:t>
      </w:r>
      <w:r w:rsidR="009B6251">
        <w:rPr>
          <w:lang w:eastAsia="ja-JP"/>
        </w:rPr>
        <w:t>-month</w:t>
      </w:r>
      <w:r w:rsidR="00B9112E">
        <w:rPr>
          <w:lang w:eastAsia="ja-JP"/>
        </w:rPr>
        <w:t xml:space="preserve"> to </w:t>
      </w:r>
      <w:r w:rsidR="00E35C21">
        <w:rPr>
          <w:lang w:eastAsia="ja-JP"/>
        </w:rPr>
        <w:t xml:space="preserve">24-month </w:t>
      </w:r>
      <w:r w:rsidR="006B33D7">
        <w:rPr>
          <w:lang w:eastAsia="ja-JP"/>
        </w:rPr>
        <w:t>time lag as they recover</w:t>
      </w:r>
      <w:r w:rsidR="00DD4708">
        <w:rPr>
          <w:lang w:eastAsia="ja-JP"/>
        </w:rPr>
        <w:t xml:space="preserve">. It is expected that </w:t>
      </w:r>
      <w:r w:rsidR="006B33D7">
        <w:rPr>
          <w:lang w:eastAsia="ja-JP"/>
        </w:rPr>
        <w:t>demand in these areas will remain high for some time.</w:t>
      </w:r>
    </w:p>
    <w:p w14:paraId="39DE03A6" w14:textId="2775A869" w:rsidR="00517F4E" w:rsidRDefault="008971E9" w:rsidP="006B33D7">
      <w:r>
        <w:t>Another factor to consider is whether p</w:t>
      </w:r>
      <w:r w:rsidR="006B33D7">
        <w:t xml:space="preserve">erverse incentives could be created, </w:t>
      </w:r>
      <w:r>
        <w:t xml:space="preserve">so as to </w:t>
      </w:r>
      <w:r w:rsidR="006B33D7">
        <w:t xml:space="preserve">potentially </w:t>
      </w:r>
      <w:r w:rsidR="006B33D7">
        <w:rPr>
          <w:lang w:eastAsia="ja-JP"/>
        </w:rPr>
        <w:t xml:space="preserve">reward inefficient </w:t>
      </w:r>
      <w:r w:rsidR="00C96E01">
        <w:rPr>
          <w:lang w:eastAsia="ja-JP"/>
        </w:rPr>
        <w:t>providers</w:t>
      </w:r>
      <w:r w:rsidR="009A1D37">
        <w:rPr>
          <w:lang w:eastAsia="ja-JP"/>
        </w:rPr>
        <w:t>.</w:t>
      </w:r>
      <w:r w:rsidR="000E79B7">
        <w:rPr>
          <w:lang w:eastAsia="ja-JP"/>
        </w:rPr>
        <w:t xml:space="preserve"> H</w:t>
      </w:r>
      <w:r w:rsidR="006B33D7">
        <w:rPr>
          <w:lang w:eastAsia="ja-JP"/>
        </w:rPr>
        <w:t xml:space="preserve">igh client numbers </w:t>
      </w:r>
      <w:r w:rsidR="00087D65">
        <w:rPr>
          <w:lang w:eastAsia="ja-JP"/>
        </w:rPr>
        <w:t>may indicate a provider has</w:t>
      </w:r>
      <w:r w:rsidR="006B33D7">
        <w:rPr>
          <w:lang w:eastAsia="ja-JP"/>
        </w:rPr>
        <w:t xml:space="preserve"> been unable to drive change</w:t>
      </w:r>
      <w:r w:rsidR="00180C80">
        <w:rPr>
          <w:lang w:eastAsia="ja-JP"/>
        </w:rPr>
        <w:t xml:space="preserve"> (and has kept clients on the books for too long)</w:t>
      </w:r>
      <w:r w:rsidR="006B33D7">
        <w:rPr>
          <w:lang w:eastAsia="ja-JP"/>
        </w:rPr>
        <w:t xml:space="preserve">, or </w:t>
      </w:r>
      <w:r w:rsidR="00EC04A6">
        <w:rPr>
          <w:lang w:eastAsia="ja-JP"/>
        </w:rPr>
        <w:t xml:space="preserve">has adopted reporting practices that may </w:t>
      </w:r>
      <w:r w:rsidR="00733671">
        <w:rPr>
          <w:lang w:eastAsia="ja-JP"/>
        </w:rPr>
        <w:t>affect active client numbers</w:t>
      </w:r>
      <w:r w:rsidR="006B33D7">
        <w:t>.</w:t>
      </w:r>
    </w:p>
    <w:p w14:paraId="08839815" w14:textId="30F88659" w:rsidR="006B33D7" w:rsidRDefault="006B33D7" w:rsidP="006B33D7">
      <w:r w:rsidRPr="00E55A69">
        <w:t>There are challenges in obtaining a perfect funding solution when setting core funds</w:t>
      </w:r>
      <w:r w:rsidR="00DD2E5B" w:rsidRPr="00E55A69">
        <w:t>:</w:t>
      </w:r>
      <w:r w:rsidRPr="00E55A69">
        <w:t xml:space="preserve"> </w:t>
      </w:r>
      <w:r w:rsidR="00DD2E5B" w:rsidRPr="00E55A69">
        <w:t>t</w:t>
      </w:r>
      <w:r w:rsidRPr="00E55A69">
        <w:t xml:space="preserve">he demand for the program is not static, the factors that drive demand are often unpredictable and the data to support the analysis is </w:t>
      </w:r>
      <w:r w:rsidR="00C77580" w:rsidRPr="00E55A69">
        <w:t>imprecise</w:t>
      </w:r>
      <w:r w:rsidRPr="00E55A69">
        <w:t>.</w:t>
      </w:r>
      <w:r w:rsidR="006B7444" w:rsidRPr="00E55A69">
        <w:t xml:space="preserve"> </w:t>
      </w:r>
      <w:r w:rsidRPr="00E55A69">
        <w:t>If the proportion of core funds increase</w:t>
      </w:r>
      <w:r w:rsidR="00DA3C9C">
        <w:t>s</w:t>
      </w:r>
      <w:r w:rsidRPr="00E55A69">
        <w:t xml:space="preserve">, the formula </w:t>
      </w:r>
      <w:r w:rsidR="00DA3C9C">
        <w:t xml:space="preserve">must be </w:t>
      </w:r>
      <w:r w:rsidR="00CF3EC6" w:rsidRPr="00E55A69">
        <w:t xml:space="preserve">robust </w:t>
      </w:r>
      <w:r w:rsidRPr="00E55A69">
        <w:t xml:space="preserve">and the objectives of the program (and therefore valid uses of the funding) </w:t>
      </w:r>
      <w:r w:rsidR="00DA3C9C">
        <w:t xml:space="preserve">must be </w:t>
      </w:r>
      <w:r w:rsidRPr="00E55A69">
        <w:t>clear.</w:t>
      </w:r>
    </w:p>
    <w:p w14:paraId="267A03A6" w14:textId="77777777" w:rsidR="00517F4E" w:rsidRDefault="006B33D7" w:rsidP="00202967">
      <w:pPr>
        <w:pStyle w:val="Heading5"/>
        <w:rPr>
          <w:rStyle w:val="Strong"/>
          <w:b/>
          <w:bCs w:val="0"/>
        </w:rPr>
      </w:pPr>
      <w:r w:rsidRPr="00202967">
        <w:rPr>
          <w:rStyle w:val="Strong"/>
          <w:b/>
          <w:bCs w:val="0"/>
        </w:rPr>
        <w:t>Demand driven by government programs</w:t>
      </w:r>
    </w:p>
    <w:p w14:paraId="1632E377" w14:textId="693087F0" w:rsidR="00517F4E" w:rsidRDefault="006B33D7" w:rsidP="006B33D7">
      <w:r>
        <w:t xml:space="preserve">Demand is also driven by </w:t>
      </w:r>
      <w:r w:rsidR="007F2D2D">
        <w:t xml:space="preserve">the </w:t>
      </w:r>
      <w:r>
        <w:t xml:space="preserve">promotion </w:t>
      </w:r>
      <w:r w:rsidR="00CF3EC6">
        <w:t xml:space="preserve">of </w:t>
      </w:r>
      <w:r>
        <w:t xml:space="preserve">new assistance packages </w:t>
      </w:r>
      <w:r w:rsidR="00CF3EC6">
        <w:t>by</w:t>
      </w:r>
      <w:r>
        <w:t xml:space="preserve"> </w:t>
      </w:r>
      <w:r w:rsidRPr="00AD6E65">
        <w:t>government</w:t>
      </w:r>
      <w:r w:rsidR="00CF3EC6">
        <w:t>s</w:t>
      </w:r>
      <w:r w:rsidRPr="00AD6E65">
        <w:t>.</w:t>
      </w:r>
      <w:r w:rsidRPr="00AD6E65">
        <w:rPr>
          <w:lang w:eastAsia="ja-JP"/>
        </w:rPr>
        <w:t xml:space="preserve"> Recent spikes </w:t>
      </w:r>
      <w:r w:rsidR="006A3FBE">
        <w:rPr>
          <w:lang w:eastAsia="ja-JP"/>
        </w:rPr>
        <w:t>in</w:t>
      </w:r>
      <w:r w:rsidRPr="00AD6E65">
        <w:rPr>
          <w:lang w:eastAsia="ja-JP"/>
        </w:rPr>
        <w:t xml:space="preserve"> demand </w:t>
      </w:r>
      <w:r w:rsidR="007F2D2D">
        <w:rPr>
          <w:lang w:eastAsia="ja-JP"/>
        </w:rPr>
        <w:t>in N</w:t>
      </w:r>
      <w:r w:rsidR="00C338E5">
        <w:rPr>
          <w:lang w:eastAsia="ja-JP"/>
        </w:rPr>
        <w:t>ew South Wales</w:t>
      </w:r>
      <w:r w:rsidR="007F2D2D">
        <w:rPr>
          <w:lang w:eastAsia="ja-JP"/>
        </w:rPr>
        <w:t xml:space="preserve"> and Queensland </w:t>
      </w:r>
      <w:r w:rsidR="00CF3EC6" w:rsidRPr="00AD6E65">
        <w:rPr>
          <w:lang w:eastAsia="ja-JP"/>
        </w:rPr>
        <w:t>w</w:t>
      </w:r>
      <w:r w:rsidR="00CF3EC6">
        <w:rPr>
          <w:lang w:eastAsia="ja-JP"/>
        </w:rPr>
        <w:t>ere</w:t>
      </w:r>
      <w:r w:rsidR="00CF3EC6" w:rsidRPr="00AD6E65">
        <w:rPr>
          <w:lang w:eastAsia="ja-JP"/>
        </w:rPr>
        <w:t xml:space="preserve"> </w:t>
      </w:r>
      <w:r w:rsidR="006A3FBE">
        <w:rPr>
          <w:lang w:eastAsia="ja-JP"/>
        </w:rPr>
        <w:t>due</w:t>
      </w:r>
      <w:r w:rsidR="006A3FBE" w:rsidRPr="00AD6E65">
        <w:rPr>
          <w:lang w:eastAsia="ja-JP"/>
        </w:rPr>
        <w:t xml:space="preserve"> </w:t>
      </w:r>
      <w:r w:rsidRPr="00AD6E65">
        <w:rPr>
          <w:lang w:eastAsia="ja-JP"/>
        </w:rPr>
        <w:t xml:space="preserve">not only to worsening drought conditions, </w:t>
      </w:r>
      <w:r w:rsidR="007F2D2D">
        <w:rPr>
          <w:lang w:eastAsia="ja-JP"/>
        </w:rPr>
        <w:t xml:space="preserve">but </w:t>
      </w:r>
      <w:r w:rsidR="00733671">
        <w:rPr>
          <w:lang w:eastAsia="ja-JP"/>
        </w:rPr>
        <w:t xml:space="preserve">also </w:t>
      </w:r>
      <w:r w:rsidR="006A3FBE">
        <w:rPr>
          <w:lang w:eastAsia="ja-JP"/>
        </w:rPr>
        <w:t xml:space="preserve">to </w:t>
      </w:r>
      <w:r w:rsidR="007F2D2D">
        <w:rPr>
          <w:lang w:eastAsia="ja-JP"/>
        </w:rPr>
        <w:t>the extension of</w:t>
      </w:r>
      <w:r w:rsidRPr="00AD6E65">
        <w:t xml:space="preserve"> </w:t>
      </w:r>
      <w:r w:rsidR="001F00E5">
        <w:t>FHA</w:t>
      </w:r>
      <w:r w:rsidR="00733671">
        <w:t xml:space="preserve"> and other state programs</w:t>
      </w:r>
      <w:r w:rsidR="006A3FBE">
        <w:t>.</w:t>
      </w:r>
      <w:r w:rsidR="00733671">
        <w:t xml:space="preserve"> </w:t>
      </w:r>
      <w:r w:rsidR="006A3FBE">
        <w:t>T</w:t>
      </w:r>
      <w:r w:rsidR="007F2D2D">
        <w:t xml:space="preserve">he </w:t>
      </w:r>
      <w:r w:rsidRPr="00AD6E65">
        <w:t xml:space="preserve">RFCS </w:t>
      </w:r>
      <w:r w:rsidR="006A3FBE">
        <w:t xml:space="preserve">was promoted </w:t>
      </w:r>
      <w:r w:rsidRPr="00AD6E65">
        <w:t xml:space="preserve">as </w:t>
      </w:r>
      <w:r w:rsidR="00CF3EC6">
        <w:t>the primary support service</w:t>
      </w:r>
      <w:r w:rsidRPr="00AD6E65">
        <w:t xml:space="preserve"> for those wanting</w:t>
      </w:r>
      <w:r w:rsidR="00CF3EC6">
        <w:t xml:space="preserve"> to</w:t>
      </w:r>
      <w:r w:rsidRPr="00AD6E65">
        <w:t xml:space="preserve"> apply</w:t>
      </w:r>
      <w:r>
        <w:t>.</w:t>
      </w:r>
    </w:p>
    <w:p w14:paraId="5A39D194" w14:textId="08B51BD5" w:rsidR="00517F4E" w:rsidRDefault="006B33D7" w:rsidP="00202967">
      <w:pPr>
        <w:rPr>
          <w:lang w:eastAsia="ja-JP"/>
        </w:rPr>
      </w:pPr>
      <w:r>
        <w:rPr>
          <w:lang w:eastAsia="ja-JP"/>
        </w:rPr>
        <w:t xml:space="preserve">The RFCS is often </w:t>
      </w:r>
      <w:r w:rsidR="00891181">
        <w:rPr>
          <w:lang w:eastAsia="ja-JP"/>
        </w:rPr>
        <w:t>c</w:t>
      </w:r>
      <w:r w:rsidR="006C67AC">
        <w:rPr>
          <w:lang w:eastAsia="ja-JP"/>
        </w:rPr>
        <w:t>onsidered to be well</w:t>
      </w:r>
      <w:r w:rsidR="006A3FBE">
        <w:rPr>
          <w:lang w:eastAsia="ja-JP"/>
        </w:rPr>
        <w:t xml:space="preserve"> </w:t>
      </w:r>
      <w:r w:rsidR="006C67AC">
        <w:rPr>
          <w:lang w:eastAsia="ja-JP"/>
        </w:rPr>
        <w:t xml:space="preserve">placed to </w:t>
      </w:r>
      <w:r w:rsidR="009F1212">
        <w:rPr>
          <w:lang w:eastAsia="ja-JP"/>
        </w:rPr>
        <w:t xml:space="preserve">support delivery of </w:t>
      </w:r>
      <w:r>
        <w:rPr>
          <w:lang w:eastAsia="ja-JP"/>
        </w:rPr>
        <w:t>new programs for government</w:t>
      </w:r>
      <w:r w:rsidR="002D6969">
        <w:rPr>
          <w:lang w:eastAsia="ja-JP"/>
        </w:rPr>
        <w:t>s</w:t>
      </w:r>
      <w:r>
        <w:rPr>
          <w:lang w:eastAsia="ja-JP"/>
        </w:rPr>
        <w:t xml:space="preserve">. </w:t>
      </w:r>
      <w:r w:rsidR="00CE0B86">
        <w:rPr>
          <w:lang w:eastAsia="ja-JP"/>
        </w:rPr>
        <w:t>Governments</w:t>
      </w:r>
      <w:r>
        <w:rPr>
          <w:lang w:eastAsia="ja-JP"/>
        </w:rPr>
        <w:t xml:space="preserve"> </w:t>
      </w:r>
      <w:r w:rsidR="00D7446F">
        <w:rPr>
          <w:lang w:eastAsia="ja-JP"/>
        </w:rPr>
        <w:t>should</w:t>
      </w:r>
      <w:r w:rsidR="002E5B81">
        <w:rPr>
          <w:lang w:eastAsia="ja-JP"/>
        </w:rPr>
        <w:t xml:space="preserve"> be mindful of the additional burden being placed on </w:t>
      </w:r>
      <w:r w:rsidR="009A1D37">
        <w:rPr>
          <w:lang w:eastAsia="ja-JP"/>
        </w:rPr>
        <w:t>service</w:t>
      </w:r>
      <w:r w:rsidR="002E5B81">
        <w:rPr>
          <w:lang w:eastAsia="ja-JP"/>
        </w:rPr>
        <w:t xml:space="preserve"> providers</w:t>
      </w:r>
      <w:r w:rsidR="006A3FBE">
        <w:rPr>
          <w:lang w:eastAsia="ja-JP"/>
        </w:rPr>
        <w:t xml:space="preserve"> and</w:t>
      </w:r>
      <w:r w:rsidR="002E5B81">
        <w:rPr>
          <w:lang w:eastAsia="ja-JP"/>
        </w:rPr>
        <w:t xml:space="preserve"> ensur</w:t>
      </w:r>
      <w:r w:rsidR="006A3FBE">
        <w:rPr>
          <w:lang w:eastAsia="ja-JP"/>
        </w:rPr>
        <w:t>e</w:t>
      </w:r>
      <w:r w:rsidR="002E5B81">
        <w:rPr>
          <w:lang w:eastAsia="ja-JP"/>
        </w:rPr>
        <w:t xml:space="preserve"> that appropriate funding is </w:t>
      </w:r>
      <w:r w:rsidR="00CF3EC6">
        <w:rPr>
          <w:lang w:eastAsia="ja-JP"/>
        </w:rPr>
        <w:t xml:space="preserve">allocated </w:t>
      </w:r>
      <w:r w:rsidR="002E5B81">
        <w:rPr>
          <w:lang w:eastAsia="ja-JP"/>
        </w:rPr>
        <w:t>to support</w:t>
      </w:r>
      <w:r w:rsidR="001231E2">
        <w:rPr>
          <w:lang w:eastAsia="ja-JP"/>
        </w:rPr>
        <w:t xml:space="preserve"> any broadening in the scope of RFCS activities</w:t>
      </w:r>
      <w:r w:rsidR="00CF3EC6">
        <w:rPr>
          <w:lang w:eastAsia="ja-JP"/>
        </w:rPr>
        <w:t xml:space="preserve"> </w:t>
      </w:r>
      <w:r w:rsidR="0078752F">
        <w:rPr>
          <w:lang w:eastAsia="ja-JP"/>
        </w:rPr>
        <w:t xml:space="preserve">and any </w:t>
      </w:r>
      <w:r w:rsidR="00CF3EC6">
        <w:rPr>
          <w:lang w:eastAsia="ja-JP"/>
        </w:rPr>
        <w:t>unforeseen demand</w:t>
      </w:r>
      <w:r w:rsidR="001231E2">
        <w:rPr>
          <w:lang w:eastAsia="ja-JP"/>
        </w:rPr>
        <w:t xml:space="preserve">. The panel notes that </w:t>
      </w:r>
      <w:r w:rsidR="004D0F61">
        <w:rPr>
          <w:lang w:eastAsia="ja-JP"/>
        </w:rPr>
        <w:t>following the government’s drought assistance announcement</w:t>
      </w:r>
      <w:r>
        <w:rPr>
          <w:lang w:eastAsia="ja-JP"/>
        </w:rPr>
        <w:t xml:space="preserve"> on 5 August 2019, $5 million was added to the contingency fund to support </w:t>
      </w:r>
      <w:r w:rsidR="007F2D2D">
        <w:rPr>
          <w:lang w:eastAsia="ja-JP"/>
        </w:rPr>
        <w:t>RFCS</w:t>
      </w:r>
      <w:r w:rsidR="004D0F61">
        <w:rPr>
          <w:lang w:eastAsia="ja-JP"/>
        </w:rPr>
        <w:t>.</w:t>
      </w:r>
    </w:p>
    <w:p w14:paraId="23318699" w14:textId="0A654919" w:rsidR="00517F4E" w:rsidRPr="00293183" w:rsidRDefault="00293183" w:rsidP="00293183">
      <w:pPr>
        <w:pStyle w:val="BoxHeading"/>
      </w:pPr>
      <w:r>
        <w:t>Recommendation 11</w:t>
      </w:r>
    </w:p>
    <w:p w14:paraId="57E4AFF6" w14:textId="2D1DA3FB" w:rsidR="00836F54" w:rsidRDefault="00836F54" w:rsidP="00293183">
      <w:pPr>
        <w:pStyle w:val="BoxText"/>
      </w:pPr>
      <w:r w:rsidRPr="00293183">
        <w:t xml:space="preserve">That the formula to determine core funding per region at the commencement of the funding round </w:t>
      </w:r>
      <w:r w:rsidR="00D178AD" w:rsidRPr="00293183">
        <w:t>consider</w:t>
      </w:r>
      <w:r w:rsidR="001E56A9">
        <w:t>s</w:t>
      </w:r>
      <w:r w:rsidR="00D178AD" w:rsidRPr="00293183">
        <w:t xml:space="preserve"> </w:t>
      </w:r>
      <w:r w:rsidRPr="00293183">
        <w:t>recovery periods following</w:t>
      </w:r>
      <w:r w:rsidR="00D178AD" w:rsidRPr="00293183">
        <w:t xml:space="preserve"> </w:t>
      </w:r>
      <w:r w:rsidRPr="00293183">
        <w:t xml:space="preserve">climatic events and </w:t>
      </w:r>
      <w:r w:rsidRPr="00D71E73">
        <w:t>industry cris</w:t>
      </w:r>
      <w:r w:rsidR="00383A14" w:rsidRPr="00D71E73">
        <w:t>e</w:t>
      </w:r>
      <w:r w:rsidRPr="00D71E73">
        <w:t>s.</w:t>
      </w:r>
    </w:p>
    <w:p w14:paraId="66B659F4" w14:textId="03893FFB" w:rsidR="00293183" w:rsidRPr="00293183" w:rsidRDefault="00293183" w:rsidP="00293183">
      <w:pPr>
        <w:pStyle w:val="BoxHeading"/>
      </w:pPr>
      <w:r>
        <w:t>Recommendation 12</w:t>
      </w:r>
    </w:p>
    <w:p w14:paraId="7B3F45B5" w14:textId="5A2C2A62" w:rsidR="00836F54" w:rsidRPr="00293183" w:rsidRDefault="00836F54" w:rsidP="00293183">
      <w:pPr>
        <w:pStyle w:val="BoxText"/>
      </w:pPr>
      <w:r w:rsidRPr="00293183">
        <w:t>That new or expanding government programs</w:t>
      </w:r>
      <w:r w:rsidR="00383A14">
        <w:t xml:space="preserve"> that</w:t>
      </w:r>
      <w:r w:rsidRPr="00293183">
        <w:t xml:space="preserve"> leverage the RFCS provide adequate funding for </w:t>
      </w:r>
      <w:r w:rsidR="00383A14">
        <w:t xml:space="preserve">any expansion </w:t>
      </w:r>
      <w:r w:rsidRPr="00293183">
        <w:t>of the service.</w:t>
      </w:r>
    </w:p>
    <w:p w14:paraId="060C0F6D" w14:textId="661B3D89" w:rsidR="006B33D7" w:rsidRDefault="001E10D1" w:rsidP="00EF2381">
      <w:pPr>
        <w:pStyle w:val="Heading4"/>
        <w:numPr>
          <w:ilvl w:val="2"/>
          <w:numId w:val="12"/>
        </w:numPr>
        <w:rPr>
          <w:lang w:eastAsia="ja-JP"/>
        </w:rPr>
      </w:pPr>
      <w:r>
        <w:rPr>
          <w:lang w:eastAsia="ja-JP"/>
        </w:rPr>
        <w:lastRenderedPageBreak/>
        <w:t>Funding t</w:t>
      </w:r>
      <w:r w:rsidR="006B33D7">
        <w:rPr>
          <w:lang w:eastAsia="ja-JP"/>
        </w:rPr>
        <w:t>erm</w:t>
      </w:r>
    </w:p>
    <w:p w14:paraId="70431B40" w14:textId="6C1E3989" w:rsidR="00517F4E" w:rsidRDefault="006B33D7" w:rsidP="006B33D7">
      <w:pPr>
        <w:rPr>
          <w:lang w:eastAsia="ja-JP"/>
        </w:rPr>
      </w:pPr>
      <w:r>
        <w:rPr>
          <w:lang w:eastAsia="ja-JP"/>
        </w:rPr>
        <w:t>The current funding round</w:t>
      </w:r>
      <w:r w:rsidR="00CF3EC6">
        <w:rPr>
          <w:lang w:eastAsia="ja-JP"/>
        </w:rPr>
        <w:t xml:space="preserve"> </w:t>
      </w:r>
      <w:r>
        <w:rPr>
          <w:lang w:eastAsia="ja-JP"/>
        </w:rPr>
        <w:t xml:space="preserve">originally </w:t>
      </w:r>
      <w:r w:rsidR="00CF3EC6" w:rsidRPr="00F61EEE">
        <w:rPr>
          <w:lang w:eastAsia="ja-JP"/>
        </w:rPr>
        <w:t xml:space="preserve">covered </w:t>
      </w:r>
      <w:r w:rsidR="004E302B">
        <w:rPr>
          <w:lang w:eastAsia="ja-JP"/>
        </w:rPr>
        <w:t>3</w:t>
      </w:r>
      <w:r w:rsidR="004E302B" w:rsidRPr="00F61EEE">
        <w:rPr>
          <w:lang w:eastAsia="ja-JP"/>
        </w:rPr>
        <w:t xml:space="preserve"> </w:t>
      </w:r>
      <w:r w:rsidRPr="00F61EEE">
        <w:rPr>
          <w:lang w:eastAsia="ja-JP"/>
        </w:rPr>
        <w:t xml:space="preserve">and </w:t>
      </w:r>
      <w:r w:rsidR="005312E7" w:rsidRPr="00F61EEE">
        <w:rPr>
          <w:lang w:eastAsia="ja-JP"/>
        </w:rPr>
        <w:t xml:space="preserve">a </w:t>
      </w:r>
      <w:r w:rsidRPr="00F61EEE">
        <w:rPr>
          <w:lang w:eastAsia="ja-JP"/>
        </w:rPr>
        <w:t>quarter years,</w:t>
      </w:r>
      <w:r>
        <w:rPr>
          <w:lang w:eastAsia="ja-JP"/>
        </w:rPr>
        <w:t xml:space="preserve"> with an option to extend for a further year. Several providers suggest</w:t>
      </w:r>
      <w:r w:rsidR="00733671">
        <w:rPr>
          <w:lang w:eastAsia="ja-JP"/>
        </w:rPr>
        <w:t>ed</w:t>
      </w:r>
      <w:r>
        <w:rPr>
          <w:lang w:eastAsia="ja-JP"/>
        </w:rPr>
        <w:t xml:space="preserve"> that longer</w:t>
      </w:r>
      <w:r w:rsidR="00B32307">
        <w:rPr>
          <w:lang w:eastAsia="ja-JP"/>
        </w:rPr>
        <w:t>-</w:t>
      </w:r>
      <w:r>
        <w:rPr>
          <w:lang w:eastAsia="ja-JP"/>
        </w:rPr>
        <w:t>term contracts would provide more certainty for business planning and would facilitate longer staff contracts</w:t>
      </w:r>
      <w:r w:rsidR="00090B86">
        <w:rPr>
          <w:lang w:eastAsia="ja-JP"/>
        </w:rPr>
        <w:t>—</w:t>
      </w:r>
      <w:r>
        <w:rPr>
          <w:lang w:eastAsia="ja-JP"/>
        </w:rPr>
        <w:t>helping with attraction, retention and training of staff. Longer</w:t>
      </w:r>
      <w:r w:rsidR="00C67C2A">
        <w:rPr>
          <w:lang w:eastAsia="ja-JP"/>
        </w:rPr>
        <w:t>-</w:t>
      </w:r>
      <w:r>
        <w:rPr>
          <w:lang w:eastAsia="ja-JP"/>
        </w:rPr>
        <w:t>term</w:t>
      </w:r>
      <w:r w:rsidR="00090B86">
        <w:rPr>
          <w:lang w:eastAsia="ja-JP"/>
        </w:rPr>
        <w:t xml:space="preserve"> contract</w:t>
      </w:r>
      <w:r>
        <w:rPr>
          <w:lang w:eastAsia="ja-JP"/>
        </w:rPr>
        <w:t>s would also reduce government administration but would lock in the proposed fundi</w:t>
      </w:r>
      <w:r w:rsidR="006658A4">
        <w:rPr>
          <w:lang w:eastAsia="ja-JP"/>
        </w:rPr>
        <w:t>ng formula for a longer period.</w:t>
      </w:r>
    </w:p>
    <w:p w14:paraId="1E5C9578" w14:textId="0A5497F3" w:rsidR="006B33D7" w:rsidRPr="00F61EEE" w:rsidRDefault="006B33D7" w:rsidP="006B33D7">
      <w:pPr>
        <w:rPr>
          <w:lang w:eastAsia="ja-JP"/>
        </w:rPr>
      </w:pPr>
      <w:r>
        <w:rPr>
          <w:lang w:eastAsia="ja-JP"/>
        </w:rPr>
        <w:t>The capacity to roll over contracts for another funding period</w:t>
      </w:r>
      <w:r w:rsidR="00CF3EC6">
        <w:rPr>
          <w:lang w:eastAsia="ja-JP"/>
        </w:rPr>
        <w:t>,</w:t>
      </w:r>
      <w:r>
        <w:rPr>
          <w:lang w:eastAsia="ja-JP"/>
        </w:rPr>
        <w:t xml:space="preserve"> or part thereof, could provid</w:t>
      </w:r>
      <w:r w:rsidR="001E48D8">
        <w:rPr>
          <w:lang w:eastAsia="ja-JP"/>
        </w:rPr>
        <w:t>e</w:t>
      </w:r>
      <w:r>
        <w:rPr>
          <w:lang w:eastAsia="ja-JP"/>
        </w:rPr>
        <w:t xml:space="preserve"> stable service delivery and assist with supporting staff arrangements. </w:t>
      </w:r>
      <w:r w:rsidRPr="00D71E73">
        <w:rPr>
          <w:lang w:eastAsia="ja-JP"/>
        </w:rPr>
        <w:t xml:space="preserve">If there were concerns about the funding formula or program parameters it is likely that the government </w:t>
      </w:r>
      <w:r w:rsidR="00C67C2A">
        <w:rPr>
          <w:lang w:eastAsia="ja-JP"/>
        </w:rPr>
        <w:t>could consider a</w:t>
      </w:r>
      <w:r w:rsidRPr="00D71E73">
        <w:rPr>
          <w:lang w:eastAsia="ja-JP"/>
        </w:rPr>
        <w:t xml:space="preserve"> new competitive funding round for all service regions</w:t>
      </w:r>
      <w:r>
        <w:rPr>
          <w:lang w:eastAsia="ja-JP"/>
        </w:rPr>
        <w:t xml:space="preserve">. However, if there were concerns about the performance </w:t>
      </w:r>
      <w:r w:rsidRPr="00F61EEE">
        <w:rPr>
          <w:lang w:eastAsia="ja-JP"/>
        </w:rPr>
        <w:t xml:space="preserve">of one or more service providers, or the need </w:t>
      </w:r>
      <w:r w:rsidR="00180C80" w:rsidRPr="00F61EEE">
        <w:rPr>
          <w:lang w:eastAsia="ja-JP"/>
        </w:rPr>
        <w:t>to rationalise the number of service</w:t>
      </w:r>
      <w:r w:rsidRPr="00F61EEE">
        <w:rPr>
          <w:lang w:eastAsia="ja-JP"/>
        </w:rPr>
        <w:t xml:space="preserve"> regions, the government may </w:t>
      </w:r>
      <w:r w:rsidR="001E48D8">
        <w:rPr>
          <w:lang w:eastAsia="ja-JP"/>
        </w:rPr>
        <w:t>prefer</w:t>
      </w:r>
      <w:r w:rsidR="00C67C2A">
        <w:rPr>
          <w:lang w:eastAsia="ja-JP"/>
        </w:rPr>
        <w:t xml:space="preserve"> a</w:t>
      </w:r>
      <w:r w:rsidRPr="00F61EEE">
        <w:rPr>
          <w:lang w:eastAsia="ja-JP"/>
        </w:rPr>
        <w:t xml:space="preserve"> competitive funding round</w:t>
      </w:r>
      <w:r w:rsidR="00C67C2A">
        <w:rPr>
          <w:lang w:eastAsia="ja-JP"/>
        </w:rPr>
        <w:t xml:space="preserve"> only </w:t>
      </w:r>
      <w:r w:rsidRPr="00F61EEE">
        <w:rPr>
          <w:lang w:eastAsia="ja-JP"/>
        </w:rPr>
        <w:t>in certain regions</w:t>
      </w:r>
      <w:r w:rsidR="00021C39" w:rsidRPr="00F61EEE">
        <w:rPr>
          <w:lang w:eastAsia="ja-JP"/>
        </w:rPr>
        <w:t>. This would allow</w:t>
      </w:r>
      <w:r w:rsidR="003461A5" w:rsidRPr="00F61EEE">
        <w:rPr>
          <w:lang w:eastAsia="ja-JP"/>
        </w:rPr>
        <w:t xml:space="preserve"> deed</w:t>
      </w:r>
      <w:r w:rsidR="00021C39" w:rsidRPr="00F61EEE">
        <w:rPr>
          <w:lang w:eastAsia="ja-JP"/>
        </w:rPr>
        <w:t>s for unaffected regions to be rol</w:t>
      </w:r>
      <w:r w:rsidR="00063FCC" w:rsidRPr="00F61EEE">
        <w:rPr>
          <w:lang w:eastAsia="ja-JP"/>
        </w:rPr>
        <w:t>led over.</w:t>
      </w:r>
    </w:p>
    <w:p w14:paraId="60DEE2CD" w14:textId="4368348F" w:rsidR="006B33D7" w:rsidRPr="00293183" w:rsidRDefault="006B33D7" w:rsidP="00293183">
      <w:pPr>
        <w:pStyle w:val="BoxHeading"/>
      </w:pPr>
      <w:r w:rsidRPr="00293183">
        <w:t>Recommendation</w:t>
      </w:r>
      <w:r w:rsidR="00293183">
        <w:t xml:space="preserve"> 13</w:t>
      </w:r>
    </w:p>
    <w:p w14:paraId="219B7F0B" w14:textId="59D2C991" w:rsidR="00517F4E" w:rsidRPr="00293183" w:rsidRDefault="00836F54" w:rsidP="00293183">
      <w:pPr>
        <w:pStyle w:val="BoxText"/>
      </w:pPr>
      <w:r w:rsidRPr="00293183">
        <w:t xml:space="preserve">That the next funding round offers </w:t>
      </w:r>
      <w:r w:rsidR="00F3531A">
        <w:t xml:space="preserve">4-year </w:t>
      </w:r>
      <w:r w:rsidRPr="00293183">
        <w:t>contracts with options to roll over deeds in any or all regions.</w:t>
      </w:r>
    </w:p>
    <w:p w14:paraId="35C9CA8B" w14:textId="59796819" w:rsidR="002035FB" w:rsidRDefault="002035FB" w:rsidP="006B25D1">
      <w:pPr>
        <w:pStyle w:val="Heading2"/>
      </w:pPr>
      <w:bookmarkStart w:id="48" w:name="_Toc18328854"/>
      <w:r>
        <w:lastRenderedPageBreak/>
        <w:t>Service delivery</w:t>
      </w:r>
      <w:bookmarkEnd w:id="48"/>
    </w:p>
    <w:p w14:paraId="0E8208B6" w14:textId="63F9E8AC" w:rsidR="00126F66" w:rsidRDefault="00126F66" w:rsidP="00EF2381">
      <w:pPr>
        <w:pStyle w:val="Heading3"/>
        <w:numPr>
          <w:ilvl w:val="1"/>
          <w:numId w:val="12"/>
        </w:numPr>
        <w:rPr>
          <w:lang w:eastAsia="ja-JP"/>
        </w:rPr>
      </w:pPr>
      <w:bookmarkStart w:id="49" w:name="_Toc18328855"/>
      <w:r>
        <w:rPr>
          <w:lang w:eastAsia="ja-JP"/>
        </w:rPr>
        <w:t>Delivery models</w:t>
      </w:r>
      <w:bookmarkEnd w:id="49"/>
    </w:p>
    <w:p w14:paraId="706D653E" w14:textId="77777777" w:rsidR="00126F66" w:rsidRDefault="00126F66" w:rsidP="00EF2381">
      <w:pPr>
        <w:pStyle w:val="Heading4"/>
        <w:numPr>
          <w:ilvl w:val="2"/>
          <w:numId w:val="12"/>
        </w:numPr>
        <w:rPr>
          <w:lang w:eastAsia="ja-JP"/>
        </w:rPr>
      </w:pPr>
      <w:r>
        <w:rPr>
          <w:lang w:eastAsia="ja-JP"/>
        </w:rPr>
        <w:t>Client engagement</w:t>
      </w:r>
    </w:p>
    <w:p w14:paraId="32A7F827" w14:textId="4D3B7E20" w:rsidR="00517F4E" w:rsidRDefault="001E48D8" w:rsidP="00126F66">
      <w:pPr>
        <w:rPr>
          <w:lang w:eastAsia="ja-JP"/>
        </w:rPr>
      </w:pPr>
      <w:r>
        <w:rPr>
          <w:lang w:eastAsia="ja-JP"/>
        </w:rPr>
        <w:t>To m</w:t>
      </w:r>
      <w:r w:rsidR="00D70E8F">
        <w:rPr>
          <w:lang w:eastAsia="ja-JP"/>
        </w:rPr>
        <w:t>anag</w:t>
      </w:r>
      <w:r>
        <w:rPr>
          <w:lang w:eastAsia="ja-JP"/>
        </w:rPr>
        <w:t>e</w:t>
      </w:r>
      <w:r w:rsidR="00D70E8F">
        <w:rPr>
          <w:lang w:eastAsia="ja-JP"/>
        </w:rPr>
        <w:t xml:space="preserve"> consistently high levels of demand </w:t>
      </w:r>
      <w:r w:rsidR="00DA10D9">
        <w:rPr>
          <w:lang w:eastAsia="ja-JP"/>
        </w:rPr>
        <w:t>or</w:t>
      </w:r>
      <w:r w:rsidR="00D70E8F">
        <w:rPr>
          <w:lang w:eastAsia="ja-JP"/>
        </w:rPr>
        <w:t xml:space="preserve"> a potentially expanded role</w:t>
      </w:r>
      <w:r>
        <w:rPr>
          <w:lang w:eastAsia="ja-JP"/>
        </w:rPr>
        <w:t xml:space="preserve">, </w:t>
      </w:r>
      <w:r w:rsidR="00DB02F4">
        <w:rPr>
          <w:lang w:eastAsia="ja-JP"/>
        </w:rPr>
        <w:t xml:space="preserve">service </w:t>
      </w:r>
      <w:r w:rsidR="00D70E8F">
        <w:rPr>
          <w:lang w:eastAsia="ja-JP"/>
        </w:rPr>
        <w:t xml:space="preserve">providers </w:t>
      </w:r>
      <w:r>
        <w:rPr>
          <w:lang w:eastAsia="ja-JP"/>
        </w:rPr>
        <w:t xml:space="preserve">will need </w:t>
      </w:r>
      <w:r w:rsidR="00D70E8F">
        <w:rPr>
          <w:lang w:eastAsia="ja-JP"/>
        </w:rPr>
        <w:t xml:space="preserve">to consider </w:t>
      </w:r>
      <w:r w:rsidR="0004093B">
        <w:rPr>
          <w:lang w:eastAsia="ja-JP"/>
        </w:rPr>
        <w:t>delivery models that offer increased efficiency</w:t>
      </w:r>
      <w:r w:rsidR="00DB02F4">
        <w:rPr>
          <w:lang w:eastAsia="ja-JP"/>
        </w:rPr>
        <w:t xml:space="preserve">. </w:t>
      </w:r>
      <w:r w:rsidR="00DE4F49">
        <w:rPr>
          <w:lang w:eastAsia="ja-JP"/>
        </w:rPr>
        <w:t>The</w:t>
      </w:r>
      <w:r>
        <w:rPr>
          <w:lang w:eastAsia="ja-JP"/>
        </w:rPr>
        <w:t>y will also need to consider</w:t>
      </w:r>
      <w:r w:rsidR="00DE4F49">
        <w:rPr>
          <w:lang w:eastAsia="ja-JP"/>
        </w:rPr>
        <w:t xml:space="preserve"> </w:t>
      </w:r>
      <w:r>
        <w:rPr>
          <w:lang w:eastAsia="ja-JP"/>
        </w:rPr>
        <w:t xml:space="preserve">whether </w:t>
      </w:r>
      <w:r w:rsidR="00DE4F49">
        <w:rPr>
          <w:lang w:eastAsia="ja-JP"/>
        </w:rPr>
        <w:t xml:space="preserve">different </w:t>
      </w:r>
      <w:r w:rsidR="00820EC5">
        <w:rPr>
          <w:lang w:eastAsia="ja-JP"/>
        </w:rPr>
        <w:t xml:space="preserve">delivery models </w:t>
      </w:r>
      <w:r w:rsidR="00441F24">
        <w:rPr>
          <w:lang w:eastAsia="ja-JP"/>
        </w:rPr>
        <w:t xml:space="preserve">will </w:t>
      </w:r>
      <w:r w:rsidR="00E309FA">
        <w:rPr>
          <w:lang w:eastAsia="ja-JP"/>
        </w:rPr>
        <w:t>ensure positive</w:t>
      </w:r>
      <w:r w:rsidR="00DE4F49">
        <w:rPr>
          <w:lang w:eastAsia="ja-JP"/>
        </w:rPr>
        <w:t xml:space="preserve"> client outcomes.</w:t>
      </w:r>
    </w:p>
    <w:p w14:paraId="723C0842" w14:textId="63F11463" w:rsidR="00F6020F" w:rsidRPr="00202967" w:rsidRDefault="00F6020F" w:rsidP="00202967">
      <w:pPr>
        <w:pStyle w:val="Heading5"/>
        <w:rPr>
          <w:rStyle w:val="Strong"/>
          <w:b/>
          <w:bCs w:val="0"/>
        </w:rPr>
      </w:pPr>
      <w:r w:rsidRPr="004F2F31">
        <w:rPr>
          <w:rStyle w:val="Strong"/>
          <w:b/>
          <w:bCs w:val="0"/>
        </w:rPr>
        <w:t>One-o</w:t>
      </w:r>
      <w:r w:rsidR="00D70E8F" w:rsidRPr="004F2F31">
        <w:rPr>
          <w:rStyle w:val="Strong"/>
          <w:b/>
          <w:bCs w:val="0"/>
        </w:rPr>
        <w:t>n-one, face-to-face counselling</w:t>
      </w:r>
    </w:p>
    <w:p w14:paraId="03580D47" w14:textId="32E48969" w:rsidR="00517F4E" w:rsidRDefault="00441F24" w:rsidP="002F62C8">
      <w:pPr>
        <w:rPr>
          <w:lang w:eastAsia="ja-JP"/>
        </w:rPr>
      </w:pPr>
      <w:r>
        <w:rPr>
          <w:lang w:eastAsia="ja-JP"/>
        </w:rPr>
        <w:t>S</w:t>
      </w:r>
      <w:r w:rsidR="00B52098">
        <w:rPr>
          <w:lang w:eastAsia="ja-JP"/>
        </w:rPr>
        <w:t>ervice providers consistently expressed that one-on-one, face-to-face counselling</w:t>
      </w:r>
      <w:r w:rsidR="00B52098" w:rsidRPr="00B52098">
        <w:rPr>
          <w:lang w:eastAsia="ja-JP"/>
        </w:rPr>
        <w:t xml:space="preserve"> </w:t>
      </w:r>
      <w:r w:rsidR="00B52098">
        <w:rPr>
          <w:lang w:eastAsia="ja-JP"/>
        </w:rPr>
        <w:t xml:space="preserve">was </w:t>
      </w:r>
      <w:r w:rsidR="00496903">
        <w:rPr>
          <w:lang w:eastAsia="ja-JP"/>
        </w:rPr>
        <w:t xml:space="preserve">the </w:t>
      </w:r>
      <w:r w:rsidR="00B52098">
        <w:rPr>
          <w:lang w:eastAsia="ja-JP"/>
        </w:rPr>
        <w:t xml:space="preserve">most effective way to </w:t>
      </w:r>
      <w:r w:rsidR="002F62C8">
        <w:rPr>
          <w:lang w:eastAsia="ja-JP"/>
        </w:rPr>
        <w:t>engage</w:t>
      </w:r>
      <w:r w:rsidR="00860FCD">
        <w:rPr>
          <w:lang w:eastAsia="ja-JP"/>
        </w:rPr>
        <w:t xml:space="preserve"> </w:t>
      </w:r>
      <w:r w:rsidR="002F62C8">
        <w:rPr>
          <w:lang w:eastAsia="ja-JP"/>
        </w:rPr>
        <w:t xml:space="preserve">with </w:t>
      </w:r>
      <w:r w:rsidR="00D70E8F">
        <w:rPr>
          <w:lang w:eastAsia="ja-JP"/>
        </w:rPr>
        <w:t>case</w:t>
      </w:r>
      <w:r w:rsidR="00D724AF">
        <w:rPr>
          <w:lang w:eastAsia="ja-JP"/>
        </w:rPr>
        <w:t>-</w:t>
      </w:r>
      <w:r w:rsidR="00D70E8F">
        <w:rPr>
          <w:lang w:eastAsia="ja-JP"/>
        </w:rPr>
        <w:t xml:space="preserve">managed clients. </w:t>
      </w:r>
      <w:r w:rsidR="00496903">
        <w:rPr>
          <w:lang w:eastAsia="ja-JP"/>
        </w:rPr>
        <w:t>Developing a trusted relationship was c</w:t>
      </w:r>
      <w:r w:rsidR="002F62C8">
        <w:rPr>
          <w:lang w:eastAsia="ja-JP"/>
        </w:rPr>
        <w:t>ritical</w:t>
      </w:r>
      <w:r w:rsidR="00496903">
        <w:rPr>
          <w:lang w:eastAsia="ja-JP"/>
        </w:rPr>
        <w:t xml:space="preserve"> for the client to</w:t>
      </w:r>
      <w:r w:rsidR="002F62C8">
        <w:rPr>
          <w:lang w:eastAsia="ja-JP"/>
        </w:rPr>
        <w:t xml:space="preserve"> be able to</w:t>
      </w:r>
      <w:r w:rsidR="00496903">
        <w:rPr>
          <w:lang w:eastAsia="ja-JP"/>
        </w:rPr>
        <w:t xml:space="preserve"> share personal and financial </w:t>
      </w:r>
      <w:r w:rsidR="002F62C8">
        <w:rPr>
          <w:lang w:eastAsia="ja-JP"/>
        </w:rPr>
        <w:t>information</w:t>
      </w:r>
      <w:r w:rsidR="00496903">
        <w:rPr>
          <w:lang w:eastAsia="ja-JP"/>
        </w:rPr>
        <w:t xml:space="preserve"> </w:t>
      </w:r>
      <w:r w:rsidR="00FB2157">
        <w:rPr>
          <w:lang w:eastAsia="ja-JP"/>
        </w:rPr>
        <w:t xml:space="preserve">and </w:t>
      </w:r>
      <w:r w:rsidR="002364CF">
        <w:rPr>
          <w:lang w:eastAsia="ja-JP"/>
        </w:rPr>
        <w:t xml:space="preserve">for a counsellor to </w:t>
      </w:r>
      <w:r w:rsidR="00A41B5C">
        <w:rPr>
          <w:lang w:eastAsia="ja-JP"/>
        </w:rPr>
        <w:t>work with</w:t>
      </w:r>
      <w:r w:rsidR="002364CF">
        <w:rPr>
          <w:lang w:eastAsia="ja-JP"/>
        </w:rPr>
        <w:t xml:space="preserve"> them to </w:t>
      </w:r>
      <w:r w:rsidR="00147998">
        <w:rPr>
          <w:lang w:eastAsia="ja-JP"/>
        </w:rPr>
        <w:t>help them</w:t>
      </w:r>
      <w:r w:rsidR="002364CF">
        <w:rPr>
          <w:lang w:eastAsia="ja-JP"/>
        </w:rPr>
        <w:t xml:space="preserve"> understand their financial position. </w:t>
      </w:r>
      <w:r w:rsidR="008F7B7F">
        <w:rPr>
          <w:lang w:eastAsia="ja-JP"/>
        </w:rPr>
        <w:t>T</w:t>
      </w:r>
      <w:r w:rsidR="002364CF">
        <w:rPr>
          <w:lang w:eastAsia="ja-JP"/>
        </w:rPr>
        <w:t xml:space="preserve">he personal connection </w:t>
      </w:r>
      <w:r w:rsidR="008F7B7F">
        <w:rPr>
          <w:lang w:eastAsia="ja-JP"/>
        </w:rPr>
        <w:t>with</w:t>
      </w:r>
      <w:r w:rsidR="002364CF">
        <w:rPr>
          <w:lang w:eastAsia="ja-JP"/>
        </w:rPr>
        <w:t xml:space="preserve"> the counsellor was acknowledged to be </w:t>
      </w:r>
      <w:r w:rsidR="008F7B7F">
        <w:rPr>
          <w:lang w:eastAsia="ja-JP"/>
        </w:rPr>
        <w:t>essential</w:t>
      </w:r>
      <w:r w:rsidR="002364CF">
        <w:rPr>
          <w:lang w:eastAsia="ja-JP"/>
        </w:rPr>
        <w:t xml:space="preserve"> in </w:t>
      </w:r>
      <w:r w:rsidR="0004093B">
        <w:rPr>
          <w:lang w:eastAsia="ja-JP"/>
        </w:rPr>
        <w:t>guiding a case</w:t>
      </w:r>
      <w:r w:rsidR="00D724AF">
        <w:rPr>
          <w:lang w:eastAsia="ja-JP"/>
        </w:rPr>
        <w:t>-</w:t>
      </w:r>
      <w:r w:rsidR="0004093B">
        <w:rPr>
          <w:lang w:eastAsia="ja-JP"/>
        </w:rPr>
        <w:t>managed client</w:t>
      </w:r>
      <w:r w:rsidR="002364CF">
        <w:rPr>
          <w:lang w:eastAsia="ja-JP"/>
        </w:rPr>
        <w:t xml:space="preserve"> to identify options to improve their situation and to </w:t>
      </w:r>
      <w:r w:rsidR="008F7B7F">
        <w:rPr>
          <w:lang w:eastAsia="ja-JP"/>
        </w:rPr>
        <w:t xml:space="preserve">support </w:t>
      </w:r>
      <w:r w:rsidR="00DE6C77">
        <w:rPr>
          <w:lang w:eastAsia="ja-JP"/>
        </w:rPr>
        <w:t>them in</w:t>
      </w:r>
      <w:r w:rsidR="008F7B7F">
        <w:rPr>
          <w:lang w:eastAsia="ja-JP"/>
        </w:rPr>
        <w:t xml:space="preserve"> making</w:t>
      </w:r>
      <w:r w:rsidR="002364CF">
        <w:rPr>
          <w:lang w:eastAsia="ja-JP"/>
        </w:rPr>
        <w:t xml:space="preserve"> decisions.</w:t>
      </w:r>
    </w:p>
    <w:p w14:paraId="3FBDE726" w14:textId="6983DCDC" w:rsidR="00517F4E" w:rsidRDefault="00E2401D" w:rsidP="002F62C8">
      <w:pPr>
        <w:rPr>
          <w:lang w:eastAsia="ja-JP"/>
        </w:rPr>
      </w:pPr>
      <w:r>
        <w:rPr>
          <w:lang w:eastAsia="ja-JP"/>
        </w:rPr>
        <w:t>Most</w:t>
      </w:r>
      <w:r w:rsidR="00507D0E">
        <w:rPr>
          <w:lang w:eastAsia="ja-JP"/>
        </w:rPr>
        <w:t xml:space="preserve"> service providers had a policy of meeting face-to-face with case</w:t>
      </w:r>
      <w:r w:rsidR="00D724AF">
        <w:rPr>
          <w:lang w:eastAsia="ja-JP"/>
        </w:rPr>
        <w:t>-</w:t>
      </w:r>
      <w:r w:rsidR="00507D0E">
        <w:rPr>
          <w:lang w:eastAsia="ja-JP"/>
        </w:rPr>
        <w:t>managed clients whenever possible</w:t>
      </w:r>
      <w:r>
        <w:rPr>
          <w:lang w:eastAsia="ja-JP"/>
        </w:rPr>
        <w:t xml:space="preserve">, with a preference for </w:t>
      </w:r>
      <w:r w:rsidR="00441F24">
        <w:rPr>
          <w:lang w:eastAsia="ja-JP"/>
        </w:rPr>
        <w:t xml:space="preserve">meeting </w:t>
      </w:r>
      <w:r w:rsidRPr="00E57E2E">
        <w:rPr>
          <w:lang w:eastAsia="ja-JP"/>
        </w:rPr>
        <w:t>on</w:t>
      </w:r>
      <w:r w:rsidR="00C67C2A">
        <w:rPr>
          <w:lang w:eastAsia="ja-JP"/>
        </w:rPr>
        <w:t xml:space="preserve"> </w:t>
      </w:r>
      <w:r w:rsidRPr="00E57E2E">
        <w:rPr>
          <w:lang w:eastAsia="ja-JP"/>
        </w:rPr>
        <w:t>farm</w:t>
      </w:r>
      <w:r>
        <w:rPr>
          <w:lang w:eastAsia="ja-JP"/>
        </w:rPr>
        <w:t xml:space="preserve">. </w:t>
      </w:r>
      <w:r w:rsidR="004751CE">
        <w:rPr>
          <w:lang w:eastAsia="ja-JP"/>
        </w:rPr>
        <w:t>Some stakeholders</w:t>
      </w:r>
      <w:r w:rsidR="00507D0E">
        <w:rPr>
          <w:lang w:eastAsia="ja-JP"/>
        </w:rPr>
        <w:t xml:space="preserve"> suggested that once</w:t>
      </w:r>
      <w:r w:rsidR="004E1AB6">
        <w:rPr>
          <w:lang w:eastAsia="ja-JP"/>
        </w:rPr>
        <w:t xml:space="preserve"> a</w:t>
      </w:r>
      <w:r w:rsidR="00507D0E">
        <w:rPr>
          <w:lang w:eastAsia="ja-JP"/>
        </w:rPr>
        <w:t xml:space="preserve"> sufficien</w:t>
      </w:r>
      <w:r w:rsidR="004E1AB6">
        <w:rPr>
          <w:lang w:eastAsia="ja-JP"/>
        </w:rPr>
        <w:t xml:space="preserve">t relationship had formed, </w:t>
      </w:r>
      <w:r w:rsidR="00507D0E">
        <w:rPr>
          <w:lang w:eastAsia="ja-JP"/>
        </w:rPr>
        <w:t>more remote engagement methods (such as phone calls or video conferencing) could be just as effective.</w:t>
      </w:r>
    </w:p>
    <w:p w14:paraId="4C571086" w14:textId="77777777" w:rsidR="00517F4E" w:rsidRDefault="008426D7" w:rsidP="00202967">
      <w:pPr>
        <w:pStyle w:val="Heading5"/>
        <w:rPr>
          <w:rStyle w:val="Strong"/>
          <w:b/>
          <w:bCs w:val="0"/>
        </w:rPr>
      </w:pPr>
      <w:r w:rsidRPr="00202967">
        <w:rPr>
          <w:rStyle w:val="Strong"/>
          <w:b/>
          <w:bCs w:val="0"/>
        </w:rPr>
        <w:t>On-farm visits</w:t>
      </w:r>
    </w:p>
    <w:p w14:paraId="01713C2A" w14:textId="6DBAE33B" w:rsidR="00517F4E" w:rsidRDefault="008426D7" w:rsidP="008426D7">
      <w:pPr>
        <w:rPr>
          <w:lang w:eastAsia="ja-JP"/>
        </w:rPr>
      </w:pPr>
      <w:r w:rsidRPr="00D71E73">
        <w:rPr>
          <w:lang w:eastAsia="ja-JP"/>
        </w:rPr>
        <w:t xml:space="preserve">A majority of </w:t>
      </w:r>
      <w:r w:rsidR="0054100A" w:rsidRPr="00D71E73">
        <w:rPr>
          <w:lang w:eastAsia="ja-JP"/>
        </w:rPr>
        <w:t>counsellors</w:t>
      </w:r>
      <w:r w:rsidRPr="00D71E73">
        <w:rPr>
          <w:lang w:eastAsia="ja-JP"/>
        </w:rPr>
        <w:t xml:space="preserve"> reported</w:t>
      </w:r>
      <w:r w:rsidR="00703573" w:rsidRPr="00D71E73">
        <w:rPr>
          <w:lang w:eastAsia="ja-JP"/>
        </w:rPr>
        <w:t xml:space="preserve"> that</w:t>
      </w:r>
      <w:r w:rsidRPr="00D71E73">
        <w:rPr>
          <w:lang w:eastAsia="ja-JP"/>
        </w:rPr>
        <w:t xml:space="preserve"> conducting on-farm visits </w:t>
      </w:r>
      <w:r w:rsidR="00703573" w:rsidRPr="00D71E73">
        <w:rPr>
          <w:lang w:eastAsia="ja-JP"/>
        </w:rPr>
        <w:t>w</w:t>
      </w:r>
      <w:r w:rsidR="008F7B7F" w:rsidRPr="00D71E73">
        <w:rPr>
          <w:lang w:eastAsia="ja-JP"/>
        </w:rPr>
        <w:t xml:space="preserve">as an important </w:t>
      </w:r>
      <w:r w:rsidRPr="00D71E73">
        <w:rPr>
          <w:lang w:eastAsia="ja-JP"/>
        </w:rPr>
        <w:t>part of understanding and assisting</w:t>
      </w:r>
      <w:r w:rsidR="00703573" w:rsidRPr="00D71E73">
        <w:rPr>
          <w:lang w:eastAsia="ja-JP"/>
        </w:rPr>
        <w:t xml:space="preserve"> case</w:t>
      </w:r>
      <w:r w:rsidR="00D724AF" w:rsidRPr="00D71E73">
        <w:rPr>
          <w:lang w:eastAsia="ja-JP"/>
        </w:rPr>
        <w:t>-</w:t>
      </w:r>
      <w:r w:rsidR="00703573" w:rsidRPr="00D71E73">
        <w:rPr>
          <w:lang w:eastAsia="ja-JP"/>
        </w:rPr>
        <w:t>managed</w:t>
      </w:r>
      <w:r w:rsidRPr="00D71E73">
        <w:rPr>
          <w:lang w:eastAsia="ja-JP"/>
        </w:rPr>
        <w:t xml:space="preserve"> clients. The panel heard that being exposed to a client</w:t>
      </w:r>
      <w:r w:rsidR="00736B18" w:rsidRPr="00D71E73">
        <w:rPr>
          <w:lang w:eastAsia="ja-JP"/>
        </w:rPr>
        <w:t>'</w:t>
      </w:r>
      <w:r w:rsidRPr="00D71E73">
        <w:rPr>
          <w:lang w:eastAsia="ja-JP"/>
        </w:rPr>
        <w:t xml:space="preserve">s home, family and work environment </w:t>
      </w:r>
      <w:r w:rsidR="002364CF" w:rsidRPr="00D71E73">
        <w:rPr>
          <w:lang w:eastAsia="ja-JP"/>
        </w:rPr>
        <w:t>helped</w:t>
      </w:r>
      <w:r w:rsidRPr="00D71E73">
        <w:rPr>
          <w:lang w:eastAsia="ja-JP"/>
        </w:rPr>
        <w:t xml:space="preserve"> to develop trus</w:t>
      </w:r>
      <w:r w:rsidR="002364CF" w:rsidRPr="00D71E73">
        <w:rPr>
          <w:lang w:eastAsia="ja-JP"/>
        </w:rPr>
        <w:t xml:space="preserve">t </w:t>
      </w:r>
      <w:r w:rsidR="00703573" w:rsidRPr="00D71E73">
        <w:rPr>
          <w:lang w:eastAsia="ja-JP"/>
        </w:rPr>
        <w:t xml:space="preserve">and provided a more accurate picture of the state </w:t>
      </w:r>
      <w:r w:rsidR="00D71E73" w:rsidRPr="00D71E73">
        <w:rPr>
          <w:lang w:eastAsia="ja-JP"/>
        </w:rPr>
        <w:t xml:space="preserve">of </w:t>
      </w:r>
      <w:r w:rsidR="00703573" w:rsidRPr="00D71E73">
        <w:rPr>
          <w:lang w:eastAsia="ja-JP"/>
        </w:rPr>
        <w:t>the farm, family dynamics and</w:t>
      </w:r>
      <w:r w:rsidR="00D71E73" w:rsidRPr="00D71E73">
        <w:rPr>
          <w:lang w:eastAsia="ja-JP"/>
        </w:rPr>
        <w:t>—</w:t>
      </w:r>
      <w:r w:rsidR="00703573" w:rsidRPr="00D71E73">
        <w:rPr>
          <w:lang w:eastAsia="ja-JP"/>
        </w:rPr>
        <w:t>in many cases</w:t>
      </w:r>
      <w:r w:rsidR="00D71E73">
        <w:rPr>
          <w:lang w:eastAsia="ja-JP"/>
        </w:rPr>
        <w:t>—</w:t>
      </w:r>
      <w:r w:rsidR="00703573" w:rsidRPr="00D71E73">
        <w:rPr>
          <w:lang w:eastAsia="ja-JP"/>
        </w:rPr>
        <w:t>the</w:t>
      </w:r>
      <w:r w:rsidR="00D71E73">
        <w:rPr>
          <w:lang w:eastAsia="ja-JP"/>
        </w:rPr>
        <w:t xml:space="preserve"> client's</w:t>
      </w:r>
      <w:r w:rsidR="00703573" w:rsidRPr="00D71E73">
        <w:rPr>
          <w:lang w:eastAsia="ja-JP"/>
        </w:rPr>
        <w:t xml:space="preserve"> mental health. These underlying</w:t>
      </w:r>
      <w:r w:rsidR="006658A4" w:rsidRPr="00D71E73">
        <w:rPr>
          <w:lang w:eastAsia="ja-JP"/>
        </w:rPr>
        <w:t xml:space="preserve"> </w:t>
      </w:r>
      <w:r w:rsidR="00703573" w:rsidRPr="00D71E73">
        <w:rPr>
          <w:lang w:eastAsia="ja-JP"/>
        </w:rPr>
        <w:t xml:space="preserve">non-financial factors </w:t>
      </w:r>
      <w:r w:rsidR="00A41B5C" w:rsidRPr="00D71E73">
        <w:rPr>
          <w:lang w:eastAsia="ja-JP"/>
        </w:rPr>
        <w:t xml:space="preserve">influence the complexity of </w:t>
      </w:r>
      <w:r w:rsidR="004751CE" w:rsidRPr="00D71E73">
        <w:rPr>
          <w:lang w:eastAsia="ja-JP"/>
        </w:rPr>
        <w:t>a client</w:t>
      </w:r>
      <w:r w:rsidR="00736B18" w:rsidRPr="00D71E73">
        <w:rPr>
          <w:lang w:eastAsia="ja-JP"/>
        </w:rPr>
        <w:t>'</w:t>
      </w:r>
      <w:r w:rsidR="004751CE" w:rsidRPr="00D71E73">
        <w:rPr>
          <w:lang w:eastAsia="ja-JP"/>
        </w:rPr>
        <w:t xml:space="preserve">s </w:t>
      </w:r>
      <w:r w:rsidR="00A41B5C" w:rsidRPr="00D71E73">
        <w:rPr>
          <w:lang w:eastAsia="ja-JP"/>
        </w:rPr>
        <w:t>situation</w:t>
      </w:r>
      <w:r w:rsidR="004751CE" w:rsidRPr="00D71E73">
        <w:rPr>
          <w:lang w:eastAsia="ja-JP"/>
        </w:rPr>
        <w:t xml:space="preserve"> and </w:t>
      </w:r>
      <w:r w:rsidR="00A66C6D" w:rsidRPr="00D71E73">
        <w:rPr>
          <w:lang w:eastAsia="ja-JP"/>
        </w:rPr>
        <w:t>affect</w:t>
      </w:r>
      <w:r w:rsidR="004751CE" w:rsidRPr="00D71E73">
        <w:rPr>
          <w:lang w:eastAsia="ja-JP"/>
        </w:rPr>
        <w:t xml:space="preserve"> their</w:t>
      </w:r>
      <w:r w:rsidR="00A41B5C" w:rsidRPr="00D71E73">
        <w:rPr>
          <w:lang w:eastAsia="ja-JP"/>
        </w:rPr>
        <w:t xml:space="preserve"> </w:t>
      </w:r>
      <w:r w:rsidR="002E7B38" w:rsidRPr="00D71E73">
        <w:rPr>
          <w:lang w:eastAsia="ja-JP"/>
        </w:rPr>
        <w:t>c</w:t>
      </w:r>
      <w:r w:rsidR="00703573" w:rsidRPr="00D71E73">
        <w:rPr>
          <w:lang w:eastAsia="ja-JP"/>
        </w:rPr>
        <w:t xml:space="preserve">apacity to make </w:t>
      </w:r>
      <w:r w:rsidR="002E7B38" w:rsidRPr="00D71E73">
        <w:rPr>
          <w:lang w:eastAsia="ja-JP"/>
        </w:rPr>
        <w:t xml:space="preserve">positive </w:t>
      </w:r>
      <w:r w:rsidR="00703573" w:rsidRPr="00D71E73">
        <w:rPr>
          <w:lang w:eastAsia="ja-JP"/>
        </w:rPr>
        <w:t xml:space="preserve">decisions. </w:t>
      </w:r>
      <w:r w:rsidR="008F7B7F" w:rsidRPr="00D71E73">
        <w:rPr>
          <w:lang w:eastAsia="ja-JP"/>
        </w:rPr>
        <w:t xml:space="preserve">Some counsellors </w:t>
      </w:r>
      <w:r w:rsidR="002E7B38" w:rsidRPr="00D71E73">
        <w:rPr>
          <w:lang w:eastAsia="ja-JP"/>
        </w:rPr>
        <w:t xml:space="preserve">regretted </w:t>
      </w:r>
      <w:r w:rsidR="008F7B7F" w:rsidRPr="00D71E73">
        <w:rPr>
          <w:lang w:eastAsia="ja-JP"/>
        </w:rPr>
        <w:t>that they were unable to routinely engage face-to-face with clients, as they couldn</w:t>
      </w:r>
      <w:r w:rsidR="00736B18" w:rsidRPr="00D71E73">
        <w:rPr>
          <w:lang w:eastAsia="ja-JP"/>
        </w:rPr>
        <w:t>'</w:t>
      </w:r>
      <w:r w:rsidR="008F7B7F" w:rsidRPr="00D71E73">
        <w:rPr>
          <w:lang w:eastAsia="ja-JP"/>
        </w:rPr>
        <w:t xml:space="preserve">t </w:t>
      </w:r>
      <w:r w:rsidR="00147998" w:rsidRPr="00D71E73">
        <w:rPr>
          <w:lang w:eastAsia="ja-JP"/>
        </w:rPr>
        <w:t xml:space="preserve">always </w:t>
      </w:r>
      <w:r w:rsidR="008F7B7F" w:rsidRPr="00D71E73">
        <w:rPr>
          <w:lang w:eastAsia="ja-JP"/>
        </w:rPr>
        <w:t>afford the time to make on-farm visits</w:t>
      </w:r>
      <w:r w:rsidR="00A66C6D" w:rsidRPr="00D71E73">
        <w:rPr>
          <w:lang w:eastAsia="ja-JP"/>
        </w:rPr>
        <w:t xml:space="preserve"> due to</w:t>
      </w:r>
      <w:r w:rsidR="008F7B7F" w:rsidRPr="00D71E73">
        <w:rPr>
          <w:lang w:eastAsia="ja-JP"/>
        </w:rPr>
        <w:t xml:space="preserve"> high caseloads. It was their opinion that this </w:t>
      </w:r>
      <w:r w:rsidR="00147998" w:rsidRPr="00D71E73">
        <w:rPr>
          <w:lang w:eastAsia="ja-JP"/>
        </w:rPr>
        <w:t>did</w:t>
      </w:r>
      <w:r w:rsidR="00A41B5C" w:rsidRPr="00D71E73">
        <w:rPr>
          <w:lang w:eastAsia="ja-JP"/>
        </w:rPr>
        <w:t xml:space="preserve"> </w:t>
      </w:r>
      <w:r w:rsidR="00A66C6D" w:rsidRPr="00D71E73">
        <w:rPr>
          <w:lang w:eastAsia="ja-JP"/>
        </w:rPr>
        <w:t>affect</w:t>
      </w:r>
      <w:r w:rsidR="008F7B7F" w:rsidRPr="00D71E73">
        <w:rPr>
          <w:lang w:eastAsia="ja-JP"/>
        </w:rPr>
        <w:t xml:space="preserve"> client outcomes</w:t>
      </w:r>
      <w:r w:rsidR="002E7B38" w:rsidRPr="00D71E73">
        <w:rPr>
          <w:lang w:eastAsia="ja-JP"/>
        </w:rPr>
        <w:t>, particularly for case</w:t>
      </w:r>
      <w:r w:rsidR="00D724AF" w:rsidRPr="00D71E73">
        <w:rPr>
          <w:lang w:eastAsia="ja-JP"/>
        </w:rPr>
        <w:t>-</w:t>
      </w:r>
      <w:r w:rsidR="002E7B38" w:rsidRPr="00D71E73">
        <w:rPr>
          <w:lang w:eastAsia="ja-JP"/>
        </w:rPr>
        <w:t>managed clients</w:t>
      </w:r>
      <w:r w:rsidR="008F7B7F" w:rsidRPr="00D71E73">
        <w:rPr>
          <w:lang w:eastAsia="ja-JP"/>
        </w:rPr>
        <w:t>.</w:t>
      </w:r>
    </w:p>
    <w:p w14:paraId="3E97F6A2" w14:textId="56FF2701" w:rsidR="008426D7" w:rsidRDefault="00A66C6D" w:rsidP="008426D7">
      <w:pPr>
        <w:rPr>
          <w:lang w:eastAsia="ja-JP"/>
        </w:rPr>
      </w:pPr>
      <w:r>
        <w:rPr>
          <w:lang w:eastAsia="ja-JP"/>
        </w:rPr>
        <w:t>Service providers recognised the importance of c</w:t>
      </w:r>
      <w:r w:rsidR="008426D7">
        <w:rPr>
          <w:lang w:eastAsia="ja-JP"/>
        </w:rPr>
        <w:t>ounsellor welfare for on-farm visits</w:t>
      </w:r>
      <w:r>
        <w:rPr>
          <w:lang w:eastAsia="ja-JP"/>
        </w:rPr>
        <w:t xml:space="preserve">, </w:t>
      </w:r>
      <w:r w:rsidR="00A41B5C">
        <w:rPr>
          <w:lang w:eastAsia="ja-JP"/>
        </w:rPr>
        <w:t xml:space="preserve">with a focus on training </w:t>
      </w:r>
      <w:r w:rsidR="008426D7">
        <w:rPr>
          <w:lang w:eastAsia="ja-JP"/>
        </w:rPr>
        <w:t>and systems to mitigate risks to personal safety.</w:t>
      </w:r>
    </w:p>
    <w:p w14:paraId="40F4AB9C" w14:textId="77777777" w:rsidR="00517F4E" w:rsidRDefault="008426D7" w:rsidP="004F2F31">
      <w:pPr>
        <w:pStyle w:val="Heading5"/>
        <w:rPr>
          <w:rStyle w:val="Strong"/>
          <w:b/>
          <w:bCs w:val="0"/>
        </w:rPr>
      </w:pPr>
      <w:r w:rsidRPr="004F2F31">
        <w:rPr>
          <w:rStyle w:val="Strong"/>
          <w:b/>
          <w:bCs w:val="0"/>
        </w:rPr>
        <w:t>Alternative approaches</w:t>
      </w:r>
    </w:p>
    <w:p w14:paraId="0EFF8B1C" w14:textId="43B19414" w:rsidR="00517F4E" w:rsidRDefault="007F3139" w:rsidP="00C92753">
      <w:pPr>
        <w:rPr>
          <w:lang w:eastAsia="ja-JP"/>
        </w:rPr>
      </w:pPr>
      <w:r>
        <w:rPr>
          <w:lang w:eastAsia="ja-JP"/>
        </w:rPr>
        <w:t xml:space="preserve">Despite the benefits of </w:t>
      </w:r>
      <w:r w:rsidR="00992B85">
        <w:rPr>
          <w:lang w:eastAsia="ja-JP"/>
        </w:rPr>
        <w:t xml:space="preserve">traditional </w:t>
      </w:r>
      <w:r>
        <w:rPr>
          <w:lang w:eastAsia="ja-JP"/>
        </w:rPr>
        <w:t>one-on-one, face</w:t>
      </w:r>
      <w:r w:rsidR="002E7B38">
        <w:rPr>
          <w:lang w:eastAsia="ja-JP"/>
        </w:rPr>
        <w:t>-</w:t>
      </w:r>
      <w:r>
        <w:rPr>
          <w:lang w:eastAsia="ja-JP"/>
        </w:rPr>
        <w:t>to</w:t>
      </w:r>
      <w:r w:rsidR="002E7B38">
        <w:rPr>
          <w:lang w:eastAsia="ja-JP"/>
        </w:rPr>
        <w:t>-</w:t>
      </w:r>
      <w:r>
        <w:rPr>
          <w:lang w:eastAsia="ja-JP"/>
        </w:rPr>
        <w:t xml:space="preserve">face counselling for clients, </w:t>
      </w:r>
      <w:r w:rsidR="00147998">
        <w:rPr>
          <w:lang w:eastAsia="ja-JP"/>
        </w:rPr>
        <w:t>alternative methods of engagement</w:t>
      </w:r>
      <w:r w:rsidR="002E7B38">
        <w:rPr>
          <w:lang w:eastAsia="ja-JP"/>
        </w:rPr>
        <w:t xml:space="preserve"> </w:t>
      </w:r>
      <w:r w:rsidR="00C67C2A">
        <w:rPr>
          <w:lang w:eastAsia="ja-JP"/>
        </w:rPr>
        <w:t>should be considered to</w:t>
      </w:r>
      <w:r w:rsidR="002E7B38">
        <w:rPr>
          <w:lang w:eastAsia="ja-JP"/>
        </w:rPr>
        <w:t xml:space="preserve"> create</w:t>
      </w:r>
      <w:r w:rsidR="00147998">
        <w:rPr>
          <w:lang w:eastAsia="ja-JP"/>
        </w:rPr>
        <w:t xml:space="preserve"> effi</w:t>
      </w:r>
      <w:r>
        <w:rPr>
          <w:lang w:eastAsia="ja-JP"/>
        </w:rPr>
        <w:t xml:space="preserve">ciencies </w:t>
      </w:r>
      <w:r w:rsidR="00C67C2A">
        <w:rPr>
          <w:lang w:eastAsia="ja-JP"/>
        </w:rPr>
        <w:t xml:space="preserve">in </w:t>
      </w:r>
      <w:r>
        <w:rPr>
          <w:lang w:eastAsia="ja-JP"/>
        </w:rPr>
        <w:t>progressing the broader client group</w:t>
      </w:r>
      <w:r w:rsidR="00C92753">
        <w:rPr>
          <w:lang w:eastAsia="ja-JP"/>
        </w:rPr>
        <w:t>.</w:t>
      </w:r>
    </w:p>
    <w:p w14:paraId="198F6EB3" w14:textId="7025DE5A" w:rsidR="00517F4E" w:rsidRDefault="00992B85" w:rsidP="00866B0C">
      <w:pPr>
        <w:rPr>
          <w:lang w:eastAsia="ja-JP"/>
        </w:rPr>
      </w:pPr>
      <w:r>
        <w:rPr>
          <w:lang w:eastAsia="ja-JP"/>
        </w:rPr>
        <w:t>T</w:t>
      </w:r>
      <w:r w:rsidR="007F3139">
        <w:rPr>
          <w:lang w:eastAsia="ja-JP"/>
        </w:rPr>
        <w:t xml:space="preserve">he use of </w:t>
      </w:r>
      <w:r>
        <w:rPr>
          <w:lang w:eastAsia="ja-JP"/>
        </w:rPr>
        <w:t>technology, such as</w:t>
      </w:r>
      <w:r w:rsidR="007F3139">
        <w:rPr>
          <w:lang w:eastAsia="ja-JP"/>
        </w:rPr>
        <w:t xml:space="preserve"> conducting meetings using platforms </w:t>
      </w:r>
      <w:r w:rsidR="00173439">
        <w:rPr>
          <w:lang w:eastAsia="ja-JP"/>
        </w:rPr>
        <w:t>like</w:t>
      </w:r>
      <w:r w:rsidR="007F3139">
        <w:rPr>
          <w:lang w:eastAsia="ja-JP"/>
        </w:rPr>
        <w:t xml:space="preserve"> </w:t>
      </w:r>
      <w:r w:rsidR="002E7B38">
        <w:rPr>
          <w:lang w:eastAsia="ja-JP"/>
        </w:rPr>
        <w:t xml:space="preserve">Skype </w:t>
      </w:r>
      <w:r w:rsidR="007F3139">
        <w:rPr>
          <w:lang w:eastAsia="ja-JP"/>
        </w:rPr>
        <w:t xml:space="preserve">or </w:t>
      </w:r>
      <w:r w:rsidR="002E7B38">
        <w:rPr>
          <w:lang w:eastAsia="ja-JP"/>
        </w:rPr>
        <w:t>Zoom</w:t>
      </w:r>
      <w:r>
        <w:rPr>
          <w:lang w:eastAsia="ja-JP"/>
        </w:rPr>
        <w:t>,</w:t>
      </w:r>
      <w:r w:rsidR="007F3139">
        <w:rPr>
          <w:lang w:eastAsia="ja-JP"/>
        </w:rPr>
        <w:t xml:space="preserve"> </w:t>
      </w:r>
      <w:r>
        <w:rPr>
          <w:lang w:eastAsia="ja-JP"/>
        </w:rPr>
        <w:t xml:space="preserve">provides opportunities to engage confidentially with clients </w:t>
      </w:r>
      <w:r w:rsidR="00173439">
        <w:rPr>
          <w:lang w:eastAsia="ja-JP"/>
        </w:rPr>
        <w:t>while</w:t>
      </w:r>
      <w:r>
        <w:rPr>
          <w:lang w:eastAsia="ja-JP"/>
        </w:rPr>
        <w:t xml:space="preserve"> </w:t>
      </w:r>
      <w:r w:rsidR="00725D0E">
        <w:rPr>
          <w:lang w:eastAsia="ja-JP"/>
        </w:rPr>
        <w:t>sav</w:t>
      </w:r>
      <w:r w:rsidR="00173439">
        <w:rPr>
          <w:lang w:eastAsia="ja-JP"/>
        </w:rPr>
        <w:t>ing</w:t>
      </w:r>
      <w:r w:rsidR="007F3139">
        <w:rPr>
          <w:lang w:eastAsia="ja-JP"/>
        </w:rPr>
        <w:t xml:space="preserve"> travel time</w:t>
      </w:r>
      <w:r>
        <w:rPr>
          <w:lang w:eastAsia="ja-JP"/>
        </w:rPr>
        <w:t xml:space="preserve">. </w:t>
      </w:r>
      <w:r w:rsidR="00173439">
        <w:rPr>
          <w:lang w:eastAsia="ja-JP"/>
        </w:rPr>
        <w:t>However, c</w:t>
      </w:r>
      <w:r w:rsidR="00725D0E">
        <w:rPr>
          <w:lang w:eastAsia="ja-JP"/>
        </w:rPr>
        <w:t>l</w:t>
      </w:r>
      <w:r>
        <w:rPr>
          <w:lang w:eastAsia="ja-JP"/>
        </w:rPr>
        <w:t>ients</w:t>
      </w:r>
      <w:r w:rsidR="00725D0E">
        <w:rPr>
          <w:lang w:eastAsia="ja-JP"/>
        </w:rPr>
        <w:t xml:space="preserve"> require</w:t>
      </w:r>
      <w:r>
        <w:rPr>
          <w:lang w:eastAsia="ja-JP"/>
        </w:rPr>
        <w:t xml:space="preserve"> access to</w:t>
      </w:r>
      <w:r w:rsidR="002E7B38">
        <w:rPr>
          <w:lang w:eastAsia="ja-JP"/>
        </w:rPr>
        <w:t>,</w:t>
      </w:r>
      <w:r>
        <w:rPr>
          <w:lang w:eastAsia="ja-JP"/>
        </w:rPr>
        <w:t xml:space="preserve"> and </w:t>
      </w:r>
      <w:r w:rsidR="002E7B38">
        <w:rPr>
          <w:lang w:eastAsia="ja-JP"/>
        </w:rPr>
        <w:t>an understanding of,</w:t>
      </w:r>
      <w:r>
        <w:rPr>
          <w:lang w:eastAsia="ja-JP"/>
        </w:rPr>
        <w:t xml:space="preserve"> </w:t>
      </w:r>
      <w:r w:rsidR="00725D0E">
        <w:rPr>
          <w:lang w:eastAsia="ja-JP"/>
        </w:rPr>
        <w:t xml:space="preserve">such </w:t>
      </w:r>
      <w:r>
        <w:rPr>
          <w:lang w:eastAsia="ja-JP"/>
        </w:rPr>
        <w:t>technology</w:t>
      </w:r>
      <w:r w:rsidR="002E7B38">
        <w:rPr>
          <w:lang w:eastAsia="ja-JP"/>
        </w:rPr>
        <w:t>. F</w:t>
      </w:r>
      <w:r w:rsidR="00725D0E">
        <w:rPr>
          <w:lang w:eastAsia="ja-JP"/>
        </w:rPr>
        <w:t xml:space="preserve">or </w:t>
      </w:r>
      <w:r w:rsidR="002E7B38">
        <w:rPr>
          <w:lang w:eastAsia="ja-JP"/>
        </w:rPr>
        <w:t xml:space="preserve">that </w:t>
      </w:r>
      <w:r w:rsidR="00725D0E">
        <w:rPr>
          <w:lang w:eastAsia="ja-JP"/>
        </w:rPr>
        <w:t>reason</w:t>
      </w:r>
      <w:r w:rsidR="002E7B38">
        <w:rPr>
          <w:lang w:eastAsia="ja-JP"/>
        </w:rPr>
        <w:t>, technology-based solutions</w:t>
      </w:r>
      <w:r w:rsidR="00725D0E">
        <w:rPr>
          <w:lang w:eastAsia="ja-JP"/>
        </w:rPr>
        <w:t xml:space="preserve"> </w:t>
      </w:r>
      <w:r>
        <w:rPr>
          <w:lang w:eastAsia="ja-JP"/>
        </w:rPr>
        <w:t>may not suit all clients</w:t>
      </w:r>
      <w:r w:rsidR="00173439">
        <w:rPr>
          <w:lang w:eastAsia="ja-JP"/>
        </w:rPr>
        <w:t>—</w:t>
      </w:r>
      <w:r>
        <w:rPr>
          <w:lang w:eastAsia="ja-JP"/>
        </w:rPr>
        <w:t>particularly those of an older generation, or w</w:t>
      </w:r>
      <w:r w:rsidR="00173439">
        <w:rPr>
          <w:lang w:eastAsia="ja-JP"/>
        </w:rPr>
        <w:t>ith a poor</w:t>
      </w:r>
      <w:r>
        <w:rPr>
          <w:lang w:eastAsia="ja-JP"/>
        </w:rPr>
        <w:t xml:space="preserve"> internet connecti</w:t>
      </w:r>
      <w:r w:rsidR="00173439">
        <w:rPr>
          <w:lang w:eastAsia="ja-JP"/>
        </w:rPr>
        <w:t>on</w:t>
      </w:r>
      <w:r>
        <w:rPr>
          <w:lang w:eastAsia="ja-JP"/>
        </w:rPr>
        <w:t xml:space="preserve">. Some </w:t>
      </w:r>
      <w:r w:rsidR="00591DFE">
        <w:rPr>
          <w:lang w:eastAsia="ja-JP"/>
        </w:rPr>
        <w:t>provider</w:t>
      </w:r>
      <w:r>
        <w:rPr>
          <w:lang w:eastAsia="ja-JP"/>
        </w:rPr>
        <w:t xml:space="preserve">s having been trialling these approaches with success, particularly in completing </w:t>
      </w:r>
      <w:r w:rsidR="001F00E5">
        <w:rPr>
          <w:lang w:eastAsia="ja-JP"/>
        </w:rPr>
        <w:t>FHA</w:t>
      </w:r>
      <w:r>
        <w:rPr>
          <w:lang w:eastAsia="ja-JP"/>
        </w:rPr>
        <w:t xml:space="preserve"> applications.</w:t>
      </w:r>
    </w:p>
    <w:p w14:paraId="03A0A91D" w14:textId="3A055197" w:rsidR="00C92753" w:rsidRDefault="00820EC5" w:rsidP="00866B0C">
      <w:pPr>
        <w:rPr>
          <w:lang w:eastAsia="ja-JP"/>
        </w:rPr>
      </w:pPr>
      <w:r>
        <w:rPr>
          <w:lang w:eastAsia="ja-JP"/>
        </w:rPr>
        <w:lastRenderedPageBreak/>
        <w:t xml:space="preserve">Group information sessions or workshops may </w:t>
      </w:r>
      <w:r w:rsidR="00E2401D">
        <w:rPr>
          <w:lang w:eastAsia="ja-JP"/>
        </w:rPr>
        <w:t xml:space="preserve">also </w:t>
      </w:r>
      <w:r w:rsidR="00173439">
        <w:rPr>
          <w:lang w:eastAsia="ja-JP"/>
        </w:rPr>
        <w:t>benefit</w:t>
      </w:r>
      <w:r>
        <w:rPr>
          <w:lang w:eastAsia="ja-JP"/>
        </w:rPr>
        <w:t xml:space="preserve"> clients </w:t>
      </w:r>
      <w:r w:rsidR="00173439">
        <w:rPr>
          <w:lang w:eastAsia="ja-JP"/>
        </w:rPr>
        <w:t>with</w:t>
      </w:r>
      <w:r>
        <w:rPr>
          <w:lang w:eastAsia="ja-JP"/>
        </w:rPr>
        <w:t xml:space="preserve"> common transactional needs</w:t>
      </w:r>
      <w:r w:rsidR="00A97385">
        <w:rPr>
          <w:lang w:eastAsia="ja-JP"/>
        </w:rPr>
        <w:t>. For example, those in a similar industry</w:t>
      </w:r>
      <w:r w:rsidR="00AA5872">
        <w:rPr>
          <w:lang w:eastAsia="ja-JP"/>
        </w:rPr>
        <w:t xml:space="preserve"> </w:t>
      </w:r>
      <w:r w:rsidR="00C67C2A">
        <w:rPr>
          <w:lang w:eastAsia="ja-JP"/>
        </w:rPr>
        <w:t xml:space="preserve">who </w:t>
      </w:r>
      <w:r w:rsidR="00A97385">
        <w:rPr>
          <w:lang w:eastAsia="ja-JP"/>
        </w:rPr>
        <w:t xml:space="preserve">have experienced a similar </w:t>
      </w:r>
      <w:r>
        <w:rPr>
          <w:lang w:eastAsia="ja-JP"/>
        </w:rPr>
        <w:t xml:space="preserve">climatic event or </w:t>
      </w:r>
      <w:r w:rsidR="00A97385">
        <w:rPr>
          <w:lang w:eastAsia="ja-JP"/>
        </w:rPr>
        <w:t>are</w:t>
      </w:r>
      <w:r>
        <w:rPr>
          <w:lang w:eastAsia="ja-JP"/>
        </w:rPr>
        <w:t xml:space="preserve"> interest</w:t>
      </w:r>
      <w:r w:rsidR="00A97385">
        <w:rPr>
          <w:lang w:eastAsia="ja-JP"/>
        </w:rPr>
        <w:t>ed</w:t>
      </w:r>
      <w:r>
        <w:rPr>
          <w:lang w:eastAsia="ja-JP"/>
        </w:rPr>
        <w:t xml:space="preserve"> in a </w:t>
      </w:r>
      <w:r w:rsidR="00A97385">
        <w:rPr>
          <w:lang w:eastAsia="ja-JP"/>
        </w:rPr>
        <w:t xml:space="preserve">particular </w:t>
      </w:r>
      <w:r>
        <w:rPr>
          <w:lang w:eastAsia="ja-JP"/>
        </w:rPr>
        <w:t xml:space="preserve">form of government assistance. </w:t>
      </w:r>
      <w:r w:rsidR="00A97385">
        <w:rPr>
          <w:lang w:eastAsia="ja-JP"/>
        </w:rPr>
        <w:t>Group</w:t>
      </w:r>
      <w:r>
        <w:rPr>
          <w:lang w:eastAsia="ja-JP"/>
        </w:rPr>
        <w:t xml:space="preserve"> format</w:t>
      </w:r>
      <w:r w:rsidR="00A97385">
        <w:rPr>
          <w:lang w:eastAsia="ja-JP"/>
        </w:rPr>
        <w:t>s</w:t>
      </w:r>
      <w:r>
        <w:rPr>
          <w:lang w:eastAsia="ja-JP"/>
        </w:rPr>
        <w:t xml:space="preserve"> </w:t>
      </w:r>
      <w:r w:rsidR="001E1A03">
        <w:rPr>
          <w:lang w:eastAsia="ja-JP"/>
        </w:rPr>
        <w:t xml:space="preserve">may </w:t>
      </w:r>
      <w:r>
        <w:rPr>
          <w:lang w:eastAsia="ja-JP"/>
        </w:rPr>
        <w:t xml:space="preserve">also be appropriate </w:t>
      </w:r>
      <w:r w:rsidR="001E1A03">
        <w:rPr>
          <w:lang w:eastAsia="ja-JP"/>
        </w:rPr>
        <w:t xml:space="preserve">for preparedness activities </w:t>
      </w:r>
      <w:r>
        <w:rPr>
          <w:lang w:eastAsia="ja-JP"/>
        </w:rPr>
        <w:t xml:space="preserve">such as developing financial literacy skills. While some counsellors were skilled and eager to </w:t>
      </w:r>
      <w:r w:rsidR="00837786">
        <w:rPr>
          <w:lang w:eastAsia="ja-JP"/>
        </w:rPr>
        <w:t xml:space="preserve">undertake this </w:t>
      </w:r>
      <w:r>
        <w:rPr>
          <w:lang w:eastAsia="ja-JP"/>
        </w:rPr>
        <w:t xml:space="preserve">work, others </w:t>
      </w:r>
      <w:r w:rsidR="00C92753">
        <w:rPr>
          <w:lang w:eastAsia="ja-JP"/>
        </w:rPr>
        <w:t>were more reserved about their capability and capacity to run s</w:t>
      </w:r>
      <w:r w:rsidR="00E2401D">
        <w:rPr>
          <w:lang w:eastAsia="ja-JP"/>
        </w:rPr>
        <w:t>uch</w:t>
      </w:r>
      <w:r w:rsidR="005749E8">
        <w:rPr>
          <w:lang w:eastAsia="ja-JP"/>
        </w:rPr>
        <w:t xml:space="preserve"> </w:t>
      </w:r>
      <w:r w:rsidR="002E7B38">
        <w:rPr>
          <w:lang w:eastAsia="ja-JP"/>
        </w:rPr>
        <w:t>event</w:t>
      </w:r>
      <w:r w:rsidR="001E1A03">
        <w:rPr>
          <w:lang w:eastAsia="ja-JP"/>
        </w:rPr>
        <w:t>s</w:t>
      </w:r>
      <w:r w:rsidR="002E7B38">
        <w:rPr>
          <w:lang w:eastAsia="ja-JP"/>
        </w:rPr>
        <w:t>. The</w:t>
      </w:r>
      <w:r w:rsidR="00390023">
        <w:rPr>
          <w:lang w:eastAsia="ja-JP"/>
        </w:rPr>
        <w:t>re</w:t>
      </w:r>
      <w:r w:rsidR="002E7B38">
        <w:rPr>
          <w:lang w:eastAsia="ja-JP"/>
        </w:rPr>
        <w:t xml:space="preserve"> were also concerns </w:t>
      </w:r>
      <w:r w:rsidR="00E2401D">
        <w:rPr>
          <w:lang w:eastAsia="ja-JP"/>
        </w:rPr>
        <w:t>about</w:t>
      </w:r>
      <w:r w:rsidR="00C92753">
        <w:rPr>
          <w:lang w:eastAsia="ja-JP"/>
        </w:rPr>
        <w:t xml:space="preserve"> uptake</w:t>
      </w:r>
      <w:r w:rsidR="002E7B38">
        <w:rPr>
          <w:lang w:eastAsia="ja-JP"/>
        </w:rPr>
        <w:t xml:space="preserve">, privacy of participants and whether group-based </w:t>
      </w:r>
      <w:r w:rsidR="00733671">
        <w:rPr>
          <w:lang w:eastAsia="ja-JP"/>
        </w:rPr>
        <w:t xml:space="preserve">sessions </w:t>
      </w:r>
      <w:r w:rsidR="002E7B38">
        <w:rPr>
          <w:lang w:eastAsia="ja-JP"/>
        </w:rPr>
        <w:t>could provide meaningful assistance to clients.</w:t>
      </w:r>
    </w:p>
    <w:p w14:paraId="5606FF84" w14:textId="4F5B98ED" w:rsidR="00F6020F" w:rsidRDefault="00C92753" w:rsidP="00866B0C">
      <w:pPr>
        <w:rPr>
          <w:lang w:eastAsia="ja-JP"/>
        </w:rPr>
      </w:pPr>
      <w:r>
        <w:rPr>
          <w:lang w:eastAsia="ja-JP"/>
        </w:rPr>
        <w:t xml:space="preserve">The stigma associated </w:t>
      </w:r>
      <w:r w:rsidRPr="00F61EEE">
        <w:rPr>
          <w:lang w:eastAsia="ja-JP"/>
        </w:rPr>
        <w:t>with</w:t>
      </w:r>
      <w:r w:rsidR="00517F4E">
        <w:rPr>
          <w:lang w:eastAsia="ja-JP"/>
        </w:rPr>
        <w:t xml:space="preserve"> </w:t>
      </w:r>
      <w:r w:rsidRPr="00F61EEE">
        <w:rPr>
          <w:lang w:eastAsia="ja-JP"/>
        </w:rPr>
        <w:t>counselling remains</w:t>
      </w:r>
      <w:r>
        <w:rPr>
          <w:lang w:eastAsia="ja-JP"/>
        </w:rPr>
        <w:t xml:space="preserve"> a </w:t>
      </w:r>
      <w:r w:rsidR="00BC3C5A">
        <w:rPr>
          <w:lang w:eastAsia="ja-JP"/>
        </w:rPr>
        <w:t xml:space="preserve">concern </w:t>
      </w:r>
      <w:r>
        <w:rPr>
          <w:lang w:eastAsia="ja-JP"/>
        </w:rPr>
        <w:t xml:space="preserve">for </w:t>
      </w:r>
      <w:r w:rsidR="00733671">
        <w:rPr>
          <w:lang w:eastAsia="ja-JP"/>
        </w:rPr>
        <w:t xml:space="preserve">some </w:t>
      </w:r>
      <w:r>
        <w:rPr>
          <w:lang w:eastAsia="ja-JP"/>
        </w:rPr>
        <w:t>delivery models</w:t>
      </w:r>
      <w:r w:rsidR="00837786">
        <w:rPr>
          <w:lang w:eastAsia="ja-JP"/>
        </w:rPr>
        <w:t>. C</w:t>
      </w:r>
      <w:r>
        <w:rPr>
          <w:lang w:eastAsia="ja-JP"/>
        </w:rPr>
        <w:t xml:space="preserve">lients </w:t>
      </w:r>
      <w:r w:rsidR="00837786">
        <w:rPr>
          <w:lang w:eastAsia="ja-JP"/>
        </w:rPr>
        <w:t xml:space="preserve">can be </w:t>
      </w:r>
      <w:r>
        <w:rPr>
          <w:lang w:eastAsia="ja-JP"/>
        </w:rPr>
        <w:t xml:space="preserve">reluctant to engage with the RFCS in a group or public setting. Despite this, the review panel heard that some </w:t>
      </w:r>
      <w:r w:rsidR="00591DFE">
        <w:rPr>
          <w:lang w:eastAsia="ja-JP"/>
        </w:rPr>
        <w:t xml:space="preserve">providers </w:t>
      </w:r>
      <w:r>
        <w:rPr>
          <w:lang w:eastAsia="ja-JP"/>
        </w:rPr>
        <w:t>have had success in assisting groups of transactional clients to complete assistance forms in a social environment</w:t>
      </w:r>
      <w:r w:rsidR="00837786">
        <w:rPr>
          <w:lang w:eastAsia="ja-JP"/>
        </w:rPr>
        <w:t>—</w:t>
      </w:r>
      <w:r w:rsidR="000412C7">
        <w:rPr>
          <w:lang w:eastAsia="ja-JP"/>
        </w:rPr>
        <w:t xml:space="preserve">for example, </w:t>
      </w:r>
      <w:r w:rsidR="00E2401D">
        <w:rPr>
          <w:lang w:eastAsia="ja-JP"/>
        </w:rPr>
        <w:t xml:space="preserve">completing </w:t>
      </w:r>
      <w:r w:rsidR="00693AA9">
        <w:rPr>
          <w:lang w:eastAsia="ja-JP"/>
        </w:rPr>
        <w:t xml:space="preserve">FHA forms </w:t>
      </w:r>
      <w:r w:rsidR="00E2401D">
        <w:rPr>
          <w:lang w:eastAsia="ja-JP"/>
        </w:rPr>
        <w:t xml:space="preserve">as a group </w:t>
      </w:r>
      <w:r>
        <w:rPr>
          <w:lang w:eastAsia="ja-JP"/>
        </w:rPr>
        <w:t xml:space="preserve">with morning tea from </w:t>
      </w:r>
      <w:r w:rsidR="00E2401D">
        <w:rPr>
          <w:lang w:eastAsia="ja-JP"/>
        </w:rPr>
        <w:t xml:space="preserve">the local </w:t>
      </w:r>
      <w:r>
        <w:rPr>
          <w:lang w:eastAsia="ja-JP"/>
        </w:rPr>
        <w:t xml:space="preserve">CWA. </w:t>
      </w:r>
      <w:r w:rsidR="00837786">
        <w:rPr>
          <w:lang w:eastAsia="ja-JP"/>
        </w:rPr>
        <w:t>C</w:t>
      </w:r>
      <w:r w:rsidR="0028000F">
        <w:rPr>
          <w:lang w:eastAsia="ja-JP"/>
        </w:rPr>
        <w:t>oncerns about</w:t>
      </w:r>
      <w:r w:rsidR="00693AA9">
        <w:rPr>
          <w:lang w:eastAsia="ja-JP"/>
        </w:rPr>
        <w:t xml:space="preserve"> stigma appeared variable</w:t>
      </w:r>
      <w:r w:rsidR="00837786">
        <w:rPr>
          <w:lang w:eastAsia="ja-JP"/>
        </w:rPr>
        <w:t>,</w:t>
      </w:r>
      <w:r w:rsidR="00693AA9">
        <w:rPr>
          <w:lang w:eastAsia="ja-JP"/>
        </w:rPr>
        <w:t xml:space="preserve"> with some counsellors reporting </w:t>
      </w:r>
      <w:r w:rsidR="00F6020F">
        <w:rPr>
          <w:lang w:eastAsia="ja-JP"/>
        </w:rPr>
        <w:t xml:space="preserve">that the issue is reducing in their particular region or </w:t>
      </w:r>
      <w:r>
        <w:rPr>
          <w:lang w:eastAsia="ja-JP"/>
        </w:rPr>
        <w:t>among</w:t>
      </w:r>
      <w:r w:rsidR="00F6020F">
        <w:rPr>
          <w:lang w:eastAsia="ja-JP"/>
        </w:rPr>
        <w:t xml:space="preserve"> certain demographics</w:t>
      </w:r>
      <w:r w:rsidR="00693AA9">
        <w:rPr>
          <w:lang w:eastAsia="ja-JP"/>
        </w:rPr>
        <w:t>.</w:t>
      </w:r>
    </w:p>
    <w:p w14:paraId="1046F8DE" w14:textId="48C301F0" w:rsidR="00843111" w:rsidRPr="00030820" w:rsidRDefault="00126F66" w:rsidP="00866B0C">
      <w:pPr>
        <w:rPr>
          <w:lang w:eastAsia="ja-JP"/>
        </w:rPr>
      </w:pPr>
      <w:r>
        <w:rPr>
          <w:lang w:eastAsia="ja-JP"/>
        </w:rPr>
        <w:t>The review</w:t>
      </w:r>
      <w:r w:rsidR="00052D61">
        <w:rPr>
          <w:lang w:eastAsia="ja-JP"/>
        </w:rPr>
        <w:t xml:space="preserve"> panel</w:t>
      </w:r>
      <w:r>
        <w:rPr>
          <w:lang w:eastAsia="ja-JP"/>
        </w:rPr>
        <w:t xml:space="preserve"> notes that while a positive association may have been created by </w:t>
      </w:r>
      <w:r w:rsidR="00693AA9">
        <w:rPr>
          <w:lang w:eastAsia="ja-JP"/>
        </w:rPr>
        <w:t xml:space="preserve">counsellor </w:t>
      </w:r>
      <w:r>
        <w:rPr>
          <w:lang w:eastAsia="ja-JP"/>
        </w:rPr>
        <w:t xml:space="preserve">interactions </w:t>
      </w:r>
      <w:r w:rsidR="00693AA9">
        <w:rPr>
          <w:lang w:eastAsia="ja-JP"/>
        </w:rPr>
        <w:t>in these alternative approaches,</w:t>
      </w:r>
      <w:r>
        <w:rPr>
          <w:lang w:eastAsia="ja-JP"/>
        </w:rPr>
        <w:t xml:space="preserve"> a trusted relationship </w:t>
      </w:r>
      <w:r w:rsidR="00693AA9">
        <w:rPr>
          <w:lang w:eastAsia="ja-JP"/>
        </w:rPr>
        <w:t>may</w:t>
      </w:r>
      <w:r>
        <w:rPr>
          <w:lang w:eastAsia="ja-JP"/>
        </w:rPr>
        <w:t xml:space="preserve"> not necessarily have been </w:t>
      </w:r>
      <w:r w:rsidR="00693AA9">
        <w:rPr>
          <w:lang w:eastAsia="ja-JP"/>
        </w:rPr>
        <w:t>formed. P</w:t>
      </w:r>
      <w:r w:rsidR="00843111">
        <w:rPr>
          <w:lang w:eastAsia="ja-JP"/>
        </w:rPr>
        <w:t xml:space="preserve">roactive work by </w:t>
      </w:r>
      <w:r w:rsidR="00693AA9">
        <w:rPr>
          <w:lang w:eastAsia="ja-JP"/>
        </w:rPr>
        <w:t>counsellors</w:t>
      </w:r>
      <w:r w:rsidR="00843111">
        <w:rPr>
          <w:lang w:eastAsia="ja-JP"/>
        </w:rPr>
        <w:t xml:space="preserve"> may be required to encourage </w:t>
      </w:r>
      <w:r w:rsidR="00693AA9">
        <w:rPr>
          <w:lang w:eastAsia="ja-JP"/>
        </w:rPr>
        <w:t>such</w:t>
      </w:r>
      <w:r w:rsidR="00843111">
        <w:rPr>
          <w:lang w:eastAsia="ja-JP"/>
        </w:rPr>
        <w:t xml:space="preserve"> </w:t>
      </w:r>
      <w:r>
        <w:rPr>
          <w:lang w:eastAsia="ja-JP"/>
        </w:rPr>
        <w:t>clients to</w:t>
      </w:r>
      <w:r w:rsidR="00843111">
        <w:rPr>
          <w:lang w:eastAsia="ja-JP"/>
        </w:rPr>
        <w:t xml:space="preserve"> consider </w:t>
      </w:r>
      <w:r w:rsidR="0028000F">
        <w:rPr>
          <w:lang w:eastAsia="ja-JP"/>
        </w:rPr>
        <w:t xml:space="preserve">one-on-one </w:t>
      </w:r>
      <w:r w:rsidR="00E2401D">
        <w:rPr>
          <w:lang w:eastAsia="ja-JP"/>
        </w:rPr>
        <w:t>case management where their</w:t>
      </w:r>
      <w:r w:rsidR="00843111">
        <w:rPr>
          <w:lang w:eastAsia="ja-JP"/>
        </w:rPr>
        <w:t xml:space="preserve"> broader financial situation </w:t>
      </w:r>
      <w:r w:rsidR="00E2401D">
        <w:rPr>
          <w:lang w:eastAsia="ja-JP"/>
        </w:rPr>
        <w:t>could be discussed confidentially</w:t>
      </w:r>
      <w:r w:rsidR="00F353CC">
        <w:rPr>
          <w:lang w:eastAsia="ja-JP"/>
        </w:rPr>
        <w:t>.</w:t>
      </w:r>
    </w:p>
    <w:p w14:paraId="5345B638" w14:textId="77777777" w:rsidR="002763FB" w:rsidRDefault="00837786" w:rsidP="00866B0C">
      <w:pPr>
        <w:rPr>
          <w:lang w:eastAsia="ja-JP"/>
        </w:rPr>
      </w:pPr>
      <w:r>
        <w:rPr>
          <w:lang w:eastAsia="ja-JP"/>
        </w:rPr>
        <w:t>A</w:t>
      </w:r>
      <w:r w:rsidR="00B15115">
        <w:rPr>
          <w:lang w:eastAsia="ja-JP"/>
        </w:rPr>
        <w:t>lthough a</w:t>
      </w:r>
      <w:r w:rsidR="00126F66" w:rsidRPr="00030820">
        <w:rPr>
          <w:lang w:eastAsia="ja-JP"/>
        </w:rPr>
        <w:t xml:space="preserve">lternative methods of delivery </w:t>
      </w:r>
      <w:r>
        <w:rPr>
          <w:lang w:eastAsia="ja-JP"/>
        </w:rPr>
        <w:t xml:space="preserve">can </w:t>
      </w:r>
      <w:r w:rsidR="00126F66" w:rsidRPr="00030820">
        <w:rPr>
          <w:lang w:eastAsia="ja-JP"/>
        </w:rPr>
        <w:t xml:space="preserve">be useful, </w:t>
      </w:r>
      <w:r w:rsidR="00693AA9" w:rsidRPr="00030820">
        <w:rPr>
          <w:lang w:eastAsia="ja-JP"/>
        </w:rPr>
        <w:t xml:space="preserve">they </w:t>
      </w:r>
      <w:r>
        <w:rPr>
          <w:lang w:eastAsia="ja-JP"/>
        </w:rPr>
        <w:t xml:space="preserve">may be </w:t>
      </w:r>
      <w:r w:rsidR="00126F66" w:rsidRPr="00030820">
        <w:rPr>
          <w:lang w:eastAsia="ja-JP"/>
        </w:rPr>
        <w:t xml:space="preserve">better suited to </w:t>
      </w:r>
      <w:r>
        <w:rPr>
          <w:lang w:eastAsia="ja-JP"/>
        </w:rPr>
        <w:t>servicing bulk transactional enquiries</w:t>
      </w:r>
      <w:r w:rsidRPr="00030820">
        <w:rPr>
          <w:lang w:eastAsia="ja-JP"/>
        </w:rPr>
        <w:t xml:space="preserve"> </w:t>
      </w:r>
      <w:r>
        <w:rPr>
          <w:lang w:eastAsia="ja-JP"/>
        </w:rPr>
        <w:t xml:space="preserve">or </w:t>
      </w:r>
      <w:r w:rsidR="00126F66" w:rsidRPr="00030820">
        <w:rPr>
          <w:lang w:eastAsia="ja-JP"/>
        </w:rPr>
        <w:t xml:space="preserve">preparedness </w:t>
      </w:r>
      <w:r w:rsidR="0033689A" w:rsidRPr="00030820">
        <w:rPr>
          <w:lang w:eastAsia="ja-JP"/>
        </w:rPr>
        <w:t>activities</w:t>
      </w:r>
      <w:r>
        <w:rPr>
          <w:lang w:eastAsia="ja-JP"/>
        </w:rPr>
        <w:t>—</w:t>
      </w:r>
      <w:r w:rsidR="00126F66" w:rsidRPr="00030820">
        <w:rPr>
          <w:lang w:eastAsia="ja-JP"/>
        </w:rPr>
        <w:t xml:space="preserve">targeting clients </w:t>
      </w:r>
      <w:r w:rsidR="006C2C3E">
        <w:rPr>
          <w:lang w:eastAsia="ja-JP"/>
        </w:rPr>
        <w:t>that are not yet experiencing financial hardship</w:t>
      </w:r>
      <w:r w:rsidR="00126F66" w:rsidRPr="00030820">
        <w:rPr>
          <w:lang w:eastAsia="ja-JP"/>
        </w:rPr>
        <w:t>.</w:t>
      </w:r>
      <w:r w:rsidR="00030820" w:rsidRPr="00030820">
        <w:rPr>
          <w:lang w:eastAsia="ja-JP"/>
        </w:rPr>
        <w:t xml:space="preserve"> </w:t>
      </w:r>
      <w:r w:rsidR="00394DCB">
        <w:rPr>
          <w:lang w:eastAsia="ja-JP"/>
        </w:rPr>
        <w:t>Service providers are encouraged to be innovative in their approaches to a</w:t>
      </w:r>
      <w:r w:rsidR="00725D0E" w:rsidRPr="00030820">
        <w:rPr>
          <w:lang w:eastAsia="ja-JP"/>
        </w:rPr>
        <w:t>lternative</w:t>
      </w:r>
      <w:r w:rsidR="00725D0E">
        <w:rPr>
          <w:lang w:eastAsia="ja-JP"/>
        </w:rPr>
        <w:t xml:space="preserve"> </w:t>
      </w:r>
      <w:r w:rsidR="006C2C3E">
        <w:rPr>
          <w:lang w:eastAsia="ja-JP"/>
        </w:rPr>
        <w:t xml:space="preserve">delivery methods </w:t>
      </w:r>
      <w:r w:rsidR="00725D0E">
        <w:rPr>
          <w:lang w:eastAsia="ja-JP"/>
        </w:rPr>
        <w:t>and the use of support staff</w:t>
      </w:r>
      <w:r w:rsidR="00394DCB">
        <w:rPr>
          <w:lang w:eastAsia="ja-JP"/>
        </w:rPr>
        <w:t>,</w:t>
      </w:r>
      <w:r w:rsidR="00030820">
        <w:rPr>
          <w:lang w:eastAsia="ja-JP"/>
        </w:rPr>
        <w:t xml:space="preserve"> to </w:t>
      </w:r>
      <w:r w:rsidR="00725D0E">
        <w:rPr>
          <w:lang w:eastAsia="ja-JP"/>
        </w:rPr>
        <w:t>free up trained counsellors to focus on case management.</w:t>
      </w:r>
    </w:p>
    <w:p w14:paraId="5D858928" w14:textId="03223B33" w:rsidR="00126F66" w:rsidRDefault="00126F66" w:rsidP="00EF2381">
      <w:pPr>
        <w:pStyle w:val="Heading4"/>
        <w:numPr>
          <w:ilvl w:val="2"/>
          <w:numId w:val="12"/>
        </w:numPr>
        <w:rPr>
          <w:lang w:eastAsia="ja-JP"/>
        </w:rPr>
      </w:pPr>
      <w:r>
        <w:rPr>
          <w:lang w:eastAsia="ja-JP"/>
        </w:rPr>
        <w:t>Case management approaches</w:t>
      </w:r>
    </w:p>
    <w:p w14:paraId="27686713" w14:textId="7F84EA72" w:rsidR="00DC002A" w:rsidRPr="00F61EEE" w:rsidRDefault="00DC002A" w:rsidP="00126F66">
      <w:r>
        <w:rPr>
          <w:lang w:eastAsia="ja-JP"/>
        </w:rPr>
        <w:t>S</w:t>
      </w:r>
      <w:r w:rsidR="00E97E7A">
        <w:rPr>
          <w:lang w:eastAsia="ja-JP"/>
        </w:rPr>
        <w:t>ince 2008, s</w:t>
      </w:r>
      <w:r>
        <w:rPr>
          <w:lang w:eastAsia="ja-JP"/>
        </w:rPr>
        <w:t>ervice provide</w:t>
      </w:r>
      <w:r w:rsidR="006C2C3E">
        <w:rPr>
          <w:lang w:eastAsia="ja-JP"/>
        </w:rPr>
        <w:t>r</w:t>
      </w:r>
      <w:r>
        <w:rPr>
          <w:lang w:eastAsia="ja-JP"/>
        </w:rPr>
        <w:t xml:space="preserve">s </w:t>
      </w:r>
      <w:r w:rsidR="00E97E7A">
        <w:rPr>
          <w:lang w:eastAsia="ja-JP"/>
        </w:rPr>
        <w:t xml:space="preserve">have been </w:t>
      </w:r>
      <w:r>
        <w:rPr>
          <w:lang w:eastAsia="ja-JP"/>
        </w:rPr>
        <w:t>expect</w:t>
      </w:r>
      <w:r w:rsidRPr="00DC002A">
        <w:rPr>
          <w:lang w:eastAsia="ja-JP"/>
        </w:rPr>
        <w:t xml:space="preserve">ed to </w:t>
      </w:r>
      <w:r w:rsidR="00394DCB">
        <w:rPr>
          <w:lang w:eastAsia="ja-JP"/>
        </w:rPr>
        <w:t>use</w:t>
      </w:r>
      <w:r w:rsidRPr="00DC002A">
        <w:rPr>
          <w:lang w:eastAsia="ja-JP"/>
        </w:rPr>
        <w:t xml:space="preserve"> </w:t>
      </w:r>
      <w:r w:rsidRPr="00DC002A">
        <w:t>a comprehensive case management approach</w:t>
      </w:r>
      <w:r>
        <w:t xml:space="preserve">. This was emphasised in the </w:t>
      </w:r>
      <w:r w:rsidR="00536984">
        <w:t>current program</w:t>
      </w:r>
      <w:r w:rsidR="00F13F30">
        <w:t xml:space="preserve"> </w:t>
      </w:r>
      <w:r>
        <w:t xml:space="preserve">guidelines and featured as part of the </w:t>
      </w:r>
      <w:r w:rsidR="00394DCB">
        <w:t xml:space="preserve">funding </w:t>
      </w:r>
      <w:r>
        <w:t xml:space="preserve">selection process. </w:t>
      </w:r>
      <w:r w:rsidR="006C2C3E">
        <w:t xml:space="preserve">Funding </w:t>
      </w:r>
      <w:r w:rsidR="003461A5">
        <w:t>d</w:t>
      </w:r>
      <w:r w:rsidR="006C2C3E">
        <w:t>eeds</w:t>
      </w:r>
      <w:r>
        <w:t xml:space="preserve"> do not mandate a nationally consistent approach to case management</w:t>
      </w:r>
      <w:r w:rsidR="00C94BA6">
        <w:t>.</w:t>
      </w:r>
      <w:r>
        <w:t xml:space="preserve"> Providers </w:t>
      </w:r>
      <w:r w:rsidR="00394DCB">
        <w:t>can</w:t>
      </w:r>
      <w:r>
        <w:t xml:space="preserve"> determine the most appropriate approach and tools for clients</w:t>
      </w:r>
      <w:r w:rsidR="006C2C3E">
        <w:t xml:space="preserve"> in their service area</w:t>
      </w:r>
      <w:r>
        <w:t>. It is</w:t>
      </w:r>
      <w:r w:rsidR="006C2C3E">
        <w:t>,</w:t>
      </w:r>
      <w:r>
        <w:t xml:space="preserve"> however</w:t>
      </w:r>
      <w:r w:rsidR="006C2C3E">
        <w:t>,</w:t>
      </w:r>
      <w:r>
        <w:t xml:space="preserve"> an objective of the program that a majority of clients will exit the service </w:t>
      </w:r>
      <w:r w:rsidRPr="00F61EEE">
        <w:t xml:space="preserve">within </w:t>
      </w:r>
      <w:r w:rsidR="00B6751D">
        <w:t>3</w:t>
      </w:r>
      <w:r w:rsidRPr="00F61EEE">
        <w:t xml:space="preserve"> years</w:t>
      </w:r>
      <w:r w:rsidR="00051B19">
        <w:t xml:space="preserve"> with a</w:t>
      </w:r>
      <w:r w:rsidRPr="00F61EEE">
        <w:t xml:space="preserve"> better understanding </w:t>
      </w:r>
      <w:r w:rsidR="00051B19">
        <w:t xml:space="preserve">of </w:t>
      </w:r>
      <w:r w:rsidRPr="00F61EEE">
        <w:t>their financial position and having achieved</w:t>
      </w:r>
      <w:r w:rsidR="0059757B">
        <w:t xml:space="preserve"> their goals towards</w:t>
      </w:r>
      <w:r w:rsidRPr="00F61EEE">
        <w:t xml:space="preserve"> financial self-sufficiency.</w:t>
      </w:r>
    </w:p>
    <w:p w14:paraId="66EBA28A" w14:textId="21CCB3A5" w:rsidR="00126F66" w:rsidRDefault="00DC002A" w:rsidP="00126F66">
      <w:pPr>
        <w:rPr>
          <w:lang w:eastAsia="ja-JP"/>
        </w:rPr>
      </w:pPr>
      <w:r w:rsidRPr="00F61EEE">
        <w:rPr>
          <w:lang w:eastAsia="ja-JP"/>
        </w:rPr>
        <w:t>The panel found various</w:t>
      </w:r>
      <w:r w:rsidR="00126F66" w:rsidRPr="00F61EEE">
        <w:rPr>
          <w:lang w:eastAsia="ja-JP"/>
        </w:rPr>
        <w:t xml:space="preserve"> approaches to service delivery and case management across regions</w:t>
      </w:r>
      <w:r w:rsidR="00051B19">
        <w:rPr>
          <w:lang w:eastAsia="ja-JP"/>
        </w:rPr>
        <w:t>—</w:t>
      </w:r>
      <w:r w:rsidR="00126F66" w:rsidRPr="00F61EEE">
        <w:rPr>
          <w:lang w:eastAsia="ja-JP"/>
        </w:rPr>
        <w:t>from structured methodical models applied consistently by all counsellors in a service region, to unstructured</w:t>
      </w:r>
      <w:r w:rsidR="00745579" w:rsidRPr="00F61EEE">
        <w:rPr>
          <w:lang w:eastAsia="ja-JP"/>
        </w:rPr>
        <w:t xml:space="preserve"> </w:t>
      </w:r>
      <w:r w:rsidR="00126F66" w:rsidRPr="00F61EEE">
        <w:rPr>
          <w:lang w:eastAsia="ja-JP"/>
        </w:rPr>
        <w:t>case</w:t>
      </w:r>
      <w:r w:rsidR="00126F66">
        <w:rPr>
          <w:lang w:eastAsia="ja-JP"/>
        </w:rPr>
        <w:t xml:space="preserve"> management applied flexibly </w:t>
      </w:r>
      <w:r w:rsidR="006C2C3E">
        <w:rPr>
          <w:lang w:eastAsia="ja-JP"/>
        </w:rPr>
        <w:t>by counsellors</w:t>
      </w:r>
      <w:r w:rsidR="00126F66">
        <w:rPr>
          <w:lang w:eastAsia="ja-JP"/>
        </w:rPr>
        <w:t>.</w:t>
      </w:r>
    </w:p>
    <w:p w14:paraId="15DDC9EC" w14:textId="6206A5FC" w:rsidR="00126F66" w:rsidRPr="0065068A" w:rsidRDefault="00165506" w:rsidP="00126F66">
      <w:pPr>
        <w:rPr>
          <w:lang w:eastAsia="ja-JP"/>
        </w:rPr>
      </w:pPr>
      <w:r>
        <w:rPr>
          <w:lang w:eastAsia="ja-JP"/>
        </w:rPr>
        <w:t>T</w:t>
      </w:r>
      <w:r w:rsidR="00126F66">
        <w:rPr>
          <w:lang w:eastAsia="ja-JP"/>
        </w:rPr>
        <w:t>here are benefits to flexibility in approaches to case management</w:t>
      </w:r>
      <w:r>
        <w:rPr>
          <w:lang w:eastAsia="ja-JP"/>
        </w:rPr>
        <w:t>. However</w:t>
      </w:r>
      <w:r w:rsidR="00126F66">
        <w:rPr>
          <w:lang w:eastAsia="ja-JP"/>
        </w:rPr>
        <w:t xml:space="preserve">, the panel observed </w:t>
      </w:r>
      <w:r w:rsidR="00126F66" w:rsidRPr="0086461F">
        <w:rPr>
          <w:lang w:eastAsia="ja-JP"/>
        </w:rPr>
        <w:t xml:space="preserve">service providers </w:t>
      </w:r>
      <w:r w:rsidR="0086461F" w:rsidRPr="0086461F">
        <w:rPr>
          <w:lang w:eastAsia="ja-JP"/>
        </w:rPr>
        <w:t>that</w:t>
      </w:r>
      <w:r w:rsidR="00126F66">
        <w:rPr>
          <w:lang w:eastAsia="ja-JP"/>
        </w:rPr>
        <w:t xml:space="preserve"> follow a formalised case management model </w:t>
      </w:r>
      <w:r>
        <w:rPr>
          <w:lang w:eastAsia="ja-JP"/>
        </w:rPr>
        <w:t xml:space="preserve">could </w:t>
      </w:r>
      <w:r w:rsidR="00126F66">
        <w:rPr>
          <w:lang w:eastAsia="ja-JP"/>
        </w:rPr>
        <w:t xml:space="preserve">more readily demonstrate a consistent approach to managing the progress of individual clients, as well as </w:t>
      </w:r>
      <w:r w:rsidR="006C2C3E" w:rsidRPr="0065068A">
        <w:rPr>
          <w:lang w:eastAsia="ja-JP"/>
        </w:rPr>
        <w:t xml:space="preserve">larger </w:t>
      </w:r>
      <w:r w:rsidR="00126F66" w:rsidRPr="0065068A">
        <w:rPr>
          <w:lang w:eastAsia="ja-JP"/>
        </w:rPr>
        <w:t xml:space="preserve">caseloads. </w:t>
      </w:r>
      <w:r>
        <w:rPr>
          <w:lang w:eastAsia="ja-JP"/>
        </w:rPr>
        <w:t xml:space="preserve">These service providers </w:t>
      </w:r>
      <w:r w:rsidR="00126F66" w:rsidRPr="0065068A">
        <w:rPr>
          <w:lang w:eastAsia="ja-JP"/>
        </w:rPr>
        <w:t xml:space="preserve">could also </w:t>
      </w:r>
      <w:r>
        <w:rPr>
          <w:lang w:eastAsia="ja-JP"/>
        </w:rPr>
        <w:t>show a</w:t>
      </w:r>
      <w:r w:rsidRPr="0065068A">
        <w:rPr>
          <w:lang w:eastAsia="ja-JP"/>
        </w:rPr>
        <w:t xml:space="preserve"> link </w:t>
      </w:r>
      <w:r w:rsidR="00126F66" w:rsidRPr="0065068A">
        <w:rPr>
          <w:lang w:eastAsia="ja-JP"/>
        </w:rPr>
        <w:t>from client activities and behavioural change to the program objectives and desired outcomes.</w:t>
      </w:r>
    </w:p>
    <w:p w14:paraId="19E0F69D" w14:textId="7C4221B3" w:rsidR="007152F9" w:rsidRPr="0065068A" w:rsidRDefault="00126F66" w:rsidP="0065068A">
      <w:pPr>
        <w:rPr>
          <w:lang w:eastAsia="ja-JP"/>
        </w:rPr>
      </w:pPr>
      <w:r w:rsidRPr="00331133">
        <w:rPr>
          <w:lang w:eastAsia="ja-JP"/>
        </w:rPr>
        <w:lastRenderedPageBreak/>
        <w:t>The panel considers that implementing formalised case management models within service regions could provide significant benefits, including structured and consistent client experience</w:t>
      </w:r>
      <w:r w:rsidR="008478F6" w:rsidRPr="0065068A">
        <w:rPr>
          <w:lang w:eastAsia="ja-JP"/>
        </w:rPr>
        <w:t>s</w:t>
      </w:r>
      <w:r w:rsidRPr="0065068A">
        <w:rPr>
          <w:lang w:eastAsia="ja-JP"/>
        </w:rPr>
        <w:t xml:space="preserve"> and </w:t>
      </w:r>
      <w:r w:rsidR="00AF724F" w:rsidRPr="0065068A">
        <w:rPr>
          <w:lang w:eastAsia="ja-JP"/>
        </w:rPr>
        <w:t xml:space="preserve">uniform </w:t>
      </w:r>
      <w:r w:rsidRPr="0065068A">
        <w:rPr>
          <w:lang w:eastAsia="ja-JP"/>
        </w:rPr>
        <w:t>staff development</w:t>
      </w:r>
      <w:r w:rsidR="00165506">
        <w:rPr>
          <w:lang w:eastAsia="ja-JP"/>
        </w:rPr>
        <w:t>—</w:t>
      </w:r>
      <w:r w:rsidRPr="0065068A">
        <w:rPr>
          <w:lang w:eastAsia="ja-JP"/>
        </w:rPr>
        <w:t>particularly for newly employed counsellors</w:t>
      </w:r>
      <w:r w:rsidR="007152F9" w:rsidRPr="0065068A">
        <w:rPr>
          <w:lang w:eastAsia="ja-JP"/>
        </w:rPr>
        <w:t>.</w:t>
      </w:r>
    </w:p>
    <w:p w14:paraId="78982498" w14:textId="10059A42" w:rsidR="00126F66" w:rsidRPr="0065068A" w:rsidRDefault="007152F9" w:rsidP="0065068A">
      <w:pPr>
        <w:rPr>
          <w:lang w:eastAsia="ja-JP"/>
        </w:rPr>
      </w:pPr>
      <w:r w:rsidRPr="0065068A">
        <w:rPr>
          <w:lang w:eastAsia="ja-JP"/>
        </w:rPr>
        <w:t>Consistent application of case management approaches could also be an appropriate service provider performance measure, as part of an improved monitoring and evaluation framework.</w:t>
      </w:r>
    </w:p>
    <w:p w14:paraId="7FC0CE74" w14:textId="4D85ABBA" w:rsidR="00126F66" w:rsidRDefault="00082A9C" w:rsidP="00126F66">
      <w:pPr>
        <w:rPr>
          <w:lang w:eastAsia="ja-JP"/>
        </w:rPr>
      </w:pPr>
      <w:r w:rsidRPr="00331133">
        <w:rPr>
          <w:lang w:eastAsia="ja-JP"/>
        </w:rPr>
        <w:t>I</w:t>
      </w:r>
      <w:r w:rsidR="00126F66" w:rsidRPr="00331133">
        <w:rPr>
          <w:lang w:eastAsia="ja-JP"/>
        </w:rPr>
        <w:t xml:space="preserve">mposing a </w:t>
      </w:r>
      <w:r w:rsidR="00DC002A" w:rsidRPr="00331133">
        <w:rPr>
          <w:lang w:eastAsia="ja-JP"/>
        </w:rPr>
        <w:t>national</w:t>
      </w:r>
      <w:r w:rsidR="006C2C3E" w:rsidRPr="00331133">
        <w:rPr>
          <w:lang w:eastAsia="ja-JP"/>
        </w:rPr>
        <w:t>,</w:t>
      </w:r>
      <w:r w:rsidR="00DC002A" w:rsidRPr="00331133">
        <w:rPr>
          <w:lang w:eastAsia="ja-JP"/>
        </w:rPr>
        <w:t xml:space="preserve"> </w:t>
      </w:r>
      <w:r w:rsidR="00126F66" w:rsidRPr="00331133">
        <w:rPr>
          <w:lang w:eastAsia="ja-JP"/>
        </w:rPr>
        <w:t>standardised case management</w:t>
      </w:r>
      <w:r w:rsidR="00126F66">
        <w:rPr>
          <w:lang w:eastAsia="ja-JP"/>
        </w:rPr>
        <w:t xml:space="preserve"> approach across all regions would not likely be feasible—</w:t>
      </w:r>
      <w:r w:rsidR="00165506">
        <w:rPr>
          <w:lang w:eastAsia="ja-JP"/>
        </w:rPr>
        <w:t xml:space="preserve">and may </w:t>
      </w:r>
      <w:r w:rsidR="00126F66">
        <w:rPr>
          <w:lang w:eastAsia="ja-JP"/>
        </w:rPr>
        <w:t xml:space="preserve">potentially </w:t>
      </w:r>
      <w:r w:rsidR="00165506">
        <w:rPr>
          <w:lang w:eastAsia="ja-JP"/>
        </w:rPr>
        <w:t xml:space="preserve">be </w:t>
      </w:r>
      <w:r w:rsidR="00126F66">
        <w:rPr>
          <w:lang w:eastAsia="ja-JP"/>
        </w:rPr>
        <w:t>disruptive</w:t>
      </w:r>
      <w:r w:rsidR="00FB13A3">
        <w:rPr>
          <w:lang w:eastAsia="ja-JP"/>
        </w:rPr>
        <w:t>—</w:t>
      </w:r>
      <w:r w:rsidR="00126F66">
        <w:rPr>
          <w:lang w:eastAsia="ja-JP"/>
        </w:rPr>
        <w:t>considering the effectiveness of well</w:t>
      </w:r>
      <w:r w:rsidR="00E97E7A">
        <w:rPr>
          <w:lang w:eastAsia="ja-JP"/>
        </w:rPr>
        <w:noBreakHyphen/>
      </w:r>
      <w:r w:rsidR="00126F66">
        <w:rPr>
          <w:lang w:eastAsia="ja-JP"/>
        </w:rPr>
        <w:t xml:space="preserve">established </w:t>
      </w:r>
      <w:r w:rsidR="006C2C3E">
        <w:rPr>
          <w:lang w:eastAsia="ja-JP"/>
        </w:rPr>
        <w:t>(</w:t>
      </w:r>
      <w:r w:rsidR="00126F66">
        <w:rPr>
          <w:lang w:eastAsia="ja-JP"/>
        </w:rPr>
        <w:t>albeit varied</w:t>
      </w:r>
      <w:r w:rsidR="006C2C3E">
        <w:rPr>
          <w:lang w:eastAsia="ja-JP"/>
        </w:rPr>
        <w:t>)</w:t>
      </w:r>
      <w:r w:rsidR="00126F66">
        <w:rPr>
          <w:lang w:eastAsia="ja-JP"/>
        </w:rPr>
        <w:t xml:space="preserve"> methodologies. Provider</w:t>
      </w:r>
      <w:r w:rsidR="00165506">
        <w:rPr>
          <w:lang w:eastAsia="ja-JP"/>
        </w:rPr>
        <w:t>s</w:t>
      </w:r>
      <w:r w:rsidR="00126F66">
        <w:rPr>
          <w:lang w:eastAsia="ja-JP"/>
        </w:rPr>
        <w:t xml:space="preserve"> indicate</w:t>
      </w:r>
      <w:r w:rsidR="00165506">
        <w:rPr>
          <w:lang w:eastAsia="ja-JP"/>
        </w:rPr>
        <w:t>d</w:t>
      </w:r>
      <w:r w:rsidR="00126F66">
        <w:rPr>
          <w:lang w:eastAsia="ja-JP"/>
        </w:rPr>
        <w:t xml:space="preserve"> that significant philosophical differences between providers was not the only factor </w:t>
      </w:r>
      <w:r w:rsidR="003965AB">
        <w:rPr>
          <w:lang w:eastAsia="ja-JP"/>
        </w:rPr>
        <w:t xml:space="preserve">affecting </w:t>
      </w:r>
      <w:r w:rsidR="00126F66">
        <w:rPr>
          <w:lang w:eastAsia="ja-JP"/>
        </w:rPr>
        <w:t>different approaches to case management</w:t>
      </w:r>
      <w:r w:rsidR="00FB13A3">
        <w:rPr>
          <w:lang w:eastAsia="ja-JP"/>
        </w:rPr>
        <w:t>. L</w:t>
      </w:r>
      <w:r w:rsidR="00126F66">
        <w:rPr>
          <w:lang w:eastAsia="ja-JP"/>
        </w:rPr>
        <w:t xml:space="preserve">ocal industries </w:t>
      </w:r>
      <w:r>
        <w:rPr>
          <w:lang w:eastAsia="ja-JP"/>
        </w:rPr>
        <w:t xml:space="preserve">and </w:t>
      </w:r>
      <w:r w:rsidR="00126F66">
        <w:rPr>
          <w:lang w:eastAsia="ja-JP"/>
        </w:rPr>
        <w:t xml:space="preserve">cultural differences between regions </w:t>
      </w:r>
      <w:r w:rsidR="003965AB">
        <w:rPr>
          <w:lang w:eastAsia="ja-JP"/>
        </w:rPr>
        <w:t xml:space="preserve">also affected </w:t>
      </w:r>
      <w:r w:rsidR="00126F66">
        <w:rPr>
          <w:lang w:eastAsia="ja-JP"/>
        </w:rPr>
        <w:t xml:space="preserve">the way clients engaged with their local </w:t>
      </w:r>
      <w:r w:rsidR="00FB13A3">
        <w:rPr>
          <w:lang w:eastAsia="ja-JP"/>
        </w:rPr>
        <w:t xml:space="preserve">provider </w:t>
      </w:r>
      <w:r w:rsidR="00126F66">
        <w:rPr>
          <w:lang w:eastAsia="ja-JP"/>
        </w:rPr>
        <w:t xml:space="preserve">and what approach </w:t>
      </w:r>
      <w:r>
        <w:rPr>
          <w:lang w:eastAsia="ja-JP"/>
        </w:rPr>
        <w:t>may be most effective.</w:t>
      </w:r>
      <w:r w:rsidR="00732EE6">
        <w:rPr>
          <w:lang w:eastAsia="ja-JP"/>
        </w:rPr>
        <w:t xml:space="preserve"> The panel </w:t>
      </w:r>
      <w:r w:rsidR="006C2C3E">
        <w:rPr>
          <w:lang w:eastAsia="ja-JP"/>
        </w:rPr>
        <w:t xml:space="preserve">is </w:t>
      </w:r>
      <w:r w:rsidR="00732EE6">
        <w:rPr>
          <w:lang w:eastAsia="ja-JP"/>
        </w:rPr>
        <w:t xml:space="preserve">of the view that there </w:t>
      </w:r>
      <w:r w:rsidR="006C2C3E">
        <w:rPr>
          <w:lang w:eastAsia="ja-JP"/>
        </w:rPr>
        <w:t xml:space="preserve">are </w:t>
      </w:r>
      <w:r w:rsidR="00732EE6">
        <w:rPr>
          <w:lang w:eastAsia="ja-JP"/>
        </w:rPr>
        <w:t xml:space="preserve">benefits in </w:t>
      </w:r>
      <w:r w:rsidR="006C2C3E">
        <w:rPr>
          <w:lang w:eastAsia="ja-JP"/>
        </w:rPr>
        <w:t xml:space="preserve">a </w:t>
      </w:r>
      <w:r w:rsidR="00732EE6">
        <w:rPr>
          <w:lang w:eastAsia="ja-JP"/>
        </w:rPr>
        <w:t>diversity</w:t>
      </w:r>
      <w:r w:rsidR="006C2C3E">
        <w:rPr>
          <w:lang w:eastAsia="ja-JP"/>
        </w:rPr>
        <w:t xml:space="preserve"> of case management methodologies. </w:t>
      </w:r>
      <w:r w:rsidR="00CF2BC5">
        <w:rPr>
          <w:lang w:eastAsia="ja-JP"/>
        </w:rPr>
        <w:t>B</w:t>
      </w:r>
      <w:r w:rsidR="00732EE6">
        <w:rPr>
          <w:lang w:eastAsia="ja-JP"/>
        </w:rPr>
        <w:t xml:space="preserve">oards and executive </w:t>
      </w:r>
      <w:r w:rsidR="006C2C3E">
        <w:rPr>
          <w:lang w:eastAsia="ja-JP"/>
        </w:rPr>
        <w:t xml:space="preserve">officers </w:t>
      </w:r>
      <w:r w:rsidR="00732EE6">
        <w:rPr>
          <w:lang w:eastAsia="ja-JP"/>
        </w:rPr>
        <w:t xml:space="preserve">need to own and drive </w:t>
      </w:r>
      <w:r w:rsidR="002233D8">
        <w:rPr>
          <w:lang w:eastAsia="ja-JP"/>
        </w:rPr>
        <w:t xml:space="preserve">consistency in </w:t>
      </w:r>
      <w:r w:rsidR="00732EE6">
        <w:rPr>
          <w:lang w:eastAsia="ja-JP"/>
        </w:rPr>
        <w:t>the methodology applied by their s</w:t>
      </w:r>
      <w:r w:rsidR="00063FCC">
        <w:rPr>
          <w:lang w:eastAsia="ja-JP"/>
        </w:rPr>
        <w:t>ervice for it to be effective.</w:t>
      </w:r>
    </w:p>
    <w:p w14:paraId="22BD466E" w14:textId="643B712D" w:rsidR="00126F66" w:rsidRDefault="00126F66" w:rsidP="00126F66">
      <w:pPr>
        <w:rPr>
          <w:lang w:eastAsia="ja-JP"/>
        </w:rPr>
      </w:pPr>
      <w:r>
        <w:rPr>
          <w:lang w:eastAsia="ja-JP"/>
        </w:rPr>
        <w:t xml:space="preserve">For service providers looking to develop or improve their formal methodologies, regions </w:t>
      </w:r>
      <w:r w:rsidR="00CF2BC5">
        <w:rPr>
          <w:lang w:eastAsia="ja-JP"/>
        </w:rPr>
        <w:t xml:space="preserve">were willing </w:t>
      </w:r>
      <w:r>
        <w:rPr>
          <w:lang w:eastAsia="ja-JP"/>
        </w:rPr>
        <w:t>to collaborate and share learnings on their approaches to case management</w:t>
      </w:r>
      <w:r w:rsidR="00CF2BC5">
        <w:rPr>
          <w:lang w:eastAsia="ja-JP"/>
        </w:rPr>
        <w:t>—</w:t>
      </w:r>
      <w:r>
        <w:rPr>
          <w:lang w:eastAsia="ja-JP"/>
        </w:rPr>
        <w:t xml:space="preserve">including tools and systems. </w:t>
      </w:r>
      <w:r w:rsidR="00CF2BC5">
        <w:rPr>
          <w:lang w:eastAsia="ja-JP"/>
        </w:rPr>
        <w:t>S</w:t>
      </w:r>
      <w:r>
        <w:rPr>
          <w:lang w:eastAsia="ja-JP"/>
        </w:rPr>
        <w:t>everal providers have already piloted</w:t>
      </w:r>
      <w:r w:rsidR="00CF2BC5">
        <w:rPr>
          <w:lang w:eastAsia="ja-JP"/>
        </w:rPr>
        <w:t xml:space="preserve"> </w:t>
      </w:r>
      <w:r>
        <w:rPr>
          <w:lang w:eastAsia="ja-JP"/>
        </w:rPr>
        <w:t>holding inter-service training and development activities</w:t>
      </w:r>
      <w:r w:rsidR="00CF2BC5">
        <w:rPr>
          <w:lang w:eastAsia="ja-JP"/>
        </w:rPr>
        <w:t>, with some success</w:t>
      </w:r>
      <w:r>
        <w:rPr>
          <w:lang w:eastAsia="ja-JP"/>
        </w:rPr>
        <w:t xml:space="preserve">. </w:t>
      </w:r>
      <w:r w:rsidR="00DC002A">
        <w:rPr>
          <w:lang w:eastAsia="ja-JP"/>
        </w:rPr>
        <w:t xml:space="preserve">Many counsellors </w:t>
      </w:r>
      <w:r>
        <w:rPr>
          <w:lang w:eastAsia="ja-JP"/>
        </w:rPr>
        <w:t>indicated that they would support increas</w:t>
      </w:r>
      <w:r w:rsidR="00CF2BC5">
        <w:rPr>
          <w:lang w:eastAsia="ja-JP"/>
        </w:rPr>
        <w:t>ed</w:t>
      </w:r>
      <w:r>
        <w:rPr>
          <w:lang w:eastAsia="ja-JP"/>
        </w:rPr>
        <w:t xml:space="preserve"> </w:t>
      </w:r>
      <w:r w:rsidR="00DC002A">
        <w:rPr>
          <w:lang w:eastAsia="ja-JP"/>
        </w:rPr>
        <w:t xml:space="preserve">collaboration between </w:t>
      </w:r>
      <w:r>
        <w:rPr>
          <w:lang w:eastAsia="ja-JP"/>
        </w:rPr>
        <w:t>service</w:t>
      </w:r>
      <w:r w:rsidR="00063FCC">
        <w:rPr>
          <w:lang w:eastAsia="ja-JP"/>
        </w:rPr>
        <w:t xml:space="preserve"> providers.</w:t>
      </w:r>
    </w:p>
    <w:p w14:paraId="5539257F" w14:textId="342CD841" w:rsidR="00030820" w:rsidRPr="00293183" w:rsidRDefault="00293183" w:rsidP="00293183">
      <w:pPr>
        <w:pStyle w:val="BoxHeading"/>
      </w:pPr>
      <w:r>
        <w:t>Recommendation 14</w:t>
      </w:r>
    </w:p>
    <w:p w14:paraId="4822B5ED" w14:textId="6E5A822B" w:rsidR="00836F54" w:rsidRPr="00293183" w:rsidRDefault="00836F54" w:rsidP="00293183">
      <w:pPr>
        <w:pStyle w:val="BoxText"/>
      </w:pPr>
      <w:r w:rsidRPr="00293183">
        <w:t>That a nationally consistent service delivery model is not prescribed and future funding rounds allow flexibility in service delivery</w:t>
      </w:r>
      <w:r w:rsidR="00F3531A" w:rsidRPr="00A20280">
        <w:t>—</w:t>
      </w:r>
      <w:r w:rsidRPr="00A20280">
        <w:t>noting that</w:t>
      </w:r>
      <w:r w:rsidRPr="00293183">
        <w:t xml:space="preserve"> one-on-one, face-to-face counselling remains the standard approach to engaging with case</w:t>
      </w:r>
      <w:r w:rsidR="00D724AF">
        <w:t>-</w:t>
      </w:r>
      <w:r w:rsidRPr="00293183">
        <w:t>managed clients.</w:t>
      </w:r>
    </w:p>
    <w:p w14:paraId="4F459F48" w14:textId="7F208D33" w:rsidR="00293183" w:rsidRPr="00293183" w:rsidRDefault="00293183" w:rsidP="00293183">
      <w:pPr>
        <w:pStyle w:val="BoxHeading"/>
      </w:pPr>
      <w:r>
        <w:t>Recommendation 15</w:t>
      </w:r>
    </w:p>
    <w:p w14:paraId="76AA1CD6" w14:textId="01E61C6B" w:rsidR="00836F54" w:rsidRPr="00293183" w:rsidRDefault="00836F54" w:rsidP="00293183">
      <w:pPr>
        <w:pStyle w:val="BoxText"/>
      </w:pPr>
      <w:r w:rsidRPr="00293183">
        <w:t>That each service provider implements a client engagement strategy and case management model</w:t>
      </w:r>
      <w:r w:rsidR="00C44118">
        <w:t xml:space="preserve"> that</w:t>
      </w:r>
      <w:r w:rsidR="00CF2BC5" w:rsidRPr="00293183">
        <w:t xml:space="preserve"> is applied consistently by their service</w:t>
      </w:r>
      <w:r w:rsidR="00CF2BC5">
        <w:t>—</w:t>
      </w:r>
      <w:r w:rsidRPr="00293183">
        <w:t>including plans for triaging demand and converting transactional clients to case</w:t>
      </w:r>
      <w:r w:rsidR="00D724AF">
        <w:t>-</w:t>
      </w:r>
      <w:r w:rsidRPr="00293183">
        <w:t>managed clients.</w:t>
      </w:r>
    </w:p>
    <w:p w14:paraId="3CFC7BFA" w14:textId="00507F7B" w:rsidR="00293183" w:rsidRPr="00293183" w:rsidRDefault="00293183" w:rsidP="00293183">
      <w:pPr>
        <w:pStyle w:val="BoxHeading"/>
      </w:pPr>
      <w:r>
        <w:t>Recommendation 16</w:t>
      </w:r>
    </w:p>
    <w:p w14:paraId="61F90714" w14:textId="77777777" w:rsidR="00517F4E" w:rsidRPr="00293183" w:rsidRDefault="00836F54" w:rsidP="00293183">
      <w:pPr>
        <w:pStyle w:val="BoxText"/>
      </w:pPr>
      <w:r w:rsidRPr="00293183">
        <w:t>That program settings encourage service providers to be more innovative in trialling alternative methods of delivery, particularly to manage periods of high demand and to attract and service a broader client group.</w:t>
      </w:r>
    </w:p>
    <w:p w14:paraId="4ABC4C93" w14:textId="4EB20C2B" w:rsidR="00126F66" w:rsidRDefault="00732EE6" w:rsidP="00EF2381">
      <w:pPr>
        <w:pStyle w:val="Heading3"/>
        <w:numPr>
          <w:ilvl w:val="1"/>
          <w:numId w:val="12"/>
        </w:numPr>
        <w:rPr>
          <w:lang w:eastAsia="ja-JP"/>
        </w:rPr>
      </w:pPr>
      <w:bookmarkStart w:id="50" w:name="_Toc18328856"/>
      <w:r>
        <w:rPr>
          <w:lang w:eastAsia="ja-JP"/>
        </w:rPr>
        <w:t>Counsellor t</w:t>
      </w:r>
      <w:r w:rsidR="00126F66">
        <w:rPr>
          <w:lang w:eastAsia="ja-JP"/>
        </w:rPr>
        <w:t>raining and professional development</w:t>
      </w:r>
      <w:bookmarkEnd w:id="50"/>
    </w:p>
    <w:p w14:paraId="4EDEB640" w14:textId="77777777" w:rsidR="00517F4E" w:rsidRDefault="00126F66" w:rsidP="00EF2381">
      <w:pPr>
        <w:pStyle w:val="Heading4"/>
        <w:numPr>
          <w:ilvl w:val="2"/>
          <w:numId w:val="12"/>
        </w:numPr>
        <w:rPr>
          <w:lang w:eastAsia="ja-JP"/>
        </w:rPr>
      </w:pPr>
      <w:r>
        <w:rPr>
          <w:lang w:eastAsia="ja-JP"/>
        </w:rPr>
        <w:t>Core skills</w:t>
      </w:r>
      <w:r w:rsidR="00085041">
        <w:rPr>
          <w:lang w:eastAsia="ja-JP"/>
        </w:rPr>
        <w:t xml:space="preserve"> and knowledge</w:t>
      </w:r>
    </w:p>
    <w:p w14:paraId="63CA6D2F" w14:textId="1F1DED56" w:rsidR="00126F66" w:rsidRDefault="00126F66" w:rsidP="00126F66">
      <w:pPr>
        <w:rPr>
          <w:lang w:eastAsia="ja-JP"/>
        </w:rPr>
      </w:pPr>
      <w:r>
        <w:rPr>
          <w:lang w:eastAsia="ja-JP"/>
        </w:rPr>
        <w:t xml:space="preserve">Service providers are </w:t>
      </w:r>
      <w:r w:rsidR="00085041">
        <w:rPr>
          <w:lang w:eastAsia="ja-JP"/>
        </w:rPr>
        <w:t xml:space="preserve">directly </w:t>
      </w:r>
      <w:r>
        <w:rPr>
          <w:lang w:eastAsia="ja-JP"/>
        </w:rPr>
        <w:t xml:space="preserve">responsible for the </w:t>
      </w:r>
      <w:r w:rsidR="00085041">
        <w:rPr>
          <w:lang w:eastAsia="ja-JP"/>
        </w:rPr>
        <w:t xml:space="preserve">employment, </w:t>
      </w:r>
      <w:r>
        <w:rPr>
          <w:lang w:eastAsia="ja-JP"/>
        </w:rPr>
        <w:t xml:space="preserve">training and professional development of </w:t>
      </w:r>
      <w:r w:rsidR="00085041">
        <w:rPr>
          <w:lang w:eastAsia="ja-JP"/>
        </w:rPr>
        <w:t xml:space="preserve">their </w:t>
      </w:r>
      <w:r>
        <w:rPr>
          <w:lang w:eastAsia="ja-JP"/>
        </w:rPr>
        <w:t>staff</w:t>
      </w:r>
      <w:r w:rsidR="00085041">
        <w:rPr>
          <w:lang w:eastAsia="ja-JP"/>
        </w:rPr>
        <w:t xml:space="preserve"> in compliance with the</w:t>
      </w:r>
      <w:r w:rsidR="003461A5">
        <w:rPr>
          <w:lang w:eastAsia="ja-JP"/>
        </w:rPr>
        <w:t xml:space="preserve"> deed</w:t>
      </w:r>
      <w:r w:rsidR="00085041">
        <w:rPr>
          <w:lang w:eastAsia="ja-JP"/>
        </w:rPr>
        <w:t xml:space="preserve">. </w:t>
      </w:r>
      <w:r w:rsidR="00E604F4">
        <w:rPr>
          <w:lang w:eastAsia="ja-JP"/>
        </w:rPr>
        <w:t>The role of rural financial counsellor attracts people from a wide range of backgrounds and the skill</w:t>
      </w:r>
      <w:r w:rsidR="00C1028C">
        <w:rPr>
          <w:lang w:eastAsia="ja-JP"/>
        </w:rPr>
        <w:t xml:space="preserve"> levels</w:t>
      </w:r>
      <w:r w:rsidR="00E604F4">
        <w:rPr>
          <w:lang w:eastAsia="ja-JP"/>
        </w:rPr>
        <w:t xml:space="preserve"> for such counsellors can differ greatly. </w:t>
      </w:r>
      <w:r w:rsidR="003C5A15">
        <w:rPr>
          <w:lang w:eastAsia="ja-JP"/>
        </w:rPr>
        <w:t>T</w:t>
      </w:r>
      <w:r>
        <w:rPr>
          <w:lang w:eastAsia="ja-JP"/>
        </w:rPr>
        <w:t xml:space="preserve">here </w:t>
      </w:r>
      <w:r w:rsidR="008953A7">
        <w:rPr>
          <w:lang w:eastAsia="ja-JP"/>
        </w:rPr>
        <w:t xml:space="preserve">is </w:t>
      </w:r>
      <w:r>
        <w:rPr>
          <w:lang w:eastAsia="ja-JP"/>
        </w:rPr>
        <w:t xml:space="preserve">variation </w:t>
      </w:r>
      <w:r w:rsidR="00085041">
        <w:rPr>
          <w:lang w:eastAsia="ja-JP"/>
        </w:rPr>
        <w:t>in the skill</w:t>
      </w:r>
      <w:r>
        <w:rPr>
          <w:lang w:eastAsia="ja-JP"/>
        </w:rPr>
        <w:t xml:space="preserve"> and employee mix </w:t>
      </w:r>
      <w:r w:rsidR="00085041">
        <w:rPr>
          <w:lang w:eastAsia="ja-JP"/>
        </w:rPr>
        <w:t xml:space="preserve">for different </w:t>
      </w:r>
      <w:r>
        <w:rPr>
          <w:lang w:eastAsia="ja-JP"/>
        </w:rPr>
        <w:t>providers</w:t>
      </w:r>
      <w:r w:rsidR="009C1B62">
        <w:rPr>
          <w:lang w:eastAsia="ja-JP"/>
        </w:rPr>
        <w:t>, but</w:t>
      </w:r>
      <w:r>
        <w:rPr>
          <w:lang w:eastAsia="ja-JP"/>
        </w:rPr>
        <w:t xml:space="preserve"> </w:t>
      </w:r>
      <w:r w:rsidRPr="00F61EEE">
        <w:rPr>
          <w:lang w:eastAsia="ja-JP"/>
        </w:rPr>
        <w:t xml:space="preserve">the </w:t>
      </w:r>
      <w:r w:rsidR="00B6751D">
        <w:rPr>
          <w:lang w:eastAsia="ja-JP"/>
        </w:rPr>
        <w:t>3</w:t>
      </w:r>
      <w:r w:rsidRPr="00F61EEE">
        <w:rPr>
          <w:lang w:eastAsia="ja-JP"/>
        </w:rPr>
        <w:t xml:space="preserve"> </w:t>
      </w:r>
      <w:r>
        <w:rPr>
          <w:lang w:eastAsia="ja-JP"/>
        </w:rPr>
        <w:t xml:space="preserve">core skill </w:t>
      </w:r>
      <w:r w:rsidR="008953A7">
        <w:rPr>
          <w:lang w:eastAsia="ja-JP"/>
        </w:rPr>
        <w:t xml:space="preserve">and knowledge </w:t>
      </w:r>
      <w:r>
        <w:rPr>
          <w:lang w:eastAsia="ja-JP"/>
        </w:rPr>
        <w:t>areas for c</w:t>
      </w:r>
      <w:r w:rsidR="00085041">
        <w:rPr>
          <w:lang w:eastAsia="ja-JP"/>
        </w:rPr>
        <w:t>ounsellors are</w:t>
      </w:r>
      <w:r>
        <w:rPr>
          <w:lang w:eastAsia="ja-JP"/>
        </w:rPr>
        <w:t>:</w:t>
      </w:r>
    </w:p>
    <w:p w14:paraId="67CB840E" w14:textId="19584CB6" w:rsidR="00126F66" w:rsidRDefault="00126F66" w:rsidP="00085041">
      <w:pPr>
        <w:pStyle w:val="ListBullet"/>
        <w:rPr>
          <w:lang w:eastAsia="ja-JP"/>
        </w:rPr>
      </w:pPr>
      <w:r>
        <w:rPr>
          <w:lang w:eastAsia="ja-JP"/>
        </w:rPr>
        <w:t>technical skills</w:t>
      </w:r>
      <w:r w:rsidR="003C5A15">
        <w:rPr>
          <w:lang w:eastAsia="ja-JP"/>
        </w:rPr>
        <w:t>—</w:t>
      </w:r>
      <w:r>
        <w:rPr>
          <w:lang w:eastAsia="ja-JP"/>
        </w:rPr>
        <w:t>financial and business</w:t>
      </w:r>
    </w:p>
    <w:p w14:paraId="05960114" w14:textId="2EECC168" w:rsidR="00126F66" w:rsidRDefault="00126F66" w:rsidP="00085041">
      <w:pPr>
        <w:pStyle w:val="ListBullet"/>
        <w:rPr>
          <w:lang w:eastAsia="ja-JP"/>
        </w:rPr>
      </w:pPr>
      <w:r>
        <w:rPr>
          <w:lang w:eastAsia="ja-JP"/>
        </w:rPr>
        <w:t>industry skills</w:t>
      </w:r>
      <w:r w:rsidR="003C5A15">
        <w:rPr>
          <w:lang w:eastAsia="ja-JP"/>
        </w:rPr>
        <w:t>—</w:t>
      </w:r>
      <w:r>
        <w:rPr>
          <w:lang w:eastAsia="ja-JP"/>
        </w:rPr>
        <w:t>agriculture</w:t>
      </w:r>
      <w:r w:rsidR="003C5A15">
        <w:rPr>
          <w:lang w:eastAsia="ja-JP"/>
        </w:rPr>
        <w:t xml:space="preserve">, </w:t>
      </w:r>
      <w:r>
        <w:rPr>
          <w:lang w:eastAsia="ja-JP"/>
        </w:rPr>
        <w:t>primary production and related rural industries</w:t>
      </w:r>
    </w:p>
    <w:p w14:paraId="11DA29D1" w14:textId="031C4F14" w:rsidR="004A5624" w:rsidRDefault="00126F66" w:rsidP="004A5624">
      <w:pPr>
        <w:pStyle w:val="ListBullet"/>
        <w:rPr>
          <w:lang w:eastAsia="ja-JP"/>
        </w:rPr>
      </w:pPr>
      <w:proofErr w:type="gramStart"/>
      <w:r>
        <w:rPr>
          <w:lang w:eastAsia="ja-JP"/>
        </w:rPr>
        <w:lastRenderedPageBreak/>
        <w:t>soft</w:t>
      </w:r>
      <w:proofErr w:type="gramEnd"/>
      <w:r>
        <w:rPr>
          <w:lang w:eastAsia="ja-JP"/>
        </w:rPr>
        <w:t xml:space="preserve"> skills</w:t>
      </w:r>
      <w:r w:rsidR="003C5A15">
        <w:rPr>
          <w:lang w:eastAsia="ja-JP"/>
        </w:rPr>
        <w:t>—</w:t>
      </w:r>
      <w:r>
        <w:rPr>
          <w:lang w:eastAsia="ja-JP"/>
        </w:rPr>
        <w:t>counselling techniques</w:t>
      </w:r>
      <w:r w:rsidR="003C5A15">
        <w:rPr>
          <w:lang w:eastAsia="ja-JP"/>
        </w:rPr>
        <w:t xml:space="preserve"> and </w:t>
      </w:r>
      <w:r>
        <w:rPr>
          <w:lang w:eastAsia="ja-JP"/>
        </w:rPr>
        <w:t>interpersonal skills, including emotional and mental health awareness</w:t>
      </w:r>
      <w:r w:rsidR="00FB13A3">
        <w:rPr>
          <w:lang w:eastAsia="ja-JP"/>
        </w:rPr>
        <w:t>.</w:t>
      </w:r>
    </w:p>
    <w:p w14:paraId="1504CCF8" w14:textId="484D97E0" w:rsidR="00126F66" w:rsidRDefault="005F5448" w:rsidP="00EF2381">
      <w:pPr>
        <w:pStyle w:val="Heading4"/>
        <w:numPr>
          <w:ilvl w:val="2"/>
          <w:numId w:val="12"/>
        </w:numPr>
        <w:rPr>
          <w:lang w:eastAsia="ja-JP"/>
        </w:rPr>
      </w:pPr>
      <w:r>
        <w:rPr>
          <w:lang w:eastAsia="ja-JP"/>
        </w:rPr>
        <w:t>Deed r</w:t>
      </w:r>
      <w:r w:rsidR="00126F66">
        <w:rPr>
          <w:lang w:eastAsia="ja-JP"/>
        </w:rPr>
        <w:t>equirements</w:t>
      </w:r>
    </w:p>
    <w:p w14:paraId="515E0029" w14:textId="06BD9E29" w:rsidR="00126F66" w:rsidRPr="00F61EEE" w:rsidRDefault="00126F66" w:rsidP="00126F66">
      <w:pPr>
        <w:rPr>
          <w:lang w:eastAsia="ja-JP"/>
        </w:rPr>
      </w:pPr>
      <w:r>
        <w:rPr>
          <w:lang w:eastAsia="ja-JP"/>
        </w:rPr>
        <w:t xml:space="preserve">The </w:t>
      </w:r>
      <w:r w:rsidR="00484B9A">
        <w:rPr>
          <w:lang w:eastAsia="ja-JP"/>
        </w:rPr>
        <w:t xml:space="preserve">funding </w:t>
      </w:r>
      <w:r w:rsidR="003461A5">
        <w:rPr>
          <w:lang w:eastAsia="ja-JP"/>
        </w:rPr>
        <w:t>d</w:t>
      </w:r>
      <w:r w:rsidR="00A31B3F">
        <w:rPr>
          <w:lang w:eastAsia="ja-JP"/>
        </w:rPr>
        <w:t xml:space="preserve">eed </w:t>
      </w:r>
      <w:r>
        <w:rPr>
          <w:lang w:eastAsia="ja-JP"/>
        </w:rPr>
        <w:t>provides that</w:t>
      </w:r>
      <w:r w:rsidR="00A31B3F">
        <w:rPr>
          <w:lang w:eastAsia="ja-JP"/>
        </w:rPr>
        <w:t>,</w:t>
      </w:r>
      <w:r>
        <w:rPr>
          <w:lang w:eastAsia="ja-JP"/>
        </w:rPr>
        <w:t xml:space="preserve"> as a minimum qualification, counsellors hold a Diploma of Financial Counselling (Rural) and provide new counsellors on-the-job training and mentoring</w:t>
      </w:r>
      <w:r w:rsidR="008953A7">
        <w:rPr>
          <w:lang w:eastAsia="ja-JP"/>
        </w:rPr>
        <w:t xml:space="preserve">. </w:t>
      </w:r>
      <w:r>
        <w:rPr>
          <w:lang w:eastAsia="ja-JP"/>
        </w:rPr>
        <w:t xml:space="preserve">New counsellors can </w:t>
      </w:r>
      <w:r w:rsidR="008953A7">
        <w:rPr>
          <w:lang w:eastAsia="ja-JP"/>
        </w:rPr>
        <w:t>commence</w:t>
      </w:r>
      <w:r>
        <w:rPr>
          <w:lang w:eastAsia="ja-JP"/>
        </w:rPr>
        <w:t xml:space="preserve"> employment with a service provider without the minimum qualification </w:t>
      </w:r>
      <w:r w:rsidR="00AA5872">
        <w:rPr>
          <w:lang w:eastAsia="ja-JP"/>
        </w:rPr>
        <w:t>provided</w:t>
      </w:r>
      <w:r>
        <w:rPr>
          <w:lang w:eastAsia="ja-JP"/>
        </w:rPr>
        <w:t xml:space="preserve"> they begin the diploma </w:t>
      </w:r>
      <w:r w:rsidR="008953A7">
        <w:rPr>
          <w:lang w:eastAsia="ja-JP"/>
        </w:rPr>
        <w:t xml:space="preserve">within </w:t>
      </w:r>
      <w:r w:rsidR="00F13F30">
        <w:rPr>
          <w:lang w:eastAsia="ja-JP"/>
        </w:rPr>
        <w:t>6</w:t>
      </w:r>
      <w:r w:rsidR="008953A7" w:rsidRPr="00F61EEE">
        <w:rPr>
          <w:lang w:eastAsia="ja-JP"/>
        </w:rPr>
        <w:t xml:space="preserve"> months. </w:t>
      </w:r>
      <w:r w:rsidR="003C5A15">
        <w:rPr>
          <w:lang w:eastAsia="ja-JP"/>
        </w:rPr>
        <w:t>S</w:t>
      </w:r>
      <w:r w:rsidRPr="00F61EEE">
        <w:rPr>
          <w:lang w:eastAsia="ja-JP"/>
        </w:rPr>
        <w:t xml:space="preserve">taff who fail to obtain the minimum qualification within </w:t>
      </w:r>
      <w:r w:rsidR="00F13F30">
        <w:rPr>
          <w:lang w:eastAsia="ja-JP"/>
        </w:rPr>
        <w:t>2</w:t>
      </w:r>
      <w:r w:rsidRPr="00F61EEE">
        <w:rPr>
          <w:lang w:eastAsia="ja-JP"/>
        </w:rPr>
        <w:t xml:space="preserve"> years can no longer be employed by the service as a counsellor.</w:t>
      </w:r>
    </w:p>
    <w:p w14:paraId="5A88DD63" w14:textId="3501E3B0" w:rsidR="00A31B3F" w:rsidRPr="00F61EEE" w:rsidRDefault="00A31B3F" w:rsidP="00EF2381">
      <w:pPr>
        <w:pStyle w:val="Heading4"/>
        <w:numPr>
          <w:ilvl w:val="2"/>
          <w:numId w:val="12"/>
        </w:numPr>
        <w:rPr>
          <w:lang w:eastAsia="ja-JP"/>
        </w:rPr>
      </w:pPr>
      <w:r w:rsidRPr="00F61EEE">
        <w:rPr>
          <w:lang w:eastAsia="ja-JP"/>
        </w:rPr>
        <w:t>Diploma of Financial Counselling (Rural)</w:t>
      </w:r>
    </w:p>
    <w:p w14:paraId="6901C4FE" w14:textId="7CFDD7BB" w:rsidR="00517F4E" w:rsidRDefault="003C5A15" w:rsidP="00126F66">
      <w:pPr>
        <w:rPr>
          <w:lang w:eastAsia="ja-JP"/>
        </w:rPr>
      </w:pPr>
      <w:r>
        <w:rPr>
          <w:lang w:eastAsia="ja-JP"/>
        </w:rPr>
        <w:t>T</w:t>
      </w:r>
      <w:r w:rsidR="00126F66" w:rsidRPr="00F61EEE">
        <w:rPr>
          <w:lang w:eastAsia="ja-JP"/>
        </w:rPr>
        <w:t xml:space="preserve">he diploma consists of 14 core units of study and at least </w:t>
      </w:r>
      <w:r w:rsidR="00B6751D">
        <w:rPr>
          <w:lang w:eastAsia="ja-JP"/>
        </w:rPr>
        <w:t>3</w:t>
      </w:r>
      <w:r w:rsidR="00126F66" w:rsidRPr="00F61EEE">
        <w:rPr>
          <w:lang w:eastAsia="ja-JP"/>
        </w:rPr>
        <w:t xml:space="preserve"> specialisation electives. </w:t>
      </w:r>
      <w:r>
        <w:rPr>
          <w:lang w:eastAsia="ja-JP"/>
        </w:rPr>
        <w:t>It is d</w:t>
      </w:r>
      <w:r w:rsidRPr="00F61EEE">
        <w:rPr>
          <w:lang w:eastAsia="ja-JP"/>
        </w:rPr>
        <w:t>elivered by a number of registered training organisations nationally</w:t>
      </w:r>
      <w:r w:rsidR="001C30AF">
        <w:rPr>
          <w:lang w:eastAsia="ja-JP"/>
        </w:rPr>
        <w:t>.</w:t>
      </w:r>
      <w:r w:rsidRPr="00F61EEE">
        <w:rPr>
          <w:lang w:eastAsia="ja-JP"/>
        </w:rPr>
        <w:t xml:space="preserve"> </w:t>
      </w:r>
      <w:r w:rsidR="00DD51D3" w:rsidRPr="00F61EEE">
        <w:rPr>
          <w:lang w:eastAsia="ja-JP"/>
        </w:rPr>
        <w:t xml:space="preserve">The course can be completed in </w:t>
      </w:r>
      <w:r w:rsidR="00F13F30">
        <w:rPr>
          <w:lang w:eastAsia="ja-JP"/>
        </w:rPr>
        <w:t>1</w:t>
      </w:r>
      <w:r w:rsidR="00DD51D3" w:rsidRPr="00F61EEE">
        <w:rPr>
          <w:lang w:eastAsia="ja-JP"/>
        </w:rPr>
        <w:t xml:space="preserve"> year of full-time study or over </w:t>
      </w:r>
      <w:r w:rsidR="00F13F30">
        <w:rPr>
          <w:lang w:eastAsia="ja-JP"/>
        </w:rPr>
        <w:t>2</w:t>
      </w:r>
      <w:r w:rsidR="00DD51D3" w:rsidRPr="00F61EEE">
        <w:rPr>
          <w:lang w:eastAsia="ja-JP"/>
        </w:rPr>
        <w:t xml:space="preserve"> years part</w:t>
      </w:r>
      <w:r w:rsidR="00B06611">
        <w:rPr>
          <w:lang w:eastAsia="ja-JP"/>
        </w:rPr>
        <w:t>-</w:t>
      </w:r>
      <w:r w:rsidR="00DD51D3" w:rsidRPr="00F61EEE">
        <w:rPr>
          <w:lang w:eastAsia="ja-JP"/>
        </w:rPr>
        <w:t xml:space="preserve">time. </w:t>
      </w:r>
      <w:r w:rsidR="00126F66" w:rsidRPr="00F61EEE">
        <w:rPr>
          <w:lang w:eastAsia="ja-JP"/>
        </w:rPr>
        <w:t>Candidates must also participate in 220 hours of on-the-job experience.</w:t>
      </w:r>
    </w:p>
    <w:p w14:paraId="521CEE5C" w14:textId="06EAD238" w:rsidR="00636FC9" w:rsidRPr="00F61EEE" w:rsidRDefault="00126F66" w:rsidP="00126F66">
      <w:pPr>
        <w:rPr>
          <w:lang w:eastAsia="ja-JP"/>
        </w:rPr>
      </w:pPr>
      <w:r w:rsidRPr="00F61EEE">
        <w:rPr>
          <w:lang w:eastAsia="ja-JP"/>
        </w:rPr>
        <w:t xml:space="preserve">The diploma does not cover work performed by financial planners or financial advisers who require a financial services licence under the </w:t>
      </w:r>
      <w:r w:rsidRPr="00F61EEE">
        <w:rPr>
          <w:i/>
          <w:lang w:eastAsia="ja-JP"/>
        </w:rPr>
        <w:t>National Consumer Credit Protection Act 20</w:t>
      </w:r>
      <w:r w:rsidR="00B06611">
        <w:rPr>
          <w:i/>
          <w:lang w:eastAsia="ja-JP"/>
        </w:rPr>
        <w:t>09</w:t>
      </w:r>
      <w:r w:rsidRPr="00F61EEE">
        <w:rPr>
          <w:lang w:eastAsia="ja-JP"/>
        </w:rPr>
        <w:t>.</w:t>
      </w:r>
      <w:r w:rsidR="00794BE7">
        <w:rPr>
          <w:lang w:eastAsia="ja-JP"/>
        </w:rPr>
        <w:t xml:space="preserve"> </w:t>
      </w:r>
      <w:r w:rsidR="00B06611">
        <w:rPr>
          <w:lang w:eastAsia="ja-JP"/>
        </w:rPr>
        <w:t>T</w:t>
      </w:r>
      <w:r w:rsidR="00BC1AD3">
        <w:rPr>
          <w:lang w:eastAsia="ja-JP"/>
        </w:rPr>
        <w:t xml:space="preserve">he Australian Securities and Investment Commission (ASIC) </w:t>
      </w:r>
      <w:r w:rsidR="00B06611">
        <w:rPr>
          <w:lang w:eastAsia="ja-JP"/>
        </w:rPr>
        <w:t xml:space="preserve">exempts </w:t>
      </w:r>
      <w:r w:rsidR="00B84DBB">
        <w:rPr>
          <w:lang w:eastAsia="ja-JP"/>
        </w:rPr>
        <w:t xml:space="preserve">RFCS </w:t>
      </w:r>
      <w:r w:rsidR="00B06611">
        <w:rPr>
          <w:lang w:eastAsia="ja-JP"/>
        </w:rPr>
        <w:t xml:space="preserve">providers </w:t>
      </w:r>
      <w:r w:rsidR="00794BE7">
        <w:rPr>
          <w:lang w:eastAsia="ja-JP"/>
        </w:rPr>
        <w:t xml:space="preserve">from Australian credit licencing requirements </w:t>
      </w:r>
      <w:r w:rsidR="00794BE7" w:rsidRPr="00BA6BBE">
        <w:rPr>
          <w:lang w:eastAsia="ja-JP"/>
        </w:rPr>
        <w:t xml:space="preserve">by meeting the conditions of </w:t>
      </w:r>
      <w:r w:rsidR="00794BE7" w:rsidRPr="00B06611">
        <w:t xml:space="preserve">ASIC Credit (Financial Counselling </w:t>
      </w:r>
      <w:r w:rsidR="00B06611">
        <w:t>A</w:t>
      </w:r>
      <w:r w:rsidR="00794BE7" w:rsidRPr="00B06611">
        <w:t>gencies) Instrument 2017/793</w:t>
      </w:r>
      <w:r w:rsidR="006B74B5">
        <w:t>.</w:t>
      </w:r>
    </w:p>
    <w:p w14:paraId="0AC72927" w14:textId="798F711A" w:rsidR="00517F4E" w:rsidRDefault="006B74B5" w:rsidP="00FA2200">
      <w:pPr>
        <w:rPr>
          <w:lang w:eastAsia="ja-JP"/>
        </w:rPr>
      </w:pPr>
      <w:r w:rsidRPr="00D71E73">
        <w:rPr>
          <w:lang w:eastAsia="ja-JP"/>
        </w:rPr>
        <w:t>T</w:t>
      </w:r>
      <w:r w:rsidR="00FA2200" w:rsidRPr="00D71E73">
        <w:rPr>
          <w:lang w:eastAsia="ja-JP"/>
        </w:rPr>
        <w:t xml:space="preserve">here was near-universal agreement that counsellors should hold formal qualifications, </w:t>
      </w:r>
      <w:r w:rsidRPr="00D71E73">
        <w:rPr>
          <w:lang w:eastAsia="ja-JP"/>
        </w:rPr>
        <w:t xml:space="preserve">but </w:t>
      </w:r>
      <w:r w:rsidR="00FA2200" w:rsidRPr="00D71E73">
        <w:rPr>
          <w:lang w:eastAsia="ja-JP"/>
        </w:rPr>
        <w:t>t</w:t>
      </w:r>
      <w:r w:rsidR="00126F66" w:rsidRPr="00D71E73">
        <w:rPr>
          <w:lang w:eastAsia="ja-JP"/>
        </w:rPr>
        <w:t xml:space="preserve">he panel received mixed feedback on the value and relevance of the </w:t>
      </w:r>
      <w:r w:rsidR="00A31B3F" w:rsidRPr="00D71E73">
        <w:rPr>
          <w:lang w:eastAsia="ja-JP"/>
        </w:rPr>
        <w:t>diploma</w:t>
      </w:r>
      <w:r w:rsidR="00126F66" w:rsidRPr="00D71E73">
        <w:rPr>
          <w:lang w:eastAsia="ja-JP"/>
        </w:rPr>
        <w:t>.</w:t>
      </w:r>
    </w:p>
    <w:p w14:paraId="03D80F3F" w14:textId="028475DB" w:rsidR="00FA2200" w:rsidRDefault="00FA2200" w:rsidP="00FA2200">
      <w:pPr>
        <w:rPr>
          <w:lang w:eastAsia="ja-JP"/>
        </w:rPr>
      </w:pPr>
      <w:r w:rsidRPr="00F61EEE">
        <w:rPr>
          <w:lang w:eastAsia="ja-JP"/>
        </w:rPr>
        <w:t>Some service</w:t>
      </w:r>
      <w:r w:rsidR="00591DFE" w:rsidRPr="00F61EEE">
        <w:rPr>
          <w:lang w:eastAsia="ja-JP"/>
        </w:rPr>
        <w:t xml:space="preserve"> provider</w:t>
      </w:r>
      <w:r w:rsidRPr="00F61EEE">
        <w:rPr>
          <w:lang w:eastAsia="ja-JP"/>
        </w:rPr>
        <w:t xml:space="preserve">s indicated that the current diploma was useful as a base-level qualification covering core competencies expected of counsellors, particularly the soft </w:t>
      </w:r>
      <w:r w:rsidR="002763FB" w:rsidRPr="00F61EEE">
        <w:rPr>
          <w:lang w:eastAsia="ja-JP"/>
        </w:rPr>
        <w:t>skills of</w:t>
      </w:r>
      <w:r w:rsidRPr="00F61EEE">
        <w:rPr>
          <w:lang w:eastAsia="ja-JP"/>
        </w:rPr>
        <w:t xml:space="preserve"> counselling. </w:t>
      </w:r>
      <w:r w:rsidR="00E7369D" w:rsidRPr="00F61EEE">
        <w:rPr>
          <w:lang w:eastAsia="ja-JP"/>
        </w:rPr>
        <w:t xml:space="preserve">The </w:t>
      </w:r>
      <w:r w:rsidR="00591DFE" w:rsidRPr="00F61EEE">
        <w:rPr>
          <w:lang w:eastAsia="ja-JP"/>
        </w:rPr>
        <w:t xml:space="preserve">providers </w:t>
      </w:r>
      <w:r w:rsidR="00E7369D" w:rsidRPr="00F61EEE">
        <w:rPr>
          <w:lang w:eastAsia="ja-JP"/>
        </w:rPr>
        <w:t xml:space="preserve">that </w:t>
      </w:r>
      <w:r w:rsidR="006B74B5">
        <w:rPr>
          <w:lang w:eastAsia="ja-JP"/>
        </w:rPr>
        <w:t>were</w:t>
      </w:r>
      <w:r w:rsidR="006B74B5" w:rsidRPr="00F61EEE">
        <w:rPr>
          <w:lang w:eastAsia="ja-JP"/>
        </w:rPr>
        <w:t xml:space="preserve"> </w:t>
      </w:r>
      <w:r w:rsidR="00E7369D" w:rsidRPr="00F61EEE">
        <w:rPr>
          <w:lang w:eastAsia="ja-JP"/>
        </w:rPr>
        <w:t xml:space="preserve">most comfortable with the diploma </w:t>
      </w:r>
      <w:r w:rsidRPr="00F61EEE">
        <w:rPr>
          <w:lang w:eastAsia="ja-JP"/>
        </w:rPr>
        <w:t>vi</w:t>
      </w:r>
      <w:r w:rsidR="00E7369D" w:rsidRPr="00F61EEE">
        <w:rPr>
          <w:lang w:eastAsia="ja-JP"/>
        </w:rPr>
        <w:t>ew</w:t>
      </w:r>
      <w:r w:rsidR="006B74B5">
        <w:rPr>
          <w:lang w:eastAsia="ja-JP"/>
        </w:rPr>
        <w:t>ed</w:t>
      </w:r>
      <w:r w:rsidR="00E7369D" w:rsidRPr="00F61EEE">
        <w:rPr>
          <w:lang w:eastAsia="ja-JP"/>
        </w:rPr>
        <w:t xml:space="preserve"> it </w:t>
      </w:r>
      <w:r w:rsidRPr="00F61EEE">
        <w:rPr>
          <w:lang w:eastAsia="ja-JP"/>
        </w:rPr>
        <w:t xml:space="preserve">as one component </w:t>
      </w:r>
      <w:r w:rsidR="006B74B5" w:rsidRPr="00F61EEE">
        <w:rPr>
          <w:lang w:eastAsia="ja-JP"/>
        </w:rPr>
        <w:t xml:space="preserve">in a </w:t>
      </w:r>
      <w:r w:rsidR="006B74B5">
        <w:rPr>
          <w:lang w:eastAsia="ja-JP"/>
        </w:rPr>
        <w:t>holistic approach</w:t>
      </w:r>
      <w:r w:rsidR="006B74B5" w:rsidRPr="00F61EEE">
        <w:rPr>
          <w:lang w:eastAsia="ja-JP"/>
        </w:rPr>
        <w:t xml:space="preserve"> </w:t>
      </w:r>
      <w:r w:rsidRPr="00F61EEE">
        <w:rPr>
          <w:lang w:eastAsia="ja-JP"/>
        </w:rPr>
        <w:t>to a counsellor</w:t>
      </w:r>
      <w:r w:rsidR="00736B18">
        <w:rPr>
          <w:lang w:eastAsia="ja-JP"/>
        </w:rPr>
        <w:t>'</w:t>
      </w:r>
      <w:r w:rsidRPr="00F61EEE">
        <w:rPr>
          <w:lang w:eastAsia="ja-JP"/>
        </w:rPr>
        <w:t>s professional development</w:t>
      </w:r>
      <w:r>
        <w:rPr>
          <w:lang w:eastAsia="ja-JP"/>
        </w:rPr>
        <w:t>.</w:t>
      </w:r>
    </w:p>
    <w:p w14:paraId="4B4D1767" w14:textId="39F70907" w:rsidR="00517F4E" w:rsidRDefault="00FB13A3" w:rsidP="00126F66">
      <w:pPr>
        <w:rPr>
          <w:lang w:eastAsia="ja-JP"/>
        </w:rPr>
      </w:pPr>
      <w:r>
        <w:rPr>
          <w:lang w:eastAsia="ja-JP"/>
        </w:rPr>
        <w:t xml:space="preserve">Other </w:t>
      </w:r>
      <w:r w:rsidR="00126F66">
        <w:rPr>
          <w:lang w:eastAsia="ja-JP"/>
        </w:rPr>
        <w:t>service providers</w:t>
      </w:r>
      <w:r w:rsidR="006B74B5">
        <w:rPr>
          <w:lang w:eastAsia="ja-JP"/>
        </w:rPr>
        <w:t xml:space="preserve"> </w:t>
      </w:r>
      <w:r w:rsidR="00126F66">
        <w:rPr>
          <w:lang w:eastAsia="ja-JP"/>
        </w:rPr>
        <w:t xml:space="preserve">questioned the relevance of </w:t>
      </w:r>
      <w:r w:rsidR="00124BA8">
        <w:rPr>
          <w:lang w:eastAsia="ja-JP"/>
        </w:rPr>
        <w:t xml:space="preserve">some </w:t>
      </w:r>
      <w:r w:rsidR="00126F66">
        <w:rPr>
          <w:lang w:eastAsia="ja-JP"/>
        </w:rPr>
        <w:t xml:space="preserve">core units within the </w:t>
      </w:r>
      <w:r w:rsidR="004A65BC">
        <w:rPr>
          <w:lang w:eastAsia="ja-JP"/>
        </w:rPr>
        <w:t xml:space="preserve">current </w:t>
      </w:r>
      <w:r w:rsidR="00126F66">
        <w:rPr>
          <w:lang w:eastAsia="ja-JP"/>
        </w:rPr>
        <w:t>diploma</w:t>
      </w:r>
      <w:r w:rsidR="00124BA8">
        <w:rPr>
          <w:lang w:eastAsia="ja-JP"/>
        </w:rPr>
        <w:t xml:space="preserve"> and</w:t>
      </w:r>
      <w:r w:rsidR="00126F66">
        <w:rPr>
          <w:lang w:eastAsia="ja-JP"/>
        </w:rPr>
        <w:t xml:space="preserve"> the limited amount of rural o</w:t>
      </w:r>
      <w:r w:rsidR="005F5448">
        <w:rPr>
          <w:lang w:eastAsia="ja-JP"/>
        </w:rPr>
        <w:t>r agriculture-specific content</w:t>
      </w:r>
      <w:r w:rsidR="00124BA8">
        <w:rPr>
          <w:lang w:eastAsia="ja-JP"/>
        </w:rPr>
        <w:t xml:space="preserve">. </w:t>
      </w:r>
      <w:r w:rsidR="00E7369D">
        <w:rPr>
          <w:lang w:eastAsia="ja-JP"/>
        </w:rPr>
        <w:t>Numerous</w:t>
      </w:r>
      <w:r w:rsidR="00124BA8">
        <w:rPr>
          <w:lang w:eastAsia="ja-JP"/>
        </w:rPr>
        <w:t xml:space="preserve"> counsellors </w:t>
      </w:r>
      <w:r w:rsidR="00E7369D">
        <w:rPr>
          <w:lang w:eastAsia="ja-JP"/>
        </w:rPr>
        <w:t>expressed concern</w:t>
      </w:r>
      <w:r w:rsidR="00124BA8">
        <w:rPr>
          <w:lang w:eastAsia="ja-JP"/>
        </w:rPr>
        <w:t xml:space="preserve"> that the diploma did not equip them to do their job as a rural financial counsellor</w:t>
      </w:r>
      <w:r w:rsidR="00DD51D3">
        <w:rPr>
          <w:lang w:eastAsia="ja-JP"/>
        </w:rPr>
        <w:t>. They</w:t>
      </w:r>
      <w:r w:rsidR="00124BA8">
        <w:rPr>
          <w:lang w:eastAsia="ja-JP"/>
        </w:rPr>
        <w:t xml:space="preserve"> saw the diploma (and the study materials) as too focus</w:t>
      </w:r>
      <w:r w:rsidR="00937096">
        <w:rPr>
          <w:lang w:eastAsia="ja-JP"/>
        </w:rPr>
        <w:t>ed</w:t>
      </w:r>
      <w:r w:rsidR="00124BA8">
        <w:rPr>
          <w:lang w:eastAsia="ja-JP"/>
        </w:rPr>
        <w:t xml:space="preserve"> on generalist financial counsellor</w:t>
      </w:r>
      <w:r w:rsidR="00DD51D3">
        <w:rPr>
          <w:lang w:eastAsia="ja-JP"/>
        </w:rPr>
        <w:t>s</w:t>
      </w:r>
      <w:r w:rsidR="006B74B5">
        <w:rPr>
          <w:lang w:eastAsia="ja-JP"/>
        </w:rPr>
        <w:t xml:space="preserve"> who </w:t>
      </w:r>
      <w:r w:rsidR="00124BA8">
        <w:rPr>
          <w:lang w:eastAsia="ja-JP"/>
        </w:rPr>
        <w:t>provid</w:t>
      </w:r>
      <w:r w:rsidR="006B74B5">
        <w:rPr>
          <w:lang w:eastAsia="ja-JP"/>
        </w:rPr>
        <w:t>e</w:t>
      </w:r>
      <w:r w:rsidR="00124BA8">
        <w:rPr>
          <w:lang w:eastAsia="ja-JP"/>
        </w:rPr>
        <w:t xml:space="preserve"> assistance to people with </w:t>
      </w:r>
      <w:r>
        <w:rPr>
          <w:lang w:eastAsia="ja-JP"/>
        </w:rPr>
        <w:t xml:space="preserve">consumer </w:t>
      </w:r>
      <w:r w:rsidR="00124BA8">
        <w:rPr>
          <w:lang w:eastAsia="ja-JP"/>
        </w:rPr>
        <w:t>debt problems</w:t>
      </w:r>
      <w:r w:rsidR="006B74B5">
        <w:rPr>
          <w:lang w:eastAsia="ja-JP"/>
        </w:rPr>
        <w:t>. It was not as relevant to rural financial counsellors who need to</w:t>
      </w:r>
      <w:r w:rsidR="003A4F32">
        <w:rPr>
          <w:lang w:eastAsia="ja-JP"/>
        </w:rPr>
        <w:t xml:space="preserve"> consider </w:t>
      </w:r>
      <w:r w:rsidR="000412C7">
        <w:rPr>
          <w:lang w:eastAsia="ja-JP"/>
        </w:rPr>
        <w:t xml:space="preserve">complex business structures, significant assets and </w:t>
      </w:r>
      <w:r w:rsidR="00A04BF5">
        <w:rPr>
          <w:lang w:eastAsia="ja-JP"/>
        </w:rPr>
        <w:t>business planning</w:t>
      </w:r>
      <w:r>
        <w:rPr>
          <w:lang w:eastAsia="ja-JP"/>
        </w:rPr>
        <w:t>, as well as</w:t>
      </w:r>
      <w:r w:rsidR="00DD51D3">
        <w:rPr>
          <w:lang w:eastAsia="ja-JP"/>
        </w:rPr>
        <w:t xml:space="preserve"> complex social and </w:t>
      </w:r>
      <w:r w:rsidR="00D25144">
        <w:rPr>
          <w:lang w:eastAsia="ja-JP"/>
        </w:rPr>
        <w:t>legal</w:t>
      </w:r>
      <w:r w:rsidR="00DD51D3">
        <w:rPr>
          <w:lang w:eastAsia="ja-JP"/>
        </w:rPr>
        <w:t xml:space="preserve"> </w:t>
      </w:r>
      <w:r w:rsidR="00E7369D">
        <w:rPr>
          <w:lang w:eastAsia="ja-JP"/>
        </w:rPr>
        <w:t>issues</w:t>
      </w:r>
      <w:r w:rsidR="00DD51D3">
        <w:rPr>
          <w:lang w:eastAsia="ja-JP"/>
        </w:rPr>
        <w:t>.</w:t>
      </w:r>
    </w:p>
    <w:p w14:paraId="59310F99" w14:textId="3F55518F" w:rsidR="00517F4E" w:rsidRDefault="00937096" w:rsidP="00126F66">
      <w:pPr>
        <w:rPr>
          <w:lang w:eastAsia="ja-JP"/>
        </w:rPr>
      </w:pPr>
      <w:r>
        <w:rPr>
          <w:lang w:eastAsia="ja-JP"/>
        </w:rPr>
        <w:t>It was strongly recommended by some that a separate</w:t>
      </w:r>
      <w:r w:rsidR="00D91539">
        <w:rPr>
          <w:lang w:eastAsia="ja-JP"/>
        </w:rPr>
        <w:t>,</w:t>
      </w:r>
      <w:r>
        <w:rPr>
          <w:lang w:eastAsia="ja-JP"/>
        </w:rPr>
        <w:t xml:space="preserve"> specialised </w:t>
      </w:r>
      <w:r w:rsidR="007C6C4B">
        <w:rPr>
          <w:lang w:eastAsia="ja-JP"/>
        </w:rPr>
        <w:t>d</w:t>
      </w:r>
      <w:r>
        <w:rPr>
          <w:lang w:eastAsia="ja-JP"/>
        </w:rPr>
        <w:t xml:space="preserve">iploma of </w:t>
      </w:r>
      <w:r w:rsidR="007C6C4B">
        <w:rPr>
          <w:lang w:eastAsia="ja-JP"/>
        </w:rPr>
        <w:t>r</w:t>
      </w:r>
      <w:r>
        <w:rPr>
          <w:lang w:eastAsia="ja-JP"/>
        </w:rPr>
        <w:t xml:space="preserve">ural </w:t>
      </w:r>
      <w:r w:rsidR="007C6C4B">
        <w:rPr>
          <w:lang w:eastAsia="ja-JP"/>
        </w:rPr>
        <w:t>f</w:t>
      </w:r>
      <w:r>
        <w:rPr>
          <w:lang w:eastAsia="ja-JP"/>
        </w:rPr>
        <w:t xml:space="preserve">inancial </w:t>
      </w:r>
      <w:r w:rsidR="007C6C4B">
        <w:rPr>
          <w:lang w:eastAsia="ja-JP"/>
        </w:rPr>
        <w:t>c</w:t>
      </w:r>
      <w:r>
        <w:rPr>
          <w:lang w:eastAsia="ja-JP"/>
        </w:rPr>
        <w:t xml:space="preserve">ounselling or an additional external course </w:t>
      </w:r>
      <w:r w:rsidR="00FA2200">
        <w:rPr>
          <w:lang w:eastAsia="ja-JP"/>
        </w:rPr>
        <w:t>address</w:t>
      </w:r>
      <w:r w:rsidR="007C6C4B">
        <w:rPr>
          <w:lang w:eastAsia="ja-JP"/>
        </w:rPr>
        <w:t>ing</w:t>
      </w:r>
      <w:r w:rsidR="00FA2200">
        <w:rPr>
          <w:lang w:eastAsia="ja-JP"/>
        </w:rPr>
        <w:t xml:space="preserve"> the shortcomings of the current diploma</w:t>
      </w:r>
      <w:r w:rsidR="007C6C4B">
        <w:rPr>
          <w:lang w:eastAsia="ja-JP"/>
        </w:rPr>
        <w:t xml:space="preserve"> be developed</w:t>
      </w:r>
      <w:r w:rsidR="00FA2200">
        <w:rPr>
          <w:lang w:eastAsia="ja-JP"/>
        </w:rPr>
        <w:t>.</w:t>
      </w:r>
    </w:p>
    <w:p w14:paraId="7708B86B" w14:textId="799E5232" w:rsidR="00D25144" w:rsidRDefault="00346980" w:rsidP="00D25144">
      <w:pPr>
        <w:rPr>
          <w:lang w:eastAsia="ja-JP"/>
        </w:rPr>
      </w:pPr>
      <w:r>
        <w:rPr>
          <w:lang w:eastAsia="ja-JP"/>
        </w:rPr>
        <w:t>S</w:t>
      </w:r>
      <w:r w:rsidR="003A4F32">
        <w:rPr>
          <w:lang w:eastAsia="ja-JP"/>
        </w:rPr>
        <w:t xml:space="preserve">takeholders </w:t>
      </w:r>
      <w:r>
        <w:rPr>
          <w:lang w:eastAsia="ja-JP"/>
        </w:rPr>
        <w:t xml:space="preserve">also raised the issue of </w:t>
      </w:r>
      <w:r w:rsidR="00126F66">
        <w:rPr>
          <w:lang w:eastAsia="ja-JP"/>
        </w:rPr>
        <w:t xml:space="preserve">the timing and duration of the diploma and the challenges it presents for staff employed on short-term contracts. </w:t>
      </w:r>
      <w:r w:rsidR="003A4F32">
        <w:rPr>
          <w:lang w:eastAsia="ja-JP"/>
        </w:rPr>
        <w:t xml:space="preserve">Many </w:t>
      </w:r>
      <w:r w:rsidR="00DD51D3">
        <w:rPr>
          <w:lang w:eastAsia="ja-JP"/>
        </w:rPr>
        <w:t xml:space="preserve">new </w:t>
      </w:r>
      <w:r w:rsidR="003A4F32">
        <w:rPr>
          <w:lang w:eastAsia="ja-JP"/>
        </w:rPr>
        <w:t xml:space="preserve">counsellors </w:t>
      </w:r>
      <w:r w:rsidR="00DD51D3">
        <w:rPr>
          <w:lang w:eastAsia="ja-JP"/>
        </w:rPr>
        <w:t xml:space="preserve">were </w:t>
      </w:r>
      <w:r w:rsidR="005F082C">
        <w:rPr>
          <w:lang w:eastAsia="ja-JP"/>
        </w:rPr>
        <w:t xml:space="preserve">engaged </w:t>
      </w:r>
      <w:r w:rsidR="00DD51D3">
        <w:rPr>
          <w:lang w:eastAsia="ja-JP"/>
        </w:rPr>
        <w:t>without holding the diploma and therefore need</w:t>
      </w:r>
      <w:r w:rsidR="005F0637">
        <w:rPr>
          <w:lang w:eastAsia="ja-JP"/>
        </w:rPr>
        <w:t>ed</w:t>
      </w:r>
      <w:r w:rsidR="00DD51D3">
        <w:rPr>
          <w:lang w:eastAsia="ja-JP"/>
        </w:rPr>
        <w:t xml:space="preserve"> to commence their qualification</w:t>
      </w:r>
      <w:r w:rsidR="005F0637">
        <w:rPr>
          <w:lang w:eastAsia="ja-JP"/>
        </w:rPr>
        <w:t xml:space="preserve"> </w:t>
      </w:r>
      <w:r w:rsidR="005F0637" w:rsidRPr="00F61EEE">
        <w:rPr>
          <w:lang w:eastAsia="ja-JP"/>
        </w:rPr>
        <w:t>within</w:t>
      </w:r>
      <w:r w:rsidR="00DD51D3" w:rsidRPr="00F61EEE">
        <w:rPr>
          <w:lang w:eastAsia="ja-JP"/>
        </w:rPr>
        <w:t xml:space="preserve"> </w:t>
      </w:r>
      <w:r w:rsidR="00F13F30">
        <w:rPr>
          <w:lang w:eastAsia="ja-JP"/>
        </w:rPr>
        <w:t>6</w:t>
      </w:r>
      <w:r w:rsidR="00D91539" w:rsidRPr="00F61EEE">
        <w:rPr>
          <w:lang w:eastAsia="ja-JP"/>
        </w:rPr>
        <w:t xml:space="preserve"> </w:t>
      </w:r>
      <w:r w:rsidR="00DD51D3" w:rsidRPr="00F61EEE">
        <w:rPr>
          <w:lang w:eastAsia="ja-JP"/>
        </w:rPr>
        <w:t xml:space="preserve">months to comply with </w:t>
      </w:r>
      <w:r w:rsidR="005F0637" w:rsidRPr="00F61EEE">
        <w:rPr>
          <w:lang w:eastAsia="ja-JP"/>
        </w:rPr>
        <w:t xml:space="preserve">the deed. Some providers complained that the </w:t>
      </w:r>
      <w:r w:rsidR="00794BE7">
        <w:rPr>
          <w:lang w:eastAsia="ja-JP"/>
        </w:rPr>
        <w:t>diploma was expensive (</w:t>
      </w:r>
      <w:r w:rsidR="00E13C9F">
        <w:rPr>
          <w:lang w:eastAsia="ja-JP"/>
        </w:rPr>
        <w:t xml:space="preserve">typically between </w:t>
      </w:r>
      <w:r w:rsidR="00794BE7">
        <w:rPr>
          <w:lang w:eastAsia="ja-JP"/>
        </w:rPr>
        <w:t>$5,000</w:t>
      </w:r>
      <w:r w:rsidR="00021CA8">
        <w:rPr>
          <w:lang w:eastAsia="ja-JP"/>
        </w:rPr>
        <w:t xml:space="preserve"> and </w:t>
      </w:r>
      <w:r w:rsidR="005F0637" w:rsidRPr="00F61EEE">
        <w:rPr>
          <w:lang w:eastAsia="ja-JP"/>
        </w:rPr>
        <w:t>$8,000</w:t>
      </w:r>
      <w:r w:rsidR="00EA1478">
        <w:rPr>
          <w:lang w:eastAsia="ja-JP"/>
        </w:rPr>
        <w:t>)</w:t>
      </w:r>
      <w:r w:rsidR="00D91539" w:rsidRPr="00F61EEE">
        <w:rPr>
          <w:lang w:eastAsia="ja-JP"/>
        </w:rPr>
        <w:t>,</w:t>
      </w:r>
      <w:r w:rsidR="005F0637" w:rsidRPr="00F61EEE">
        <w:rPr>
          <w:lang w:eastAsia="ja-JP"/>
        </w:rPr>
        <w:t xml:space="preserve"> particularly for counsellors who were </w:t>
      </w:r>
      <w:r w:rsidR="005F082C" w:rsidRPr="00F61EEE">
        <w:rPr>
          <w:lang w:eastAsia="ja-JP"/>
        </w:rPr>
        <w:t xml:space="preserve">employed </w:t>
      </w:r>
      <w:r w:rsidR="005F0637" w:rsidRPr="00F61EEE">
        <w:rPr>
          <w:lang w:eastAsia="ja-JP"/>
        </w:rPr>
        <w:t xml:space="preserve">for a period of less than </w:t>
      </w:r>
      <w:r w:rsidR="00F13F30">
        <w:rPr>
          <w:lang w:eastAsia="ja-JP"/>
        </w:rPr>
        <w:t>2</w:t>
      </w:r>
      <w:r w:rsidR="00D91539" w:rsidRPr="00F61EEE">
        <w:rPr>
          <w:lang w:eastAsia="ja-JP"/>
        </w:rPr>
        <w:t xml:space="preserve"> </w:t>
      </w:r>
      <w:r w:rsidR="005F0637" w:rsidRPr="00F61EEE">
        <w:rPr>
          <w:lang w:eastAsia="ja-JP"/>
        </w:rPr>
        <w:t xml:space="preserve">years and </w:t>
      </w:r>
      <w:r w:rsidR="00021CA8">
        <w:rPr>
          <w:lang w:eastAsia="ja-JP"/>
        </w:rPr>
        <w:t>may not</w:t>
      </w:r>
      <w:r w:rsidR="005F0637" w:rsidRPr="00F61EEE">
        <w:rPr>
          <w:lang w:eastAsia="ja-JP"/>
        </w:rPr>
        <w:t xml:space="preserve"> finish the qualification within their employment period.</w:t>
      </w:r>
      <w:r w:rsidR="006B7444" w:rsidRPr="00F61EEE">
        <w:rPr>
          <w:lang w:eastAsia="ja-JP"/>
        </w:rPr>
        <w:t xml:space="preserve"> </w:t>
      </w:r>
      <w:r w:rsidR="00021CA8">
        <w:rPr>
          <w:lang w:eastAsia="ja-JP"/>
        </w:rPr>
        <w:lastRenderedPageBreak/>
        <w:t>C</w:t>
      </w:r>
      <w:r w:rsidR="008916E5" w:rsidRPr="00F61EEE">
        <w:rPr>
          <w:lang w:eastAsia="ja-JP"/>
        </w:rPr>
        <w:t xml:space="preserve">ounsellors who did not commence their diploma immediately on entering the service could find it challenging to complete the study within the </w:t>
      </w:r>
      <w:r w:rsidR="00051B19">
        <w:rPr>
          <w:lang w:eastAsia="ja-JP"/>
        </w:rPr>
        <w:t>2-</w:t>
      </w:r>
      <w:r w:rsidR="00063FCC" w:rsidRPr="00F61EEE">
        <w:rPr>
          <w:lang w:eastAsia="ja-JP"/>
        </w:rPr>
        <w:t>year period.</w:t>
      </w:r>
    </w:p>
    <w:p w14:paraId="5695735B" w14:textId="1B7EA5CE" w:rsidR="00D25144" w:rsidRDefault="00021CA8" w:rsidP="00D25144">
      <w:pPr>
        <w:rPr>
          <w:lang w:eastAsia="ja-JP"/>
        </w:rPr>
      </w:pPr>
      <w:r>
        <w:rPr>
          <w:lang w:eastAsia="ja-JP"/>
        </w:rPr>
        <w:t>T</w:t>
      </w:r>
      <w:r w:rsidR="00D25144">
        <w:rPr>
          <w:lang w:eastAsia="ja-JP"/>
        </w:rPr>
        <w:t>he</w:t>
      </w:r>
      <w:r w:rsidR="00D25144" w:rsidRPr="00D25144">
        <w:rPr>
          <w:lang w:eastAsia="ja-JP"/>
        </w:rPr>
        <w:t xml:space="preserve"> review panel considers the diploma to be an appropriate qualification, providing credibility and assurance to clients </w:t>
      </w:r>
      <w:r>
        <w:rPr>
          <w:lang w:eastAsia="ja-JP"/>
        </w:rPr>
        <w:t>on</w:t>
      </w:r>
      <w:r w:rsidR="00D25144" w:rsidRPr="00D25144">
        <w:rPr>
          <w:lang w:eastAsia="ja-JP"/>
        </w:rPr>
        <w:t xml:space="preserve"> the professional </w:t>
      </w:r>
      <w:r w:rsidR="00937096">
        <w:rPr>
          <w:lang w:eastAsia="ja-JP"/>
        </w:rPr>
        <w:t>expertise</w:t>
      </w:r>
      <w:r w:rsidR="00D25144" w:rsidRPr="00D25144">
        <w:rPr>
          <w:lang w:eastAsia="ja-JP"/>
        </w:rPr>
        <w:t xml:space="preserve"> of counsellors. </w:t>
      </w:r>
      <w:r w:rsidR="0030755A">
        <w:rPr>
          <w:lang w:eastAsia="ja-JP"/>
        </w:rPr>
        <w:t xml:space="preserve">The time period to commence the diploma also appears appropriate given that counsellors would </w:t>
      </w:r>
      <w:r>
        <w:rPr>
          <w:lang w:eastAsia="ja-JP"/>
        </w:rPr>
        <w:t xml:space="preserve">already </w:t>
      </w:r>
      <w:r w:rsidR="0030755A">
        <w:rPr>
          <w:lang w:eastAsia="ja-JP"/>
        </w:rPr>
        <w:t xml:space="preserve">be in the field engaging with clients. </w:t>
      </w:r>
      <w:r w:rsidR="00D25144">
        <w:rPr>
          <w:lang w:eastAsia="ja-JP"/>
        </w:rPr>
        <w:t xml:space="preserve">However, </w:t>
      </w:r>
      <w:r w:rsidR="005F0637">
        <w:rPr>
          <w:lang w:eastAsia="ja-JP"/>
        </w:rPr>
        <w:t xml:space="preserve">there </w:t>
      </w:r>
      <w:r w:rsidR="00D25144">
        <w:rPr>
          <w:lang w:eastAsia="ja-JP"/>
        </w:rPr>
        <w:t>is</w:t>
      </w:r>
      <w:r w:rsidR="005F0637">
        <w:rPr>
          <w:lang w:eastAsia="ja-JP"/>
        </w:rPr>
        <w:t xml:space="preserve"> value in considering </w:t>
      </w:r>
      <w:r>
        <w:rPr>
          <w:lang w:eastAsia="ja-JP"/>
        </w:rPr>
        <w:t xml:space="preserve">some </w:t>
      </w:r>
      <w:r w:rsidR="005F0637">
        <w:rPr>
          <w:lang w:eastAsia="ja-JP"/>
        </w:rPr>
        <w:t>changes to the diploma</w:t>
      </w:r>
      <w:r w:rsidR="00D25144">
        <w:rPr>
          <w:lang w:eastAsia="ja-JP"/>
        </w:rPr>
        <w:t xml:space="preserve">, particularly given </w:t>
      </w:r>
      <w:r w:rsidR="007173D8">
        <w:rPr>
          <w:lang w:eastAsia="ja-JP"/>
        </w:rPr>
        <w:t>it</w:t>
      </w:r>
      <w:r w:rsidR="009C7D17">
        <w:rPr>
          <w:lang w:eastAsia="ja-JP"/>
        </w:rPr>
        <w:t xml:space="preserve"> is scheduled for review by June 2020</w:t>
      </w:r>
      <w:r w:rsidR="00D25144">
        <w:rPr>
          <w:lang w:eastAsia="ja-JP"/>
        </w:rPr>
        <w:t xml:space="preserve">. </w:t>
      </w:r>
      <w:r w:rsidR="007173D8">
        <w:rPr>
          <w:lang w:eastAsia="ja-JP"/>
        </w:rPr>
        <w:t>A</w:t>
      </w:r>
      <w:r w:rsidR="00937096">
        <w:rPr>
          <w:lang w:eastAsia="ja-JP"/>
        </w:rPr>
        <w:t>reas for consideration include</w:t>
      </w:r>
      <w:r w:rsidR="005F082C">
        <w:rPr>
          <w:lang w:eastAsia="ja-JP"/>
        </w:rPr>
        <w:t>:</w:t>
      </w:r>
    </w:p>
    <w:p w14:paraId="36D69790" w14:textId="77777777" w:rsidR="00517F4E" w:rsidRDefault="005F082C" w:rsidP="00D25144">
      <w:pPr>
        <w:pStyle w:val="ListBullet"/>
        <w:rPr>
          <w:lang w:eastAsia="ja-JP"/>
        </w:rPr>
      </w:pPr>
      <w:r>
        <w:rPr>
          <w:lang w:eastAsia="ja-JP"/>
        </w:rPr>
        <w:t>i</w:t>
      </w:r>
      <w:r w:rsidR="00937096">
        <w:rPr>
          <w:lang w:eastAsia="ja-JP"/>
        </w:rPr>
        <w:t xml:space="preserve">ncreased </w:t>
      </w:r>
      <w:r w:rsidR="00E7369D">
        <w:rPr>
          <w:lang w:eastAsia="ja-JP"/>
        </w:rPr>
        <w:t>rural or agriculture-specific content</w:t>
      </w:r>
    </w:p>
    <w:p w14:paraId="6F38ED0D" w14:textId="4A3037B9" w:rsidR="00A35A86" w:rsidRDefault="005F082C" w:rsidP="00A35A86">
      <w:pPr>
        <w:pStyle w:val="ListBullet"/>
        <w:rPr>
          <w:lang w:eastAsia="ja-JP"/>
        </w:rPr>
      </w:pPr>
      <w:r>
        <w:rPr>
          <w:lang w:eastAsia="ja-JP"/>
        </w:rPr>
        <w:t>p</w:t>
      </w:r>
      <w:r w:rsidR="00A35A86">
        <w:rPr>
          <w:lang w:eastAsia="ja-JP"/>
        </w:rPr>
        <w:t>rioritisation of core or rural elective units to ensure counsellors have the most relevant skills as soon as possible</w:t>
      </w:r>
    </w:p>
    <w:p w14:paraId="370B7869" w14:textId="77777777" w:rsidR="00517F4E" w:rsidRDefault="005F082C" w:rsidP="00D25144">
      <w:pPr>
        <w:pStyle w:val="ListBullet"/>
        <w:rPr>
          <w:lang w:eastAsia="ja-JP"/>
        </w:rPr>
      </w:pPr>
      <w:r>
        <w:rPr>
          <w:lang w:eastAsia="ja-JP"/>
        </w:rPr>
        <w:t>t</w:t>
      </w:r>
      <w:r w:rsidR="00937096">
        <w:rPr>
          <w:lang w:eastAsia="ja-JP"/>
        </w:rPr>
        <w:t>ime frame</w:t>
      </w:r>
      <w:r w:rsidR="00E7369D">
        <w:rPr>
          <w:lang w:eastAsia="ja-JP"/>
        </w:rPr>
        <w:t>s</w:t>
      </w:r>
      <w:r w:rsidR="00937096">
        <w:rPr>
          <w:lang w:eastAsia="ja-JP"/>
        </w:rPr>
        <w:t xml:space="preserve"> to complete</w:t>
      </w:r>
      <w:r w:rsidR="00A35A86">
        <w:rPr>
          <w:lang w:eastAsia="ja-JP"/>
        </w:rPr>
        <w:t xml:space="preserve"> full</w:t>
      </w:r>
      <w:r w:rsidR="00937096">
        <w:rPr>
          <w:lang w:eastAsia="ja-JP"/>
        </w:rPr>
        <w:t xml:space="preserve"> course requirements</w:t>
      </w:r>
    </w:p>
    <w:p w14:paraId="69EFF25B" w14:textId="77777777" w:rsidR="00517F4E" w:rsidRDefault="005F082C" w:rsidP="007A27A0">
      <w:pPr>
        <w:pStyle w:val="ListBullet"/>
        <w:rPr>
          <w:lang w:eastAsia="ja-JP"/>
        </w:rPr>
      </w:pPr>
      <w:r>
        <w:rPr>
          <w:lang w:eastAsia="ja-JP"/>
        </w:rPr>
        <w:t>r</w:t>
      </w:r>
      <w:r w:rsidR="009C7D17">
        <w:rPr>
          <w:lang w:eastAsia="ja-JP"/>
        </w:rPr>
        <w:t xml:space="preserve">ecognition of </w:t>
      </w:r>
      <w:r w:rsidR="007A27A0">
        <w:rPr>
          <w:lang w:eastAsia="ja-JP"/>
        </w:rPr>
        <w:t>prior learning</w:t>
      </w:r>
    </w:p>
    <w:p w14:paraId="45B7FB09" w14:textId="0671684A" w:rsidR="00517F4E" w:rsidRDefault="005F082C" w:rsidP="00D25144">
      <w:pPr>
        <w:pStyle w:val="ListBullet"/>
        <w:rPr>
          <w:lang w:eastAsia="ja-JP"/>
        </w:rPr>
      </w:pPr>
      <w:proofErr w:type="gramStart"/>
      <w:r>
        <w:rPr>
          <w:lang w:eastAsia="ja-JP"/>
        </w:rPr>
        <w:t>i</w:t>
      </w:r>
      <w:r w:rsidR="007A27A0">
        <w:rPr>
          <w:lang w:eastAsia="ja-JP"/>
        </w:rPr>
        <w:t>ncreasing</w:t>
      </w:r>
      <w:proofErr w:type="gramEnd"/>
      <w:r w:rsidR="007A27A0">
        <w:rPr>
          <w:lang w:eastAsia="ja-JP"/>
        </w:rPr>
        <w:t xml:space="preserve"> exposure of generalist financial counsellors to rural financial counselling issues, providing a broader pool of new talent</w:t>
      </w:r>
      <w:r w:rsidR="00227491">
        <w:rPr>
          <w:lang w:eastAsia="ja-JP"/>
        </w:rPr>
        <w:t>.</w:t>
      </w:r>
    </w:p>
    <w:p w14:paraId="5F163A4B" w14:textId="434A4E77" w:rsidR="00517F4E" w:rsidRDefault="007A27A0" w:rsidP="00126F66">
      <w:pPr>
        <w:rPr>
          <w:lang w:eastAsia="ja-JP"/>
        </w:rPr>
      </w:pPr>
      <w:r>
        <w:rPr>
          <w:lang w:eastAsia="en-AU"/>
        </w:rPr>
        <w:t xml:space="preserve">The </w:t>
      </w:r>
      <w:r w:rsidRPr="007A27A0">
        <w:t>panel</w:t>
      </w:r>
      <w:r>
        <w:rPr>
          <w:lang w:eastAsia="en-AU"/>
        </w:rPr>
        <w:t xml:space="preserve"> </w:t>
      </w:r>
      <w:r>
        <w:rPr>
          <w:lang w:eastAsia="ja-JP"/>
        </w:rPr>
        <w:t xml:space="preserve">notes that </w:t>
      </w:r>
      <w:proofErr w:type="spellStart"/>
      <w:r w:rsidR="00FF5F7E">
        <w:rPr>
          <w:lang w:eastAsia="ja-JP"/>
        </w:rPr>
        <w:t>FCA</w:t>
      </w:r>
      <w:proofErr w:type="spellEnd"/>
      <w:r w:rsidR="00FF5F7E">
        <w:rPr>
          <w:lang w:eastAsia="ja-JP"/>
        </w:rPr>
        <w:t xml:space="preserve"> </w:t>
      </w:r>
      <w:r w:rsidR="00F50A8C">
        <w:rPr>
          <w:lang w:eastAsia="ja-JP"/>
        </w:rPr>
        <w:t xml:space="preserve">represents the financial counselling industry on the </w:t>
      </w:r>
      <w:r w:rsidR="00B84DBB">
        <w:rPr>
          <w:lang w:eastAsia="ja-JP"/>
        </w:rPr>
        <w:t>i</w:t>
      </w:r>
      <w:r w:rsidR="00F50A8C">
        <w:rPr>
          <w:lang w:eastAsia="ja-JP"/>
        </w:rPr>
        <w:t xml:space="preserve">ndustry </w:t>
      </w:r>
      <w:r w:rsidR="00B84DBB">
        <w:rPr>
          <w:lang w:eastAsia="ja-JP"/>
        </w:rPr>
        <w:t>s</w:t>
      </w:r>
      <w:r w:rsidR="00F50A8C">
        <w:rPr>
          <w:lang w:eastAsia="ja-JP"/>
        </w:rPr>
        <w:t xml:space="preserve">kills </w:t>
      </w:r>
      <w:r w:rsidR="00B84DBB">
        <w:rPr>
          <w:lang w:eastAsia="ja-JP"/>
        </w:rPr>
        <w:t>c</w:t>
      </w:r>
      <w:r w:rsidR="00F50A8C">
        <w:rPr>
          <w:lang w:eastAsia="ja-JP"/>
        </w:rPr>
        <w:t>ouncil that oversees the</w:t>
      </w:r>
      <w:r>
        <w:rPr>
          <w:lang w:eastAsia="ja-JP"/>
        </w:rPr>
        <w:t xml:space="preserve"> </w:t>
      </w:r>
      <w:r w:rsidR="00D724AF">
        <w:rPr>
          <w:lang w:eastAsia="ja-JP"/>
        </w:rPr>
        <w:t>d</w:t>
      </w:r>
      <w:r w:rsidR="00F50A8C">
        <w:rPr>
          <w:lang w:eastAsia="ja-JP"/>
        </w:rPr>
        <w:t>iploma</w:t>
      </w:r>
      <w:r>
        <w:rPr>
          <w:lang w:eastAsia="ja-JP"/>
        </w:rPr>
        <w:t xml:space="preserve">. </w:t>
      </w:r>
      <w:proofErr w:type="spellStart"/>
      <w:r>
        <w:rPr>
          <w:lang w:eastAsia="ja-JP"/>
        </w:rPr>
        <w:t>FCA</w:t>
      </w:r>
      <w:proofErr w:type="spellEnd"/>
      <w:r>
        <w:rPr>
          <w:lang w:eastAsia="ja-JP"/>
        </w:rPr>
        <w:t xml:space="preserve"> does not represent all RFCS providers, so the department and or other service providers may also need to engage in this review.</w:t>
      </w:r>
    </w:p>
    <w:p w14:paraId="6E4D9B6C" w14:textId="3E2651A0" w:rsidR="00126F66" w:rsidRDefault="00964C5E" w:rsidP="00EF2381">
      <w:pPr>
        <w:pStyle w:val="Heading4"/>
        <w:numPr>
          <w:ilvl w:val="2"/>
          <w:numId w:val="12"/>
        </w:numPr>
        <w:rPr>
          <w:lang w:eastAsia="ja-JP"/>
        </w:rPr>
      </w:pPr>
      <w:r>
        <w:rPr>
          <w:lang w:eastAsia="ja-JP"/>
        </w:rPr>
        <w:t>Broader</w:t>
      </w:r>
      <w:r w:rsidR="003F0878">
        <w:rPr>
          <w:lang w:eastAsia="ja-JP"/>
        </w:rPr>
        <w:t xml:space="preserve"> </w:t>
      </w:r>
      <w:r>
        <w:rPr>
          <w:lang w:eastAsia="ja-JP"/>
        </w:rPr>
        <w:t>continuous</w:t>
      </w:r>
      <w:r w:rsidR="00126F66">
        <w:rPr>
          <w:lang w:eastAsia="ja-JP"/>
        </w:rPr>
        <w:t xml:space="preserve"> professional development</w:t>
      </w:r>
    </w:p>
    <w:p w14:paraId="61121989" w14:textId="77777777" w:rsidR="00517F4E" w:rsidRDefault="005F7DC7" w:rsidP="00D978D7">
      <w:pPr>
        <w:rPr>
          <w:lang w:eastAsia="ja-JP"/>
        </w:rPr>
      </w:pPr>
      <w:r>
        <w:rPr>
          <w:lang w:eastAsia="ja-JP"/>
        </w:rPr>
        <w:t>The limitations o</w:t>
      </w:r>
      <w:r w:rsidR="00E737C3">
        <w:rPr>
          <w:lang w:eastAsia="ja-JP"/>
        </w:rPr>
        <w:t>f</w:t>
      </w:r>
      <w:r>
        <w:rPr>
          <w:lang w:eastAsia="ja-JP"/>
        </w:rPr>
        <w:t xml:space="preserve"> the current diploma </w:t>
      </w:r>
      <w:r w:rsidR="007D76B6">
        <w:rPr>
          <w:lang w:eastAsia="ja-JP"/>
        </w:rPr>
        <w:t>create</w:t>
      </w:r>
      <w:r w:rsidR="00081909">
        <w:rPr>
          <w:lang w:eastAsia="ja-JP"/>
        </w:rPr>
        <w:t xml:space="preserve"> a</w:t>
      </w:r>
      <w:r>
        <w:rPr>
          <w:lang w:eastAsia="ja-JP"/>
        </w:rPr>
        <w:t xml:space="preserve"> need for supplementary professional development</w:t>
      </w:r>
      <w:r w:rsidR="00D978D7">
        <w:rPr>
          <w:lang w:eastAsia="ja-JP"/>
        </w:rPr>
        <w:t xml:space="preserve"> tailored to the individual</w:t>
      </w:r>
      <w:r>
        <w:rPr>
          <w:lang w:eastAsia="ja-JP"/>
        </w:rPr>
        <w:t xml:space="preserve">. </w:t>
      </w:r>
      <w:r w:rsidR="00126F66">
        <w:rPr>
          <w:lang w:eastAsia="ja-JP"/>
        </w:rPr>
        <w:t>This professional development</w:t>
      </w:r>
      <w:r w:rsidR="00503351">
        <w:rPr>
          <w:lang w:eastAsia="ja-JP"/>
        </w:rPr>
        <w:t xml:space="preserve"> </w:t>
      </w:r>
      <w:r w:rsidR="00126F66">
        <w:rPr>
          <w:lang w:eastAsia="ja-JP"/>
        </w:rPr>
        <w:t>is not standar</w:t>
      </w:r>
      <w:r w:rsidR="00A2229C">
        <w:rPr>
          <w:lang w:eastAsia="ja-JP"/>
        </w:rPr>
        <w:t>dised or centrally coordinated</w:t>
      </w:r>
      <w:r w:rsidR="00503351">
        <w:rPr>
          <w:lang w:eastAsia="ja-JP"/>
        </w:rPr>
        <w:t>,</w:t>
      </w:r>
      <w:r w:rsidR="00A2229C">
        <w:rPr>
          <w:lang w:eastAsia="ja-JP"/>
        </w:rPr>
        <w:t xml:space="preserve"> </w:t>
      </w:r>
      <w:r w:rsidR="00D978D7">
        <w:rPr>
          <w:lang w:eastAsia="ja-JP"/>
        </w:rPr>
        <w:t xml:space="preserve">but </w:t>
      </w:r>
      <w:r w:rsidR="00A2229C">
        <w:rPr>
          <w:lang w:eastAsia="ja-JP"/>
        </w:rPr>
        <w:t xml:space="preserve">handled discretely by individual service providers as part of their employer obligations. </w:t>
      </w:r>
      <w:r w:rsidR="00D978D7">
        <w:rPr>
          <w:lang w:eastAsia="ja-JP"/>
        </w:rPr>
        <w:t>T</w:t>
      </w:r>
      <w:r w:rsidR="00F7143B">
        <w:rPr>
          <w:lang w:eastAsia="ja-JP"/>
        </w:rPr>
        <w:t>here is evidence that professional development is constrained by operational budgets and time</w:t>
      </w:r>
      <w:r w:rsidR="000412C7">
        <w:rPr>
          <w:lang w:eastAsia="ja-JP"/>
        </w:rPr>
        <w:t xml:space="preserve"> and could improve</w:t>
      </w:r>
      <w:r w:rsidR="00F7143B">
        <w:rPr>
          <w:lang w:eastAsia="ja-JP"/>
        </w:rPr>
        <w:t>.</w:t>
      </w:r>
    </w:p>
    <w:p w14:paraId="307B9463" w14:textId="400725CE" w:rsidR="004475FC" w:rsidRDefault="00783980" w:rsidP="00F7143B">
      <w:pPr>
        <w:rPr>
          <w:lang w:eastAsia="ja-JP"/>
        </w:rPr>
      </w:pPr>
      <w:r>
        <w:rPr>
          <w:lang w:eastAsia="ja-JP"/>
        </w:rPr>
        <w:t>O</w:t>
      </w:r>
      <w:r w:rsidR="004475FC">
        <w:rPr>
          <w:lang w:eastAsia="ja-JP"/>
        </w:rPr>
        <w:t xml:space="preserve">pportunities exist to collaborate between </w:t>
      </w:r>
      <w:r w:rsidR="00503351">
        <w:rPr>
          <w:lang w:eastAsia="ja-JP"/>
        </w:rPr>
        <w:t>service</w:t>
      </w:r>
      <w:r w:rsidR="00591DFE">
        <w:rPr>
          <w:lang w:eastAsia="ja-JP"/>
        </w:rPr>
        <w:t xml:space="preserve"> regions</w:t>
      </w:r>
      <w:r w:rsidR="00503351">
        <w:rPr>
          <w:lang w:eastAsia="ja-JP"/>
        </w:rPr>
        <w:t xml:space="preserve"> </w:t>
      </w:r>
      <w:r w:rsidR="004475FC">
        <w:rPr>
          <w:lang w:eastAsia="ja-JP"/>
        </w:rPr>
        <w:t xml:space="preserve">to efficiently provide professional development for staff. There is a potential role for government in facilitating the sharing of </w:t>
      </w:r>
      <w:r w:rsidR="00417993">
        <w:rPr>
          <w:lang w:eastAsia="ja-JP"/>
        </w:rPr>
        <w:t>information or training through events (</w:t>
      </w:r>
      <w:r w:rsidR="00106897">
        <w:rPr>
          <w:lang w:eastAsia="ja-JP"/>
        </w:rPr>
        <w:t>e.g.</w:t>
      </w:r>
      <w:r w:rsidR="00417993">
        <w:rPr>
          <w:lang w:eastAsia="ja-JP"/>
        </w:rPr>
        <w:t xml:space="preserve"> conferences) or training resources (</w:t>
      </w:r>
      <w:r w:rsidR="00106897">
        <w:rPr>
          <w:lang w:eastAsia="ja-JP"/>
        </w:rPr>
        <w:t>e.g.</w:t>
      </w:r>
      <w:r w:rsidR="00417993">
        <w:rPr>
          <w:lang w:eastAsia="ja-JP"/>
        </w:rPr>
        <w:t xml:space="preserve"> through SharePoint, webinars or factsheets).</w:t>
      </w:r>
    </w:p>
    <w:p w14:paraId="741E30D5" w14:textId="1EB5347A" w:rsidR="00EC38A7" w:rsidRDefault="00126F66" w:rsidP="00126F66">
      <w:pPr>
        <w:rPr>
          <w:lang w:eastAsia="ja-JP"/>
        </w:rPr>
      </w:pPr>
      <w:r>
        <w:rPr>
          <w:lang w:eastAsia="ja-JP"/>
        </w:rPr>
        <w:t>Specific training</w:t>
      </w:r>
      <w:r w:rsidR="008268C2">
        <w:rPr>
          <w:lang w:eastAsia="ja-JP"/>
        </w:rPr>
        <w:t xml:space="preserve"> requests identified by </w:t>
      </w:r>
      <w:r>
        <w:rPr>
          <w:lang w:eastAsia="ja-JP"/>
        </w:rPr>
        <w:t>stakeholders include:</w:t>
      </w:r>
    </w:p>
    <w:p w14:paraId="2A17D983" w14:textId="77777777" w:rsidR="00517F4E" w:rsidRDefault="005F082C" w:rsidP="00753893">
      <w:pPr>
        <w:pStyle w:val="ListBullet"/>
        <w:rPr>
          <w:lang w:eastAsia="ja-JP"/>
        </w:rPr>
      </w:pPr>
      <w:r>
        <w:rPr>
          <w:lang w:eastAsia="ja-JP"/>
        </w:rPr>
        <w:t>i</w:t>
      </w:r>
      <w:r w:rsidR="00B72FE5">
        <w:rPr>
          <w:lang w:eastAsia="ja-JP"/>
        </w:rPr>
        <w:t>nduction content</w:t>
      </w:r>
      <w:r w:rsidR="008A25E1">
        <w:rPr>
          <w:lang w:eastAsia="ja-JP"/>
        </w:rPr>
        <w:t>—</w:t>
      </w:r>
      <w:r w:rsidR="00B72FE5">
        <w:rPr>
          <w:lang w:eastAsia="ja-JP"/>
        </w:rPr>
        <w:t xml:space="preserve">such as program or </w:t>
      </w:r>
      <w:r w:rsidR="003461A5">
        <w:rPr>
          <w:lang w:eastAsia="ja-JP"/>
        </w:rPr>
        <w:t>f</w:t>
      </w:r>
      <w:r w:rsidR="00503351">
        <w:rPr>
          <w:lang w:eastAsia="ja-JP"/>
        </w:rPr>
        <w:t>unding</w:t>
      </w:r>
      <w:r w:rsidR="003461A5">
        <w:rPr>
          <w:lang w:eastAsia="ja-JP"/>
        </w:rPr>
        <w:t xml:space="preserve"> deed</w:t>
      </w:r>
      <w:r w:rsidR="00503351">
        <w:rPr>
          <w:lang w:eastAsia="ja-JP"/>
        </w:rPr>
        <w:t xml:space="preserve"> </w:t>
      </w:r>
      <w:r w:rsidR="00520343">
        <w:rPr>
          <w:lang w:eastAsia="ja-JP"/>
        </w:rPr>
        <w:t>requirements</w:t>
      </w:r>
      <w:r w:rsidR="006909C1">
        <w:rPr>
          <w:lang w:eastAsia="ja-JP"/>
        </w:rPr>
        <w:t xml:space="preserve"> (including training on data and government reporting requirements)</w:t>
      </w:r>
    </w:p>
    <w:p w14:paraId="53E4429E" w14:textId="77777777" w:rsidR="00517F4E" w:rsidRDefault="005F082C" w:rsidP="00B72FE5">
      <w:pPr>
        <w:pStyle w:val="ListBullet"/>
        <w:rPr>
          <w:lang w:eastAsia="ja-JP"/>
        </w:rPr>
      </w:pPr>
      <w:r>
        <w:rPr>
          <w:lang w:eastAsia="ja-JP"/>
        </w:rPr>
        <w:t>m</w:t>
      </w:r>
      <w:r w:rsidR="00520343">
        <w:rPr>
          <w:lang w:eastAsia="ja-JP"/>
        </w:rPr>
        <w:t>onitoring and evaluation</w:t>
      </w:r>
      <w:r w:rsidR="008A25E1">
        <w:rPr>
          <w:lang w:eastAsia="ja-JP"/>
        </w:rPr>
        <w:t>—</w:t>
      </w:r>
      <w:r w:rsidR="00520343">
        <w:rPr>
          <w:lang w:eastAsia="ja-JP"/>
        </w:rPr>
        <w:t xml:space="preserve">training to use the </w:t>
      </w:r>
      <w:r w:rsidR="00826D22">
        <w:rPr>
          <w:lang w:eastAsia="ja-JP"/>
        </w:rPr>
        <w:t>p</w:t>
      </w:r>
      <w:r w:rsidR="00520343">
        <w:rPr>
          <w:lang w:eastAsia="ja-JP"/>
        </w:rPr>
        <w:t>ortal</w:t>
      </w:r>
    </w:p>
    <w:p w14:paraId="086D23C3" w14:textId="47293529" w:rsidR="00517F4E" w:rsidRDefault="005F082C" w:rsidP="00B72FE5">
      <w:pPr>
        <w:pStyle w:val="ListBullet"/>
        <w:rPr>
          <w:lang w:eastAsia="ja-JP"/>
        </w:rPr>
      </w:pPr>
      <w:r>
        <w:rPr>
          <w:lang w:eastAsia="ja-JP"/>
        </w:rPr>
        <w:t xml:space="preserve">upskilling </w:t>
      </w:r>
      <w:r w:rsidR="00B72FE5">
        <w:rPr>
          <w:lang w:eastAsia="ja-JP"/>
        </w:rPr>
        <w:t xml:space="preserve">on </w:t>
      </w:r>
      <w:r w:rsidR="00783980">
        <w:rPr>
          <w:lang w:eastAsia="ja-JP"/>
        </w:rPr>
        <w:t xml:space="preserve">government </w:t>
      </w:r>
      <w:r w:rsidR="00B72FE5">
        <w:rPr>
          <w:lang w:eastAsia="ja-JP"/>
        </w:rPr>
        <w:t xml:space="preserve">assistance programs—where the RFCS plays a key role in promoting, referring, or assisting </w:t>
      </w:r>
      <w:r w:rsidR="00B84DBB">
        <w:rPr>
          <w:lang w:eastAsia="ja-JP"/>
        </w:rPr>
        <w:t>clients to access those</w:t>
      </w:r>
      <w:r w:rsidR="00B72FE5">
        <w:rPr>
          <w:lang w:eastAsia="ja-JP"/>
        </w:rPr>
        <w:t xml:space="preserve"> programs </w:t>
      </w:r>
      <w:r w:rsidR="00783980">
        <w:rPr>
          <w:lang w:eastAsia="ja-JP"/>
        </w:rPr>
        <w:t>(</w:t>
      </w:r>
      <w:r w:rsidR="00B72FE5">
        <w:rPr>
          <w:lang w:eastAsia="ja-JP"/>
        </w:rPr>
        <w:t xml:space="preserve">for example, </w:t>
      </w:r>
      <w:r w:rsidR="001F00E5">
        <w:rPr>
          <w:lang w:eastAsia="ja-JP"/>
        </w:rPr>
        <w:t>FHA</w:t>
      </w:r>
      <w:r>
        <w:rPr>
          <w:lang w:eastAsia="ja-JP"/>
        </w:rPr>
        <w:t xml:space="preserve"> or</w:t>
      </w:r>
      <w:r w:rsidR="00AA5160">
        <w:rPr>
          <w:lang w:eastAsia="ja-JP"/>
        </w:rPr>
        <w:t xml:space="preserve"> </w:t>
      </w:r>
      <w:proofErr w:type="spellStart"/>
      <w:r w:rsidR="00B84DBB">
        <w:rPr>
          <w:lang w:eastAsia="ja-JP"/>
        </w:rPr>
        <w:t>RIC</w:t>
      </w:r>
      <w:proofErr w:type="spellEnd"/>
      <w:r w:rsidR="00520343">
        <w:rPr>
          <w:lang w:eastAsia="ja-JP"/>
        </w:rPr>
        <w:t xml:space="preserve"> loan products</w:t>
      </w:r>
      <w:r w:rsidR="00783980">
        <w:rPr>
          <w:lang w:eastAsia="ja-JP"/>
        </w:rPr>
        <w:t>)</w:t>
      </w:r>
    </w:p>
    <w:p w14:paraId="7F423356" w14:textId="2EE0DF03" w:rsidR="00517F4E" w:rsidRDefault="005F082C" w:rsidP="00B72FE5">
      <w:pPr>
        <w:pStyle w:val="ListBullet"/>
        <w:rPr>
          <w:lang w:eastAsia="ja-JP"/>
        </w:rPr>
      </w:pPr>
      <w:r>
        <w:rPr>
          <w:lang w:eastAsia="ja-JP"/>
        </w:rPr>
        <w:t>f</w:t>
      </w:r>
      <w:r w:rsidR="00753893">
        <w:rPr>
          <w:lang w:eastAsia="ja-JP"/>
        </w:rPr>
        <w:t>arm debt mediation</w:t>
      </w:r>
      <w:r w:rsidR="008A25E1">
        <w:rPr>
          <w:lang w:eastAsia="ja-JP"/>
        </w:rPr>
        <w:t>—</w:t>
      </w:r>
      <w:r w:rsidR="00B84DBB">
        <w:rPr>
          <w:lang w:eastAsia="ja-JP"/>
        </w:rPr>
        <w:t>noting this requires</w:t>
      </w:r>
      <w:r w:rsidR="00B72FE5">
        <w:rPr>
          <w:lang w:eastAsia="ja-JP"/>
        </w:rPr>
        <w:t xml:space="preserve"> state</w:t>
      </w:r>
      <w:r w:rsidR="00B84DBB">
        <w:rPr>
          <w:lang w:eastAsia="ja-JP"/>
        </w:rPr>
        <w:noBreakHyphen/>
      </w:r>
      <w:r w:rsidR="00B72FE5">
        <w:rPr>
          <w:lang w:eastAsia="ja-JP"/>
        </w:rPr>
        <w:t>specific content</w:t>
      </w:r>
    </w:p>
    <w:p w14:paraId="2147EFDE" w14:textId="6206B471" w:rsidR="00EC38A7" w:rsidRDefault="005F082C" w:rsidP="00D01659">
      <w:pPr>
        <w:pStyle w:val="ListBullet"/>
        <w:rPr>
          <w:lang w:eastAsia="ja-JP"/>
        </w:rPr>
      </w:pPr>
      <w:proofErr w:type="gramStart"/>
      <w:r>
        <w:rPr>
          <w:lang w:eastAsia="ja-JP"/>
        </w:rPr>
        <w:t>m</w:t>
      </w:r>
      <w:r w:rsidR="00EC38A7">
        <w:rPr>
          <w:lang w:eastAsia="ja-JP"/>
        </w:rPr>
        <w:t>ental</w:t>
      </w:r>
      <w:proofErr w:type="gramEnd"/>
      <w:r w:rsidR="00EC38A7">
        <w:rPr>
          <w:lang w:eastAsia="ja-JP"/>
        </w:rPr>
        <w:t xml:space="preserve"> health </w:t>
      </w:r>
      <w:r w:rsidR="00126F66">
        <w:rPr>
          <w:lang w:eastAsia="ja-JP"/>
        </w:rPr>
        <w:t>first aid</w:t>
      </w:r>
      <w:r w:rsidR="00EC38A7">
        <w:rPr>
          <w:lang w:eastAsia="ja-JP"/>
        </w:rPr>
        <w:t xml:space="preserve"> courses</w:t>
      </w:r>
      <w:r w:rsidR="008A25E1">
        <w:rPr>
          <w:lang w:eastAsia="ja-JP"/>
        </w:rPr>
        <w:t>—</w:t>
      </w:r>
      <w:r w:rsidR="0003604A">
        <w:rPr>
          <w:lang w:eastAsia="ja-JP"/>
        </w:rPr>
        <w:t xml:space="preserve">as a first point of contact and trusted source of referral, </w:t>
      </w:r>
      <w:r>
        <w:rPr>
          <w:lang w:eastAsia="ja-JP"/>
        </w:rPr>
        <w:t>c</w:t>
      </w:r>
      <w:r w:rsidR="0096556E">
        <w:rPr>
          <w:lang w:eastAsia="ja-JP"/>
        </w:rPr>
        <w:t>ounsellors need a base-level understanding of</w:t>
      </w:r>
      <w:r w:rsidR="0003604A">
        <w:rPr>
          <w:lang w:eastAsia="ja-JP"/>
        </w:rPr>
        <w:t xml:space="preserve"> mental health issues</w:t>
      </w:r>
      <w:r w:rsidR="0096556E">
        <w:rPr>
          <w:lang w:eastAsia="ja-JP"/>
        </w:rPr>
        <w:t xml:space="preserve"> and </w:t>
      </w:r>
      <w:r w:rsidR="0003604A">
        <w:rPr>
          <w:lang w:eastAsia="ja-JP"/>
        </w:rPr>
        <w:t xml:space="preserve">to </w:t>
      </w:r>
      <w:r w:rsidR="0096556E">
        <w:rPr>
          <w:lang w:eastAsia="ja-JP"/>
        </w:rPr>
        <w:t xml:space="preserve">feel comfortable discussing </w:t>
      </w:r>
      <w:r w:rsidR="0003604A">
        <w:rPr>
          <w:lang w:eastAsia="ja-JP"/>
        </w:rPr>
        <w:t>these</w:t>
      </w:r>
      <w:r w:rsidR="0096556E">
        <w:rPr>
          <w:lang w:eastAsia="ja-JP"/>
        </w:rPr>
        <w:t xml:space="preserve"> issues</w:t>
      </w:r>
      <w:r w:rsidR="0003604A">
        <w:rPr>
          <w:lang w:eastAsia="ja-JP"/>
        </w:rPr>
        <w:t xml:space="preserve"> with clients</w:t>
      </w:r>
      <w:r w:rsidR="0096556E">
        <w:rPr>
          <w:lang w:eastAsia="ja-JP"/>
        </w:rPr>
        <w:t xml:space="preserve">. </w:t>
      </w:r>
      <w:r w:rsidR="00EC38A7" w:rsidRPr="00EC38A7">
        <w:rPr>
          <w:lang w:eastAsia="ja-JP"/>
        </w:rPr>
        <w:t xml:space="preserve">Like physical first aid, mental health first aid is given </w:t>
      </w:r>
      <w:r w:rsidR="0096556E">
        <w:rPr>
          <w:lang w:eastAsia="ja-JP"/>
        </w:rPr>
        <w:t>to minimise immediate</w:t>
      </w:r>
      <w:r w:rsidR="0096556E" w:rsidRPr="00DA34F1">
        <w:rPr>
          <w:lang w:eastAsia="ja-JP"/>
        </w:rPr>
        <w:t xml:space="preserve"> safety concerns</w:t>
      </w:r>
      <w:r w:rsidR="0096556E">
        <w:rPr>
          <w:lang w:eastAsia="ja-JP"/>
        </w:rPr>
        <w:t xml:space="preserve"> </w:t>
      </w:r>
      <w:r w:rsidR="00EC38A7" w:rsidRPr="00EC38A7">
        <w:rPr>
          <w:lang w:eastAsia="ja-JP"/>
        </w:rPr>
        <w:t>until the person receives professional help</w:t>
      </w:r>
    </w:p>
    <w:p w14:paraId="22DE28E7" w14:textId="7978395F" w:rsidR="00517F4E" w:rsidRDefault="005F082C" w:rsidP="00D01659">
      <w:pPr>
        <w:pStyle w:val="ListBullet"/>
        <w:rPr>
          <w:lang w:eastAsia="ja-JP"/>
        </w:rPr>
      </w:pPr>
      <w:proofErr w:type="gramStart"/>
      <w:r>
        <w:rPr>
          <w:lang w:eastAsia="ja-JP"/>
        </w:rPr>
        <w:lastRenderedPageBreak/>
        <w:t>d</w:t>
      </w:r>
      <w:r w:rsidR="00AA5160">
        <w:rPr>
          <w:lang w:eastAsia="ja-JP"/>
        </w:rPr>
        <w:t>omestic</w:t>
      </w:r>
      <w:proofErr w:type="gramEnd"/>
      <w:r w:rsidR="00AA5160">
        <w:rPr>
          <w:lang w:eastAsia="ja-JP"/>
        </w:rPr>
        <w:t xml:space="preserve"> and family v</w:t>
      </w:r>
      <w:r w:rsidR="00EC38A7" w:rsidRPr="0096556E">
        <w:rPr>
          <w:lang w:eastAsia="ja-JP"/>
        </w:rPr>
        <w:t xml:space="preserve">iolence </w:t>
      </w:r>
      <w:r w:rsidR="00AA006E">
        <w:rPr>
          <w:lang w:eastAsia="ja-JP"/>
        </w:rPr>
        <w:t>response courses</w:t>
      </w:r>
      <w:r w:rsidR="008A25E1">
        <w:rPr>
          <w:lang w:eastAsia="ja-JP"/>
        </w:rPr>
        <w:t>—</w:t>
      </w:r>
      <w:r>
        <w:rPr>
          <w:lang w:eastAsia="ja-JP"/>
        </w:rPr>
        <w:t>c</w:t>
      </w:r>
      <w:r w:rsidR="00753893">
        <w:rPr>
          <w:lang w:eastAsia="ja-JP"/>
        </w:rPr>
        <w:t xml:space="preserve">ounsellors </w:t>
      </w:r>
      <w:r w:rsidR="0003604A">
        <w:rPr>
          <w:lang w:eastAsia="ja-JP"/>
        </w:rPr>
        <w:t>may</w:t>
      </w:r>
      <w:r w:rsidR="00B72FE5">
        <w:rPr>
          <w:lang w:eastAsia="ja-JP"/>
        </w:rPr>
        <w:t xml:space="preserve"> have contact with clients </w:t>
      </w:r>
      <w:r w:rsidR="00B72FE5" w:rsidRPr="00753893">
        <w:rPr>
          <w:lang w:eastAsia="ja-JP"/>
        </w:rPr>
        <w:t>experiencing domestic violence</w:t>
      </w:r>
      <w:r w:rsidR="00B72FE5">
        <w:rPr>
          <w:lang w:eastAsia="ja-JP"/>
        </w:rPr>
        <w:t>. This training focuses on how to r</w:t>
      </w:r>
      <w:r w:rsidR="00753893" w:rsidRPr="00753893">
        <w:rPr>
          <w:lang w:eastAsia="ja-JP"/>
        </w:rPr>
        <w:t>ecognise and respond appropriately to domestic and family violence.</w:t>
      </w:r>
    </w:p>
    <w:p w14:paraId="42C56A20" w14:textId="28A25D77" w:rsidR="00517F4E" w:rsidRDefault="00E13107" w:rsidP="00126F66">
      <w:pPr>
        <w:rPr>
          <w:lang w:eastAsia="ja-JP"/>
        </w:rPr>
      </w:pPr>
      <w:r>
        <w:rPr>
          <w:lang w:eastAsia="ja-JP"/>
        </w:rPr>
        <w:t>S</w:t>
      </w:r>
      <w:r w:rsidR="00EC38A7">
        <w:rPr>
          <w:lang w:eastAsia="ja-JP"/>
        </w:rPr>
        <w:t xml:space="preserve">everal service providers have </w:t>
      </w:r>
      <w:r w:rsidR="00876F2E">
        <w:rPr>
          <w:lang w:eastAsia="ja-JP"/>
        </w:rPr>
        <w:t>current membership</w:t>
      </w:r>
      <w:r w:rsidR="00EC38A7">
        <w:rPr>
          <w:lang w:eastAsia="ja-JP"/>
        </w:rPr>
        <w:t>s</w:t>
      </w:r>
      <w:r w:rsidR="00876F2E">
        <w:rPr>
          <w:lang w:eastAsia="ja-JP"/>
        </w:rPr>
        <w:t xml:space="preserve"> with their state</w:t>
      </w:r>
      <w:r w:rsidR="005F082C">
        <w:rPr>
          <w:lang w:eastAsia="ja-JP"/>
        </w:rPr>
        <w:t>-</w:t>
      </w:r>
      <w:r w:rsidR="00876F2E">
        <w:rPr>
          <w:lang w:eastAsia="ja-JP"/>
        </w:rPr>
        <w:t>based financial counselling association</w:t>
      </w:r>
      <w:r w:rsidR="00E13C9F">
        <w:rPr>
          <w:lang w:eastAsia="ja-JP"/>
        </w:rPr>
        <w:t xml:space="preserve">, which have requirements for ongoing professional development. </w:t>
      </w:r>
      <w:r w:rsidR="00F7143B">
        <w:rPr>
          <w:lang w:eastAsia="ja-JP"/>
        </w:rPr>
        <w:t xml:space="preserve">Professional associations can </w:t>
      </w:r>
      <w:r w:rsidR="00E13C9F">
        <w:rPr>
          <w:lang w:eastAsia="ja-JP"/>
        </w:rPr>
        <w:t xml:space="preserve">also </w:t>
      </w:r>
      <w:r w:rsidR="004475FC">
        <w:rPr>
          <w:lang w:eastAsia="ja-JP"/>
        </w:rPr>
        <w:t>assist with</w:t>
      </w:r>
      <w:r w:rsidR="00F7143B">
        <w:rPr>
          <w:lang w:eastAsia="ja-JP"/>
        </w:rPr>
        <w:t xml:space="preserve"> up-to-date training</w:t>
      </w:r>
      <w:r w:rsidR="004475FC">
        <w:rPr>
          <w:lang w:eastAsia="ja-JP"/>
        </w:rPr>
        <w:t xml:space="preserve"> on </w:t>
      </w:r>
      <w:r w:rsidR="005F082C">
        <w:rPr>
          <w:lang w:eastAsia="ja-JP"/>
        </w:rPr>
        <w:t>current industry issues</w:t>
      </w:r>
      <w:r w:rsidR="004475FC">
        <w:rPr>
          <w:lang w:eastAsia="ja-JP"/>
        </w:rPr>
        <w:t xml:space="preserve"> and changes to the law</w:t>
      </w:r>
      <w:r w:rsidR="00F7143B">
        <w:rPr>
          <w:lang w:eastAsia="ja-JP"/>
        </w:rPr>
        <w:t xml:space="preserve">. </w:t>
      </w:r>
      <w:r w:rsidR="005F082C">
        <w:rPr>
          <w:lang w:eastAsia="ja-JP"/>
        </w:rPr>
        <w:t>M</w:t>
      </w:r>
      <w:r w:rsidR="00F7143B">
        <w:rPr>
          <w:lang w:eastAsia="ja-JP"/>
        </w:rPr>
        <w:t xml:space="preserve">embership with </w:t>
      </w:r>
      <w:proofErr w:type="spellStart"/>
      <w:r w:rsidR="00876F2E" w:rsidRPr="00876F2E">
        <w:rPr>
          <w:lang w:eastAsia="ja-JP"/>
        </w:rPr>
        <w:t>FCA</w:t>
      </w:r>
      <w:proofErr w:type="spellEnd"/>
      <w:r w:rsidR="00F7143B">
        <w:rPr>
          <w:lang w:eastAsia="ja-JP"/>
        </w:rPr>
        <w:t xml:space="preserve"> </w:t>
      </w:r>
      <w:r w:rsidR="006259A2">
        <w:rPr>
          <w:lang w:eastAsia="ja-JP"/>
        </w:rPr>
        <w:t xml:space="preserve">provides access to </w:t>
      </w:r>
      <w:r w:rsidR="006259A2" w:rsidRPr="00F7143B">
        <w:rPr>
          <w:lang w:eastAsia="ja-JP"/>
        </w:rPr>
        <w:t xml:space="preserve">online training modules and webinars </w:t>
      </w:r>
      <w:r w:rsidR="00F7143B">
        <w:rPr>
          <w:lang w:eastAsia="ja-JP"/>
        </w:rPr>
        <w:t>relevant</w:t>
      </w:r>
      <w:r w:rsidR="006259A2" w:rsidRPr="00F7143B">
        <w:rPr>
          <w:lang w:eastAsia="ja-JP"/>
        </w:rPr>
        <w:t xml:space="preserve"> for the broader financial counselling sector.</w:t>
      </w:r>
    </w:p>
    <w:p w14:paraId="276BB2BB" w14:textId="7D5AD38D" w:rsidR="00126F66" w:rsidRPr="00293183" w:rsidRDefault="00293183" w:rsidP="00293183">
      <w:pPr>
        <w:pStyle w:val="BoxHeading"/>
      </w:pPr>
      <w:r>
        <w:t>Recommendation 17</w:t>
      </w:r>
    </w:p>
    <w:p w14:paraId="73D86488" w14:textId="299BA506" w:rsidR="00836F54" w:rsidRDefault="00836F54" w:rsidP="00293183">
      <w:pPr>
        <w:pStyle w:val="BoxText"/>
      </w:pPr>
      <w:r w:rsidRPr="00293183">
        <w:t>That the Diploma of Financial Counselling (Rural) remains the minimum qualification for counsellors, and that the department</w:t>
      </w:r>
      <w:r w:rsidR="00D36C18">
        <w:t>—</w:t>
      </w:r>
      <w:r w:rsidRPr="00293183">
        <w:t xml:space="preserve">with service providers and </w:t>
      </w:r>
      <w:proofErr w:type="spellStart"/>
      <w:r w:rsidRPr="00293183">
        <w:t>FCA</w:t>
      </w:r>
      <w:proofErr w:type="spellEnd"/>
      <w:r w:rsidR="007D6DC0">
        <w:t>)</w:t>
      </w:r>
      <w:r w:rsidR="00D36C18">
        <w:t>—</w:t>
      </w:r>
      <w:r w:rsidRPr="00293183">
        <w:t>actively engages in the proposed review of the diploma to improve its relevance for a rural and agricultural context.</w:t>
      </w:r>
    </w:p>
    <w:p w14:paraId="10C314C5" w14:textId="59D254C5" w:rsidR="00293183" w:rsidRPr="00293183" w:rsidRDefault="00293183" w:rsidP="00293183">
      <w:pPr>
        <w:pStyle w:val="BoxHeading"/>
      </w:pPr>
      <w:r>
        <w:t>Recommendation 18</w:t>
      </w:r>
    </w:p>
    <w:p w14:paraId="4F95AB7E" w14:textId="77777777" w:rsidR="00836F54" w:rsidRPr="00293183" w:rsidRDefault="00836F54" w:rsidP="00293183">
      <w:pPr>
        <w:pStyle w:val="BoxText"/>
      </w:pPr>
      <w:r w:rsidRPr="00293183">
        <w:t>That service providers place an emphasis on broader professional development opportunities for counsellors to supplement formal training and promote the professionalism of the service.</w:t>
      </w:r>
    </w:p>
    <w:p w14:paraId="5F20A2EB" w14:textId="7F6D9D54" w:rsidR="002035FB" w:rsidRDefault="002035FB" w:rsidP="006B25D1">
      <w:pPr>
        <w:pStyle w:val="Heading2"/>
      </w:pPr>
      <w:bookmarkStart w:id="51" w:name="_Toc18328857"/>
      <w:r>
        <w:lastRenderedPageBreak/>
        <w:t>Coordination and support</w:t>
      </w:r>
      <w:bookmarkEnd w:id="51"/>
    </w:p>
    <w:p w14:paraId="06D9BDF4" w14:textId="38FD8867" w:rsidR="00BA761B" w:rsidRPr="00BA761B" w:rsidRDefault="00BA761B" w:rsidP="00BA761B">
      <w:r w:rsidRPr="00BA761B">
        <w:t xml:space="preserve">During consultations, the review panel sought views on how service providers and counsellors might be better supported so they could </w:t>
      </w:r>
      <w:r w:rsidR="003A3B92">
        <w:t>concentrate</w:t>
      </w:r>
      <w:r w:rsidRPr="00BA761B">
        <w:t xml:space="preserve"> on client outcomes. Discussions focused </w:t>
      </w:r>
      <w:r w:rsidRPr="00F61EEE">
        <w:t xml:space="preserve">on </w:t>
      </w:r>
      <w:r w:rsidR="00B6751D">
        <w:t>3</w:t>
      </w:r>
      <w:r w:rsidR="00B6751D" w:rsidRPr="00BA761B">
        <w:t xml:space="preserve"> </w:t>
      </w:r>
      <w:r w:rsidRPr="00BA761B">
        <w:t>main themes:</w:t>
      </w:r>
    </w:p>
    <w:p w14:paraId="6A58F668" w14:textId="77777777" w:rsidR="00BA761B" w:rsidRPr="00BA761B" w:rsidRDefault="00BA761B" w:rsidP="00866B0C">
      <w:pPr>
        <w:pStyle w:val="ListBullet"/>
      </w:pPr>
      <w:r w:rsidRPr="00BA761B">
        <w:t>the effectiveness of coordinating certain activities</w:t>
      </w:r>
    </w:p>
    <w:p w14:paraId="4E2B95BA" w14:textId="77777777" w:rsidR="00517F4E" w:rsidRDefault="00BA761B" w:rsidP="00866B0C">
      <w:pPr>
        <w:pStyle w:val="ListBullet"/>
      </w:pPr>
      <w:r w:rsidRPr="00BA761B">
        <w:t>ways to improve RFCS partner relationships</w:t>
      </w:r>
    </w:p>
    <w:p w14:paraId="3B1E30C2" w14:textId="07398BF0" w:rsidR="00517F4E" w:rsidRDefault="00BA761B" w:rsidP="00866B0C">
      <w:pPr>
        <w:pStyle w:val="ListBullet"/>
      </w:pPr>
      <w:proofErr w:type="gramStart"/>
      <w:r w:rsidRPr="00BA761B">
        <w:t>ways</w:t>
      </w:r>
      <w:proofErr w:type="gramEnd"/>
      <w:r w:rsidRPr="00BA761B">
        <w:t xml:space="preserve"> to support counsellor retention and manage fatigue</w:t>
      </w:r>
      <w:r w:rsidR="008237AA">
        <w:t>.</w:t>
      </w:r>
    </w:p>
    <w:p w14:paraId="53DA2667" w14:textId="791BD097" w:rsidR="00BA761B" w:rsidRPr="00B560E4" w:rsidRDefault="00BA761B" w:rsidP="00EF2381">
      <w:pPr>
        <w:pStyle w:val="Heading3"/>
        <w:numPr>
          <w:ilvl w:val="1"/>
          <w:numId w:val="12"/>
        </w:numPr>
        <w:rPr>
          <w:lang w:eastAsia="ja-JP"/>
        </w:rPr>
      </w:pPr>
      <w:bookmarkStart w:id="52" w:name="_Toc14010364"/>
      <w:bookmarkStart w:id="53" w:name="_Toc14010374"/>
      <w:bookmarkStart w:id="54" w:name="_Toc14076608"/>
      <w:bookmarkStart w:id="55" w:name="_Toc18328858"/>
      <w:bookmarkEnd w:id="52"/>
      <w:bookmarkEnd w:id="53"/>
      <w:r w:rsidRPr="00B560E4">
        <w:rPr>
          <w:lang w:eastAsia="ja-JP"/>
        </w:rPr>
        <w:t>National coordination</w:t>
      </w:r>
      <w:bookmarkEnd w:id="54"/>
      <w:bookmarkEnd w:id="55"/>
    </w:p>
    <w:p w14:paraId="730027D0" w14:textId="2742AC69" w:rsidR="00BA761B" w:rsidRPr="00BA761B" w:rsidRDefault="00BA761B" w:rsidP="00BA761B">
      <w:pPr>
        <w:rPr>
          <w:lang w:eastAsia="ja-JP"/>
        </w:rPr>
      </w:pPr>
      <w:r w:rsidRPr="00BA761B">
        <w:rPr>
          <w:lang w:eastAsia="ja-JP"/>
        </w:rPr>
        <w:t>Most service providers were cautious of the idea of centralising aspects of the service.</w:t>
      </w:r>
      <w:r w:rsidR="00063FCC">
        <w:rPr>
          <w:lang w:eastAsia="ja-JP"/>
        </w:rPr>
        <w:t xml:space="preserve"> </w:t>
      </w:r>
      <w:r w:rsidR="00106897">
        <w:rPr>
          <w:lang w:eastAsia="ja-JP"/>
        </w:rPr>
        <w:t>Although n</w:t>
      </w:r>
      <w:r w:rsidRPr="00BA761B">
        <w:rPr>
          <w:lang w:eastAsia="ja-JP"/>
        </w:rPr>
        <w:t>ational consistency was important for some aspects of program delivery, local connections and independence from government were continually referred to as key strengths of the service providers</w:t>
      </w:r>
      <w:r w:rsidR="00D67E5B">
        <w:rPr>
          <w:lang w:eastAsia="ja-JP"/>
        </w:rPr>
        <w:t>—</w:t>
      </w:r>
      <w:r w:rsidRPr="00BA761B">
        <w:rPr>
          <w:lang w:eastAsia="ja-JP"/>
        </w:rPr>
        <w:t>and the counter argument for any national coordination. The most effective areas for national coordination seemed to be assisting services to connect better at the counsellor level</w:t>
      </w:r>
      <w:r w:rsidR="00FC582C">
        <w:rPr>
          <w:lang w:eastAsia="ja-JP"/>
        </w:rPr>
        <w:t xml:space="preserve">, </w:t>
      </w:r>
      <w:r w:rsidRPr="00BA761B">
        <w:rPr>
          <w:lang w:eastAsia="ja-JP"/>
        </w:rPr>
        <w:t>particularly regarding training</w:t>
      </w:r>
      <w:r w:rsidR="00FC582C">
        <w:rPr>
          <w:lang w:eastAsia="ja-JP"/>
        </w:rPr>
        <w:t>,</w:t>
      </w:r>
      <w:r w:rsidRPr="00BA761B">
        <w:rPr>
          <w:lang w:eastAsia="ja-JP"/>
        </w:rPr>
        <w:t xml:space="preserve"> and to assist in national communications.</w:t>
      </w:r>
    </w:p>
    <w:p w14:paraId="49F90548" w14:textId="366440DC" w:rsidR="00517F4E" w:rsidRDefault="00BA761B" w:rsidP="00D166F8">
      <w:pPr>
        <w:pStyle w:val="Heading4"/>
        <w:rPr>
          <w:lang w:eastAsia="ja-JP"/>
        </w:rPr>
      </w:pPr>
      <w:r w:rsidRPr="00BA761B">
        <w:rPr>
          <w:lang w:eastAsia="ja-JP"/>
        </w:rPr>
        <w:t>Counsellor</w:t>
      </w:r>
      <w:r w:rsidR="00ED5C80">
        <w:rPr>
          <w:lang w:eastAsia="ja-JP"/>
        </w:rPr>
        <w:t>-</w:t>
      </w:r>
      <w:r w:rsidRPr="00BA761B">
        <w:rPr>
          <w:lang w:eastAsia="ja-JP"/>
        </w:rPr>
        <w:t>level</w:t>
      </w:r>
      <w:r w:rsidR="00ED5C80">
        <w:rPr>
          <w:lang w:eastAsia="ja-JP"/>
        </w:rPr>
        <w:t xml:space="preserve"> collaboration</w:t>
      </w:r>
    </w:p>
    <w:p w14:paraId="76CE745B" w14:textId="6F8450F8" w:rsidR="00C23A18" w:rsidRDefault="00FC582C" w:rsidP="00BA761B">
      <w:pPr>
        <w:rPr>
          <w:lang w:eastAsia="ja-JP"/>
        </w:rPr>
      </w:pPr>
      <w:r>
        <w:rPr>
          <w:lang w:eastAsia="ja-JP"/>
        </w:rPr>
        <w:t>T</w:t>
      </w:r>
      <w:r w:rsidR="00BA761B" w:rsidRPr="00BA761B">
        <w:rPr>
          <w:lang w:eastAsia="ja-JP"/>
        </w:rPr>
        <w:t xml:space="preserve">here was evidence that the 12 service providers could </w:t>
      </w:r>
      <w:r w:rsidR="00073873">
        <w:rPr>
          <w:lang w:eastAsia="ja-JP"/>
        </w:rPr>
        <w:t>collaborate</w:t>
      </w:r>
      <w:r w:rsidR="00382F36">
        <w:rPr>
          <w:lang w:eastAsia="ja-JP"/>
        </w:rPr>
        <w:t>, but</w:t>
      </w:r>
      <w:r>
        <w:rPr>
          <w:lang w:eastAsia="ja-JP"/>
        </w:rPr>
        <w:t xml:space="preserve"> </w:t>
      </w:r>
      <w:r w:rsidR="00BA761B" w:rsidRPr="00BA761B">
        <w:rPr>
          <w:lang w:eastAsia="ja-JP"/>
        </w:rPr>
        <w:t xml:space="preserve">relationships </w:t>
      </w:r>
      <w:r w:rsidR="00D67E5B">
        <w:rPr>
          <w:lang w:eastAsia="ja-JP"/>
        </w:rPr>
        <w:t xml:space="preserve">between services were </w:t>
      </w:r>
      <w:r w:rsidR="00BA761B" w:rsidRPr="00BA761B">
        <w:rPr>
          <w:lang w:eastAsia="ja-JP"/>
        </w:rPr>
        <w:t>concentrated at the executive officer</w:t>
      </w:r>
      <w:r w:rsidR="000412C7">
        <w:rPr>
          <w:lang w:eastAsia="ja-JP"/>
        </w:rPr>
        <w:t xml:space="preserve"> or </w:t>
      </w:r>
      <w:r w:rsidR="000412C7" w:rsidRPr="008268C2">
        <w:rPr>
          <w:lang w:eastAsia="ja-JP"/>
        </w:rPr>
        <w:t>board</w:t>
      </w:r>
      <w:r w:rsidR="00BA761B" w:rsidRPr="008268C2">
        <w:rPr>
          <w:lang w:eastAsia="ja-JP"/>
        </w:rPr>
        <w:t xml:space="preserve"> level</w:t>
      </w:r>
      <w:r>
        <w:rPr>
          <w:lang w:eastAsia="ja-JP"/>
        </w:rPr>
        <w:t>. S</w:t>
      </w:r>
      <w:r w:rsidR="00BA761B" w:rsidRPr="008268C2">
        <w:rPr>
          <w:lang w:eastAsia="ja-JP"/>
        </w:rPr>
        <w:t xml:space="preserve">trong inter-service relationships between counsellors </w:t>
      </w:r>
      <w:r>
        <w:rPr>
          <w:lang w:eastAsia="ja-JP"/>
        </w:rPr>
        <w:t xml:space="preserve">were </w:t>
      </w:r>
      <w:r w:rsidR="000412C7" w:rsidRPr="00331133">
        <w:rPr>
          <w:lang w:eastAsia="ja-JP"/>
        </w:rPr>
        <w:t>less obvious</w:t>
      </w:r>
      <w:r w:rsidR="00382F36">
        <w:rPr>
          <w:lang w:eastAsia="ja-JP"/>
        </w:rPr>
        <w:t>.</w:t>
      </w:r>
      <w:r w:rsidR="00BA761B" w:rsidRPr="008268C2">
        <w:rPr>
          <w:lang w:eastAsia="ja-JP"/>
        </w:rPr>
        <w:t xml:space="preserve"> </w:t>
      </w:r>
      <w:r w:rsidR="00C23A18">
        <w:rPr>
          <w:lang w:eastAsia="ja-JP"/>
        </w:rPr>
        <w:t>The exception is the</w:t>
      </w:r>
      <w:r w:rsidR="00382F36">
        <w:rPr>
          <w:lang w:eastAsia="ja-JP"/>
        </w:rPr>
        <w:t xml:space="preserve"> joint</w:t>
      </w:r>
      <w:r w:rsidR="00C23A18">
        <w:rPr>
          <w:lang w:eastAsia="ja-JP"/>
        </w:rPr>
        <w:t xml:space="preserve"> annual conference </w:t>
      </w:r>
      <w:r w:rsidR="00382F36">
        <w:rPr>
          <w:lang w:eastAsia="ja-JP"/>
        </w:rPr>
        <w:t xml:space="preserve">held by </w:t>
      </w:r>
      <w:r w:rsidR="00C23A18">
        <w:rPr>
          <w:lang w:eastAsia="ja-JP"/>
        </w:rPr>
        <w:t>the 3 New South Wales providers and the southern Queensland provider. In 2019 the northern Queensland service joined for the first time. In the last 2 to 3 years invitations have been extended to all executive officers and uptake has been increasing.</w:t>
      </w:r>
    </w:p>
    <w:p w14:paraId="0919F39C" w14:textId="4A638DCC" w:rsidR="00BA761B" w:rsidRPr="00BA761B" w:rsidRDefault="00BA761B" w:rsidP="00BA761B">
      <w:pPr>
        <w:rPr>
          <w:lang w:eastAsia="ja-JP"/>
        </w:rPr>
      </w:pPr>
      <w:r w:rsidRPr="008268C2">
        <w:rPr>
          <w:lang w:eastAsia="ja-JP"/>
        </w:rPr>
        <w:t>Strong feedback was received that counsellors would value more opportunities to collaborate</w:t>
      </w:r>
      <w:r w:rsidRPr="00BA761B">
        <w:rPr>
          <w:lang w:eastAsia="ja-JP"/>
        </w:rPr>
        <w:t xml:space="preserve"> with co</w:t>
      </w:r>
      <w:r w:rsidR="000273A9">
        <w:rPr>
          <w:lang w:eastAsia="ja-JP"/>
        </w:rPr>
        <w:t>lleagues</w:t>
      </w:r>
      <w:r w:rsidRPr="00BA761B">
        <w:rPr>
          <w:lang w:eastAsia="ja-JP"/>
        </w:rPr>
        <w:t xml:space="preserve"> from other service </w:t>
      </w:r>
      <w:r w:rsidR="000273A9">
        <w:rPr>
          <w:lang w:eastAsia="ja-JP"/>
        </w:rPr>
        <w:t>regions</w:t>
      </w:r>
      <w:r w:rsidRPr="00BA761B">
        <w:rPr>
          <w:lang w:eastAsia="ja-JP"/>
        </w:rPr>
        <w:t xml:space="preserve">, to share </w:t>
      </w:r>
      <w:r w:rsidR="00073873">
        <w:rPr>
          <w:lang w:eastAsia="ja-JP"/>
        </w:rPr>
        <w:t>experiences</w:t>
      </w:r>
      <w:r w:rsidR="00073873" w:rsidRPr="00BA761B">
        <w:rPr>
          <w:lang w:eastAsia="ja-JP"/>
        </w:rPr>
        <w:t xml:space="preserve"> </w:t>
      </w:r>
      <w:r w:rsidRPr="00BA761B">
        <w:rPr>
          <w:lang w:eastAsia="ja-JP"/>
        </w:rPr>
        <w:t>and draw on each other</w:t>
      </w:r>
      <w:r w:rsidR="00736B18">
        <w:rPr>
          <w:lang w:eastAsia="ja-JP"/>
        </w:rPr>
        <w:t>'</w:t>
      </w:r>
      <w:r w:rsidRPr="00BA761B">
        <w:rPr>
          <w:lang w:eastAsia="ja-JP"/>
        </w:rPr>
        <w:t>s strengths</w:t>
      </w:r>
      <w:r w:rsidR="00D67E5B">
        <w:rPr>
          <w:lang w:eastAsia="ja-JP"/>
        </w:rPr>
        <w:t xml:space="preserve"> and </w:t>
      </w:r>
      <w:r w:rsidR="000273A9">
        <w:rPr>
          <w:lang w:eastAsia="ja-JP"/>
        </w:rPr>
        <w:t>knowledge</w:t>
      </w:r>
      <w:r w:rsidR="00063FCC">
        <w:rPr>
          <w:lang w:eastAsia="ja-JP"/>
        </w:rPr>
        <w:t>.</w:t>
      </w:r>
      <w:r w:rsidR="00BB154E">
        <w:rPr>
          <w:lang w:eastAsia="ja-JP"/>
        </w:rPr>
        <w:t xml:space="preserve"> In June 2019, for the first time all counsellors were extended an invitation to attend a joint conference with </w:t>
      </w:r>
      <w:proofErr w:type="spellStart"/>
      <w:r w:rsidR="00BB154E">
        <w:rPr>
          <w:lang w:eastAsia="ja-JP"/>
        </w:rPr>
        <w:t>FHCO</w:t>
      </w:r>
      <w:proofErr w:type="spellEnd"/>
      <w:r w:rsidR="00BB154E">
        <w:rPr>
          <w:lang w:eastAsia="ja-JP"/>
        </w:rPr>
        <w:t xml:space="preserve">. Approximately 60 counsellors and 70 </w:t>
      </w:r>
      <w:proofErr w:type="spellStart"/>
      <w:r w:rsidR="00BB154E">
        <w:rPr>
          <w:lang w:eastAsia="ja-JP"/>
        </w:rPr>
        <w:t>FHCOs</w:t>
      </w:r>
      <w:proofErr w:type="spellEnd"/>
      <w:r w:rsidR="00382F36">
        <w:rPr>
          <w:lang w:eastAsia="ja-JP"/>
        </w:rPr>
        <w:t xml:space="preserve"> attended</w:t>
      </w:r>
      <w:r w:rsidR="008A4988">
        <w:rPr>
          <w:lang w:eastAsia="ja-JP"/>
        </w:rPr>
        <w:t>, along with departmental staff</w:t>
      </w:r>
      <w:r w:rsidR="00BB154E">
        <w:rPr>
          <w:lang w:eastAsia="ja-JP"/>
        </w:rPr>
        <w:t>. This provided an opportunity for cross-agency and counsellor collaboration and networking.</w:t>
      </w:r>
    </w:p>
    <w:p w14:paraId="1E6A7E37" w14:textId="03B4ABA1" w:rsidR="00517F4E" w:rsidRDefault="00BA761B" w:rsidP="00BA761B">
      <w:pPr>
        <w:rPr>
          <w:lang w:eastAsia="ja-JP"/>
        </w:rPr>
      </w:pPr>
      <w:r w:rsidRPr="00BA761B">
        <w:rPr>
          <w:lang w:eastAsia="ja-JP"/>
        </w:rPr>
        <w:t>Several regions have undertaken a range of ad</w:t>
      </w:r>
      <w:r w:rsidR="00D67E5B">
        <w:rPr>
          <w:lang w:eastAsia="ja-JP"/>
        </w:rPr>
        <w:t xml:space="preserve"> </w:t>
      </w:r>
      <w:r w:rsidRPr="00BA761B">
        <w:rPr>
          <w:lang w:eastAsia="ja-JP"/>
        </w:rPr>
        <w:t xml:space="preserve">hoc activities to facilitate cross-service learning, often with </w:t>
      </w:r>
      <w:r w:rsidR="00341EA1">
        <w:rPr>
          <w:lang w:eastAsia="ja-JP"/>
        </w:rPr>
        <w:t xml:space="preserve">neighbouring </w:t>
      </w:r>
      <w:r w:rsidRPr="00BA761B">
        <w:rPr>
          <w:lang w:eastAsia="ja-JP"/>
        </w:rPr>
        <w:t xml:space="preserve">providers. Counsellors spoke of these opportunities as valuable to building a network of contacts, considering different case management approaches and learning from counsellors with different backgrounds or </w:t>
      </w:r>
      <w:r w:rsidR="00D67E5B">
        <w:rPr>
          <w:lang w:eastAsia="ja-JP"/>
        </w:rPr>
        <w:t>expertise</w:t>
      </w:r>
      <w:r w:rsidRPr="00BA761B">
        <w:rPr>
          <w:lang w:eastAsia="ja-JP"/>
        </w:rPr>
        <w:t>.</w:t>
      </w:r>
    </w:p>
    <w:p w14:paraId="6D233004" w14:textId="2F0A39AB" w:rsidR="00BA761B" w:rsidRPr="00BA761B" w:rsidRDefault="00BA761B" w:rsidP="00BA761B">
      <w:pPr>
        <w:rPr>
          <w:lang w:eastAsia="ja-JP"/>
        </w:rPr>
      </w:pPr>
      <w:r w:rsidRPr="00BA761B">
        <w:rPr>
          <w:lang w:eastAsia="ja-JP"/>
        </w:rPr>
        <w:t xml:space="preserve">The department </w:t>
      </w:r>
      <w:r w:rsidR="00341EA1">
        <w:rPr>
          <w:lang w:eastAsia="ja-JP"/>
        </w:rPr>
        <w:t>could</w:t>
      </w:r>
      <w:r w:rsidRPr="00BA761B">
        <w:rPr>
          <w:lang w:eastAsia="ja-JP"/>
        </w:rPr>
        <w:t xml:space="preserve"> assist counsellors to connect with each other better and to share information using a variety of mechanisms</w:t>
      </w:r>
      <w:r w:rsidR="000273A9">
        <w:rPr>
          <w:lang w:eastAsia="ja-JP"/>
        </w:rPr>
        <w:t xml:space="preserve">. </w:t>
      </w:r>
      <w:r w:rsidR="00341EA1">
        <w:rPr>
          <w:lang w:eastAsia="ja-JP"/>
        </w:rPr>
        <w:t>For example, using a</w:t>
      </w:r>
      <w:r w:rsidRPr="00BA761B">
        <w:rPr>
          <w:lang w:eastAsia="ja-JP"/>
        </w:rPr>
        <w:t xml:space="preserve"> </w:t>
      </w:r>
      <w:r w:rsidR="000273A9">
        <w:rPr>
          <w:lang w:eastAsia="ja-JP"/>
        </w:rPr>
        <w:t>S</w:t>
      </w:r>
      <w:r w:rsidRPr="00BA761B">
        <w:rPr>
          <w:lang w:eastAsia="ja-JP"/>
        </w:rPr>
        <w:t>hare</w:t>
      </w:r>
      <w:r w:rsidR="000273A9">
        <w:rPr>
          <w:lang w:eastAsia="ja-JP"/>
        </w:rPr>
        <w:t>P</w:t>
      </w:r>
      <w:r w:rsidRPr="00BA761B">
        <w:rPr>
          <w:lang w:eastAsia="ja-JP"/>
        </w:rPr>
        <w:t xml:space="preserve">oint site to </w:t>
      </w:r>
      <w:r w:rsidR="000273A9">
        <w:rPr>
          <w:lang w:eastAsia="ja-JP"/>
        </w:rPr>
        <w:t>distribute</w:t>
      </w:r>
      <w:r w:rsidRPr="00BA761B">
        <w:rPr>
          <w:lang w:eastAsia="ja-JP"/>
        </w:rPr>
        <w:t xml:space="preserve"> information and host webinar-type videos</w:t>
      </w:r>
      <w:r w:rsidR="00341EA1">
        <w:rPr>
          <w:lang w:eastAsia="ja-JP"/>
        </w:rPr>
        <w:t>—</w:t>
      </w:r>
      <w:r w:rsidRPr="00BA761B">
        <w:rPr>
          <w:lang w:eastAsia="ja-JP"/>
        </w:rPr>
        <w:t>delivering training from experienced counsellors on topics such as farm debt mediation, succession planning or industry issues. Other possib</w:t>
      </w:r>
      <w:r w:rsidR="00341EA1">
        <w:rPr>
          <w:lang w:eastAsia="ja-JP"/>
        </w:rPr>
        <w:t>ilities</w:t>
      </w:r>
      <w:r w:rsidRPr="00BA761B">
        <w:rPr>
          <w:lang w:eastAsia="ja-JP"/>
        </w:rPr>
        <w:t xml:space="preserve"> </w:t>
      </w:r>
      <w:r w:rsidR="00341EA1">
        <w:rPr>
          <w:lang w:eastAsia="ja-JP"/>
        </w:rPr>
        <w:t xml:space="preserve">include </w:t>
      </w:r>
      <w:r w:rsidR="000273A9">
        <w:rPr>
          <w:lang w:eastAsia="ja-JP"/>
        </w:rPr>
        <w:t>facilitating</w:t>
      </w:r>
      <w:r w:rsidRPr="00BA761B">
        <w:rPr>
          <w:lang w:eastAsia="ja-JP"/>
        </w:rPr>
        <w:t xml:space="preserve"> optional video conferences or na</w:t>
      </w:r>
      <w:r w:rsidR="00063FCC">
        <w:rPr>
          <w:lang w:eastAsia="ja-JP"/>
        </w:rPr>
        <w:t>tional counsellor conferences.</w:t>
      </w:r>
    </w:p>
    <w:p w14:paraId="79F607A1" w14:textId="5EE3DDFA" w:rsidR="00BA761B" w:rsidRPr="00BA761B" w:rsidRDefault="00BA761B" w:rsidP="00BA761B">
      <w:pPr>
        <w:rPr>
          <w:lang w:eastAsia="ja-JP"/>
        </w:rPr>
      </w:pPr>
      <w:r w:rsidRPr="00BA761B">
        <w:rPr>
          <w:lang w:eastAsia="ja-JP"/>
        </w:rPr>
        <w:t xml:space="preserve">The department could also assist in delivering other common training such as induction on RFCS program settings, government reporting requirements and to facilitate training and information </w:t>
      </w:r>
      <w:r w:rsidRPr="00BA761B">
        <w:rPr>
          <w:lang w:eastAsia="ja-JP"/>
        </w:rPr>
        <w:lastRenderedPageBreak/>
        <w:t xml:space="preserve">on government assistance programs. </w:t>
      </w:r>
      <w:r w:rsidR="00610BD5">
        <w:rPr>
          <w:lang w:eastAsia="ja-JP"/>
        </w:rPr>
        <w:t>C</w:t>
      </w:r>
      <w:r w:rsidRPr="00BA761B">
        <w:rPr>
          <w:lang w:eastAsia="ja-JP"/>
        </w:rPr>
        <w:t xml:space="preserve">ounsellors felt they were not </w:t>
      </w:r>
      <w:r w:rsidR="00610BD5" w:rsidRPr="00BA761B">
        <w:rPr>
          <w:lang w:eastAsia="ja-JP"/>
        </w:rPr>
        <w:t xml:space="preserve">adequately </w:t>
      </w:r>
      <w:r w:rsidRPr="00BA761B">
        <w:rPr>
          <w:lang w:eastAsia="ja-JP"/>
        </w:rPr>
        <w:t>trained to provide assistance on government programs with complex assessment criteria and were mostly self-taught.</w:t>
      </w:r>
    </w:p>
    <w:p w14:paraId="6E8FA731" w14:textId="7504C41D" w:rsidR="00BA761B" w:rsidRPr="00BA761B" w:rsidRDefault="00BA761B" w:rsidP="00BA761B">
      <w:pPr>
        <w:rPr>
          <w:lang w:eastAsia="ja-JP"/>
        </w:rPr>
      </w:pPr>
      <w:r w:rsidRPr="00BA761B">
        <w:rPr>
          <w:lang w:eastAsia="ja-JP"/>
        </w:rPr>
        <w:t xml:space="preserve">Counsellors also stressed that they often had </w:t>
      </w:r>
      <w:r w:rsidR="008268C2">
        <w:rPr>
          <w:lang w:eastAsia="ja-JP"/>
        </w:rPr>
        <w:t>little</w:t>
      </w:r>
      <w:r w:rsidR="008268C2" w:rsidRPr="00BA761B">
        <w:rPr>
          <w:lang w:eastAsia="ja-JP"/>
        </w:rPr>
        <w:t xml:space="preserve"> </w:t>
      </w:r>
      <w:r w:rsidRPr="00BA761B">
        <w:rPr>
          <w:lang w:eastAsia="ja-JP"/>
        </w:rPr>
        <w:t xml:space="preserve">notice or information when a new </w:t>
      </w:r>
      <w:r w:rsidR="002E5AFD">
        <w:rPr>
          <w:lang w:eastAsia="ja-JP"/>
        </w:rPr>
        <w:t xml:space="preserve">form of </w:t>
      </w:r>
      <w:r w:rsidRPr="00BA761B">
        <w:rPr>
          <w:lang w:eastAsia="ja-JP"/>
        </w:rPr>
        <w:t>government assistance was launched and were caught off guard when clients heard about the new program and called to seek help. It is not helpful to clients or the reputation of the service if they are ill equipped to perform their role.</w:t>
      </w:r>
    </w:p>
    <w:p w14:paraId="5CECC426" w14:textId="3E5E1778" w:rsidR="00B560E4" w:rsidRPr="00293183" w:rsidRDefault="00293183" w:rsidP="00293183">
      <w:pPr>
        <w:pStyle w:val="BoxHeading"/>
      </w:pPr>
      <w:r>
        <w:t>Recommendation 19</w:t>
      </w:r>
    </w:p>
    <w:p w14:paraId="333515DA" w14:textId="66C79769" w:rsidR="00836F54" w:rsidRPr="00293183" w:rsidRDefault="00836F54" w:rsidP="00293183">
      <w:pPr>
        <w:pStyle w:val="BoxText"/>
      </w:pPr>
      <w:r w:rsidRPr="00293183">
        <w:t>T</w:t>
      </w:r>
      <w:r w:rsidR="00436055" w:rsidRPr="00293183">
        <w:t>hat t</w:t>
      </w:r>
      <w:r w:rsidRPr="00293183">
        <w:t>he department continues to encourage and, where appropriate, facilitates further collaboration between providers</w:t>
      </w:r>
      <w:r w:rsidR="005D784B">
        <w:t>—</w:t>
      </w:r>
      <w:r w:rsidRPr="00293183">
        <w:t>including sharing of information between counsellors and training by subject matter specialists, as well as cross-region conferences.</w:t>
      </w:r>
    </w:p>
    <w:p w14:paraId="21DDD795" w14:textId="75B2F93B" w:rsidR="00293183" w:rsidRPr="00293183" w:rsidRDefault="00293183" w:rsidP="00293183">
      <w:pPr>
        <w:pStyle w:val="BoxHeading"/>
      </w:pPr>
      <w:r>
        <w:t>Recommendation 20</w:t>
      </w:r>
    </w:p>
    <w:p w14:paraId="16942DFB" w14:textId="7ECCC0A2" w:rsidR="00836F54" w:rsidRPr="00293183" w:rsidRDefault="00B461DD" w:rsidP="00293183">
      <w:pPr>
        <w:pStyle w:val="BoxText"/>
      </w:pPr>
      <w:r w:rsidRPr="00293183">
        <w:t>That t</w:t>
      </w:r>
      <w:r w:rsidR="00836F54" w:rsidRPr="00293183">
        <w:t>he Australian, state and territory governments deliver training on their assistance measures</w:t>
      </w:r>
      <w:r w:rsidRPr="00293183">
        <w:t xml:space="preserve"> and provide</w:t>
      </w:r>
      <w:r w:rsidR="00836F54" w:rsidRPr="00293183">
        <w:t xml:space="preserve"> timely information and resources to support program announcements.</w:t>
      </w:r>
    </w:p>
    <w:p w14:paraId="7C33F14D" w14:textId="77777777" w:rsidR="00BA761B" w:rsidRPr="00BA761B" w:rsidRDefault="00BA761B" w:rsidP="00B560E4">
      <w:pPr>
        <w:pStyle w:val="Heading4"/>
        <w:rPr>
          <w:lang w:eastAsia="ja-JP"/>
        </w:rPr>
      </w:pPr>
      <w:r w:rsidRPr="00BA761B">
        <w:rPr>
          <w:lang w:eastAsia="ja-JP"/>
        </w:rPr>
        <w:t>Communications</w:t>
      </w:r>
    </w:p>
    <w:p w14:paraId="5923440E" w14:textId="72E283BF" w:rsidR="0028110E" w:rsidRDefault="00BA761B" w:rsidP="00BA761B">
      <w:pPr>
        <w:rPr>
          <w:lang w:eastAsia="ja-JP"/>
        </w:rPr>
      </w:pPr>
      <w:r w:rsidRPr="00BA761B">
        <w:rPr>
          <w:lang w:eastAsia="ja-JP"/>
        </w:rPr>
        <w:t xml:space="preserve">The </w:t>
      </w:r>
      <w:r w:rsidR="006161D2">
        <w:rPr>
          <w:lang w:eastAsia="ja-JP"/>
        </w:rPr>
        <w:t xml:space="preserve">review also explored the </w:t>
      </w:r>
      <w:r w:rsidRPr="00BA761B">
        <w:rPr>
          <w:lang w:eastAsia="ja-JP"/>
        </w:rPr>
        <w:t xml:space="preserve">potential </w:t>
      </w:r>
      <w:r w:rsidR="006161D2">
        <w:rPr>
          <w:lang w:eastAsia="ja-JP"/>
        </w:rPr>
        <w:t xml:space="preserve">for coordinating </w:t>
      </w:r>
      <w:r w:rsidR="002E3EF3">
        <w:rPr>
          <w:lang w:eastAsia="ja-JP"/>
        </w:rPr>
        <w:t xml:space="preserve">national </w:t>
      </w:r>
      <w:r w:rsidRPr="00BA761B">
        <w:rPr>
          <w:lang w:eastAsia="ja-JP"/>
        </w:rPr>
        <w:t>communications.</w:t>
      </w:r>
    </w:p>
    <w:p w14:paraId="023E15D4" w14:textId="4213E2FE" w:rsidR="00517F4E" w:rsidRDefault="00BA761B" w:rsidP="00BA761B">
      <w:pPr>
        <w:rPr>
          <w:lang w:eastAsia="ja-JP"/>
        </w:rPr>
      </w:pPr>
      <w:r w:rsidRPr="00BA761B">
        <w:rPr>
          <w:lang w:eastAsia="ja-JP"/>
        </w:rPr>
        <w:t>Public communication remains an ongoing activity</w:t>
      </w:r>
      <w:r w:rsidR="006161D2">
        <w:rPr>
          <w:lang w:eastAsia="ja-JP"/>
        </w:rPr>
        <w:t xml:space="preserve">, </w:t>
      </w:r>
      <w:r w:rsidR="0059757B">
        <w:rPr>
          <w:lang w:eastAsia="ja-JP"/>
        </w:rPr>
        <w:t>as</w:t>
      </w:r>
      <w:r w:rsidRPr="00BA761B">
        <w:rPr>
          <w:lang w:eastAsia="ja-JP"/>
        </w:rPr>
        <w:t xml:space="preserve"> providers are required to promote the RFCS and increase community awareness</w:t>
      </w:r>
      <w:r w:rsidR="0059757B">
        <w:rPr>
          <w:lang w:eastAsia="ja-JP"/>
        </w:rPr>
        <w:t xml:space="preserve"> in accordance with the deed</w:t>
      </w:r>
      <w:r w:rsidRPr="00BA761B">
        <w:rPr>
          <w:lang w:eastAsia="ja-JP"/>
        </w:rPr>
        <w:t>.</w:t>
      </w:r>
      <w:r w:rsidR="0028110E">
        <w:rPr>
          <w:lang w:eastAsia="ja-JP"/>
        </w:rPr>
        <w:t xml:space="preserve"> </w:t>
      </w:r>
      <w:r w:rsidR="006161D2">
        <w:rPr>
          <w:lang w:eastAsia="ja-JP"/>
        </w:rPr>
        <w:t>T</w:t>
      </w:r>
      <w:r w:rsidR="00480469">
        <w:rPr>
          <w:lang w:eastAsia="ja-JP"/>
        </w:rPr>
        <w:t>he RFCS National Communications Strategy</w:t>
      </w:r>
      <w:r w:rsidR="002E3EF3">
        <w:rPr>
          <w:lang w:eastAsia="ja-JP"/>
        </w:rPr>
        <w:t xml:space="preserve"> </w:t>
      </w:r>
      <w:r w:rsidR="006161D2">
        <w:rPr>
          <w:lang w:eastAsia="ja-JP"/>
        </w:rPr>
        <w:t xml:space="preserve">was </w:t>
      </w:r>
      <w:r w:rsidR="00480469">
        <w:rPr>
          <w:lang w:eastAsia="ja-JP"/>
        </w:rPr>
        <w:t xml:space="preserve">developed by </w:t>
      </w:r>
      <w:r w:rsidR="002E3EF3">
        <w:rPr>
          <w:lang w:eastAsia="ja-JP"/>
        </w:rPr>
        <w:t xml:space="preserve">service provider representatives </w:t>
      </w:r>
      <w:r w:rsidR="008A4988">
        <w:rPr>
          <w:lang w:eastAsia="ja-JP"/>
        </w:rPr>
        <w:t xml:space="preserve">with some input by </w:t>
      </w:r>
      <w:r w:rsidR="002E3EF3">
        <w:rPr>
          <w:lang w:eastAsia="ja-JP"/>
        </w:rPr>
        <w:t>the department</w:t>
      </w:r>
      <w:r w:rsidR="006161D2">
        <w:rPr>
          <w:lang w:eastAsia="ja-JP"/>
        </w:rPr>
        <w:t>. Under this strategy</w:t>
      </w:r>
      <w:r w:rsidR="002E3EF3">
        <w:rPr>
          <w:lang w:eastAsia="ja-JP"/>
        </w:rPr>
        <w:t>, a committee was established</w:t>
      </w:r>
      <w:r w:rsidRPr="00BA761B">
        <w:rPr>
          <w:lang w:eastAsia="ja-JP"/>
        </w:rPr>
        <w:t xml:space="preserve"> to consider</w:t>
      </w:r>
      <w:r w:rsidR="002E3EF3">
        <w:rPr>
          <w:lang w:eastAsia="ja-JP"/>
        </w:rPr>
        <w:t xml:space="preserve"> national communications activities</w:t>
      </w:r>
      <w:r w:rsidR="006161D2">
        <w:rPr>
          <w:lang w:eastAsia="ja-JP"/>
        </w:rPr>
        <w:t>—</w:t>
      </w:r>
      <w:r w:rsidR="002E3EF3">
        <w:rPr>
          <w:lang w:eastAsia="ja-JP"/>
        </w:rPr>
        <w:t>including</w:t>
      </w:r>
      <w:r w:rsidRPr="00BA761B">
        <w:rPr>
          <w:lang w:eastAsia="ja-JP"/>
        </w:rPr>
        <w:t xml:space="preserve"> branding</w:t>
      </w:r>
      <w:r w:rsidR="002E3EF3">
        <w:rPr>
          <w:lang w:eastAsia="ja-JP"/>
        </w:rPr>
        <w:t xml:space="preserve"> and</w:t>
      </w:r>
      <w:r w:rsidR="002E3EF3" w:rsidRPr="00BA761B">
        <w:rPr>
          <w:lang w:eastAsia="ja-JP"/>
        </w:rPr>
        <w:t xml:space="preserve"> </w:t>
      </w:r>
      <w:r w:rsidR="003A3B92" w:rsidRPr="00BA761B">
        <w:rPr>
          <w:lang w:eastAsia="ja-JP"/>
        </w:rPr>
        <w:t>messag</w:t>
      </w:r>
      <w:r w:rsidR="003A3B92">
        <w:rPr>
          <w:lang w:eastAsia="ja-JP"/>
        </w:rPr>
        <w:t>ing</w:t>
      </w:r>
      <w:r w:rsidR="006161D2">
        <w:rPr>
          <w:lang w:eastAsia="ja-JP"/>
        </w:rPr>
        <w:t>—</w:t>
      </w:r>
      <w:r w:rsidRPr="00BA761B">
        <w:rPr>
          <w:lang w:eastAsia="ja-JP"/>
        </w:rPr>
        <w:t xml:space="preserve">and to develop a </w:t>
      </w:r>
      <w:r w:rsidR="002E3EF3">
        <w:rPr>
          <w:lang w:eastAsia="ja-JP"/>
        </w:rPr>
        <w:t xml:space="preserve">national </w:t>
      </w:r>
      <w:r w:rsidRPr="00BA761B">
        <w:rPr>
          <w:lang w:eastAsia="ja-JP"/>
        </w:rPr>
        <w:t xml:space="preserve">website. </w:t>
      </w:r>
      <w:r w:rsidR="002E3EF3">
        <w:rPr>
          <w:lang w:eastAsia="ja-JP"/>
        </w:rPr>
        <w:t xml:space="preserve">Outputs from the committee have </w:t>
      </w:r>
      <w:r w:rsidRPr="00BA761B">
        <w:rPr>
          <w:lang w:eastAsia="ja-JP"/>
        </w:rPr>
        <w:t>been slow but it is understood that the</w:t>
      </w:r>
      <w:r w:rsidR="002E3EF3">
        <w:rPr>
          <w:lang w:eastAsia="ja-JP"/>
        </w:rPr>
        <w:t xml:space="preserve"> national</w:t>
      </w:r>
      <w:r w:rsidRPr="00BA761B">
        <w:rPr>
          <w:lang w:eastAsia="ja-JP"/>
        </w:rPr>
        <w:t xml:space="preserve"> website is </w:t>
      </w:r>
      <w:r w:rsidR="0002265B">
        <w:rPr>
          <w:lang w:eastAsia="ja-JP"/>
        </w:rPr>
        <w:t>approaching completion</w:t>
      </w:r>
      <w:r w:rsidRPr="00BA761B">
        <w:rPr>
          <w:lang w:eastAsia="ja-JP"/>
        </w:rPr>
        <w:t xml:space="preserve">. A national website </w:t>
      </w:r>
      <w:r w:rsidR="00480469">
        <w:rPr>
          <w:lang w:eastAsia="ja-JP"/>
        </w:rPr>
        <w:t xml:space="preserve">was considered by most stakeholders as </w:t>
      </w:r>
      <w:r w:rsidR="0002265B">
        <w:rPr>
          <w:lang w:eastAsia="ja-JP"/>
        </w:rPr>
        <w:t>an</w:t>
      </w:r>
      <w:r w:rsidRPr="00BA761B">
        <w:rPr>
          <w:lang w:eastAsia="ja-JP"/>
        </w:rPr>
        <w:t xml:space="preserve"> important </w:t>
      </w:r>
      <w:r w:rsidR="00480469">
        <w:rPr>
          <w:lang w:eastAsia="ja-JP"/>
        </w:rPr>
        <w:t xml:space="preserve">tool </w:t>
      </w:r>
      <w:r w:rsidRPr="00BA761B">
        <w:rPr>
          <w:lang w:eastAsia="ja-JP"/>
        </w:rPr>
        <w:t>to promote consistent messaging and a streamlined referral process into the RFCS.</w:t>
      </w:r>
    </w:p>
    <w:p w14:paraId="587BFB41" w14:textId="4A944192" w:rsidR="00517F4E" w:rsidRDefault="004A3B84" w:rsidP="00BA761B">
      <w:pPr>
        <w:rPr>
          <w:lang w:eastAsia="ja-JP"/>
        </w:rPr>
      </w:pPr>
      <w:r>
        <w:rPr>
          <w:lang w:eastAsia="ja-JP"/>
        </w:rPr>
        <w:t>Stakeholders also expressed that</w:t>
      </w:r>
      <w:r w:rsidR="002E3EF3">
        <w:rPr>
          <w:lang w:eastAsia="ja-JP"/>
        </w:rPr>
        <w:t xml:space="preserve"> </w:t>
      </w:r>
      <w:r>
        <w:rPr>
          <w:lang w:eastAsia="ja-JP"/>
        </w:rPr>
        <w:t>c</w:t>
      </w:r>
      <w:r w:rsidR="00BA761B" w:rsidRPr="00BA761B">
        <w:rPr>
          <w:lang w:eastAsia="ja-JP"/>
        </w:rPr>
        <w:t xml:space="preserve">onsideration should be given to </w:t>
      </w:r>
      <w:r>
        <w:rPr>
          <w:lang w:eastAsia="ja-JP"/>
        </w:rPr>
        <w:t xml:space="preserve">a </w:t>
      </w:r>
      <w:r w:rsidR="00BA761B" w:rsidRPr="00BA761B">
        <w:rPr>
          <w:lang w:eastAsia="ja-JP"/>
        </w:rPr>
        <w:t>national</w:t>
      </w:r>
      <w:r w:rsidR="00856530">
        <w:rPr>
          <w:lang w:eastAsia="ja-JP"/>
        </w:rPr>
        <w:t xml:space="preserve"> </w:t>
      </w:r>
      <w:r w:rsidR="00BA761B" w:rsidRPr="00BA761B">
        <w:rPr>
          <w:lang w:eastAsia="ja-JP"/>
        </w:rPr>
        <w:t>hotline</w:t>
      </w:r>
      <w:r>
        <w:rPr>
          <w:lang w:eastAsia="ja-JP"/>
        </w:rPr>
        <w:t xml:space="preserve"> for incoming calls to the RFCS</w:t>
      </w:r>
      <w:r w:rsidR="00BA761B" w:rsidRPr="00BA761B">
        <w:rPr>
          <w:lang w:eastAsia="ja-JP"/>
        </w:rPr>
        <w:t xml:space="preserve">. </w:t>
      </w:r>
      <w:r>
        <w:rPr>
          <w:lang w:eastAsia="ja-JP"/>
        </w:rPr>
        <w:t>Currently</w:t>
      </w:r>
      <w:r w:rsidR="00A44D8D">
        <w:rPr>
          <w:lang w:eastAsia="ja-JP"/>
        </w:rPr>
        <w:t xml:space="preserve">, </w:t>
      </w:r>
      <w:r>
        <w:rPr>
          <w:lang w:eastAsia="ja-JP"/>
        </w:rPr>
        <w:t xml:space="preserve">a </w:t>
      </w:r>
      <w:r w:rsidR="00BA761B" w:rsidRPr="00BA761B">
        <w:rPr>
          <w:lang w:eastAsia="ja-JP"/>
        </w:rPr>
        <w:t>national phone number</w:t>
      </w:r>
      <w:r>
        <w:rPr>
          <w:lang w:eastAsia="ja-JP"/>
        </w:rPr>
        <w:t xml:space="preserve"> directed to the department</w:t>
      </w:r>
      <w:r w:rsidR="00736B18">
        <w:rPr>
          <w:lang w:eastAsia="ja-JP"/>
        </w:rPr>
        <w:t>'</w:t>
      </w:r>
      <w:r w:rsidR="0002265B">
        <w:rPr>
          <w:lang w:eastAsia="ja-JP"/>
        </w:rPr>
        <w:t>s program administration team</w:t>
      </w:r>
      <w:r w:rsidR="00BA761B" w:rsidRPr="00BA761B">
        <w:rPr>
          <w:lang w:eastAsia="ja-JP"/>
        </w:rPr>
        <w:t xml:space="preserve"> is used in media announcements and for service providers to contact the RFCS program administration team. Departmental staff answer </w:t>
      </w:r>
      <w:r>
        <w:rPr>
          <w:lang w:eastAsia="ja-JP"/>
        </w:rPr>
        <w:t>incoming</w:t>
      </w:r>
      <w:r w:rsidR="00BA761B" w:rsidRPr="00BA761B">
        <w:rPr>
          <w:lang w:eastAsia="ja-JP"/>
        </w:rPr>
        <w:t xml:space="preserve"> phone calls, which in most cases </w:t>
      </w:r>
      <w:r>
        <w:rPr>
          <w:lang w:eastAsia="ja-JP"/>
        </w:rPr>
        <w:t xml:space="preserve">are </w:t>
      </w:r>
      <w:r w:rsidR="00AA5160">
        <w:rPr>
          <w:lang w:eastAsia="ja-JP"/>
        </w:rPr>
        <w:t xml:space="preserve">potential </w:t>
      </w:r>
      <w:r>
        <w:rPr>
          <w:lang w:eastAsia="ja-JP"/>
        </w:rPr>
        <w:t>clients</w:t>
      </w:r>
      <w:r w:rsidR="00BA761B" w:rsidRPr="00BA761B">
        <w:rPr>
          <w:lang w:eastAsia="ja-JP"/>
        </w:rPr>
        <w:t xml:space="preserve"> seeking general information about the service and wanting to speak to a local counsellor. </w:t>
      </w:r>
      <w:r w:rsidR="00FE31E9">
        <w:rPr>
          <w:lang w:eastAsia="ja-JP"/>
        </w:rPr>
        <w:t>S</w:t>
      </w:r>
      <w:r w:rsidR="00BA761B" w:rsidRPr="00BA761B">
        <w:rPr>
          <w:lang w:eastAsia="ja-JP"/>
        </w:rPr>
        <w:t xml:space="preserve">taff can redirect </w:t>
      </w:r>
      <w:r w:rsidR="00AA5160">
        <w:rPr>
          <w:lang w:eastAsia="ja-JP"/>
        </w:rPr>
        <w:t>calls</w:t>
      </w:r>
      <w:r w:rsidR="00BA761B" w:rsidRPr="00BA761B">
        <w:rPr>
          <w:lang w:eastAsia="ja-JP"/>
        </w:rPr>
        <w:t xml:space="preserve"> to the appropriate </w:t>
      </w:r>
      <w:r w:rsidR="00AA5160">
        <w:rPr>
          <w:lang w:eastAsia="ja-JP"/>
        </w:rPr>
        <w:t>service provider</w:t>
      </w:r>
      <w:r w:rsidR="00FE31E9">
        <w:rPr>
          <w:lang w:eastAsia="ja-JP"/>
        </w:rPr>
        <w:t xml:space="preserve">; however, </w:t>
      </w:r>
      <w:r w:rsidR="00AA5160">
        <w:rPr>
          <w:lang w:eastAsia="ja-JP"/>
        </w:rPr>
        <w:t xml:space="preserve">by the time the caller </w:t>
      </w:r>
      <w:r w:rsidR="00BA761B" w:rsidRPr="00BA761B">
        <w:rPr>
          <w:lang w:eastAsia="ja-JP"/>
        </w:rPr>
        <w:t>speaks with a counsellor they may have been redirected multiple times</w:t>
      </w:r>
      <w:r w:rsidR="00FE31E9">
        <w:rPr>
          <w:lang w:eastAsia="ja-JP"/>
        </w:rPr>
        <w:t>—</w:t>
      </w:r>
      <w:r w:rsidR="00AA5160">
        <w:rPr>
          <w:lang w:eastAsia="ja-JP"/>
        </w:rPr>
        <w:t xml:space="preserve">potentially </w:t>
      </w:r>
      <w:r w:rsidR="00BA761B" w:rsidRPr="00BA761B">
        <w:rPr>
          <w:lang w:eastAsia="ja-JP"/>
        </w:rPr>
        <w:t xml:space="preserve">creating confusion and frustration. </w:t>
      </w:r>
      <w:r w:rsidR="00FE31E9">
        <w:rPr>
          <w:lang w:eastAsia="ja-JP"/>
        </w:rPr>
        <w:t>T</w:t>
      </w:r>
      <w:r w:rsidR="00BA761B" w:rsidRPr="00BA761B">
        <w:rPr>
          <w:lang w:eastAsia="ja-JP"/>
        </w:rPr>
        <w:t>he process is time</w:t>
      </w:r>
      <w:r w:rsidR="001E50E4">
        <w:rPr>
          <w:lang w:eastAsia="ja-JP"/>
        </w:rPr>
        <w:t>-</w:t>
      </w:r>
      <w:r w:rsidR="00BA761B" w:rsidRPr="00BA761B">
        <w:rPr>
          <w:lang w:eastAsia="ja-JP"/>
        </w:rPr>
        <w:t xml:space="preserve">consuming for departmental staff and they too </w:t>
      </w:r>
      <w:r w:rsidR="00AA5160">
        <w:rPr>
          <w:lang w:eastAsia="ja-JP"/>
        </w:rPr>
        <w:t>require training to</w:t>
      </w:r>
      <w:r w:rsidR="00BA761B" w:rsidRPr="00BA761B">
        <w:rPr>
          <w:lang w:eastAsia="ja-JP"/>
        </w:rPr>
        <w:t xml:space="preserve"> appropriately handle distressed callers</w:t>
      </w:r>
      <w:r w:rsidR="003A3B92">
        <w:rPr>
          <w:lang w:eastAsia="ja-JP"/>
        </w:rPr>
        <w:t>.</w:t>
      </w:r>
    </w:p>
    <w:p w14:paraId="25A1BDD3" w14:textId="68B6834B" w:rsidR="00BA761B" w:rsidRPr="00BA761B" w:rsidRDefault="00FE31E9" w:rsidP="00BA761B">
      <w:pPr>
        <w:rPr>
          <w:lang w:eastAsia="ja-JP"/>
        </w:rPr>
      </w:pPr>
      <w:r>
        <w:rPr>
          <w:lang w:eastAsia="ja-JP"/>
        </w:rPr>
        <w:t>P</w:t>
      </w:r>
      <w:r w:rsidR="00422C55">
        <w:rPr>
          <w:lang w:eastAsia="ja-JP"/>
        </w:rPr>
        <w:t>riority</w:t>
      </w:r>
      <w:r w:rsidR="00BA761B" w:rsidRPr="00BA761B">
        <w:rPr>
          <w:lang w:eastAsia="ja-JP"/>
        </w:rPr>
        <w:t xml:space="preserve"> should be given to establishing a more streamlined approach</w:t>
      </w:r>
      <w:r w:rsidR="0002265B">
        <w:rPr>
          <w:lang w:eastAsia="ja-JP"/>
        </w:rPr>
        <w:t>.</w:t>
      </w:r>
      <w:r w:rsidR="00422C55">
        <w:rPr>
          <w:lang w:eastAsia="ja-JP"/>
        </w:rPr>
        <w:t xml:space="preserve"> </w:t>
      </w:r>
      <w:r w:rsidR="0002265B">
        <w:rPr>
          <w:lang w:eastAsia="ja-JP"/>
        </w:rPr>
        <w:t xml:space="preserve">For </w:t>
      </w:r>
      <w:r w:rsidR="00422C55">
        <w:rPr>
          <w:lang w:eastAsia="ja-JP"/>
        </w:rPr>
        <w:t xml:space="preserve">example, </w:t>
      </w:r>
      <w:r w:rsidR="00BA761B" w:rsidRPr="00BA761B">
        <w:rPr>
          <w:lang w:eastAsia="ja-JP"/>
        </w:rPr>
        <w:t>using a caller</w:t>
      </w:r>
      <w:r w:rsidR="00736B18">
        <w:rPr>
          <w:lang w:eastAsia="ja-JP"/>
        </w:rPr>
        <w:t>'</w:t>
      </w:r>
      <w:r w:rsidR="00BA761B" w:rsidRPr="00BA761B">
        <w:rPr>
          <w:lang w:eastAsia="ja-JP"/>
        </w:rPr>
        <w:t xml:space="preserve">s geographic location to </w:t>
      </w:r>
      <w:r>
        <w:rPr>
          <w:lang w:eastAsia="ja-JP"/>
        </w:rPr>
        <w:t xml:space="preserve">automatically </w:t>
      </w:r>
      <w:r w:rsidR="00BA761B" w:rsidRPr="00BA761B">
        <w:rPr>
          <w:lang w:eastAsia="ja-JP"/>
        </w:rPr>
        <w:t>redirect the call to the appropriate region</w:t>
      </w:r>
      <w:r>
        <w:rPr>
          <w:lang w:eastAsia="ja-JP"/>
        </w:rPr>
        <w:t xml:space="preserve"> and</w:t>
      </w:r>
      <w:r w:rsidR="00BA761B" w:rsidRPr="00BA761B">
        <w:rPr>
          <w:lang w:eastAsia="ja-JP"/>
        </w:rPr>
        <w:t xml:space="preserve"> </w:t>
      </w:r>
      <w:r w:rsidR="0002265B">
        <w:rPr>
          <w:lang w:eastAsia="ja-JP"/>
        </w:rPr>
        <w:t>ensur</w:t>
      </w:r>
      <w:r>
        <w:rPr>
          <w:lang w:eastAsia="ja-JP"/>
        </w:rPr>
        <w:t>e</w:t>
      </w:r>
      <w:r w:rsidR="00BA761B" w:rsidRPr="00BA761B">
        <w:rPr>
          <w:lang w:eastAsia="ja-JP"/>
        </w:rPr>
        <w:t xml:space="preserve"> clients experience a more efficient referral service.</w:t>
      </w:r>
    </w:p>
    <w:p w14:paraId="48FC0A57" w14:textId="3F4190FC" w:rsidR="00BA761B" w:rsidRPr="00BA761B" w:rsidRDefault="00FE31E9" w:rsidP="00BA761B">
      <w:pPr>
        <w:rPr>
          <w:lang w:eastAsia="ja-JP"/>
        </w:rPr>
      </w:pPr>
      <w:r>
        <w:rPr>
          <w:lang w:eastAsia="ja-JP"/>
        </w:rPr>
        <w:t xml:space="preserve">The national communications committee </w:t>
      </w:r>
      <w:r w:rsidR="00422C55">
        <w:rPr>
          <w:lang w:eastAsia="ja-JP"/>
        </w:rPr>
        <w:t xml:space="preserve">is </w:t>
      </w:r>
      <w:r w:rsidR="0002265B">
        <w:rPr>
          <w:lang w:eastAsia="ja-JP"/>
        </w:rPr>
        <w:t>also</w:t>
      </w:r>
      <w:r w:rsidR="00422C55">
        <w:rPr>
          <w:lang w:eastAsia="ja-JP"/>
        </w:rPr>
        <w:t xml:space="preserve"> </w:t>
      </w:r>
      <w:r>
        <w:rPr>
          <w:lang w:eastAsia="ja-JP"/>
        </w:rPr>
        <w:t>considering national branding</w:t>
      </w:r>
      <w:r w:rsidR="00BA761B" w:rsidRPr="00BA761B">
        <w:rPr>
          <w:lang w:eastAsia="ja-JP"/>
        </w:rPr>
        <w:t xml:space="preserve">. Some providers </w:t>
      </w:r>
      <w:r>
        <w:rPr>
          <w:lang w:eastAsia="ja-JP"/>
        </w:rPr>
        <w:t>are</w:t>
      </w:r>
      <w:r w:rsidRPr="00BA761B">
        <w:rPr>
          <w:lang w:eastAsia="ja-JP"/>
        </w:rPr>
        <w:t xml:space="preserve"> </w:t>
      </w:r>
      <w:r w:rsidR="00BA761B" w:rsidRPr="00BA761B">
        <w:rPr>
          <w:lang w:eastAsia="ja-JP"/>
        </w:rPr>
        <w:t xml:space="preserve">concerned </w:t>
      </w:r>
      <w:r>
        <w:rPr>
          <w:lang w:eastAsia="ja-JP"/>
        </w:rPr>
        <w:t>about</w:t>
      </w:r>
      <w:r w:rsidR="00BA761B" w:rsidRPr="00BA761B">
        <w:rPr>
          <w:lang w:eastAsia="ja-JP"/>
        </w:rPr>
        <w:t xml:space="preserve"> swapping recognised local brands for nationally consistent branding. Counsellors also </w:t>
      </w:r>
      <w:r>
        <w:rPr>
          <w:lang w:eastAsia="ja-JP"/>
        </w:rPr>
        <w:t xml:space="preserve">said </w:t>
      </w:r>
      <w:r w:rsidR="00BA761B" w:rsidRPr="00BA761B">
        <w:rPr>
          <w:lang w:eastAsia="ja-JP"/>
        </w:rPr>
        <w:t>that the term</w:t>
      </w:r>
      <w:r w:rsidR="00517F4E">
        <w:rPr>
          <w:lang w:eastAsia="ja-JP"/>
        </w:rPr>
        <w:t xml:space="preserve"> </w:t>
      </w:r>
      <w:r w:rsidR="00736B18">
        <w:rPr>
          <w:lang w:eastAsia="ja-JP"/>
        </w:rPr>
        <w:t>'</w:t>
      </w:r>
      <w:r w:rsidR="00BA761B" w:rsidRPr="00F61EEE">
        <w:rPr>
          <w:lang w:eastAsia="ja-JP"/>
        </w:rPr>
        <w:t>counselling</w:t>
      </w:r>
      <w:r w:rsidR="00736B18">
        <w:rPr>
          <w:lang w:eastAsia="ja-JP"/>
        </w:rPr>
        <w:t>'</w:t>
      </w:r>
      <w:r w:rsidR="00BA761B" w:rsidRPr="00F61EEE">
        <w:rPr>
          <w:lang w:eastAsia="ja-JP"/>
        </w:rPr>
        <w:t xml:space="preserve"> </w:t>
      </w:r>
      <w:r w:rsidR="00422C55" w:rsidRPr="00F61EEE">
        <w:rPr>
          <w:lang w:eastAsia="ja-JP"/>
        </w:rPr>
        <w:t>could be a barrier for</w:t>
      </w:r>
      <w:r w:rsidR="00BA761B" w:rsidRPr="00F61EEE">
        <w:rPr>
          <w:lang w:eastAsia="ja-JP"/>
        </w:rPr>
        <w:t xml:space="preserve"> potential clients who view </w:t>
      </w:r>
      <w:r w:rsidR="00BA761B" w:rsidRPr="00F61EEE">
        <w:rPr>
          <w:lang w:eastAsia="ja-JP"/>
        </w:rPr>
        <w:lastRenderedPageBreak/>
        <w:t xml:space="preserve">the term negatively </w:t>
      </w:r>
      <w:r>
        <w:rPr>
          <w:lang w:eastAsia="ja-JP"/>
        </w:rPr>
        <w:t>or</w:t>
      </w:r>
      <w:r w:rsidRPr="00F61EEE">
        <w:rPr>
          <w:lang w:eastAsia="ja-JP"/>
        </w:rPr>
        <w:t xml:space="preserve"> </w:t>
      </w:r>
      <w:r w:rsidR="00BA761B" w:rsidRPr="00F61EEE">
        <w:rPr>
          <w:lang w:eastAsia="ja-JP"/>
        </w:rPr>
        <w:t xml:space="preserve">incorrectly associate it with personal, emotional or mental health counselling. </w:t>
      </w:r>
      <w:r>
        <w:rPr>
          <w:lang w:eastAsia="ja-JP"/>
        </w:rPr>
        <w:t>N</w:t>
      </w:r>
      <w:r w:rsidR="00BA761B" w:rsidRPr="00F61EEE">
        <w:rPr>
          <w:lang w:eastAsia="ja-JP"/>
        </w:rPr>
        <w:t>ot all clients may want to be</w:t>
      </w:r>
      <w:r w:rsidR="00517F4E">
        <w:rPr>
          <w:lang w:eastAsia="ja-JP"/>
        </w:rPr>
        <w:t xml:space="preserve"> </w:t>
      </w:r>
      <w:r w:rsidR="00736B18">
        <w:rPr>
          <w:lang w:eastAsia="ja-JP"/>
        </w:rPr>
        <w:t>'</w:t>
      </w:r>
      <w:r w:rsidR="00BA761B" w:rsidRPr="00F61EEE">
        <w:rPr>
          <w:lang w:eastAsia="ja-JP"/>
        </w:rPr>
        <w:t>counselled</w:t>
      </w:r>
      <w:r w:rsidR="00736B18">
        <w:rPr>
          <w:lang w:eastAsia="ja-JP"/>
        </w:rPr>
        <w:t>'</w:t>
      </w:r>
      <w:r w:rsidR="009C1B62">
        <w:rPr>
          <w:lang w:eastAsia="ja-JP"/>
        </w:rPr>
        <w:t>, but</w:t>
      </w:r>
      <w:r w:rsidR="00BA761B" w:rsidRPr="00F61EEE">
        <w:rPr>
          <w:lang w:eastAsia="ja-JP"/>
        </w:rPr>
        <w:t xml:space="preserve"> </w:t>
      </w:r>
      <w:r w:rsidR="0002265B" w:rsidRPr="00F61EEE">
        <w:rPr>
          <w:lang w:eastAsia="ja-JP"/>
        </w:rPr>
        <w:t>the term appropriately reflects the professional skillset</w:t>
      </w:r>
      <w:r w:rsidR="0002265B">
        <w:rPr>
          <w:lang w:eastAsia="ja-JP"/>
        </w:rPr>
        <w:t xml:space="preserve"> employed by financial counsellors</w:t>
      </w:r>
      <w:r w:rsidR="00BA761B" w:rsidRPr="00BA761B">
        <w:rPr>
          <w:lang w:eastAsia="ja-JP"/>
        </w:rPr>
        <w:t xml:space="preserve">. </w:t>
      </w:r>
      <w:r>
        <w:rPr>
          <w:lang w:eastAsia="ja-JP"/>
        </w:rPr>
        <w:t>T</w:t>
      </w:r>
      <w:r w:rsidR="00BA761B" w:rsidRPr="00BA761B">
        <w:rPr>
          <w:lang w:eastAsia="ja-JP"/>
        </w:rPr>
        <w:t xml:space="preserve">he issue of stigma </w:t>
      </w:r>
      <w:r>
        <w:rPr>
          <w:lang w:eastAsia="ja-JP"/>
        </w:rPr>
        <w:t>varies</w:t>
      </w:r>
      <w:r w:rsidR="00BA761B" w:rsidRPr="00BA761B">
        <w:rPr>
          <w:lang w:eastAsia="ja-JP"/>
        </w:rPr>
        <w:t xml:space="preserve"> across (and within) </w:t>
      </w:r>
      <w:r w:rsidR="003A3B92">
        <w:rPr>
          <w:lang w:eastAsia="ja-JP"/>
        </w:rPr>
        <w:t xml:space="preserve">service </w:t>
      </w:r>
      <w:r w:rsidR="00BA761B" w:rsidRPr="00BA761B">
        <w:rPr>
          <w:lang w:eastAsia="ja-JP"/>
        </w:rPr>
        <w:t>regions and client</w:t>
      </w:r>
      <w:r w:rsidR="003A3B92">
        <w:rPr>
          <w:lang w:eastAsia="ja-JP"/>
        </w:rPr>
        <w:t xml:space="preserve"> </w:t>
      </w:r>
      <w:r w:rsidR="00BA761B" w:rsidRPr="00BA761B">
        <w:rPr>
          <w:lang w:eastAsia="ja-JP"/>
        </w:rPr>
        <w:t>demographics</w:t>
      </w:r>
      <w:r w:rsidR="00BA761B" w:rsidRPr="00E57E2E">
        <w:rPr>
          <w:lang w:eastAsia="ja-JP"/>
        </w:rPr>
        <w:t>. An increased role in preparedness and financial literacy coaching</w:t>
      </w:r>
      <w:r w:rsidR="006D4D6D" w:rsidRPr="00E57E2E">
        <w:rPr>
          <w:lang w:eastAsia="ja-JP"/>
        </w:rPr>
        <w:t>,</w:t>
      </w:r>
      <w:r w:rsidR="00BA761B" w:rsidRPr="00E57E2E">
        <w:rPr>
          <w:lang w:eastAsia="ja-JP"/>
        </w:rPr>
        <w:t xml:space="preserve"> as well as servicing small businesses</w:t>
      </w:r>
      <w:r w:rsidR="006D4D6D" w:rsidRPr="00E57E2E">
        <w:rPr>
          <w:lang w:eastAsia="ja-JP"/>
        </w:rPr>
        <w:t>,</w:t>
      </w:r>
      <w:r w:rsidR="00BA761B" w:rsidRPr="00E57E2E">
        <w:rPr>
          <w:lang w:eastAsia="ja-JP"/>
        </w:rPr>
        <w:t xml:space="preserve"> may also </w:t>
      </w:r>
      <w:r w:rsidR="0002265B" w:rsidRPr="00E57E2E">
        <w:rPr>
          <w:lang w:eastAsia="ja-JP"/>
        </w:rPr>
        <w:t xml:space="preserve">continue to </w:t>
      </w:r>
      <w:r w:rsidR="00BA761B" w:rsidRPr="00E57E2E">
        <w:rPr>
          <w:lang w:eastAsia="ja-JP"/>
        </w:rPr>
        <w:t xml:space="preserve">change perceptions of the </w:t>
      </w:r>
      <w:r w:rsidR="000412C7" w:rsidRPr="00E57E2E">
        <w:rPr>
          <w:lang w:eastAsia="ja-JP"/>
        </w:rPr>
        <w:t>RFCS</w:t>
      </w:r>
      <w:r w:rsidR="003A3B92">
        <w:rPr>
          <w:lang w:eastAsia="ja-JP"/>
        </w:rPr>
        <w:t>.</w:t>
      </w:r>
    </w:p>
    <w:p w14:paraId="1704980B" w14:textId="7F1E8AA1" w:rsidR="00517F4E" w:rsidRDefault="00AA5160" w:rsidP="00BA761B">
      <w:pPr>
        <w:rPr>
          <w:lang w:eastAsia="ja-JP"/>
        </w:rPr>
      </w:pPr>
      <w:r w:rsidRPr="00BA761B">
        <w:rPr>
          <w:lang w:eastAsia="ja-JP"/>
        </w:rPr>
        <w:t>The panel noted that some of the messages sent by services or counsellors were not consistent with the program</w:t>
      </w:r>
      <w:r w:rsidR="00736B18">
        <w:rPr>
          <w:lang w:eastAsia="ja-JP"/>
        </w:rPr>
        <w:t>'</w:t>
      </w:r>
      <w:r w:rsidRPr="00BA761B">
        <w:rPr>
          <w:lang w:eastAsia="ja-JP"/>
        </w:rPr>
        <w:t xml:space="preserve">s key messages. </w:t>
      </w:r>
      <w:r w:rsidR="00BA761B" w:rsidRPr="00BA761B">
        <w:rPr>
          <w:lang w:eastAsia="ja-JP"/>
        </w:rPr>
        <w:t xml:space="preserve">There are opportunities to increase consistency in </w:t>
      </w:r>
      <w:r>
        <w:rPr>
          <w:lang w:eastAsia="ja-JP"/>
        </w:rPr>
        <w:t xml:space="preserve">messaging and </w:t>
      </w:r>
      <w:r w:rsidR="00BA761B" w:rsidRPr="00BA761B">
        <w:rPr>
          <w:lang w:eastAsia="ja-JP"/>
        </w:rPr>
        <w:t xml:space="preserve">communication on the </w:t>
      </w:r>
      <w:r w:rsidR="0002265B">
        <w:rPr>
          <w:lang w:eastAsia="ja-JP"/>
        </w:rPr>
        <w:t>program objectives</w:t>
      </w:r>
      <w:r w:rsidR="00BA761B" w:rsidRPr="00BA761B">
        <w:rPr>
          <w:lang w:eastAsia="ja-JP"/>
        </w:rPr>
        <w:t xml:space="preserve">, </w:t>
      </w:r>
      <w:r w:rsidR="0002265B">
        <w:rPr>
          <w:lang w:eastAsia="ja-JP"/>
        </w:rPr>
        <w:t>available services</w:t>
      </w:r>
      <w:r w:rsidR="00BA761B" w:rsidRPr="00BA761B">
        <w:rPr>
          <w:lang w:eastAsia="ja-JP"/>
        </w:rPr>
        <w:t xml:space="preserve"> and government support measures.</w:t>
      </w:r>
    </w:p>
    <w:p w14:paraId="08257869" w14:textId="56E883B1" w:rsidR="00BA761B" w:rsidRPr="00BA761B" w:rsidRDefault="004F293C" w:rsidP="00202967">
      <w:pPr>
        <w:rPr>
          <w:lang w:eastAsia="ja-JP"/>
        </w:rPr>
      </w:pPr>
      <w:r>
        <w:rPr>
          <w:lang w:eastAsia="ja-JP"/>
        </w:rPr>
        <w:t>T</w:t>
      </w:r>
      <w:r w:rsidR="00BA761B" w:rsidRPr="00BA761B">
        <w:rPr>
          <w:lang w:eastAsia="ja-JP"/>
        </w:rPr>
        <w:t xml:space="preserve">he service </w:t>
      </w:r>
      <w:r>
        <w:rPr>
          <w:lang w:eastAsia="ja-JP"/>
        </w:rPr>
        <w:t xml:space="preserve">needs to focus on </w:t>
      </w:r>
      <w:r w:rsidR="0002265B" w:rsidRPr="00BA761B">
        <w:rPr>
          <w:lang w:eastAsia="ja-JP"/>
        </w:rPr>
        <w:t>case</w:t>
      </w:r>
      <w:r w:rsidR="00D724AF">
        <w:rPr>
          <w:lang w:eastAsia="ja-JP"/>
        </w:rPr>
        <w:t>-</w:t>
      </w:r>
      <w:r w:rsidR="00BA761B" w:rsidRPr="00BA761B">
        <w:rPr>
          <w:lang w:eastAsia="ja-JP"/>
        </w:rPr>
        <w:t>managed relationship</w:t>
      </w:r>
      <w:r w:rsidR="006D4D6D">
        <w:rPr>
          <w:lang w:eastAsia="ja-JP"/>
        </w:rPr>
        <w:t>s</w:t>
      </w:r>
      <w:r w:rsidR="00BA761B" w:rsidRPr="00BA761B">
        <w:rPr>
          <w:lang w:eastAsia="ja-JP"/>
        </w:rPr>
        <w:t xml:space="preserve"> and </w:t>
      </w:r>
      <w:r>
        <w:rPr>
          <w:lang w:eastAsia="ja-JP"/>
        </w:rPr>
        <w:t>supporting clients to</w:t>
      </w:r>
      <w:r w:rsidR="00BA761B" w:rsidRPr="00BA761B">
        <w:rPr>
          <w:lang w:eastAsia="ja-JP"/>
        </w:rPr>
        <w:t xml:space="preserve"> mak</w:t>
      </w:r>
      <w:r>
        <w:rPr>
          <w:lang w:eastAsia="ja-JP"/>
        </w:rPr>
        <w:t>e</w:t>
      </w:r>
      <w:r w:rsidR="00BA761B" w:rsidRPr="00BA761B">
        <w:rPr>
          <w:lang w:eastAsia="ja-JP"/>
        </w:rPr>
        <w:t xml:space="preserve"> positive</w:t>
      </w:r>
      <w:r w:rsidR="00A46517">
        <w:rPr>
          <w:lang w:eastAsia="ja-JP"/>
        </w:rPr>
        <w:t xml:space="preserve"> behavioural changes</w:t>
      </w:r>
      <w:r w:rsidR="00BA761B" w:rsidRPr="00BA761B">
        <w:rPr>
          <w:lang w:eastAsia="ja-JP"/>
        </w:rPr>
        <w:t>. All communication</w:t>
      </w:r>
      <w:r w:rsidR="006D4D6D">
        <w:rPr>
          <w:lang w:eastAsia="ja-JP"/>
        </w:rPr>
        <w:t xml:space="preserve"> </w:t>
      </w:r>
      <w:r w:rsidR="0002265B">
        <w:rPr>
          <w:lang w:eastAsia="ja-JP"/>
        </w:rPr>
        <w:t>activities</w:t>
      </w:r>
      <w:r w:rsidR="00BA761B" w:rsidRPr="00BA761B">
        <w:rPr>
          <w:lang w:eastAsia="ja-JP"/>
        </w:rPr>
        <w:t xml:space="preserve"> should </w:t>
      </w:r>
      <w:r w:rsidR="00846A4E">
        <w:rPr>
          <w:lang w:eastAsia="ja-JP"/>
        </w:rPr>
        <w:t>be focused on these messages.</w:t>
      </w:r>
    </w:p>
    <w:p w14:paraId="63B9DD47" w14:textId="015066DD" w:rsidR="00202967" w:rsidRPr="00293183" w:rsidRDefault="00293183" w:rsidP="00293183">
      <w:pPr>
        <w:pStyle w:val="BoxHeading"/>
      </w:pPr>
      <w:r>
        <w:t>Recommendation 21</w:t>
      </w:r>
    </w:p>
    <w:p w14:paraId="710AED5B" w14:textId="74CE9BC3" w:rsidR="00517F4E" w:rsidRPr="00293183" w:rsidRDefault="00AF5B5B" w:rsidP="00293183">
      <w:pPr>
        <w:pStyle w:val="BoxText"/>
      </w:pPr>
      <w:r w:rsidRPr="00293183">
        <w:t xml:space="preserve">That the department </w:t>
      </w:r>
      <w:r w:rsidR="00FF7479">
        <w:t xml:space="preserve">commits resources </w:t>
      </w:r>
      <w:r w:rsidRPr="00293183">
        <w:t>to consider levels of government support for communication activities</w:t>
      </w:r>
      <w:r w:rsidR="00FF7479">
        <w:t>,</w:t>
      </w:r>
      <w:r w:rsidRPr="00293183">
        <w:t xml:space="preserve"> including determining the value of national brand and identity, </w:t>
      </w:r>
      <w:r w:rsidRPr="00813BAF">
        <w:t>streamlining referral processes (national 1800</w:t>
      </w:r>
      <w:r w:rsidR="00E57E2E">
        <w:t xml:space="preserve"> </w:t>
      </w:r>
      <w:r w:rsidRPr="00813BAF">
        <w:t>number and website)</w:t>
      </w:r>
      <w:r w:rsidRPr="00293183">
        <w:t xml:space="preserve"> and instilling consistent and clear program messages.</w:t>
      </w:r>
    </w:p>
    <w:p w14:paraId="459389E4" w14:textId="3B6AC644" w:rsidR="00293183" w:rsidRPr="00293183" w:rsidRDefault="00293183" w:rsidP="00293183">
      <w:pPr>
        <w:pStyle w:val="BoxHeading"/>
      </w:pPr>
      <w:r>
        <w:t>Recommendation 22</w:t>
      </w:r>
    </w:p>
    <w:p w14:paraId="6A77C54C" w14:textId="353A7D8E" w:rsidR="00AF5B5B" w:rsidRPr="00293183" w:rsidRDefault="00B461DD" w:rsidP="00293183">
      <w:pPr>
        <w:pStyle w:val="BoxText"/>
      </w:pPr>
      <w:r w:rsidRPr="00293183">
        <w:t>That a</w:t>
      </w:r>
      <w:r w:rsidR="00AF5B5B" w:rsidRPr="00293183">
        <w:t xml:space="preserve">ll communications about the RFCS emphasise </w:t>
      </w:r>
      <w:r w:rsidR="00FF7479" w:rsidRPr="00293183">
        <w:t xml:space="preserve">case management </w:t>
      </w:r>
      <w:r w:rsidR="00AF5B5B" w:rsidRPr="00293183">
        <w:t>activities and the broader policy goal of behavioural change.</w:t>
      </w:r>
    </w:p>
    <w:p w14:paraId="7594BC8F" w14:textId="4B0D7816" w:rsidR="00BA761B" w:rsidRPr="00BA761B" w:rsidRDefault="00BA761B" w:rsidP="00DA615F">
      <w:pPr>
        <w:pStyle w:val="Heading4"/>
        <w:rPr>
          <w:lang w:eastAsia="ja-JP"/>
        </w:rPr>
      </w:pPr>
      <w:r w:rsidRPr="00BA761B">
        <w:rPr>
          <w:lang w:eastAsia="ja-JP"/>
        </w:rPr>
        <w:t xml:space="preserve">Farm Liaison Officer </w:t>
      </w:r>
      <w:proofErr w:type="gramStart"/>
      <w:r w:rsidRPr="00BA761B">
        <w:rPr>
          <w:lang w:eastAsia="ja-JP"/>
        </w:rPr>
        <w:t>pilot</w:t>
      </w:r>
      <w:proofErr w:type="gramEnd"/>
    </w:p>
    <w:p w14:paraId="0D694954" w14:textId="63B89C91" w:rsidR="00517F4E" w:rsidRDefault="00BA761B" w:rsidP="00BA761B">
      <w:pPr>
        <w:rPr>
          <w:lang w:eastAsia="ja-JP"/>
        </w:rPr>
      </w:pPr>
      <w:r w:rsidRPr="00BA761B">
        <w:rPr>
          <w:lang w:eastAsia="ja-JP"/>
        </w:rPr>
        <w:t xml:space="preserve">In June 2018 the government funded </w:t>
      </w:r>
      <w:r w:rsidRPr="00F61EEE">
        <w:rPr>
          <w:lang w:eastAsia="ja-JP"/>
        </w:rPr>
        <w:t xml:space="preserve">a </w:t>
      </w:r>
      <w:r w:rsidR="00C54F84">
        <w:rPr>
          <w:lang w:eastAsia="ja-JP"/>
        </w:rPr>
        <w:t>2</w:t>
      </w:r>
      <w:r w:rsidRPr="00F61EEE">
        <w:rPr>
          <w:lang w:eastAsia="ja-JP"/>
        </w:rPr>
        <w:t>-year pilot for</w:t>
      </w:r>
      <w:r w:rsidR="00BA7CB3">
        <w:rPr>
          <w:lang w:eastAsia="ja-JP"/>
        </w:rPr>
        <w:t xml:space="preserve"> </w:t>
      </w:r>
      <w:r w:rsidR="00F13F30">
        <w:rPr>
          <w:lang w:eastAsia="ja-JP"/>
        </w:rPr>
        <w:t>2</w:t>
      </w:r>
      <w:r w:rsidR="008A4988">
        <w:rPr>
          <w:lang w:eastAsia="ja-JP"/>
        </w:rPr>
        <w:t>,</w:t>
      </w:r>
      <w:r w:rsidRPr="00F61EEE">
        <w:rPr>
          <w:lang w:eastAsia="ja-JP"/>
        </w:rPr>
        <w:t xml:space="preserve"> Farm Liaison</w:t>
      </w:r>
      <w:r w:rsidRPr="00BA761B">
        <w:rPr>
          <w:lang w:eastAsia="ja-JP"/>
        </w:rPr>
        <w:t xml:space="preserve"> Officers (</w:t>
      </w:r>
      <w:proofErr w:type="spellStart"/>
      <w:r w:rsidRPr="00BA761B">
        <w:rPr>
          <w:lang w:eastAsia="ja-JP"/>
        </w:rPr>
        <w:t>FLOs</w:t>
      </w:r>
      <w:proofErr w:type="spellEnd"/>
      <w:r w:rsidRPr="00BA761B">
        <w:rPr>
          <w:lang w:eastAsia="ja-JP"/>
        </w:rPr>
        <w:t xml:space="preserve">) to help connect farmers and communities with the RFCS and </w:t>
      </w:r>
      <w:r w:rsidR="0002265B">
        <w:rPr>
          <w:lang w:eastAsia="ja-JP"/>
        </w:rPr>
        <w:t xml:space="preserve">with </w:t>
      </w:r>
      <w:r w:rsidRPr="00BA761B">
        <w:rPr>
          <w:lang w:eastAsia="ja-JP"/>
        </w:rPr>
        <w:t>assistance measures in Queensland and the central and northern regions of New South Wal</w:t>
      </w:r>
      <w:r w:rsidR="00D92904">
        <w:rPr>
          <w:lang w:eastAsia="ja-JP"/>
        </w:rPr>
        <w:t xml:space="preserve">es. The </w:t>
      </w:r>
      <w:proofErr w:type="spellStart"/>
      <w:r w:rsidR="00D92904">
        <w:rPr>
          <w:lang w:eastAsia="ja-JP"/>
        </w:rPr>
        <w:t>FLOs</w:t>
      </w:r>
      <w:proofErr w:type="spellEnd"/>
      <w:r w:rsidR="00D92904">
        <w:rPr>
          <w:lang w:eastAsia="ja-JP"/>
        </w:rPr>
        <w:t xml:space="preserve"> were employed by a</w:t>
      </w:r>
      <w:r w:rsidRPr="00BA761B">
        <w:rPr>
          <w:lang w:eastAsia="ja-JP"/>
        </w:rPr>
        <w:t xml:space="preserve"> service provider</w:t>
      </w:r>
      <w:r w:rsidR="0002265B">
        <w:rPr>
          <w:lang w:eastAsia="ja-JP"/>
        </w:rPr>
        <w:t xml:space="preserve"> in each state</w:t>
      </w:r>
      <w:r w:rsidRPr="00BA761B">
        <w:rPr>
          <w:lang w:eastAsia="ja-JP"/>
        </w:rPr>
        <w:t xml:space="preserve">, but worked </w:t>
      </w:r>
      <w:r w:rsidR="000412C7">
        <w:rPr>
          <w:lang w:eastAsia="ja-JP"/>
        </w:rPr>
        <w:t xml:space="preserve">across </w:t>
      </w:r>
      <w:r w:rsidR="0002265B">
        <w:rPr>
          <w:lang w:eastAsia="ja-JP"/>
        </w:rPr>
        <w:t>multiple</w:t>
      </w:r>
      <w:r w:rsidRPr="00BA761B">
        <w:rPr>
          <w:lang w:eastAsia="ja-JP"/>
        </w:rPr>
        <w:t xml:space="preserve"> regions and submitted reports directly to </w:t>
      </w:r>
      <w:r w:rsidR="00BA7CB3">
        <w:rPr>
          <w:lang w:eastAsia="ja-JP"/>
        </w:rPr>
        <w:t>the department</w:t>
      </w:r>
      <w:r w:rsidRPr="00BA761B">
        <w:rPr>
          <w:lang w:eastAsia="ja-JP"/>
        </w:rPr>
        <w:t>.</w:t>
      </w:r>
    </w:p>
    <w:p w14:paraId="78091580" w14:textId="418C2428" w:rsidR="00BA761B" w:rsidRPr="00BA761B" w:rsidRDefault="00BA761B" w:rsidP="00BA761B">
      <w:pPr>
        <w:rPr>
          <w:lang w:eastAsia="ja-JP"/>
        </w:rPr>
      </w:pPr>
      <w:r w:rsidRPr="00BA761B">
        <w:rPr>
          <w:lang w:eastAsia="ja-JP"/>
        </w:rPr>
        <w:t xml:space="preserve">The review received mixed feedback on the FLO pilot, with many counsellors confused about the purpose and role of the position </w:t>
      </w:r>
      <w:r w:rsidR="006D4D6D">
        <w:rPr>
          <w:lang w:eastAsia="ja-JP"/>
        </w:rPr>
        <w:t>and</w:t>
      </w:r>
      <w:r w:rsidRPr="00BA761B">
        <w:rPr>
          <w:lang w:eastAsia="ja-JP"/>
        </w:rPr>
        <w:t xml:space="preserve"> some stakeholders noting that the FLO appeared to share responsibilities of executive officers and board members. Some service</w:t>
      </w:r>
      <w:r w:rsidR="00D92904">
        <w:rPr>
          <w:lang w:eastAsia="ja-JP"/>
        </w:rPr>
        <w:t xml:space="preserve"> provider</w:t>
      </w:r>
      <w:r w:rsidRPr="00BA761B">
        <w:rPr>
          <w:lang w:eastAsia="ja-JP"/>
        </w:rPr>
        <w:t xml:space="preserve">s did not feel they had gained significant value from the </w:t>
      </w:r>
      <w:proofErr w:type="spellStart"/>
      <w:r w:rsidRPr="00BA761B">
        <w:rPr>
          <w:lang w:eastAsia="ja-JP"/>
        </w:rPr>
        <w:t>FLO</w:t>
      </w:r>
      <w:r w:rsidR="00B9388A">
        <w:rPr>
          <w:lang w:eastAsia="ja-JP"/>
        </w:rPr>
        <w:t>s</w:t>
      </w:r>
      <w:proofErr w:type="spellEnd"/>
      <w:r w:rsidRPr="00BA761B">
        <w:rPr>
          <w:lang w:eastAsia="ja-JP"/>
        </w:rPr>
        <w:t xml:space="preserve"> and noted that they did not have direct control or input into their activities or reporting. </w:t>
      </w:r>
      <w:r w:rsidR="00B9388A">
        <w:rPr>
          <w:lang w:eastAsia="ja-JP"/>
        </w:rPr>
        <w:t>S</w:t>
      </w:r>
      <w:r w:rsidRPr="00BA761B">
        <w:rPr>
          <w:lang w:eastAsia="ja-JP"/>
        </w:rPr>
        <w:t xml:space="preserve">takeholders noted that the </w:t>
      </w:r>
      <w:proofErr w:type="spellStart"/>
      <w:r w:rsidRPr="00BA761B">
        <w:rPr>
          <w:lang w:eastAsia="ja-JP"/>
        </w:rPr>
        <w:t>FLOs</w:t>
      </w:r>
      <w:proofErr w:type="spellEnd"/>
      <w:r w:rsidRPr="00BA761B">
        <w:rPr>
          <w:lang w:eastAsia="ja-JP"/>
        </w:rPr>
        <w:t xml:space="preserve"> had had a positive impact on public knowledge of the service and had covered a significant geographical area. Several counsellors also noted that having a FLO</w:t>
      </w:r>
      <w:r w:rsidR="00733CA7">
        <w:rPr>
          <w:lang w:eastAsia="ja-JP"/>
        </w:rPr>
        <w:t xml:space="preserve"> undertake community engagement</w:t>
      </w:r>
      <w:r w:rsidRPr="00BA761B">
        <w:rPr>
          <w:lang w:eastAsia="ja-JP"/>
        </w:rPr>
        <w:t xml:space="preserve"> in peak periods was useful because it allowed </w:t>
      </w:r>
      <w:r w:rsidR="00B9388A">
        <w:rPr>
          <w:lang w:eastAsia="ja-JP"/>
        </w:rPr>
        <w:t>counsellors</w:t>
      </w:r>
      <w:r w:rsidRPr="00BA761B">
        <w:rPr>
          <w:lang w:eastAsia="ja-JP"/>
        </w:rPr>
        <w:t xml:space="preserve"> to focus on clients.</w:t>
      </w:r>
    </w:p>
    <w:p w14:paraId="6F9C42DD" w14:textId="2B59EBC3" w:rsidR="00517F4E" w:rsidRDefault="00BA761B" w:rsidP="00BA761B">
      <w:pPr>
        <w:rPr>
          <w:lang w:eastAsia="ja-JP"/>
        </w:rPr>
      </w:pPr>
      <w:r w:rsidRPr="00C46DCE">
        <w:rPr>
          <w:lang w:eastAsia="ja-JP"/>
        </w:rPr>
        <w:t xml:space="preserve">Some counsellors suggested </w:t>
      </w:r>
      <w:r w:rsidR="00057B88">
        <w:rPr>
          <w:lang w:eastAsia="ja-JP"/>
        </w:rPr>
        <w:t>a need for</w:t>
      </w:r>
      <w:r w:rsidRPr="00C46DCE">
        <w:rPr>
          <w:lang w:eastAsia="ja-JP"/>
        </w:rPr>
        <w:t xml:space="preserve"> stronger communication channels directly between counsellors and </w:t>
      </w:r>
      <w:proofErr w:type="spellStart"/>
      <w:r w:rsidRPr="00C46DCE">
        <w:rPr>
          <w:lang w:eastAsia="ja-JP"/>
        </w:rPr>
        <w:t>FLO</w:t>
      </w:r>
      <w:r w:rsidR="00D92904" w:rsidRPr="00C46DCE">
        <w:rPr>
          <w:lang w:eastAsia="ja-JP"/>
        </w:rPr>
        <w:t>s</w:t>
      </w:r>
      <w:proofErr w:type="spellEnd"/>
      <w:r w:rsidRPr="00C46DCE">
        <w:rPr>
          <w:lang w:eastAsia="ja-JP"/>
        </w:rPr>
        <w:t xml:space="preserve">, </w:t>
      </w:r>
      <w:r w:rsidR="00057B88">
        <w:rPr>
          <w:lang w:eastAsia="ja-JP"/>
        </w:rPr>
        <w:t xml:space="preserve">with </w:t>
      </w:r>
      <w:proofErr w:type="spellStart"/>
      <w:r w:rsidR="00057B88">
        <w:rPr>
          <w:lang w:eastAsia="ja-JP"/>
        </w:rPr>
        <w:t>FLOs</w:t>
      </w:r>
      <w:proofErr w:type="spellEnd"/>
      <w:r w:rsidR="00057B88">
        <w:rPr>
          <w:lang w:eastAsia="ja-JP"/>
        </w:rPr>
        <w:t xml:space="preserve"> being a conduit between counsellors and the Department. </w:t>
      </w:r>
      <w:r w:rsidRPr="00C46DCE">
        <w:rPr>
          <w:lang w:eastAsia="ja-JP"/>
        </w:rPr>
        <w:t xml:space="preserve">The review panel notes that some counsellors were concerned executive officers were not </w:t>
      </w:r>
      <w:r w:rsidR="00057B88">
        <w:rPr>
          <w:lang w:eastAsia="ja-JP"/>
        </w:rPr>
        <w:t>forwarding</w:t>
      </w:r>
      <w:r w:rsidR="00057B88" w:rsidRPr="00C46DCE">
        <w:rPr>
          <w:lang w:eastAsia="ja-JP"/>
        </w:rPr>
        <w:t xml:space="preserve"> </w:t>
      </w:r>
      <w:r w:rsidR="000412C7" w:rsidRPr="00C46DCE">
        <w:rPr>
          <w:lang w:eastAsia="ja-JP"/>
        </w:rPr>
        <w:t xml:space="preserve">their </w:t>
      </w:r>
      <w:r w:rsidRPr="00C46DCE">
        <w:rPr>
          <w:lang w:eastAsia="ja-JP"/>
        </w:rPr>
        <w:t>feedback directly to the department.</w:t>
      </w:r>
    </w:p>
    <w:p w14:paraId="43B2F25C" w14:textId="33B66F35" w:rsidR="00BA761B" w:rsidRPr="00BA761B" w:rsidRDefault="00BA761B" w:rsidP="00D166F8">
      <w:pPr>
        <w:rPr>
          <w:rFonts w:ascii="Calibri" w:eastAsia="Times New Roman" w:hAnsi="Calibri" w:cs="Times New Roman"/>
          <w:b/>
          <w:bCs/>
          <w:sz w:val="36"/>
          <w:szCs w:val="24"/>
          <w:lang w:eastAsia="ja-JP"/>
        </w:rPr>
      </w:pPr>
      <w:r w:rsidRPr="00BA761B">
        <w:rPr>
          <w:lang w:eastAsia="ja-JP"/>
        </w:rPr>
        <w:t xml:space="preserve">The panel understands that the department intends to review the FLO role at the conclusion of </w:t>
      </w:r>
      <w:r w:rsidR="00C46DCE">
        <w:rPr>
          <w:lang w:eastAsia="ja-JP"/>
        </w:rPr>
        <w:t>the</w:t>
      </w:r>
      <w:r w:rsidR="00C46DCE" w:rsidRPr="00BA761B">
        <w:rPr>
          <w:lang w:eastAsia="ja-JP"/>
        </w:rPr>
        <w:t xml:space="preserve"> </w:t>
      </w:r>
      <w:r w:rsidRPr="00BA761B">
        <w:rPr>
          <w:lang w:eastAsia="ja-JP"/>
        </w:rPr>
        <w:t>pilot period and makes no recommendations.</w:t>
      </w:r>
    </w:p>
    <w:p w14:paraId="4308914F" w14:textId="77777777" w:rsidR="00BA761B" w:rsidRPr="00BA761B" w:rsidRDefault="00BA761B" w:rsidP="00DA615F">
      <w:pPr>
        <w:pStyle w:val="Heading3"/>
        <w:rPr>
          <w:lang w:eastAsia="ja-JP"/>
        </w:rPr>
      </w:pPr>
      <w:bookmarkStart w:id="56" w:name="_Toc14076609"/>
      <w:bookmarkStart w:id="57" w:name="_Toc18328859"/>
      <w:r w:rsidRPr="00BA761B">
        <w:rPr>
          <w:lang w:eastAsia="ja-JP"/>
        </w:rPr>
        <w:lastRenderedPageBreak/>
        <w:t>Partner relationships</w:t>
      </w:r>
      <w:bookmarkEnd w:id="56"/>
      <w:bookmarkEnd w:id="57"/>
    </w:p>
    <w:p w14:paraId="0CBEC79E" w14:textId="6A1BAAD7" w:rsidR="00517F4E" w:rsidRDefault="00BA761B" w:rsidP="00BA761B">
      <w:pPr>
        <w:rPr>
          <w:lang w:eastAsia="ja-JP"/>
        </w:rPr>
      </w:pPr>
      <w:r w:rsidRPr="00BA761B">
        <w:rPr>
          <w:lang w:eastAsia="ja-JP"/>
        </w:rPr>
        <w:t xml:space="preserve">To effectively undertake their role, service providers need strong community partnerships </w:t>
      </w:r>
      <w:r w:rsidR="006D4D6D">
        <w:rPr>
          <w:lang w:eastAsia="ja-JP"/>
        </w:rPr>
        <w:t xml:space="preserve">with stakeholders that interact </w:t>
      </w:r>
      <w:r w:rsidR="003F2499">
        <w:rPr>
          <w:lang w:eastAsia="ja-JP"/>
        </w:rPr>
        <w:t xml:space="preserve">with </w:t>
      </w:r>
      <w:r w:rsidR="006D4D6D">
        <w:rPr>
          <w:lang w:eastAsia="ja-JP"/>
        </w:rPr>
        <w:t>or influence</w:t>
      </w:r>
      <w:r w:rsidRPr="00BA761B">
        <w:rPr>
          <w:lang w:eastAsia="ja-JP"/>
        </w:rPr>
        <w:t xml:space="preserve"> current and potential clients. These include connections with local banks, professional service providers (such as accountants and agronomists), </w:t>
      </w:r>
      <w:proofErr w:type="gramStart"/>
      <w:r w:rsidRPr="00BA761B">
        <w:rPr>
          <w:lang w:eastAsia="ja-JP"/>
        </w:rPr>
        <w:t>Primary</w:t>
      </w:r>
      <w:proofErr w:type="gramEnd"/>
      <w:r w:rsidRPr="00BA761B">
        <w:rPr>
          <w:lang w:eastAsia="ja-JP"/>
        </w:rPr>
        <w:t xml:space="preserve"> Health Network providers, </w:t>
      </w:r>
      <w:proofErr w:type="spellStart"/>
      <w:r w:rsidRPr="00BA761B">
        <w:rPr>
          <w:lang w:eastAsia="ja-JP"/>
        </w:rPr>
        <w:t>FHCOs</w:t>
      </w:r>
      <w:proofErr w:type="spellEnd"/>
      <w:r w:rsidRPr="00BA761B">
        <w:rPr>
          <w:lang w:eastAsia="ja-JP"/>
        </w:rPr>
        <w:t xml:space="preserve">, Centrelink staff, legal aid commission staff and charities. They also need to work effectively with the </w:t>
      </w:r>
      <w:r w:rsidR="002E5AFD">
        <w:rPr>
          <w:lang w:eastAsia="ja-JP"/>
        </w:rPr>
        <w:t>department,</w:t>
      </w:r>
      <w:r w:rsidR="00057B88">
        <w:rPr>
          <w:lang w:eastAsia="ja-JP"/>
        </w:rPr>
        <w:t xml:space="preserve"> </w:t>
      </w:r>
      <w:r w:rsidR="003F2499">
        <w:rPr>
          <w:lang w:eastAsia="ja-JP"/>
        </w:rPr>
        <w:t>DHS</w:t>
      </w:r>
      <w:r w:rsidRPr="00BA761B">
        <w:rPr>
          <w:lang w:eastAsia="ja-JP"/>
        </w:rPr>
        <w:t>, state governments and their assistance authorities</w:t>
      </w:r>
      <w:r w:rsidR="001E5D09">
        <w:rPr>
          <w:lang w:eastAsia="ja-JP"/>
        </w:rPr>
        <w:t>,</w:t>
      </w:r>
      <w:r w:rsidRPr="00BA761B">
        <w:rPr>
          <w:lang w:eastAsia="ja-JP"/>
        </w:rPr>
        <w:t xml:space="preserve"> </w:t>
      </w:r>
      <w:r w:rsidR="000412C7">
        <w:rPr>
          <w:lang w:eastAsia="ja-JP"/>
        </w:rPr>
        <w:t>as well as</w:t>
      </w:r>
      <w:r w:rsidR="000412C7" w:rsidRPr="00BA761B">
        <w:rPr>
          <w:lang w:eastAsia="ja-JP"/>
        </w:rPr>
        <w:t xml:space="preserve"> </w:t>
      </w:r>
      <w:r w:rsidRPr="00BA761B">
        <w:rPr>
          <w:lang w:eastAsia="ja-JP"/>
        </w:rPr>
        <w:t xml:space="preserve">the </w:t>
      </w:r>
      <w:proofErr w:type="spellStart"/>
      <w:r w:rsidR="003F2499">
        <w:rPr>
          <w:lang w:eastAsia="ja-JP"/>
        </w:rPr>
        <w:t>RIC</w:t>
      </w:r>
      <w:proofErr w:type="spellEnd"/>
      <w:r w:rsidRPr="00BA761B">
        <w:rPr>
          <w:lang w:eastAsia="ja-JP"/>
        </w:rPr>
        <w:t>.</w:t>
      </w:r>
    </w:p>
    <w:p w14:paraId="3EAD4393" w14:textId="58BE047B" w:rsidR="00BA761B" w:rsidRPr="00BA761B" w:rsidRDefault="00BA761B" w:rsidP="00D166F8">
      <w:pPr>
        <w:pStyle w:val="Heading4"/>
        <w:rPr>
          <w:lang w:eastAsia="ja-JP"/>
        </w:rPr>
      </w:pPr>
      <w:r w:rsidRPr="00BA761B">
        <w:rPr>
          <w:lang w:eastAsia="ja-JP"/>
        </w:rPr>
        <w:t xml:space="preserve">Financial </w:t>
      </w:r>
      <w:r w:rsidR="00422C55">
        <w:rPr>
          <w:lang w:eastAsia="ja-JP"/>
        </w:rPr>
        <w:t>i</w:t>
      </w:r>
      <w:r w:rsidRPr="00BA761B">
        <w:rPr>
          <w:lang w:eastAsia="ja-JP"/>
        </w:rPr>
        <w:t>nstitutions</w:t>
      </w:r>
    </w:p>
    <w:p w14:paraId="2F74B7E7" w14:textId="571E3FA4" w:rsidR="00517F4E" w:rsidRDefault="00BA761B" w:rsidP="00BA761B">
      <w:pPr>
        <w:rPr>
          <w:lang w:eastAsia="ja-JP"/>
        </w:rPr>
      </w:pPr>
      <w:r w:rsidRPr="00BA761B">
        <w:rPr>
          <w:lang w:eastAsia="ja-JP"/>
        </w:rPr>
        <w:t xml:space="preserve">Counsellors consistently reported that early referrals from local financial institutions were critical to assist clients before options </w:t>
      </w:r>
      <w:r w:rsidR="003C277C" w:rsidRPr="00BA761B">
        <w:rPr>
          <w:lang w:eastAsia="ja-JP"/>
        </w:rPr>
        <w:t xml:space="preserve">to improve their situation </w:t>
      </w:r>
      <w:r w:rsidRPr="00BA761B">
        <w:rPr>
          <w:lang w:eastAsia="ja-JP"/>
        </w:rPr>
        <w:t xml:space="preserve">became more limited. This is particularly important </w:t>
      </w:r>
      <w:r w:rsidR="00DB1B0E">
        <w:rPr>
          <w:lang w:eastAsia="ja-JP"/>
        </w:rPr>
        <w:t xml:space="preserve">to help them </w:t>
      </w:r>
      <w:r w:rsidRPr="00BA761B">
        <w:rPr>
          <w:lang w:eastAsia="ja-JP"/>
        </w:rPr>
        <w:t xml:space="preserve">avoid </w:t>
      </w:r>
      <w:r w:rsidR="00DB1B0E">
        <w:rPr>
          <w:lang w:eastAsia="ja-JP"/>
        </w:rPr>
        <w:t xml:space="preserve">triggering </w:t>
      </w:r>
      <w:r w:rsidRPr="00BA761B">
        <w:rPr>
          <w:lang w:eastAsia="ja-JP"/>
        </w:rPr>
        <w:t xml:space="preserve">formal </w:t>
      </w:r>
      <w:r w:rsidRPr="00BA761B">
        <w:t xml:space="preserve">farm debt mediation processes. </w:t>
      </w:r>
      <w:r w:rsidRPr="00BA761B">
        <w:rPr>
          <w:lang w:eastAsia="ja-JP"/>
        </w:rPr>
        <w:t xml:space="preserve">Many counsellors stressed that they worked hard to establish relationships to promote awareness of the service and to encourage referrals. In some cases, these relationships were working effectively and providing mutually beneficial solutions for both clients and financial institutions so that </w:t>
      </w:r>
      <w:r w:rsidR="003C277C">
        <w:rPr>
          <w:lang w:eastAsia="ja-JP"/>
        </w:rPr>
        <w:t xml:space="preserve">identified </w:t>
      </w:r>
      <w:r w:rsidRPr="00BA761B">
        <w:rPr>
          <w:lang w:eastAsia="ja-JP"/>
        </w:rPr>
        <w:t xml:space="preserve">problems </w:t>
      </w:r>
      <w:r w:rsidR="00DB1B0E">
        <w:rPr>
          <w:lang w:eastAsia="ja-JP"/>
        </w:rPr>
        <w:t xml:space="preserve">did </w:t>
      </w:r>
      <w:r w:rsidRPr="00BA761B">
        <w:rPr>
          <w:lang w:eastAsia="ja-JP"/>
        </w:rPr>
        <w:t>not escalate.</w:t>
      </w:r>
    </w:p>
    <w:p w14:paraId="7EA2A4B4" w14:textId="4253E879" w:rsidR="00517F4E" w:rsidRDefault="00BA761B" w:rsidP="00BA761B">
      <w:pPr>
        <w:rPr>
          <w:lang w:eastAsia="ja-JP"/>
        </w:rPr>
      </w:pPr>
      <w:r w:rsidRPr="00BA761B">
        <w:rPr>
          <w:lang w:eastAsia="ja-JP"/>
        </w:rPr>
        <w:t xml:space="preserve">Several counsellors mentioned that it would be helpful if there was broader recognition of the RFCS through the bank hierarchy, encouraging referrals for clients who are in early stages of financial distress. </w:t>
      </w:r>
      <w:r w:rsidR="002E5AFD">
        <w:rPr>
          <w:lang w:eastAsia="ja-JP"/>
        </w:rPr>
        <w:t xml:space="preserve">The panel notes </w:t>
      </w:r>
      <w:r w:rsidR="00602E79">
        <w:rPr>
          <w:lang w:eastAsia="ja-JP"/>
        </w:rPr>
        <w:t xml:space="preserve">the </w:t>
      </w:r>
      <w:r w:rsidR="00DB1B0E">
        <w:rPr>
          <w:lang w:eastAsia="ja-JP"/>
        </w:rPr>
        <w:t>recommendation to engage early and offer farm debt mediation as soon as an agricultural loan is in distress,</w:t>
      </w:r>
      <w:r w:rsidR="00DB1B0E" w:rsidRPr="00923662">
        <w:rPr>
          <w:lang w:eastAsia="ja-JP"/>
        </w:rPr>
        <w:t xml:space="preserve"> </w:t>
      </w:r>
      <w:r w:rsidR="00DB1B0E">
        <w:rPr>
          <w:lang w:eastAsia="ja-JP"/>
        </w:rPr>
        <w:t xml:space="preserve">put forward by the </w:t>
      </w:r>
      <w:r w:rsidR="00602E79" w:rsidRPr="00923662">
        <w:rPr>
          <w:lang w:eastAsia="ja-JP"/>
        </w:rPr>
        <w:t>Royal Commission into Misconduct in the Banking, Superannuation and Financial Services Industry</w:t>
      </w:r>
      <w:r w:rsidR="00433F5F">
        <w:rPr>
          <w:lang w:eastAsia="ja-JP"/>
        </w:rPr>
        <w:t>.</w:t>
      </w:r>
    </w:p>
    <w:p w14:paraId="42F30553" w14:textId="630A599E" w:rsidR="00BA761B" w:rsidRPr="00BA761B" w:rsidRDefault="00433F5F" w:rsidP="00BA761B">
      <w:pPr>
        <w:rPr>
          <w:lang w:eastAsia="ja-JP"/>
        </w:rPr>
      </w:pPr>
      <w:r w:rsidRPr="00BA761B">
        <w:rPr>
          <w:lang w:eastAsia="ja-JP"/>
        </w:rPr>
        <w:t xml:space="preserve">The </w:t>
      </w:r>
      <w:r>
        <w:rPr>
          <w:lang w:eastAsia="ja-JP"/>
        </w:rPr>
        <w:t>department</w:t>
      </w:r>
      <w:r w:rsidRPr="00BA761B">
        <w:rPr>
          <w:lang w:eastAsia="ja-JP"/>
        </w:rPr>
        <w:t xml:space="preserve"> </w:t>
      </w:r>
      <w:r w:rsidR="00D3636C">
        <w:rPr>
          <w:lang w:eastAsia="ja-JP"/>
        </w:rPr>
        <w:t>engages</w:t>
      </w:r>
      <w:r w:rsidRPr="00BA761B">
        <w:rPr>
          <w:lang w:eastAsia="ja-JP"/>
        </w:rPr>
        <w:t xml:space="preserve"> with </w:t>
      </w:r>
      <w:r>
        <w:rPr>
          <w:lang w:eastAsia="ja-JP"/>
        </w:rPr>
        <w:t xml:space="preserve">financial institutions, as well as </w:t>
      </w:r>
      <w:r w:rsidRPr="00A46517">
        <w:rPr>
          <w:lang w:eastAsia="ja-JP"/>
        </w:rPr>
        <w:t>the Australian Bank</w:t>
      </w:r>
      <w:r>
        <w:rPr>
          <w:lang w:eastAsia="ja-JP"/>
        </w:rPr>
        <w:t>ing</w:t>
      </w:r>
      <w:r w:rsidRPr="00A46517">
        <w:rPr>
          <w:lang w:eastAsia="ja-JP"/>
        </w:rPr>
        <w:t xml:space="preserve"> Association</w:t>
      </w:r>
      <w:r>
        <w:rPr>
          <w:lang w:eastAsia="ja-JP"/>
        </w:rPr>
        <w:t>,</w:t>
      </w:r>
      <w:r w:rsidRPr="00A46517">
        <w:rPr>
          <w:lang w:eastAsia="ja-JP"/>
        </w:rPr>
        <w:t xml:space="preserve"> and has found them to be knowledgeable and supportive of the RFCS</w:t>
      </w:r>
      <w:r>
        <w:rPr>
          <w:lang w:eastAsia="ja-JP"/>
        </w:rPr>
        <w:t xml:space="preserve">. </w:t>
      </w:r>
      <w:r w:rsidR="00C03F90">
        <w:rPr>
          <w:lang w:eastAsia="ja-JP"/>
        </w:rPr>
        <w:t>F</w:t>
      </w:r>
      <w:r w:rsidR="00BA761B" w:rsidRPr="00A46517">
        <w:rPr>
          <w:lang w:eastAsia="ja-JP"/>
        </w:rPr>
        <w:t xml:space="preserve">urther work </w:t>
      </w:r>
      <w:r w:rsidR="00C03F90">
        <w:rPr>
          <w:lang w:eastAsia="ja-JP"/>
        </w:rPr>
        <w:t xml:space="preserve">is needed to </w:t>
      </w:r>
      <w:r w:rsidR="003C277C" w:rsidRPr="00A46517">
        <w:rPr>
          <w:lang w:eastAsia="ja-JP"/>
        </w:rPr>
        <w:t>strengthen</w:t>
      </w:r>
      <w:r w:rsidR="00DF3D93" w:rsidRPr="00A46517">
        <w:rPr>
          <w:lang w:eastAsia="ja-JP"/>
        </w:rPr>
        <w:t xml:space="preserve"> </w:t>
      </w:r>
      <w:r w:rsidR="003C277C" w:rsidRPr="00A46517">
        <w:rPr>
          <w:lang w:eastAsia="ja-JP"/>
        </w:rPr>
        <w:t>relationships</w:t>
      </w:r>
      <w:r w:rsidR="00602E79" w:rsidRPr="00602E79">
        <w:rPr>
          <w:lang w:eastAsia="ja-JP"/>
        </w:rPr>
        <w:t xml:space="preserve"> </w:t>
      </w:r>
      <w:r>
        <w:rPr>
          <w:lang w:eastAsia="ja-JP"/>
        </w:rPr>
        <w:t xml:space="preserve">between the RFCS and banks </w:t>
      </w:r>
      <w:r w:rsidR="00602E79">
        <w:rPr>
          <w:lang w:eastAsia="ja-JP"/>
        </w:rPr>
        <w:t>at a branch and local level</w:t>
      </w:r>
      <w:r w:rsidR="00D3636C">
        <w:rPr>
          <w:lang w:eastAsia="ja-JP"/>
        </w:rPr>
        <w:t xml:space="preserve"> to increase early referrals and negate the need for mediation.</w:t>
      </w:r>
    </w:p>
    <w:p w14:paraId="453D6857" w14:textId="77777777" w:rsidR="00517F4E" w:rsidRDefault="00BA761B" w:rsidP="00D166F8">
      <w:pPr>
        <w:pStyle w:val="Heading4"/>
        <w:rPr>
          <w:lang w:eastAsia="ja-JP"/>
        </w:rPr>
      </w:pPr>
      <w:r w:rsidRPr="00BA761B">
        <w:rPr>
          <w:lang w:eastAsia="ja-JP"/>
        </w:rPr>
        <w:t>Farm Household Case Officers and Department of Human Services</w:t>
      </w:r>
    </w:p>
    <w:p w14:paraId="17E8128F" w14:textId="77777777" w:rsidR="00517F4E" w:rsidRDefault="00CA329D" w:rsidP="00CA329D">
      <w:pPr>
        <w:rPr>
          <w:lang w:eastAsia="ja-JP"/>
        </w:rPr>
      </w:pPr>
      <w:r w:rsidRPr="00BA761B">
        <w:rPr>
          <w:lang w:eastAsia="ja-JP"/>
        </w:rPr>
        <w:t xml:space="preserve">Counsellors often work with </w:t>
      </w:r>
      <w:proofErr w:type="spellStart"/>
      <w:r>
        <w:rPr>
          <w:lang w:eastAsia="ja-JP"/>
        </w:rPr>
        <w:t>FHCOs</w:t>
      </w:r>
      <w:proofErr w:type="spellEnd"/>
      <w:r w:rsidRPr="00BA761B">
        <w:rPr>
          <w:lang w:eastAsia="ja-JP"/>
        </w:rPr>
        <w:t xml:space="preserve"> and have interactions with other officers from DHS when assisting clients to lodge an application for FHA.</w:t>
      </w:r>
    </w:p>
    <w:p w14:paraId="1452F373" w14:textId="654128B7" w:rsidR="00517F4E" w:rsidRDefault="00C03F90" w:rsidP="00BA761B">
      <w:pPr>
        <w:rPr>
          <w:lang w:eastAsia="ja-JP"/>
        </w:rPr>
      </w:pPr>
      <w:r>
        <w:rPr>
          <w:lang w:eastAsia="ja-JP"/>
        </w:rPr>
        <w:t>T</w:t>
      </w:r>
      <w:r w:rsidR="00BA761B" w:rsidRPr="00BA761B">
        <w:rPr>
          <w:lang w:eastAsia="ja-JP"/>
        </w:rPr>
        <w:t xml:space="preserve">he panel received strong feedback from counsellors that the FHA application process could be difficult and relationships between </w:t>
      </w:r>
      <w:proofErr w:type="spellStart"/>
      <w:r w:rsidR="00BA761B" w:rsidRPr="00BA761B">
        <w:rPr>
          <w:lang w:eastAsia="ja-JP"/>
        </w:rPr>
        <w:t>FHCOs</w:t>
      </w:r>
      <w:proofErr w:type="spellEnd"/>
      <w:r w:rsidR="00BA761B" w:rsidRPr="00BA761B">
        <w:rPr>
          <w:lang w:eastAsia="ja-JP"/>
        </w:rPr>
        <w:t xml:space="preserve"> and counsellors varied significantly between service regions. The most successful relationships </w:t>
      </w:r>
      <w:r w:rsidR="005C6723" w:rsidRPr="00BA761B">
        <w:rPr>
          <w:lang w:eastAsia="ja-JP"/>
        </w:rPr>
        <w:t>occur</w:t>
      </w:r>
      <w:r w:rsidR="009E6E7A">
        <w:rPr>
          <w:lang w:eastAsia="ja-JP"/>
        </w:rPr>
        <w:t>red</w:t>
      </w:r>
      <w:r w:rsidR="00BA761B" w:rsidRPr="00BA761B">
        <w:rPr>
          <w:lang w:eastAsia="ja-JP"/>
        </w:rPr>
        <w:t xml:space="preserve"> where both a counsellor and an </w:t>
      </w:r>
      <w:proofErr w:type="spellStart"/>
      <w:r w:rsidR="00BA761B" w:rsidRPr="00BA761B">
        <w:rPr>
          <w:lang w:eastAsia="ja-JP"/>
        </w:rPr>
        <w:t>FHCO</w:t>
      </w:r>
      <w:proofErr w:type="spellEnd"/>
      <w:r w:rsidR="00BA761B" w:rsidRPr="00BA761B">
        <w:rPr>
          <w:lang w:eastAsia="ja-JP"/>
        </w:rPr>
        <w:t xml:space="preserve"> clearly understood their roles, their client</w:t>
      </w:r>
      <w:r w:rsidR="00736B18">
        <w:rPr>
          <w:lang w:eastAsia="ja-JP"/>
        </w:rPr>
        <w:t>'</w:t>
      </w:r>
      <w:r w:rsidR="00BA761B" w:rsidRPr="00BA761B">
        <w:rPr>
          <w:lang w:eastAsia="ja-JP"/>
        </w:rPr>
        <w:t xml:space="preserve">s objectives and were able to work cooperatively toward a common goal. Sometimes practical difficulties arose when scheduling appointments between a client, the local </w:t>
      </w:r>
      <w:proofErr w:type="spellStart"/>
      <w:r w:rsidR="00BA761B" w:rsidRPr="00BA761B">
        <w:rPr>
          <w:lang w:eastAsia="ja-JP"/>
        </w:rPr>
        <w:t>FHCO</w:t>
      </w:r>
      <w:proofErr w:type="spellEnd"/>
      <w:r w:rsidR="00BA761B" w:rsidRPr="00BA761B">
        <w:rPr>
          <w:lang w:eastAsia="ja-JP"/>
        </w:rPr>
        <w:t xml:space="preserve"> and the counsellor. Many services spoke about how they were working to improve the relationships </w:t>
      </w:r>
      <w:r w:rsidR="00BD3365">
        <w:rPr>
          <w:lang w:eastAsia="ja-JP"/>
        </w:rPr>
        <w:t xml:space="preserve">with </w:t>
      </w:r>
      <w:proofErr w:type="spellStart"/>
      <w:r w:rsidR="00BD3365">
        <w:rPr>
          <w:lang w:eastAsia="ja-JP"/>
        </w:rPr>
        <w:t>FHCOs</w:t>
      </w:r>
      <w:proofErr w:type="spellEnd"/>
      <w:r w:rsidR="00BA761B" w:rsidRPr="00BA761B">
        <w:rPr>
          <w:lang w:eastAsia="ja-JP"/>
        </w:rPr>
        <w:t>.</w:t>
      </w:r>
    </w:p>
    <w:p w14:paraId="64A7DC6A" w14:textId="4BFEC656" w:rsidR="00517F4E" w:rsidRDefault="00BA761B" w:rsidP="00BA761B">
      <w:pPr>
        <w:rPr>
          <w:lang w:eastAsia="ja-JP"/>
        </w:rPr>
      </w:pPr>
      <w:r w:rsidRPr="00BA761B">
        <w:rPr>
          <w:lang w:eastAsia="ja-JP"/>
        </w:rPr>
        <w:t xml:space="preserve">Many counsellors </w:t>
      </w:r>
      <w:r w:rsidR="0036254E">
        <w:rPr>
          <w:lang w:eastAsia="ja-JP"/>
        </w:rPr>
        <w:t>reported difficulties in assisting</w:t>
      </w:r>
      <w:r w:rsidRPr="00BA761B">
        <w:rPr>
          <w:lang w:eastAsia="ja-JP"/>
        </w:rPr>
        <w:t xml:space="preserve"> FHA applicants</w:t>
      </w:r>
      <w:r w:rsidR="0036254E">
        <w:rPr>
          <w:lang w:eastAsia="ja-JP"/>
        </w:rPr>
        <w:t xml:space="preserve">, </w:t>
      </w:r>
      <w:r w:rsidRPr="00BA761B">
        <w:rPr>
          <w:lang w:eastAsia="ja-JP"/>
        </w:rPr>
        <w:t xml:space="preserve">because they </w:t>
      </w:r>
      <w:r w:rsidR="009E6E7A" w:rsidRPr="00BA761B">
        <w:rPr>
          <w:lang w:eastAsia="ja-JP"/>
        </w:rPr>
        <w:t xml:space="preserve">lacked </w:t>
      </w:r>
      <w:r w:rsidR="009E6E7A">
        <w:rPr>
          <w:lang w:eastAsia="ja-JP"/>
        </w:rPr>
        <w:t xml:space="preserve">FHA </w:t>
      </w:r>
      <w:r w:rsidR="009E6E7A" w:rsidRPr="00BA761B">
        <w:rPr>
          <w:lang w:eastAsia="ja-JP"/>
        </w:rPr>
        <w:t xml:space="preserve">training </w:t>
      </w:r>
      <w:r w:rsidR="009E6E7A">
        <w:rPr>
          <w:lang w:eastAsia="ja-JP"/>
        </w:rPr>
        <w:t xml:space="preserve">and </w:t>
      </w:r>
      <w:r w:rsidR="000412C7">
        <w:rPr>
          <w:lang w:eastAsia="ja-JP"/>
        </w:rPr>
        <w:t>could not</w:t>
      </w:r>
      <w:r w:rsidRPr="00BA761B">
        <w:rPr>
          <w:lang w:eastAsia="ja-JP"/>
        </w:rPr>
        <w:t xml:space="preserve"> communicate directly with </w:t>
      </w:r>
      <w:r w:rsidR="00251448">
        <w:rPr>
          <w:lang w:eastAsia="ja-JP"/>
        </w:rPr>
        <w:t>DHS</w:t>
      </w:r>
      <w:r w:rsidRPr="00BA761B">
        <w:rPr>
          <w:lang w:eastAsia="ja-JP"/>
        </w:rPr>
        <w:t xml:space="preserve"> application assessors. Several counsellors noted that contacting DHS via the Farmer Assistance Hotline was time</w:t>
      </w:r>
      <w:r w:rsidR="001E50E4">
        <w:rPr>
          <w:lang w:eastAsia="ja-JP"/>
        </w:rPr>
        <w:t>-</w:t>
      </w:r>
      <w:r w:rsidRPr="00BA761B">
        <w:rPr>
          <w:lang w:eastAsia="ja-JP"/>
        </w:rPr>
        <w:t xml:space="preserve">consuming and frustrating as </w:t>
      </w:r>
      <w:r w:rsidR="00991611">
        <w:rPr>
          <w:lang w:eastAsia="ja-JP"/>
        </w:rPr>
        <w:t>hotline staff</w:t>
      </w:r>
      <w:r w:rsidRPr="00BA761B">
        <w:rPr>
          <w:lang w:eastAsia="ja-JP"/>
        </w:rPr>
        <w:t xml:space="preserve"> </w:t>
      </w:r>
      <w:r w:rsidR="00C3639E">
        <w:rPr>
          <w:lang w:eastAsia="ja-JP"/>
        </w:rPr>
        <w:t>sometimes</w:t>
      </w:r>
      <w:r w:rsidR="00C3639E" w:rsidRPr="00BA761B">
        <w:rPr>
          <w:lang w:eastAsia="ja-JP"/>
        </w:rPr>
        <w:t xml:space="preserve"> </w:t>
      </w:r>
      <w:r w:rsidRPr="00BA761B">
        <w:rPr>
          <w:lang w:eastAsia="ja-JP"/>
        </w:rPr>
        <w:t xml:space="preserve">had a poor understanding of the FHA program. The review panel also heard that reasons for a client being rejected from the program were not communicated to clients or counsellors. Many counsellors stated that they could have avoided </w:t>
      </w:r>
      <w:r w:rsidRPr="00BA761B">
        <w:rPr>
          <w:lang w:eastAsia="ja-JP"/>
        </w:rPr>
        <w:lastRenderedPageBreak/>
        <w:t xml:space="preserve">their client being rejected for FHA if DHS assessors were able to </w:t>
      </w:r>
      <w:r w:rsidR="00C33345">
        <w:rPr>
          <w:lang w:eastAsia="ja-JP"/>
        </w:rPr>
        <w:t xml:space="preserve">discuss the case or </w:t>
      </w:r>
      <w:r w:rsidRPr="00BA761B">
        <w:rPr>
          <w:lang w:eastAsia="ja-JP"/>
        </w:rPr>
        <w:t>request information directly from counsellors during assessment.</w:t>
      </w:r>
    </w:p>
    <w:p w14:paraId="7ED11F3B" w14:textId="7F12C371" w:rsidR="00BA761B" w:rsidRPr="00BA761B" w:rsidRDefault="00BA761B" w:rsidP="00BA761B">
      <w:pPr>
        <w:rPr>
          <w:lang w:eastAsia="ja-JP"/>
        </w:rPr>
      </w:pPr>
      <w:r w:rsidRPr="00BA761B">
        <w:rPr>
          <w:lang w:eastAsia="ja-JP"/>
        </w:rPr>
        <w:t xml:space="preserve">Counsellors highlighted the need for </w:t>
      </w:r>
      <w:r w:rsidR="008E7838">
        <w:rPr>
          <w:lang w:eastAsia="ja-JP"/>
        </w:rPr>
        <w:t>formal</w:t>
      </w:r>
      <w:r w:rsidR="008E7838" w:rsidRPr="00BA761B">
        <w:rPr>
          <w:lang w:eastAsia="ja-JP"/>
        </w:rPr>
        <w:t xml:space="preserve"> </w:t>
      </w:r>
      <w:r w:rsidRPr="00BA761B">
        <w:rPr>
          <w:lang w:eastAsia="ja-JP"/>
        </w:rPr>
        <w:t xml:space="preserve">training on </w:t>
      </w:r>
      <w:r w:rsidR="00702126" w:rsidRPr="00BA761B">
        <w:rPr>
          <w:lang w:eastAsia="ja-JP"/>
        </w:rPr>
        <w:t>FHA</w:t>
      </w:r>
      <w:r w:rsidRPr="00BA761B">
        <w:rPr>
          <w:lang w:eastAsia="ja-JP"/>
        </w:rPr>
        <w:t xml:space="preserve">. DHS </w:t>
      </w:r>
      <w:r w:rsidR="00702126">
        <w:rPr>
          <w:lang w:eastAsia="ja-JP"/>
        </w:rPr>
        <w:t>provided similar feedback on counsellor training, noting that their interactions indicated that counsellors o</w:t>
      </w:r>
      <w:r w:rsidRPr="00BA761B">
        <w:rPr>
          <w:lang w:eastAsia="ja-JP"/>
        </w:rPr>
        <w:t xml:space="preserve">ften </w:t>
      </w:r>
      <w:r w:rsidR="00AD1632">
        <w:rPr>
          <w:lang w:eastAsia="ja-JP"/>
        </w:rPr>
        <w:t xml:space="preserve">had </w:t>
      </w:r>
      <w:r w:rsidR="00702126">
        <w:rPr>
          <w:lang w:eastAsia="ja-JP"/>
        </w:rPr>
        <w:t xml:space="preserve">an </w:t>
      </w:r>
      <w:r w:rsidRPr="00BA761B">
        <w:rPr>
          <w:lang w:eastAsia="ja-JP"/>
        </w:rPr>
        <w:t>inaccurate or incomplete understanding</w:t>
      </w:r>
      <w:r w:rsidR="00063FCC">
        <w:rPr>
          <w:lang w:eastAsia="ja-JP"/>
        </w:rPr>
        <w:t xml:space="preserve"> of the social security system</w:t>
      </w:r>
      <w:r w:rsidR="008E7838">
        <w:rPr>
          <w:lang w:eastAsia="ja-JP"/>
        </w:rPr>
        <w:t>.</w:t>
      </w:r>
    </w:p>
    <w:p w14:paraId="54DD6B25" w14:textId="77777777" w:rsidR="00517F4E" w:rsidRDefault="00BA761B" w:rsidP="00D166F8">
      <w:pPr>
        <w:pStyle w:val="Heading4"/>
      </w:pPr>
      <w:r w:rsidRPr="00BA761B">
        <w:t>Regional Investment Corporation</w:t>
      </w:r>
    </w:p>
    <w:p w14:paraId="43EDD52C" w14:textId="5795B5A7" w:rsidR="00BA761B" w:rsidRPr="00BA761B" w:rsidRDefault="00A479E3" w:rsidP="00BA761B">
      <w:pPr>
        <w:rPr>
          <w:lang w:eastAsia="ja-JP"/>
        </w:rPr>
      </w:pPr>
      <w:r>
        <w:rPr>
          <w:lang w:eastAsia="ja-JP"/>
        </w:rPr>
        <w:t>Some c</w:t>
      </w:r>
      <w:r w:rsidR="00BA761B" w:rsidRPr="00BA761B">
        <w:rPr>
          <w:lang w:eastAsia="ja-JP"/>
        </w:rPr>
        <w:t xml:space="preserve">ounsellors provided feedback about their relationship with the </w:t>
      </w:r>
      <w:proofErr w:type="spellStart"/>
      <w:r w:rsidR="00BA761B" w:rsidRPr="00BA761B">
        <w:rPr>
          <w:lang w:eastAsia="ja-JP"/>
        </w:rPr>
        <w:t>RIC</w:t>
      </w:r>
      <w:proofErr w:type="spellEnd"/>
      <w:r w:rsidR="00BA761B" w:rsidRPr="00BA761B">
        <w:rPr>
          <w:lang w:eastAsia="ja-JP"/>
        </w:rPr>
        <w:t xml:space="preserve">. They noted that several clients had applied for concessional loans with the </w:t>
      </w:r>
      <w:proofErr w:type="spellStart"/>
      <w:r w:rsidR="00BA761B" w:rsidRPr="00BA761B">
        <w:rPr>
          <w:lang w:eastAsia="ja-JP"/>
        </w:rPr>
        <w:t>RIC</w:t>
      </w:r>
      <w:proofErr w:type="spellEnd"/>
      <w:r w:rsidR="00BA761B" w:rsidRPr="00BA761B">
        <w:rPr>
          <w:lang w:eastAsia="ja-JP"/>
        </w:rPr>
        <w:t xml:space="preserve"> and </w:t>
      </w:r>
      <w:r>
        <w:rPr>
          <w:lang w:eastAsia="ja-JP"/>
        </w:rPr>
        <w:t>had experienced</w:t>
      </w:r>
      <w:r w:rsidR="00BA761B" w:rsidRPr="00BA761B">
        <w:rPr>
          <w:lang w:eastAsia="ja-JP"/>
        </w:rPr>
        <w:t xml:space="preserve"> lengthy delays in the approval process, with clients contacted for additional or updated information weeks or months after submitting their </w:t>
      </w:r>
      <w:r w:rsidR="00C33345">
        <w:rPr>
          <w:lang w:eastAsia="ja-JP"/>
        </w:rPr>
        <w:t xml:space="preserve">original </w:t>
      </w:r>
      <w:r w:rsidR="00BA761B" w:rsidRPr="00BA761B">
        <w:rPr>
          <w:lang w:eastAsia="ja-JP"/>
        </w:rPr>
        <w:t xml:space="preserve">application. Counsellors also noted low levels of communication </w:t>
      </w:r>
      <w:r w:rsidR="00BD3365">
        <w:rPr>
          <w:lang w:eastAsia="ja-JP"/>
        </w:rPr>
        <w:t xml:space="preserve">about the status of their </w:t>
      </w:r>
      <w:r w:rsidR="00BA761B" w:rsidRPr="00BA761B">
        <w:rPr>
          <w:lang w:eastAsia="ja-JP"/>
        </w:rPr>
        <w:t>applications.</w:t>
      </w:r>
    </w:p>
    <w:p w14:paraId="3C809589" w14:textId="149DACAC" w:rsidR="00EC1A65" w:rsidRPr="005F7A34" w:rsidRDefault="00EC1A65" w:rsidP="00EC1A65">
      <w:pPr>
        <w:rPr>
          <w:lang w:eastAsia="ja-JP"/>
        </w:rPr>
      </w:pPr>
      <w:r w:rsidRPr="005F7A34">
        <w:rPr>
          <w:lang w:eastAsia="ja-JP"/>
        </w:rPr>
        <w:t xml:space="preserve">The </w:t>
      </w:r>
      <w:proofErr w:type="spellStart"/>
      <w:r w:rsidRPr="005F7A34">
        <w:rPr>
          <w:lang w:eastAsia="ja-JP"/>
        </w:rPr>
        <w:t>RIC</w:t>
      </w:r>
      <w:proofErr w:type="spellEnd"/>
      <w:r w:rsidRPr="005F7A34">
        <w:rPr>
          <w:lang w:eastAsia="ja-JP"/>
        </w:rPr>
        <w:t xml:space="preserve"> has now reduced approval time</w:t>
      </w:r>
      <w:r w:rsidR="008E7838">
        <w:rPr>
          <w:lang w:eastAsia="ja-JP"/>
        </w:rPr>
        <w:t xml:space="preserve"> </w:t>
      </w:r>
      <w:r w:rsidRPr="005F7A34">
        <w:rPr>
          <w:lang w:eastAsia="ja-JP"/>
        </w:rPr>
        <w:t>frames and implemented a comprehensive call</w:t>
      </w:r>
      <w:r w:rsidR="008E7838">
        <w:rPr>
          <w:lang w:eastAsia="ja-JP"/>
        </w:rPr>
        <w:t>-</w:t>
      </w:r>
      <w:r w:rsidRPr="005F7A34">
        <w:rPr>
          <w:lang w:eastAsia="ja-JP"/>
        </w:rPr>
        <w:t xml:space="preserve">back program for clients so that they know the status of their application every </w:t>
      </w:r>
      <w:r w:rsidR="00051B19">
        <w:rPr>
          <w:lang w:eastAsia="ja-JP"/>
        </w:rPr>
        <w:t xml:space="preserve">2 </w:t>
      </w:r>
      <w:r w:rsidRPr="005F7A34">
        <w:rPr>
          <w:lang w:eastAsia="ja-JP"/>
        </w:rPr>
        <w:t xml:space="preserve">weeks. However, incomplete applications have made timely service delivery difficult for the </w:t>
      </w:r>
      <w:proofErr w:type="spellStart"/>
      <w:r w:rsidRPr="005F7A34">
        <w:rPr>
          <w:lang w:eastAsia="ja-JP"/>
        </w:rPr>
        <w:t>RIC</w:t>
      </w:r>
      <w:proofErr w:type="spellEnd"/>
      <w:r w:rsidRPr="005F7A34">
        <w:rPr>
          <w:lang w:eastAsia="ja-JP"/>
        </w:rPr>
        <w:t xml:space="preserve">. The </w:t>
      </w:r>
      <w:proofErr w:type="spellStart"/>
      <w:r w:rsidRPr="005F7A34">
        <w:rPr>
          <w:lang w:eastAsia="ja-JP"/>
        </w:rPr>
        <w:t>RIC</w:t>
      </w:r>
      <w:proofErr w:type="spellEnd"/>
      <w:r w:rsidRPr="005F7A34">
        <w:rPr>
          <w:lang w:eastAsia="ja-JP"/>
        </w:rPr>
        <w:t xml:space="preserve"> has recently analysed incoming applications and found that only 10% of applications met mandatory document requirements at first attempt</w:t>
      </w:r>
      <w:r w:rsidR="008E7838">
        <w:rPr>
          <w:lang w:eastAsia="ja-JP"/>
        </w:rPr>
        <w:t>,</w:t>
      </w:r>
      <w:r w:rsidRPr="005F7A34">
        <w:rPr>
          <w:lang w:eastAsia="ja-JP"/>
        </w:rPr>
        <w:t xml:space="preserve"> despite 80% of customers spending time with an RFCS counsellor prio</w:t>
      </w:r>
      <w:r w:rsidR="008266E3" w:rsidRPr="005F7A34">
        <w:rPr>
          <w:lang w:eastAsia="ja-JP"/>
        </w:rPr>
        <w:t>r to submitting an application.</w:t>
      </w:r>
    </w:p>
    <w:p w14:paraId="2BF58F33" w14:textId="77777777" w:rsidR="00EC1A65" w:rsidRPr="005F7A34" w:rsidRDefault="00EC1A65" w:rsidP="00EC1A65">
      <w:pPr>
        <w:rPr>
          <w:lang w:eastAsia="ja-JP"/>
        </w:rPr>
      </w:pPr>
      <w:r w:rsidRPr="005F7A34">
        <w:rPr>
          <w:lang w:eastAsia="ja-JP"/>
        </w:rPr>
        <w:t xml:space="preserve">This statistic reinforces both the </w:t>
      </w:r>
      <w:proofErr w:type="spellStart"/>
      <w:r w:rsidRPr="005F7A34">
        <w:rPr>
          <w:lang w:eastAsia="ja-JP"/>
        </w:rPr>
        <w:t>RIC</w:t>
      </w:r>
      <w:proofErr w:type="spellEnd"/>
      <w:r w:rsidRPr="005F7A34">
        <w:rPr>
          <w:lang w:eastAsia="ja-JP"/>
        </w:rPr>
        <w:t xml:space="preserve"> and RFCS views that counsellors need to be trained on how to apply for </w:t>
      </w:r>
      <w:proofErr w:type="spellStart"/>
      <w:r w:rsidRPr="005F7A34">
        <w:rPr>
          <w:lang w:eastAsia="ja-JP"/>
        </w:rPr>
        <w:t>RIC</w:t>
      </w:r>
      <w:proofErr w:type="spellEnd"/>
      <w:r w:rsidRPr="005F7A34">
        <w:rPr>
          <w:lang w:eastAsia="ja-JP"/>
        </w:rPr>
        <w:t xml:space="preserve"> loans, including application requirements, to reduce application delays and time-consuming follow ups.</w:t>
      </w:r>
    </w:p>
    <w:p w14:paraId="1CC15721" w14:textId="0530F07C" w:rsidR="00517F4E" w:rsidRDefault="003661BF" w:rsidP="00BA761B">
      <w:pPr>
        <w:rPr>
          <w:lang w:eastAsia="ja-JP"/>
        </w:rPr>
      </w:pPr>
      <w:r>
        <w:rPr>
          <w:lang w:eastAsia="ja-JP"/>
        </w:rPr>
        <w:t xml:space="preserve">Both the </w:t>
      </w:r>
      <w:proofErr w:type="spellStart"/>
      <w:r>
        <w:rPr>
          <w:lang w:eastAsia="ja-JP"/>
        </w:rPr>
        <w:t>RIC</w:t>
      </w:r>
      <w:proofErr w:type="spellEnd"/>
      <w:r>
        <w:rPr>
          <w:lang w:eastAsia="ja-JP"/>
        </w:rPr>
        <w:t xml:space="preserve"> and c</w:t>
      </w:r>
      <w:r w:rsidR="00BA761B" w:rsidRPr="00BA761B">
        <w:rPr>
          <w:lang w:eastAsia="ja-JP"/>
        </w:rPr>
        <w:t xml:space="preserve">ounsellors </w:t>
      </w:r>
      <w:r>
        <w:rPr>
          <w:lang w:eastAsia="ja-JP"/>
        </w:rPr>
        <w:t xml:space="preserve">expressed a need for </w:t>
      </w:r>
      <w:r w:rsidR="00C33345">
        <w:rPr>
          <w:lang w:eastAsia="ja-JP"/>
        </w:rPr>
        <w:t>the RFCS to be trained</w:t>
      </w:r>
      <w:r w:rsidR="00BA761B" w:rsidRPr="00BA761B">
        <w:rPr>
          <w:lang w:eastAsia="ja-JP"/>
        </w:rPr>
        <w:t xml:space="preserve"> </w:t>
      </w:r>
      <w:r w:rsidR="003B3F6D">
        <w:rPr>
          <w:lang w:eastAsia="ja-JP"/>
        </w:rPr>
        <w:t xml:space="preserve">on how to apply for </w:t>
      </w:r>
      <w:proofErr w:type="spellStart"/>
      <w:r w:rsidR="003B3F6D">
        <w:rPr>
          <w:lang w:eastAsia="ja-JP"/>
        </w:rPr>
        <w:t>RIC</w:t>
      </w:r>
      <w:proofErr w:type="spellEnd"/>
      <w:r w:rsidR="003B3F6D">
        <w:rPr>
          <w:lang w:eastAsia="ja-JP"/>
        </w:rPr>
        <w:t xml:space="preserve"> loans, including application requirements.</w:t>
      </w:r>
      <w:r w:rsidR="00BA761B" w:rsidRPr="00BA761B">
        <w:rPr>
          <w:lang w:eastAsia="ja-JP"/>
        </w:rPr>
        <w:t xml:space="preserve"> There is </w:t>
      </w:r>
      <w:r w:rsidR="003B3F6D">
        <w:rPr>
          <w:lang w:eastAsia="ja-JP"/>
        </w:rPr>
        <w:t xml:space="preserve">a </w:t>
      </w:r>
      <w:r w:rsidR="00BA761B" w:rsidRPr="00BA761B">
        <w:rPr>
          <w:lang w:eastAsia="ja-JP"/>
        </w:rPr>
        <w:t xml:space="preserve">limited tolerance for errors in the </w:t>
      </w:r>
      <w:proofErr w:type="spellStart"/>
      <w:r w:rsidR="00BA761B" w:rsidRPr="00BA761B">
        <w:rPr>
          <w:lang w:eastAsia="ja-JP"/>
        </w:rPr>
        <w:t>RIC</w:t>
      </w:r>
      <w:proofErr w:type="spellEnd"/>
      <w:r w:rsidR="00BA761B" w:rsidRPr="00BA761B">
        <w:rPr>
          <w:lang w:eastAsia="ja-JP"/>
        </w:rPr>
        <w:t xml:space="preserve"> application process</w:t>
      </w:r>
      <w:r w:rsidR="007919BD">
        <w:rPr>
          <w:lang w:eastAsia="ja-JP"/>
        </w:rPr>
        <w:t xml:space="preserve">, particularly considering the sums of money and </w:t>
      </w:r>
      <w:r w:rsidR="00DE72D7">
        <w:rPr>
          <w:lang w:eastAsia="ja-JP"/>
        </w:rPr>
        <w:t>mortgage</w:t>
      </w:r>
      <w:r w:rsidR="00A46517">
        <w:rPr>
          <w:lang w:eastAsia="ja-JP"/>
        </w:rPr>
        <w:t>s</w:t>
      </w:r>
      <w:r w:rsidR="00DE72D7">
        <w:rPr>
          <w:lang w:eastAsia="ja-JP"/>
        </w:rPr>
        <w:t xml:space="preserve"> o</w:t>
      </w:r>
      <w:r w:rsidR="00A46517">
        <w:rPr>
          <w:lang w:eastAsia="ja-JP"/>
        </w:rPr>
        <w:t>n</w:t>
      </w:r>
      <w:r w:rsidR="00DE72D7">
        <w:rPr>
          <w:lang w:eastAsia="ja-JP"/>
        </w:rPr>
        <w:t xml:space="preserve"> </w:t>
      </w:r>
      <w:r w:rsidR="00C3639E">
        <w:rPr>
          <w:lang w:eastAsia="ja-JP"/>
        </w:rPr>
        <w:t xml:space="preserve">legal </w:t>
      </w:r>
      <w:r w:rsidR="00DE72D7">
        <w:rPr>
          <w:lang w:eastAsia="ja-JP"/>
        </w:rPr>
        <w:t>property.</w:t>
      </w:r>
      <w:r w:rsidR="00BA761B" w:rsidRPr="00BA761B">
        <w:rPr>
          <w:lang w:eastAsia="ja-JP"/>
        </w:rPr>
        <w:t xml:space="preserve"> </w:t>
      </w:r>
      <w:r w:rsidR="00C3639E">
        <w:rPr>
          <w:lang w:eastAsia="ja-JP"/>
        </w:rPr>
        <w:t>In contrast, t</w:t>
      </w:r>
      <w:r w:rsidR="007919BD">
        <w:rPr>
          <w:lang w:eastAsia="ja-JP"/>
        </w:rPr>
        <w:t xml:space="preserve">he panel </w:t>
      </w:r>
      <w:r w:rsidR="00C3639E">
        <w:rPr>
          <w:lang w:eastAsia="ja-JP"/>
        </w:rPr>
        <w:t xml:space="preserve">heard anecdotally </w:t>
      </w:r>
      <w:r w:rsidR="007919BD">
        <w:rPr>
          <w:lang w:eastAsia="ja-JP"/>
        </w:rPr>
        <w:t>that</w:t>
      </w:r>
      <w:r w:rsidR="00D32639">
        <w:rPr>
          <w:lang w:eastAsia="ja-JP"/>
        </w:rPr>
        <w:t>—</w:t>
      </w:r>
      <w:r w:rsidR="007919BD">
        <w:rPr>
          <w:lang w:eastAsia="ja-JP"/>
        </w:rPr>
        <w:t xml:space="preserve">unlike the </w:t>
      </w:r>
      <w:proofErr w:type="spellStart"/>
      <w:r w:rsidR="007919BD">
        <w:rPr>
          <w:lang w:eastAsia="ja-JP"/>
        </w:rPr>
        <w:t>RIC</w:t>
      </w:r>
      <w:proofErr w:type="spellEnd"/>
      <w:r w:rsidR="00D32639">
        <w:rPr>
          <w:lang w:eastAsia="ja-JP"/>
        </w:rPr>
        <w:t>—</w:t>
      </w:r>
      <w:r w:rsidR="007919BD">
        <w:rPr>
          <w:lang w:eastAsia="ja-JP"/>
        </w:rPr>
        <w:t xml:space="preserve">some state </w:t>
      </w:r>
      <w:r w:rsidR="00BA761B" w:rsidRPr="00BA761B">
        <w:rPr>
          <w:lang w:eastAsia="ja-JP"/>
        </w:rPr>
        <w:t xml:space="preserve">assistance agencies </w:t>
      </w:r>
      <w:r w:rsidR="00434611">
        <w:rPr>
          <w:lang w:eastAsia="ja-JP"/>
        </w:rPr>
        <w:t>prefer</w:t>
      </w:r>
      <w:r w:rsidR="00BA761B" w:rsidRPr="00BA761B">
        <w:rPr>
          <w:lang w:eastAsia="ja-JP"/>
        </w:rPr>
        <w:t xml:space="preserve"> clients</w:t>
      </w:r>
      <w:r w:rsidR="00434611">
        <w:rPr>
          <w:lang w:eastAsia="ja-JP"/>
        </w:rPr>
        <w:t xml:space="preserve"> </w:t>
      </w:r>
      <w:r w:rsidR="00C3639E">
        <w:rPr>
          <w:lang w:eastAsia="ja-JP"/>
        </w:rPr>
        <w:t xml:space="preserve">to </w:t>
      </w:r>
      <w:r w:rsidR="00434611">
        <w:rPr>
          <w:lang w:eastAsia="ja-JP"/>
        </w:rPr>
        <w:t>submit</w:t>
      </w:r>
      <w:r w:rsidR="00BA761B" w:rsidRPr="00BA761B">
        <w:rPr>
          <w:lang w:eastAsia="ja-JP"/>
        </w:rPr>
        <w:t xml:space="preserve"> applications quickly</w:t>
      </w:r>
      <w:r w:rsidR="00434611">
        <w:rPr>
          <w:lang w:eastAsia="ja-JP"/>
        </w:rPr>
        <w:t xml:space="preserve"> (albeit incomplete)</w:t>
      </w:r>
      <w:r w:rsidR="00D32639">
        <w:rPr>
          <w:lang w:eastAsia="ja-JP"/>
        </w:rPr>
        <w:t>. The agency then provide</w:t>
      </w:r>
      <w:r w:rsidR="00BD3365">
        <w:rPr>
          <w:lang w:eastAsia="ja-JP"/>
        </w:rPr>
        <w:t>s</w:t>
      </w:r>
      <w:r w:rsidR="00D32639">
        <w:rPr>
          <w:lang w:eastAsia="ja-JP"/>
        </w:rPr>
        <w:t xml:space="preserve"> </w:t>
      </w:r>
      <w:r w:rsidR="007919BD">
        <w:rPr>
          <w:lang w:eastAsia="ja-JP"/>
        </w:rPr>
        <w:t xml:space="preserve">assistance </w:t>
      </w:r>
      <w:r w:rsidR="00A46517">
        <w:rPr>
          <w:lang w:eastAsia="ja-JP"/>
        </w:rPr>
        <w:t>to help clients through the process.</w:t>
      </w:r>
    </w:p>
    <w:p w14:paraId="4BC2A7BC" w14:textId="5D24E4F8" w:rsidR="00517F4E" w:rsidRDefault="00D32639" w:rsidP="00BA761B">
      <w:pPr>
        <w:rPr>
          <w:lang w:eastAsia="ja-JP"/>
        </w:rPr>
      </w:pPr>
      <w:r>
        <w:rPr>
          <w:lang w:eastAsia="ja-JP"/>
        </w:rPr>
        <w:t>S</w:t>
      </w:r>
      <w:r w:rsidR="006F349B">
        <w:rPr>
          <w:lang w:eastAsia="ja-JP"/>
        </w:rPr>
        <w:t>ome counsellors indicated their clients had experienced</w:t>
      </w:r>
      <w:r w:rsidR="00BA761B" w:rsidRPr="00BA761B">
        <w:rPr>
          <w:lang w:eastAsia="ja-JP"/>
        </w:rPr>
        <w:t xml:space="preserve"> lengthy delays post</w:t>
      </w:r>
      <w:r w:rsidR="006F349B">
        <w:rPr>
          <w:lang w:eastAsia="ja-JP"/>
        </w:rPr>
        <w:t>-</w:t>
      </w:r>
      <w:r w:rsidR="00BA761B" w:rsidRPr="00BA761B">
        <w:rPr>
          <w:lang w:eastAsia="ja-JP"/>
        </w:rPr>
        <w:t>approval</w:t>
      </w:r>
      <w:r w:rsidR="006F349B">
        <w:rPr>
          <w:lang w:eastAsia="ja-JP"/>
        </w:rPr>
        <w:t>,</w:t>
      </w:r>
      <w:r w:rsidR="00BA761B" w:rsidRPr="00BA761B">
        <w:rPr>
          <w:lang w:eastAsia="ja-JP"/>
        </w:rPr>
        <w:t xml:space="preserve"> </w:t>
      </w:r>
      <w:r w:rsidR="00C33345">
        <w:rPr>
          <w:lang w:eastAsia="ja-JP"/>
        </w:rPr>
        <w:t>while</w:t>
      </w:r>
      <w:r w:rsidR="004D5FAF" w:rsidRPr="00BA761B">
        <w:rPr>
          <w:lang w:eastAsia="ja-JP"/>
        </w:rPr>
        <w:t xml:space="preserve"> </w:t>
      </w:r>
      <w:r w:rsidR="00BA761B" w:rsidRPr="00BA761B">
        <w:rPr>
          <w:lang w:eastAsia="ja-JP"/>
        </w:rPr>
        <w:t xml:space="preserve">the </w:t>
      </w:r>
      <w:proofErr w:type="spellStart"/>
      <w:r w:rsidR="00BA761B" w:rsidRPr="00BA761B">
        <w:rPr>
          <w:lang w:eastAsia="ja-JP"/>
        </w:rPr>
        <w:t>RIC</w:t>
      </w:r>
      <w:proofErr w:type="spellEnd"/>
      <w:r w:rsidR="00BA761B" w:rsidRPr="00BA761B">
        <w:rPr>
          <w:lang w:eastAsia="ja-JP"/>
        </w:rPr>
        <w:t xml:space="preserve"> liais</w:t>
      </w:r>
      <w:r w:rsidR="004D5FAF">
        <w:rPr>
          <w:lang w:eastAsia="ja-JP"/>
        </w:rPr>
        <w:t>e</w:t>
      </w:r>
      <w:r w:rsidR="00C33345">
        <w:rPr>
          <w:lang w:eastAsia="ja-JP"/>
        </w:rPr>
        <w:t>d</w:t>
      </w:r>
      <w:r w:rsidR="00BA761B" w:rsidRPr="00BA761B">
        <w:rPr>
          <w:lang w:eastAsia="ja-JP"/>
        </w:rPr>
        <w:t xml:space="preserve"> with banks to </w:t>
      </w:r>
      <w:r w:rsidR="0078693B">
        <w:rPr>
          <w:lang w:eastAsia="ja-JP"/>
        </w:rPr>
        <w:t>determine</w:t>
      </w:r>
      <w:r w:rsidR="00BA761B" w:rsidRPr="00BA761B">
        <w:rPr>
          <w:lang w:eastAsia="ja-JP"/>
        </w:rPr>
        <w:t xml:space="preserve"> deeds of priority. </w:t>
      </w:r>
      <w:r>
        <w:rPr>
          <w:lang w:eastAsia="ja-JP"/>
        </w:rPr>
        <w:t>C</w:t>
      </w:r>
      <w:r w:rsidR="00BA761B" w:rsidRPr="00BA761B">
        <w:rPr>
          <w:lang w:eastAsia="ja-JP"/>
        </w:rPr>
        <w:t xml:space="preserve">ounsellors and clients </w:t>
      </w:r>
      <w:r>
        <w:rPr>
          <w:lang w:eastAsia="ja-JP"/>
        </w:rPr>
        <w:t>could</w:t>
      </w:r>
      <w:r w:rsidR="00BA761B" w:rsidRPr="00BA761B">
        <w:rPr>
          <w:lang w:eastAsia="ja-JP"/>
        </w:rPr>
        <w:t xml:space="preserve"> provide early notice to their banks so they are </w:t>
      </w:r>
      <w:r w:rsidR="00C33345">
        <w:rPr>
          <w:lang w:eastAsia="ja-JP"/>
        </w:rPr>
        <w:t>prepared</w:t>
      </w:r>
      <w:r w:rsidR="00C33345" w:rsidRPr="00BA761B">
        <w:rPr>
          <w:lang w:eastAsia="ja-JP"/>
        </w:rPr>
        <w:t xml:space="preserve"> </w:t>
      </w:r>
      <w:r w:rsidR="00BA761B" w:rsidRPr="00BA761B">
        <w:rPr>
          <w:lang w:eastAsia="ja-JP"/>
        </w:rPr>
        <w:t>to discuss security for the loans</w:t>
      </w:r>
      <w:r w:rsidR="00C33345">
        <w:rPr>
          <w:lang w:eastAsia="ja-JP"/>
        </w:rPr>
        <w:t xml:space="preserve"> and avoid further delays</w:t>
      </w:r>
      <w:r w:rsidR="00BA761B" w:rsidRPr="00BA761B">
        <w:rPr>
          <w:lang w:eastAsia="ja-JP"/>
        </w:rPr>
        <w:t>.</w:t>
      </w:r>
    </w:p>
    <w:p w14:paraId="5A8FF6CA" w14:textId="56BF026F" w:rsidR="00517F4E" w:rsidRDefault="00BA761B" w:rsidP="00BA761B">
      <w:pPr>
        <w:rPr>
          <w:lang w:eastAsia="ja-JP"/>
        </w:rPr>
      </w:pPr>
      <w:r w:rsidRPr="00BA761B">
        <w:rPr>
          <w:lang w:eastAsia="ja-JP"/>
        </w:rPr>
        <w:t xml:space="preserve">Establishing and maintaining lines of communication between the </w:t>
      </w:r>
      <w:proofErr w:type="spellStart"/>
      <w:r w:rsidRPr="00BA761B">
        <w:rPr>
          <w:lang w:eastAsia="ja-JP"/>
        </w:rPr>
        <w:t>RIC</w:t>
      </w:r>
      <w:proofErr w:type="spellEnd"/>
      <w:r w:rsidRPr="00BA761B">
        <w:rPr>
          <w:lang w:eastAsia="ja-JP"/>
        </w:rPr>
        <w:t xml:space="preserve"> and counsellors </w:t>
      </w:r>
      <w:r w:rsidR="00D32639">
        <w:rPr>
          <w:lang w:eastAsia="ja-JP"/>
        </w:rPr>
        <w:t xml:space="preserve">helps </w:t>
      </w:r>
      <w:r w:rsidRPr="00BA761B">
        <w:rPr>
          <w:lang w:eastAsia="ja-JP"/>
        </w:rPr>
        <w:t xml:space="preserve">RFCS clients effectively apply for </w:t>
      </w:r>
      <w:proofErr w:type="spellStart"/>
      <w:r w:rsidRPr="00BA761B">
        <w:rPr>
          <w:lang w:eastAsia="ja-JP"/>
        </w:rPr>
        <w:t>RIC</w:t>
      </w:r>
      <w:proofErr w:type="spellEnd"/>
      <w:r w:rsidRPr="00BA761B">
        <w:rPr>
          <w:lang w:eastAsia="ja-JP"/>
        </w:rPr>
        <w:t xml:space="preserve"> products. Training is required to streamline the application process for all parties.</w:t>
      </w:r>
    </w:p>
    <w:p w14:paraId="50EE03A0" w14:textId="77777777" w:rsidR="00517F4E" w:rsidRDefault="00BA761B" w:rsidP="00D166F8">
      <w:pPr>
        <w:pStyle w:val="Heading4"/>
      </w:pPr>
      <w:r w:rsidRPr="00BA761B">
        <w:t>Department of Agriculture</w:t>
      </w:r>
    </w:p>
    <w:p w14:paraId="6EB3FAA2" w14:textId="6FAD3519" w:rsidR="00517F4E" w:rsidRDefault="00DE477F" w:rsidP="00BA761B">
      <w:pPr>
        <w:rPr>
          <w:lang w:eastAsia="ja-JP"/>
        </w:rPr>
      </w:pPr>
      <w:r w:rsidRPr="00DE477F">
        <w:rPr>
          <w:lang w:eastAsia="ja-JP"/>
        </w:rPr>
        <w:t>Through their boards and executive officers, service providers have substantial interactions with the department about the RFCS program. Engagement relates to compliance matters and funding</w:t>
      </w:r>
      <w:r>
        <w:rPr>
          <w:lang w:eastAsia="ja-JP"/>
        </w:rPr>
        <w:t>,</w:t>
      </w:r>
      <w:r w:rsidRPr="00DE477F">
        <w:rPr>
          <w:lang w:eastAsia="ja-JP"/>
        </w:rPr>
        <w:t xml:space="preserve"> as well as requests for case studies, information regarding the outcomes of the program, and feedback about how local agricultural issues are affecting clients. Service providers also participate in national conferences.</w:t>
      </w:r>
    </w:p>
    <w:p w14:paraId="5BF93F03" w14:textId="2A9C93EC" w:rsidR="00424FBD" w:rsidRDefault="00BA761B" w:rsidP="00BA761B">
      <w:pPr>
        <w:rPr>
          <w:lang w:eastAsia="ja-JP"/>
        </w:rPr>
      </w:pPr>
      <w:r w:rsidRPr="00BA761B">
        <w:rPr>
          <w:lang w:eastAsia="ja-JP"/>
        </w:rPr>
        <w:lastRenderedPageBreak/>
        <w:t xml:space="preserve">Counsellors </w:t>
      </w:r>
      <w:r w:rsidR="00434611">
        <w:rPr>
          <w:lang w:eastAsia="ja-JP"/>
        </w:rPr>
        <w:t xml:space="preserve">have </w:t>
      </w:r>
      <w:r w:rsidR="00FC3D00">
        <w:rPr>
          <w:lang w:eastAsia="ja-JP"/>
        </w:rPr>
        <w:t xml:space="preserve">infrequent </w:t>
      </w:r>
      <w:r w:rsidR="00434611">
        <w:rPr>
          <w:lang w:eastAsia="ja-JP"/>
        </w:rPr>
        <w:t>direct contact</w:t>
      </w:r>
      <w:r w:rsidRPr="00BA761B">
        <w:rPr>
          <w:lang w:eastAsia="ja-JP"/>
        </w:rPr>
        <w:t xml:space="preserve"> with the department</w:t>
      </w:r>
      <w:r w:rsidR="00532C82">
        <w:rPr>
          <w:lang w:eastAsia="ja-JP"/>
        </w:rPr>
        <w:t>, usually related to technical assistance with the portal</w:t>
      </w:r>
      <w:r w:rsidRPr="00BA761B">
        <w:rPr>
          <w:lang w:eastAsia="ja-JP"/>
        </w:rPr>
        <w:t xml:space="preserve">. </w:t>
      </w:r>
      <w:r w:rsidR="00B15115">
        <w:rPr>
          <w:lang w:eastAsia="ja-JP"/>
        </w:rPr>
        <w:t>Although i</w:t>
      </w:r>
      <w:r w:rsidRPr="00BA761B">
        <w:rPr>
          <w:lang w:eastAsia="ja-JP"/>
        </w:rPr>
        <w:t xml:space="preserve">t </w:t>
      </w:r>
      <w:r w:rsidR="00BD60E0">
        <w:rPr>
          <w:lang w:eastAsia="ja-JP"/>
        </w:rPr>
        <w:t xml:space="preserve">is normally appropriate for counsellors to be represented </w:t>
      </w:r>
      <w:r w:rsidR="00587C81">
        <w:rPr>
          <w:lang w:eastAsia="ja-JP"/>
        </w:rPr>
        <w:t>by their organisation</w:t>
      </w:r>
      <w:r w:rsidR="00FC3D00">
        <w:rPr>
          <w:lang w:eastAsia="ja-JP"/>
        </w:rPr>
        <w:t xml:space="preserve">, </w:t>
      </w:r>
      <w:r w:rsidRPr="00BA761B">
        <w:rPr>
          <w:lang w:eastAsia="ja-JP"/>
        </w:rPr>
        <w:t xml:space="preserve">the review panel found a </w:t>
      </w:r>
      <w:r w:rsidR="00FB7563" w:rsidRPr="00BA761B">
        <w:rPr>
          <w:lang w:eastAsia="ja-JP"/>
        </w:rPr>
        <w:t>s</w:t>
      </w:r>
      <w:r w:rsidR="00FB7563">
        <w:rPr>
          <w:lang w:eastAsia="ja-JP"/>
        </w:rPr>
        <w:t>ignificant</w:t>
      </w:r>
      <w:r w:rsidR="00FB7563" w:rsidRPr="00BA761B">
        <w:rPr>
          <w:lang w:eastAsia="ja-JP"/>
        </w:rPr>
        <w:t xml:space="preserve"> </w:t>
      </w:r>
      <w:r w:rsidRPr="00BA761B">
        <w:rPr>
          <w:lang w:eastAsia="ja-JP"/>
        </w:rPr>
        <w:t>disconnect</w:t>
      </w:r>
      <w:r w:rsidR="00F11B0C">
        <w:rPr>
          <w:lang w:eastAsia="ja-JP"/>
        </w:rPr>
        <w:t xml:space="preserve"> between departmental expectations and counsellor knowledge. S</w:t>
      </w:r>
      <w:r w:rsidRPr="00BA761B">
        <w:rPr>
          <w:lang w:eastAsia="ja-JP"/>
        </w:rPr>
        <w:t xml:space="preserve">ome counsellors </w:t>
      </w:r>
      <w:r w:rsidR="00C3639E">
        <w:rPr>
          <w:lang w:eastAsia="ja-JP"/>
        </w:rPr>
        <w:t>were not aware of</w:t>
      </w:r>
      <w:r w:rsidRPr="00BA761B">
        <w:rPr>
          <w:lang w:eastAsia="ja-JP"/>
        </w:rPr>
        <w:t xml:space="preserve"> fundamental program information</w:t>
      </w:r>
      <w:r w:rsidR="00F11B0C">
        <w:rPr>
          <w:lang w:eastAsia="ja-JP"/>
        </w:rPr>
        <w:t xml:space="preserve">, messaging or </w:t>
      </w:r>
      <w:r w:rsidR="00C3639E">
        <w:rPr>
          <w:lang w:eastAsia="ja-JP"/>
        </w:rPr>
        <w:t>objectives.</w:t>
      </w:r>
    </w:p>
    <w:p w14:paraId="4F24F55B" w14:textId="7F8278B1" w:rsidR="00517F4E" w:rsidRDefault="00BA761B" w:rsidP="00BA761B">
      <w:pPr>
        <w:rPr>
          <w:lang w:eastAsia="ja-JP"/>
        </w:rPr>
      </w:pPr>
      <w:r w:rsidRPr="00BA761B">
        <w:rPr>
          <w:lang w:eastAsia="ja-JP"/>
        </w:rPr>
        <w:t xml:space="preserve">Direct contact </w:t>
      </w:r>
      <w:r w:rsidR="00FC3D00">
        <w:rPr>
          <w:lang w:eastAsia="ja-JP"/>
        </w:rPr>
        <w:t xml:space="preserve">between the department and </w:t>
      </w:r>
      <w:r w:rsidRPr="00BA761B">
        <w:rPr>
          <w:lang w:eastAsia="ja-JP"/>
        </w:rPr>
        <w:t>counsellor</w:t>
      </w:r>
      <w:r w:rsidR="00FC3D00">
        <w:rPr>
          <w:lang w:eastAsia="ja-JP"/>
        </w:rPr>
        <w:t>s</w:t>
      </w:r>
      <w:r w:rsidRPr="00BA761B">
        <w:rPr>
          <w:lang w:eastAsia="ja-JP"/>
        </w:rPr>
        <w:t xml:space="preserve"> would </w:t>
      </w:r>
      <w:r w:rsidR="001C5472">
        <w:rPr>
          <w:lang w:eastAsia="ja-JP"/>
        </w:rPr>
        <w:t xml:space="preserve">facilitate </w:t>
      </w:r>
      <w:r w:rsidRPr="00BA761B">
        <w:rPr>
          <w:lang w:eastAsia="ja-JP"/>
        </w:rPr>
        <w:t xml:space="preserve">consistent national messaging about the </w:t>
      </w:r>
      <w:r w:rsidR="00D17B5E">
        <w:rPr>
          <w:lang w:eastAsia="ja-JP"/>
        </w:rPr>
        <w:t>service</w:t>
      </w:r>
      <w:r w:rsidR="001C5472">
        <w:rPr>
          <w:lang w:eastAsia="ja-JP"/>
        </w:rPr>
        <w:t xml:space="preserve"> and faster </w:t>
      </w:r>
      <w:r w:rsidR="00D17B5E">
        <w:rPr>
          <w:lang w:eastAsia="ja-JP"/>
        </w:rPr>
        <w:t>information</w:t>
      </w:r>
      <w:r w:rsidR="001C5472">
        <w:rPr>
          <w:lang w:eastAsia="ja-JP"/>
        </w:rPr>
        <w:t xml:space="preserve"> for counsellors</w:t>
      </w:r>
      <w:r w:rsidRPr="00BA761B">
        <w:rPr>
          <w:lang w:eastAsia="ja-JP"/>
        </w:rPr>
        <w:t xml:space="preserve"> </w:t>
      </w:r>
      <w:r w:rsidR="001C5472">
        <w:rPr>
          <w:lang w:eastAsia="ja-JP"/>
        </w:rPr>
        <w:t>on</w:t>
      </w:r>
      <w:r w:rsidRPr="00BA761B">
        <w:rPr>
          <w:lang w:eastAsia="ja-JP"/>
        </w:rPr>
        <w:t xml:space="preserve"> announcements or changes in Australian </w:t>
      </w:r>
      <w:r w:rsidR="00434611">
        <w:rPr>
          <w:lang w:eastAsia="ja-JP"/>
        </w:rPr>
        <w:t>G</w:t>
      </w:r>
      <w:r w:rsidRPr="00BA761B">
        <w:rPr>
          <w:lang w:eastAsia="ja-JP"/>
        </w:rPr>
        <w:t>overnment programs</w:t>
      </w:r>
      <w:r w:rsidR="00D17B5E">
        <w:rPr>
          <w:lang w:eastAsia="ja-JP"/>
        </w:rPr>
        <w:t>.</w:t>
      </w:r>
    </w:p>
    <w:p w14:paraId="19B15704" w14:textId="77777777" w:rsidR="00517F4E" w:rsidRDefault="00BA761B" w:rsidP="00D166F8">
      <w:pPr>
        <w:pStyle w:val="Heading4"/>
        <w:rPr>
          <w:lang w:eastAsia="ja-JP"/>
        </w:rPr>
      </w:pPr>
      <w:r w:rsidRPr="00BA761B">
        <w:rPr>
          <w:lang w:eastAsia="ja-JP"/>
        </w:rPr>
        <w:t>Peak body representation</w:t>
      </w:r>
    </w:p>
    <w:p w14:paraId="6A8EC996" w14:textId="6BC51175" w:rsidR="00517F4E" w:rsidRDefault="00BA761B" w:rsidP="00BA761B">
      <w:pPr>
        <w:rPr>
          <w:lang w:eastAsia="ja-JP"/>
        </w:rPr>
      </w:pPr>
      <w:r w:rsidRPr="00BA761B">
        <w:rPr>
          <w:lang w:eastAsia="ja-JP"/>
        </w:rPr>
        <w:t>Some service providers supported the development of a</w:t>
      </w:r>
      <w:r w:rsidR="00D17B5E">
        <w:rPr>
          <w:lang w:eastAsia="ja-JP"/>
        </w:rPr>
        <w:t>n independent,</w:t>
      </w:r>
      <w:r w:rsidRPr="00BA761B">
        <w:rPr>
          <w:lang w:eastAsia="ja-JP"/>
        </w:rPr>
        <w:t xml:space="preserve"> professional peak body to represent the interests of the </w:t>
      </w:r>
      <w:r w:rsidR="00434611">
        <w:rPr>
          <w:lang w:eastAsia="ja-JP"/>
        </w:rPr>
        <w:t>RFCS</w:t>
      </w:r>
      <w:r w:rsidRPr="00BA761B">
        <w:rPr>
          <w:lang w:eastAsia="ja-JP"/>
        </w:rPr>
        <w:t>. It was suggested that a peak body could assist in determining best</w:t>
      </w:r>
      <w:r w:rsidR="00434611">
        <w:rPr>
          <w:lang w:eastAsia="ja-JP"/>
        </w:rPr>
        <w:t xml:space="preserve"> </w:t>
      </w:r>
      <w:r w:rsidRPr="00BA761B">
        <w:rPr>
          <w:lang w:eastAsia="ja-JP"/>
        </w:rPr>
        <w:t>practice, developing marketing materials</w:t>
      </w:r>
      <w:r w:rsidR="002A79F4">
        <w:rPr>
          <w:lang w:eastAsia="ja-JP"/>
        </w:rPr>
        <w:t xml:space="preserve"> and</w:t>
      </w:r>
      <w:r w:rsidRPr="00BA761B">
        <w:rPr>
          <w:lang w:eastAsia="ja-JP"/>
        </w:rPr>
        <w:t xml:space="preserve"> delivering training</w:t>
      </w:r>
      <w:r w:rsidR="002A79F4">
        <w:rPr>
          <w:lang w:eastAsia="ja-JP"/>
        </w:rPr>
        <w:t>,</w:t>
      </w:r>
      <w:r w:rsidRPr="00BA761B">
        <w:rPr>
          <w:lang w:eastAsia="ja-JP"/>
        </w:rPr>
        <w:t xml:space="preserve"> and </w:t>
      </w:r>
      <w:r w:rsidR="002A79F4">
        <w:rPr>
          <w:lang w:eastAsia="ja-JP"/>
        </w:rPr>
        <w:t xml:space="preserve">would </w:t>
      </w:r>
      <w:r w:rsidR="00D17B5E">
        <w:rPr>
          <w:lang w:eastAsia="ja-JP"/>
        </w:rPr>
        <w:t>p</w:t>
      </w:r>
      <w:r w:rsidRPr="00BA761B">
        <w:rPr>
          <w:lang w:eastAsia="ja-JP"/>
        </w:rPr>
        <w:t>rovid</w:t>
      </w:r>
      <w:r w:rsidR="00D17B5E">
        <w:rPr>
          <w:lang w:eastAsia="ja-JP"/>
        </w:rPr>
        <w:t>e</w:t>
      </w:r>
      <w:r w:rsidRPr="00BA761B">
        <w:rPr>
          <w:lang w:eastAsia="ja-JP"/>
        </w:rPr>
        <w:t xml:space="preserve"> a single voice back to government. </w:t>
      </w:r>
      <w:r w:rsidR="00FF5F7E">
        <w:rPr>
          <w:lang w:eastAsia="ja-JP"/>
        </w:rPr>
        <w:t xml:space="preserve">The panel </w:t>
      </w:r>
      <w:r w:rsidRPr="00BA761B">
        <w:rPr>
          <w:lang w:eastAsia="ja-JP"/>
        </w:rPr>
        <w:t xml:space="preserve">noted that some service providers were already members of state financial counselling associations. </w:t>
      </w:r>
      <w:proofErr w:type="spellStart"/>
      <w:r w:rsidR="00A46517">
        <w:rPr>
          <w:lang w:eastAsia="ja-JP"/>
        </w:rPr>
        <w:t>FCA</w:t>
      </w:r>
      <w:proofErr w:type="spellEnd"/>
      <w:r w:rsidR="00434611">
        <w:rPr>
          <w:lang w:eastAsia="ja-JP"/>
        </w:rPr>
        <w:t>,</w:t>
      </w:r>
      <w:r w:rsidRPr="00BA761B">
        <w:rPr>
          <w:lang w:eastAsia="ja-JP"/>
        </w:rPr>
        <w:t xml:space="preserve"> as the peak </w:t>
      </w:r>
      <w:r w:rsidR="00434611">
        <w:rPr>
          <w:lang w:eastAsia="ja-JP"/>
        </w:rPr>
        <w:t xml:space="preserve">national </w:t>
      </w:r>
      <w:r w:rsidRPr="00BA761B">
        <w:rPr>
          <w:lang w:eastAsia="ja-JP"/>
        </w:rPr>
        <w:t>body</w:t>
      </w:r>
      <w:r w:rsidR="009368DB">
        <w:rPr>
          <w:lang w:eastAsia="ja-JP"/>
        </w:rPr>
        <w:t xml:space="preserve"> for financial counsellors</w:t>
      </w:r>
      <w:r w:rsidR="00434611">
        <w:rPr>
          <w:lang w:eastAsia="ja-JP"/>
        </w:rPr>
        <w:t>,</w:t>
      </w:r>
      <w:r w:rsidRPr="00BA761B">
        <w:rPr>
          <w:lang w:eastAsia="ja-JP"/>
        </w:rPr>
        <w:t xml:space="preserve"> strong</w:t>
      </w:r>
      <w:r w:rsidR="00FF5F7E">
        <w:rPr>
          <w:lang w:eastAsia="ja-JP"/>
        </w:rPr>
        <w:t>ly</w:t>
      </w:r>
      <w:r w:rsidRPr="00BA761B">
        <w:rPr>
          <w:lang w:eastAsia="ja-JP"/>
        </w:rPr>
        <w:t xml:space="preserve"> advocate</w:t>
      </w:r>
      <w:r w:rsidR="00FF5F7E">
        <w:rPr>
          <w:lang w:eastAsia="ja-JP"/>
        </w:rPr>
        <w:t>d</w:t>
      </w:r>
      <w:r w:rsidRPr="00BA761B">
        <w:rPr>
          <w:lang w:eastAsia="ja-JP"/>
        </w:rPr>
        <w:t xml:space="preserve"> </w:t>
      </w:r>
      <w:r w:rsidR="00FF5F7E">
        <w:rPr>
          <w:lang w:eastAsia="ja-JP"/>
        </w:rPr>
        <w:t xml:space="preserve">for </w:t>
      </w:r>
      <w:r w:rsidRPr="00BA761B">
        <w:rPr>
          <w:lang w:eastAsia="ja-JP"/>
        </w:rPr>
        <w:t xml:space="preserve">all service providers </w:t>
      </w:r>
      <w:r w:rsidR="00FF5F7E">
        <w:rPr>
          <w:lang w:eastAsia="ja-JP"/>
        </w:rPr>
        <w:t xml:space="preserve">to </w:t>
      </w:r>
      <w:r w:rsidRPr="00BA761B">
        <w:rPr>
          <w:lang w:eastAsia="ja-JP"/>
        </w:rPr>
        <w:t>become members</w:t>
      </w:r>
      <w:r w:rsidR="00434611">
        <w:rPr>
          <w:lang w:eastAsia="ja-JP"/>
        </w:rPr>
        <w:t xml:space="preserve"> </w:t>
      </w:r>
      <w:r w:rsidR="007C00C6">
        <w:rPr>
          <w:lang w:eastAsia="ja-JP"/>
        </w:rPr>
        <w:t>of their state association</w:t>
      </w:r>
      <w:r w:rsidR="00FF5F7E">
        <w:rPr>
          <w:lang w:eastAsia="ja-JP"/>
        </w:rPr>
        <w:t xml:space="preserve">—allowing </w:t>
      </w:r>
      <w:r w:rsidR="007C00C6">
        <w:rPr>
          <w:lang w:eastAsia="ja-JP"/>
        </w:rPr>
        <w:t>a</w:t>
      </w:r>
      <w:r w:rsidRPr="00BA761B">
        <w:rPr>
          <w:lang w:eastAsia="ja-JP"/>
        </w:rPr>
        <w:t xml:space="preserve">ccess </w:t>
      </w:r>
      <w:r w:rsidR="00FF5F7E">
        <w:rPr>
          <w:lang w:eastAsia="ja-JP"/>
        </w:rPr>
        <w:t xml:space="preserve">to </w:t>
      </w:r>
      <w:r w:rsidRPr="00BA761B">
        <w:rPr>
          <w:lang w:eastAsia="ja-JP"/>
        </w:rPr>
        <w:t>professional development and up</w:t>
      </w:r>
      <w:r w:rsidR="00434611">
        <w:rPr>
          <w:lang w:eastAsia="ja-JP"/>
        </w:rPr>
        <w:t>-</w:t>
      </w:r>
      <w:r w:rsidRPr="00BA761B">
        <w:rPr>
          <w:lang w:eastAsia="ja-JP"/>
        </w:rPr>
        <w:t>to</w:t>
      </w:r>
      <w:r w:rsidR="00434611">
        <w:rPr>
          <w:lang w:eastAsia="ja-JP"/>
        </w:rPr>
        <w:t>-</w:t>
      </w:r>
      <w:r w:rsidRPr="00BA761B">
        <w:rPr>
          <w:lang w:eastAsia="ja-JP"/>
        </w:rPr>
        <w:t>date training.</w:t>
      </w:r>
    </w:p>
    <w:p w14:paraId="46D2BF65" w14:textId="50B10291" w:rsidR="00517F4E" w:rsidRDefault="00FF5F7E" w:rsidP="00202967">
      <w:pPr>
        <w:rPr>
          <w:lang w:eastAsia="ja-JP"/>
        </w:rPr>
      </w:pPr>
      <w:r>
        <w:rPr>
          <w:lang w:eastAsia="ja-JP"/>
        </w:rPr>
        <w:t>M</w:t>
      </w:r>
      <w:r w:rsidR="004C51AD">
        <w:rPr>
          <w:lang w:eastAsia="ja-JP"/>
        </w:rPr>
        <w:t>embership of a peak body could increase professionalism and consistency in the service</w:t>
      </w:r>
      <w:r w:rsidR="00B15115">
        <w:rPr>
          <w:lang w:eastAsia="ja-JP"/>
        </w:rPr>
        <w:t>. A</w:t>
      </w:r>
      <w:r w:rsidR="004C51AD">
        <w:rPr>
          <w:lang w:eastAsia="ja-JP"/>
        </w:rPr>
        <w:t xml:space="preserve">ny training and professional standards </w:t>
      </w:r>
      <w:r>
        <w:rPr>
          <w:lang w:eastAsia="ja-JP"/>
        </w:rPr>
        <w:t xml:space="preserve">should be </w:t>
      </w:r>
      <w:r w:rsidR="004C51AD">
        <w:rPr>
          <w:lang w:eastAsia="ja-JP"/>
        </w:rPr>
        <w:t xml:space="preserve">consistent with the objectives of the RFCS program and </w:t>
      </w:r>
      <w:r>
        <w:rPr>
          <w:lang w:eastAsia="ja-JP"/>
        </w:rPr>
        <w:t xml:space="preserve">be </w:t>
      </w:r>
      <w:r w:rsidR="004C51AD">
        <w:rPr>
          <w:lang w:eastAsia="ja-JP"/>
        </w:rPr>
        <w:t xml:space="preserve">appropriate for rural financial counsellors. The review panel is of the view that service providers are </w:t>
      </w:r>
      <w:r w:rsidR="00587C81">
        <w:rPr>
          <w:lang w:eastAsia="ja-JP"/>
        </w:rPr>
        <w:t xml:space="preserve">free to collaborate and </w:t>
      </w:r>
      <w:r w:rsidR="004C51AD">
        <w:rPr>
          <w:lang w:eastAsia="ja-JP"/>
        </w:rPr>
        <w:t xml:space="preserve">pursue membership with any relevant professional organisation. </w:t>
      </w:r>
      <w:r w:rsidR="00A15BB8">
        <w:rPr>
          <w:lang w:eastAsia="ja-JP"/>
        </w:rPr>
        <w:t xml:space="preserve">The </w:t>
      </w:r>
      <w:r w:rsidR="004C51AD">
        <w:rPr>
          <w:lang w:eastAsia="ja-JP"/>
        </w:rPr>
        <w:t xml:space="preserve">government </w:t>
      </w:r>
      <w:r w:rsidR="00A15BB8">
        <w:rPr>
          <w:lang w:eastAsia="ja-JP"/>
        </w:rPr>
        <w:t xml:space="preserve">does not need </w:t>
      </w:r>
      <w:r w:rsidR="004C51AD">
        <w:rPr>
          <w:lang w:eastAsia="ja-JP"/>
        </w:rPr>
        <w:t>to fund or coordinate peak body representation.</w:t>
      </w:r>
    </w:p>
    <w:p w14:paraId="7E4DF3E6" w14:textId="13C8F51E" w:rsidR="00BA761B" w:rsidRPr="005D784B" w:rsidRDefault="00293183" w:rsidP="00293183">
      <w:pPr>
        <w:pStyle w:val="BoxHeading"/>
      </w:pPr>
      <w:r w:rsidRPr="005D784B">
        <w:t>Recommendation 23</w:t>
      </w:r>
    </w:p>
    <w:p w14:paraId="5159941F" w14:textId="77777777" w:rsidR="00517F4E" w:rsidRPr="005D784B" w:rsidRDefault="00AF5B5B" w:rsidP="00293183">
      <w:pPr>
        <w:pStyle w:val="BoxText"/>
      </w:pPr>
      <w:r w:rsidRPr="005D784B">
        <w:t>That government encourages rural lenders to support early referrals to the RFCS to reach clients who are in early stages of financial distress.</w:t>
      </w:r>
    </w:p>
    <w:p w14:paraId="31219C83" w14:textId="0B2C6D25" w:rsidR="00293183" w:rsidRPr="005D784B" w:rsidRDefault="00293183" w:rsidP="00293183">
      <w:pPr>
        <w:pStyle w:val="BoxHeading"/>
      </w:pPr>
      <w:r w:rsidRPr="005D784B">
        <w:t>Recommendation 24</w:t>
      </w:r>
    </w:p>
    <w:p w14:paraId="3A2AD754" w14:textId="7100FE46" w:rsidR="00AF5B5B" w:rsidRPr="005D784B" w:rsidRDefault="00B461DD" w:rsidP="00293183">
      <w:pPr>
        <w:pStyle w:val="BoxText"/>
      </w:pPr>
      <w:r w:rsidRPr="005D784B">
        <w:t xml:space="preserve">That </w:t>
      </w:r>
      <w:r w:rsidR="001E5D09" w:rsidRPr="005D784B">
        <w:t xml:space="preserve">RFCS </w:t>
      </w:r>
      <w:r w:rsidRPr="005D784B">
        <w:t>p</w:t>
      </w:r>
      <w:r w:rsidR="00AF5B5B" w:rsidRPr="005D784B">
        <w:t xml:space="preserve">artner relationships </w:t>
      </w:r>
      <w:r w:rsidR="005D784B">
        <w:t>be strengthened</w:t>
      </w:r>
      <w:r w:rsidR="005C1686">
        <w:t xml:space="preserve">, </w:t>
      </w:r>
      <w:r w:rsidR="00AF5B5B" w:rsidRPr="005D784B">
        <w:t xml:space="preserve">including with </w:t>
      </w:r>
      <w:proofErr w:type="spellStart"/>
      <w:r w:rsidR="00AF5B5B" w:rsidRPr="0086461F">
        <w:t>F</w:t>
      </w:r>
      <w:r w:rsidR="00587C81">
        <w:t>HCOs</w:t>
      </w:r>
      <w:proofErr w:type="spellEnd"/>
      <w:r w:rsidR="00AF5B5B" w:rsidRPr="0086461F">
        <w:t xml:space="preserve">, the </w:t>
      </w:r>
      <w:proofErr w:type="spellStart"/>
      <w:r w:rsidR="00587C81">
        <w:t>RIC</w:t>
      </w:r>
      <w:proofErr w:type="spellEnd"/>
      <w:r w:rsidR="00AA3362" w:rsidRPr="0086461F">
        <w:t xml:space="preserve"> and</w:t>
      </w:r>
      <w:r w:rsidR="00AA3362" w:rsidRPr="005D784B">
        <w:t xml:space="preserve"> </w:t>
      </w:r>
      <w:r w:rsidR="00AF5B5B" w:rsidRPr="005D784B">
        <w:t xml:space="preserve">financial </w:t>
      </w:r>
      <w:r w:rsidR="00B63E49" w:rsidRPr="005D784B">
        <w:t>institutions</w:t>
      </w:r>
      <w:r w:rsidR="00AF5B5B" w:rsidRPr="005D784B">
        <w:t>.</w:t>
      </w:r>
    </w:p>
    <w:p w14:paraId="4263C8A2" w14:textId="7BDA31B0" w:rsidR="00293183" w:rsidRPr="005D784B" w:rsidRDefault="00293183" w:rsidP="00293183">
      <w:pPr>
        <w:pStyle w:val="BoxHeading"/>
      </w:pPr>
      <w:r w:rsidRPr="005D784B">
        <w:t>Recommendation 25</w:t>
      </w:r>
    </w:p>
    <w:p w14:paraId="18939420" w14:textId="328A3FC6" w:rsidR="00AF5B5B" w:rsidRPr="00293183" w:rsidRDefault="00B461DD" w:rsidP="00293183">
      <w:pPr>
        <w:pStyle w:val="BoxText"/>
      </w:pPr>
      <w:r w:rsidRPr="005D784B">
        <w:t>That t</w:t>
      </w:r>
      <w:r w:rsidR="00AF5B5B" w:rsidRPr="005D784B">
        <w:t>he department establishes direct communication with counsellors for timely and consistent national messaging, support and two</w:t>
      </w:r>
      <w:r w:rsidRPr="005D784B">
        <w:t>-</w:t>
      </w:r>
      <w:r w:rsidR="00AF5B5B" w:rsidRPr="005D784B">
        <w:t>way feedback.</w:t>
      </w:r>
    </w:p>
    <w:p w14:paraId="3C1D7438" w14:textId="77777777" w:rsidR="006275CE" w:rsidRDefault="00BA761B" w:rsidP="00DA615F">
      <w:pPr>
        <w:pStyle w:val="Heading3"/>
        <w:rPr>
          <w:lang w:eastAsia="ja-JP"/>
        </w:rPr>
      </w:pPr>
      <w:bookmarkStart w:id="58" w:name="_Toc18328860"/>
      <w:bookmarkStart w:id="59" w:name="_Toc14076610"/>
      <w:r w:rsidRPr="00BA761B">
        <w:rPr>
          <w:lang w:eastAsia="ja-JP"/>
        </w:rPr>
        <w:t xml:space="preserve">Counsellor </w:t>
      </w:r>
      <w:r w:rsidR="002A417E">
        <w:rPr>
          <w:lang w:eastAsia="ja-JP"/>
        </w:rPr>
        <w:t>support</w:t>
      </w:r>
      <w:bookmarkEnd w:id="58"/>
    </w:p>
    <w:p w14:paraId="2E07D639" w14:textId="0154A572" w:rsidR="00BA761B" w:rsidRPr="00BA761B" w:rsidRDefault="006275CE" w:rsidP="006275CE">
      <w:pPr>
        <w:pStyle w:val="Heading4"/>
        <w:rPr>
          <w:lang w:eastAsia="ja-JP"/>
        </w:rPr>
      </w:pPr>
      <w:r>
        <w:rPr>
          <w:lang w:eastAsia="ja-JP"/>
        </w:rPr>
        <w:t>W</w:t>
      </w:r>
      <w:r w:rsidR="002A417E">
        <w:rPr>
          <w:lang w:eastAsia="ja-JP"/>
        </w:rPr>
        <w:t>ellbeing</w:t>
      </w:r>
      <w:bookmarkEnd w:id="59"/>
    </w:p>
    <w:p w14:paraId="76FBCCD2" w14:textId="46545AA6" w:rsidR="00517F4E" w:rsidRDefault="00BA761B" w:rsidP="00BA761B">
      <w:pPr>
        <w:rPr>
          <w:lang w:eastAsia="ja-JP"/>
        </w:rPr>
      </w:pPr>
      <w:r w:rsidRPr="00BA761B">
        <w:rPr>
          <w:lang w:eastAsia="ja-JP"/>
        </w:rPr>
        <w:t xml:space="preserve">In regions where demand has spiked, counsellors </w:t>
      </w:r>
      <w:r w:rsidR="00E57E2E">
        <w:rPr>
          <w:lang w:eastAsia="ja-JP"/>
        </w:rPr>
        <w:t>are struggling</w:t>
      </w:r>
      <w:r w:rsidRPr="00BA761B">
        <w:rPr>
          <w:lang w:eastAsia="ja-JP"/>
        </w:rPr>
        <w:t xml:space="preserve"> to cope with </w:t>
      </w:r>
      <w:r w:rsidR="00D10613">
        <w:rPr>
          <w:lang w:eastAsia="ja-JP"/>
        </w:rPr>
        <w:t>an</w:t>
      </w:r>
      <w:r w:rsidR="00D10613" w:rsidRPr="00BA761B">
        <w:rPr>
          <w:lang w:eastAsia="ja-JP"/>
        </w:rPr>
        <w:t xml:space="preserve"> </w:t>
      </w:r>
      <w:r w:rsidRPr="00BA761B">
        <w:rPr>
          <w:lang w:eastAsia="ja-JP"/>
        </w:rPr>
        <w:t>increased volume of transactional work. Many counsellors and executive officers reported that they have felt unable to take</w:t>
      </w:r>
      <w:r w:rsidR="00D10613">
        <w:rPr>
          <w:lang w:eastAsia="ja-JP"/>
        </w:rPr>
        <w:t xml:space="preserve"> reasonable leave to disconnect from their work</w:t>
      </w:r>
      <w:r w:rsidRPr="00BA761B">
        <w:rPr>
          <w:lang w:eastAsia="ja-JP"/>
        </w:rPr>
        <w:t xml:space="preserve">. </w:t>
      </w:r>
      <w:r w:rsidR="00A15BB8">
        <w:rPr>
          <w:lang w:eastAsia="ja-JP"/>
        </w:rPr>
        <w:t xml:space="preserve">Counsellors found it </w:t>
      </w:r>
      <w:r w:rsidR="00A15BB8" w:rsidRPr="00BA761B">
        <w:rPr>
          <w:lang w:eastAsia="ja-JP"/>
        </w:rPr>
        <w:t xml:space="preserve">emotionally </w:t>
      </w:r>
      <w:r w:rsidR="00A15BB8">
        <w:rPr>
          <w:lang w:eastAsia="ja-JP"/>
        </w:rPr>
        <w:t xml:space="preserve">and physically </w:t>
      </w:r>
      <w:r w:rsidR="00A15BB8" w:rsidRPr="00BA761B">
        <w:rPr>
          <w:lang w:eastAsia="ja-JP"/>
        </w:rPr>
        <w:t xml:space="preserve">draining </w:t>
      </w:r>
      <w:r w:rsidR="00A15BB8">
        <w:rPr>
          <w:lang w:eastAsia="ja-JP"/>
        </w:rPr>
        <w:t xml:space="preserve">to </w:t>
      </w:r>
      <w:r w:rsidRPr="00BA761B">
        <w:rPr>
          <w:lang w:eastAsia="ja-JP"/>
        </w:rPr>
        <w:t>constantly operat</w:t>
      </w:r>
      <w:r w:rsidR="00A15BB8">
        <w:rPr>
          <w:lang w:eastAsia="ja-JP"/>
        </w:rPr>
        <w:t>e</w:t>
      </w:r>
      <w:r w:rsidRPr="00BA761B">
        <w:rPr>
          <w:lang w:eastAsia="ja-JP"/>
        </w:rPr>
        <w:t xml:space="preserve"> in crisis mode</w:t>
      </w:r>
      <w:r w:rsidR="00A15BB8">
        <w:rPr>
          <w:lang w:eastAsia="ja-JP"/>
        </w:rPr>
        <w:t xml:space="preserve">, </w:t>
      </w:r>
      <w:r w:rsidRPr="00BA761B">
        <w:rPr>
          <w:lang w:eastAsia="ja-JP"/>
        </w:rPr>
        <w:t xml:space="preserve">particularly where </w:t>
      </w:r>
      <w:r w:rsidR="00A15BB8">
        <w:rPr>
          <w:lang w:eastAsia="ja-JP"/>
        </w:rPr>
        <w:t xml:space="preserve">they </w:t>
      </w:r>
      <w:r w:rsidR="00284350">
        <w:rPr>
          <w:lang w:eastAsia="ja-JP"/>
        </w:rPr>
        <w:t>struggled to see their case-managed work translate into positive change for their clients</w:t>
      </w:r>
      <w:r w:rsidRPr="00BA761B">
        <w:rPr>
          <w:lang w:eastAsia="ja-JP"/>
        </w:rPr>
        <w:t>. Several service providers indicated that they were experiencing high staff turnover and had concerns for the mental health of their counsellors.</w:t>
      </w:r>
    </w:p>
    <w:p w14:paraId="18E7FD37" w14:textId="3B5AAAF2" w:rsidR="00517F4E" w:rsidRDefault="00A15BB8" w:rsidP="00BA761B">
      <w:pPr>
        <w:rPr>
          <w:lang w:eastAsia="ja-JP"/>
        </w:rPr>
      </w:pPr>
      <w:r>
        <w:rPr>
          <w:lang w:eastAsia="ja-JP"/>
        </w:rPr>
        <w:t xml:space="preserve">Services providers have </w:t>
      </w:r>
      <w:r w:rsidR="00BA761B" w:rsidRPr="00BA761B">
        <w:rPr>
          <w:lang w:eastAsia="ja-JP"/>
        </w:rPr>
        <w:t>address</w:t>
      </w:r>
      <w:r>
        <w:rPr>
          <w:lang w:eastAsia="ja-JP"/>
        </w:rPr>
        <w:t>ed</w:t>
      </w:r>
      <w:r w:rsidR="00BA761B" w:rsidRPr="00BA761B">
        <w:rPr>
          <w:lang w:eastAsia="ja-JP"/>
        </w:rPr>
        <w:t xml:space="preserve"> counsellor well</w:t>
      </w:r>
      <w:r w:rsidR="002F18B2">
        <w:rPr>
          <w:lang w:eastAsia="ja-JP"/>
        </w:rPr>
        <w:t>be</w:t>
      </w:r>
      <w:r w:rsidR="00BA761B" w:rsidRPr="00BA761B">
        <w:rPr>
          <w:lang w:eastAsia="ja-JP"/>
        </w:rPr>
        <w:t>ing</w:t>
      </w:r>
      <w:r>
        <w:rPr>
          <w:lang w:eastAsia="ja-JP"/>
        </w:rPr>
        <w:t xml:space="preserve"> in various ways</w:t>
      </w:r>
      <w:r w:rsidR="00BA761B" w:rsidRPr="00BA761B">
        <w:rPr>
          <w:lang w:eastAsia="ja-JP"/>
        </w:rPr>
        <w:t xml:space="preserve">. </w:t>
      </w:r>
      <w:r w:rsidR="00D15D1D" w:rsidRPr="00BA761B">
        <w:rPr>
          <w:lang w:eastAsia="ja-JP"/>
        </w:rPr>
        <w:t>Some require</w:t>
      </w:r>
      <w:r w:rsidR="00BA761B" w:rsidRPr="00BA761B">
        <w:rPr>
          <w:lang w:eastAsia="ja-JP"/>
        </w:rPr>
        <w:t xml:space="preserve"> all counsellors to attend a minimum number of psychologist appointments each year to allow them </w:t>
      </w:r>
      <w:r w:rsidR="00BA761B" w:rsidRPr="00BA761B">
        <w:rPr>
          <w:lang w:eastAsia="ja-JP"/>
        </w:rPr>
        <w:lastRenderedPageBreak/>
        <w:t xml:space="preserve">to debrief. Others have employed relief counsellors to facilitate existing staff to take leave. In emergency events, services have </w:t>
      </w:r>
      <w:r w:rsidR="00DD4712">
        <w:rPr>
          <w:lang w:eastAsia="ja-JP"/>
        </w:rPr>
        <w:t>redeployed or loaned</w:t>
      </w:r>
      <w:r w:rsidR="00DD4712" w:rsidRPr="00BA761B">
        <w:rPr>
          <w:lang w:eastAsia="ja-JP"/>
        </w:rPr>
        <w:t xml:space="preserve"> </w:t>
      </w:r>
      <w:r w:rsidR="00BA761B" w:rsidRPr="00BA761B">
        <w:rPr>
          <w:lang w:eastAsia="ja-JP"/>
        </w:rPr>
        <w:t xml:space="preserve">counsellors to meet immediate needs. Some have employed support staff, who are quicker to recruit and </w:t>
      </w:r>
      <w:r w:rsidR="00DD4712">
        <w:rPr>
          <w:lang w:eastAsia="ja-JP"/>
        </w:rPr>
        <w:t>train</w:t>
      </w:r>
      <w:r w:rsidR="00BA761B" w:rsidRPr="00BA761B">
        <w:rPr>
          <w:lang w:eastAsia="ja-JP"/>
        </w:rPr>
        <w:t xml:space="preserve"> and may be more appropriate in </w:t>
      </w:r>
      <w:r w:rsidR="00DD4712">
        <w:rPr>
          <w:lang w:eastAsia="ja-JP"/>
        </w:rPr>
        <w:t>areas experiencing crisis or significant transactional workloads</w:t>
      </w:r>
      <w:r w:rsidR="00BA761B" w:rsidRPr="00BA761B">
        <w:rPr>
          <w:lang w:eastAsia="ja-JP"/>
        </w:rPr>
        <w:t>. Some counsellors are employed on a part</w:t>
      </w:r>
      <w:r w:rsidR="00B06611">
        <w:rPr>
          <w:lang w:eastAsia="ja-JP"/>
        </w:rPr>
        <w:t>-</w:t>
      </w:r>
      <w:r w:rsidR="00BA761B" w:rsidRPr="00BA761B">
        <w:rPr>
          <w:lang w:eastAsia="ja-JP"/>
        </w:rPr>
        <w:t>time basis with the capacity to increase hours to meet high demand.</w:t>
      </w:r>
    </w:p>
    <w:p w14:paraId="23D63308" w14:textId="207ABC4F" w:rsidR="00517F4E" w:rsidRDefault="00BA761B" w:rsidP="006275CE">
      <w:pPr>
        <w:rPr>
          <w:lang w:eastAsia="ja-JP"/>
        </w:rPr>
      </w:pPr>
      <w:r w:rsidRPr="00BA761B">
        <w:rPr>
          <w:lang w:eastAsia="ja-JP"/>
        </w:rPr>
        <w:t>Increased collaboration between service providers could also assist</w:t>
      </w:r>
      <w:r w:rsidR="00BB5408">
        <w:rPr>
          <w:lang w:eastAsia="ja-JP"/>
        </w:rPr>
        <w:t>. For example</w:t>
      </w:r>
      <w:r w:rsidRPr="00BA761B">
        <w:rPr>
          <w:lang w:eastAsia="ja-JP"/>
        </w:rPr>
        <w:t>, sharing relief counsellors between regions or establishing a register of trained counsellors (previously employed by a service) who may be interested in providing casual assistance</w:t>
      </w:r>
      <w:r w:rsidR="00BB5408">
        <w:rPr>
          <w:lang w:eastAsia="ja-JP"/>
        </w:rPr>
        <w:t>—</w:t>
      </w:r>
      <w:r w:rsidRPr="00BA761B">
        <w:rPr>
          <w:lang w:eastAsia="ja-JP"/>
        </w:rPr>
        <w:t xml:space="preserve">allowing for surge capacity and relief counselling. An increase to core funding should enable service providers to </w:t>
      </w:r>
      <w:r w:rsidR="00E025D1">
        <w:rPr>
          <w:lang w:eastAsia="ja-JP"/>
        </w:rPr>
        <w:t xml:space="preserve">better </w:t>
      </w:r>
      <w:r w:rsidRPr="00BA761B">
        <w:rPr>
          <w:lang w:eastAsia="ja-JP"/>
        </w:rPr>
        <w:t xml:space="preserve">plan their workforce capacity, providing certainty of employment terms and </w:t>
      </w:r>
      <w:r w:rsidR="002B7A73">
        <w:rPr>
          <w:lang w:eastAsia="ja-JP"/>
        </w:rPr>
        <w:t xml:space="preserve">freedom </w:t>
      </w:r>
      <w:r w:rsidRPr="00BA761B">
        <w:rPr>
          <w:lang w:eastAsia="ja-JP"/>
        </w:rPr>
        <w:t>to consider flexible arrangements.</w:t>
      </w:r>
    </w:p>
    <w:p w14:paraId="570C4D23" w14:textId="77777777" w:rsidR="00517F4E" w:rsidRDefault="00BA761B" w:rsidP="006275CE">
      <w:pPr>
        <w:pStyle w:val="Heading4"/>
      </w:pPr>
      <w:r w:rsidRPr="006275CE">
        <w:t>Workplace health and safety</w:t>
      </w:r>
    </w:p>
    <w:p w14:paraId="2609EB97" w14:textId="2423EDC8" w:rsidR="00BA761B" w:rsidRPr="00BA761B" w:rsidRDefault="00BA761B" w:rsidP="006275CE">
      <w:pPr>
        <w:rPr>
          <w:lang w:eastAsia="ja-JP"/>
        </w:rPr>
      </w:pPr>
      <w:r w:rsidRPr="00BA761B">
        <w:rPr>
          <w:lang w:eastAsia="ja-JP"/>
        </w:rPr>
        <w:t>Service providers address</w:t>
      </w:r>
      <w:r w:rsidR="00E025D1">
        <w:rPr>
          <w:lang w:eastAsia="ja-JP"/>
        </w:rPr>
        <w:t>ed</w:t>
      </w:r>
      <w:r w:rsidRPr="00BA761B">
        <w:rPr>
          <w:lang w:eastAsia="ja-JP"/>
        </w:rPr>
        <w:t xml:space="preserve"> physical wellbeing concerns </w:t>
      </w:r>
      <w:r w:rsidR="00E025D1">
        <w:rPr>
          <w:lang w:eastAsia="ja-JP"/>
        </w:rPr>
        <w:t>in various ways</w:t>
      </w:r>
      <w:r w:rsidRPr="00BA761B">
        <w:rPr>
          <w:lang w:eastAsia="ja-JP"/>
        </w:rPr>
        <w:t xml:space="preserve">, including GPS tracking systems, scheduled checks and policies and procedures aimed to </w:t>
      </w:r>
      <w:r w:rsidR="00E025D1">
        <w:rPr>
          <w:lang w:eastAsia="ja-JP"/>
        </w:rPr>
        <w:t>manage</w:t>
      </w:r>
      <w:r w:rsidRPr="00BA761B">
        <w:rPr>
          <w:lang w:eastAsia="ja-JP"/>
        </w:rPr>
        <w:t xml:space="preserve"> risks</w:t>
      </w:r>
      <w:r w:rsidR="00E025D1">
        <w:rPr>
          <w:lang w:eastAsia="ja-JP"/>
        </w:rPr>
        <w:t>—</w:t>
      </w:r>
      <w:r w:rsidRPr="00BA761B">
        <w:rPr>
          <w:lang w:eastAsia="ja-JP"/>
        </w:rPr>
        <w:t xml:space="preserve">particular those </w:t>
      </w:r>
      <w:r w:rsidR="006048D4">
        <w:rPr>
          <w:lang w:eastAsia="ja-JP"/>
        </w:rPr>
        <w:t>relating to</w:t>
      </w:r>
      <w:r w:rsidRPr="00BA761B">
        <w:rPr>
          <w:lang w:eastAsia="ja-JP"/>
        </w:rPr>
        <w:t xml:space="preserve"> farm visits.</w:t>
      </w:r>
    </w:p>
    <w:p w14:paraId="740B2FAC" w14:textId="7CB121D2" w:rsidR="0043348B" w:rsidRPr="00293183" w:rsidRDefault="0043348B" w:rsidP="00293183">
      <w:pPr>
        <w:pStyle w:val="BoxHeading"/>
      </w:pPr>
      <w:r w:rsidRPr="00293183">
        <w:t>Recommendation</w:t>
      </w:r>
      <w:r w:rsidR="00293183">
        <w:t xml:space="preserve"> 26</w:t>
      </w:r>
    </w:p>
    <w:p w14:paraId="57A57FBC" w14:textId="77777777" w:rsidR="002763FB" w:rsidRDefault="009834A2" w:rsidP="00293183">
      <w:pPr>
        <w:pStyle w:val="BoxText"/>
      </w:pPr>
      <w:r w:rsidRPr="009834A2">
        <w:t>That service providers implement strategies and structures to promote the physical and mental health of counsellors, including combatting fatigue and burnout</w:t>
      </w:r>
      <w:r>
        <w:t>.</w:t>
      </w:r>
    </w:p>
    <w:p w14:paraId="0F6F1FDE" w14:textId="65E9DBE3" w:rsidR="00905049" w:rsidRDefault="00905049" w:rsidP="00905049">
      <w:pPr>
        <w:pStyle w:val="Heading2"/>
      </w:pPr>
      <w:bookmarkStart w:id="60" w:name="_Ref16606104"/>
      <w:bookmarkStart w:id="61" w:name="_Ref16606117"/>
      <w:bookmarkStart w:id="62" w:name="_Ref16606151"/>
      <w:bookmarkStart w:id="63" w:name="_Toc18328861"/>
      <w:r>
        <w:lastRenderedPageBreak/>
        <w:t>Monitoring and evaluation</w:t>
      </w:r>
      <w:bookmarkEnd w:id="60"/>
      <w:bookmarkEnd w:id="61"/>
      <w:bookmarkEnd w:id="62"/>
      <w:bookmarkEnd w:id="63"/>
    </w:p>
    <w:p w14:paraId="35263A13" w14:textId="54BA0351" w:rsidR="00905049" w:rsidRDefault="00905049" w:rsidP="00905049">
      <w:pPr>
        <w:tabs>
          <w:tab w:val="left" w:pos="796"/>
        </w:tabs>
      </w:pPr>
      <w:r>
        <w:rPr>
          <w:lang w:eastAsia="ja-JP"/>
        </w:rPr>
        <w:t xml:space="preserve">The review panel sought feedback from stakeholders on the appropriateness and relevance </w:t>
      </w:r>
      <w:r>
        <w:t>of the current performance and assessment framework</w:t>
      </w:r>
      <w:r w:rsidR="009E1AAC">
        <w:t>,</w:t>
      </w:r>
      <w:r>
        <w:t xml:space="preserve"> </w:t>
      </w:r>
      <w:r w:rsidR="00DB048C">
        <w:t>including</w:t>
      </w:r>
      <w:r>
        <w:t xml:space="preserve"> key performance indicators. </w:t>
      </w:r>
      <w:r w:rsidR="009E1AAC">
        <w:t>The panel also explored w</w:t>
      </w:r>
      <w:r>
        <w:t xml:space="preserve">ays </w:t>
      </w:r>
      <w:r w:rsidR="009E1AAC">
        <w:t xml:space="preserve">to </w:t>
      </w:r>
      <w:r w:rsidR="006866C5">
        <w:t>improv</w:t>
      </w:r>
      <w:r w:rsidR="009E1AAC">
        <w:t>e</w:t>
      </w:r>
      <w:r w:rsidR="006866C5">
        <w:t xml:space="preserve"> data</w:t>
      </w:r>
      <w:r>
        <w:t xml:space="preserve"> collection and analysis</w:t>
      </w:r>
      <w:r w:rsidR="009E1AAC">
        <w:t xml:space="preserve"> </w:t>
      </w:r>
      <w:r>
        <w:t>for the benefit of government and services providers.</w:t>
      </w:r>
    </w:p>
    <w:p w14:paraId="37AA77BE" w14:textId="64CAC9C9" w:rsidR="001C7993" w:rsidRDefault="001C7993" w:rsidP="00905049">
      <w:pPr>
        <w:tabs>
          <w:tab w:val="left" w:pos="796"/>
        </w:tabs>
        <w:rPr>
          <w:lang w:eastAsia="ja-JP"/>
        </w:rPr>
      </w:pPr>
      <w:r>
        <w:rPr>
          <w:lang w:eastAsia="ja-JP"/>
        </w:rPr>
        <w:t>The department has a particular interest in:</w:t>
      </w:r>
    </w:p>
    <w:p w14:paraId="2E950BCC" w14:textId="7F1E1ADB" w:rsidR="001C7993" w:rsidRDefault="00137DD6" w:rsidP="001C7993">
      <w:pPr>
        <w:pStyle w:val="ListBullet"/>
        <w:rPr>
          <w:lang w:eastAsia="ja-JP"/>
        </w:rPr>
      </w:pPr>
      <w:r>
        <w:rPr>
          <w:lang w:eastAsia="ja-JP"/>
        </w:rPr>
        <w:t xml:space="preserve">assessing the ongoing performance and </w:t>
      </w:r>
      <w:r w:rsidR="00F3523C">
        <w:rPr>
          <w:lang w:eastAsia="ja-JP"/>
        </w:rPr>
        <w:t xml:space="preserve">deed </w:t>
      </w:r>
      <w:r>
        <w:rPr>
          <w:lang w:eastAsia="ja-JP"/>
        </w:rPr>
        <w:t>compliance of service providers</w:t>
      </w:r>
    </w:p>
    <w:p w14:paraId="03A62528" w14:textId="5BF96ABC" w:rsidR="00517F4E" w:rsidRDefault="00905049" w:rsidP="001C7993">
      <w:pPr>
        <w:pStyle w:val="ListBullet"/>
        <w:rPr>
          <w:lang w:eastAsia="ja-JP"/>
        </w:rPr>
      </w:pPr>
      <w:proofErr w:type="gramStart"/>
      <w:r>
        <w:rPr>
          <w:lang w:eastAsia="ja-JP"/>
        </w:rPr>
        <w:t>improving</w:t>
      </w:r>
      <w:proofErr w:type="gramEnd"/>
      <w:r>
        <w:rPr>
          <w:lang w:eastAsia="ja-JP"/>
        </w:rPr>
        <w:t xml:space="preserve"> monitoring and evaluation</w:t>
      </w:r>
      <w:r w:rsidR="001C7993">
        <w:rPr>
          <w:lang w:eastAsia="ja-JP"/>
        </w:rPr>
        <w:t xml:space="preserve"> to assess overall program effectiveness—through the collection of meaningful data</w:t>
      </w:r>
      <w:r>
        <w:rPr>
          <w:lang w:eastAsia="ja-JP"/>
        </w:rPr>
        <w:t>.</w:t>
      </w:r>
    </w:p>
    <w:p w14:paraId="40B03D83" w14:textId="1532B102" w:rsidR="00C86556" w:rsidRDefault="00905049" w:rsidP="00905049">
      <w:pPr>
        <w:tabs>
          <w:tab w:val="left" w:pos="796"/>
        </w:tabs>
        <w:rPr>
          <w:lang w:eastAsia="ja-JP"/>
        </w:rPr>
      </w:pPr>
      <w:r>
        <w:rPr>
          <w:lang w:eastAsia="ja-JP"/>
        </w:rPr>
        <w:t xml:space="preserve">Service providers </w:t>
      </w:r>
      <w:r w:rsidRPr="000D134B">
        <w:rPr>
          <w:lang w:eastAsia="ja-JP"/>
        </w:rPr>
        <w:t xml:space="preserve">held strong views on </w:t>
      </w:r>
      <w:r>
        <w:rPr>
          <w:lang w:eastAsia="ja-JP"/>
        </w:rPr>
        <w:t xml:space="preserve">the current framework. </w:t>
      </w:r>
      <w:r w:rsidR="00B15115">
        <w:rPr>
          <w:lang w:eastAsia="ja-JP"/>
        </w:rPr>
        <w:t>Although m</w:t>
      </w:r>
      <w:r>
        <w:rPr>
          <w:lang w:eastAsia="ja-JP"/>
        </w:rPr>
        <w:t xml:space="preserve">ost providers were satisfied with the use of key performance indicators to measure </w:t>
      </w:r>
      <w:r w:rsidR="00137DD6">
        <w:rPr>
          <w:lang w:eastAsia="ja-JP"/>
        </w:rPr>
        <w:t xml:space="preserve">their </w:t>
      </w:r>
      <w:r>
        <w:rPr>
          <w:lang w:eastAsia="ja-JP"/>
        </w:rPr>
        <w:t xml:space="preserve">performance, almost </w:t>
      </w:r>
      <w:r w:rsidR="00E14DED">
        <w:rPr>
          <w:lang w:eastAsia="ja-JP"/>
        </w:rPr>
        <w:t xml:space="preserve">all </w:t>
      </w:r>
      <w:r>
        <w:rPr>
          <w:lang w:eastAsia="ja-JP"/>
        </w:rPr>
        <w:t xml:space="preserve">counsellors </w:t>
      </w:r>
      <w:r w:rsidR="00E14DED">
        <w:rPr>
          <w:lang w:eastAsia="ja-JP"/>
        </w:rPr>
        <w:t xml:space="preserve">expressed concern that </w:t>
      </w:r>
      <w:r>
        <w:rPr>
          <w:lang w:eastAsia="ja-JP"/>
        </w:rPr>
        <w:t>the primary mechanism used for data collection and reporting—</w:t>
      </w:r>
      <w:r w:rsidRPr="00D0187F">
        <w:rPr>
          <w:lang w:eastAsia="ja-JP"/>
        </w:rPr>
        <w:t>the portal</w:t>
      </w:r>
      <w:r>
        <w:rPr>
          <w:lang w:eastAsia="ja-JP"/>
        </w:rPr>
        <w:t>—</w:t>
      </w:r>
      <w:r w:rsidR="00016A75">
        <w:rPr>
          <w:lang w:eastAsia="ja-JP"/>
        </w:rPr>
        <w:t xml:space="preserve">is </w:t>
      </w:r>
      <w:r>
        <w:rPr>
          <w:lang w:eastAsia="ja-JP"/>
        </w:rPr>
        <w:t>problematic and taking significant time away from clients.</w:t>
      </w:r>
    </w:p>
    <w:p w14:paraId="5616B748" w14:textId="7C94F472" w:rsidR="00517F4E" w:rsidRDefault="00DE477F" w:rsidP="00905049">
      <w:pPr>
        <w:tabs>
          <w:tab w:val="left" w:pos="796"/>
        </w:tabs>
        <w:rPr>
          <w:lang w:eastAsia="ja-JP"/>
        </w:rPr>
      </w:pPr>
      <w:r w:rsidRPr="00DE477F">
        <w:rPr>
          <w:lang w:eastAsia="ja-JP"/>
        </w:rPr>
        <w:t>The department and service providers agree that an appropriate balance needs to be struck between strong accountability and decreased administrative burden on counsellors</w:t>
      </w:r>
      <w:r w:rsidR="00C86556" w:rsidRPr="00523888">
        <w:rPr>
          <w:lang w:eastAsia="ja-JP"/>
        </w:rPr>
        <w:t>.</w:t>
      </w:r>
    </w:p>
    <w:p w14:paraId="7D88ACCE" w14:textId="6559EF49" w:rsidR="00905049" w:rsidRDefault="00905049" w:rsidP="00905049">
      <w:pPr>
        <w:pStyle w:val="Heading3"/>
        <w:numPr>
          <w:ilvl w:val="1"/>
          <w:numId w:val="12"/>
        </w:numPr>
        <w:rPr>
          <w:lang w:eastAsia="ja-JP"/>
        </w:rPr>
      </w:pPr>
      <w:bookmarkStart w:id="64" w:name="_Toc18328862"/>
      <w:r w:rsidRPr="003021E2">
        <w:rPr>
          <w:lang w:eastAsia="ja-JP"/>
        </w:rPr>
        <w:t>Performance and assessment framework</w:t>
      </w:r>
      <w:bookmarkEnd w:id="64"/>
    </w:p>
    <w:p w14:paraId="7F5A48AD" w14:textId="4484CB2D" w:rsidR="00905049" w:rsidRDefault="00905049" w:rsidP="00856CFF">
      <w:pPr>
        <w:spacing w:after="120"/>
      </w:pPr>
      <w:r>
        <w:t xml:space="preserve">At the start of the </w:t>
      </w:r>
      <w:r w:rsidR="00532C82">
        <w:t>current funding round</w:t>
      </w:r>
      <w:r w:rsidR="006866C5">
        <w:t>,</w:t>
      </w:r>
      <w:r>
        <w:t xml:space="preserve"> the department implemented a monitoring and evaluation framework to better inform both government and service providers of client progress towards an improved financial position. </w:t>
      </w:r>
      <w:r w:rsidR="000C6801">
        <w:t>The framework consist</w:t>
      </w:r>
      <w:r w:rsidR="00FE4C24">
        <w:t>ed</w:t>
      </w:r>
      <w:r w:rsidR="000C6801">
        <w:t xml:space="preserve"> </w:t>
      </w:r>
      <w:r>
        <w:t xml:space="preserve">of </w:t>
      </w:r>
      <w:r w:rsidRPr="008F41F6">
        <w:t>15</w:t>
      </w:r>
      <w:r>
        <w:t xml:space="preserve"> key performance indicators (KPIs)</w:t>
      </w:r>
      <w:r w:rsidR="000C6801">
        <w:t xml:space="preserve"> and </w:t>
      </w:r>
      <w:r>
        <w:t>aim</w:t>
      </w:r>
      <w:r w:rsidR="00FE4C24">
        <w:t>ed</w:t>
      </w:r>
      <w:r>
        <w:t xml:space="preserve"> to </w:t>
      </w:r>
      <w:r w:rsidR="00983D3F">
        <w:t>assess</w:t>
      </w:r>
      <w:r>
        <w:t>:</w:t>
      </w:r>
    </w:p>
    <w:p w14:paraId="6FA7DA5F" w14:textId="1ACF0FB4" w:rsidR="00983D3F" w:rsidRDefault="000C6801" w:rsidP="00983D3F">
      <w:pPr>
        <w:pStyle w:val="ListBullet"/>
      </w:pPr>
      <w:r>
        <w:t xml:space="preserve">the </w:t>
      </w:r>
      <w:r w:rsidR="00983D3F">
        <w:t>impact of the service on clients</w:t>
      </w:r>
    </w:p>
    <w:p w14:paraId="15716281" w14:textId="357361AD" w:rsidR="00983D3F" w:rsidRDefault="000C6801" w:rsidP="00983D3F">
      <w:pPr>
        <w:pStyle w:val="ListBullet"/>
      </w:pPr>
      <w:r>
        <w:t xml:space="preserve">the </w:t>
      </w:r>
      <w:r w:rsidR="00983D3F">
        <w:t>achievement of program objectives</w:t>
      </w:r>
    </w:p>
    <w:p w14:paraId="39DCA93C" w14:textId="77777777" w:rsidR="00983D3F" w:rsidRDefault="00983D3F" w:rsidP="00983D3F">
      <w:pPr>
        <w:pStyle w:val="ListBullet"/>
      </w:pPr>
      <w:r>
        <w:t>compliance with the deed</w:t>
      </w:r>
    </w:p>
    <w:p w14:paraId="61552961" w14:textId="40145A41" w:rsidR="00983D3F" w:rsidRDefault="000C6801" w:rsidP="00856CFF">
      <w:pPr>
        <w:pStyle w:val="ListBullet"/>
        <w:spacing w:after="200"/>
      </w:pPr>
      <w:proofErr w:type="gramStart"/>
      <w:r>
        <w:t>the</w:t>
      </w:r>
      <w:proofErr w:type="gramEnd"/>
      <w:r>
        <w:t xml:space="preserve"> </w:t>
      </w:r>
      <w:r w:rsidR="00983D3F">
        <w:t xml:space="preserve">effectiveness of the directives, policies and constraints in enabling service providers and the department to </w:t>
      </w:r>
      <w:r>
        <w:t xml:space="preserve">meet </w:t>
      </w:r>
      <w:r w:rsidR="00983D3F">
        <w:t>the program</w:t>
      </w:r>
      <w:r w:rsidR="00736B18">
        <w:t>'</w:t>
      </w:r>
      <w:r w:rsidR="00983D3F">
        <w:t>s objectives.</w:t>
      </w:r>
    </w:p>
    <w:p w14:paraId="5BAF6583" w14:textId="77777777" w:rsidR="00517F4E" w:rsidRDefault="00905049" w:rsidP="00905049">
      <w:pPr>
        <w:rPr>
          <w:lang w:eastAsia="ja-JP"/>
        </w:rPr>
      </w:pPr>
      <w:r>
        <w:rPr>
          <w:lang w:eastAsia="ja-JP"/>
        </w:rPr>
        <w:t>At the same time, the department launched the portal as the primary data collection tool to inform the KPIs. The portal replaced the ARC system, which was used for data reporting in previous iterations of the RFCS program.</w:t>
      </w:r>
    </w:p>
    <w:p w14:paraId="21615C5F" w14:textId="77777777" w:rsidR="00517F4E" w:rsidRDefault="00AA5120" w:rsidP="00905049">
      <w:r>
        <w:t>T</w:t>
      </w:r>
      <w:r w:rsidR="00905049">
        <w:t>he initial framework was designed to assess the overall effectiveness of the program and identify perform</w:t>
      </w:r>
      <w:r>
        <w:t xml:space="preserve">ance improvement opportunities. However, </w:t>
      </w:r>
      <w:r w:rsidR="00905049">
        <w:t xml:space="preserve">it was </w:t>
      </w:r>
      <w:r>
        <w:t xml:space="preserve">later </w:t>
      </w:r>
      <w:r w:rsidR="00905049">
        <w:t xml:space="preserve">determined that additional work was needed to streamline the reporting requirements and provide a more meaningful link between KPIs and the </w:t>
      </w:r>
      <w:r w:rsidR="005257A4">
        <w:t>outcome</w:t>
      </w:r>
      <w:r w:rsidR="00387A56">
        <w:t>s</w:t>
      </w:r>
      <w:r w:rsidR="005257A4">
        <w:t xml:space="preserve"> </w:t>
      </w:r>
      <w:r w:rsidR="00905049">
        <w:t>of client activities.</w:t>
      </w:r>
    </w:p>
    <w:p w14:paraId="16618391" w14:textId="1BB775B5" w:rsidR="00905049" w:rsidRPr="00277B80" w:rsidRDefault="00905049" w:rsidP="00905049">
      <w:r>
        <w:t>B</w:t>
      </w:r>
      <w:r w:rsidRPr="00277B80">
        <w:t xml:space="preserve">etween April and September 2017 </w:t>
      </w:r>
      <w:r>
        <w:t>t</w:t>
      </w:r>
      <w:r w:rsidRPr="00277B80">
        <w:t xml:space="preserve">he </w:t>
      </w:r>
      <w:r>
        <w:t>framework</w:t>
      </w:r>
      <w:r w:rsidRPr="00277B80">
        <w:t xml:space="preserve"> was reviewed</w:t>
      </w:r>
      <w:r>
        <w:t xml:space="preserve"> by a small working g</w:t>
      </w:r>
      <w:r w:rsidRPr="00277B80">
        <w:t>roup and an expert consultant</w:t>
      </w:r>
      <w:r>
        <w:t xml:space="preserve"> to</w:t>
      </w:r>
      <w:r w:rsidRPr="00B91247">
        <w:t xml:space="preserve"> </w:t>
      </w:r>
      <w:r>
        <w:t xml:space="preserve">identify opportunities for improvement and to </w:t>
      </w:r>
      <w:r w:rsidR="00365698">
        <w:t xml:space="preserve">help the department and service providers </w:t>
      </w:r>
      <w:r>
        <w:t xml:space="preserve">generate a shared understanding of the framework. </w:t>
      </w:r>
      <w:r w:rsidRPr="00277B80">
        <w:t xml:space="preserve">The project produced a </w:t>
      </w:r>
      <w:r w:rsidR="00512723">
        <w:t xml:space="preserve">new, </w:t>
      </w:r>
      <w:r w:rsidR="00365698">
        <w:t xml:space="preserve">more succinct </w:t>
      </w:r>
      <w:r>
        <w:t xml:space="preserve">framework </w:t>
      </w:r>
      <w:r w:rsidR="00512723">
        <w:t xml:space="preserve">that included </w:t>
      </w:r>
      <w:r w:rsidR="00365698">
        <w:t xml:space="preserve">clearer measurement of KPIs. The framework was </w:t>
      </w:r>
      <w:r>
        <w:t>supported by the working g</w:t>
      </w:r>
      <w:r w:rsidRPr="00277B80">
        <w:t>roup and endorsed by the</w:t>
      </w:r>
      <w:r>
        <w:t xml:space="preserve"> </w:t>
      </w:r>
      <w:r w:rsidR="00AA5120">
        <w:t>c</w:t>
      </w:r>
      <w:r w:rsidRPr="00277B80">
        <w:t>hairs</w:t>
      </w:r>
      <w:r w:rsidR="00AA5120">
        <w:t xml:space="preserve"> of RFCS boards</w:t>
      </w:r>
      <w:r>
        <w:t>.</w:t>
      </w:r>
    </w:p>
    <w:p w14:paraId="36010048" w14:textId="6528009E" w:rsidR="00905049" w:rsidRDefault="00AD6AD9" w:rsidP="00905049">
      <w:r>
        <w:lastRenderedPageBreak/>
        <w:t xml:space="preserve">The </w:t>
      </w:r>
      <w:r w:rsidR="00325CB3">
        <w:t xml:space="preserve">new </w:t>
      </w:r>
      <w:r>
        <w:t>RFCS</w:t>
      </w:r>
      <w:r w:rsidR="00983D3F">
        <w:t xml:space="preserve"> </w:t>
      </w:r>
      <w:r w:rsidR="00D346B9" w:rsidRPr="00D346B9">
        <w:t>performance and assessment f</w:t>
      </w:r>
      <w:r w:rsidR="00905049" w:rsidRPr="00D346B9">
        <w:t>ramework</w:t>
      </w:r>
      <w:r w:rsidR="00325CB3">
        <w:t xml:space="preserve"> </w:t>
      </w:r>
      <w:r>
        <w:t>commenced on 1</w:t>
      </w:r>
      <w:r w:rsidR="00983D3F">
        <w:t> </w:t>
      </w:r>
      <w:r>
        <w:t>July</w:t>
      </w:r>
      <w:r w:rsidR="00983D3F">
        <w:t> </w:t>
      </w:r>
      <w:r>
        <w:t>2018 with refined KPIs</w:t>
      </w:r>
      <w:r w:rsidR="00983D3F">
        <w:t xml:space="preserve"> </w:t>
      </w:r>
      <w:r w:rsidR="00905049">
        <w:t xml:space="preserve">covering client outcomes, service provider governance and departmental program management. </w:t>
      </w:r>
      <w:r w:rsidR="00AA5120">
        <w:t>Under the framework, KPIs are</w:t>
      </w:r>
      <w:r w:rsidR="00905049" w:rsidRPr="00AD29AB">
        <w:t xml:space="preserve"> </w:t>
      </w:r>
      <w:r w:rsidR="00AA5120">
        <w:t xml:space="preserve">measured against a series of </w:t>
      </w:r>
      <w:r w:rsidR="00905049">
        <w:t>metrics and targets with data collected from the portal, a</w:t>
      </w:r>
      <w:r>
        <w:t>n</w:t>
      </w:r>
      <w:r w:rsidR="00905049">
        <w:t xml:space="preserve"> annual client survey and other annual reporting and assessment mechanisms.</w:t>
      </w:r>
    </w:p>
    <w:p w14:paraId="26410918" w14:textId="2ECA9993" w:rsidR="002D568E" w:rsidRDefault="002D568E" w:rsidP="002D568E">
      <w:pPr>
        <w:pStyle w:val="Heading4"/>
      </w:pPr>
      <w:r>
        <w:t>Key performance indicators</w:t>
      </w:r>
    </w:p>
    <w:p w14:paraId="3011B0B8" w14:textId="6C7BF604" w:rsidR="00517F4E" w:rsidRDefault="00325CB3" w:rsidP="001D3917">
      <w:r>
        <w:t>F</w:t>
      </w:r>
      <w:r w:rsidR="00F33698">
        <w:t>or</w:t>
      </w:r>
      <w:r w:rsidR="00F871CB">
        <w:t xml:space="preserve"> the department, considering service provider success against the current </w:t>
      </w:r>
      <w:r w:rsidR="00F33698">
        <w:t xml:space="preserve">program </w:t>
      </w:r>
      <w:r w:rsidR="00F871CB">
        <w:t>KPIs helps to inform performance discussions</w:t>
      </w:r>
      <w:r>
        <w:t>. However</w:t>
      </w:r>
      <w:r w:rsidR="00F33698">
        <w:t>, st</w:t>
      </w:r>
      <w:r w:rsidR="0048756C">
        <w:t xml:space="preserve">akeholders expressed mixed views on the </w:t>
      </w:r>
      <w:r w:rsidR="00856CFF">
        <w:t xml:space="preserve">suitability </w:t>
      </w:r>
      <w:r w:rsidR="0048756C">
        <w:t>of the current KPIs. S</w:t>
      </w:r>
      <w:r w:rsidR="00E902FC">
        <w:t>ome service providers reflec</w:t>
      </w:r>
      <w:r w:rsidR="0048756C">
        <w:t>ted</w:t>
      </w:r>
      <w:r w:rsidR="00E902FC">
        <w:t xml:space="preserve"> that </w:t>
      </w:r>
      <w:r w:rsidR="0048756C">
        <w:t>the metrics and targets accurate</w:t>
      </w:r>
      <w:r>
        <w:t>ly</w:t>
      </w:r>
      <w:r w:rsidR="0048756C">
        <w:t xml:space="preserve"> </w:t>
      </w:r>
      <w:r>
        <w:t xml:space="preserve">measured </w:t>
      </w:r>
      <w:r w:rsidR="0048756C">
        <w:t>the effectiveness of service provider activ</w:t>
      </w:r>
      <w:r w:rsidR="001D3917">
        <w:t>it</w:t>
      </w:r>
      <w:r w:rsidR="0048756C">
        <w:t>ies</w:t>
      </w:r>
      <w:r w:rsidR="00F94D76">
        <w:t>. Other</w:t>
      </w:r>
      <w:r w:rsidR="00925ADC">
        <w:t>s</w:t>
      </w:r>
      <w:r w:rsidR="00F94D76">
        <w:t xml:space="preserve"> </w:t>
      </w:r>
      <w:r w:rsidR="00925ADC">
        <w:t>felt</w:t>
      </w:r>
      <w:r w:rsidR="00D662C9">
        <w:t xml:space="preserve"> that</w:t>
      </w:r>
      <w:r w:rsidR="001D3917">
        <w:t xml:space="preserve"> overall counsellor workload w</w:t>
      </w:r>
      <w:r w:rsidR="00163883">
        <w:t>as</w:t>
      </w:r>
      <w:r w:rsidR="001D3917">
        <w:t xml:space="preserve"> not appropriately measured</w:t>
      </w:r>
      <w:r w:rsidR="00D662C9">
        <w:t xml:space="preserve">, </w:t>
      </w:r>
      <w:r w:rsidR="006A776E">
        <w:t xml:space="preserve">particularly </w:t>
      </w:r>
      <w:r w:rsidR="00D662C9">
        <w:t xml:space="preserve">in relation to </w:t>
      </w:r>
      <w:r w:rsidR="00EF3732">
        <w:t xml:space="preserve">recording </w:t>
      </w:r>
      <w:r w:rsidR="00856CFF">
        <w:t xml:space="preserve">client </w:t>
      </w:r>
      <w:r w:rsidR="00EF1915">
        <w:t>number</w:t>
      </w:r>
      <w:r w:rsidR="00856CFF">
        <w:t>s</w:t>
      </w:r>
      <w:r w:rsidR="00EF1915">
        <w:t xml:space="preserve"> and type</w:t>
      </w:r>
      <w:r w:rsidR="00856CFF">
        <w:t>s</w:t>
      </w:r>
      <w:r w:rsidR="006A776E">
        <w:t>—</w:t>
      </w:r>
      <w:r w:rsidR="00925ADC">
        <w:t>with large v</w:t>
      </w:r>
      <w:r w:rsidR="00387A56">
        <w:t>olumes of transactional clients</w:t>
      </w:r>
      <w:r w:rsidR="00A66E99">
        <w:t xml:space="preserve"> affecting client outcome KPIs</w:t>
      </w:r>
      <w:r w:rsidR="00EF3732">
        <w:t>.</w:t>
      </w:r>
    </w:p>
    <w:p w14:paraId="6005ADFD" w14:textId="1585B657" w:rsidR="00663A36" w:rsidRDefault="00925ADC" w:rsidP="00F94D76">
      <w:r>
        <w:t xml:space="preserve">Broader </w:t>
      </w:r>
      <w:r w:rsidR="001D3917">
        <w:t xml:space="preserve">feedback </w:t>
      </w:r>
      <w:r w:rsidR="003F7643">
        <w:t>suggested</w:t>
      </w:r>
      <w:r w:rsidR="001D3917">
        <w:t xml:space="preserve"> that correlating qualitative client outcome</w:t>
      </w:r>
      <w:r w:rsidR="00A66E99">
        <w:t xml:space="preserve"> KPI</w:t>
      </w:r>
      <w:r w:rsidR="001D3917">
        <w:t xml:space="preserve">s to quantitative service provider </w:t>
      </w:r>
      <w:r w:rsidR="00387A56">
        <w:t xml:space="preserve">activities </w:t>
      </w:r>
      <w:r w:rsidR="001D3917">
        <w:t xml:space="preserve">is </w:t>
      </w:r>
      <w:r w:rsidR="006A776E">
        <w:t>difficult</w:t>
      </w:r>
      <w:r w:rsidR="00856CFF">
        <w:t>,</w:t>
      </w:r>
      <w:r w:rsidR="006A776E">
        <w:t xml:space="preserve"> because there are </w:t>
      </w:r>
      <w:r w:rsidR="001D3917">
        <w:t>t</w:t>
      </w:r>
      <w:r w:rsidR="001D3917">
        <w:rPr>
          <w:lang w:eastAsia="ja-JP"/>
        </w:rPr>
        <w:t xml:space="preserve">oo many external factors to </w:t>
      </w:r>
      <w:r w:rsidR="00542B45">
        <w:rPr>
          <w:lang w:eastAsia="ja-JP"/>
        </w:rPr>
        <w:t xml:space="preserve">appropriately </w:t>
      </w:r>
      <w:r w:rsidR="00387A56">
        <w:rPr>
          <w:lang w:eastAsia="ja-JP"/>
        </w:rPr>
        <w:t>assess</w:t>
      </w:r>
      <w:r w:rsidR="001D3917">
        <w:rPr>
          <w:lang w:eastAsia="ja-JP"/>
        </w:rPr>
        <w:t xml:space="preserve"> provider performance </w:t>
      </w:r>
      <w:r w:rsidR="00387A56">
        <w:rPr>
          <w:lang w:eastAsia="ja-JP"/>
        </w:rPr>
        <w:t>against</w:t>
      </w:r>
      <w:r w:rsidR="00EF1915">
        <w:rPr>
          <w:lang w:eastAsia="ja-JP"/>
        </w:rPr>
        <w:t xml:space="preserve"> </w:t>
      </w:r>
      <w:r w:rsidR="001D3917">
        <w:rPr>
          <w:lang w:eastAsia="ja-JP"/>
        </w:rPr>
        <w:t>client behaviour.</w:t>
      </w:r>
      <w:r w:rsidR="00F94D76">
        <w:rPr>
          <w:lang w:eastAsia="ja-JP"/>
        </w:rPr>
        <w:t xml:space="preserve"> </w:t>
      </w:r>
      <w:r w:rsidR="006A776E">
        <w:rPr>
          <w:lang w:eastAsia="ja-JP"/>
        </w:rPr>
        <w:t>Nationally</w:t>
      </w:r>
      <w:r w:rsidR="00EA24C5">
        <w:rPr>
          <w:lang w:eastAsia="ja-JP"/>
        </w:rPr>
        <w:t>, a</w:t>
      </w:r>
      <w:r w:rsidR="00EA24C5">
        <w:t xml:space="preserve">ssessing trends of behavioural change using </w:t>
      </w:r>
      <w:r w:rsidR="00EA24C5" w:rsidRPr="000A4FCD">
        <w:t>qualitative assessment</w:t>
      </w:r>
      <w:r w:rsidR="00EA24C5">
        <w:t>s</w:t>
      </w:r>
      <w:r w:rsidR="00EA24C5" w:rsidRPr="000A4FCD">
        <w:t xml:space="preserve"> for individual case</w:t>
      </w:r>
      <w:r w:rsidR="00EA24C5">
        <w:t>s</w:t>
      </w:r>
      <w:r w:rsidR="00EA24C5" w:rsidRPr="000A4FCD">
        <w:t xml:space="preserve"> </w:t>
      </w:r>
      <w:r w:rsidR="00EA24C5">
        <w:t>is also challenging.</w:t>
      </w:r>
      <w:r w:rsidR="00F871CB">
        <w:t xml:space="preserve"> </w:t>
      </w:r>
      <w:r w:rsidR="006A776E">
        <w:t>Although</w:t>
      </w:r>
      <w:r w:rsidR="00B228F6">
        <w:t xml:space="preserve"> the KPIs seek to reflect the expected client outcomes achieved as a result of the program, </w:t>
      </w:r>
      <w:r w:rsidR="00E01DEC">
        <w:t>metrics do not exist to</w:t>
      </w:r>
      <w:r w:rsidR="00B228F6">
        <w:t xml:space="preserve"> specifically measure</w:t>
      </w:r>
      <w:r w:rsidR="00663A36">
        <w:t>:</w:t>
      </w:r>
    </w:p>
    <w:p w14:paraId="6B0BA38F" w14:textId="45B0E98B" w:rsidR="00663A36" w:rsidRPr="00C46DCE" w:rsidRDefault="00B228F6" w:rsidP="00663A36">
      <w:pPr>
        <w:pStyle w:val="ListBullet"/>
        <w:rPr>
          <w:lang w:eastAsia="ja-JP"/>
        </w:rPr>
      </w:pPr>
      <w:r w:rsidRPr="00C46DCE">
        <w:t>the effectiveness and consistent application of individual case management approaches</w:t>
      </w:r>
    </w:p>
    <w:p w14:paraId="12D75819" w14:textId="2EFC5BB6" w:rsidR="00517F4E" w:rsidRPr="00C46DCE" w:rsidRDefault="00B228F6" w:rsidP="00663A36">
      <w:pPr>
        <w:pStyle w:val="ListBullet"/>
        <w:rPr>
          <w:lang w:eastAsia="ja-JP"/>
        </w:rPr>
      </w:pPr>
      <w:proofErr w:type="gramStart"/>
      <w:r w:rsidRPr="00C46DCE">
        <w:t>provider</w:t>
      </w:r>
      <w:proofErr w:type="gramEnd"/>
      <w:r w:rsidRPr="00C46DCE">
        <w:t xml:space="preserve"> efforts to streamline client engagement and progress through </w:t>
      </w:r>
      <w:r w:rsidR="00E01DEC" w:rsidRPr="00C46DCE">
        <w:t xml:space="preserve">a </w:t>
      </w:r>
      <w:r w:rsidRPr="00C46DCE">
        <w:t>case management approach.</w:t>
      </w:r>
    </w:p>
    <w:p w14:paraId="22B1E39D" w14:textId="7447FA8D" w:rsidR="00542B45" w:rsidRDefault="00663A36" w:rsidP="00F94D76">
      <w:r>
        <w:rPr>
          <w:lang w:eastAsia="ja-JP"/>
        </w:rPr>
        <w:t>T</w:t>
      </w:r>
      <w:r w:rsidR="00B03424">
        <w:rPr>
          <w:lang w:eastAsia="ja-JP"/>
        </w:rPr>
        <w:t xml:space="preserve">he </w:t>
      </w:r>
      <w:r>
        <w:rPr>
          <w:lang w:eastAsia="ja-JP"/>
        </w:rPr>
        <w:t xml:space="preserve">panel received feedback that </w:t>
      </w:r>
      <w:r w:rsidR="00ED73D1">
        <w:rPr>
          <w:lang w:eastAsia="ja-JP"/>
        </w:rPr>
        <w:t xml:space="preserve">performance against </w:t>
      </w:r>
      <w:r w:rsidR="00FE4C24">
        <w:rPr>
          <w:lang w:eastAsia="ja-JP"/>
        </w:rPr>
        <w:t xml:space="preserve">the </w:t>
      </w:r>
      <w:r w:rsidR="00FC23F0">
        <w:rPr>
          <w:lang w:eastAsia="ja-JP"/>
        </w:rPr>
        <w:t xml:space="preserve">governance </w:t>
      </w:r>
      <w:r w:rsidR="00634150">
        <w:rPr>
          <w:lang w:eastAsia="ja-JP"/>
        </w:rPr>
        <w:t>KPI</w:t>
      </w:r>
      <w:r w:rsidR="00B03424">
        <w:rPr>
          <w:lang w:eastAsia="ja-JP"/>
        </w:rPr>
        <w:t>s</w:t>
      </w:r>
      <w:r w:rsidR="00FC23F0">
        <w:rPr>
          <w:lang w:eastAsia="ja-JP"/>
        </w:rPr>
        <w:t xml:space="preserve"> </w:t>
      </w:r>
      <w:r w:rsidR="00FE4C24">
        <w:rPr>
          <w:lang w:eastAsia="ja-JP"/>
        </w:rPr>
        <w:t>do</w:t>
      </w:r>
      <w:r w:rsidR="00ED73D1">
        <w:rPr>
          <w:lang w:eastAsia="ja-JP"/>
        </w:rPr>
        <w:t>es</w:t>
      </w:r>
      <w:r w:rsidR="00FE4C24">
        <w:rPr>
          <w:lang w:eastAsia="ja-JP"/>
        </w:rPr>
        <w:t xml:space="preserve"> not </w:t>
      </w:r>
      <w:r w:rsidR="00ED73D1">
        <w:rPr>
          <w:lang w:eastAsia="ja-JP"/>
        </w:rPr>
        <w:t>adequately</w:t>
      </w:r>
      <w:r w:rsidR="00FC23F0">
        <w:rPr>
          <w:lang w:eastAsia="ja-JP"/>
        </w:rPr>
        <w:t xml:space="preserve"> inform </w:t>
      </w:r>
      <w:r w:rsidR="002A79F4">
        <w:rPr>
          <w:lang w:eastAsia="ja-JP"/>
        </w:rPr>
        <w:t xml:space="preserve">executive officer </w:t>
      </w:r>
      <w:r w:rsidR="00FC23F0">
        <w:rPr>
          <w:lang w:eastAsia="ja-JP"/>
        </w:rPr>
        <w:t>management practices</w:t>
      </w:r>
      <w:r w:rsidR="005D7D96">
        <w:rPr>
          <w:lang w:eastAsia="ja-JP"/>
        </w:rPr>
        <w:t xml:space="preserve"> </w:t>
      </w:r>
      <w:r w:rsidR="00EF1915">
        <w:rPr>
          <w:lang w:eastAsia="ja-JP"/>
        </w:rPr>
        <w:t>whe</w:t>
      </w:r>
      <w:r w:rsidR="009C7086">
        <w:rPr>
          <w:lang w:eastAsia="ja-JP"/>
        </w:rPr>
        <w:t xml:space="preserve">n considering </w:t>
      </w:r>
      <w:r w:rsidR="00EF1915">
        <w:rPr>
          <w:lang w:eastAsia="ja-JP"/>
        </w:rPr>
        <w:t xml:space="preserve">staff </w:t>
      </w:r>
      <w:r w:rsidR="00ED73D1">
        <w:rPr>
          <w:lang w:eastAsia="ja-JP"/>
        </w:rPr>
        <w:t xml:space="preserve">management </w:t>
      </w:r>
      <w:r w:rsidR="00EF1915">
        <w:rPr>
          <w:lang w:eastAsia="ja-JP"/>
        </w:rPr>
        <w:t xml:space="preserve">or </w:t>
      </w:r>
      <w:r w:rsidR="009C7086">
        <w:rPr>
          <w:lang w:eastAsia="ja-JP"/>
        </w:rPr>
        <w:t xml:space="preserve">the </w:t>
      </w:r>
      <w:r w:rsidR="00F871CB">
        <w:rPr>
          <w:lang w:eastAsia="ja-JP"/>
        </w:rPr>
        <w:t xml:space="preserve">operational </w:t>
      </w:r>
      <w:r w:rsidR="009C7086">
        <w:rPr>
          <w:lang w:eastAsia="ja-JP"/>
        </w:rPr>
        <w:t xml:space="preserve">effectiveness of </w:t>
      </w:r>
      <w:r w:rsidR="002A79F4">
        <w:rPr>
          <w:lang w:eastAsia="ja-JP"/>
        </w:rPr>
        <w:t xml:space="preserve">an </w:t>
      </w:r>
      <w:r w:rsidR="00EF1915">
        <w:rPr>
          <w:lang w:eastAsia="ja-JP"/>
        </w:rPr>
        <w:t>organisation as a whole</w:t>
      </w:r>
      <w:r w:rsidR="005D7D96">
        <w:rPr>
          <w:lang w:eastAsia="ja-JP"/>
        </w:rPr>
        <w:t>.</w:t>
      </w:r>
      <w:r w:rsidR="00542B45">
        <w:rPr>
          <w:lang w:eastAsia="ja-JP"/>
        </w:rPr>
        <w:t xml:space="preserve"> </w:t>
      </w:r>
      <w:r w:rsidR="00F871CB">
        <w:t>Some providers also indicated that it would be helpful to have more guidance from the department on what i</w:t>
      </w:r>
      <w:r w:rsidR="004F240B">
        <w:t>s</w:t>
      </w:r>
      <w:r w:rsidR="00F871CB">
        <w:t xml:space="preserve"> considered to </w:t>
      </w:r>
      <w:r w:rsidR="00F871CB" w:rsidRPr="00F61EEE">
        <w:t>be</w:t>
      </w:r>
      <w:r w:rsidR="00517F4E">
        <w:t xml:space="preserve"> </w:t>
      </w:r>
      <w:r w:rsidR="00736B18">
        <w:t>'</w:t>
      </w:r>
      <w:r w:rsidR="00F871CB" w:rsidRPr="00F61EEE">
        <w:t>good governance</w:t>
      </w:r>
      <w:r w:rsidR="00736B18">
        <w:t>'</w:t>
      </w:r>
      <w:r w:rsidR="00F871CB" w:rsidRPr="00F61EEE">
        <w:t>.</w:t>
      </w:r>
    </w:p>
    <w:p w14:paraId="77C48616" w14:textId="7195B17E" w:rsidR="005D102E" w:rsidRPr="00204927" w:rsidRDefault="001505EB" w:rsidP="00542B45">
      <w:r>
        <w:t>T</w:t>
      </w:r>
      <w:r w:rsidRPr="00F61EEE">
        <w:t xml:space="preserve">he </w:t>
      </w:r>
      <w:r>
        <w:t xml:space="preserve">2 departmental program management KPIs </w:t>
      </w:r>
      <w:r w:rsidRPr="00DB048C">
        <w:t>appear to be unnecessary</w:t>
      </w:r>
      <w:r>
        <w:t xml:space="preserve">, since </w:t>
      </w:r>
      <w:r w:rsidR="008D10E2" w:rsidRPr="00F61EEE">
        <w:t>the department has a vested interest in meeting obligations under the deed</w:t>
      </w:r>
      <w:r w:rsidR="008D10E2" w:rsidRPr="00DB048C">
        <w:t xml:space="preserve">. </w:t>
      </w:r>
      <w:r w:rsidR="00D662C9" w:rsidRPr="00DB048C">
        <w:t xml:space="preserve">The review panel understands that effective program management </w:t>
      </w:r>
      <w:r w:rsidR="008D10E2">
        <w:t xml:space="preserve">against these </w:t>
      </w:r>
      <w:r w:rsidR="00D662C9" w:rsidRPr="00DB048C">
        <w:t xml:space="preserve">KPIs </w:t>
      </w:r>
      <w:r w:rsidR="008D10E2">
        <w:t>is under consideration by the department in line with</w:t>
      </w:r>
      <w:r w:rsidR="00D662C9" w:rsidRPr="00DB048C">
        <w:t xml:space="preserve"> other internal monitoring, evaluation and audit mechanism</w:t>
      </w:r>
      <w:r w:rsidR="008D10E2">
        <w:t>s</w:t>
      </w:r>
      <w:r w:rsidR="00387A56">
        <w:t>.</w:t>
      </w:r>
    </w:p>
    <w:p w14:paraId="51A62F84" w14:textId="16C71B92" w:rsidR="00517F4E" w:rsidRDefault="001505EB" w:rsidP="001D3917">
      <w:r>
        <w:t>The panel notes</w:t>
      </w:r>
      <w:r w:rsidR="002A79F4">
        <w:t xml:space="preserve"> that the RFCS program is jointly administered by the department</w:t>
      </w:r>
      <w:r w:rsidR="002601D8" w:rsidRPr="00542B45">
        <w:t xml:space="preserve"> </w:t>
      </w:r>
      <w:r w:rsidR="002A79F4">
        <w:t>and</w:t>
      </w:r>
      <w:r w:rsidR="002601D8" w:rsidRPr="00542B45">
        <w:t xml:space="preserve"> the Community Grants Hub</w:t>
      </w:r>
      <w:r>
        <w:t>,</w:t>
      </w:r>
      <w:r w:rsidR="00433A1C">
        <w:t xml:space="preserve"> </w:t>
      </w:r>
      <w:r w:rsidR="002A79F4">
        <w:t xml:space="preserve">under </w:t>
      </w:r>
      <w:r w:rsidR="002601D8" w:rsidRPr="00542B45">
        <w:t xml:space="preserve">service level agreements. </w:t>
      </w:r>
      <w:r w:rsidR="004D6A7F">
        <w:t>The department</w:t>
      </w:r>
      <w:r w:rsidR="00736B18">
        <w:t>'</w:t>
      </w:r>
      <w:r w:rsidR="004D6A7F">
        <w:t>s relationship with</w:t>
      </w:r>
      <w:r w:rsidR="00A055CD">
        <w:t xml:space="preserve"> the </w:t>
      </w:r>
      <w:r w:rsidR="0069412F">
        <w:t>Community Grants H</w:t>
      </w:r>
      <w:r w:rsidR="002A79F4">
        <w:t>ub</w:t>
      </w:r>
      <w:r w:rsidR="00A055CD">
        <w:t xml:space="preserve"> is outside the scope of this review and has not been considered by the panel.</w:t>
      </w:r>
    </w:p>
    <w:p w14:paraId="21A16158" w14:textId="6A5B750C" w:rsidR="00905049" w:rsidRPr="003021E2" w:rsidRDefault="00905049" w:rsidP="00905049">
      <w:pPr>
        <w:pStyle w:val="Heading3"/>
        <w:numPr>
          <w:ilvl w:val="1"/>
          <w:numId w:val="12"/>
        </w:numPr>
        <w:rPr>
          <w:lang w:eastAsia="ja-JP"/>
        </w:rPr>
      </w:pPr>
      <w:bookmarkStart w:id="65" w:name="_Toc15838078"/>
      <w:bookmarkStart w:id="66" w:name="_Toc18328863"/>
      <w:bookmarkEnd w:id="65"/>
      <w:r>
        <w:rPr>
          <w:lang w:eastAsia="ja-JP"/>
        </w:rPr>
        <w:t>Data collection</w:t>
      </w:r>
      <w:r w:rsidR="0069412F">
        <w:rPr>
          <w:lang w:eastAsia="ja-JP"/>
        </w:rPr>
        <w:t xml:space="preserve"> and reporting</w:t>
      </w:r>
      <w:bookmarkEnd w:id="66"/>
    </w:p>
    <w:p w14:paraId="47202EC1" w14:textId="77777777" w:rsidR="00905049" w:rsidRPr="00BA5AE0" w:rsidRDefault="00905049" w:rsidP="00905049">
      <w:pPr>
        <w:pStyle w:val="Heading4"/>
        <w:numPr>
          <w:ilvl w:val="2"/>
          <w:numId w:val="12"/>
        </w:numPr>
        <w:rPr>
          <w:lang w:eastAsia="ja-JP"/>
        </w:rPr>
      </w:pPr>
      <w:r w:rsidRPr="00BA5AE0">
        <w:rPr>
          <w:lang w:eastAsia="ja-JP"/>
        </w:rPr>
        <w:t>Rur</w:t>
      </w:r>
      <w:r>
        <w:rPr>
          <w:lang w:eastAsia="ja-JP"/>
        </w:rPr>
        <w:t>al Financial Counselling Portal</w:t>
      </w:r>
    </w:p>
    <w:p w14:paraId="38AE8E63" w14:textId="232FDF7C" w:rsidR="00905049" w:rsidRDefault="00905049" w:rsidP="00905049">
      <w:pPr>
        <w:rPr>
          <w:lang w:eastAsia="ja-JP"/>
        </w:rPr>
      </w:pPr>
      <w:r>
        <w:rPr>
          <w:lang w:eastAsia="ja-JP"/>
        </w:rPr>
        <w:t xml:space="preserve">Interaction with the portal was raised by counsellors and executive officers as </w:t>
      </w:r>
      <w:r w:rsidRPr="00387A56">
        <w:rPr>
          <w:lang w:eastAsia="ja-JP"/>
        </w:rPr>
        <w:t>the most</w:t>
      </w:r>
      <w:r>
        <w:rPr>
          <w:lang w:eastAsia="ja-JP"/>
        </w:rPr>
        <w:t xml:space="preserve"> significant issue impacting service delivery. </w:t>
      </w:r>
      <w:r w:rsidR="001505EB">
        <w:rPr>
          <w:lang w:eastAsia="ja-JP"/>
        </w:rPr>
        <w:t>T</w:t>
      </w:r>
      <w:r>
        <w:rPr>
          <w:lang w:eastAsia="ja-JP"/>
        </w:rPr>
        <w:t>here was a common acknowledgement of the importance for government to collect data for program monitoring and evaluation</w:t>
      </w:r>
      <w:r w:rsidR="00106897">
        <w:rPr>
          <w:lang w:eastAsia="ja-JP"/>
        </w:rPr>
        <w:t>. H</w:t>
      </w:r>
      <w:r w:rsidR="001505EB">
        <w:rPr>
          <w:lang w:eastAsia="ja-JP"/>
        </w:rPr>
        <w:t>owever</w:t>
      </w:r>
      <w:r>
        <w:rPr>
          <w:lang w:eastAsia="ja-JP"/>
        </w:rPr>
        <w:t xml:space="preserve">, </w:t>
      </w:r>
      <w:r w:rsidR="00E902AE">
        <w:rPr>
          <w:lang w:eastAsia="ja-JP"/>
        </w:rPr>
        <w:t xml:space="preserve">most </w:t>
      </w:r>
      <w:r w:rsidR="002D0535">
        <w:rPr>
          <w:lang w:eastAsia="ja-JP"/>
        </w:rPr>
        <w:t xml:space="preserve">counsellors expressed </w:t>
      </w:r>
      <w:r w:rsidR="00E902AE">
        <w:rPr>
          <w:lang w:eastAsia="ja-JP"/>
        </w:rPr>
        <w:t xml:space="preserve">that </w:t>
      </w:r>
      <w:r>
        <w:rPr>
          <w:lang w:eastAsia="ja-JP"/>
        </w:rPr>
        <w:t xml:space="preserve">the administrative burden </w:t>
      </w:r>
      <w:r w:rsidR="002D0535">
        <w:rPr>
          <w:lang w:eastAsia="ja-JP"/>
        </w:rPr>
        <w:t xml:space="preserve">placed on them </w:t>
      </w:r>
      <w:r>
        <w:rPr>
          <w:lang w:eastAsia="ja-JP"/>
        </w:rPr>
        <w:t xml:space="preserve">by the portal was </w:t>
      </w:r>
      <w:r w:rsidR="002D0535">
        <w:rPr>
          <w:lang w:eastAsia="ja-JP"/>
        </w:rPr>
        <w:t>excessive</w:t>
      </w:r>
      <w:r w:rsidR="005672A0">
        <w:rPr>
          <w:lang w:eastAsia="ja-JP"/>
        </w:rPr>
        <w:t xml:space="preserve"> and </w:t>
      </w:r>
      <w:r w:rsidR="00204927">
        <w:rPr>
          <w:lang w:eastAsia="ja-JP"/>
        </w:rPr>
        <w:t xml:space="preserve">potentially </w:t>
      </w:r>
      <w:r w:rsidR="005672A0">
        <w:rPr>
          <w:lang w:eastAsia="ja-JP"/>
        </w:rPr>
        <w:t>detrimental to client engagement</w:t>
      </w:r>
      <w:r>
        <w:rPr>
          <w:lang w:eastAsia="ja-JP"/>
        </w:rPr>
        <w:t>.</w:t>
      </w:r>
    </w:p>
    <w:p w14:paraId="1B993180" w14:textId="03C828F2" w:rsidR="00905049" w:rsidRDefault="00905049" w:rsidP="00905049">
      <w:pPr>
        <w:rPr>
          <w:lang w:eastAsia="ja-JP"/>
        </w:rPr>
      </w:pPr>
      <w:r>
        <w:rPr>
          <w:lang w:eastAsia="ja-JP"/>
        </w:rPr>
        <w:lastRenderedPageBreak/>
        <w:t>A few s</w:t>
      </w:r>
      <w:r w:rsidR="002D0535">
        <w:rPr>
          <w:lang w:eastAsia="ja-JP"/>
        </w:rPr>
        <w:t xml:space="preserve">ervice providers </w:t>
      </w:r>
      <w:r>
        <w:rPr>
          <w:lang w:eastAsia="ja-JP"/>
        </w:rPr>
        <w:t>saw data entry into the portal as a routine part of their service delivery</w:t>
      </w:r>
      <w:r w:rsidR="001505EB">
        <w:rPr>
          <w:lang w:eastAsia="ja-JP"/>
        </w:rPr>
        <w:t>, even though they received limited benefit from the system</w:t>
      </w:r>
      <w:r>
        <w:rPr>
          <w:lang w:eastAsia="ja-JP"/>
        </w:rPr>
        <w:t xml:space="preserve">. </w:t>
      </w:r>
      <w:r w:rsidR="001505EB">
        <w:rPr>
          <w:lang w:eastAsia="ja-JP"/>
        </w:rPr>
        <w:t>O</w:t>
      </w:r>
      <w:r>
        <w:rPr>
          <w:lang w:eastAsia="ja-JP"/>
        </w:rPr>
        <w:t>ther service providers question</w:t>
      </w:r>
      <w:r w:rsidR="001505EB">
        <w:rPr>
          <w:lang w:eastAsia="ja-JP"/>
        </w:rPr>
        <w:t>ed</w:t>
      </w:r>
      <w:r>
        <w:rPr>
          <w:lang w:eastAsia="ja-JP"/>
        </w:rPr>
        <w:t xml:space="preserve"> whether the portal had any</w:t>
      </w:r>
      <w:r w:rsidR="00063FCC">
        <w:rPr>
          <w:lang w:eastAsia="ja-JP"/>
        </w:rPr>
        <w:t xml:space="preserve"> </w:t>
      </w:r>
      <w:r>
        <w:rPr>
          <w:lang w:eastAsia="ja-JP"/>
        </w:rPr>
        <w:t>benefit to service</w:t>
      </w:r>
      <w:r w:rsidR="006C1BE3">
        <w:rPr>
          <w:lang w:eastAsia="ja-JP"/>
        </w:rPr>
        <w:t xml:space="preserve"> delivery</w:t>
      </w:r>
      <w:r w:rsidR="00C16C6F">
        <w:rPr>
          <w:lang w:eastAsia="ja-JP"/>
        </w:rPr>
        <w:t xml:space="preserve"> or genuine connection with </w:t>
      </w:r>
      <w:r w:rsidR="00E902AE">
        <w:rPr>
          <w:lang w:eastAsia="ja-JP"/>
        </w:rPr>
        <w:t xml:space="preserve">effective </w:t>
      </w:r>
      <w:r w:rsidR="00C16C6F">
        <w:rPr>
          <w:lang w:eastAsia="ja-JP"/>
        </w:rPr>
        <w:t>program management</w:t>
      </w:r>
      <w:r>
        <w:rPr>
          <w:lang w:eastAsia="ja-JP"/>
        </w:rPr>
        <w:t xml:space="preserve">. </w:t>
      </w:r>
      <w:r w:rsidR="001505EB">
        <w:rPr>
          <w:lang w:eastAsia="ja-JP"/>
        </w:rPr>
        <w:t>A</w:t>
      </w:r>
      <w:r>
        <w:rPr>
          <w:lang w:eastAsia="ja-JP"/>
        </w:rPr>
        <w:t>ll</w:t>
      </w:r>
      <w:r w:rsidR="001505EB">
        <w:rPr>
          <w:lang w:eastAsia="ja-JP"/>
        </w:rPr>
        <w:t xml:space="preserve"> feedback</w:t>
      </w:r>
      <w:r>
        <w:rPr>
          <w:lang w:eastAsia="ja-JP"/>
        </w:rPr>
        <w:t xml:space="preserve"> recognised </w:t>
      </w:r>
      <w:r w:rsidR="006A56D0">
        <w:rPr>
          <w:lang w:eastAsia="ja-JP"/>
        </w:rPr>
        <w:t xml:space="preserve">the need </w:t>
      </w:r>
      <w:r>
        <w:rPr>
          <w:lang w:eastAsia="ja-JP"/>
        </w:rPr>
        <w:t>to improve the portal</w:t>
      </w:r>
      <w:r w:rsidR="00736B18">
        <w:rPr>
          <w:lang w:eastAsia="ja-JP"/>
        </w:rPr>
        <w:t>'</w:t>
      </w:r>
      <w:r>
        <w:rPr>
          <w:lang w:eastAsia="ja-JP"/>
        </w:rPr>
        <w:t>s functionality, usability and usefulness.</w:t>
      </w:r>
    </w:p>
    <w:p w14:paraId="40BFAAAB" w14:textId="267488D7" w:rsidR="00DA7C19" w:rsidRDefault="006A56D0" w:rsidP="00866B0C">
      <w:pPr>
        <w:rPr>
          <w:lang w:eastAsia="ja-JP"/>
        </w:rPr>
      </w:pPr>
      <w:r>
        <w:rPr>
          <w:lang w:eastAsia="ja-JP"/>
        </w:rPr>
        <w:t>T</w:t>
      </w:r>
      <w:r w:rsidR="00905049">
        <w:rPr>
          <w:lang w:eastAsia="ja-JP"/>
        </w:rPr>
        <w:t xml:space="preserve">he portal was </w:t>
      </w:r>
      <w:r>
        <w:rPr>
          <w:lang w:eastAsia="ja-JP"/>
        </w:rPr>
        <w:t xml:space="preserve">initially </w:t>
      </w:r>
      <w:r w:rsidR="00905049">
        <w:rPr>
          <w:lang w:eastAsia="ja-JP"/>
        </w:rPr>
        <w:t>designed to collect data</w:t>
      </w:r>
      <w:r w:rsidR="00E902AE">
        <w:rPr>
          <w:lang w:eastAsia="ja-JP"/>
        </w:rPr>
        <w:t xml:space="preserve"> </w:t>
      </w:r>
      <w:r w:rsidR="00CC6F2C">
        <w:rPr>
          <w:lang w:eastAsia="ja-JP"/>
        </w:rPr>
        <w:t xml:space="preserve">for </w:t>
      </w:r>
      <w:r>
        <w:rPr>
          <w:lang w:eastAsia="ja-JP"/>
        </w:rPr>
        <w:t xml:space="preserve">analysis by </w:t>
      </w:r>
      <w:r w:rsidR="00CC6F2C">
        <w:rPr>
          <w:lang w:eastAsia="ja-JP"/>
        </w:rPr>
        <w:t>the department, but additional</w:t>
      </w:r>
      <w:r w:rsidR="00387A56">
        <w:rPr>
          <w:lang w:eastAsia="ja-JP"/>
        </w:rPr>
        <w:t xml:space="preserve"> </w:t>
      </w:r>
      <w:r w:rsidR="00CC6F2C">
        <w:rPr>
          <w:lang w:eastAsia="ja-JP"/>
        </w:rPr>
        <w:t xml:space="preserve">system capability was also made available to </w:t>
      </w:r>
      <w:r w:rsidR="00CC6F2C" w:rsidRPr="0086461F">
        <w:rPr>
          <w:lang w:eastAsia="ja-JP"/>
        </w:rPr>
        <w:t>service providers that wanted</w:t>
      </w:r>
      <w:r w:rsidR="00CC6F2C">
        <w:rPr>
          <w:lang w:eastAsia="ja-JP"/>
        </w:rPr>
        <w:t xml:space="preserve"> to use the portal as a</w:t>
      </w:r>
      <w:r w:rsidR="00905049">
        <w:rPr>
          <w:lang w:eastAsia="ja-JP"/>
        </w:rPr>
        <w:t xml:space="preserve"> customer relationship management (CRM) system </w:t>
      </w:r>
      <w:r w:rsidR="00CC6F2C">
        <w:rPr>
          <w:lang w:eastAsia="ja-JP"/>
        </w:rPr>
        <w:t>or</w:t>
      </w:r>
      <w:r w:rsidR="00905049">
        <w:rPr>
          <w:lang w:eastAsia="ja-JP"/>
        </w:rPr>
        <w:t xml:space="preserve"> staff management tool. </w:t>
      </w:r>
      <w:r w:rsidR="00DA7C19">
        <w:rPr>
          <w:lang w:eastAsia="ja-JP"/>
        </w:rPr>
        <w:t>The department has invested significant time and resources to manage and develop the portal to enable these secondary uses</w:t>
      </w:r>
      <w:r w:rsidR="00846907">
        <w:rPr>
          <w:lang w:eastAsia="ja-JP"/>
        </w:rPr>
        <w:t>. H</w:t>
      </w:r>
      <w:r w:rsidR="00DA7C19">
        <w:rPr>
          <w:lang w:eastAsia="ja-JP"/>
        </w:rPr>
        <w:t>owever, is clear that due to the portal</w:t>
      </w:r>
      <w:r w:rsidR="00736B18">
        <w:rPr>
          <w:lang w:eastAsia="ja-JP"/>
        </w:rPr>
        <w:t>'</w:t>
      </w:r>
      <w:r w:rsidR="00DA7C19">
        <w:rPr>
          <w:lang w:eastAsia="ja-JP"/>
        </w:rPr>
        <w:t xml:space="preserve">s limitations </w:t>
      </w:r>
      <w:r w:rsidR="00D74515">
        <w:rPr>
          <w:lang w:eastAsia="ja-JP"/>
        </w:rPr>
        <w:t xml:space="preserve">it is not possible to meet all </w:t>
      </w:r>
      <w:r w:rsidR="002C058F">
        <w:rPr>
          <w:lang w:eastAsia="ja-JP"/>
        </w:rPr>
        <w:t xml:space="preserve">functionality </w:t>
      </w:r>
      <w:r w:rsidR="00204927">
        <w:rPr>
          <w:lang w:eastAsia="ja-JP"/>
        </w:rPr>
        <w:t xml:space="preserve">requests </w:t>
      </w:r>
      <w:r w:rsidR="00D74515">
        <w:rPr>
          <w:lang w:eastAsia="ja-JP"/>
        </w:rPr>
        <w:t xml:space="preserve">for </w:t>
      </w:r>
      <w:r w:rsidR="002C058F">
        <w:rPr>
          <w:lang w:eastAsia="ja-JP"/>
        </w:rPr>
        <w:t>every</w:t>
      </w:r>
      <w:r w:rsidR="00D74515">
        <w:rPr>
          <w:lang w:eastAsia="ja-JP"/>
        </w:rPr>
        <w:t xml:space="preserve"> user.</w:t>
      </w:r>
    </w:p>
    <w:p w14:paraId="5F0CC48E" w14:textId="5FB26D21" w:rsidR="00905049" w:rsidRDefault="006A56D0" w:rsidP="00866B0C">
      <w:pPr>
        <w:rPr>
          <w:lang w:eastAsia="ja-JP"/>
        </w:rPr>
      </w:pPr>
      <w:r>
        <w:rPr>
          <w:lang w:eastAsia="ja-JP"/>
        </w:rPr>
        <w:t>T</w:t>
      </w:r>
      <w:r w:rsidR="00905049">
        <w:rPr>
          <w:lang w:eastAsia="ja-JP"/>
        </w:rPr>
        <w:t xml:space="preserve">he </w:t>
      </w:r>
      <w:r w:rsidR="00905049" w:rsidRPr="00F54A4C">
        <w:rPr>
          <w:lang w:eastAsia="ja-JP"/>
        </w:rPr>
        <w:t xml:space="preserve">panel </w:t>
      </w:r>
      <w:r>
        <w:rPr>
          <w:lang w:eastAsia="ja-JP"/>
        </w:rPr>
        <w:t xml:space="preserve">noted </w:t>
      </w:r>
      <w:r w:rsidR="00905049" w:rsidRPr="00F54A4C">
        <w:rPr>
          <w:lang w:eastAsia="ja-JP"/>
        </w:rPr>
        <w:t xml:space="preserve">that some providers were also running their own </w:t>
      </w:r>
      <w:r w:rsidR="00204927">
        <w:rPr>
          <w:lang w:eastAsia="ja-JP"/>
        </w:rPr>
        <w:t xml:space="preserve">basic </w:t>
      </w:r>
      <w:r w:rsidR="00905049" w:rsidRPr="00F54A4C">
        <w:rPr>
          <w:lang w:eastAsia="ja-JP"/>
        </w:rPr>
        <w:t>CRM systems</w:t>
      </w:r>
      <w:r w:rsidR="00DB048C">
        <w:rPr>
          <w:lang w:eastAsia="ja-JP"/>
        </w:rPr>
        <w:t xml:space="preserve"> </w:t>
      </w:r>
      <w:r w:rsidR="00905049" w:rsidRPr="00F54A4C">
        <w:rPr>
          <w:lang w:eastAsia="ja-JP"/>
        </w:rPr>
        <w:t>which appeared to be effective for the provider</w:t>
      </w:r>
      <w:r w:rsidR="006C1BE3">
        <w:rPr>
          <w:lang w:eastAsia="ja-JP"/>
        </w:rPr>
        <w:t>s</w:t>
      </w:r>
      <w:r w:rsidR="00736B18">
        <w:rPr>
          <w:lang w:eastAsia="ja-JP"/>
        </w:rPr>
        <w:t>'</w:t>
      </w:r>
      <w:r w:rsidR="00CC6F2C">
        <w:rPr>
          <w:lang w:eastAsia="ja-JP"/>
        </w:rPr>
        <w:t xml:space="preserve"> purposes</w:t>
      </w:r>
      <w:r w:rsidR="00204927">
        <w:rPr>
          <w:lang w:eastAsia="ja-JP"/>
        </w:rPr>
        <w:t xml:space="preserve"> and were used in addition to the portal</w:t>
      </w:r>
      <w:r w:rsidR="00905049" w:rsidRPr="00F54A4C">
        <w:rPr>
          <w:lang w:eastAsia="ja-JP"/>
        </w:rPr>
        <w:t>. Some stakeholders requested that the portal be replaced with a standardised CRM that is used across the service.</w:t>
      </w:r>
    </w:p>
    <w:p w14:paraId="66CABAD8" w14:textId="5EBD5A8E" w:rsidR="00517F4E" w:rsidRDefault="006A56D0" w:rsidP="00866B0C">
      <w:pPr>
        <w:rPr>
          <w:lang w:eastAsia="ja-JP"/>
        </w:rPr>
      </w:pPr>
      <w:r>
        <w:rPr>
          <w:lang w:eastAsia="ja-JP"/>
        </w:rPr>
        <w:t>F</w:t>
      </w:r>
      <w:r w:rsidR="00DA7C19">
        <w:rPr>
          <w:lang w:eastAsia="ja-JP"/>
        </w:rPr>
        <w:t xml:space="preserve">eedback </w:t>
      </w:r>
      <w:r>
        <w:rPr>
          <w:lang w:eastAsia="ja-JP"/>
        </w:rPr>
        <w:t xml:space="preserve">also suggested </w:t>
      </w:r>
      <w:r w:rsidR="004B29A2">
        <w:rPr>
          <w:lang w:eastAsia="ja-JP"/>
        </w:rPr>
        <w:t xml:space="preserve">there has been </w:t>
      </w:r>
      <w:r w:rsidR="00522B1F">
        <w:rPr>
          <w:lang w:eastAsia="ja-JP"/>
        </w:rPr>
        <w:t>insufficient</w:t>
      </w:r>
      <w:r w:rsidR="004B29A2">
        <w:rPr>
          <w:lang w:eastAsia="ja-JP"/>
        </w:rPr>
        <w:t xml:space="preserve"> </w:t>
      </w:r>
      <w:r w:rsidR="00CC6F2C">
        <w:rPr>
          <w:lang w:eastAsia="ja-JP"/>
        </w:rPr>
        <w:t xml:space="preserve">ongoing </w:t>
      </w:r>
      <w:r w:rsidR="004B29A2">
        <w:rPr>
          <w:lang w:eastAsia="ja-JP"/>
        </w:rPr>
        <w:t xml:space="preserve">guidance </w:t>
      </w:r>
      <w:r w:rsidR="00DA7C19">
        <w:rPr>
          <w:lang w:eastAsia="ja-JP"/>
        </w:rPr>
        <w:t xml:space="preserve">to service providers </w:t>
      </w:r>
      <w:r w:rsidR="004B29A2">
        <w:rPr>
          <w:lang w:eastAsia="ja-JP"/>
        </w:rPr>
        <w:t xml:space="preserve">on </w:t>
      </w:r>
      <w:r w:rsidR="00DA7C19">
        <w:rPr>
          <w:lang w:eastAsia="ja-JP"/>
        </w:rPr>
        <w:t xml:space="preserve">the </w:t>
      </w:r>
      <w:r>
        <w:rPr>
          <w:lang w:eastAsia="ja-JP"/>
        </w:rPr>
        <w:t xml:space="preserve">mandatory </w:t>
      </w:r>
      <w:r w:rsidR="00DA7C19">
        <w:rPr>
          <w:lang w:eastAsia="ja-JP"/>
        </w:rPr>
        <w:t>data</w:t>
      </w:r>
      <w:r w:rsidR="004B29A2">
        <w:rPr>
          <w:lang w:eastAsia="ja-JP"/>
        </w:rPr>
        <w:t xml:space="preserve"> </w:t>
      </w:r>
      <w:r w:rsidR="002C058F">
        <w:rPr>
          <w:lang w:eastAsia="ja-JP"/>
        </w:rPr>
        <w:t xml:space="preserve">inputs </w:t>
      </w:r>
      <w:r w:rsidR="004B29A2">
        <w:rPr>
          <w:lang w:eastAsia="ja-JP"/>
        </w:rPr>
        <w:t>required by the department</w:t>
      </w:r>
      <w:r w:rsidR="002C058F">
        <w:rPr>
          <w:lang w:eastAsia="ja-JP"/>
        </w:rPr>
        <w:t xml:space="preserve"> </w:t>
      </w:r>
      <w:r w:rsidR="00961CCA">
        <w:rPr>
          <w:lang w:eastAsia="ja-JP"/>
        </w:rPr>
        <w:t xml:space="preserve">and </w:t>
      </w:r>
      <w:r>
        <w:rPr>
          <w:lang w:eastAsia="ja-JP"/>
        </w:rPr>
        <w:t xml:space="preserve">the data that </w:t>
      </w:r>
      <w:r w:rsidR="00961CCA">
        <w:rPr>
          <w:lang w:eastAsia="ja-JP"/>
        </w:rPr>
        <w:t>service</w:t>
      </w:r>
      <w:r w:rsidR="002C058F">
        <w:rPr>
          <w:lang w:eastAsia="ja-JP"/>
        </w:rPr>
        <w:t xml:space="preserve"> providers</w:t>
      </w:r>
      <w:r w:rsidR="00961CCA">
        <w:rPr>
          <w:lang w:eastAsia="ja-JP"/>
        </w:rPr>
        <w:t xml:space="preserve"> </w:t>
      </w:r>
      <w:r>
        <w:rPr>
          <w:lang w:eastAsia="ja-JP"/>
        </w:rPr>
        <w:t xml:space="preserve">can </w:t>
      </w:r>
      <w:r w:rsidR="00ED73D1">
        <w:rPr>
          <w:lang w:eastAsia="ja-JP"/>
        </w:rPr>
        <w:t xml:space="preserve">input and </w:t>
      </w:r>
      <w:r w:rsidR="00961CCA">
        <w:rPr>
          <w:lang w:eastAsia="ja-JP"/>
        </w:rPr>
        <w:t>use at their discretion.</w:t>
      </w:r>
    </w:p>
    <w:p w14:paraId="51B5A1AC" w14:textId="2147E5F0" w:rsidR="00905049" w:rsidRDefault="00905049" w:rsidP="00905049">
      <w:pPr>
        <w:rPr>
          <w:lang w:eastAsia="ja-JP"/>
        </w:rPr>
      </w:pPr>
      <w:r>
        <w:rPr>
          <w:lang w:eastAsia="ja-JP"/>
        </w:rPr>
        <w:t xml:space="preserve">Stakeholder feedback on the portal </w:t>
      </w:r>
      <w:r w:rsidR="00ED73D1">
        <w:rPr>
          <w:lang w:eastAsia="ja-JP"/>
        </w:rPr>
        <w:t>extensive</w:t>
      </w:r>
      <w:r>
        <w:rPr>
          <w:lang w:eastAsia="ja-JP"/>
        </w:rPr>
        <w:t xml:space="preserve">, but </w:t>
      </w:r>
      <w:r w:rsidR="006A56D0">
        <w:rPr>
          <w:lang w:eastAsia="ja-JP"/>
        </w:rPr>
        <w:t xml:space="preserve">can be </w:t>
      </w:r>
      <w:r>
        <w:rPr>
          <w:lang w:eastAsia="ja-JP"/>
        </w:rPr>
        <w:t>summarised as:</w:t>
      </w:r>
    </w:p>
    <w:p w14:paraId="592B7529" w14:textId="4706A9BF" w:rsidR="00517F4E" w:rsidRDefault="00905049" w:rsidP="00905049">
      <w:pPr>
        <w:pStyle w:val="ListBullet"/>
        <w:rPr>
          <w:lang w:eastAsia="ja-JP"/>
        </w:rPr>
      </w:pPr>
      <w:r w:rsidRPr="00AC4CD7">
        <w:rPr>
          <w:lang w:eastAsia="ja-JP"/>
        </w:rPr>
        <w:t>Low utility, high burden—</w:t>
      </w:r>
      <w:r w:rsidR="00ED73D1">
        <w:rPr>
          <w:lang w:eastAsia="ja-JP"/>
        </w:rPr>
        <w:t>c</w:t>
      </w:r>
      <w:r w:rsidRPr="00AC4CD7">
        <w:rPr>
          <w:lang w:eastAsia="ja-JP"/>
        </w:rPr>
        <w:t>ounsellors do not value the portal, but spend a significant amount of time inputting large amounts of data into an unintuitive, cumbersome system. This takes time away from clients.</w:t>
      </w:r>
    </w:p>
    <w:p w14:paraId="28654866" w14:textId="1AC19117" w:rsidR="00517F4E" w:rsidRDefault="00EF1D94" w:rsidP="00905049">
      <w:pPr>
        <w:pStyle w:val="ListBullet"/>
        <w:rPr>
          <w:lang w:eastAsia="ja-JP"/>
        </w:rPr>
      </w:pPr>
      <w:r>
        <w:rPr>
          <w:lang w:eastAsia="ja-JP"/>
        </w:rPr>
        <w:t>Tech</w:t>
      </w:r>
      <w:r w:rsidRPr="00AC4CD7">
        <w:rPr>
          <w:lang w:eastAsia="ja-JP"/>
        </w:rPr>
        <w:t>nical</w:t>
      </w:r>
      <w:r w:rsidR="00905049" w:rsidRPr="00AC4CD7">
        <w:rPr>
          <w:lang w:eastAsia="ja-JP"/>
        </w:rPr>
        <w:t xml:space="preserve"> challenges</w:t>
      </w:r>
      <w:r>
        <w:rPr>
          <w:lang w:eastAsia="ja-JP"/>
        </w:rPr>
        <w:t>—</w:t>
      </w:r>
      <w:r w:rsidR="00ED73D1">
        <w:rPr>
          <w:lang w:eastAsia="ja-JP"/>
        </w:rPr>
        <w:t>a</w:t>
      </w:r>
      <w:r w:rsidR="00905049" w:rsidRPr="00AC4CD7">
        <w:rPr>
          <w:lang w:eastAsia="ja-JP"/>
        </w:rPr>
        <w:t xml:space="preserve">s a web-based </w:t>
      </w:r>
      <w:r w:rsidR="00905049">
        <w:rPr>
          <w:lang w:eastAsia="ja-JP"/>
        </w:rPr>
        <w:t>program</w:t>
      </w:r>
      <w:r w:rsidR="00FB187C">
        <w:rPr>
          <w:lang w:eastAsia="ja-JP"/>
        </w:rPr>
        <w:t>,</w:t>
      </w:r>
      <w:r w:rsidR="00905049" w:rsidRPr="00AC4CD7">
        <w:rPr>
          <w:lang w:eastAsia="ja-JP"/>
        </w:rPr>
        <w:t xml:space="preserve"> the portal</w:t>
      </w:r>
      <w:r w:rsidR="00736B18">
        <w:rPr>
          <w:lang w:eastAsia="ja-JP"/>
        </w:rPr>
        <w:t>'</w:t>
      </w:r>
      <w:r w:rsidR="00905049" w:rsidRPr="00AC4CD7">
        <w:rPr>
          <w:lang w:eastAsia="ja-JP"/>
        </w:rPr>
        <w:t xml:space="preserve">s performance is highly dependent on the </w:t>
      </w:r>
      <w:r w:rsidR="00905049">
        <w:rPr>
          <w:lang w:eastAsia="ja-JP"/>
        </w:rPr>
        <w:t xml:space="preserve">connectivity and </w:t>
      </w:r>
      <w:r w:rsidR="00905049" w:rsidRPr="00AC4CD7">
        <w:rPr>
          <w:lang w:eastAsia="ja-JP"/>
        </w:rPr>
        <w:t>bandwidth of users</w:t>
      </w:r>
      <w:r w:rsidR="00FB187C">
        <w:rPr>
          <w:lang w:eastAsia="ja-JP"/>
        </w:rPr>
        <w:t>. S</w:t>
      </w:r>
      <w:r w:rsidR="00905049" w:rsidRPr="00AC4CD7">
        <w:rPr>
          <w:lang w:eastAsia="ja-JP"/>
        </w:rPr>
        <w:t xml:space="preserve">ome counsellors in remote areas experience significant </w:t>
      </w:r>
      <w:r w:rsidR="00905049">
        <w:rPr>
          <w:lang w:eastAsia="ja-JP"/>
        </w:rPr>
        <w:t>loading and drop-out issue</w:t>
      </w:r>
      <w:r w:rsidR="00204927">
        <w:rPr>
          <w:lang w:eastAsia="ja-JP"/>
        </w:rPr>
        <w:t>s</w:t>
      </w:r>
      <w:r w:rsidR="00905049" w:rsidRPr="00AC4CD7">
        <w:rPr>
          <w:lang w:eastAsia="ja-JP"/>
        </w:rPr>
        <w:t>.</w:t>
      </w:r>
    </w:p>
    <w:p w14:paraId="0790CF82" w14:textId="2FEDCB6F" w:rsidR="00905049" w:rsidRPr="00AC4CD7" w:rsidRDefault="00905049" w:rsidP="00905049">
      <w:pPr>
        <w:pStyle w:val="ListBullet"/>
        <w:rPr>
          <w:lang w:eastAsia="ja-JP"/>
        </w:rPr>
      </w:pPr>
      <w:r w:rsidRPr="00AC4CD7">
        <w:rPr>
          <w:lang w:eastAsia="ja-JP"/>
        </w:rPr>
        <w:t>Integrity of data</w:t>
      </w:r>
      <w:r>
        <w:rPr>
          <w:lang w:eastAsia="ja-JP"/>
        </w:rPr>
        <w:t>—</w:t>
      </w:r>
      <w:r w:rsidR="00ED73D1">
        <w:rPr>
          <w:lang w:eastAsia="ja-JP"/>
        </w:rPr>
        <w:t>d</w:t>
      </w:r>
      <w:r w:rsidRPr="00AC4CD7">
        <w:rPr>
          <w:lang w:eastAsia="ja-JP"/>
        </w:rPr>
        <w:t xml:space="preserve">ifferences </w:t>
      </w:r>
      <w:r w:rsidR="005E2893">
        <w:rPr>
          <w:lang w:eastAsia="ja-JP"/>
        </w:rPr>
        <w:t xml:space="preserve">in how data is recorded </w:t>
      </w:r>
      <w:r w:rsidR="00FB187C">
        <w:rPr>
          <w:lang w:eastAsia="ja-JP"/>
        </w:rPr>
        <w:t xml:space="preserve">across service regions and between counsellors </w:t>
      </w:r>
      <w:r w:rsidR="005E2893">
        <w:rPr>
          <w:lang w:eastAsia="ja-JP"/>
        </w:rPr>
        <w:t xml:space="preserve">means aspects of </w:t>
      </w:r>
      <w:r w:rsidR="00D346B9">
        <w:rPr>
          <w:lang w:eastAsia="ja-JP"/>
        </w:rPr>
        <w:t xml:space="preserve">analysis and </w:t>
      </w:r>
      <w:r w:rsidR="005E2893">
        <w:rPr>
          <w:lang w:eastAsia="ja-JP"/>
        </w:rPr>
        <w:t>reporting</w:t>
      </w:r>
      <w:r w:rsidRPr="00AC4CD7">
        <w:rPr>
          <w:lang w:eastAsia="ja-JP"/>
        </w:rPr>
        <w:t xml:space="preserve"> </w:t>
      </w:r>
      <w:r w:rsidR="005E2893">
        <w:rPr>
          <w:lang w:eastAsia="ja-JP"/>
        </w:rPr>
        <w:t>are unreliable</w:t>
      </w:r>
      <w:r w:rsidRPr="00AC4CD7">
        <w:rPr>
          <w:lang w:eastAsia="ja-JP"/>
        </w:rPr>
        <w:t xml:space="preserve">. </w:t>
      </w:r>
      <w:r w:rsidR="005E2893">
        <w:rPr>
          <w:lang w:eastAsia="ja-JP"/>
        </w:rPr>
        <w:t>Due to these inconsistencies,</w:t>
      </w:r>
      <w:r w:rsidR="00EF1D94">
        <w:rPr>
          <w:lang w:eastAsia="ja-JP"/>
        </w:rPr>
        <w:t xml:space="preserve"> s</w:t>
      </w:r>
      <w:r>
        <w:rPr>
          <w:lang w:eastAsia="ja-JP"/>
        </w:rPr>
        <w:t>ervice providers are reluctant to use portal data for their own reporting and management purposes.</w:t>
      </w:r>
    </w:p>
    <w:p w14:paraId="59756B24" w14:textId="20C20540" w:rsidR="00905049" w:rsidRPr="00AC4CD7" w:rsidRDefault="00905049" w:rsidP="00905049">
      <w:pPr>
        <w:pStyle w:val="ListBullet"/>
        <w:rPr>
          <w:lang w:eastAsia="ja-JP"/>
        </w:rPr>
      </w:pPr>
      <w:r w:rsidRPr="00AC4CD7">
        <w:rPr>
          <w:lang w:eastAsia="ja-JP"/>
        </w:rPr>
        <w:t>Purpose of data</w:t>
      </w:r>
      <w:r>
        <w:rPr>
          <w:lang w:eastAsia="ja-JP"/>
        </w:rPr>
        <w:t>—</w:t>
      </w:r>
      <w:r w:rsidR="00ED73D1">
        <w:rPr>
          <w:lang w:eastAsia="ja-JP"/>
        </w:rPr>
        <w:t>t</w:t>
      </w:r>
      <w:r w:rsidR="00FB187C">
        <w:rPr>
          <w:lang w:eastAsia="ja-JP"/>
        </w:rPr>
        <w:t>here is u</w:t>
      </w:r>
      <w:r w:rsidRPr="00AC4CD7">
        <w:rPr>
          <w:lang w:eastAsia="ja-JP"/>
        </w:rPr>
        <w:t xml:space="preserve">ncertainty and concern around </w:t>
      </w:r>
      <w:r>
        <w:rPr>
          <w:lang w:eastAsia="ja-JP"/>
        </w:rPr>
        <w:t>why the department is</w:t>
      </w:r>
      <w:r w:rsidRPr="00AC4CD7">
        <w:rPr>
          <w:lang w:eastAsia="ja-JP"/>
        </w:rPr>
        <w:t xml:space="preserve"> capturing large amounts of data</w:t>
      </w:r>
      <w:r w:rsidR="00FB187C">
        <w:rPr>
          <w:lang w:eastAsia="ja-JP"/>
        </w:rPr>
        <w:t xml:space="preserve">, </w:t>
      </w:r>
      <w:r w:rsidRPr="00AC4CD7">
        <w:rPr>
          <w:lang w:eastAsia="ja-JP"/>
        </w:rPr>
        <w:t xml:space="preserve">much of which does not seem directly related to monitoring and evaluating the current </w:t>
      </w:r>
      <w:r>
        <w:rPr>
          <w:lang w:eastAsia="ja-JP"/>
        </w:rPr>
        <w:t>service providers</w:t>
      </w:r>
      <w:r w:rsidRPr="00AC4CD7">
        <w:rPr>
          <w:lang w:eastAsia="ja-JP"/>
        </w:rPr>
        <w:t>.</w:t>
      </w:r>
    </w:p>
    <w:p w14:paraId="089C37C5" w14:textId="56C554C9" w:rsidR="00905049" w:rsidRDefault="00EF1D94" w:rsidP="00905049">
      <w:pPr>
        <w:pStyle w:val="ListBullet"/>
        <w:rPr>
          <w:lang w:eastAsia="ja-JP"/>
        </w:rPr>
      </w:pPr>
      <w:r>
        <w:rPr>
          <w:lang w:eastAsia="ja-JP"/>
        </w:rPr>
        <w:t>Usability</w:t>
      </w:r>
      <w:r w:rsidR="00905049">
        <w:rPr>
          <w:lang w:eastAsia="ja-JP"/>
        </w:rPr>
        <w:t>—</w:t>
      </w:r>
      <w:r w:rsidR="00ED73D1">
        <w:rPr>
          <w:lang w:eastAsia="ja-JP"/>
        </w:rPr>
        <w:t>l</w:t>
      </w:r>
      <w:r w:rsidR="00905049">
        <w:rPr>
          <w:lang w:eastAsia="ja-JP"/>
        </w:rPr>
        <w:t>imited</w:t>
      </w:r>
      <w:r w:rsidR="00905049" w:rsidRPr="00AC4CD7">
        <w:rPr>
          <w:lang w:eastAsia="ja-JP"/>
        </w:rPr>
        <w:t xml:space="preserve"> training</w:t>
      </w:r>
      <w:r w:rsidR="00905049">
        <w:rPr>
          <w:lang w:eastAsia="ja-JP"/>
        </w:rPr>
        <w:t xml:space="preserve"> has been provided</w:t>
      </w:r>
      <w:r w:rsidR="00905049" w:rsidRPr="00AC4CD7">
        <w:rPr>
          <w:lang w:eastAsia="ja-JP"/>
        </w:rPr>
        <w:t xml:space="preserve"> on </w:t>
      </w:r>
      <w:r w:rsidR="00905049">
        <w:rPr>
          <w:lang w:eastAsia="ja-JP"/>
        </w:rPr>
        <w:t>the functionality of the</w:t>
      </w:r>
      <w:r w:rsidR="00905049" w:rsidRPr="00AC4CD7">
        <w:rPr>
          <w:lang w:eastAsia="ja-JP"/>
        </w:rPr>
        <w:t xml:space="preserve"> portal</w:t>
      </w:r>
      <w:r>
        <w:rPr>
          <w:lang w:eastAsia="ja-JP"/>
        </w:rPr>
        <w:t>. This has resulted in variations in data entry methods (leading to inconsistent reporting)</w:t>
      </w:r>
      <w:r w:rsidR="00905049" w:rsidRPr="00AC4CD7">
        <w:rPr>
          <w:lang w:eastAsia="ja-JP"/>
        </w:rPr>
        <w:t xml:space="preserve"> </w:t>
      </w:r>
      <w:r>
        <w:rPr>
          <w:lang w:eastAsia="ja-JP"/>
        </w:rPr>
        <w:t>and</w:t>
      </w:r>
      <w:r w:rsidR="00905049" w:rsidRPr="00AC4CD7">
        <w:rPr>
          <w:lang w:eastAsia="ja-JP"/>
        </w:rPr>
        <w:t xml:space="preserve"> a steep learning curve</w:t>
      </w:r>
      <w:r w:rsidR="00905049">
        <w:rPr>
          <w:lang w:eastAsia="ja-JP"/>
        </w:rPr>
        <w:t xml:space="preserve"> for new users</w:t>
      </w:r>
      <w:r>
        <w:rPr>
          <w:lang w:eastAsia="ja-JP"/>
        </w:rPr>
        <w:t>.</w:t>
      </w:r>
    </w:p>
    <w:p w14:paraId="54B420CC" w14:textId="74FFF8AA" w:rsidR="00517F4E" w:rsidRDefault="00905049" w:rsidP="00942F87">
      <w:pPr>
        <w:pStyle w:val="ListBullet"/>
        <w:spacing w:after="240"/>
      </w:pPr>
      <w:r>
        <w:rPr>
          <w:lang w:eastAsia="ja-JP"/>
        </w:rPr>
        <w:t>Improvements and consultation—</w:t>
      </w:r>
      <w:r w:rsidR="00ED73D1">
        <w:rPr>
          <w:lang w:eastAsia="ja-JP"/>
        </w:rPr>
        <w:t>t</w:t>
      </w:r>
      <w:r w:rsidR="00FB187C">
        <w:rPr>
          <w:lang w:eastAsia="ja-JP"/>
        </w:rPr>
        <w:t>here are m</w:t>
      </w:r>
      <w:r>
        <w:rPr>
          <w:lang w:eastAsia="ja-JP"/>
        </w:rPr>
        <w:t>ixed views on how to proceed with improvements to the portal—repair, replace, or do nothing for fear of a worse product being developed</w:t>
      </w:r>
      <w:r w:rsidR="00846907">
        <w:rPr>
          <w:lang w:eastAsia="ja-JP"/>
        </w:rPr>
        <w:t xml:space="preserve">. </w:t>
      </w:r>
      <w:r>
        <w:rPr>
          <w:lang w:eastAsia="ja-JP"/>
        </w:rPr>
        <w:t xml:space="preserve">However, </w:t>
      </w:r>
      <w:r w:rsidR="00846907">
        <w:rPr>
          <w:lang w:eastAsia="ja-JP"/>
        </w:rPr>
        <w:t xml:space="preserve">there are </w:t>
      </w:r>
      <w:r>
        <w:rPr>
          <w:lang w:eastAsia="ja-JP"/>
        </w:rPr>
        <w:t xml:space="preserve">strong views on the need for consultation </w:t>
      </w:r>
      <w:r w:rsidR="00FB187C">
        <w:rPr>
          <w:lang w:eastAsia="ja-JP"/>
        </w:rPr>
        <w:t xml:space="preserve">to ensure future systems are fit for purpose, if the </w:t>
      </w:r>
      <w:r>
        <w:rPr>
          <w:lang w:eastAsia="ja-JP"/>
        </w:rPr>
        <w:t>department proceed</w:t>
      </w:r>
      <w:r w:rsidR="00FB187C">
        <w:rPr>
          <w:lang w:eastAsia="ja-JP"/>
        </w:rPr>
        <w:t>s</w:t>
      </w:r>
      <w:r>
        <w:rPr>
          <w:lang w:eastAsia="ja-JP"/>
        </w:rPr>
        <w:t xml:space="preserve"> with an alternative approach.</w:t>
      </w:r>
    </w:p>
    <w:p w14:paraId="49FFEE46" w14:textId="3FDBB589" w:rsidR="00517F4E" w:rsidRDefault="00224AA3" w:rsidP="00942F87">
      <w:pPr>
        <w:rPr>
          <w:lang w:eastAsia="ja-JP"/>
        </w:rPr>
      </w:pPr>
      <w:r>
        <w:rPr>
          <w:lang w:eastAsia="ja-JP"/>
        </w:rPr>
        <w:t>T</w:t>
      </w:r>
      <w:r w:rsidR="00942F87" w:rsidRPr="00510ED1">
        <w:rPr>
          <w:lang w:eastAsia="ja-JP"/>
        </w:rPr>
        <w:t>he majority of data collection feedback was on the functionality, usability and usefulness of the portal</w:t>
      </w:r>
      <w:r>
        <w:rPr>
          <w:lang w:eastAsia="ja-JP"/>
        </w:rPr>
        <w:t>. However</w:t>
      </w:r>
      <w:r w:rsidR="00942F87" w:rsidRPr="00510ED1">
        <w:rPr>
          <w:lang w:eastAsia="ja-JP"/>
        </w:rPr>
        <w:t xml:space="preserve">, concerns were also raised by some counsellors that </w:t>
      </w:r>
      <w:r w:rsidR="00ED45A8">
        <w:rPr>
          <w:lang w:eastAsia="ja-JP"/>
        </w:rPr>
        <w:t>they</w:t>
      </w:r>
      <w:r w:rsidR="00942F87" w:rsidRPr="00510ED1">
        <w:rPr>
          <w:lang w:eastAsia="ja-JP"/>
        </w:rPr>
        <w:t xml:space="preserve"> were being instructed </w:t>
      </w:r>
      <w:r w:rsidR="00ED45A8">
        <w:rPr>
          <w:lang w:eastAsia="ja-JP"/>
        </w:rPr>
        <w:lastRenderedPageBreak/>
        <w:t xml:space="preserve">by their management </w:t>
      </w:r>
      <w:r w:rsidR="00942F87" w:rsidRPr="00510ED1">
        <w:rPr>
          <w:lang w:eastAsia="ja-JP"/>
        </w:rPr>
        <w:t xml:space="preserve">to prioritise data entry methods and </w:t>
      </w:r>
      <w:r w:rsidR="00CC6F2C">
        <w:rPr>
          <w:lang w:eastAsia="ja-JP"/>
        </w:rPr>
        <w:t>effort</w:t>
      </w:r>
      <w:r w:rsidR="00942F87" w:rsidRPr="00510ED1">
        <w:rPr>
          <w:lang w:eastAsia="ja-JP"/>
        </w:rPr>
        <w:t xml:space="preserve"> to enable the service provider to </w:t>
      </w:r>
      <w:r w:rsidR="00510ED1" w:rsidRPr="00510ED1">
        <w:rPr>
          <w:lang w:eastAsia="ja-JP"/>
        </w:rPr>
        <w:t>better demonstrate success against program KPIs.</w:t>
      </w:r>
      <w:r w:rsidR="00ED45A8">
        <w:rPr>
          <w:lang w:eastAsia="ja-JP"/>
        </w:rPr>
        <w:t xml:space="preserve"> </w:t>
      </w:r>
      <w:r w:rsidR="00CC6F2C">
        <w:rPr>
          <w:lang w:eastAsia="ja-JP"/>
        </w:rPr>
        <w:t>The panel consider</w:t>
      </w:r>
      <w:r w:rsidR="00846907">
        <w:rPr>
          <w:lang w:eastAsia="ja-JP"/>
        </w:rPr>
        <w:t>s</w:t>
      </w:r>
      <w:r w:rsidR="00CC6F2C">
        <w:rPr>
          <w:lang w:eastAsia="ja-JP"/>
        </w:rPr>
        <w:t xml:space="preserve"> that</w:t>
      </w:r>
      <w:r w:rsidR="00C81463">
        <w:rPr>
          <w:lang w:eastAsia="ja-JP"/>
        </w:rPr>
        <w:t xml:space="preserve"> </w:t>
      </w:r>
      <w:r w:rsidR="00C81463" w:rsidRPr="00510ED1">
        <w:rPr>
          <w:lang w:eastAsia="ja-JP"/>
        </w:rPr>
        <w:t>additional risks to data integrity</w:t>
      </w:r>
      <w:r w:rsidR="00CC6F2C">
        <w:rPr>
          <w:lang w:eastAsia="ja-JP"/>
        </w:rPr>
        <w:t xml:space="preserve"> </w:t>
      </w:r>
      <w:r w:rsidR="00846907">
        <w:rPr>
          <w:lang w:eastAsia="ja-JP"/>
        </w:rPr>
        <w:t>a</w:t>
      </w:r>
      <w:r w:rsidR="00CC6F2C">
        <w:rPr>
          <w:lang w:eastAsia="ja-JP"/>
        </w:rPr>
        <w:t>re likely</w:t>
      </w:r>
      <w:r w:rsidR="00C81463" w:rsidRPr="00510ED1">
        <w:rPr>
          <w:lang w:eastAsia="ja-JP"/>
        </w:rPr>
        <w:t xml:space="preserve"> if priority is placed </w:t>
      </w:r>
      <w:r w:rsidRPr="00510ED1">
        <w:rPr>
          <w:lang w:eastAsia="ja-JP"/>
        </w:rPr>
        <w:t xml:space="preserve">on </w:t>
      </w:r>
      <w:r w:rsidR="00B124FE">
        <w:rPr>
          <w:lang w:eastAsia="ja-JP"/>
        </w:rPr>
        <w:t xml:space="preserve">using </w:t>
      </w:r>
      <w:r w:rsidRPr="00510ED1">
        <w:rPr>
          <w:lang w:eastAsia="ja-JP"/>
        </w:rPr>
        <w:t xml:space="preserve">data entry </w:t>
      </w:r>
      <w:r w:rsidR="00B124FE">
        <w:rPr>
          <w:lang w:eastAsia="ja-JP"/>
        </w:rPr>
        <w:t xml:space="preserve">to provide </w:t>
      </w:r>
      <w:r w:rsidR="00846907">
        <w:rPr>
          <w:lang w:eastAsia="ja-JP"/>
        </w:rPr>
        <w:t>evidenc</w:t>
      </w:r>
      <w:r w:rsidR="00B124FE">
        <w:rPr>
          <w:lang w:eastAsia="ja-JP"/>
        </w:rPr>
        <w:t>e against</w:t>
      </w:r>
      <w:r w:rsidR="00846907" w:rsidRPr="00510ED1">
        <w:rPr>
          <w:lang w:eastAsia="ja-JP"/>
        </w:rPr>
        <w:t xml:space="preserve"> </w:t>
      </w:r>
      <w:r w:rsidR="00C81463" w:rsidRPr="00510ED1">
        <w:rPr>
          <w:lang w:eastAsia="ja-JP"/>
        </w:rPr>
        <w:t xml:space="preserve">KPIs </w:t>
      </w:r>
      <w:r w:rsidR="00B124FE">
        <w:rPr>
          <w:lang w:eastAsia="ja-JP"/>
        </w:rPr>
        <w:t xml:space="preserve">rather than </w:t>
      </w:r>
      <w:r w:rsidR="00C81463" w:rsidRPr="00510ED1">
        <w:rPr>
          <w:lang w:eastAsia="ja-JP"/>
        </w:rPr>
        <w:t>accurately reflecting all counsellor activities</w:t>
      </w:r>
      <w:r w:rsidR="00C81463">
        <w:rPr>
          <w:lang w:eastAsia="ja-JP"/>
        </w:rPr>
        <w:t>.</w:t>
      </w:r>
    </w:p>
    <w:p w14:paraId="1A08D1CB" w14:textId="48DDD007" w:rsidR="00513761" w:rsidRDefault="00DE477F">
      <w:pPr>
        <w:rPr>
          <w:lang w:eastAsia="ja-JP"/>
        </w:rPr>
      </w:pPr>
      <w:r w:rsidRPr="00DE477F">
        <w:rPr>
          <w:lang w:eastAsia="ja-JP"/>
        </w:rPr>
        <w:t>A large portion of counsellor time spent interacting with the portal raises concerns about the effective use of pub</w:t>
      </w:r>
      <w:r>
        <w:rPr>
          <w:lang w:eastAsia="ja-JP"/>
        </w:rPr>
        <w:t xml:space="preserve">lic resources, especially when </w:t>
      </w:r>
      <w:r w:rsidRPr="00DE477F">
        <w:rPr>
          <w:lang w:eastAsia="ja-JP"/>
        </w:rPr>
        <w:t>some data may not be linked to client progress. Future program design should closely consider any adminis</w:t>
      </w:r>
      <w:r>
        <w:rPr>
          <w:lang w:eastAsia="ja-JP"/>
        </w:rPr>
        <w:t>trative burden placed on client</w:t>
      </w:r>
      <w:r>
        <w:rPr>
          <w:lang w:eastAsia="ja-JP"/>
        </w:rPr>
        <w:noBreakHyphen/>
      </w:r>
      <w:r w:rsidRPr="00DE477F">
        <w:rPr>
          <w:lang w:eastAsia="ja-JP"/>
        </w:rPr>
        <w:t>facing staff and the need to be clear about data entry requirements so they are consistently applied by all service providers</w:t>
      </w:r>
      <w:r>
        <w:rPr>
          <w:lang w:eastAsia="ja-JP"/>
        </w:rPr>
        <w:t>.</w:t>
      </w:r>
    </w:p>
    <w:p w14:paraId="17227F4C" w14:textId="77777777" w:rsidR="00905049" w:rsidRPr="00BA5AE0" w:rsidRDefault="00905049" w:rsidP="00905049">
      <w:pPr>
        <w:pStyle w:val="Heading4"/>
        <w:numPr>
          <w:ilvl w:val="2"/>
          <w:numId w:val="12"/>
        </w:numPr>
        <w:rPr>
          <w:lang w:eastAsia="ja-JP"/>
        </w:rPr>
      </w:pPr>
      <w:r w:rsidRPr="00BA5AE0">
        <w:rPr>
          <w:lang w:eastAsia="ja-JP"/>
        </w:rPr>
        <w:t>Client surveys</w:t>
      </w:r>
    </w:p>
    <w:p w14:paraId="217A469A" w14:textId="5FB6C09A" w:rsidR="00905049" w:rsidRDefault="00905049" w:rsidP="00905049">
      <w:pPr>
        <w:rPr>
          <w:lang w:eastAsia="ja-JP"/>
        </w:rPr>
      </w:pPr>
      <w:r>
        <w:rPr>
          <w:lang w:eastAsia="ja-JP"/>
        </w:rPr>
        <w:t>With the</w:t>
      </w:r>
      <w:r w:rsidR="00D346B9">
        <w:rPr>
          <w:lang w:eastAsia="ja-JP"/>
        </w:rPr>
        <w:t xml:space="preserve"> implementation of the revised performance and assessment f</w:t>
      </w:r>
      <w:r>
        <w:rPr>
          <w:lang w:eastAsia="ja-JP"/>
        </w:rPr>
        <w:t xml:space="preserve">ramework, </w:t>
      </w:r>
      <w:r w:rsidR="00D346B9">
        <w:rPr>
          <w:lang w:eastAsia="ja-JP"/>
        </w:rPr>
        <w:t>an RFCS annual client s</w:t>
      </w:r>
      <w:r w:rsidRPr="00277B80">
        <w:rPr>
          <w:lang w:eastAsia="ja-JP"/>
        </w:rPr>
        <w:t>urvey</w:t>
      </w:r>
      <w:r>
        <w:rPr>
          <w:lang w:eastAsia="ja-JP"/>
        </w:rPr>
        <w:t xml:space="preserve"> was introduced to contribute data towards the client outcome KPIs. </w:t>
      </w:r>
      <w:r w:rsidR="00ED73D1">
        <w:rPr>
          <w:lang w:eastAsia="ja-JP"/>
        </w:rPr>
        <w:t>M</w:t>
      </w:r>
      <w:r w:rsidR="003D3240">
        <w:rPr>
          <w:lang w:eastAsia="ja-JP"/>
        </w:rPr>
        <w:t>ost</w:t>
      </w:r>
      <w:r w:rsidR="00ED73D1">
        <w:rPr>
          <w:lang w:eastAsia="ja-JP"/>
        </w:rPr>
        <w:t xml:space="preserve"> surveys</w:t>
      </w:r>
      <w:r w:rsidR="003D3240">
        <w:rPr>
          <w:lang w:eastAsia="ja-JP"/>
        </w:rPr>
        <w:t xml:space="preserve"> are returned directly to the department with some collected and returned via service providers.</w:t>
      </w:r>
    </w:p>
    <w:p w14:paraId="0ACA0339" w14:textId="64E46521" w:rsidR="00517F4E" w:rsidRDefault="00490DB0" w:rsidP="00905049">
      <w:pPr>
        <w:rPr>
          <w:lang w:eastAsia="ja-JP"/>
        </w:rPr>
      </w:pPr>
      <w:r>
        <w:rPr>
          <w:lang w:eastAsia="ja-JP"/>
        </w:rPr>
        <w:t>Q</w:t>
      </w:r>
      <w:r w:rsidR="00905049">
        <w:rPr>
          <w:lang w:eastAsia="ja-JP"/>
        </w:rPr>
        <w:t xml:space="preserve">ualitative assessment is </w:t>
      </w:r>
      <w:r>
        <w:rPr>
          <w:lang w:eastAsia="ja-JP"/>
        </w:rPr>
        <w:t xml:space="preserve">seen as </w:t>
      </w:r>
      <w:r w:rsidR="00905049">
        <w:rPr>
          <w:lang w:eastAsia="ja-JP"/>
        </w:rPr>
        <w:t xml:space="preserve">the best way to determine client outcomes and client surveys are an ideal tool to gather qualitative data. </w:t>
      </w:r>
      <w:r>
        <w:rPr>
          <w:lang w:eastAsia="ja-JP"/>
        </w:rPr>
        <w:t>However, s</w:t>
      </w:r>
      <w:r w:rsidR="00905049">
        <w:rPr>
          <w:lang w:eastAsia="ja-JP"/>
        </w:rPr>
        <w:t>ome service providers</w:t>
      </w:r>
      <w:r>
        <w:rPr>
          <w:lang w:eastAsia="ja-JP"/>
        </w:rPr>
        <w:t xml:space="preserve"> </w:t>
      </w:r>
      <w:r w:rsidR="00905049">
        <w:rPr>
          <w:lang w:eastAsia="ja-JP"/>
        </w:rPr>
        <w:t xml:space="preserve">questioned whether the </w:t>
      </w:r>
      <w:r>
        <w:rPr>
          <w:lang w:eastAsia="ja-JP"/>
        </w:rPr>
        <w:t xml:space="preserve">timing of the survey led to the </w:t>
      </w:r>
      <w:r w:rsidR="00905049">
        <w:rPr>
          <w:lang w:eastAsia="ja-JP"/>
        </w:rPr>
        <w:t>best available data. Clients entering the service</w:t>
      </w:r>
      <w:r w:rsidR="007844C8">
        <w:rPr>
          <w:lang w:eastAsia="ja-JP"/>
        </w:rPr>
        <w:t xml:space="preserve"> or those just receiving transactional assistance</w:t>
      </w:r>
      <w:r w:rsidR="00905049">
        <w:rPr>
          <w:lang w:eastAsia="ja-JP"/>
        </w:rPr>
        <w:t xml:space="preserve"> were less likely to provide meaningful insights into their progress and outcomes compared to those who had exited the service.</w:t>
      </w:r>
    </w:p>
    <w:p w14:paraId="70C1D58A" w14:textId="0E295A61" w:rsidR="00517F4E" w:rsidRDefault="00490DB0" w:rsidP="00905049">
      <w:pPr>
        <w:rPr>
          <w:lang w:eastAsia="ja-JP"/>
        </w:rPr>
      </w:pPr>
      <w:r>
        <w:rPr>
          <w:lang w:eastAsia="ja-JP"/>
        </w:rPr>
        <w:t>The panel received o</w:t>
      </w:r>
      <w:r w:rsidR="00905049">
        <w:rPr>
          <w:lang w:eastAsia="ja-JP"/>
        </w:rPr>
        <w:t xml:space="preserve">ther feedback that </w:t>
      </w:r>
      <w:r w:rsidR="00905049" w:rsidRPr="008B0B6C">
        <w:rPr>
          <w:lang w:eastAsia="ja-JP"/>
        </w:rPr>
        <w:t xml:space="preserve">clients do not understand </w:t>
      </w:r>
      <w:r w:rsidR="00905049">
        <w:rPr>
          <w:lang w:eastAsia="ja-JP"/>
        </w:rPr>
        <w:t xml:space="preserve">the meaning of questions on the survey forms and may be responding generally, or </w:t>
      </w:r>
      <w:r w:rsidR="007844C8">
        <w:rPr>
          <w:lang w:eastAsia="ja-JP"/>
        </w:rPr>
        <w:t xml:space="preserve">they may have </w:t>
      </w:r>
      <w:r w:rsidR="00905049">
        <w:rPr>
          <w:lang w:eastAsia="ja-JP"/>
        </w:rPr>
        <w:t xml:space="preserve">an inaccurate </w:t>
      </w:r>
      <w:r w:rsidR="00F76E1E">
        <w:rPr>
          <w:lang w:eastAsia="ja-JP"/>
        </w:rPr>
        <w:t xml:space="preserve">view </w:t>
      </w:r>
      <w:r w:rsidR="00905049">
        <w:rPr>
          <w:lang w:eastAsia="ja-JP"/>
        </w:rPr>
        <w:t xml:space="preserve">of their progress towards an improved financial situation. </w:t>
      </w:r>
      <w:r>
        <w:rPr>
          <w:lang w:eastAsia="ja-JP"/>
        </w:rPr>
        <w:t>S</w:t>
      </w:r>
      <w:r w:rsidR="00905049">
        <w:rPr>
          <w:lang w:eastAsia="ja-JP"/>
        </w:rPr>
        <w:t xml:space="preserve">ervice providers </w:t>
      </w:r>
      <w:r>
        <w:rPr>
          <w:lang w:eastAsia="ja-JP"/>
        </w:rPr>
        <w:t xml:space="preserve">also </w:t>
      </w:r>
      <w:r w:rsidR="00905049">
        <w:rPr>
          <w:lang w:eastAsia="ja-JP"/>
        </w:rPr>
        <w:t>reported difficulty motivating clients to provide</w:t>
      </w:r>
      <w:r w:rsidR="00905049" w:rsidRPr="00E42465">
        <w:rPr>
          <w:lang w:eastAsia="ja-JP"/>
        </w:rPr>
        <w:t xml:space="preserve"> responses.</w:t>
      </w:r>
    </w:p>
    <w:p w14:paraId="09DBDFE5" w14:textId="6D6EC279" w:rsidR="00905049" w:rsidRPr="00F61EEE" w:rsidRDefault="00490DB0" w:rsidP="00905049">
      <w:pPr>
        <w:rPr>
          <w:rFonts w:eastAsia="Times New Roman"/>
        </w:rPr>
      </w:pPr>
      <w:r>
        <w:rPr>
          <w:lang w:eastAsia="ja-JP"/>
        </w:rPr>
        <w:t>I</w:t>
      </w:r>
      <w:r w:rsidR="00905049">
        <w:rPr>
          <w:lang w:eastAsia="ja-JP"/>
        </w:rPr>
        <w:t xml:space="preserve">t may be useful for surveys to </w:t>
      </w:r>
      <w:r w:rsidR="00905049" w:rsidRPr="00F61EEE">
        <w:rPr>
          <w:lang w:eastAsia="ja-JP"/>
        </w:rPr>
        <w:t xml:space="preserve">reflect </w:t>
      </w:r>
      <w:r w:rsidR="00F13F30">
        <w:rPr>
          <w:lang w:eastAsia="ja-JP"/>
        </w:rPr>
        <w:t>2</w:t>
      </w:r>
      <w:r w:rsidR="00905049" w:rsidRPr="00F61EEE">
        <w:rPr>
          <w:lang w:eastAsia="ja-JP"/>
        </w:rPr>
        <w:t xml:space="preserve"> points in time </w:t>
      </w:r>
      <w:r>
        <w:rPr>
          <w:lang w:eastAsia="ja-JP"/>
        </w:rPr>
        <w:t xml:space="preserve">and </w:t>
      </w:r>
      <w:r w:rsidR="00905049" w:rsidRPr="00F61EEE">
        <w:rPr>
          <w:lang w:eastAsia="ja-JP"/>
        </w:rPr>
        <w:t>cover active clients and exiting client</w:t>
      </w:r>
      <w:r w:rsidR="00F76E1E" w:rsidRPr="00F61EEE">
        <w:rPr>
          <w:lang w:eastAsia="ja-JP"/>
        </w:rPr>
        <w:t>s</w:t>
      </w:r>
      <w:r w:rsidR="00905049" w:rsidRPr="00F61EEE">
        <w:rPr>
          <w:lang w:eastAsia="ja-JP"/>
        </w:rPr>
        <w:t>, with the survey format and questions tailored for each cohort. Collection of</w:t>
      </w:r>
      <w:r w:rsidR="00517F4E">
        <w:rPr>
          <w:lang w:eastAsia="ja-JP"/>
        </w:rPr>
        <w:t xml:space="preserve"> </w:t>
      </w:r>
      <w:r w:rsidR="00905049" w:rsidRPr="00E57E2E">
        <w:rPr>
          <w:lang w:eastAsia="ja-JP"/>
        </w:rPr>
        <w:t>before and after</w:t>
      </w:r>
      <w:r w:rsidR="00905049" w:rsidRPr="00F61EEE">
        <w:rPr>
          <w:lang w:eastAsia="ja-JP"/>
        </w:rPr>
        <w:t xml:space="preserve"> responses from clients may also be useful to measure desired qualitative outcomes, such as confidence in decision</w:t>
      </w:r>
      <w:r w:rsidR="008D7617">
        <w:rPr>
          <w:lang w:eastAsia="ja-JP"/>
        </w:rPr>
        <w:t>-</w:t>
      </w:r>
      <w:r w:rsidR="00905049" w:rsidRPr="00F61EEE">
        <w:rPr>
          <w:lang w:eastAsia="ja-JP"/>
        </w:rPr>
        <w:t>making, improvements in financial understanding and behavioural change</w:t>
      </w:r>
      <w:r w:rsidR="00905049" w:rsidRPr="00F61EEE">
        <w:rPr>
          <w:rFonts w:eastAsia="Times New Roman"/>
        </w:rPr>
        <w:t>.</w:t>
      </w:r>
    </w:p>
    <w:p w14:paraId="53291348" w14:textId="05325080" w:rsidR="00905049" w:rsidRPr="009C1B7B" w:rsidRDefault="00905049" w:rsidP="00905049">
      <w:pPr>
        <w:rPr>
          <w:lang w:eastAsia="ja-JP"/>
        </w:rPr>
      </w:pPr>
      <w:r w:rsidRPr="00F61EEE">
        <w:rPr>
          <w:lang w:eastAsia="ja-JP"/>
        </w:rPr>
        <w:t>Some executive officers expressed a need for increased transparency with survey data</w:t>
      </w:r>
      <w:r w:rsidR="006C4F6A">
        <w:rPr>
          <w:lang w:eastAsia="ja-JP"/>
        </w:rPr>
        <w:t>—</w:t>
      </w:r>
      <w:r w:rsidR="000F554E">
        <w:rPr>
          <w:lang w:eastAsia="ja-JP"/>
        </w:rPr>
        <w:t>that is,</w:t>
      </w:r>
      <w:r w:rsidRPr="00F61EEE">
        <w:rPr>
          <w:lang w:eastAsia="ja-JP"/>
        </w:rPr>
        <w:t xml:space="preserve"> greater access to all responses</w:t>
      </w:r>
      <w:r w:rsidR="006C4F6A">
        <w:rPr>
          <w:lang w:eastAsia="ja-JP"/>
        </w:rPr>
        <w:t>—</w:t>
      </w:r>
      <w:r w:rsidRPr="00F61EEE">
        <w:rPr>
          <w:lang w:eastAsia="ja-JP"/>
        </w:rPr>
        <w:t>to enable them to have additional input into counsellor performance or to assess how the service</w:t>
      </w:r>
      <w:r w:rsidR="006C4F6A">
        <w:rPr>
          <w:lang w:eastAsia="ja-JP"/>
        </w:rPr>
        <w:t xml:space="preserve"> </w:t>
      </w:r>
      <w:r w:rsidRPr="00F61EEE">
        <w:rPr>
          <w:lang w:eastAsia="ja-JP"/>
        </w:rPr>
        <w:t xml:space="preserve">is tracking. </w:t>
      </w:r>
      <w:r w:rsidR="006C4F6A">
        <w:rPr>
          <w:lang w:eastAsia="ja-JP"/>
        </w:rPr>
        <w:t>T</w:t>
      </w:r>
      <w:r w:rsidR="00DD6164" w:rsidRPr="00F61EEE">
        <w:rPr>
          <w:lang w:eastAsia="ja-JP"/>
        </w:rPr>
        <w:t xml:space="preserve">his feedback may no longer be applicable </w:t>
      </w:r>
      <w:r w:rsidR="006C4F6A">
        <w:rPr>
          <w:lang w:eastAsia="ja-JP"/>
        </w:rPr>
        <w:t>because</w:t>
      </w:r>
      <w:r w:rsidR="00DD6164" w:rsidRPr="00F61EEE">
        <w:rPr>
          <w:lang w:eastAsia="ja-JP"/>
        </w:rPr>
        <w:t xml:space="preserve"> the department has recently undertaken efforts to provide full quantitative and qualitative </w:t>
      </w:r>
      <w:r w:rsidR="006C4F6A">
        <w:rPr>
          <w:lang w:eastAsia="ja-JP"/>
        </w:rPr>
        <w:t xml:space="preserve">data </w:t>
      </w:r>
      <w:r w:rsidR="00DD6164" w:rsidRPr="00F61EEE">
        <w:rPr>
          <w:lang w:eastAsia="ja-JP"/>
        </w:rPr>
        <w:t>from surveys to executive officers</w:t>
      </w:r>
      <w:r w:rsidR="006C4F6A">
        <w:rPr>
          <w:lang w:eastAsia="ja-JP"/>
        </w:rPr>
        <w:t>—</w:t>
      </w:r>
      <w:r w:rsidR="00542391" w:rsidRPr="00F61EEE">
        <w:rPr>
          <w:lang w:eastAsia="ja-JP"/>
        </w:rPr>
        <w:t>except where redacted for de-identification purposes</w:t>
      </w:r>
      <w:r w:rsidR="00DD6164" w:rsidRPr="00F61EEE">
        <w:rPr>
          <w:lang w:eastAsia="ja-JP"/>
        </w:rPr>
        <w:t xml:space="preserve">. </w:t>
      </w:r>
      <w:r w:rsidR="006C4F6A">
        <w:rPr>
          <w:lang w:eastAsia="ja-JP"/>
        </w:rPr>
        <w:t>S</w:t>
      </w:r>
      <w:r w:rsidRPr="00F61EEE">
        <w:rPr>
          <w:lang w:eastAsia="ja-JP"/>
        </w:rPr>
        <w:t xml:space="preserve">ome services continue to use their own surveys, while others have </w:t>
      </w:r>
      <w:r w:rsidR="00C46DCE">
        <w:rPr>
          <w:lang w:eastAsia="ja-JP"/>
        </w:rPr>
        <w:t>stopped this practice</w:t>
      </w:r>
      <w:r w:rsidRPr="00F61EEE">
        <w:rPr>
          <w:lang w:eastAsia="ja-JP"/>
        </w:rPr>
        <w:t xml:space="preserve"> due to the imposition it places on clients</w:t>
      </w:r>
      <w:r w:rsidR="003D3240" w:rsidRPr="00F61EEE">
        <w:rPr>
          <w:lang w:eastAsia="ja-JP"/>
        </w:rPr>
        <w:t xml:space="preserve">. </w:t>
      </w:r>
      <w:r w:rsidR="00F0775F" w:rsidRPr="00F61EEE">
        <w:rPr>
          <w:lang w:eastAsia="ja-JP"/>
        </w:rPr>
        <w:t xml:space="preserve">To </w:t>
      </w:r>
      <w:r w:rsidR="00896D25" w:rsidRPr="00F61EEE">
        <w:rPr>
          <w:lang w:eastAsia="ja-JP"/>
        </w:rPr>
        <w:t>avoid</w:t>
      </w:r>
      <w:r w:rsidR="00F0775F" w:rsidRPr="00F61EEE">
        <w:rPr>
          <w:lang w:eastAsia="ja-JP"/>
        </w:rPr>
        <w:t xml:space="preserve"> this duplication</w:t>
      </w:r>
      <w:r w:rsidR="00F76E1E" w:rsidRPr="00F61EEE">
        <w:rPr>
          <w:lang w:eastAsia="ja-JP"/>
        </w:rPr>
        <w:t>,</w:t>
      </w:r>
      <w:r w:rsidR="00F0775F" w:rsidRPr="00F61EEE">
        <w:rPr>
          <w:lang w:eastAsia="ja-JP"/>
        </w:rPr>
        <w:t xml:space="preserve"> t</w:t>
      </w:r>
      <w:r w:rsidR="003D3240" w:rsidRPr="00F61EEE">
        <w:rPr>
          <w:lang w:eastAsia="ja-JP"/>
        </w:rPr>
        <w:t xml:space="preserve">he panel understands </w:t>
      </w:r>
      <w:r w:rsidR="00542391" w:rsidRPr="00F61EEE">
        <w:rPr>
          <w:lang w:eastAsia="ja-JP"/>
        </w:rPr>
        <w:t xml:space="preserve">the department </w:t>
      </w:r>
      <w:r w:rsidR="006C4F6A">
        <w:rPr>
          <w:lang w:eastAsia="ja-JP"/>
        </w:rPr>
        <w:t xml:space="preserve">allows </w:t>
      </w:r>
      <w:r w:rsidR="00542391" w:rsidRPr="00F61EEE">
        <w:rPr>
          <w:lang w:eastAsia="ja-JP"/>
        </w:rPr>
        <w:t>region-specific add-on questions to be included in the survey</w:t>
      </w:r>
      <w:r w:rsidR="006C4F6A">
        <w:rPr>
          <w:lang w:eastAsia="ja-JP"/>
        </w:rPr>
        <w:t>. Four</w:t>
      </w:r>
      <w:r w:rsidR="00DD6164">
        <w:rPr>
          <w:lang w:eastAsia="ja-JP"/>
        </w:rPr>
        <w:t xml:space="preserve"> providers have </w:t>
      </w:r>
      <w:r w:rsidR="00F0775F">
        <w:rPr>
          <w:lang w:eastAsia="ja-JP"/>
        </w:rPr>
        <w:t>taken up this option</w:t>
      </w:r>
      <w:r w:rsidR="00DD6164">
        <w:rPr>
          <w:lang w:eastAsia="ja-JP"/>
        </w:rPr>
        <w:t>.</w:t>
      </w:r>
    </w:p>
    <w:p w14:paraId="69D588BF" w14:textId="6EBE1272" w:rsidR="00905049" w:rsidRPr="00BA5AE0" w:rsidRDefault="00905049" w:rsidP="00331133">
      <w:pPr>
        <w:pStyle w:val="Heading4"/>
        <w:rPr>
          <w:lang w:eastAsia="ja-JP"/>
        </w:rPr>
      </w:pPr>
      <w:r w:rsidRPr="00BA5AE0">
        <w:rPr>
          <w:lang w:eastAsia="ja-JP"/>
        </w:rPr>
        <w:t>Reporting</w:t>
      </w:r>
      <w:r w:rsidR="0035541D">
        <w:rPr>
          <w:lang w:eastAsia="ja-JP"/>
        </w:rPr>
        <w:t xml:space="preserve"> </w:t>
      </w:r>
      <w:r w:rsidR="0069412F">
        <w:rPr>
          <w:lang w:eastAsia="ja-JP"/>
        </w:rPr>
        <w:t>requirements</w:t>
      </w:r>
    </w:p>
    <w:p w14:paraId="02310F37" w14:textId="28ADB4B6" w:rsidR="00517F4E" w:rsidRDefault="00905049" w:rsidP="00905049">
      <w:pPr>
        <w:rPr>
          <w:lang w:eastAsia="ja-JP"/>
        </w:rPr>
      </w:pPr>
      <w:r>
        <w:rPr>
          <w:lang w:eastAsia="ja-JP"/>
        </w:rPr>
        <w:t>As the RFCS program has evolved, so has the government</w:t>
      </w:r>
      <w:r w:rsidR="00736B18">
        <w:rPr>
          <w:lang w:eastAsia="ja-JP"/>
        </w:rPr>
        <w:t>'</w:t>
      </w:r>
      <w:r>
        <w:rPr>
          <w:lang w:eastAsia="ja-JP"/>
        </w:rPr>
        <w:t xml:space="preserve">s approach to </w:t>
      </w:r>
      <w:r w:rsidR="00DD6164">
        <w:rPr>
          <w:lang w:eastAsia="ja-JP"/>
        </w:rPr>
        <w:t xml:space="preserve">service provider </w:t>
      </w:r>
      <w:r>
        <w:rPr>
          <w:lang w:eastAsia="ja-JP"/>
        </w:rPr>
        <w:t xml:space="preserve">reporting requirements. </w:t>
      </w:r>
      <w:r w:rsidR="00570D0F">
        <w:rPr>
          <w:lang w:eastAsia="ja-JP"/>
        </w:rPr>
        <w:t>T</w:t>
      </w:r>
      <w:r>
        <w:rPr>
          <w:lang w:eastAsia="ja-JP"/>
        </w:rPr>
        <w:t xml:space="preserve">he RFCS has moved towards more efficient processes, allowing service </w:t>
      </w:r>
      <w:r>
        <w:rPr>
          <w:lang w:eastAsia="ja-JP"/>
        </w:rPr>
        <w:lastRenderedPageBreak/>
        <w:t xml:space="preserve">providers to manage their organisations with </w:t>
      </w:r>
      <w:r w:rsidR="00570D0F">
        <w:rPr>
          <w:lang w:eastAsia="ja-JP"/>
        </w:rPr>
        <w:t>greater</w:t>
      </w:r>
      <w:r>
        <w:rPr>
          <w:lang w:eastAsia="ja-JP"/>
        </w:rPr>
        <w:t xml:space="preserve"> autonomy. This demonstrates continual improvement by service providers of their governance and program accountability.</w:t>
      </w:r>
    </w:p>
    <w:p w14:paraId="591D895E" w14:textId="63A5CDB7" w:rsidR="00905049" w:rsidRDefault="00905049" w:rsidP="00905049">
      <w:pPr>
        <w:rPr>
          <w:lang w:eastAsia="ja-JP"/>
        </w:rPr>
      </w:pPr>
      <w:r>
        <w:t>Since the start of the</w:t>
      </w:r>
      <w:r w:rsidR="00565278">
        <w:t xml:space="preserve"> </w:t>
      </w:r>
      <w:r w:rsidR="001E3132">
        <w:t>2016 to 2020</w:t>
      </w:r>
      <w:r w:rsidR="00F13F30">
        <w:t xml:space="preserve"> </w:t>
      </w:r>
      <w:r>
        <w:t xml:space="preserve">program </w:t>
      </w:r>
      <w:r w:rsidRPr="002339BB">
        <w:t xml:space="preserve">reporting requirements </w:t>
      </w:r>
      <w:r>
        <w:t>have</w:t>
      </w:r>
      <w:r w:rsidRPr="002339BB">
        <w:t xml:space="preserve"> significantly reduced and now consist of an </w:t>
      </w:r>
      <w:r w:rsidR="0069412F">
        <w:t>income declaration and spending intention</w:t>
      </w:r>
      <w:r w:rsidRPr="002339BB">
        <w:t>, a</w:t>
      </w:r>
      <w:r w:rsidR="00570D0F">
        <w:t xml:space="preserve"> </w:t>
      </w:r>
      <w:r w:rsidRPr="002339BB">
        <w:t>mid-year budget position, an annual report and an annual compliance statement.</w:t>
      </w:r>
      <w:r>
        <w:t xml:space="preserve"> Board chairs and executive officers must also be available to meet with the department for a</w:t>
      </w:r>
      <w:r w:rsidRPr="0074163E">
        <w:t>nnual</w:t>
      </w:r>
      <w:r>
        <w:t xml:space="preserve"> </w:t>
      </w:r>
      <w:r w:rsidR="00896D25">
        <w:t>performance</w:t>
      </w:r>
      <w:r>
        <w:t xml:space="preserve"> discussions.</w:t>
      </w:r>
    </w:p>
    <w:p w14:paraId="1D1FB204" w14:textId="3B68E20F" w:rsidR="00D54FD1" w:rsidRDefault="00905049" w:rsidP="00D54FD1">
      <w:pPr>
        <w:rPr>
          <w:lang w:eastAsia="ja-JP"/>
        </w:rPr>
      </w:pPr>
      <w:r>
        <w:rPr>
          <w:lang w:eastAsia="ja-JP"/>
        </w:rPr>
        <w:t>Despite streamlin</w:t>
      </w:r>
      <w:r w:rsidR="00570D0F">
        <w:rPr>
          <w:lang w:eastAsia="ja-JP"/>
        </w:rPr>
        <w:t>ed</w:t>
      </w:r>
      <w:r>
        <w:rPr>
          <w:lang w:eastAsia="ja-JP"/>
        </w:rPr>
        <w:t xml:space="preserve"> reporting requirements, </w:t>
      </w:r>
      <w:r w:rsidRPr="008B0B6C">
        <w:rPr>
          <w:lang w:eastAsia="ja-JP"/>
        </w:rPr>
        <w:t xml:space="preserve">questions were raised </w:t>
      </w:r>
      <w:r w:rsidR="00F76E1E">
        <w:rPr>
          <w:lang w:eastAsia="ja-JP"/>
        </w:rPr>
        <w:t>about</w:t>
      </w:r>
      <w:r w:rsidR="00F76E1E" w:rsidRPr="008B0B6C">
        <w:rPr>
          <w:lang w:eastAsia="ja-JP"/>
        </w:rPr>
        <w:t xml:space="preserve"> </w:t>
      </w:r>
      <w:r w:rsidRPr="008B0B6C">
        <w:rPr>
          <w:lang w:eastAsia="ja-JP"/>
        </w:rPr>
        <w:t xml:space="preserve">whether there </w:t>
      </w:r>
      <w:r w:rsidR="00F76E1E">
        <w:rPr>
          <w:lang w:eastAsia="ja-JP"/>
        </w:rPr>
        <w:t>are</w:t>
      </w:r>
      <w:r w:rsidR="00F76E1E" w:rsidRPr="008B0B6C">
        <w:rPr>
          <w:lang w:eastAsia="ja-JP"/>
        </w:rPr>
        <w:t xml:space="preserve"> </w:t>
      </w:r>
      <w:r w:rsidRPr="008B0B6C">
        <w:rPr>
          <w:lang w:eastAsia="ja-JP"/>
        </w:rPr>
        <w:t>better mechanisms</w:t>
      </w:r>
      <w:r>
        <w:rPr>
          <w:lang w:eastAsia="ja-JP"/>
        </w:rPr>
        <w:t xml:space="preserve"> available to achieve the department</w:t>
      </w:r>
      <w:r w:rsidR="00736B18">
        <w:rPr>
          <w:lang w:eastAsia="ja-JP"/>
        </w:rPr>
        <w:t>'</w:t>
      </w:r>
      <w:r>
        <w:rPr>
          <w:lang w:eastAsia="ja-JP"/>
        </w:rPr>
        <w:t>s requirements</w:t>
      </w:r>
      <w:r w:rsidR="00F76E1E">
        <w:rPr>
          <w:lang w:eastAsia="ja-JP"/>
        </w:rPr>
        <w:t>.</w:t>
      </w:r>
      <w:r>
        <w:rPr>
          <w:lang w:eastAsia="ja-JP"/>
        </w:rPr>
        <w:t xml:space="preserve"> </w:t>
      </w:r>
      <w:r w:rsidR="00F76E1E">
        <w:rPr>
          <w:lang w:eastAsia="ja-JP"/>
        </w:rPr>
        <w:t>I</w:t>
      </w:r>
      <w:r w:rsidR="00D54FD1">
        <w:rPr>
          <w:lang w:eastAsia="ja-JP"/>
        </w:rPr>
        <w:t xml:space="preserve">ndependent audits </w:t>
      </w:r>
      <w:r w:rsidR="00F76E1E">
        <w:rPr>
          <w:lang w:eastAsia="ja-JP"/>
        </w:rPr>
        <w:t>were suggested, as well as</w:t>
      </w:r>
      <w:r w:rsidR="00D54FD1">
        <w:rPr>
          <w:lang w:eastAsia="ja-JP"/>
        </w:rPr>
        <w:t xml:space="preserve"> </w:t>
      </w:r>
      <w:r w:rsidR="00532C82">
        <w:rPr>
          <w:lang w:eastAsia="ja-JP"/>
        </w:rPr>
        <w:t xml:space="preserve">using </w:t>
      </w:r>
      <w:r w:rsidR="00D54FD1">
        <w:rPr>
          <w:lang w:eastAsia="ja-JP"/>
        </w:rPr>
        <w:t>regulatory reporting channels to eliminate duplication</w:t>
      </w:r>
      <w:r w:rsidR="00570D0F">
        <w:rPr>
          <w:lang w:eastAsia="ja-JP"/>
        </w:rPr>
        <w:t>—</w:t>
      </w:r>
      <w:r w:rsidR="00D54FD1">
        <w:rPr>
          <w:lang w:eastAsia="ja-JP"/>
        </w:rPr>
        <w:t>such as existing reports provided by service providers to ASIC</w:t>
      </w:r>
      <w:r w:rsidR="004365F7">
        <w:rPr>
          <w:lang w:eastAsia="ja-JP"/>
        </w:rPr>
        <w:t xml:space="preserve"> or </w:t>
      </w:r>
      <w:r w:rsidR="00BC1AD3">
        <w:rPr>
          <w:lang w:eastAsia="ja-JP"/>
        </w:rPr>
        <w:t xml:space="preserve">the </w:t>
      </w:r>
      <w:r w:rsidR="004365F7" w:rsidRPr="004365F7">
        <w:rPr>
          <w:lang w:eastAsia="ja-JP"/>
        </w:rPr>
        <w:t>Australian Charities and Not-for-</w:t>
      </w:r>
      <w:r w:rsidR="006A6D1B">
        <w:rPr>
          <w:lang w:eastAsia="ja-JP"/>
        </w:rPr>
        <w:t>p</w:t>
      </w:r>
      <w:r w:rsidR="004365F7" w:rsidRPr="004365F7">
        <w:rPr>
          <w:lang w:eastAsia="ja-JP"/>
        </w:rPr>
        <w:t>rofits Commission</w:t>
      </w:r>
      <w:r w:rsidR="004365F7">
        <w:rPr>
          <w:lang w:eastAsia="ja-JP"/>
        </w:rPr>
        <w:t>.</w:t>
      </w:r>
    </w:p>
    <w:p w14:paraId="5D2BC47F" w14:textId="421A2B67" w:rsidR="00905049" w:rsidRDefault="004365F7" w:rsidP="00D54FD1">
      <w:pPr>
        <w:rPr>
          <w:lang w:eastAsia="ja-JP"/>
        </w:rPr>
      </w:pPr>
      <w:r w:rsidRPr="004365F7">
        <w:rPr>
          <w:lang w:eastAsia="ja-JP"/>
        </w:rPr>
        <w:t>Under the current reporting requirements, several service providers request</w:t>
      </w:r>
      <w:r>
        <w:rPr>
          <w:lang w:eastAsia="ja-JP"/>
        </w:rPr>
        <w:t>ed a</w:t>
      </w:r>
      <w:r w:rsidRPr="004365F7">
        <w:rPr>
          <w:lang w:eastAsia="ja-JP"/>
        </w:rPr>
        <w:t xml:space="preserve"> standardised and routine</w:t>
      </w:r>
      <w:r>
        <w:rPr>
          <w:lang w:eastAsia="ja-JP"/>
        </w:rPr>
        <w:t xml:space="preserve"> reporting regime</w:t>
      </w:r>
      <w:r w:rsidRPr="0027525B">
        <w:rPr>
          <w:lang w:eastAsia="ja-JP"/>
        </w:rPr>
        <w:t>.</w:t>
      </w:r>
      <w:r w:rsidR="00D54FD1" w:rsidRPr="0027525B">
        <w:rPr>
          <w:lang w:eastAsia="ja-JP"/>
        </w:rPr>
        <w:t xml:space="preserve"> </w:t>
      </w:r>
      <w:r w:rsidR="00E00EE5" w:rsidRPr="0027525B">
        <w:rPr>
          <w:lang w:eastAsia="ja-JP"/>
        </w:rPr>
        <w:t>F</w:t>
      </w:r>
      <w:r w:rsidR="00565278" w:rsidRPr="0027525B">
        <w:rPr>
          <w:lang w:eastAsia="ja-JP"/>
        </w:rPr>
        <w:t>or the 2018</w:t>
      </w:r>
      <w:r w:rsidR="00F0775F" w:rsidRPr="0027525B">
        <w:rPr>
          <w:lang w:eastAsia="ja-JP"/>
        </w:rPr>
        <w:t>–</w:t>
      </w:r>
      <w:r w:rsidR="00565278" w:rsidRPr="0027525B">
        <w:rPr>
          <w:lang w:eastAsia="ja-JP"/>
        </w:rPr>
        <w:t>19 reporting period</w:t>
      </w:r>
      <w:r w:rsidR="00E00EE5" w:rsidRPr="0027525B">
        <w:rPr>
          <w:lang w:eastAsia="ja-JP"/>
        </w:rPr>
        <w:t>,</w:t>
      </w:r>
      <w:r w:rsidR="00565278" w:rsidRPr="0027525B">
        <w:rPr>
          <w:lang w:eastAsia="ja-JP"/>
        </w:rPr>
        <w:t xml:space="preserve"> the department is trialling the provision of </w:t>
      </w:r>
      <w:r w:rsidR="0027525B">
        <w:rPr>
          <w:lang w:eastAsia="ja-JP"/>
        </w:rPr>
        <w:t xml:space="preserve">pre-populated </w:t>
      </w:r>
      <w:r w:rsidR="00565278" w:rsidRPr="0027525B">
        <w:rPr>
          <w:lang w:eastAsia="ja-JP"/>
        </w:rPr>
        <w:t>annual report templates</w:t>
      </w:r>
      <w:r w:rsidR="0027525B">
        <w:rPr>
          <w:lang w:eastAsia="ja-JP"/>
        </w:rPr>
        <w:t>. These templates include</w:t>
      </w:r>
      <w:r w:rsidR="00565278" w:rsidRPr="0027525B">
        <w:rPr>
          <w:lang w:eastAsia="ja-JP"/>
        </w:rPr>
        <w:t xml:space="preserve"> KPI </w:t>
      </w:r>
      <w:r w:rsidR="00F0775F" w:rsidRPr="0027525B">
        <w:rPr>
          <w:lang w:eastAsia="ja-JP"/>
        </w:rPr>
        <w:t xml:space="preserve">results </w:t>
      </w:r>
      <w:r w:rsidR="0027525B" w:rsidRPr="0027525B">
        <w:rPr>
          <w:lang w:eastAsia="ja-JP"/>
        </w:rPr>
        <w:t xml:space="preserve">calculated by the department </w:t>
      </w:r>
      <w:r w:rsidR="00565278" w:rsidRPr="0027525B">
        <w:rPr>
          <w:lang w:eastAsia="ja-JP"/>
        </w:rPr>
        <w:t>from the portal and client surveys, along with the data used to inform these calculations.</w:t>
      </w:r>
      <w:r w:rsidR="00565278">
        <w:rPr>
          <w:lang w:eastAsia="ja-JP"/>
        </w:rPr>
        <w:t xml:space="preserve"> Th</w:t>
      </w:r>
      <w:r w:rsidR="0027525B">
        <w:rPr>
          <w:lang w:eastAsia="ja-JP"/>
        </w:rPr>
        <w:t>is</w:t>
      </w:r>
      <w:r w:rsidR="00565278" w:rsidRPr="00565278">
        <w:rPr>
          <w:lang w:eastAsia="ja-JP"/>
        </w:rPr>
        <w:t xml:space="preserve"> </w:t>
      </w:r>
      <w:r w:rsidR="00565278">
        <w:rPr>
          <w:lang w:eastAsia="ja-JP"/>
        </w:rPr>
        <w:t>aim</w:t>
      </w:r>
      <w:r w:rsidR="0027525B">
        <w:rPr>
          <w:lang w:eastAsia="ja-JP"/>
        </w:rPr>
        <w:t>s</w:t>
      </w:r>
      <w:r w:rsidR="00565278">
        <w:rPr>
          <w:lang w:eastAsia="ja-JP"/>
        </w:rPr>
        <w:t xml:space="preserve"> to</w:t>
      </w:r>
      <w:r w:rsidR="00565278" w:rsidRPr="00565278">
        <w:rPr>
          <w:lang w:eastAsia="ja-JP"/>
        </w:rPr>
        <w:t xml:space="preserve"> re</w:t>
      </w:r>
      <w:r w:rsidR="00565278">
        <w:rPr>
          <w:lang w:eastAsia="ja-JP"/>
        </w:rPr>
        <w:t>duce</w:t>
      </w:r>
      <w:r w:rsidR="00565278" w:rsidRPr="00565278">
        <w:rPr>
          <w:lang w:eastAsia="ja-JP"/>
        </w:rPr>
        <w:t xml:space="preserve"> the reporting burden and allow </w:t>
      </w:r>
      <w:r w:rsidR="0027525B">
        <w:rPr>
          <w:lang w:eastAsia="ja-JP"/>
        </w:rPr>
        <w:t xml:space="preserve">providers to </w:t>
      </w:r>
      <w:r w:rsidR="00565278" w:rsidRPr="00565278">
        <w:rPr>
          <w:lang w:eastAsia="ja-JP"/>
        </w:rPr>
        <w:t>reflect on performance.</w:t>
      </w:r>
    </w:p>
    <w:p w14:paraId="30BE3B2B" w14:textId="26A2CF2F" w:rsidR="00517F4E" w:rsidRDefault="00ED73D1" w:rsidP="00D54FD1">
      <w:pPr>
        <w:rPr>
          <w:lang w:eastAsia="ja-JP"/>
        </w:rPr>
      </w:pPr>
      <w:r>
        <w:rPr>
          <w:lang w:eastAsia="ja-JP"/>
        </w:rPr>
        <w:t>The</w:t>
      </w:r>
      <w:r w:rsidR="004365F7">
        <w:rPr>
          <w:lang w:eastAsia="ja-JP"/>
        </w:rPr>
        <w:t xml:space="preserve"> </w:t>
      </w:r>
      <w:r w:rsidR="00510ED1">
        <w:rPr>
          <w:lang w:eastAsia="ja-JP"/>
        </w:rPr>
        <w:t>annual</w:t>
      </w:r>
      <w:r w:rsidR="004365F7">
        <w:rPr>
          <w:lang w:eastAsia="ja-JP"/>
        </w:rPr>
        <w:t xml:space="preserve"> perf</w:t>
      </w:r>
      <w:r w:rsidR="00DE477F">
        <w:rPr>
          <w:lang w:eastAsia="ja-JP"/>
        </w:rPr>
        <w:t>ormance review meetings provide</w:t>
      </w:r>
      <w:r w:rsidR="004365F7">
        <w:rPr>
          <w:lang w:eastAsia="ja-JP"/>
        </w:rPr>
        <w:t xml:space="preserve"> valuable qualitative information on provider performance and</w:t>
      </w:r>
      <w:r w:rsidR="00510ED1">
        <w:rPr>
          <w:lang w:eastAsia="ja-JP"/>
        </w:rPr>
        <w:t xml:space="preserve"> an opportunity to</w:t>
      </w:r>
      <w:r w:rsidR="004365F7">
        <w:rPr>
          <w:lang w:eastAsia="ja-JP"/>
        </w:rPr>
        <w:t xml:space="preserve"> clarify written reports. </w:t>
      </w:r>
      <w:r w:rsidR="00896D25">
        <w:rPr>
          <w:lang w:eastAsia="ja-JP"/>
        </w:rPr>
        <w:t>Face-to-</w:t>
      </w:r>
      <w:r w:rsidR="00510ED1">
        <w:rPr>
          <w:lang w:eastAsia="ja-JP"/>
        </w:rPr>
        <w:t>face meetings were also useful</w:t>
      </w:r>
      <w:r w:rsidR="004365F7">
        <w:rPr>
          <w:lang w:eastAsia="ja-JP"/>
        </w:rPr>
        <w:t xml:space="preserve"> </w:t>
      </w:r>
      <w:r w:rsidR="0027525B">
        <w:rPr>
          <w:lang w:eastAsia="ja-JP"/>
        </w:rPr>
        <w:t>for</w:t>
      </w:r>
      <w:r w:rsidR="0035541D">
        <w:rPr>
          <w:lang w:eastAsia="ja-JP"/>
        </w:rPr>
        <w:t xml:space="preserve"> discuss</w:t>
      </w:r>
      <w:r w:rsidR="0027525B">
        <w:rPr>
          <w:lang w:eastAsia="ja-JP"/>
        </w:rPr>
        <w:t>ing</w:t>
      </w:r>
      <w:r w:rsidR="0035541D">
        <w:rPr>
          <w:lang w:eastAsia="ja-JP"/>
        </w:rPr>
        <w:t xml:space="preserve"> </w:t>
      </w:r>
      <w:r w:rsidR="004365F7">
        <w:rPr>
          <w:lang w:eastAsia="ja-JP"/>
        </w:rPr>
        <w:t>service delivery challenges and opportunities</w:t>
      </w:r>
      <w:r w:rsidR="00532C82">
        <w:rPr>
          <w:lang w:eastAsia="ja-JP"/>
        </w:rPr>
        <w:t>, and to meet board members</w:t>
      </w:r>
      <w:r w:rsidR="0027525B">
        <w:rPr>
          <w:lang w:eastAsia="ja-JP"/>
        </w:rPr>
        <w:t>—</w:t>
      </w:r>
      <w:r w:rsidR="00532C82">
        <w:rPr>
          <w:lang w:eastAsia="ja-JP"/>
        </w:rPr>
        <w:t xml:space="preserve">who </w:t>
      </w:r>
      <w:r w:rsidR="0027525B">
        <w:rPr>
          <w:lang w:eastAsia="ja-JP"/>
        </w:rPr>
        <w:t xml:space="preserve">are often </w:t>
      </w:r>
      <w:r w:rsidR="00532C82">
        <w:rPr>
          <w:lang w:eastAsia="ja-JP"/>
        </w:rPr>
        <w:t>unseen by the department</w:t>
      </w:r>
      <w:r w:rsidR="004365F7">
        <w:rPr>
          <w:lang w:eastAsia="ja-JP"/>
        </w:rPr>
        <w:t>.</w:t>
      </w:r>
    </w:p>
    <w:p w14:paraId="670F9D23" w14:textId="504C9541" w:rsidR="005C55C5" w:rsidRDefault="005C55C5" w:rsidP="00390123">
      <w:pPr>
        <w:rPr>
          <w:lang w:eastAsia="ja-JP"/>
        </w:rPr>
      </w:pPr>
      <w:r>
        <w:rPr>
          <w:lang w:eastAsia="ja-JP"/>
        </w:rPr>
        <w:t>The department is considering alternative ways to make this process more effective and efficient</w:t>
      </w:r>
      <w:r w:rsidR="00F76E1E">
        <w:rPr>
          <w:lang w:eastAsia="ja-JP"/>
        </w:rPr>
        <w:t>,</w:t>
      </w:r>
      <w:r w:rsidR="0071735A">
        <w:rPr>
          <w:lang w:eastAsia="ja-JP"/>
        </w:rPr>
        <w:t xml:space="preserve"> </w:t>
      </w:r>
      <w:r w:rsidR="00B05EAC">
        <w:rPr>
          <w:lang w:eastAsia="ja-JP"/>
        </w:rPr>
        <w:t>including</w:t>
      </w:r>
      <w:r w:rsidR="0071735A">
        <w:rPr>
          <w:lang w:eastAsia="ja-JP"/>
        </w:rPr>
        <w:t xml:space="preserve"> a more</w:t>
      </w:r>
      <w:r w:rsidR="0035541D">
        <w:rPr>
          <w:lang w:eastAsia="ja-JP"/>
        </w:rPr>
        <w:t xml:space="preserve"> </w:t>
      </w:r>
      <w:r w:rsidR="00896D25">
        <w:rPr>
          <w:lang w:eastAsia="ja-JP"/>
        </w:rPr>
        <w:t>s</w:t>
      </w:r>
      <w:r>
        <w:rPr>
          <w:lang w:eastAsia="ja-JP"/>
        </w:rPr>
        <w:t>tructured format</w:t>
      </w:r>
      <w:r w:rsidR="00B05EAC">
        <w:rPr>
          <w:lang w:eastAsia="ja-JP"/>
        </w:rPr>
        <w:t xml:space="preserve"> and</w:t>
      </w:r>
      <w:r w:rsidR="0071735A">
        <w:rPr>
          <w:lang w:eastAsia="ja-JP"/>
        </w:rPr>
        <w:t xml:space="preserve"> </w:t>
      </w:r>
      <w:r w:rsidR="00F76E1E">
        <w:rPr>
          <w:lang w:eastAsia="ja-JP"/>
        </w:rPr>
        <w:t xml:space="preserve">using technology </w:t>
      </w:r>
      <w:r w:rsidR="0027525B">
        <w:rPr>
          <w:lang w:eastAsia="ja-JP"/>
        </w:rPr>
        <w:t xml:space="preserve">such as </w:t>
      </w:r>
      <w:r w:rsidR="00B05EAC">
        <w:rPr>
          <w:lang w:eastAsia="ja-JP"/>
        </w:rPr>
        <w:t>v</w:t>
      </w:r>
      <w:r w:rsidR="0071735A">
        <w:rPr>
          <w:lang w:eastAsia="ja-JP"/>
        </w:rPr>
        <w:t>ideo conferencing</w:t>
      </w:r>
      <w:r w:rsidR="00B05EAC">
        <w:rPr>
          <w:lang w:eastAsia="ja-JP"/>
        </w:rPr>
        <w:t xml:space="preserve"> </w:t>
      </w:r>
      <w:r w:rsidR="00826912">
        <w:rPr>
          <w:lang w:eastAsia="ja-JP"/>
        </w:rPr>
        <w:t xml:space="preserve">to supplement </w:t>
      </w:r>
      <w:r w:rsidR="00B05EAC">
        <w:rPr>
          <w:lang w:eastAsia="ja-JP"/>
        </w:rPr>
        <w:t>face</w:t>
      </w:r>
      <w:r w:rsidR="00F76E1E">
        <w:rPr>
          <w:lang w:eastAsia="ja-JP"/>
        </w:rPr>
        <w:t>-</w:t>
      </w:r>
      <w:r w:rsidR="00B05EAC">
        <w:rPr>
          <w:lang w:eastAsia="ja-JP"/>
        </w:rPr>
        <w:t>to</w:t>
      </w:r>
      <w:r w:rsidR="00F76E1E">
        <w:rPr>
          <w:lang w:eastAsia="ja-JP"/>
        </w:rPr>
        <w:t>-</w:t>
      </w:r>
      <w:r w:rsidR="00B05EAC">
        <w:rPr>
          <w:lang w:eastAsia="ja-JP"/>
        </w:rPr>
        <w:t>face meetings.</w:t>
      </w:r>
      <w:r w:rsidR="0035541D">
        <w:rPr>
          <w:lang w:eastAsia="ja-JP"/>
        </w:rPr>
        <w:t xml:space="preserve"> R</w:t>
      </w:r>
      <w:r>
        <w:rPr>
          <w:lang w:eastAsia="ja-JP"/>
        </w:rPr>
        <w:t xml:space="preserve">egular performance discussions </w:t>
      </w:r>
      <w:r w:rsidR="0071735A">
        <w:rPr>
          <w:lang w:eastAsia="ja-JP"/>
        </w:rPr>
        <w:t xml:space="preserve">could also play a </w:t>
      </w:r>
      <w:r>
        <w:rPr>
          <w:lang w:eastAsia="ja-JP"/>
        </w:rPr>
        <w:t>critical</w:t>
      </w:r>
      <w:r w:rsidR="0035541D">
        <w:rPr>
          <w:lang w:eastAsia="ja-JP"/>
        </w:rPr>
        <w:t xml:space="preserve"> role</w:t>
      </w:r>
      <w:r>
        <w:rPr>
          <w:lang w:eastAsia="ja-JP"/>
        </w:rPr>
        <w:t xml:space="preserve"> </w:t>
      </w:r>
      <w:r w:rsidR="0027525B">
        <w:rPr>
          <w:lang w:eastAsia="ja-JP"/>
        </w:rPr>
        <w:t xml:space="preserve">in </w:t>
      </w:r>
      <w:r>
        <w:rPr>
          <w:lang w:eastAsia="ja-JP"/>
        </w:rPr>
        <w:t>an improved compliance regime.</w:t>
      </w:r>
    </w:p>
    <w:p w14:paraId="18E3F3FF" w14:textId="473D5D70" w:rsidR="00095DAF" w:rsidRDefault="00095DAF" w:rsidP="00896D25">
      <w:pPr>
        <w:pStyle w:val="Heading4"/>
        <w:rPr>
          <w:lang w:eastAsia="ja-JP"/>
        </w:rPr>
      </w:pPr>
      <w:r>
        <w:rPr>
          <w:lang w:eastAsia="ja-JP"/>
        </w:rPr>
        <w:t>Benchmarking</w:t>
      </w:r>
    </w:p>
    <w:p w14:paraId="09031FFE" w14:textId="2B0F6B81" w:rsidR="00517F4E" w:rsidRDefault="0027525B" w:rsidP="00095DAF">
      <w:pPr>
        <w:rPr>
          <w:lang w:eastAsia="ja-JP"/>
        </w:rPr>
      </w:pPr>
      <w:r>
        <w:rPr>
          <w:lang w:eastAsia="ja-JP"/>
        </w:rPr>
        <w:t>Some service providers raised b</w:t>
      </w:r>
      <w:r w:rsidR="00095DAF">
        <w:rPr>
          <w:lang w:eastAsia="ja-JP"/>
        </w:rPr>
        <w:t xml:space="preserve">enchmarking </w:t>
      </w:r>
      <w:r>
        <w:rPr>
          <w:lang w:eastAsia="ja-JP"/>
        </w:rPr>
        <w:t xml:space="preserve">as a way of accessing </w:t>
      </w:r>
      <w:r w:rsidR="00095DAF">
        <w:rPr>
          <w:lang w:eastAsia="ja-JP"/>
        </w:rPr>
        <w:t>service</w:t>
      </w:r>
      <w:r w:rsidR="00826912">
        <w:rPr>
          <w:lang w:eastAsia="ja-JP"/>
        </w:rPr>
        <w:noBreakHyphen/>
      </w:r>
      <w:r w:rsidR="00095DAF">
        <w:rPr>
          <w:lang w:eastAsia="ja-JP"/>
        </w:rPr>
        <w:t>wide data to assess</w:t>
      </w:r>
      <w:r w:rsidR="00FF3D88">
        <w:rPr>
          <w:lang w:eastAsia="ja-JP"/>
        </w:rPr>
        <w:t xml:space="preserve"> their </w:t>
      </w:r>
      <w:r w:rsidR="00826912">
        <w:rPr>
          <w:lang w:eastAsia="ja-JP"/>
        </w:rPr>
        <w:t xml:space="preserve">own </w:t>
      </w:r>
      <w:r w:rsidR="00FF3D88">
        <w:rPr>
          <w:lang w:eastAsia="ja-JP"/>
        </w:rPr>
        <w:t>performance against other providers</w:t>
      </w:r>
      <w:r w:rsidR="006A139F">
        <w:rPr>
          <w:lang w:eastAsia="ja-JP"/>
        </w:rPr>
        <w:t>. The panel understands t</w:t>
      </w:r>
      <w:r w:rsidR="004C04DA">
        <w:rPr>
          <w:lang w:eastAsia="ja-JP"/>
        </w:rPr>
        <w:t>hat de</w:t>
      </w:r>
      <w:r w:rsidR="00826912">
        <w:rPr>
          <w:lang w:eastAsia="ja-JP"/>
        </w:rPr>
        <w:noBreakHyphen/>
      </w:r>
      <w:r w:rsidR="004C04DA">
        <w:rPr>
          <w:lang w:eastAsia="ja-JP"/>
        </w:rPr>
        <w:t xml:space="preserve">identified, </w:t>
      </w:r>
      <w:r w:rsidR="00826912">
        <w:rPr>
          <w:lang w:eastAsia="ja-JP"/>
        </w:rPr>
        <w:t>region-specific</w:t>
      </w:r>
      <w:r w:rsidR="004C04DA">
        <w:rPr>
          <w:lang w:eastAsia="ja-JP"/>
        </w:rPr>
        <w:t xml:space="preserve"> </w:t>
      </w:r>
      <w:r w:rsidR="00027298">
        <w:rPr>
          <w:lang w:eastAsia="ja-JP"/>
        </w:rPr>
        <w:t xml:space="preserve">data was available to providers </w:t>
      </w:r>
      <w:r w:rsidR="0035541D">
        <w:rPr>
          <w:lang w:eastAsia="ja-JP"/>
        </w:rPr>
        <w:t>in</w:t>
      </w:r>
      <w:r w:rsidR="00027298">
        <w:rPr>
          <w:lang w:eastAsia="ja-JP"/>
        </w:rPr>
        <w:t xml:space="preserve"> earlier funding rounds.</w:t>
      </w:r>
    </w:p>
    <w:p w14:paraId="08CE7AD2" w14:textId="1105F563" w:rsidR="00517F4E" w:rsidRDefault="0035541D">
      <w:pPr>
        <w:rPr>
          <w:lang w:eastAsia="ja-JP"/>
        </w:rPr>
      </w:pPr>
      <w:r w:rsidRPr="00C46DCE">
        <w:rPr>
          <w:lang w:eastAsia="ja-JP"/>
        </w:rPr>
        <w:t>The panel supports</w:t>
      </w:r>
      <w:r w:rsidR="00027298" w:rsidRPr="00C46DCE">
        <w:rPr>
          <w:lang w:eastAsia="ja-JP"/>
        </w:rPr>
        <w:t xml:space="preserve"> a service dedicated to self-improvement</w:t>
      </w:r>
      <w:r w:rsidR="0010092F" w:rsidRPr="00C46DCE">
        <w:rPr>
          <w:lang w:eastAsia="ja-JP"/>
        </w:rPr>
        <w:t xml:space="preserve">. However, </w:t>
      </w:r>
      <w:r w:rsidR="00791AAE" w:rsidRPr="00C46DCE">
        <w:rPr>
          <w:lang w:eastAsia="ja-JP"/>
        </w:rPr>
        <w:t xml:space="preserve">data </w:t>
      </w:r>
      <w:r w:rsidR="0010092F" w:rsidRPr="00C46DCE">
        <w:rPr>
          <w:lang w:eastAsia="ja-JP"/>
        </w:rPr>
        <w:t xml:space="preserve">would need to </w:t>
      </w:r>
      <w:r w:rsidR="00791AAE" w:rsidRPr="00C46DCE">
        <w:rPr>
          <w:lang w:eastAsia="ja-JP"/>
        </w:rPr>
        <w:t xml:space="preserve">be provided </w:t>
      </w:r>
      <w:r w:rsidR="0010092F" w:rsidRPr="00C46DCE">
        <w:rPr>
          <w:lang w:eastAsia="ja-JP"/>
        </w:rPr>
        <w:t xml:space="preserve">in a way that </w:t>
      </w:r>
      <w:r w:rsidR="00791AAE" w:rsidRPr="00C46DCE">
        <w:rPr>
          <w:lang w:eastAsia="ja-JP"/>
        </w:rPr>
        <w:t>assist</w:t>
      </w:r>
      <w:r w:rsidR="0010092F" w:rsidRPr="00C46DCE">
        <w:rPr>
          <w:lang w:eastAsia="ja-JP"/>
        </w:rPr>
        <w:t>s</w:t>
      </w:r>
      <w:r w:rsidR="00791AAE" w:rsidRPr="00C46DCE">
        <w:rPr>
          <w:lang w:eastAsia="ja-JP"/>
        </w:rPr>
        <w:t xml:space="preserve"> in driving improved client outcomes without compromising c</w:t>
      </w:r>
      <w:r w:rsidR="00896D25" w:rsidRPr="00C46DCE">
        <w:rPr>
          <w:lang w:eastAsia="ja-JP"/>
        </w:rPr>
        <w:t>ommercial</w:t>
      </w:r>
      <w:r w:rsidR="00791AAE" w:rsidRPr="00C46DCE">
        <w:rPr>
          <w:lang w:eastAsia="ja-JP"/>
        </w:rPr>
        <w:t xml:space="preserve"> sensitivities</w:t>
      </w:r>
      <w:r w:rsidR="00826912" w:rsidRPr="00C46DCE">
        <w:rPr>
          <w:lang w:eastAsia="ja-JP"/>
        </w:rPr>
        <w:t xml:space="preserve"> of service providers</w:t>
      </w:r>
      <w:r w:rsidR="00791AAE" w:rsidRPr="00C46DCE">
        <w:rPr>
          <w:lang w:eastAsia="ja-JP"/>
        </w:rPr>
        <w:t>.</w:t>
      </w:r>
    </w:p>
    <w:p w14:paraId="422855D8" w14:textId="57EF0CE4" w:rsidR="00D54FD1" w:rsidRDefault="00513761" w:rsidP="00896D25">
      <w:pPr>
        <w:pStyle w:val="Heading3"/>
        <w:rPr>
          <w:lang w:eastAsia="ja-JP"/>
        </w:rPr>
      </w:pPr>
      <w:bookmarkStart w:id="67" w:name="_Toc18328864"/>
      <w:r>
        <w:rPr>
          <w:lang w:eastAsia="ja-JP"/>
        </w:rPr>
        <w:t>Compliance</w:t>
      </w:r>
      <w:bookmarkEnd w:id="67"/>
    </w:p>
    <w:p w14:paraId="060F903B" w14:textId="673091C6" w:rsidR="00517F4E" w:rsidRDefault="00997BA0">
      <w:pPr>
        <w:rPr>
          <w:lang w:eastAsia="ja-JP"/>
        </w:rPr>
      </w:pPr>
      <w:r>
        <w:rPr>
          <w:lang w:eastAsia="ja-JP"/>
        </w:rPr>
        <w:t>A</w:t>
      </w:r>
      <w:r w:rsidR="00474CCF">
        <w:rPr>
          <w:lang w:eastAsia="ja-JP"/>
        </w:rPr>
        <w:t>s with any government program, a</w:t>
      </w:r>
      <w:r>
        <w:rPr>
          <w:lang w:eastAsia="ja-JP"/>
        </w:rPr>
        <w:t xml:space="preserve">ccountability for expending grant funds and delivering on program objectives is important. </w:t>
      </w:r>
      <w:r w:rsidRPr="004E441E">
        <w:rPr>
          <w:lang w:eastAsia="ja-JP"/>
        </w:rPr>
        <w:t>The current compliance model provides for monitoring through reporting and audit</w:t>
      </w:r>
      <w:r w:rsidR="0010092F" w:rsidRPr="004E441E">
        <w:rPr>
          <w:lang w:eastAsia="ja-JP"/>
        </w:rPr>
        <w:t>. It also includes</w:t>
      </w:r>
      <w:r w:rsidRPr="004E441E">
        <w:rPr>
          <w:lang w:eastAsia="ja-JP"/>
        </w:rPr>
        <w:t xml:space="preserve"> potential enforcement options such as funding suspension and cancellation</w:t>
      </w:r>
      <w:r w:rsidR="002B0A1B" w:rsidRPr="004E441E">
        <w:rPr>
          <w:lang w:eastAsia="ja-JP"/>
        </w:rPr>
        <w:t xml:space="preserve">, which are likely to be </w:t>
      </w:r>
      <w:r w:rsidR="00474CCF" w:rsidRPr="004E441E">
        <w:rPr>
          <w:lang w:eastAsia="ja-JP"/>
        </w:rPr>
        <w:t>reserved for serious breaches.</w:t>
      </w:r>
    </w:p>
    <w:p w14:paraId="552C2120" w14:textId="3C70E10C" w:rsidR="00517F4E" w:rsidRDefault="00850251">
      <w:pPr>
        <w:rPr>
          <w:highlight w:val="yellow"/>
          <w:lang w:eastAsia="ja-JP"/>
        </w:rPr>
      </w:pPr>
      <w:r>
        <w:rPr>
          <w:lang w:eastAsia="ja-JP"/>
        </w:rPr>
        <w:t>T</w:t>
      </w:r>
      <w:r w:rsidR="00C14F3E">
        <w:rPr>
          <w:lang w:eastAsia="ja-JP"/>
        </w:rPr>
        <w:t xml:space="preserve">he panel has </w:t>
      </w:r>
      <w:r w:rsidR="00826912">
        <w:rPr>
          <w:lang w:eastAsia="ja-JP"/>
        </w:rPr>
        <w:t xml:space="preserve">a </w:t>
      </w:r>
      <w:r w:rsidR="00C14F3E">
        <w:rPr>
          <w:lang w:eastAsia="ja-JP"/>
        </w:rPr>
        <w:t>preference for rationalising</w:t>
      </w:r>
      <w:r w:rsidR="00826912">
        <w:rPr>
          <w:lang w:eastAsia="ja-JP"/>
        </w:rPr>
        <w:t xml:space="preserve"> the</w:t>
      </w:r>
      <w:r w:rsidR="00C14F3E">
        <w:rPr>
          <w:lang w:eastAsia="ja-JP"/>
        </w:rPr>
        <w:t xml:space="preserve"> current monitoring and evaluation activities</w:t>
      </w:r>
      <w:r w:rsidR="00DB0888">
        <w:rPr>
          <w:lang w:eastAsia="ja-JP"/>
        </w:rPr>
        <w:t>. However,</w:t>
      </w:r>
      <w:r w:rsidR="00C14F3E">
        <w:rPr>
          <w:lang w:eastAsia="ja-JP"/>
        </w:rPr>
        <w:t xml:space="preserve"> this cannot </w:t>
      </w:r>
      <w:r w:rsidR="005E7520">
        <w:rPr>
          <w:lang w:eastAsia="ja-JP"/>
        </w:rPr>
        <w:t>mitigate</w:t>
      </w:r>
      <w:r w:rsidR="00C14F3E">
        <w:rPr>
          <w:lang w:eastAsia="ja-JP"/>
        </w:rPr>
        <w:t xml:space="preserve"> </w:t>
      </w:r>
      <w:r w:rsidR="00DB0888">
        <w:rPr>
          <w:lang w:eastAsia="ja-JP"/>
        </w:rPr>
        <w:t>the department</w:t>
      </w:r>
      <w:r w:rsidR="00736B18">
        <w:rPr>
          <w:lang w:eastAsia="ja-JP"/>
        </w:rPr>
        <w:t>'</w:t>
      </w:r>
      <w:r w:rsidR="00DB0888">
        <w:rPr>
          <w:lang w:eastAsia="ja-JP"/>
        </w:rPr>
        <w:t xml:space="preserve">s </w:t>
      </w:r>
      <w:r w:rsidR="00C14F3E">
        <w:rPr>
          <w:lang w:eastAsia="ja-JP"/>
        </w:rPr>
        <w:t>accountability</w:t>
      </w:r>
      <w:r w:rsidR="00CF0F8A">
        <w:rPr>
          <w:lang w:eastAsia="ja-JP"/>
        </w:rPr>
        <w:t xml:space="preserve"> for appropriately administering grant funding</w:t>
      </w:r>
      <w:r w:rsidR="00C14F3E">
        <w:rPr>
          <w:lang w:eastAsia="ja-JP"/>
        </w:rPr>
        <w:t xml:space="preserve">. </w:t>
      </w:r>
      <w:r w:rsidR="0010092F">
        <w:rPr>
          <w:lang w:eastAsia="ja-JP"/>
        </w:rPr>
        <w:t>S</w:t>
      </w:r>
      <w:r w:rsidR="00C14F3E">
        <w:rPr>
          <w:lang w:eastAsia="ja-JP"/>
        </w:rPr>
        <w:t>tronger emphasis on audit and</w:t>
      </w:r>
      <w:r w:rsidR="00C14F3E" w:rsidRPr="00E27B32">
        <w:rPr>
          <w:lang w:eastAsia="ja-JP"/>
        </w:rPr>
        <w:t xml:space="preserve"> weaker emphasis on continual reporting</w:t>
      </w:r>
      <w:r w:rsidR="00C14F3E">
        <w:rPr>
          <w:lang w:eastAsia="ja-JP"/>
        </w:rPr>
        <w:t xml:space="preserve"> may </w:t>
      </w:r>
      <w:r w:rsidR="00C14F3E">
        <w:rPr>
          <w:lang w:eastAsia="ja-JP"/>
        </w:rPr>
        <w:lastRenderedPageBreak/>
        <w:t xml:space="preserve">assist in getting the balance right for accountability and oversight. </w:t>
      </w:r>
      <w:r w:rsidR="00726F62">
        <w:rPr>
          <w:lang w:eastAsia="ja-JP"/>
        </w:rPr>
        <w:t xml:space="preserve">If </w:t>
      </w:r>
      <w:r w:rsidR="00C14F3E">
        <w:rPr>
          <w:lang w:eastAsia="ja-JP"/>
        </w:rPr>
        <w:t>noncompliance occur</w:t>
      </w:r>
      <w:r w:rsidR="00726F62">
        <w:rPr>
          <w:lang w:eastAsia="ja-JP"/>
        </w:rPr>
        <w:t>s</w:t>
      </w:r>
      <w:r w:rsidR="00C14F3E">
        <w:rPr>
          <w:lang w:eastAsia="ja-JP"/>
        </w:rPr>
        <w:t xml:space="preserve">, </w:t>
      </w:r>
      <w:r w:rsidR="00484B9A">
        <w:rPr>
          <w:lang w:eastAsia="ja-JP"/>
        </w:rPr>
        <w:t>credible</w:t>
      </w:r>
      <w:r w:rsidR="00DB0888">
        <w:rPr>
          <w:lang w:eastAsia="ja-JP"/>
        </w:rPr>
        <w:t>, graduated,</w:t>
      </w:r>
      <w:r w:rsidR="002B0A1B">
        <w:rPr>
          <w:lang w:eastAsia="ja-JP"/>
        </w:rPr>
        <w:t xml:space="preserve"> compliance measures </w:t>
      </w:r>
      <w:r w:rsidR="00726F62">
        <w:rPr>
          <w:lang w:eastAsia="ja-JP"/>
        </w:rPr>
        <w:t xml:space="preserve">will be </w:t>
      </w:r>
      <w:r w:rsidR="00DB0888">
        <w:rPr>
          <w:lang w:eastAsia="ja-JP"/>
        </w:rPr>
        <w:t>required. For example</w:t>
      </w:r>
      <w:r w:rsidR="00726F62">
        <w:rPr>
          <w:lang w:eastAsia="ja-JP"/>
        </w:rPr>
        <w:t>,</w:t>
      </w:r>
      <w:r w:rsidR="002B0A1B">
        <w:rPr>
          <w:lang w:eastAsia="ja-JP"/>
        </w:rPr>
        <w:t xml:space="preserve"> increasing </w:t>
      </w:r>
      <w:r w:rsidR="00C14F3E">
        <w:rPr>
          <w:lang w:eastAsia="ja-JP"/>
        </w:rPr>
        <w:t>reporting</w:t>
      </w:r>
      <w:r w:rsidR="00DB0888">
        <w:rPr>
          <w:lang w:eastAsia="ja-JP"/>
        </w:rPr>
        <w:t xml:space="preserve"> requirements</w:t>
      </w:r>
      <w:r w:rsidR="00C14F3E">
        <w:rPr>
          <w:lang w:eastAsia="ja-JP"/>
        </w:rPr>
        <w:t xml:space="preserve"> for a particular </w:t>
      </w:r>
      <w:r w:rsidR="00CF0F8A">
        <w:rPr>
          <w:lang w:eastAsia="ja-JP"/>
        </w:rPr>
        <w:t xml:space="preserve">provider until the government </w:t>
      </w:r>
      <w:r w:rsidR="00726F62">
        <w:rPr>
          <w:lang w:eastAsia="ja-JP"/>
        </w:rPr>
        <w:t xml:space="preserve">is </w:t>
      </w:r>
      <w:r w:rsidR="00CF0F8A">
        <w:rPr>
          <w:lang w:eastAsia="ja-JP"/>
        </w:rPr>
        <w:t xml:space="preserve">satisfied that </w:t>
      </w:r>
      <w:r w:rsidR="00DB0888">
        <w:rPr>
          <w:lang w:eastAsia="ja-JP"/>
        </w:rPr>
        <w:t xml:space="preserve">issues </w:t>
      </w:r>
      <w:r w:rsidR="00726F62">
        <w:rPr>
          <w:lang w:eastAsia="ja-JP"/>
        </w:rPr>
        <w:t xml:space="preserve">have been </w:t>
      </w:r>
      <w:r w:rsidR="00CF0F8A">
        <w:rPr>
          <w:lang w:eastAsia="ja-JP"/>
        </w:rPr>
        <w:t xml:space="preserve">rectified. </w:t>
      </w:r>
      <w:r w:rsidR="00484B9A">
        <w:rPr>
          <w:lang w:eastAsia="ja-JP"/>
        </w:rPr>
        <w:t>Positive reinforcement measures may also be appropriate.</w:t>
      </w:r>
    </w:p>
    <w:p w14:paraId="46801AB7" w14:textId="1E1CE28E" w:rsidR="002D568E" w:rsidRDefault="002D568E" w:rsidP="00905049">
      <w:pPr>
        <w:pStyle w:val="Heading3"/>
        <w:numPr>
          <w:ilvl w:val="1"/>
          <w:numId w:val="12"/>
        </w:numPr>
        <w:rPr>
          <w:lang w:eastAsia="ja-JP"/>
        </w:rPr>
      </w:pPr>
      <w:bookmarkStart w:id="68" w:name="_Toc15838082"/>
      <w:bookmarkStart w:id="69" w:name="_Toc15838085"/>
      <w:bookmarkStart w:id="70" w:name="_Toc18328865"/>
      <w:bookmarkEnd w:id="68"/>
      <w:bookmarkEnd w:id="69"/>
      <w:r>
        <w:rPr>
          <w:lang w:eastAsia="ja-JP"/>
        </w:rPr>
        <w:t>Discussion</w:t>
      </w:r>
      <w:bookmarkEnd w:id="70"/>
    </w:p>
    <w:p w14:paraId="12380ECE" w14:textId="06C3318F" w:rsidR="00517F4E" w:rsidRDefault="002D568E" w:rsidP="002D568E">
      <w:pPr>
        <w:rPr>
          <w:lang w:eastAsia="ja-JP"/>
        </w:rPr>
      </w:pPr>
      <w:r>
        <w:rPr>
          <w:lang w:eastAsia="ja-JP"/>
        </w:rPr>
        <w:t>It is the panel</w:t>
      </w:r>
      <w:r w:rsidR="00736B18">
        <w:rPr>
          <w:lang w:eastAsia="ja-JP"/>
        </w:rPr>
        <w:t>'</w:t>
      </w:r>
      <w:r>
        <w:rPr>
          <w:lang w:eastAsia="ja-JP"/>
        </w:rPr>
        <w:t>s view that the performance and assessment framework</w:t>
      </w:r>
      <w:r w:rsidR="00726F62">
        <w:rPr>
          <w:lang w:eastAsia="ja-JP"/>
        </w:rPr>
        <w:t>—</w:t>
      </w:r>
      <w:r>
        <w:rPr>
          <w:lang w:eastAsia="ja-JP"/>
        </w:rPr>
        <w:t>including data collection methods</w:t>
      </w:r>
      <w:r w:rsidR="00D352BF">
        <w:rPr>
          <w:lang w:eastAsia="ja-JP"/>
        </w:rPr>
        <w:t xml:space="preserve"> and analysis,</w:t>
      </w:r>
      <w:r>
        <w:rPr>
          <w:lang w:eastAsia="ja-JP"/>
        </w:rPr>
        <w:t xml:space="preserve"> and reporting mechanisms</w:t>
      </w:r>
      <w:r w:rsidR="00726F62">
        <w:rPr>
          <w:lang w:eastAsia="ja-JP"/>
        </w:rPr>
        <w:t>—</w:t>
      </w:r>
      <w:r>
        <w:rPr>
          <w:lang w:eastAsia="ja-JP"/>
        </w:rPr>
        <w:t>is largely geared towards assessing the compliance and performance of service providers</w:t>
      </w:r>
      <w:r w:rsidR="001D2588">
        <w:rPr>
          <w:lang w:eastAsia="ja-JP"/>
        </w:rPr>
        <w:t xml:space="preserve">. </w:t>
      </w:r>
      <w:r w:rsidR="00726F62">
        <w:rPr>
          <w:lang w:eastAsia="ja-JP"/>
        </w:rPr>
        <w:t>T</w:t>
      </w:r>
      <w:r w:rsidR="001D2588">
        <w:rPr>
          <w:lang w:eastAsia="ja-JP"/>
        </w:rPr>
        <w:t>his is relevant to delivering contractual requirements</w:t>
      </w:r>
      <w:r w:rsidR="00726F62">
        <w:rPr>
          <w:lang w:eastAsia="ja-JP"/>
        </w:rPr>
        <w:t xml:space="preserve"> but</w:t>
      </w:r>
      <w:r w:rsidR="001D2588">
        <w:rPr>
          <w:lang w:eastAsia="ja-JP"/>
        </w:rPr>
        <w:t xml:space="preserve"> </w:t>
      </w:r>
      <w:r w:rsidR="00610122">
        <w:rPr>
          <w:lang w:eastAsia="ja-JP"/>
        </w:rPr>
        <w:t xml:space="preserve">it is </w:t>
      </w:r>
      <w:r w:rsidR="00C179FF">
        <w:rPr>
          <w:lang w:eastAsia="ja-JP"/>
        </w:rPr>
        <w:t>not an adequate proxy for determining successful client outcomes or overall program effectiveness.</w:t>
      </w:r>
    </w:p>
    <w:p w14:paraId="6A460562" w14:textId="13101EEE" w:rsidR="00610122" w:rsidRDefault="00726F62" w:rsidP="002D568E">
      <w:pPr>
        <w:rPr>
          <w:lang w:eastAsia="ja-JP"/>
        </w:rPr>
      </w:pPr>
      <w:r>
        <w:rPr>
          <w:lang w:eastAsia="ja-JP"/>
        </w:rPr>
        <w:t>T</w:t>
      </w:r>
      <w:r w:rsidR="00D352BF">
        <w:rPr>
          <w:lang w:eastAsia="ja-JP"/>
        </w:rPr>
        <w:t xml:space="preserve">here is high demand for RFCS services and most service providers are at or near capacity. However, </w:t>
      </w:r>
      <w:r w:rsidR="00610122">
        <w:rPr>
          <w:lang w:eastAsia="ja-JP"/>
        </w:rPr>
        <w:t xml:space="preserve">reports on capacity and outputs </w:t>
      </w:r>
      <w:r w:rsidR="00850251">
        <w:rPr>
          <w:lang w:eastAsia="ja-JP"/>
        </w:rPr>
        <w:t>(demonstrating ‘busyness’)</w:t>
      </w:r>
      <w:r>
        <w:rPr>
          <w:lang w:eastAsia="ja-JP"/>
        </w:rPr>
        <w:t>do not show</w:t>
      </w:r>
      <w:r w:rsidR="00610122" w:rsidRPr="00F61EEE">
        <w:rPr>
          <w:lang w:eastAsia="ja-JP"/>
        </w:rPr>
        <w:t xml:space="preserve"> whether</w:t>
      </w:r>
      <w:r w:rsidR="00D352BF" w:rsidRPr="00F61EEE">
        <w:rPr>
          <w:lang w:eastAsia="ja-JP"/>
        </w:rPr>
        <w:t xml:space="preserve"> the program settings, service provider activities</w:t>
      </w:r>
      <w:r w:rsidR="00D352BF">
        <w:rPr>
          <w:lang w:eastAsia="ja-JP"/>
        </w:rPr>
        <w:t xml:space="preserve"> or monitoring </w:t>
      </w:r>
      <w:r w:rsidR="00610122">
        <w:rPr>
          <w:lang w:eastAsia="ja-JP"/>
        </w:rPr>
        <w:t>efforts</w:t>
      </w:r>
      <w:r w:rsidR="00B300FE">
        <w:rPr>
          <w:lang w:eastAsia="ja-JP"/>
        </w:rPr>
        <w:t xml:space="preserve"> </w:t>
      </w:r>
      <w:r w:rsidR="00D352BF">
        <w:rPr>
          <w:lang w:eastAsia="ja-JP"/>
        </w:rPr>
        <w:t>are driving broad, structural, behaviour-based change across agr</w:t>
      </w:r>
      <w:r w:rsidR="00610122">
        <w:rPr>
          <w:lang w:eastAsia="ja-JP"/>
        </w:rPr>
        <w:t>iculture and related industries.</w:t>
      </w:r>
      <w:r w:rsidR="00B300FE">
        <w:rPr>
          <w:lang w:eastAsia="ja-JP"/>
        </w:rPr>
        <w:t xml:space="preserve"> Understanding current program effectiveness is needed to make ongoing program improvements.</w:t>
      </w:r>
    </w:p>
    <w:p w14:paraId="53C735D6" w14:textId="430EA5A9" w:rsidR="001A732A" w:rsidRDefault="008441FE" w:rsidP="002D568E">
      <w:pPr>
        <w:rPr>
          <w:lang w:eastAsia="ja-JP"/>
        </w:rPr>
      </w:pPr>
      <w:r w:rsidRPr="00E27B32">
        <w:rPr>
          <w:lang w:eastAsia="ja-JP"/>
        </w:rPr>
        <w:t>Further</w:t>
      </w:r>
      <w:r w:rsidR="001A732A" w:rsidRPr="00E27B32">
        <w:rPr>
          <w:lang w:eastAsia="ja-JP"/>
        </w:rPr>
        <w:t xml:space="preserve">, </w:t>
      </w:r>
      <w:r w:rsidR="004B0BC8">
        <w:rPr>
          <w:lang w:eastAsia="ja-JP"/>
        </w:rPr>
        <w:t>t</w:t>
      </w:r>
      <w:r w:rsidR="00726F62">
        <w:rPr>
          <w:lang w:eastAsia="ja-JP"/>
        </w:rPr>
        <w:t xml:space="preserve">he administration requirements of </w:t>
      </w:r>
      <w:r w:rsidRPr="00E27B32">
        <w:rPr>
          <w:lang w:eastAsia="ja-JP"/>
        </w:rPr>
        <w:t>service provider</w:t>
      </w:r>
      <w:r w:rsidR="00726F62">
        <w:rPr>
          <w:lang w:eastAsia="ja-JP"/>
        </w:rPr>
        <w:t>s</w:t>
      </w:r>
      <w:r w:rsidRPr="00E27B32">
        <w:rPr>
          <w:lang w:eastAsia="ja-JP"/>
        </w:rPr>
        <w:t xml:space="preserve"> and </w:t>
      </w:r>
      <w:r w:rsidR="00726F62">
        <w:rPr>
          <w:lang w:eastAsia="ja-JP"/>
        </w:rPr>
        <w:t xml:space="preserve">the </w:t>
      </w:r>
      <w:r w:rsidRPr="00E27B32">
        <w:rPr>
          <w:lang w:eastAsia="ja-JP"/>
        </w:rPr>
        <w:t>department</w:t>
      </w:r>
      <w:r w:rsidR="00726F62">
        <w:rPr>
          <w:lang w:eastAsia="ja-JP"/>
        </w:rPr>
        <w:t xml:space="preserve"> do not appear to be</w:t>
      </w:r>
      <w:r w:rsidRPr="00E27B32">
        <w:rPr>
          <w:lang w:eastAsia="ja-JP"/>
        </w:rPr>
        <w:t xml:space="preserve"> commensurate </w:t>
      </w:r>
      <w:r w:rsidR="00726F62">
        <w:rPr>
          <w:lang w:eastAsia="ja-JP"/>
        </w:rPr>
        <w:t>with</w:t>
      </w:r>
      <w:r w:rsidR="00726F62" w:rsidRPr="00E27B32">
        <w:rPr>
          <w:lang w:eastAsia="ja-JP"/>
        </w:rPr>
        <w:t xml:space="preserve"> </w:t>
      </w:r>
      <w:r w:rsidRPr="00E27B32">
        <w:rPr>
          <w:lang w:eastAsia="ja-JP"/>
        </w:rPr>
        <w:t>the ben</w:t>
      </w:r>
      <w:r w:rsidR="00475B60" w:rsidRPr="00E27B32">
        <w:rPr>
          <w:lang w:eastAsia="ja-JP"/>
        </w:rPr>
        <w:t xml:space="preserve">efits </w:t>
      </w:r>
      <w:r w:rsidR="00726F62">
        <w:rPr>
          <w:lang w:eastAsia="ja-JP"/>
        </w:rPr>
        <w:t>of</w:t>
      </w:r>
      <w:r w:rsidR="00475B60" w:rsidRPr="00E27B32">
        <w:rPr>
          <w:lang w:eastAsia="ja-JP"/>
        </w:rPr>
        <w:t xml:space="preserve"> data outputs</w:t>
      </w:r>
      <w:r w:rsidR="000B506C">
        <w:rPr>
          <w:lang w:eastAsia="ja-JP"/>
        </w:rPr>
        <w:t xml:space="preserve"> and </w:t>
      </w:r>
      <w:r w:rsidR="00475B60" w:rsidRPr="00E27B32">
        <w:rPr>
          <w:lang w:eastAsia="ja-JP"/>
        </w:rPr>
        <w:t>analysis</w:t>
      </w:r>
      <w:r w:rsidR="00610122">
        <w:rPr>
          <w:lang w:eastAsia="ja-JP"/>
        </w:rPr>
        <w:t>.</w:t>
      </w:r>
    </w:p>
    <w:p w14:paraId="20A897A9" w14:textId="77777777" w:rsidR="004B0BC8" w:rsidRDefault="0030243F" w:rsidP="002D568E">
      <w:pPr>
        <w:rPr>
          <w:lang w:eastAsia="ja-JP"/>
        </w:rPr>
      </w:pPr>
      <w:r>
        <w:rPr>
          <w:lang w:eastAsia="ja-JP"/>
        </w:rPr>
        <w:t>The panel understands that work is being undertaken in the department to improve aspects of the framework within the current funding round, including</w:t>
      </w:r>
      <w:r w:rsidR="004B0BC8">
        <w:rPr>
          <w:lang w:eastAsia="ja-JP"/>
        </w:rPr>
        <w:t>:</w:t>
      </w:r>
    </w:p>
    <w:p w14:paraId="0E72891B" w14:textId="308AB46F" w:rsidR="004B0BC8" w:rsidRDefault="0030243F" w:rsidP="00523888">
      <w:pPr>
        <w:pStyle w:val="ListBullet"/>
        <w:rPr>
          <w:lang w:eastAsia="ja-JP"/>
        </w:rPr>
      </w:pPr>
      <w:r>
        <w:rPr>
          <w:lang w:eastAsia="ja-JP"/>
        </w:rPr>
        <w:t>functionality and usefulness of the portal</w:t>
      </w:r>
      <w:r w:rsidR="004B0BC8">
        <w:rPr>
          <w:lang w:eastAsia="ja-JP"/>
        </w:rPr>
        <w:t>—</w:t>
      </w:r>
      <w:r>
        <w:rPr>
          <w:lang w:eastAsia="ja-JP"/>
        </w:rPr>
        <w:t>particularly around reporting capability</w:t>
      </w:r>
    </w:p>
    <w:p w14:paraId="53589DDF" w14:textId="21817C07" w:rsidR="004B0BC8" w:rsidRDefault="00D346B9" w:rsidP="00523888">
      <w:pPr>
        <w:pStyle w:val="ListBullet"/>
        <w:rPr>
          <w:lang w:eastAsia="ja-JP"/>
        </w:rPr>
      </w:pPr>
      <w:proofErr w:type="gramStart"/>
      <w:r>
        <w:rPr>
          <w:lang w:eastAsia="ja-JP"/>
        </w:rPr>
        <w:t>changes</w:t>
      </w:r>
      <w:proofErr w:type="gramEnd"/>
      <w:r>
        <w:rPr>
          <w:lang w:eastAsia="ja-JP"/>
        </w:rPr>
        <w:t xml:space="preserve"> to client surveys to account for clients at different stages of a case management process.</w:t>
      </w:r>
    </w:p>
    <w:p w14:paraId="15FE455E" w14:textId="683E750B" w:rsidR="0030243F" w:rsidRPr="002D568E" w:rsidRDefault="00DB64CF" w:rsidP="00924FF2">
      <w:pPr>
        <w:rPr>
          <w:lang w:eastAsia="ja-JP"/>
        </w:rPr>
      </w:pPr>
      <w:r>
        <w:rPr>
          <w:lang w:eastAsia="ja-JP"/>
        </w:rPr>
        <w:t xml:space="preserve">However, </w:t>
      </w:r>
      <w:r w:rsidR="00BA6F91">
        <w:rPr>
          <w:lang w:eastAsia="ja-JP"/>
        </w:rPr>
        <w:t>service providers have</w:t>
      </w:r>
      <w:r w:rsidR="000B506C">
        <w:rPr>
          <w:lang w:eastAsia="ja-JP"/>
        </w:rPr>
        <w:t xml:space="preserve"> different </w:t>
      </w:r>
      <w:r w:rsidR="00610122">
        <w:rPr>
          <w:lang w:eastAsia="ja-JP"/>
        </w:rPr>
        <w:t>views on</w:t>
      </w:r>
      <w:r w:rsidR="000B506C">
        <w:rPr>
          <w:lang w:eastAsia="ja-JP"/>
        </w:rPr>
        <w:t xml:space="preserve"> priority </w:t>
      </w:r>
      <w:r w:rsidR="00610122">
        <w:rPr>
          <w:lang w:eastAsia="ja-JP"/>
        </w:rPr>
        <w:t xml:space="preserve">improvement </w:t>
      </w:r>
      <w:r w:rsidR="000B506C">
        <w:rPr>
          <w:lang w:eastAsia="ja-JP"/>
        </w:rPr>
        <w:t>work and the</w:t>
      </w:r>
      <w:r w:rsidR="004B0BC8">
        <w:rPr>
          <w:lang w:eastAsia="ja-JP"/>
        </w:rPr>
        <w:t xml:space="preserve"> department has </w:t>
      </w:r>
      <w:r w:rsidR="000B506C">
        <w:rPr>
          <w:lang w:eastAsia="ja-JP"/>
        </w:rPr>
        <w:t>limited resources that can be used to acco</w:t>
      </w:r>
      <w:r w:rsidR="00755D68">
        <w:rPr>
          <w:lang w:eastAsia="ja-JP"/>
        </w:rPr>
        <w:t>mmodate the various requests.</w:t>
      </w:r>
    </w:p>
    <w:p w14:paraId="731E24CF" w14:textId="668E1A78" w:rsidR="00905049" w:rsidRPr="008B0B6C" w:rsidRDefault="003D0ABC" w:rsidP="00905049">
      <w:pPr>
        <w:pStyle w:val="Heading3"/>
        <w:numPr>
          <w:ilvl w:val="1"/>
          <w:numId w:val="12"/>
        </w:numPr>
        <w:rPr>
          <w:lang w:eastAsia="ja-JP"/>
        </w:rPr>
      </w:pPr>
      <w:bookmarkStart w:id="71" w:name="_Toc18328866"/>
      <w:r>
        <w:rPr>
          <w:lang w:eastAsia="ja-JP"/>
        </w:rPr>
        <w:t>Future monitoring and evaluation</w:t>
      </w:r>
      <w:bookmarkEnd w:id="71"/>
    </w:p>
    <w:p w14:paraId="176A0EC7" w14:textId="3F1D02A2" w:rsidR="00517F4E" w:rsidRDefault="00EF3732" w:rsidP="00DC71DD">
      <w:r>
        <w:t>The review panel acknowledges that monitoring and evaluation is complex</w:t>
      </w:r>
      <w:r w:rsidR="004B0BC8">
        <w:t>,</w:t>
      </w:r>
      <w:r>
        <w:t xml:space="preserve"> but recognises </w:t>
      </w:r>
      <w:r w:rsidR="004B64E2">
        <w:t>the need for</w:t>
      </w:r>
      <w:r>
        <w:t xml:space="preserve"> </w:t>
      </w:r>
      <w:r w:rsidR="004B64E2">
        <w:t xml:space="preserve">fundamental changes to </w:t>
      </w:r>
      <w:r w:rsidR="00C179FF">
        <w:t xml:space="preserve">the way </w:t>
      </w:r>
      <w:r w:rsidR="00475B60">
        <w:t>performance is assessed and how the program is monitored and evaluated.</w:t>
      </w:r>
    </w:p>
    <w:p w14:paraId="68C7D3D1" w14:textId="0A24474C" w:rsidR="00517F4E" w:rsidRDefault="004B0BC8" w:rsidP="00DC71DD">
      <w:pPr>
        <w:rPr>
          <w:lang w:eastAsia="ja-JP"/>
        </w:rPr>
      </w:pPr>
      <w:r>
        <w:rPr>
          <w:lang w:eastAsia="ja-JP"/>
        </w:rPr>
        <w:t>P</w:t>
      </w:r>
      <w:r w:rsidR="00905049">
        <w:rPr>
          <w:lang w:eastAsia="ja-JP"/>
        </w:rPr>
        <w:t>rogram monitoring and evaluation needs further</w:t>
      </w:r>
      <w:r w:rsidR="00E86904">
        <w:rPr>
          <w:lang w:eastAsia="ja-JP"/>
        </w:rPr>
        <w:t xml:space="preserve"> </w:t>
      </w:r>
      <w:r w:rsidR="00602F1B">
        <w:rPr>
          <w:lang w:eastAsia="ja-JP"/>
        </w:rPr>
        <w:t>consideration, including input</w:t>
      </w:r>
      <w:r w:rsidR="00254C25">
        <w:rPr>
          <w:lang w:eastAsia="ja-JP"/>
        </w:rPr>
        <w:t xml:space="preserve"> from service providers </w:t>
      </w:r>
      <w:r w:rsidR="00905049">
        <w:rPr>
          <w:lang w:eastAsia="ja-JP"/>
        </w:rPr>
        <w:t xml:space="preserve">to deliver </w:t>
      </w:r>
      <w:r w:rsidR="00254C25">
        <w:rPr>
          <w:lang w:eastAsia="ja-JP"/>
        </w:rPr>
        <w:t xml:space="preserve">a </w:t>
      </w:r>
      <w:r w:rsidR="00755D68">
        <w:rPr>
          <w:lang w:eastAsia="ja-JP"/>
        </w:rPr>
        <w:t>fit-for-</w:t>
      </w:r>
      <w:r w:rsidR="00254C25">
        <w:rPr>
          <w:lang w:eastAsia="ja-JP"/>
        </w:rPr>
        <w:t>purpose system</w:t>
      </w:r>
      <w:r w:rsidR="00755D68">
        <w:rPr>
          <w:lang w:eastAsia="ja-JP"/>
        </w:rPr>
        <w:t xml:space="preserve"> that aligns the program objectives </w:t>
      </w:r>
      <w:r>
        <w:rPr>
          <w:lang w:eastAsia="ja-JP"/>
        </w:rPr>
        <w:t>with</w:t>
      </w:r>
      <w:r w:rsidR="00755D68">
        <w:rPr>
          <w:lang w:eastAsia="ja-JP"/>
        </w:rPr>
        <w:t xml:space="preserve"> service provider activities </w:t>
      </w:r>
      <w:r w:rsidR="00DB0888">
        <w:rPr>
          <w:lang w:eastAsia="ja-JP"/>
        </w:rPr>
        <w:t xml:space="preserve">and </w:t>
      </w:r>
      <w:r w:rsidR="00755D68">
        <w:rPr>
          <w:lang w:eastAsia="ja-JP"/>
        </w:rPr>
        <w:t xml:space="preserve">client outcomes. </w:t>
      </w:r>
      <w:r w:rsidR="00224A91">
        <w:rPr>
          <w:lang w:eastAsia="ja-JP"/>
        </w:rPr>
        <w:t>M</w:t>
      </w:r>
      <w:r w:rsidR="00DC71DD">
        <w:rPr>
          <w:lang w:eastAsia="ja-JP"/>
        </w:rPr>
        <w:t xml:space="preserve">eaningful data </w:t>
      </w:r>
      <w:r w:rsidR="00224A91">
        <w:rPr>
          <w:lang w:eastAsia="ja-JP"/>
        </w:rPr>
        <w:t xml:space="preserve">should be collected </w:t>
      </w:r>
      <w:r w:rsidR="00DC71DD">
        <w:rPr>
          <w:lang w:eastAsia="ja-JP"/>
        </w:rPr>
        <w:t xml:space="preserve">to assess provider and program performance </w:t>
      </w:r>
      <w:r w:rsidR="00755D68">
        <w:rPr>
          <w:lang w:eastAsia="ja-JP"/>
        </w:rPr>
        <w:t xml:space="preserve">and </w:t>
      </w:r>
      <w:r w:rsidR="00DC71DD">
        <w:rPr>
          <w:lang w:eastAsia="ja-JP"/>
        </w:rPr>
        <w:t>inform future policy development</w:t>
      </w:r>
      <w:r>
        <w:rPr>
          <w:lang w:eastAsia="ja-JP"/>
        </w:rPr>
        <w:t xml:space="preserve">. </w:t>
      </w:r>
      <w:r w:rsidRPr="004E441E">
        <w:rPr>
          <w:lang w:eastAsia="ja-JP"/>
        </w:rPr>
        <w:t xml:space="preserve">Service providers </w:t>
      </w:r>
      <w:r w:rsidR="00B300FE">
        <w:rPr>
          <w:lang w:eastAsia="ja-JP"/>
        </w:rPr>
        <w:t>may be able to</w:t>
      </w:r>
      <w:r w:rsidRPr="004E441E">
        <w:rPr>
          <w:lang w:eastAsia="ja-JP"/>
        </w:rPr>
        <w:t xml:space="preserve"> use data for </w:t>
      </w:r>
      <w:r w:rsidR="00755D68" w:rsidRPr="004E441E">
        <w:rPr>
          <w:lang w:eastAsia="ja-JP"/>
        </w:rPr>
        <w:t>self-evaluation for resource planning and ongoing service improvement</w:t>
      </w:r>
      <w:r w:rsidR="00DC71DD" w:rsidRPr="004E441E">
        <w:rPr>
          <w:lang w:eastAsia="ja-JP"/>
        </w:rPr>
        <w:t>.</w:t>
      </w:r>
    </w:p>
    <w:p w14:paraId="42CD4928" w14:textId="5B110317" w:rsidR="00517F4E" w:rsidRDefault="00755D68" w:rsidP="00905049">
      <w:pPr>
        <w:rPr>
          <w:lang w:eastAsia="ja-JP"/>
        </w:rPr>
      </w:pPr>
      <w:r>
        <w:rPr>
          <w:lang w:eastAsia="ja-JP"/>
        </w:rPr>
        <w:t>Arrangements under the current framework</w:t>
      </w:r>
      <w:r w:rsidR="00DC71DD">
        <w:rPr>
          <w:lang w:eastAsia="ja-JP"/>
        </w:rPr>
        <w:t xml:space="preserve"> should </w:t>
      </w:r>
      <w:r w:rsidR="00EA7533">
        <w:rPr>
          <w:lang w:eastAsia="ja-JP"/>
        </w:rPr>
        <w:t>remain</w:t>
      </w:r>
      <w:r>
        <w:rPr>
          <w:lang w:eastAsia="ja-JP"/>
        </w:rPr>
        <w:t xml:space="preserve"> in place</w:t>
      </w:r>
      <w:r w:rsidR="00951817">
        <w:rPr>
          <w:lang w:eastAsia="ja-JP"/>
        </w:rPr>
        <w:t xml:space="preserve"> for the remainder of the funding round</w:t>
      </w:r>
      <w:r w:rsidR="00DC71DD">
        <w:rPr>
          <w:lang w:eastAsia="ja-JP"/>
        </w:rPr>
        <w:t xml:space="preserve">, </w:t>
      </w:r>
      <w:r w:rsidR="00951817">
        <w:rPr>
          <w:lang w:eastAsia="ja-JP"/>
        </w:rPr>
        <w:t xml:space="preserve">with </w:t>
      </w:r>
      <w:r w:rsidR="00DC71DD">
        <w:rPr>
          <w:lang w:eastAsia="ja-JP"/>
        </w:rPr>
        <w:t>the department</w:t>
      </w:r>
      <w:r w:rsidR="00951817">
        <w:rPr>
          <w:lang w:eastAsia="ja-JP"/>
        </w:rPr>
        <w:t xml:space="preserve"> </w:t>
      </w:r>
      <w:r w:rsidR="00C0327E">
        <w:rPr>
          <w:lang w:eastAsia="ja-JP"/>
        </w:rPr>
        <w:t xml:space="preserve">maintaining </w:t>
      </w:r>
      <w:r w:rsidR="00951817">
        <w:rPr>
          <w:lang w:eastAsia="ja-JP"/>
        </w:rPr>
        <w:t xml:space="preserve">a </w:t>
      </w:r>
      <w:r w:rsidR="00C0327E">
        <w:rPr>
          <w:lang w:eastAsia="ja-JP"/>
        </w:rPr>
        <w:t xml:space="preserve">continuous </w:t>
      </w:r>
      <w:r w:rsidR="00951817">
        <w:rPr>
          <w:lang w:eastAsia="ja-JP"/>
        </w:rPr>
        <w:t>improvement approach</w:t>
      </w:r>
      <w:r w:rsidR="00ED15DC">
        <w:rPr>
          <w:lang w:eastAsia="ja-JP"/>
        </w:rPr>
        <w:t xml:space="preserve"> wherever possible</w:t>
      </w:r>
      <w:r w:rsidR="00951817">
        <w:rPr>
          <w:lang w:eastAsia="ja-JP"/>
        </w:rPr>
        <w:t xml:space="preserve">. Data </w:t>
      </w:r>
      <w:r>
        <w:rPr>
          <w:lang w:eastAsia="ja-JP"/>
        </w:rPr>
        <w:t>collected over the remainder of the program</w:t>
      </w:r>
      <w:r w:rsidR="00951817">
        <w:rPr>
          <w:lang w:eastAsia="ja-JP"/>
        </w:rPr>
        <w:t xml:space="preserve"> should inform the development of future </w:t>
      </w:r>
      <w:r w:rsidR="00976299">
        <w:rPr>
          <w:lang w:eastAsia="ja-JP"/>
        </w:rPr>
        <w:t>frameworks.</w:t>
      </w:r>
    </w:p>
    <w:p w14:paraId="40C3D5E4" w14:textId="664E93D9" w:rsidR="00EF3732" w:rsidRDefault="00976299" w:rsidP="00905049">
      <w:pPr>
        <w:rPr>
          <w:lang w:eastAsia="ja-JP"/>
        </w:rPr>
      </w:pPr>
      <w:r>
        <w:rPr>
          <w:lang w:eastAsia="ja-JP"/>
        </w:rPr>
        <w:t>Improving</w:t>
      </w:r>
      <w:r w:rsidR="002E6F3C">
        <w:rPr>
          <w:lang w:eastAsia="ja-JP"/>
        </w:rPr>
        <w:t xml:space="preserve"> monitoring and evaluation to ensure</w:t>
      </w:r>
      <w:r w:rsidR="00BC08A5">
        <w:rPr>
          <w:lang w:eastAsia="ja-JP"/>
        </w:rPr>
        <w:t xml:space="preserve"> all RFCS activities drive </w:t>
      </w:r>
      <w:r w:rsidR="002E6F3C">
        <w:rPr>
          <w:lang w:eastAsia="ja-JP"/>
        </w:rPr>
        <w:t>behavioural</w:t>
      </w:r>
      <w:r w:rsidR="00BC08A5">
        <w:rPr>
          <w:lang w:eastAsia="ja-JP"/>
        </w:rPr>
        <w:t xml:space="preserve"> change and decision</w:t>
      </w:r>
      <w:r w:rsidR="008D7617">
        <w:rPr>
          <w:lang w:eastAsia="ja-JP"/>
        </w:rPr>
        <w:t>-</w:t>
      </w:r>
      <w:r w:rsidR="00BC08A5">
        <w:rPr>
          <w:lang w:eastAsia="ja-JP"/>
        </w:rPr>
        <w:t xml:space="preserve">making </w:t>
      </w:r>
      <w:r w:rsidR="0069412F">
        <w:rPr>
          <w:lang w:eastAsia="ja-JP"/>
        </w:rPr>
        <w:t xml:space="preserve">should be a primary area of focus. </w:t>
      </w:r>
      <w:r w:rsidR="00C0327E">
        <w:rPr>
          <w:lang w:eastAsia="ja-JP"/>
        </w:rPr>
        <w:t xml:space="preserve">Unnecessary administration </w:t>
      </w:r>
      <w:r w:rsidR="00415FDF">
        <w:rPr>
          <w:lang w:eastAsia="ja-JP"/>
        </w:rPr>
        <w:t xml:space="preserve">should be </w:t>
      </w:r>
      <w:r w:rsidR="00BC08A5">
        <w:rPr>
          <w:lang w:eastAsia="ja-JP"/>
        </w:rPr>
        <w:lastRenderedPageBreak/>
        <w:t>r</w:t>
      </w:r>
      <w:r w:rsidR="00905049">
        <w:rPr>
          <w:lang w:eastAsia="ja-JP"/>
        </w:rPr>
        <w:t>educ</w:t>
      </w:r>
      <w:r w:rsidR="00C0327E">
        <w:rPr>
          <w:lang w:eastAsia="ja-JP"/>
        </w:rPr>
        <w:t>ed</w:t>
      </w:r>
      <w:r w:rsidR="00905049">
        <w:rPr>
          <w:lang w:eastAsia="ja-JP"/>
        </w:rPr>
        <w:t xml:space="preserve"> so service providers can </w:t>
      </w:r>
      <w:r w:rsidR="00BC08A5">
        <w:rPr>
          <w:lang w:eastAsia="ja-JP"/>
        </w:rPr>
        <w:t xml:space="preserve">concentrate </w:t>
      </w:r>
      <w:r w:rsidR="00905049">
        <w:rPr>
          <w:lang w:eastAsia="ja-JP"/>
        </w:rPr>
        <w:t xml:space="preserve">resources where they </w:t>
      </w:r>
      <w:r w:rsidR="00BC08A5">
        <w:rPr>
          <w:lang w:eastAsia="ja-JP"/>
        </w:rPr>
        <w:t>have the greatest</w:t>
      </w:r>
      <w:r w:rsidR="00905049">
        <w:rPr>
          <w:lang w:eastAsia="ja-JP"/>
        </w:rPr>
        <w:t xml:space="preserve"> impact for clients</w:t>
      </w:r>
      <w:r w:rsidR="00415FDF">
        <w:rPr>
          <w:lang w:eastAsia="ja-JP"/>
        </w:rPr>
        <w:t>.</w:t>
      </w:r>
    </w:p>
    <w:p w14:paraId="6F2A928C" w14:textId="61981CB9" w:rsidR="00AD29AB" w:rsidRPr="00293183" w:rsidRDefault="00AD29AB" w:rsidP="00523888">
      <w:pPr>
        <w:pStyle w:val="BoxHeading"/>
        <w:keepNext/>
      </w:pPr>
      <w:r w:rsidRPr="00293183">
        <w:t>R</w:t>
      </w:r>
      <w:r w:rsidR="00293183">
        <w:t>ecommendation 27</w:t>
      </w:r>
    </w:p>
    <w:p w14:paraId="37A66535" w14:textId="152FD9C5" w:rsidR="00517F4E" w:rsidRPr="00293183" w:rsidRDefault="008E3477" w:rsidP="00293183">
      <w:pPr>
        <w:pStyle w:val="BoxText"/>
      </w:pPr>
      <w:r w:rsidRPr="00293183">
        <w:t xml:space="preserve">That </w:t>
      </w:r>
      <w:r w:rsidR="005C1686">
        <w:t xml:space="preserve">the department commits </w:t>
      </w:r>
      <w:r w:rsidRPr="00293183">
        <w:t xml:space="preserve">resources to assess and rationalise current monitoring and evaluation activities to </w:t>
      </w:r>
      <w:r w:rsidR="005C1686">
        <w:t xml:space="preserve">strengthen the </w:t>
      </w:r>
      <w:r w:rsidRPr="00293183">
        <w:t xml:space="preserve">link </w:t>
      </w:r>
      <w:r w:rsidR="005C1686">
        <w:t xml:space="preserve">between </w:t>
      </w:r>
      <w:r w:rsidRPr="00293183">
        <w:t xml:space="preserve">provider performance </w:t>
      </w:r>
      <w:r w:rsidR="005C1686">
        <w:t xml:space="preserve">and </w:t>
      </w:r>
      <w:r w:rsidRPr="00293183">
        <w:t>client outcomes.</w:t>
      </w:r>
    </w:p>
    <w:p w14:paraId="520B0643" w14:textId="592AE028" w:rsidR="00293183" w:rsidRPr="00293183" w:rsidRDefault="00293183" w:rsidP="00523888">
      <w:pPr>
        <w:pStyle w:val="BoxHeading"/>
        <w:keepNext/>
      </w:pPr>
      <w:r w:rsidRPr="00293183">
        <w:t>R</w:t>
      </w:r>
      <w:r>
        <w:t>ecommendation 28</w:t>
      </w:r>
    </w:p>
    <w:p w14:paraId="6D49D2A3" w14:textId="67C20DE4" w:rsidR="00517F4E" w:rsidRPr="00293183" w:rsidRDefault="008E3477" w:rsidP="00293183">
      <w:pPr>
        <w:pStyle w:val="BoxText"/>
      </w:pPr>
      <w:r w:rsidRPr="00293183">
        <w:t>That the department closely consults with service providers on any changes to monitoring and evaluation</w:t>
      </w:r>
      <w:r w:rsidR="00924FF2">
        <w:t>,</w:t>
      </w:r>
      <w:r w:rsidRPr="00293183">
        <w:t xml:space="preserve"> ensuring a stronger focus on counsellor input.</w:t>
      </w:r>
    </w:p>
    <w:p w14:paraId="3764D064" w14:textId="0A0A03C9" w:rsidR="00293183" w:rsidRPr="00293183" w:rsidRDefault="00293183" w:rsidP="00523888">
      <w:pPr>
        <w:pStyle w:val="BoxHeading"/>
        <w:keepNext/>
      </w:pPr>
      <w:r w:rsidRPr="00293183">
        <w:t>R</w:t>
      </w:r>
      <w:r>
        <w:t>ecommendation 29</w:t>
      </w:r>
    </w:p>
    <w:p w14:paraId="20E4BB67" w14:textId="05857E45" w:rsidR="008E3477" w:rsidRPr="00293183" w:rsidRDefault="008E3477" w:rsidP="00293183">
      <w:pPr>
        <w:pStyle w:val="BoxText"/>
      </w:pPr>
      <w:r w:rsidRPr="00293183">
        <w:t>That data collection and reporting be appropriately adapted to provide more meaningful analysis of service provider performance and program effectiveness while reducing administrative burden on service providers and counsellors. Further qualitative data collection and analysis should be explored to provide insight into client outcomes.</w:t>
      </w:r>
    </w:p>
    <w:p w14:paraId="319B607A" w14:textId="5A4EE364" w:rsidR="00293183" w:rsidRPr="00293183" w:rsidRDefault="00293183" w:rsidP="00523888">
      <w:pPr>
        <w:pStyle w:val="BoxHeading"/>
        <w:keepNext/>
      </w:pPr>
      <w:r w:rsidRPr="00293183">
        <w:t>R</w:t>
      </w:r>
      <w:r>
        <w:t>ecommendation 30</w:t>
      </w:r>
    </w:p>
    <w:p w14:paraId="02287E1A" w14:textId="77777777" w:rsidR="00517F4E" w:rsidRPr="00293183" w:rsidRDefault="008E3477" w:rsidP="00293183">
      <w:pPr>
        <w:pStyle w:val="BoxText"/>
      </w:pPr>
      <w:r w:rsidRPr="00293183">
        <w:t>That the department considers an audit regime (in lieu of current reporting requirements) to assess provider compliance and performance. The audit regime should also measure against agreed strategies for client engagement and application of case management models. A graduated compliance regime should be considered to increase accountability for performance.</w:t>
      </w:r>
    </w:p>
    <w:p w14:paraId="5A35A94B" w14:textId="3C275E7D" w:rsidR="00837CEC" w:rsidRDefault="009F7AD3" w:rsidP="009F7AD3">
      <w:pPr>
        <w:pStyle w:val="Heading2"/>
        <w:numPr>
          <w:ilvl w:val="0"/>
          <w:numId w:val="0"/>
        </w:numPr>
        <w:ind w:left="720" w:hanging="720"/>
      </w:pPr>
      <w:bookmarkStart w:id="72" w:name="_Toc18328867"/>
      <w:r w:rsidRPr="00794BE7">
        <w:lastRenderedPageBreak/>
        <w:t>Abbreviations</w:t>
      </w:r>
      <w:bookmarkEnd w:id="72"/>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6804"/>
      </w:tblGrid>
      <w:tr w:rsidR="00683351" w14:paraId="633ECEFC" w14:textId="77777777" w:rsidTr="00B278B5">
        <w:trPr>
          <w:cantSplit/>
          <w:tblHeader/>
        </w:trPr>
        <w:tc>
          <w:tcPr>
            <w:tcW w:w="1249" w:type="pct"/>
          </w:tcPr>
          <w:p w14:paraId="35C57B4F" w14:textId="77777777" w:rsidR="00683351" w:rsidRDefault="00683351" w:rsidP="00B278B5">
            <w:pPr>
              <w:pStyle w:val="TableHeading"/>
            </w:pPr>
            <w:bookmarkStart w:id="73" w:name="_Toc14945815"/>
            <w:bookmarkStart w:id="74" w:name="_Toc16077190"/>
            <w:r>
              <w:t>Term</w:t>
            </w:r>
            <w:bookmarkEnd w:id="73"/>
            <w:bookmarkEnd w:id="74"/>
          </w:p>
        </w:tc>
        <w:tc>
          <w:tcPr>
            <w:tcW w:w="3751" w:type="pct"/>
          </w:tcPr>
          <w:p w14:paraId="74184C94" w14:textId="77777777" w:rsidR="00683351" w:rsidRDefault="00683351" w:rsidP="00B278B5">
            <w:pPr>
              <w:pStyle w:val="TableHeading"/>
            </w:pPr>
            <w:bookmarkStart w:id="75" w:name="_Toc14945816"/>
            <w:bookmarkStart w:id="76" w:name="_Toc16077191"/>
            <w:r>
              <w:t>Definition</w:t>
            </w:r>
            <w:bookmarkEnd w:id="75"/>
            <w:bookmarkEnd w:id="76"/>
          </w:p>
        </w:tc>
      </w:tr>
      <w:tr w:rsidR="00A036D8" w14:paraId="7D019893" w14:textId="77777777" w:rsidTr="00B278B5">
        <w:tc>
          <w:tcPr>
            <w:tcW w:w="1249" w:type="pct"/>
          </w:tcPr>
          <w:p w14:paraId="77166D91" w14:textId="645710DE" w:rsidR="00A036D8" w:rsidRDefault="00A036D8" w:rsidP="00B278B5">
            <w:pPr>
              <w:pStyle w:val="TableText"/>
            </w:pPr>
            <w:r>
              <w:t>ASIC</w:t>
            </w:r>
          </w:p>
        </w:tc>
        <w:tc>
          <w:tcPr>
            <w:tcW w:w="3751" w:type="pct"/>
          </w:tcPr>
          <w:p w14:paraId="32763CA7" w14:textId="273F2DCD" w:rsidR="00A036D8" w:rsidRDefault="009F7AD3" w:rsidP="00B278B5">
            <w:pPr>
              <w:pStyle w:val="TableText"/>
            </w:pPr>
            <w:r w:rsidRPr="009F7AD3">
              <w:t>Australian Securities and Investments Commission</w:t>
            </w:r>
          </w:p>
        </w:tc>
      </w:tr>
      <w:tr w:rsidR="0028000F" w14:paraId="48DF1DD6" w14:textId="77777777" w:rsidTr="0086461F">
        <w:tc>
          <w:tcPr>
            <w:tcW w:w="1249" w:type="pct"/>
            <w:shd w:val="clear" w:color="auto" w:fill="auto"/>
          </w:tcPr>
          <w:p w14:paraId="627FDC88" w14:textId="4071214B" w:rsidR="0028000F" w:rsidRPr="0086461F" w:rsidRDefault="0028000F" w:rsidP="00B278B5">
            <w:pPr>
              <w:pStyle w:val="TableText"/>
            </w:pPr>
            <w:r w:rsidRPr="0086461F">
              <w:t>CWA</w:t>
            </w:r>
          </w:p>
        </w:tc>
        <w:tc>
          <w:tcPr>
            <w:tcW w:w="3751" w:type="pct"/>
            <w:shd w:val="clear" w:color="auto" w:fill="auto"/>
          </w:tcPr>
          <w:p w14:paraId="5E3C42E4" w14:textId="2477A79C" w:rsidR="0028000F" w:rsidRPr="009F7AD3" w:rsidRDefault="0028000F" w:rsidP="00B278B5">
            <w:pPr>
              <w:pStyle w:val="TableText"/>
            </w:pPr>
            <w:r w:rsidRPr="0086461F">
              <w:t>Country Women</w:t>
            </w:r>
            <w:r w:rsidR="00736B18" w:rsidRPr="0086461F">
              <w:t>'</w:t>
            </w:r>
            <w:r w:rsidRPr="0086461F">
              <w:t>s Association</w:t>
            </w:r>
          </w:p>
        </w:tc>
      </w:tr>
      <w:tr w:rsidR="001E5D09" w14:paraId="1801DC79" w14:textId="77777777" w:rsidTr="00B278B5">
        <w:tc>
          <w:tcPr>
            <w:tcW w:w="1249" w:type="pct"/>
          </w:tcPr>
          <w:p w14:paraId="51489BBA" w14:textId="67FD4FBE" w:rsidR="001E5D09" w:rsidRDefault="001E5D09" w:rsidP="00B278B5">
            <w:pPr>
              <w:pStyle w:val="TableText"/>
            </w:pPr>
            <w:r>
              <w:t>DHS</w:t>
            </w:r>
          </w:p>
        </w:tc>
        <w:tc>
          <w:tcPr>
            <w:tcW w:w="3751" w:type="pct"/>
          </w:tcPr>
          <w:p w14:paraId="698B1718" w14:textId="06184EAC" w:rsidR="001E5D09" w:rsidRDefault="001E5D09" w:rsidP="00B278B5">
            <w:pPr>
              <w:pStyle w:val="TableText"/>
            </w:pPr>
            <w:r>
              <w:t>Department of Human Services</w:t>
            </w:r>
          </w:p>
        </w:tc>
      </w:tr>
      <w:tr w:rsidR="00A036D8" w14:paraId="6B2755D4" w14:textId="77777777" w:rsidTr="00B278B5">
        <w:tc>
          <w:tcPr>
            <w:tcW w:w="1249" w:type="pct"/>
          </w:tcPr>
          <w:p w14:paraId="2A0B853C" w14:textId="0F7A2AE8" w:rsidR="00A036D8" w:rsidRDefault="00A036D8" w:rsidP="00B278B5">
            <w:pPr>
              <w:pStyle w:val="TableText"/>
            </w:pPr>
            <w:proofErr w:type="spellStart"/>
            <w:r>
              <w:t>FCA</w:t>
            </w:r>
            <w:proofErr w:type="spellEnd"/>
          </w:p>
        </w:tc>
        <w:tc>
          <w:tcPr>
            <w:tcW w:w="3751" w:type="pct"/>
          </w:tcPr>
          <w:p w14:paraId="17030D71" w14:textId="549DE685" w:rsidR="00A036D8" w:rsidRDefault="00A036D8" w:rsidP="00B278B5">
            <w:pPr>
              <w:pStyle w:val="TableText"/>
            </w:pPr>
            <w:r>
              <w:t>Financial Counselling Australia</w:t>
            </w:r>
          </w:p>
        </w:tc>
      </w:tr>
      <w:tr w:rsidR="009F7AD3" w14:paraId="402C2A54" w14:textId="77777777" w:rsidTr="00B278B5">
        <w:tc>
          <w:tcPr>
            <w:tcW w:w="1249" w:type="pct"/>
          </w:tcPr>
          <w:p w14:paraId="2790B80A" w14:textId="4DE63848" w:rsidR="009F7AD3" w:rsidRDefault="009F7AD3" w:rsidP="009F7AD3">
            <w:pPr>
              <w:pStyle w:val="TableText"/>
            </w:pPr>
            <w:r>
              <w:t>FHA</w:t>
            </w:r>
          </w:p>
        </w:tc>
        <w:tc>
          <w:tcPr>
            <w:tcW w:w="3751" w:type="pct"/>
          </w:tcPr>
          <w:p w14:paraId="75F12BD9" w14:textId="1409F481" w:rsidR="009F7AD3" w:rsidRDefault="009F7AD3" w:rsidP="009F7AD3">
            <w:pPr>
              <w:pStyle w:val="TableText"/>
            </w:pPr>
            <w:r>
              <w:t>Farm Household Allowance</w:t>
            </w:r>
          </w:p>
        </w:tc>
      </w:tr>
      <w:tr w:rsidR="009F7AD3" w14:paraId="35ECB2DA" w14:textId="77777777" w:rsidTr="00B278B5">
        <w:tc>
          <w:tcPr>
            <w:tcW w:w="1249" w:type="pct"/>
          </w:tcPr>
          <w:p w14:paraId="7960B426" w14:textId="5C19993B" w:rsidR="009F7AD3" w:rsidRDefault="009F7AD3" w:rsidP="0028000F">
            <w:pPr>
              <w:pStyle w:val="TableText"/>
            </w:pPr>
            <w:proofErr w:type="spellStart"/>
            <w:r>
              <w:t>F</w:t>
            </w:r>
            <w:r w:rsidR="0028000F">
              <w:t>HC</w:t>
            </w:r>
            <w:r>
              <w:t>O</w:t>
            </w:r>
            <w:proofErr w:type="spellEnd"/>
          </w:p>
        </w:tc>
        <w:tc>
          <w:tcPr>
            <w:tcW w:w="3751" w:type="pct"/>
          </w:tcPr>
          <w:p w14:paraId="0DEC1BA1" w14:textId="5B764E05" w:rsidR="009F7AD3" w:rsidRDefault="009F7AD3" w:rsidP="009F7AD3">
            <w:pPr>
              <w:pStyle w:val="TableText"/>
            </w:pPr>
            <w:r>
              <w:t>Farm Household Case Officer</w:t>
            </w:r>
          </w:p>
        </w:tc>
      </w:tr>
      <w:tr w:rsidR="009F7AD3" w14:paraId="7A0FC91B" w14:textId="77777777" w:rsidTr="00B278B5">
        <w:tc>
          <w:tcPr>
            <w:tcW w:w="1249" w:type="pct"/>
          </w:tcPr>
          <w:p w14:paraId="2FBAB8E0" w14:textId="09CF1356" w:rsidR="009F7AD3" w:rsidRDefault="009F7AD3" w:rsidP="009F7AD3">
            <w:pPr>
              <w:pStyle w:val="TableText"/>
            </w:pPr>
            <w:r>
              <w:t>FLO</w:t>
            </w:r>
          </w:p>
        </w:tc>
        <w:tc>
          <w:tcPr>
            <w:tcW w:w="3751" w:type="pct"/>
          </w:tcPr>
          <w:p w14:paraId="295341CB" w14:textId="5085033B" w:rsidR="009F7AD3" w:rsidRDefault="009F7AD3" w:rsidP="009F7AD3">
            <w:pPr>
              <w:pStyle w:val="TableText"/>
            </w:pPr>
            <w:r>
              <w:t>Farm Liaison Officer</w:t>
            </w:r>
          </w:p>
        </w:tc>
      </w:tr>
      <w:tr w:rsidR="009F7AD3" w14:paraId="63E4CD69" w14:textId="77777777" w:rsidTr="00B278B5">
        <w:tc>
          <w:tcPr>
            <w:tcW w:w="1249" w:type="pct"/>
          </w:tcPr>
          <w:p w14:paraId="549613FC" w14:textId="11FD14ED" w:rsidR="009F7AD3" w:rsidRPr="0086461F" w:rsidRDefault="009F7AD3" w:rsidP="009F7AD3">
            <w:pPr>
              <w:pStyle w:val="TableText"/>
            </w:pPr>
            <w:proofErr w:type="spellStart"/>
            <w:r w:rsidRPr="0086461F">
              <w:t>LGA</w:t>
            </w:r>
            <w:proofErr w:type="spellEnd"/>
          </w:p>
        </w:tc>
        <w:tc>
          <w:tcPr>
            <w:tcW w:w="3751" w:type="pct"/>
          </w:tcPr>
          <w:p w14:paraId="1C898CA1" w14:textId="6637DEBA" w:rsidR="009F7AD3" w:rsidRPr="0086461F" w:rsidRDefault="009F7AD3" w:rsidP="0032229B">
            <w:pPr>
              <w:pStyle w:val="TableText"/>
            </w:pPr>
            <w:r w:rsidRPr="0086461F">
              <w:t xml:space="preserve">Local </w:t>
            </w:r>
            <w:r w:rsidR="0032229B" w:rsidRPr="0086461F">
              <w:t>g</w:t>
            </w:r>
            <w:r w:rsidRPr="0086461F">
              <w:t xml:space="preserve">overnment </w:t>
            </w:r>
            <w:r w:rsidR="0032229B" w:rsidRPr="0086461F">
              <w:t>a</w:t>
            </w:r>
            <w:r w:rsidRPr="0086461F">
              <w:t>rea</w:t>
            </w:r>
          </w:p>
        </w:tc>
      </w:tr>
      <w:tr w:rsidR="009F7AD3" w14:paraId="1FD9C31D" w14:textId="77777777" w:rsidTr="00B278B5">
        <w:tc>
          <w:tcPr>
            <w:tcW w:w="1249" w:type="pct"/>
          </w:tcPr>
          <w:p w14:paraId="5BA91593" w14:textId="0A0DEBEB" w:rsidR="009F7AD3" w:rsidRDefault="009F7AD3" w:rsidP="009F7AD3">
            <w:pPr>
              <w:pStyle w:val="TableText"/>
            </w:pPr>
            <w:proofErr w:type="spellStart"/>
            <w:r>
              <w:t>NRAC</w:t>
            </w:r>
            <w:proofErr w:type="spellEnd"/>
          </w:p>
        </w:tc>
        <w:tc>
          <w:tcPr>
            <w:tcW w:w="3751" w:type="pct"/>
          </w:tcPr>
          <w:p w14:paraId="00AD9FD8" w14:textId="366FE652" w:rsidR="009F7AD3" w:rsidRDefault="009F7AD3" w:rsidP="009F7AD3">
            <w:pPr>
              <w:pStyle w:val="TableText"/>
            </w:pPr>
            <w:r>
              <w:t>National Rural Advisory Council</w:t>
            </w:r>
          </w:p>
        </w:tc>
      </w:tr>
      <w:tr w:rsidR="009F7AD3" w14:paraId="70082037" w14:textId="77777777" w:rsidTr="00B278B5">
        <w:tc>
          <w:tcPr>
            <w:tcW w:w="1249" w:type="pct"/>
          </w:tcPr>
          <w:p w14:paraId="001EF85F" w14:textId="7D393DB7" w:rsidR="009F7AD3" w:rsidRDefault="009F7AD3" w:rsidP="009F7AD3">
            <w:pPr>
              <w:pStyle w:val="TableText"/>
            </w:pPr>
            <w:r>
              <w:t>RFCS</w:t>
            </w:r>
          </w:p>
        </w:tc>
        <w:tc>
          <w:tcPr>
            <w:tcW w:w="3751" w:type="pct"/>
          </w:tcPr>
          <w:p w14:paraId="3F2B0268" w14:textId="18018E31" w:rsidR="009F7AD3" w:rsidRDefault="009F7AD3" w:rsidP="009F7AD3">
            <w:pPr>
              <w:pStyle w:val="TableText"/>
            </w:pPr>
            <w:r>
              <w:t>Rural Financial Counselling Service</w:t>
            </w:r>
          </w:p>
        </w:tc>
      </w:tr>
      <w:tr w:rsidR="009F7AD3" w14:paraId="48AFE810" w14:textId="77777777" w:rsidTr="00B278B5">
        <w:tc>
          <w:tcPr>
            <w:tcW w:w="1249" w:type="pct"/>
          </w:tcPr>
          <w:p w14:paraId="02C8D904" w14:textId="0EB8B942" w:rsidR="009F7AD3" w:rsidRDefault="009F7AD3" w:rsidP="009F7AD3">
            <w:pPr>
              <w:pStyle w:val="TableText"/>
            </w:pPr>
            <w:proofErr w:type="spellStart"/>
            <w:r>
              <w:t>RIC</w:t>
            </w:r>
            <w:proofErr w:type="spellEnd"/>
          </w:p>
        </w:tc>
        <w:tc>
          <w:tcPr>
            <w:tcW w:w="3751" w:type="pct"/>
          </w:tcPr>
          <w:p w14:paraId="6E3A2BD1" w14:textId="5FA7C914" w:rsidR="009F7AD3" w:rsidRDefault="009F7AD3" w:rsidP="009F7AD3">
            <w:pPr>
              <w:pStyle w:val="TableText"/>
            </w:pPr>
            <w:r>
              <w:t>Regional Investment Corporation</w:t>
            </w:r>
          </w:p>
        </w:tc>
      </w:tr>
    </w:tbl>
    <w:p w14:paraId="06D7579B" w14:textId="77777777" w:rsidR="00683351" w:rsidRPr="00F866FC" w:rsidRDefault="00683351" w:rsidP="00683351">
      <w:pPr>
        <w:rPr>
          <w:lang w:eastAsia="ja-JP"/>
        </w:rPr>
      </w:pPr>
    </w:p>
    <w:sectPr w:rsidR="00683351" w:rsidRPr="00F866FC" w:rsidSect="004605D5">
      <w:type w:val="continuous"/>
      <w:pgSz w:w="11906" w:h="16838"/>
      <w:pgMar w:top="1418" w:right="1418" w:bottom="1276" w:left="1418" w:header="567"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59FC2" w14:textId="77777777" w:rsidR="00474B0C" w:rsidRDefault="00474B0C">
      <w:r>
        <w:separator/>
      </w:r>
    </w:p>
    <w:p w14:paraId="4A859FC3" w14:textId="77777777" w:rsidR="00474B0C" w:rsidRDefault="00474B0C"/>
    <w:p w14:paraId="4A859FC4" w14:textId="77777777" w:rsidR="00474B0C" w:rsidRDefault="00474B0C"/>
  </w:endnote>
  <w:endnote w:type="continuationSeparator" w:id="0">
    <w:p w14:paraId="4A859FC5" w14:textId="77777777" w:rsidR="00474B0C" w:rsidRDefault="00474B0C">
      <w:r>
        <w:continuationSeparator/>
      </w:r>
    </w:p>
    <w:p w14:paraId="4A859FC6" w14:textId="77777777" w:rsidR="00474B0C" w:rsidRDefault="00474B0C"/>
    <w:p w14:paraId="4A859FC7" w14:textId="77777777" w:rsidR="00474B0C" w:rsidRDefault="00474B0C"/>
  </w:endnote>
  <w:endnote w:type="continuationNotice" w:id="1">
    <w:p w14:paraId="4A859FC8" w14:textId="77777777" w:rsidR="00474B0C" w:rsidRDefault="00474B0C">
      <w:pPr>
        <w:pStyle w:val="Footer"/>
      </w:pPr>
    </w:p>
    <w:p w14:paraId="4A859FC9" w14:textId="77777777" w:rsidR="00474B0C" w:rsidRDefault="00474B0C"/>
    <w:p w14:paraId="4A859FCA" w14:textId="77777777" w:rsidR="00474B0C" w:rsidRDefault="00474B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59FCD" w14:textId="586C7656" w:rsidR="00474B0C" w:rsidRDefault="00474B0C">
    <w:pPr>
      <w:pStyle w:val="Footer"/>
    </w:pPr>
    <w:r>
      <w:t>Department of Agriculture</w:t>
    </w:r>
  </w:p>
  <w:p w14:paraId="4A859FCE" w14:textId="77777777" w:rsidR="00474B0C" w:rsidRDefault="00474B0C">
    <w:pPr>
      <w:pStyle w:val="Footer"/>
    </w:pPr>
    <w:r>
      <w:fldChar w:fldCharType="begin"/>
    </w:r>
    <w:r>
      <w:instrText xml:space="preserve"> PAGE   \* MERGEFORMAT </w:instrText>
    </w:r>
    <w:r>
      <w:fldChar w:fldCharType="separate"/>
    </w:r>
    <w:r w:rsidR="007114E3">
      <w:rPr>
        <w:noProof/>
      </w:rPr>
      <w:t>iii</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859FB9" w14:textId="77777777" w:rsidR="00474B0C" w:rsidRDefault="00474B0C">
      <w:r>
        <w:separator/>
      </w:r>
    </w:p>
  </w:footnote>
  <w:footnote w:type="continuationSeparator" w:id="0">
    <w:p w14:paraId="4A859FBC" w14:textId="77777777" w:rsidR="00474B0C" w:rsidRDefault="00474B0C">
      <w:r>
        <w:continuationSeparator/>
      </w:r>
    </w:p>
    <w:p w14:paraId="4A859FBD" w14:textId="77777777" w:rsidR="00474B0C" w:rsidRDefault="00474B0C"/>
    <w:p w14:paraId="4A859FBE" w14:textId="77777777" w:rsidR="00474B0C" w:rsidRDefault="00474B0C"/>
  </w:footnote>
  <w:footnote w:type="continuationNotice" w:id="1">
    <w:p w14:paraId="4A859FBF" w14:textId="77777777" w:rsidR="00474B0C" w:rsidRDefault="00474B0C">
      <w:pPr>
        <w:pStyle w:val="Footer"/>
      </w:pPr>
    </w:p>
    <w:p w14:paraId="4A859FC0" w14:textId="77777777" w:rsidR="00474B0C" w:rsidRDefault="00474B0C"/>
    <w:p w14:paraId="4A859FC1" w14:textId="77777777" w:rsidR="00474B0C" w:rsidRDefault="00474B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59FCC" w14:textId="638370D3" w:rsidR="00474B0C" w:rsidRDefault="00474B0C">
    <w:pPr>
      <w:pStyle w:val="Header"/>
    </w:pPr>
    <w:r>
      <w:t>Internal r</w:t>
    </w:r>
    <w:r w:rsidRPr="004605D5">
      <w:t xml:space="preserve">eview into the </w:t>
    </w:r>
    <w:r>
      <w:t>2016 to 2020</w:t>
    </w:r>
    <w:r w:rsidRPr="004605D5">
      <w:t xml:space="preserve"> Rural Financial Counselling Service program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59FCF" w14:textId="285B0EDF" w:rsidR="00474B0C" w:rsidRDefault="00474B0C">
    <w:pPr>
      <w:pStyle w:val="Header"/>
      <w:jc w:val="left"/>
    </w:pPr>
    <w:r>
      <w:rPr>
        <w:noProof/>
        <w:lang w:eastAsia="en-AU"/>
      </w:rPr>
      <w:drawing>
        <wp:inline distT="0" distB="0" distL="0" distR="0" wp14:anchorId="246F0436" wp14:editId="52014CCE">
          <wp:extent cx="2316480" cy="637247"/>
          <wp:effectExtent l="0" t="0" r="7620" b="0"/>
          <wp:docPr id="3" name="Picture 3" descr="Department of 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63724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FB20C31C"/>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2820D74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4" w15:restartNumberingAfterBreak="0">
    <w:nsid w:val="21A328D5"/>
    <w:multiLevelType w:val="multilevel"/>
    <w:tmpl w:val="BE78A4F8"/>
    <w:numStyleLink w:val="Numberlist"/>
  </w:abstractNum>
  <w:abstractNum w:abstractNumId="5"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94A15FE"/>
    <w:multiLevelType w:val="multilevel"/>
    <w:tmpl w:val="F36C17E8"/>
    <w:numStyleLink w:val="Headinglist"/>
  </w:abstractNum>
  <w:abstractNum w:abstractNumId="7" w15:restartNumberingAfterBreak="0">
    <w:nsid w:val="3A620714"/>
    <w:multiLevelType w:val="hybridMultilevel"/>
    <w:tmpl w:val="5096E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9"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1" w15:restartNumberingAfterBreak="0">
    <w:nsid w:val="5AA12966"/>
    <w:multiLevelType w:val="multilevel"/>
    <w:tmpl w:val="105E26E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2"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3" w15:restartNumberingAfterBreak="0">
    <w:nsid w:val="66C73CBE"/>
    <w:multiLevelType w:val="hybridMultilevel"/>
    <w:tmpl w:val="0434A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DEE1A27"/>
    <w:multiLevelType w:val="hybridMultilevel"/>
    <w:tmpl w:val="B3AA1C28"/>
    <w:lvl w:ilvl="0" w:tplc="3C806F8C">
      <w:start w:val="3"/>
      <w:numFmt w:val="bullet"/>
      <w:lvlText w:val="-"/>
      <w:lvlJc w:val="left"/>
      <w:pPr>
        <w:ind w:left="72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C122A0"/>
    <w:multiLevelType w:val="multilevel"/>
    <w:tmpl w:val="BC8603C0"/>
    <w:styleLink w:val="ListNumbers"/>
    <w:lvl w:ilvl="0">
      <w:start w:val="1"/>
      <w:numFmt w:val="decimal"/>
      <w:lvlText w:val="%1)"/>
      <w:lvlJc w:val="left"/>
      <w:pPr>
        <w:ind w:left="425" w:hanging="425"/>
      </w:pPr>
      <w:rPr>
        <w:rFonts w:hint="default"/>
        <w:color w:val="auto"/>
      </w:rPr>
    </w:lvl>
    <w:lvl w:ilvl="1">
      <w:start w:val="1"/>
      <w:numFmt w:val="lowerLetter"/>
      <w:lvlText w:val="%2)"/>
      <w:lvlJc w:val="left"/>
      <w:pPr>
        <w:ind w:left="794" w:hanging="369"/>
      </w:pPr>
      <w:rPr>
        <w:rFonts w:hint="default"/>
      </w:rPr>
    </w:lvl>
    <w:lvl w:ilvl="2">
      <w:start w:val="1"/>
      <w:numFmt w:val="lowerRoman"/>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73B710CE"/>
    <w:multiLevelType w:val="multilevel"/>
    <w:tmpl w:val="D884BCB2"/>
    <w:lvl w:ilvl="0">
      <w:start w:val="1"/>
      <w:numFmt w:val="bullet"/>
      <w:pStyle w:val="Bullet"/>
      <w:lvlText w:val=""/>
      <w:lvlJc w:val="left"/>
      <w:pPr>
        <w:ind w:left="680" w:hanging="340"/>
      </w:pPr>
      <w:rPr>
        <w:rFonts w:ascii="Wingdings 2" w:hAnsi="Wingdings 2" w:hint="default"/>
        <w:color w:val="404040" w:themeColor="text1" w:themeTint="BF"/>
        <w:position w:val="3"/>
        <w:sz w:val="10"/>
      </w:rPr>
    </w:lvl>
    <w:lvl w:ilvl="1">
      <w:start w:val="1"/>
      <w:numFmt w:val="bullet"/>
      <w:lvlText w:val=""/>
      <w:lvlJc w:val="left"/>
      <w:pPr>
        <w:ind w:left="1020" w:hanging="340"/>
      </w:pPr>
      <w:rPr>
        <w:rFonts w:ascii="Wingdings 2" w:hAnsi="Wingdings 2" w:hint="default"/>
        <w:color w:val="404040" w:themeColor="text1" w:themeTint="BF"/>
        <w:position w:val="3"/>
        <w:sz w:val="10"/>
      </w:rPr>
    </w:lvl>
    <w:lvl w:ilvl="2">
      <w:start w:val="1"/>
      <w:numFmt w:val="bullet"/>
      <w:lvlText w:val=""/>
      <w:lvlJc w:val="left"/>
      <w:pPr>
        <w:ind w:left="1360" w:hanging="340"/>
      </w:pPr>
      <w:rPr>
        <w:rFonts w:ascii="Wingdings 2" w:hAnsi="Wingdings 2" w:hint="default"/>
        <w:color w:val="404040" w:themeColor="text1" w:themeTint="BF"/>
        <w:position w:val="4"/>
        <w:sz w:val="10"/>
      </w:rPr>
    </w:lvl>
    <w:lvl w:ilvl="3">
      <w:start w:val="1"/>
      <w:numFmt w:val="bullet"/>
      <w:lvlText w:val=""/>
      <w:lvlJc w:val="left"/>
      <w:pPr>
        <w:ind w:left="1700" w:hanging="340"/>
      </w:pPr>
      <w:rPr>
        <w:rFonts w:ascii="Wingdings 2" w:hAnsi="Wingdings 2" w:hint="default"/>
        <w:color w:val="404040" w:themeColor="text1" w:themeTint="BF"/>
        <w:position w:val="3"/>
        <w:sz w:val="10"/>
      </w:rPr>
    </w:lvl>
    <w:lvl w:ilvl="4">
      <w:start w:val="1"/>
      <w:numFmt w:val="none"/>
      <w:lvlText w:val=""/>
      <w:lvlJc w:val="left"/>
      <w:pPr>
        <w:ind w:left="2040" w:hanging="340"/>
      </w:pPr>
      <w:rPr>
        <w:rFonts w:hint="default"/>
        <w:color w:val="404040" w:themeColor="text1" w:themeTint="BF"/>
        <w:position w:val="3"/>
        <w:sz w:val="10"/>
      </w:rPr>
    </w:lvl>
    <w:lvl w:ilvl="5">
      <w:start w:val="1"/>
      <w:numFmt w:val="none"/>
      <w:lvlText w:val=""/>
      <w:lvlJc w:val="left"/>
      <w:pPr>
        <w:ind w:left="2380" w:hanging="340"/>
      </w:pPr>
      <w:rPr>
        <w:rFonts w:hint="default"/>
        <w:color w:val="404040" w:themeColor="text1" w:themeTint="BF"/>
        <w:position w:val="3"/>
        <w:sz w:val="10"/>
      </w:rPr>
    </w:lvl>
    <w:lvl w:ilvl="6">
      <w:start w:val="1"/>
      <w:numFmt w:val="none"/>
      <w:lvlText w:val=""/>
      <w:lvlJc w:val="left"/>
      <w:pPr>
        <w:ind w:left="2720" w:hanging="340"/>
      </w:pPr>
      <w:rPr>
        <w:rFonts w:hint="default"/>
        <w:color w:val="404040" w:themeColor="text1" w:themeTint="BF"/>
        <w:position w:val="3"/>
        <w:sz w:val="10"/>
      </w:rPr>
    </w:lvl>
    <w:lvl w:ilvl="7">
      <w:start w:val="1"/>
      <w:numFmt w:val="none"/>
      <w:lvlText w:val=""/>
      <w:lvlJc w:val="left"/>
      <w:pPr>
        <w:ind w:left="3060" w:hanging="340"/>
      </w:pPr>
      <w:rPr>
        <w:rFonts w:hint="default"/>
        <w:color w:val="404040" w:themeColor="text1" w:themeTint="BF"/>
        <w:position w:val="3"/>
        <w:sz w:val="10"/>
      </w:rPr>
    </w:lvl>
    <w:lvl w:ilvl="8">
      <w:start w:val="1"/>
      <w:numFmt w:val="none"/>
      <w:lvlText w:val=""/>
      <w:lvlJc w:val="left"/>
      <w:pPr>
        <w:ind w:left="3400" w:hanging="340"/>
      </w:pPr>
      <w:rPr>
        <w:rFonts w:hint="default"/>
        <w:color w:val="404040" w:themeColor="text1" w:themeTint="BF"/>
        <w:position w:val="3"/>
        <w:sz w:val="10"/>
      </w:rPr>
    </w:lvl>
  </w:abstractNum>
  <w:abstractNum w:abstractNumId="17" w15:restartNumberingAfterBreak="0">
    <w:nsid w:val="7F617E8C"/>
    <w:multiLevelType w:val="hybridMultilevel"/>
    <w:tmpl w:val="89121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1"/>
    <w:lvlOverride w:ilvl="0">
      <w:lvl w:ilvl="0">
        <w:start w:val="1"/>
        <w:numFmt w:val="bullet"/>
        <w:pStyle w:val="ListBullet"/>
        <w:lvlText w:val=""/>
        <w:lvlJc w:val="left"/>
        <w:pPr>
          <w:ind w:left="425" w:hanging="425"/>
        </w:pPr>
        <w:rPr>
          <w:rFonts w:ascii="Symbol" w:hAnsi="Symbol" w:hint="default"/>
          <w:color w:val="003150"/>
        </w:rPr>
      </w:lvl>
    </w:lvlOverride>
  </w:num>
  <w:num w:numId="4">
    <w:abstractNumId w:val="12"/>
  </w:num>
  <w:num w:numId="5">
    <w:abstractNumId w:val="5"/>
  </w:num>
  <w:num w:numId="6">
    <w:abstractNumId w:val="6"/>
    <w:lvlOverride w:ilvl="1">
      <w:lvl w:ilvl="1">
        <w:start w:val="1"/>
        <w:numFmt w:val="decimal"/>
        <w:pStyle w:val="Heading3"/>
        <w:lvlText w:val="%1.%2"/>
        <w:lvlJc w:val="left"/>
        <w:pPr>
          <w:ind w:left="964" w:hanging="964"/>
        </w:pPr>
        <w:rPr>
          <w:rFonts w:hint="default"/>
        </w:rPr>
      </w:lvl>
    </w:lvlOverride>
    <w:lvlOverride w:ilvl="2">
      <w:lvl w:ilvl="2">
        <w:start w:val="1"/>
        <w:numFmt w:val="decimal"/>
        <w:pStyle w:val="Heading4"/>
        <w:lvlText w:val="%1.%2.%3"/>
        <w:lvlJc w:val="left"/>
        <w:pPr>
          <w:ind w:left="964" w:hanging="964"/>
        </w:pPr>
        <w:rPr>
          <w:rFonts w:hint="default"/>
        </w:rPr>
      </w:lvl>
    </w:lvlOverride>
  </w:num>
  <w:num w:numId="7">
    <w:abstractNumId w:val="10"/>
  </w:num>
  <w:num w:numId="8">
    <w:abstractNumId w:val="4"/>
    <w:lvlOverride w:ilvl="0">
      <w:lvl w:ilvl="0">
        <w:start w:val="1"/>
        <w:numFmt w:val="decimal"/>
        <w:pStyle w:val="ListNumber"/>
        <w:lvlText w:val="%1)"/>
        <w:lvlJc w:val="left"/>
        <w:pPr>
          <w:ind w:left="425" w:hanging="425"/>
        </w:pPr>
        <w:rPr>
          <w:rFonts w:hint="default"/>
          <w:color w:val="auto"/>
        </w:rPr>
      </w:lvl>
    </w:lvlOverride>
    <w:lvlOverride w:ilvl="1">
      <w:lvl w:ilvl="1">
        <w:start w:val="1"/>
        <w:numFmt w:val="lowerLetter"/>
        <w:pStyle w:val="ListNumber2"/>
        <w:lvlText w:val="%2)"/>
        <w:lvlJc w:val="left"/>
        <w:pPr>
          <w:ind w:left="851" w:hanging="426"/>
        </w:pPr>
        <w:rPr>
          <w:rFonts w:hint="default"/>
        </w:rPr>
      </w:lvl>
    </w:lvlOverride>
    <w:lvlOverride w:ilvl="2">
      <w:lvl w:ilvl="2">
        <w:start w:val="1"/>
        <w:numFmt w:val="lowerRoman"/>
        <w:pStyle w:val="ListNumber3"/>
        <w:lvlText w:val="%3)"/>
        <w:lvlJc w:val="left"/>
        <w:pPr>
          <w:ind w:left="1191" w:hanging="340"/>
        </w:pPr>
        <w:rPr>
          <w:rFonts w:hint="default"/>
        </w:rPr>
      </w:lvl>
    </w:lvlOverride>
    <w:lvlOverride w:ilvl="3">
      <w:lvl w:ilvl="3">
        <w:start w:val="1"/>
        <w:numFmt w:val="decimal"/>
        <w:lvlText w:val="%4."/>
        <w:lvlJc w:val="left"/>
        <w:pPr>
          <w:ind w:left="1276" w:hanging="1276"/>
        </w:pPr>
        <w:rPr>
          <w:rFonts w:hint="default"/>
        </w:rPr>
      </w:lvl>
    </w:lvlOverride>
    <w:lvlOverride w:ilvl="4">
      <w:lvl w:ilvl="4">
        <w:start w:val="1"/>
        <w:numFmt w:val="lowerLetter"/>
        <w:lvlText w:val="%5."/>
        <w:lvlJc w:val="left"/>
        <w:pPr>
          <w:ind w:left="567" w:hanging="567"/>
        </w:pPr>
        <w:rPr>
          <w:rFonts w:hint="default"/>
        </w:rPr>
      </w:lvl>
    </w:lvlOverride>
    <w:lvlOverride w:ilvl="5">
      <w:lvl w:ilvl="5">
        <w:start w:val="1"/>
        <w:numFmt w:val="lowerRoman"/>
        <w:lvlText w:val="%6."/>
        <w:lvlJc w:val="right"/>
        <w:pPr>
          <w:ind w:left="567" w:hanging="567"/>
        </w:pPr>
        <w:rPr>
          <w:rFonts w:hint="default"/>
        </w:rPr>
      </w:lvl>
    </w:lvlOverride>
    <w:lvlOverride w:ilvl="6">
      <w:lvl w:ilvl="6">
        <w:start w:val="1"/>
        <w:numFmt w:val="decimal"/>
        <w:lvlText w:val="%7."/>
        <w:lvlJc w:val="left"/>
        <w:pPr>
          <w:ind w:left="567" w:hanging="567"/>
        </w:pPr>
        <w:rPr>
          <w:rFonts w:hint="default"/>
        </w:rPr>
      </w:lvl>
    </w:lvlOverride>
    <w:lvlOverride w:ilvl="7">
      <w:lvl w:ilvl="7">
        <w:start w:val="1"/>
        <w:numFmt w:val="lowerLetter"/>
        <w:lvlText w:val="%8."/>
        <w:lvlJc w:val="left"/>
        <w:pPr>
          <w:ind w:left="567" w:hanging="567"/>
        </w:pPr>
        <w:rPr>
          <w:rFonts w:hint="default"/>
        </w:rPr>
      </w:lvl>
    </w:lvlOverride>
    <w:lvlOverride w:ilvl="8">
      <w:lvl w:ilvl="8">
        <w:start w:val="1"/>
        <w:numFmt w:val="lowerRoman"/>
        <w:lvlText w:val="%9."/>
        <w:lvlJc w:val="right"/>
        <w:pPr>
          <w:ind w:left="567" w:hanging="567"/>
        </w:pPr>
        <w:rPr>
          <w:rFonts w:hint="default"/>
        </w:rPr>
      </w:lvl>
    </w:lvlOverride>
  </w:num>
  <w:num w:numId="9">
    <w:abstractNumId w:val="9"/>
  </w:num>
  <w:num w:numId="10">
    <w:abstractNumId w:val="2"/>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6"/>
  </w:num>
  <w:num w:numId="16">
    <w:abstractNumId w:val="11"/>
  </w:num>
  <w:num w:numId="17">
    <w:abstractNumId w:val="7"/>
  </w:num>
  <w:num w:numId="18">
    <w:abstractNumId w:val="1"/>
  </w:num>
  <w:num w:numId="19">
    <w:abstractNumId w:val="4"/>
    <w:lvlOverride w:ilvl="0">
      <w:lvl w:ilvl="0">
        <w:start w:val="1"/>
        <w:numFmt w:val="decimal"/>
        <w:pStyle w:val="ListNumber"/>
        <w:lvlText w:val="%1)"/>
        <w:lvlJc w:val="left"/>
        <w:pPr>
          <w:ind w:left="425" w:hanging="425"/>
        </w:pPr>
        <w:rPr>
          <w:rFonts w:hint="default"/>
          <w:color w:val="auto"/>
        </w:rPr>
      </w:lvl>
    </w:lvlOverride>
  </w:num>
  <w:num w:numId="20">
    <w:abstractNumId w:val="0"/>
  </w:num>
  <w:num w:numId="21">
    <w:abstractNumId w:val="17"/>
  </w:num>
  <w:num w:numId="22">
    <w:abstractNumId w:val="13"/>
  </w:num>
  <w:num w:numId="23">
    <w:abstractNumId w:val="4"/>
    <w:lvlOverride w:ilvl="0">
      <w:startOverride w:val="1"/>
      <w:lvl w:ilvl="0">
        <w:start w:val="1"/>
        <w:numFmt w:val="decimal"/>
        <w:pStyle w:val="ListNumber"/>
        <w:lvlText w:val="%1)"/>
        <w:lvlJc w:val="left"/>
        <w:pPr>
          <w:ind w:left="425" w:hanging="425"/>
        </w:pPr>
        <w:rPr>
          <w:rFonts w:hint="default"/>
          <w:color w:val="auto"/>
        </w:rPr>
      </w:lvl>
    </w:lvlOverride>
    <w:lvlOverride w:ilvl="1">
      <w:startOverride w:val="1"/>
      <w:lvl w:ilvl="1">
        <w:start w:val="1"/>
        <w:numFmt w:val="lowerLetter"/>
        <w:pStyle w:val="ListNumber2"/>
        <w:lvlText w:val="%2)"/>
        <w:lvlJc w:val="left"/>
        <w:pPr>
          <w:ind w:left="851" w:hanging="426"/>
        </w:pPr>
        <w:rPr>
          <w:rFonts w:hint="default"/>
        </w:rPr>
      </w:lvl>
    </w:lvlOverride>
    <w:lvlOverride w:ilvl="2">
      <w:startOverride w:val="1"/>
      <w:lvl w:ilvl="2">
        <w:start w:val="1"/>
        <w:numFmt w:val="lowerRoman"/>
        <w:pStyle w:val="ListNumber3"/>
        <w:lvlText w:val="%3)"/>
        <w:lvlJc w:val="left"/>
        <w:pPr>
          <w:ind w:left="1191" w:hanging="340"/>
        </w:pPr>
        <w:rPr>
          <w:rFonts w:hint="default"/>
        </w:rPr>
      </w:lvl>
    </w:lvlOverride>
    <w:lvlOverride w:ilvl="3">
      <w:startOverride w:val="1"/>
      <w:lvl w:ilvl="3">
        <w:start w:val="1"/>
        <w:numFmt w:val="decimal"/>
        <w:lvlText w:val="%4."/>
        <w:lvlJc w:val="left"/>
        <w:pPr>
          <w:ind w:left="1276" w:hanging="1276"/>
        </w:pPr>
        <w:rPr>
          <w:rFonts w:hint="default"/>
        </w:rPr>
      </w:lvl>
    </w:lvlOverride>
    <w:lvlOverride w:ilvl="4">
      <w:startOverride w:val="1"/>
      <w:lvl w:ilvl="4">
        <w:start w:val="1"/>
        <w:numFmt w:val="lowerLetter"/>
        <w:lvlText w:val="%5."/>
        <w:lvlJc w:val="left"/>
        <w:pPr>
          <w:ind w:left="567" w:hanging="567"/>
        </w:pPr>
        <w:rPr>
          <w:rFonts w:hint="default"/>
        </w:rPr>
      </w:lvl>
    </w:lvlOverride>
    <w:lvlOverride w:ilvl="5">
      <w:startOverride w:val="1"/>
      <w:lvl w:ilvl="5">
        <w:start w:val="1"/>
        <w:numFmt w:val="lowerRoman"/>
        <w:lvlText w:val="%6."/>
        <w:lvlJc w:val="right"/>
        <w:pPr>
          <w:ind w:left="567" w:hanging="567"/>
        </w:pPr>
        <w:rPr>
          <w:rFonts w:hint="default"/>
        </w:rPr>
      </w:lvl>
    </w:lvlOverride>
    <w:lvlOverride w:ilvl="6">
      <w:startOverride w:val="1"/>
      <w:lvl w:ilvl="6">
        <w:start w:val="1"/>
        <w:numFmt w:val="decimal"/>
        <w:lvlText w:val="%7."/>
        <w:lvlJc w:val="left"/>
        <w:pPr>
          <w:ind w:left="567" w:hanging="567"/>
        </w:pPr>
        <w:rPr>
          <w:rFonts w:hint="default"/>
        </w:rPr>
      </w:lvl>
    </w:lvlOverride>
    <w:lvlOverride w:ilvl="7">
      <w:startOverride w:val="1"/>
      <w:lvl w:ilvl="7">
        <w:start w:val="1"/>
        <w:numFmt w:val="lowerLetter"/>
        <w:lvlText w:val="%8."/>
        <w:lvlJc w:val="left"/>
        <w:pPr>
          <w:ind w:left="567" w:hanging="567"/>
        </w:pPr>
        <w:rPr>
          <w:rFonts w:hint="default"/>
        </w:rPr>
      </w:lvl>
    </w:lvlOverride>
    <w:lvlOverride w:ilvl="8">
      <w:startOverride w:val="1"/>
      <w:lvl w:ilvl="8">
        <w:start w:val="1"/>
        <w:numFmt w:val="lowerRoman"/>
        <w:lvlText w:val="%9."/>
        <w:lvlJc w:val="right"/>
        <w:pPr>
          <w:ind w:left="567" w:hanging="567"/>
        </w:pPr>
        <w:rPr>
          <w:rFonts w:hint="default"/>
        </w:rPr>
      </w:lvl>
    </w:lvlOverride>
  </w:num>
  <w:num w:numId="24">
    <w:abstractNumId w:val="4"/>
    <w:lvlOverride w:ilvl="0">
      <w:lvl w:ilvl="0">
        <w:start w:val="1"/>
        <w:numFmt w:val="decimal"/>
        <w:pStyle w:val="ListNumber"/>
        <w:lvlText w:val="%1)"/>
        <w:lvlJc w:val="left"/>
        <w:pPr>
          <w:ind w:left="425" w:hanging="425"/>
        </w:pPr>
        <w:rPr>
          <w:rFonts w:hint="default"/>
          <w:color w:val="auto"/>
        </w:rPr>
      </w:lvl>
    </w:lvlOverride>
    <w:lvlOverride w:ilvl="1">
      <w:lvl w:ilvl="1">
        <w:start w:val="1"/>
        <w:numFmt w:val="lowerLetter"/>
        <w:pStyle w:val="ListNumber2"/>
        <w:lvlText w:val="%2)"/>
        <w:lvlJc w:val="left"/>
        <w:pPr>
          <w:ind w:left="851" w:hanging="426"/>
        </w:pPr>
        <w:rPr>
          <w:rFonts w:hint="default"/>
        </w:rPr>
      </w:lvl>
    </w:lvlOverride>
    <w:lvlOverride w:ilvl="2">
      <w:lvl w:ilvl="2">
        <w:start w:val="1"/>
        <w:numFmt w:val="lowerRoman"/>
        <w:pStyle w:val="ListNumber3"/>
        <w:lvlText w:val="%3)"/>
        <w:lvlJc w:val="left"/>
        <w:pPr>
          <w:ind w:left="1191" w:hanging="340"/>
        </w:pPr>
        <w:rPr>
          <w:rFonts w:hint="default"/>
        </w:rPr>
      </w:lvl>
    </w:lvlOverride>
    <w:lvlOverride w:ilvl="3">
      <w:lvl w:ilvl="3">
        <w:start w:val="1"/>
        <w:numFmt w:val="decimal"/>
        <w:lvlText w:val="%4."/>
        <w:lvlJc w:val="left"/>
        <w:pPr>
          <w:ind w:left="1276" w:hanging="1276"/>
        </w:pPr>
        <w:rPr>
          <w:rFonts w:hint="default"/>
        </w:rPr>
      </w:lvl>
    </w:lvlOverride>
    <w:lvlOverride w:ilvl="4">
      <w:lvl w:ilvl="4">
        <w:start w:val="1"/>
        <w:numFmt w:val="lowerLetter"/>
        <w:lvlText w:val="%5."/>
        <w:lvlJc w:val="left"/>
        <w:pPr>
          <w:ind w:left="567" w:hanging="567"/>
        </w:pPr>
        <w:rPr>
          <w:rFonts w:hint="default"/>
        </w:rPr>
      </w:lvl>
    </w:lvlOverride>
    <w:lvlOverride w:ilvl="5">
      <w:lvl w:ilvl="5">
        <w:start w:val="1"/>
        <w:numFmt w:val="lowerRoman"/>
        <w:lvlText w:val="%6."/>
        <w:lvlJc w:val="right"/>
        <w:pPr>
          <w:ind w:left="567" w:hanging="567"/>
        </w:pPr>
        <w:rPr>
          <w:rFonts w:hint="default"/>
        </w:rPr>
      </w:lvl>
    </w:lvlOverride>
    <w:lvlOverride w:ilvl="6">
      <w:lvl w:ilvl="6">
        <w:start w:val="1"/>
        <w:numFmt w:val="decimal"/>
        <w:lvlText w:val="%7."/>
        <w:lvlJc w:val="left"/>
        <w:pPr>
          <w:ind w:left="567" w:hanging="567"/>
        </w:pPr>
        <w:rPr>
          <w:rFonts w:hint="default"/>
        </w:rPr>
      </w:lvl>
    </w:lvlOverride>
    <w:lvlOverride w:ilvl="7">
      <w:lvl w:ilvl="7">
        <w:start w:val="1"/>
        <w:numFmt w:val="lowerLetter"/>
        <w:lvlText w:val="%8."/>
        <w:lvlJc w:val="left"/>
        <w:pPr>
          <w:ind w:left="567" w:hanging="567"/>
        </w:pPr>
        <w:rPr>
          <w:rFonts w:hint="default"/>
        </w:rPr>
      </w:lvl>
    </w:lvlOverride>
    <w:lvlOverride w:ilvl="8">
      <w:lvl w:ilvl="8">
        <w:start w:val="1"/>
        <w:numFmt w:val="lowerRoman"/>
        <w:lvlText w:val="%9."/>
        <w:lvlJc w:val="right"/>
        <w:pPr>
          <w:ind w:left="567" w:hanging="567"/>
        </w:pPr>
        <w:rPr>
          <w:rFonts w:hint="default"/>
        </w:rPr>
      </w:lvl>
    </w:lvlOverride>
  </w:num>
  <w:num w:numId="25">
    <w:abstractNumId w:val="6"/>
    <w:lvlOverride w:ilvl="1">
      <w:lvl w:ilvl="1">
        <w:start w:val="1"/>
        <w:numFmt w:val="decimal"/>
        <w:pStyle w:val="Heading3"/>
        <w:lvlText w:val="%1.%2"/>
        <w:lvlJc w:val="left"/>
        <w:pPr>
          <w:ind w:left="964" w:hanging="964"/>
        </w:pPr>
        <w:rPr>
          <w:rFonts w:hint="default"/>
        </w:rPr>
      </w:lvl>
    </w:lvlOverride>
    <w:lvlOverride w:ilvl="2">
      <w:lvl w:ilvl="2">
        <w:start w:val="1"/>
        <w:numFmt w:val="decimal"/>
        <w:pStyle w:val="Heading4"/>
        <w:lvlText w:val="%1.%2.%3"/>
        <w:lvlJc w:val="left"/>
        <w:pPr>
          <w:ind w:left="964" w:hanging="964"/>
        </w:pPr>
        <w:rPr>
          <w:rFonts w:hint="default"/>
        </w:rPr>
      </w:lvl>
    </w:lvlOverride>
  </w:num>
  <w:num w:numId="26">
    <w:abstractNumId w:val="11"/>
    <w:lvlOverride w:ilvl="0">
      <w:lvl w:ilvl="0">
        <w:start w:val="1"/>
        <w:numFmt w:val="bullet"/>
        <w:pStyle w:val="ListBullet"/>
        <w:lvlText w:val=""/>
        <w:lvlJc w:val="left"/>
        <w:pPr>
          <w:ind w:left="425" w:hanging="425"/>
        </w:pPr>
        <w:rPr>
          <w:rFonts w:ascii="Symbol" w:hAnsi="Symbol" w:hint="default"/>
          <w:color w:val="003150"/>
        </w:rPr>
      </w:lvl>
    </w:lvlOverride>
  </w:num>
  <w:num w:numId="27">
    <w:abstractNumId w:val="4"/>
    <w:lvlOverride w:ilvl="0">
      <w:lvl w:ilvl="0">
        <w:start w:val="1"/>
        <w:numFmt w:val="decimal"/>
        <w:pStyle w:val="ListNumber"/>
        <w:lvlText w:val="%1)"/>
        <w:lvlJc w:val="left"/>
        <w:pPr>
          <w:ind w:left="425" w:hanging="425"/>
        </w:pPr>
        <w:rPr>
          <w:rFonts w:hint="default"/>
          <w:color w:val="auto"/>
        </w:rPr>
      </w:lvl>
    </w:lvlOverride>
    <w:lvlOverride w:ilvl="1">
      <w:lvl w:ilvl="1">
        <w:start w:val="1"/>
        <w:numFmt w:val="lowerLetter"/>
        <w:pStyle w:val="ListNumber2"/>
        <w:lvlText w:val="%2)"/>
        <w:lvlJc w:val="left"/>
        <w:pPr>
          <w:ind w:left="851" w:hanging="426"/>
        </w:pPr>
        <w:rPr>
          <w:rFonts w:hint="default"/>
        </w:rPr>
      </w:lvl>
    </w:lvlOverride>
    <w:lvlOverride w:ilvl="2">
      <w:lvl w:ilvl="2">
        <w:start w:val="1"/>
        <w:numFmt w:val="lowerRoman"/>
        <w:pStyle w:val="ListNumber3"/>
        <w:lvlText w:val="%3)"/>
        <w:lvlJc w:val="left"/>
        <w:pPr>
          <w:ind w:left="1191" w:hanging="340"/>
        </w:pPr>
        <w:rPr>
          <w:rFonts w:hint="default"/>
        </w:rPr>
      </w:lvl>
    </w:lvlOverride>
    <w:lvlOverride w:ilvl="3">
      <w:lvl w:ilvl="3">
        <w:start w:val="1"/>
        <w:numFmt w:val="decimal"/>
        <w:lvlText w:val="%4."/>
        <w:lvlJc w:val="left"/>
        <w:pPr>
          <w:ind w:left="1276" w:hanging="1276"/>
        </w:pPr>
        <w:rPr>
          <w:rFonts w:hint="default"/>
        </w:rPr>
      </w:lvl>
    </w:lvlOverride>
    <w:lvlOverride w:ilvl="4">
      <w:lvl w:ilvl="4">
        <w:start w:val="1"/>
        <w:numFmt w:val="lowerLetter"/>
        <w:lvlText w:val="%5."/>
        <w:lvlJc w:val="left"/>
        <w:pPr>
          <w:ind w:left="567" w:hanging="567"/>
        </w:pPr>
        <w:rPr>
          <w:rFonts w:hint="default"/>
        </w:rPr>
      </w:lvl>
    </w:lvlOverride>
    <w:lvlOverride w:ilvl="5">
      <w:lvl w:ilvl="5">
        <w:start w:val="1"/>
        <w:numFmt w:val="lowerRoman"/>
        <w:lvlText w:val="%6."/>
        <w:lvlJc w:val="right"/>
        <w:pPr>
          <w:ind w:left="567" w:hanging="567"/>
        </w:pPr>
        <w:rPr>
          <w:rFonts w:hint="default"/>
        </w:rPr>
      </w:lvl>
    </w:lvlOverride>
    <w:lvlOverride w:ilvl="6">
      <w:lvl w:ilvl="6">
        <w:start w:val="1"/>
        <w:numFmt w:val="decimal"/>
        <w:lvlText w:val="%7."/>
        <w:lvlJc w:val="left"/>
        <w:pPr>
          <w:ind w:left="567" w:hanging="567"/>
        </w:pPr>
        <w:rPr>
          <w:rFonts w:hint="default"/>
        </w:rPr>
      </w:lvl>
    </w:lvlOverride>
    <w:lvlOverride w:ilvl="7">
      <w:lvl w:ilvl="7">
        <w:start w:val="1"/>
        <w:numFmt w:val="lowerLetter"/>
        <w:lvlText w:val="%8."/>
        <w:lvlJc w:val="left"/>
        <w:pPr>
          <w:ind w:left="567" w:hanging="567"/>
        </w:pPr>
        <w:rPr>
          <w:rFonts w:hint="default"/>
        </w:rPr>
      </w:lvl>
    </w:lvlOverride>
    <w:lvlOverride w:ilvl="8">
      <w:lvl w:ilvl="8">
        <w:start w:val="1"/>
        <w:numFmt w:val="lowerRoman"/>
        <w:lvlText w:val="%9."/>
        <w:lvlJc w:val="right"/>
        <w:pPr>
          <w:ind w:left="567" w:hanging="567"/>
        </w:pPr>
        <w:rPr>
          <w:rFonts w:hint="default"/>
        </w:rPr>
      </w:lvl>
    </w:lvlOverride>
  </w:num>
  <w:num w:numId="28">
    <w:abstractNumId w:val="14"/>
  </w:num>
  <w:num w:numId="29">
    <w:abstractNumId w:val="4"/>
    <w:lvlOverride w:ilvl="0">
      <w:startOverride w:val="1"/>
      <w:lvl w:ilvl="0">
        <w:start w:val="1"/>
        <w:numFmt w:val="decimal"/>
        <w:pStyle w:val="ListNumber"/>
        <w:lvlText w:val="%1)"/>
        <w:lvlJc w:val="left"/>
        <w:pPr>
          <w:ind w:left="425" w:hanging="425"/>
        </w:pPr>
        <w:rPr>
          <w:rFonts w:hint="default"/>
          <w:color w:val="auto"/>
        </w:rPr>
      </w:lvl>
    </w:lvlOverride>
    <w:lvlOverride w:ilvl="1">
      <w:startOverride w:val="1"/>
      <w:lvl w:ilvl="1">
        <w:start w:val="1"/>
        <w:numFmt w:val="lowerLetter"/>
        <w:pStyle w:val="ListNumber2"/>
        <w:lvlText w:val="%2)"/>
        <w:lvlJc w:val="left"/>
        <w:pPr>
          <w:ind w:left="851" w:hanging="426"/>
        </w:pPr>
        <w:rPr>
          <w:rFonts w:hint="default"/>
        </w:rPr>
      </w:lvl>
    </w:lvlOverride>
    <w:lvlOverride w:ilvl="2">
      <w:startOverride w:val="1"/>
      <w:lvl w:ilvl="2">
        <w:start w:val="1"/>
        <w:numFmt w:val="lowerRoman"/>
        <w:pStyle w:val="ListNumber3"/>
        <w:lvlText w:val="%3)"/>
        <w:lvlJc w:val="left"/>
        <w:pPr>
          <w:ind w:left="1191" w:hanging="340"/>
        </w:pPr>
        <w:rPr>
          <w:rFonts w:hint="default"/>
        </w:rPr>
      </w:lvl>
    </w:lvlOverride>
    <w:lvlOverride w:ilvl="3">
      <w:startOverride w:val="1"/>
      <w:lvl w:ilvl="3">
        <w:start w:val="1"/>
        <w:numFmt w:val="decimal"/>
        <w:lvlText w:val="%4."/>
        <w:lvlJc w:val="left"/>
        <w:pPr>
          <w:ind w:left="1276" w:hanging="1276"/>
        </w:pPr>
        <w:rPr>
          <w:rFonts w:hint="default"/>
        </w:rPr>
      </w:lvl>
    </w:lvlOverride>
    <w:lvlOverride w:ilvl="4">
      <w:startOverride w:val="1"/>
      <w:lvl w:ilvl="4">
        <w:start w:val="1"/>
        <w:numFmt w:val="lowerLetter"/>
        <w:lvlText w:val="%5."/>
        <w:lvlJc w:val="left"/>
        <w:pPr>
          <w:ind w:left="567" w:hanging="567"/>
        </w:pPr>
        <w:rPr>
          <w:rFonts w:hint="default"/>
        </w:rPr>
      </w:lvl>
    </w:lvlOverride>
    <w:lvlOverride w:ilvl="5">
      <w:startOverride w:val="1"/>
      <w:lvl w:ilvl="5">
        <w:start w:val="1"/>
        <w:numFmt w:val="lowerRoman"/>
        <w:lvlText w:val="%6."/>
        <w:lvlJc w:val="right"/>
        <w:pPr>
          <w:ind w:left="567" w:hanging="567"/>
        </w:pPr>
        <w:rPr>
          <w:rFonts w:hint="default"/>
        </w:rPr>
      </w:lvl>
    </w:lvlOverride>
    <w:lvlOverride w:ilvl="6">
      <w:startOverride w:val="1"/>
      <w:lvl w:ilvl="6">
        <w:start w:val="1"/>
        <w:numFmt w:val="decimal"/>
        <w:lvlText w:val="%7."/>
        <w:lvlJc w:val="left"/>
        <w:pPr>
          <w:ind w:left="567" w:hanging="567"/>
        </w:pPr>
        <w:rPr>
          <w:rFonts w:hint="default"/>
        </w:rPr>
      </w:lvl>
    </w:lvlOverride>
    <w:lvlOverride w:ilvl="7">
      <w:startOverride w:val="1"/>
      <w:lvl w:ilvl="7">
        <w:start w:val="1"/>
        <w:numFmt w:val="lowerLetter"/>
        <w:lvlText w:val="%8."/>
        <w:lvlJc w:val="left"/>
        <w:pPr>
          <w:ind w:left="567" w:hanging="567"/>
        </w:pPr>
        <w:rPr>
          <w:rFonts w:hint="default"/>
        </w:rPr>
      </w:lvl>
    </w:lvlOverride>
    <w:lvlOverride w:ilvl="8">
      <w:startOverride w:val="1"/>
      <w:lvl w:ilvl="8">
        <w:start w:val="1"/>
        <w:numFmt w:val="lowerRoman"/>
        <w:lvlText w:val="%9."/>
        <w:lvlJc w:val="right"/>
        <w:pPr>
          <w:ind w:left="567" w:hanging="567"/>
        </w:pPr>
        <w:rPr>
          <w:rFonts w:hint="default"/>
        </w:rPr>
      </w:lvl>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1433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CEC"/>
    <w:rsid w:val="00000998"/>
    <w:rsid w:val="00001EBB"/>
    <w:rsid w:val="00002D84"/>
    <w:rsid w:val="00002FF0"/>
    <w:rsid w:val="00003AD3"/>
    <w:rsid w:val="00003DC6"/>
    <w:rsid w:val="00004736"/>
    <w:rsid w:val="00005632"/>
    <w:rsid w:val="0000688F"/>
    <w:rsid w:val="0001185F"/>
    <w:rsid w:val="00013D2B"/>
    <w:rsid w:val="000143EE"/>
    <w:rsid w:val="00014F8B"/>
    <w:rsid w:val="0001686B"/>
    <w:rsid w:val="00016A75"/>
    <w:rsid w:val="00017E08"/>
    <w:rsid w:val="00021C39"/>
    <w:rsid w:val="00021CA8"/>
    <w:rsid w:val="0002265B"/>
    <w:rsid w:val="00023DEE"/>
    <w:rsid w:val="0002683E"/>
    <w:rsid w:val="000268B4"/>
    <w:rsid w:val="00027298"/>
    <w:rsid w:val="000273A9"/>
    <w:rsid w:val="00030820"/>
    <w:rsid w:val="000321B4"/>
    <w:rsid w:val="00033FFE"/>
    <w:rsid w:val="0003537F"/>
    <w:rsid w:val="000353C0"/>
    <w:rsid w:val="0003604A"/>
    <w:rsid w:val="0004093B"/>
    <w:rsid w:val="000412C7"/>
    <w:rsid w:val="00041B43"/>
    <w:rsid w:val="000423E2"/>
    <w:rsid w:val="000428EF"/>
    <w:rsid w:val="000438A1"/>
    <w:rsid w:val="0004465E"/>
    <w:rsid w:val="000447C1"/>
    <w:rsid w:val="000474E4"/>
    <w:rsid w:val="00047DBA"/>
    <w:rsid w:val="00051B19"/>
    <w:rsid w:val="00052D61"/>
    <w:rsid w:val="00053DBC"/>
    <w:rsid w:val="00055172"/>
    <w:rsid w:val="00055260"/>
    <w:rsid w:val="0005544D"/>
    <w:rsid w:val="00056A82"/>
    <w:rsid w:val="00056E4D"/>
    <w:rsid w:val="00057B88"/>
    <w:rsid w:val="000604E8"/>
    <w:rsid w:val="00060ED0"/>
    <w:rsid w:val="00062DBA"/>
    <w:rsid w:val="00063ABF"/>
    <w:rsid w:val="00063FBB"/>
    <w:rsid w:val="00063FCA"/>
    <w:rsid w:val="00063FCC"/>
    <w:rsid w:val="00064020"/>
    <w:rsid w:val="00065216"/>
    <w:rsid w:val="000659BD"/>
    <w:rsid w:val="00070648"/>
    <w:rsid w:val="00071A52"/>
    <w:rsid w:val="00071CED"/>
    <w:rsid w:val="00073873"/>
    <w:rsid w:val="00075B5D"/>
    <w:rsid w:val="00076E9C"/>
    <w:rsid w:val="00081909"/>
    <w:rsid w:val="00081A81"/>
    <w:rsid w:val="000822C1"/>
    <w:rsid w:val="00082461"/>
    <w:rsid w:val="000824D5"/>
    <w:rsid w:val="00082A9C"/>
    <w:rsid w:val="00085041"/>
    <w:rsid w:val="0008671A"/>
    <w:rsid w:val="000867E9"/>
    <w:rsid w:val="00087D65"/>
    <w:rsid w:val="000903EE"/>
    <w:rsid w:val="0009074A"/>
    <w:rsid w:val="00090B38"/>
    <w:rsid w:val="00090B86"/>
    <w:rsid w:val="000928A3"/>
    <w:rsid w:val="000930BA"/>
    <w:rsid w:val="0009422D"/>
    <w:rsid w:val="000959E2"/>
    <w:rsid w:val="00095DAF"/>
    <w:rsid w:val="00097D7A"/>
    <w:rsid w:val="000A13C0"/>
    <w:rsid w:val="000A3A31"/>
    <w:rsid w:val="000A3C6C"/>
    <w:rsid w:val="000A4FCD"/>
    <w:rsid w:val="000A67B1"/>
    <w:rsid w:val="000A698C"/>
    <w:rsid w:val="000A7107"/>
    <w:rsid w:val="000B506C"/>
    <w:rsid w:val="000B50A7"/>
    <w:rsid w:val="000B590F"/>
    <w:rsid w:val="000B69D4"/>
    <w:rsid w:val="000B6E0E"/>
    <w:rsid w:val="000C1B94"/>
    <w:rsid w:val="000C2B15"/>
    <w:rsid w:val="000C481F"/>
    <w:rsid w:val="000C58F8"/>
    <w:rsid w:val="000C5B48"/>
    <w:rsid w:val="000C5BA6"/>
    <w:rsid w:val="000C67D1"/>
    <w:rsid w:val="000C6801"/>
    <w:rsid w:val="000C6EFC"/>
    <w:rsid w:val="000C7021"/>
    <w:rsid w:val="000D045B"/>
    <w:rsid w:val="000D1B13"/>
    <w:rsid w:val="000D1E0D"/>
    <w:rsid w:val="000D305F"/>
    <w:rsid w:val="000D3713"/>
    <w:rsid w:val="000D5C83"/>
    <w:rsid w:val="000E0B0B"/>
    <w:rsid w:val="000E1D4C"/>
    <w:rsid w:val="000E22A8"/>
    <w:rsid w:val="000E303A"/>
    <w:rsid w:val="000E623B"/>
    <w:rsid w:val="000E6731"/>
    <w:rsid w:val="000E6E92"/>
    <w:rsid w:val="000E79B7"/>
    <w:rsid w:val="000F0756"/>
    <w:rsid w:val="000F3143"/>
    <w:rsid w:val="000F554E"/>
    <w:rsid w:val="000F6838"/>
    <w:rsid w:val="000F7585"/>
    <w:rsid w:val="000F7C43"/>
    <w:rsid w:val="0010033D"/>
    <w:rsid w:val="0010092F"/>
    <w:rsid w:val="00101F31"/>
    <w:rsid w:val="00104133"/>
    <w:rsid w:val="001065F9"/>
    <w:rsid w:val="00106897"/>
    <w:rsid w:val="00107D4A"/>
    <w:rsid w:val="00110F8B"/>
    <w:rsid w:val="00111976"/>
    <w:rsid w:val="00115062"/>
    <w:rsid w:val="00115113"/>
    <w:rsid w:val="00115B28"/>
    <w:rsid w:val="001207FC"/>
    <w:rsid w:val="0012140F"/>
    <w:rsid w:val="001231E2"/>
    <w:rsid w:val="00123704"/>
    <w:rsid w:val="00124BA8"/>
    <w:rsid w:val="001260E4"/>
    <w:rsid w:val="00126818"/>
    <w:rsid w:val="00126F66"/>
    <w:rsid w:val="00127444"/>
    <w:rsid w:val="001279CB"/>
    <w:rsid w:val="0013030C"/>
    <w:rsid w:val="0013178C"/>
    <w:rsid w:val="001331A7"/>
    <w:rsid w:val="00137DD6"/>
    <w:rsid w:val="00141000"/>
    <w:rsid w:val="00141D53"/>
    <w:rsid w:val="001427FC"/>
    <w:rsid w:val="00143A3A"/>
    <w:rsid w:val="00145212"/>
    <w:rsid w:val="00147998"/>
    <w:rsid w:val="001500AF"/>
    <w:rsid w:val="001505EB"/>
    <w:rsid w:val="00152522"/>
    <w:rsid w:val="00152F9E"/>
    <w:rsid w:val="00154925"/>
    <w:rsid w:val="0015668F"/>
    <w:rsid w:val="00157EC1"/>
    <w:rsid w:val="001609D5"/>
    <w:rsid w:val="0016141B"/>
    <w:rsid w:val="00161536"/>
    <w:rsid w:val="0016186A"/>
    <w:rsid w:val="001628CC"/>
    <w:rsid w:val="00163883"/>
    <w:rsid w:val="0016414F"/>
    <w:rsid w:val="0016493E"/>
    <w:rsid w:val="001649F2"/>
    <w:rsid w:val="00165506"/>
    <w:rsid w:val="00165FAA"/>
    <w:rsid w:val="001700A7"/>
    <w:rsid w:val="00170545"/>
    <w:rsid w:val="00172757"/>
    <w:rsid w:val="00172B63"/>
    <w:rsid w:val="00172DFF"/>
    <w:rsid w:val="00173439"/>
    <w:rsid w:val="00180688"/>
    <w:rsid w:val="00180C80"/>
    <w:rsid w:val="00181957"/>
    <w:rsid w:val="0018536C"/>
    <w:rsid w:val="00185B3C"/>
    <w:rsid w:val="00185EC4"/>
    <w:rsid w:val="00186655"/>
    <w:rsid w:val="0018667B"/>
    <w:rsid w:val="00186E4A"/>
    <w:rsid w:val="00187ADC"/>
    <w:rsid w:val="0019192D"/>
    <w:rsid w:val="00195142"/>
    <w:rsid w:val="00195A15"/>
    <w:rsid w:val="00195ECB"/>
    <w:rsid w:val="00196361"/>
    <w:rsid w:val="00197180"/>
    <w:rsid w:val="00197D1B"/>
    <w:rsid w:val="001A2955"/>
    <w:rsid w:val="001A732A"/>
    <w:rsid w:val="001B05C8"/>
    <w:rsid w:val="001B0EED"/>
    <w:rsid w:val="001B1253"/>
    <w:rsid w:val="001B191A"/>
    <w:rsid w:val="001B2ABD"/>
    <w:rsid w:val="001B35E6"/>
    <w:rsid w:val="001B3973"/>
    <w:rsid w:val="001B4513"/>
    <w:rsid w:val="001B6DE5"/>
    <w:rsid w:val="001C04FC"/>
    <w:rsid w:val="001C2EC3"/>
    <w:rsid w:val="001C30AF"/>
    <w:rsid w:val="001C3968"/>
    <w:rsid w:val="001C53C3"/>
    <w:rsid w:val="001C5472"/>
    <w:rsid w:val="001C69F5"/>
    <w:rsid w:val="001C7993"/>
    <w:rsid w:val="001C7A69"/>
    <w:rsid w:val="001D09E0"/>
    <w:rsid w:val="001D0CED"/>
    <w:rsid w:val="001D2544"/>
    <w:rsid w:val="001D2588"/>
    <w:rsid w:val="001D2617"/>
    <w:rsid w:val="001D3208"/>
    <w:rsid w:val="001D3917"/>
    <w:rsid w:val="001D3A54"/>
    <w:rsid w:val="001D40BF"/>
    <w:rsid w:val="001D441B"/>
    <w:rsid w:val="001D4476"/>
    <w:rsid w:val="001D47C9"/>
    <w:rsid w:val="001D66B8"/>
    <w:rsid w:val="001D7B4D"/>
    <w:rsid w:val="001D7C0E"/>
    <w:rsid w:val="001E10D1"/>
    <w:rsid w:val="001E153D"/>
    <w:rsid w:val="001E1A03"/>
    <w:rsid w:val="001E3132"/>
    <w:rsid w:val="001E3521"/>
    <w:rsid w:val="001E367F"/>
    <w:rsid w:val="001E48D8"/>
    <w:rsid w:val="001E48FC"/>
    <w:rsid w:val="001E50E4"/>
    <w:rsid w:val="001E56A9"/>
    <w:rsid w:val="001E5D09"/>
    <w:rsid w:val="001E78A9"/>
    <w:rsid w:val="001E7C71"/>
    <w:rsid w:val="001F00E5"/>
    <w:rsid w:val="001F3296"/>
    <w:rsid w:val="001F3322"/>
    <w:rsid w:val="001F4763"/>
    <w:rsid w:val="001F6BF6"/>
    <w:rsid w:val="001F6E63"/>
    <w:rsid w:val="00200E7E"/>
    <w:rsid w:val="00202950"/>
    <w:rsid w:val="00202967"/>
    <w:rsid w:val="002035FB"/>
    <w:rsid w:val="002038D8"/>
    <w:rsid w:val="0020398F"/>
    <w:rsid w:val="002043B1"/>
    <w:rsid w:val="00204927"/>
    <w:rsid w:val="00205B08"/>
    <w:rsid w:val="0020654B"/>
    <w:rsid w:val="00206A07"/>
    <w:rsid w:val="002121F2"/>
    <w:rsid w:val="00213100"/>
    <w:rsid w:val="002141BD"/>
    <w:rsid w:val="00216B30"/>
    <w:rsid w:val="00220D8A"/>
    <w:rsid w:val="00221415"/>
    <w:rsid w:val="002233D8"/>
    <w:rsid w:val="00224A91"/>
    <w:rsid w:val="00224AA3"/>
    <w:rsid w:val="00224C0A"/>
    <w:rsid w:val="00226FAD"/>
    <w:rsid w:val="00227491"/>
    <w:rsid w:val="002279BC"/>
    <w:rsid w:val="00230E89"/>
    <w:rsid w:val="002311DD"/>
    <w:rsid w:val="00231240"/>
    <w:rsid w:val="0023180D"/>
    <w:rsid w:val="00232BDD"/>
    <w:rsid w:val="00234207"/>
    <w:rsid w:val="00234996"/>
    <w:rsid w:val="002364CF"/>
    <w:rsid w:val="002414A4"/>
    <w:rsid w:val="00241820"/>
    <w:rsid w:val="002450A5"/>
    <w:rsid w:val="002508FF"/>
    <w:rsid w:val="00250AE2"/>
    <w:rsid w:val="00250D24"/>
    <w:rsid w:val="00251448"/>
    <w:rsid w:val="00251928"/>
    <w:rsid w:val="00253E4B"/>
    <w:rsid w:val="0025425E"/>
    <w:rsid w:val="00254C25"/>
    <w:rsid w:val="00255FA2"/>
    <w:rsid w:val="00257553"/>
    <w:rsid w:val="002601D8"/>
    <w:rsid w:val="002618AF"/>
    <w:rsid w:val="002618C3"/>
    <w:rsid w:val="00264BAE"/>
    <w:rsid w:val="002705D7"/>
    <w:rsid w:val="0027293D"/>
    <w:rsid w:val="00272F98"/>
    <w:rsid w:val="0027525B"/>
    <w:rsid w:val="002763FB"/>
    <w:rsid w:val="00277B80"/>
    <w:rsid w:val="00277C29"/>
    <w:rsid w:val="00277C5D"/>
    <w:rsid w:val="0028000F"/>
    <w:rsid w:val="002801E0"/>
    <w:rsid w:val="00280583"/>
    <w:rsid w:val="0028110E"/>
    <w:rsid w:val="00284350"/>
    <w:rsid w:val="00285515"/>
    <w:rsid w:val="00287121"/>
    <w:rsid w:val="00290518"/>
    <w:rsid w:val="0029057F"/>
    <w:rsid w:val="00291C71"/>
    <w:rsid w:val="00291D43"/>
    <w:rsid w:val="00293183"/>
    <w:rsid w:val="00293D66"/>
    <w:rsid w:val="0029596D"/>
    <w:rsid w:val="00296221"/>
    <w:rsid w:val="00297067"/>
    <w:rsid w:val="002971C7"/>
    <w:rsid w:val="002A0D56"/>
    <w:rsid w:val="002A3E86"/>
    <w:rsid w:val="002A417E"/>
    <w:rsid w:val="002A4664"/>
    <w:rsid w:val="002A4B81"/>
    <w:rsid w:val="002A4CC2"/>
    <w:rsid w:val="002A53C6"/>
    <w:rsid w:val="002A5631"/>
    <w:rsid w:val="002A79F4"/>
    <w:rsid w:val="002A7C89"/>
    <w:rsid w:val="002B0A1B"/>
    <w:rsid w:val="002B0C94"/>
    <w:rsid w:val="002B292E"/>
    <w:rsid w:val="002B427C"/>
    <w:rsid w:val="002B66C0"/>
    <w:rsid w:val="002B6A15"/>
    <w:rsid w:val="002B7A2B"/>
    <w:rsid w:val="002B7A73"/>
    <w:rsid w:val="002B7BD2"/>
    <w:rsid w:val="002C058F"/>
    <w:rsid w:val="002C2712"/>
    <w:rsid w:val="002C41FC"/>
    <w:rsid w:val="002C4FBB"/>
    <w:rsid w:val="002D0535"/>
    <w:rsid w:val="002D0C07"/>
    <w:rsid w:val="002D1587"/>
    <w:rsid w:val="002D224F"/>
    <w:rsid w:val="002D2F2F"/>
    <w:rsid w:val="002D568E"/>
    <w:rsid w:val="002D6969"/>
    <w:rsid w:val="002E014D"/>
    <w:rsid w:val="002E08B8"/>
    <w:rsid w:val="002E1887"/>
    <w:rsid w:val="002E234E"/>
    <w:rsid w:val="002E3EF3"/>
    <w:rsid w:val="002E4FB3"/>
    <w:rsid w:val="002E5AFD"/>
    <w:rsid w:val="002E5B81"/>
    <w:rsid w:val="002E6F3C"/>
    <w:rsid w:val="002E7228"/>
    <w:rsid w:val="002E7B38"/>
    <w:rsid w:val="002F0981"/>
    <w:rsid w:val="002F0C18"/>
    <w:rsid w:val="002F1330"/>
    <w:rsid w:val="002F18B2"/>
    <w:rsid w:val="002F28DE"/>
    <w:rsid w:val="002F6023"/>
    <w:rsid w:val="002F61A1"/>
    <w:rsid w:val="002F62C8"/>
    <w:rsid w:val="002F77F7"/>
    <w:rsid w:val="0030028A"/>
    <w:rsid w:val="0030243F"/>
    <w:rsid w:val="003032DA"/>
    <w:rsid w:val="003053F2"/>
    <w:rsid w:val="00305652"/>
    <w:rsid w:val="00305657"/>
    <w:rsid w:val="0030755A"/>
    <w:rsid w:val="00314CD8"/>
    <w:rsid w:val="00314F5F"/>
    <w:rsid w:val="003161F3"/>
    <w:rsid w:val="00316C7D"/>
    <w:rsid w:val="003170F8"/>
    <w:rsid w:val="0032229B"/>
    <w:rsid w:val="00322477"/>
    <w:rsid w:val="00322764"/>
    <w:rsid w:val="003247A3"/>
    <w:rsid w:val="0032495F"/>
    <w:rsid w:val="00324E38"/>
    <w:rsid w:val="00324FDC"/>
    <w:rsid w:val="00325CB3"/>
    <w:rsid w:val="00325FD9"/>
    <w:rsid w:val="00326AA7"/>
    <w:rsid w:val="003306B0"/>
    <w:rsid w:val="00331133"/>
    <w:rsid w:val="003319AA"/>
    <w:rsid w:val="00333260"/>
    <w:rsid w:val="00335744"/>
    <w:rsid w:val="00335E87"/>
    <w:rsid w:val="003362E7"/>
    <w:rsid w:val="003366E8"/>
    <w:rsid w:val="0033689A"/>
    <w:rsid w:val="00337C33"/>
    <w:rsid w:val="00337EDE"/>
    <w:rsid w:val="003401C1"/>
    <w:rsid w:val="00341EA1"/>
    <w:rsid w:val="00345E07"/>
    <w:rsid w:val="003461A5"/>
    <w:rsid w:val="00346980"/>
    <w:rsid w:val="00347665"/>
    <w:rsid w:val="00350C7B"/>
    <w:rsid w:val="00350CFE"/>
    <w:rsid w:val="0035126C"/>
    <w:rsid w:val="00351C6B"/>
    <w:rsid w:val="00352D36"/>
    <w:rsid w:val="003552D2"/>
    <w:rsid w:val="0035541D"/>
    <w:rsid w:val="003557AB"/>
    <w:rsid w:val="0035603C"/>
    <w:rsid w:val="00356237"/>
    <w:rsid w:val="0035685B"/>
    <w:rsid w:val="00356C3B"/>
    <w:rsid w:val="00356CDB"/>
    <w:rsid w:val="00361B8C"/>
    <w:rsid w:val="0036254E"/>
    <w:rsid w:val="0036315C"/>
    <w:rsid w:val="00365698"/>
    <w:rsid w:val="003661BF"/>
    <w:rsid w:val="00367D95"/>
    <w:rsid w:val="0037004D"/>
    <w:rsid w:val="003702DE"/>
    <w:rsid w:val="0037056A"/>
    <w:rsid w:val="0037169A"/>
    <w:rsid w:val="00372232"/>
    <w:rsid w:val="00376B4B"/>
    <w:rsid w:val="003779BB"/>
    <w:rsid w:val="00380FE1"/>
    <w:rsid w:val="00381095"/>
    <w:rsid w:val="00381825"/>
    <w:rsid w:val="00381CE2"/>
    <w:rsid w:val="00382C7F"/>
    <w:rsid w:val="00382F36"/>
    <w:rsid w:val="00383A14"/>
    <w:rsid w:val="00384BE5"/>
    <w:rsid w:val="003855BD"/>
    <w:rsid w:val="003858AC"/>
    <w:rsid w:val="003863C9"/>
    <w:rsid w:val="003869AC"/>
    <w:rsid w:val="00387A56"/>
    <w:rsid w:val="00390023"/>
    <w:rsid w:val="00390123"/>
    <w:rsid w:val="00394DCB"/>
    <w:rsid w:val="00395E64"/>
    <w:rsid w:val="003965AB"/>
    <w:rsid w:val="003A092D"/>
    <w:rsid w:val="003A15F6"/>
    <w:rsid w:val="003A3B92"/>
    <w:rsid w:val="003A4DCF"/>
    <w:rsid w:val="003A4F32"/>
    <w:rsid w:val="003A784D"/>
    <w:rsid w:val="003B0160"/>
    <w:rsid w:val="003B3F6D"/>
    <w:rsid w:val="003B470A"/>
    <w:rsid w:val="003B4923"/>
    <w:rsid w:val="003B5C40"/>
    <w:rsid w:val="003B6BE9"/>
    <w:rsid w:val="003C277C"/>
    <w:rsid w:val="003C477E"/>
    <w:rsid w:val="003C5A15"/>
    <w:rsid w:val="003C77FB"/>
    <w:rsid w:val="003C7A04"/>
    <w:rsid w:val="003D0201"/>
    <w:rsid w:val="003D0ABC"/>
    <w:rsid w:val="003D2824"/>
    <w:rsid w:val="003D3240"/>
    <w:rsid w:val="003D3803"/>
    <w:rsid w:val="003D4017"/>
    <w:rsid w:val="003D54BF"/>
    <w:rsid w:val="003D5791"/>
    <w:rsid w:val="003E06BF"/>
    <w:rsid w:val="003E1CB8"/>
    <w:rsid w:val="003E46F2"/>
    <w:rsid w:val="003F0745"/>
    <w:rsid w:val="003F0878"/>
    <w:rsid w:val="003F1979"/>
    <w:rsid w:val="003F2499"/>
    <w:rsid w:val="003F3CEC"/>
    <w:rsid w:val="003F6B4C"/>
    <w:rsid w:val="003F7643"/>
    <w:rsid w:val="003F7B2F"/>
    <w:rsid w:val="004013B2"/>
    <w:rsid w:val="00403E0F"/>
    <w:rsid w:val="004045C2"/>
    <w:rsid w:val="0040492F"/>
    <w:rsid w:val="004050E5"/>
    <w:rsid w:val="00406271"/>
    <w:rsid w:val="00406E2F"/>
    <w:rsid w:val="00413F16"/>
    <w:rsid w:val="004143A1"/>
    <w:rsid w:val="004155F7"/>
    <w:rsid w:val="00415FDF"/>
    <w:rsid w:val="00416253"/>
    <w:rsid w:val="00416BE7"/>
    <w:rsid w:val="00417993"/>
    <w:rsid w:val="00417B38"/>
    <w:rsid w:val="00420F79"/>
    <w:rsid w:val="00422582"/>
    <w:rsid w:val="00422C55"/>
    <w:rsid w:val="00424FBD"/>
    <w:rsid w:val="004250B4"/>
    <w:rsid w:val="00427F67"/>
    <w:rsid w:val="00430007"/>
    <w:rsid w:val="00431545"/>
    <w:rsid w:val="004327C9"/>
    <w:rsid w:val="00432EAA"/>
    <w:rsid w:val="00432EE0"/>
    <w:rsid w:val="0043348B"/>
    <w:rsid w:val="00433A1C"/>
    <w:rsid w:val="00433F5F"/>
    <w:rsid w:val="00434611"/>
    <w:rsid w:val="00436055"/>
    <w:rsid w:val="0043626F"/>
    <w:rsid w:val="004365F7"/>
    <w:rsid w:val="0044033B"/>
    <w:rsid w:val="00441F24"/>
    <w:rsid w:val="00442255"/>
    <w:rsid w:val="0044225F"/>
    <w:rsid w:val="004445D0"/>
    <w:rsid w:val="004446C3"/>
    <w:rsid w:val="00445C89"/>
    <w:rsid w:val="00447216"/>
    <w:rsid w:val="004475FC"/>
    <w:rsid w:val="00450C5C"/>
    <w:rsid w:val="00450D7D"/>
    <w:rsid w:val="00451A84"/>
    <w:rsid w:val="004524CE"/>
    <w:rsid w:val="004530FD"/>
    <w:rsid w:val="0045310B"/>
    <w:rsid w:val="00455015"/>
    <w:rsid w:val="00457061"/>
    <w:rsid w:val="00457544"/>
    <w:rsid w:val="004605D5"/>
    <w:rsid w:val="0046724A"/>
    <w:rsid w:val="004674E3"/>
    <w:rsid w:val="0047062A"/>
    <w:rsid w:val="0047447F"/>
    <w:rsid w:val="00474B0C"/>
    <w:rsid w:val="00474CCF"/>
    <w:rsid w:val="004751CE"/>
    <w:rsid w:val="0047534D"/>
    <w:rsid w:val="00475611"/>
    <w:rsid w:val="004759B8"/>
    <w:rsid w:val="00475AC8"/>
    <w:rsid w:val="00475B60"/>
    <w:rsid w:val="00477728"/>
    <w:rsid w:val="00480469"/>
    <w:rsid w:val="0048079F"/>
    <w:rsid w:val="00481210"/>
    <w:rsid w:val="00481926"/>
    <w:rsid w:val="00481EC4"/>
    <w:rsid w:val="004846CE"/>
    <w:rsid w:val="00484B9A"/>
    <w:rsid w:val="004865EF"/>
    <w:rsid w:val="0048681C"/>
    <w:rsid w:val="00486FB2"/>
    <w:rsid w:val="0048756C"/>
    <w:rsid w:val="00490283"/>
    <w:rsid w:val="00490DB0"/>
    <w:rsid w:val="00490EF2"/>
    <w:rsid w:val="004929C9"/>
    <w:rsid w:val="004938B0"/>
    <w:rsid w:val="00494603"/>
    <w:rsid w:val="00495726"/>
    <w:rsid w:val="00496903"/>
    <w:rsid w:val="004971CB"/>
    <w:rsid w:val="00497348"/>
    <w:rsid w:val="004A18B4"/>
    <w:rsid w:val="004A2A0B"/>
    <w:rsid w:val="004A3B84"/>
    <w:rsid w:val="004A4641"/>
    <w:rsid w:val="004A5624"/>
    <w:rsid w:val="004A63AB"/>
    <w:rsid w:val="004A65BC"/>
    <w:rsid w:val="004A751D"/>
    <w:rsid w:val="004A7817"/>
    <w:rsid w:val="004A7C84"/>
    <w:rsid w:val="004B0BC8"/>
    <w:rsid w:val="004B29A2"/>
    <w:rsid w:val="004B523F"/>
    <w:rsid w:val="004B5D08"/>
    <w:rsid w:val="004B64E2"/>
    <w:rsid w:val="004C04DA"/>
    <w:rsid w:val="004C12A4"/>
    <w:rsid w:val="004C24AF"/>
    <w:rsid w:val="004C2C20"/>
    <w:rsid w:val="004C4C24"/>
    <w:rsid w:val="004C4C5A"/>
    <w:rsid w:val="004C51AD"/>
    <w:rsid w:val="004C6D38"/>
    <w:rsid w:val="004C7494"/>
    <w:rsid w:val="004D0F61"/>
    <w:rsid w:val="004D116E"/>
    <w:rsid w:val="004D5FAF"/>
    <w:rsid w:val="004D6A7F"/>
    <w:rsid w:val="004E00C4"/>
    <w:rsid w:val="004E0404"/>
    <w:rsid w:val="004E0E97"/>
    <w:rsid w:val="004E0FB0"/>
    <w:rsid w:val="004E0FCC"/>
    <w:rsid w:val="004E1258"/>
    <w:rsid w:val="004E1AB6"/>
    <w:rsid w:val="004E1DEE"/>
    <w:rsid w:val="004E302B"/>
    <w:rsid w:val="004E3E25"/>
    <w:rsid w:val="004E441E"/>
    <w:rsid w:val="004E4DC1"/>
    <w:rsid w:val="004E5016"/>
    <w:rsid w:val="004E5419"/>
    <w:rsid w:val="004E6147"/>
    <w:rsid w:val="004F1A73"/>
    <w:rsid w:val="004F240B"/>
    <w:rsid w:val="004F293C"/>
    <w:rsid w:val="004F2C3E"/>
    <w:rsid w:val="004F2F31"/>
    <w:rsid w:val="004F3DB6"/>
    <w:rsid w:val="005001A1"/>
    <w:rsid w:val="00502B01"/>
    <w:rsid w:val="00502E47"/>
    <w:rsid w:val="00503351"/>
    <w:rsid w:val="005037B2"/>
    <w:rsid w:val="00503FD1"/>
    <w:rsid w:val="005048CE"/>
    <w:rsid w:val="005051B9"/>
    <w:rsid w:val="005051E6"/>
    <w:rsid w:val="005053FC"/>
    <w:rsid w:val="00505BF9"/>
    <w:rsid w:val="00505CE2"/>
    <w:rsid w:val="00505EB7"/>
    <w:rsid w:val="00507D0E"/>
    <w:rsid w:val="00510BC2"/>
    <w:rsid w:val="00510ED1"/>
    <w:rsid w:val="0051195C"/>
    <w:rsid w:val="00512723"/>
    <w:rsid w:val="00513761"/>
    <w:rsid w:val="00515D51"/>
    <w:rsid w:val="00515D98"/>
    <w:rsid w:val="0051658C"/>
    <w:rsid w:val="005179A7"/>
    <w:rsid w:val="00517C76"/>
    <w:rsid w:val="00517F4E"/>
    <w:rsid w:val="00520343"/>
    <w:rsid w:val="005216E5"/>
    <w:rsid w:val="00521975"/>
    <w:rsid w:val="00521BB3"/>
    <w:rsid w:val="00521C62"/>
    <w:rsid w:val="005221D2"/>
    <w:rsid w:val="00522B1F"/>
    <w:rsid w:val="00523888"/>
    <w:rsid w:val="005257A4"/>
    <w:rsid w:val="005312E7"/>
    <w:rsid w:val="00532C82"/>
    <w:rsid w:val="00535025"/>
    <w:rsid w:val="00536624"/>
    <w:rsid w:val="00536984"/>
    <w:rsid w:val="00537EF1"/>
    <w:rsid w:val="005405A7"/>
    <w:rsid w:val="0054100A"/>
    <w:rsid w:val="00541073"/>
    <w:rsid w:val="0054168F"/>
    <w:rsid w:val="00542391"/>
    <w:rsid w:val="00542B45"/>
    <w:rsid w:val="00542F56"/>
    <w:rsid w:val="00543C78"/>
    <w:rsid w:val="0054546B"/>
    <w:rsid w:val="005503C5"/>
    <w:rsid w:val="00550841"/>
    <w:rsid w:val="00550DC2"/>
    <w:rsid w:val="00551B13"/>
    <w:rsid w:val="005526C8"/>
    <w:rsid w:val="00552FA5"/>
    <w:rsid w:val="0055324B"/>
    <w:rsid w:val="005548E7"/>
    <w:rsid w:val="00555B56"/>
    <w:rsid w:val="00563537"/>
    <w:rsid w:val="00565278"/>
    <w:rsid w:val="0056686E"/>
    <w:rsid w:val="005672A0"/>
    <w:rsid w:val="00570D0F"/>
    <w:rsid w:val="00572ABF"/>
    <w:rsid w:val="00572C87"/>
    <w:rsid w:val="005735A3"/>
    <w:rsid w:val="00574007"/>
    <w:rsid w:val="0057498A"/>
    <w:rsid w:val="005749E8"/>
    <w:rsid w:val="00574B35"/>
    <w:rsid w:val="005751BC"/>
    <w:rsid w:val="00575B2A"/>
    <w:rsid w:val="00575EBD"/>
    <w:rsid w:val="00581E84"/>
    <w:rsid w:val="0058218B"/>
    <w:rsid w:val="00583E08"/>
    <w:rsid w:val="00585987"/>
    <w:rsid w:val="005869C8"/>
    <w:rsid w:val="00586F46"/>
    <w:rsid w:val="0058758A"/>
    <w:rsid w:val="00587BE4"/>
    <w:rsid w:val="00587C81"/>
    <w:rsid w:val="00587E5E"/>
    <w:rsid w:val="00591DFE"/>
    <w:rsid w:val="005925F0"/>
    <w:rsid w:val="00594BC3"/>
    <w:rsid w:val="00595768"/>
    <w:rsid w:val="00595829"/>
    <w:rsid w:val="00596A68"/>
    <w:rsid w:val="0059757B"/>
    <w:rsid w:val="005A065B"/>
    <w:rsid w:val="005A06FA"/>
    <w:rsid w:val="005A46EF"/>
    <w:rsid w:val="005A676B"/>
    <w:rsid w:val="005A6936"/>
    <w:rsid w:val="005A7630"/>
    <w:rsid w:val="005B0517"/>
    <w:rsid w:val="005B10B0"/>
    <w:rsid w:val="005B10C2"/>
    <w:rsid w:val="005B10EB"/>
    <w:rsid w:val="005B11B0"/>
    <w:rsid w:val="005B2AF7"/>
    <w:rsid w:val="005B41DF"/>
    <w:rsid w:val="005C1686"/>
    <w:rsid w:val="005C2F46"/>
    <w:rsid w:val="005C46AE"/>
    <w:rsid w:val="005C55C5"/>
    <w:rsid w:val="005C6723"/>
    <w:rsid w:val="005C6F02"/>
    <w:rsid w:val="005D102E"/>
    <w:rsid w:val="005D30C9"/>
    <w:rsid w:val="005D4CE2"/>
    <w:rsid w:val="005D61D1"/>
    <w:rsid w:val="005D62C9"/>
    <w:rsid w:val="005D73BE"/>
    <w:rsid w:val="005D784B"/>
    <w:rsid w:val="005D7D96"/>
    <w:rsid w:val="005E0AFA"/>
    <w:rsid w:val="005E12CB"/>
    <w:rsid w:val="005E2893"/>
    <w:rsid w:val="005E2EB0"/>
    <w:rsid w:val="005E4060"/>
    <w:rsid w:val="005E5EB9"/>
    <w:rsid w:val="005E7520"/>
    <w:rsid w:val="005F0637"/>
    <w:rsid w:val="005F082C"/>
    <w:rsid w:val="005F2946"/>
    <w:rsid w:val="005F2981"/>
    <w:rsid w:val="005F4877"/>
    <w:rsid w:val="005F5448"/>
    <w:rsid w:val="005F605A"/>
    <w:rsid w:val="005F64C7"/>
    <w:rsid w:val="005F7706"/>
    <w:rsid w:val="005F7A34"/>
    <w:rsid w:val="005F7DC7"/>
    <w:rsid w:val="00601A59"/>
    <w:rsid w:val="00602322"/>
    <w:rsid w:val="00602411"/>
    <w:rsid w:val="00602E79"/>
    <w:rsid w:val="00602F1B"/>
    <w:rsid w:val="006048D4"/>
    <w:rsid w:val="00604AE5"/>
    <w:rsid w:val="00605877"/>
    <w:rsid w:val="00605BF3"/>
    <w:rsid w:val="00606397"/>
    <w:rsid w:val="0060655B"/>
    <w:rsid w:val="0060666E"/>
    <w:rsid w:val="00606CA5"/>
    <w:rsid w:val="00610122"/>
    <w:rsid w:val="00610598"/>
    <w:rsid w:val="00610BD5"/>
    <w:rsid w:val="00611930"/>
    <w:rsid w:val="00613B60"/>
    <w:rsid w:val="00614C66"/>
    <w:rsid w:val="006161D2"/>
    <w:rsid w:val="00620B93"/>
    <w:rsid w:val="006213D6"/>
    <w:rsid w:val="00623781"/>
    <w:rsid w:val="00623BB6"/>
    <w:rsid w:val="006240C6"/>
    <w:rsid w:val="00624B83"/>
    <w:rsid w:val="006257A0"/>
    <w:rsid w:val="006259A2"/>
    <w:rsid w:val="0062692D"/>
    <w:rsid w:val="006275CE"/>
    <w:rsid w:val="0063047F"/>
    <w:rsid w:val="00632EB2"/>
    <w:rsid w:val="00634150"/>
    <w:rsid w:val="0063465C"/>
    <w:rsid w:val="0063593B"/>
    <w:rsid w:val="00636FC9"/>
    <w:rsid w:val="00640912"/>
    <w:rsid w:val="00643F33"/>
    <w:rsid w:val="006445AF"/>
    <w:rsid w:val="006455CB"/>
    <w:rsid w:val="0064609A"/>
    <w:rsid w:val="00647898"/>
    <w:rsid w:val="00647B97"/>
    <w:rsid w:val="0065068A"/>
    <w:rsid w:val="00652242"/>
    <w:rsid w:val="00652886"/>
    <w:rsid w:val="006543A3"/>
    <w:rsid w:val="00654F88"/>
    <w:rsid w:val="006560A3"/>
    <w:rsid w:val="00656886"/>
    <w:rsid w:val="006573EF"/>
    <w:rsid w:val="0065740E"/>
    <w:rsid w:val="00657A4D"/>
    <w:rsid w:val="00661863"/>
    <w:rsid w:val="00663A36"/>
    <w:rsid w:val="006658A4"/>
    <w:rsid w:val="00670CC9"/>
    <w:rsid w:val="0067194B"/>
    <w:rsid w:val="00672254"/>
    <w:rsid w:val="0067233D"/>
    <w:rsid w:val="00672684"/>
    <w:rsid w:val="00675039"/>
    <w:rsid w:val="0067518D"/>
    <w:rsid w:val="00675560"/>
    <w:rsid w:val="00676EEF"/>
    <w:rsid w:val="00677C34"/>
    <w:rsid w:val="00677CD3"/>
    <w:rsid w:val="00680CED"/>
    <w:rsid w:val="006813DE"/>
    <w:rsid w:val="00681539"/>
    <w:rsid w:val="00682031"/>
    <w:rsid w:val="00683351"/>
    <w:rsid w:val="0068410D"/>
    <w:rsid w:val="0068565C"/>
    <w:rsid w:val="0068659F"/>
    <w:rsid w:val="006866C5"/>
    <w:rsid w:val="006866FF"/>
    <w:rsid w:val="00686A50"/>
    <w:rsid w:val="006909C1"/>
    <w:rsid w:val="00691301"/>
    <w:rsid w:val="0069134B"/>
    <w:rsid w:val="0069196B"/>
    <w:rsid w:val="00693AA9"/>
    <w:rsid w:val="0069412F"/>
    <w:rsid w:val="006A139F"/>
    <w:rsid w:val="006A3FBE"/>
    <w:rsid w:val="006A4873"/>
    <w:rsid w:val="006A4A9B"/>
    <w:rsid w:val="006A50E0"/>
    <w:rsid w:val="006A56D0"/>
    <w:rsid w:val="006A6B84"/>
    <w:rsid w:val="006A6D1B"/>
    <w:rsid w:val="006A6D8B"/>
    <w:rsid w:val="006A6DAA"/>
    <w:rsid w:val="006A776E"/>
    <w:rsid w:val="006A7E18"/>
    <w:rsid w:val="006B1E69"/>
    <w:rsid w:val="006B25D1"/>
    <w:rsid w:val="006B33D7"/>
    <w:rsid w:val="006B3496"/>
    <w:rsid w:val="006B4316"/>
    <w:rsid w:val="006B4C49"/>
    <w:rsid w:val="006B5705"/>
    <w:rsid w:val="006B5EC0"/>
    <w:rsid w:val="006B5F06"/>
    <w:rsid w:val="006B6C35"/>
    <w:rsid w:val="006B7444"/>
    <w:rsid w:val="006B74B5"/>
    <w:rsid w:val="006B7D20"/>
    <w:rsid w:val="006C15B0"/>
    <w:rsid w:val="006C1BE3"/>
    <w:rsid w:val="006C25A0"/>
    <w:rsid w:val="006C2795"/>
    <w:rsid w:val="006C2C3E"/>
    <w:rsid w:val="006C3DCF"/>
    <w:rsid w:val="006C4F6A"/>
    <w:rsid w:val="006C6319"/>
    <w:rsid w:val="006C6769"/>
    <w:rsid w:val="006C67AC"/>
    <w:rsid w:val="006D0F19"/>
    <w:rsid w:val="006D2247"/>
    <w:rsid w:val="006D32BD"/>
    <w:rsid w:val="006D3FBA"/>
    <w:rsid w:val="006D4B26"/>
    <w:rsid w:val="006D4D6D"/>
    <w:rsid w:val="006D51BD"/>
    <w:rsid w:val="006D5913"/>
    <w:rsid w:val="006D5FDB"/>
    <w:rsid w:val="006D7E98"/>
    <w:rsid w:val="006E0C9C"/>
    <w:rsid w:val="006E45AC"/>
    <w:rsid w:val="006E4D16"/>
    <w:rsid w:val="006E61DD"/>
    <w:rsid w:val="006E6A19"/>
    <w:rsid w:val="006E6E72"/>
    <w:rsid w:val="006E72F7"/>
    <w:rsid w:val="006E74D2"/>
    <w:rsid w:val="006F099C"/>
    <w:rsid w:val="006F0FAD"/>
    <w:rsid w:val="006F1763"/>
    <w:rsid w:val="006F2B52"/>
    <w:rsid w:val="006F2C1B"/>
    <w:rsid w:val="006F2D79"/>
    <w:rsid w:val="006F349B"/>
    <w:rsid w:val="006F3CE9"/>
    <w:rsid w:val="00702126"/>
    <w:rsid w:val="0070221B"/>
    <w:rsid w:val="00702287"/>
    <w:rsid w:val="00703573"/>
    <w:rsid w:val="0070397E"/>
    <w:rsid w:val="00704FC4"/>
    <w:rsid w:val="00707578"/>
    <w:rsid w:val="007076F3"/>
    <w:rsid w:val="00710484"/>
    <w:rsid w:val="007114E3"/>
    <w:rsid w:val="00711CFC"/>
    <w:rsid w:val="007133B6"/>
    <w:rsid w:val="007143B8"/>
    <w:rsid w:val="00714C15"/>
    <w:rsid w:val="007152F9"/>
    <w:rsid w:val="00716581"/>
    <w:rsid w:val="0071735A"/>
    <w:rsid w:val="007173D8"/>
    <w:rsid w:val="00717A55"/>
    <w:rsid w:val="0072023B"/>
    <w:rsid w:val="00720ED6"/>
    <w:rsid w:val="00721480"/>
    <w:rsid w:val="00721B9D"/>
    <w:rsid w:val="007222FF"/>
    <w:rsid w:val="00723E46"/>
    <w:rsid w:val="00725D0E"/>
    <w:rsid w:val="00726448"/>
    <w:rsid w:val="00726B99"/>
    <w:rsid w:val="00726F62"/>
    <w:rsid w:val="0072711B"/>
    <w:rsid w:val="007308D7"/>
    <w:rsid w:val="00731A91"/>
    <w:rsid w:val="00731C30"/>
    <w:rsid w:val="0073209D"/>
    <w:rsid w:val="00732207"/>
    <w:rsid w:val="00732EE6"/>
    <w:rsid w:val="00733671"/>
    <w:rsid w:val="007337F8"/>
    <w:rsid w:val="00733CA7"/>
    <w:rsid w:val="007350E0"/>
    <w:rsid w:val="007369D4"/>
    <w:rsid w:val="00736B18"/>
    <w:rsid w:val="007417D9"/>
    <w:rsid w:val="00741B33"/>
    <w:rsid w:val="00742E4E"/>
    <w:rsid w:val="00742F36"/>
    <w:rsid w:val="00745120"/>
    <w:rsid w:val="00745579"/>
    <w:rsid w:val="007468ED"/>
    <w:rsid w:val="0075020C"/>
    <w:rsid w:val="00752C10"/>
    <w:rsid w:val="00753893"/>
    <w:rsid w:val="00754883"/>
    <w:rsid w:val="00754DCF"/>
    <w:rsid w:val="00755D68"/>
    <w:rsid w:val="00756D00"/>
    <w:rsid w:val="00760220"/>
    <w:rsid w:val="00760232"/>
    <w:rsid w:val="007613E8"/>
    <w:rsid w:val="007642A4"/>
    <w:rsid w:val="00764EC7"/>
    <w:rsid w:val="007655FF"/>
    <w:rsid w:val="007657D4"/>
    <w:rsid w:val="007663BA"/>
    <w:rsid w:val="0077036B"/>
    <w:rsid w:val="00771348"/>
    <w:rsid w:val="00771D24"/>
    <w:rsid w:val="00772007"/>
    <w:rsid w:val="00772F62"/>
    <w:rsid w:val="007735A2"/>
    <w:rsid w:val="00775F86"/>
    <w:rsid w:val="00776EB9"/>
    <w:rsid w:val="0077743F"/>
    <w:rsid w:val="007776B0"/>
    <w:rsid w:val="00781956"/>
    <w:rsid w:val="007819E1"/>
    <w:rsid w:val="00782E62"/>
    <w:rsid w:val="00783980"/>
    <w:rsid w:val="007844C8"/>
    <w:rsid w:val="00784B3F"/>
    <w:rsid w:val="0078532E"/>
    <w:rsid w:val="007853C3"/>
    <w:rsid w:val="0078693B"/>
    <w:rsid w:val="0078752F"/>
    <w:rsid w:val="0079180B"/>
    <w:rsid w:val="007919BD"/>
    <w:rsid w:val="00791AAE"/>
    <w:rsid w:val="00791BC7"/>
    <w:rsid w:val="0079258A"/>
    <w:rsid w:val="00792666"/>
    <w:rsid w:val="0079476E"/>
    <w:rsid w:val="00794BE7"/>
    <w:rsid w:val="0079524D"/>
    <w:rsid w:val="00795616"/>
    <w:rsid w:val="0079647C"/>
    <w:rsid w:val="00796AF4"/>
    <w:rsid w:val="007A229C"/>
    <w:rsid w:val="007A27A0"/>
    <w:rsid w:val="007A2F18"/>
    <w:rsid w:val="007A4927"/>
    <w:rsid w:val="007A4B36"/>
    <w:rsid w:val="007B03F9"/>
    <w:rsid w:val="007B0ED4"/>
    <w:rsid w:val="007B3EA7"/>
    <w:rsid w:val="007B452D"/>
    <w:rsid w:val="007B46CA"/>
    <w:rsid w:val="007B50BB"/>
    <w:rsid w:val="007B54F7"/>
    <w:rsid w:val="007B5693"/>
    <w:rsid w:val="007B57E6"/>
    <w:rsid w:val="007B687C"/>
    <w:rsid w:val="007C00C6"/>
    <w:rsid w:val="007C2162"/>
    <w:rsid w:val="007C35CE"/>
    <w:rsid w:val="007C3DD9"/>
    <w:rsid w:val="007C3FF8"/>
    <w:rsid w:val="007C43E0"/>
    <w:rsid w:val="007C457B"/>
    <w:rsid w:val="007C4D1A"/>
    <w:rsid w:val="007C5244"/>
    <w:rsid w:val="007C5C89"/>
    <w:rsid w:val="007C5D8E"/>
    <w:rsid w:val="007C6C4B"/>
    <w:rsid w:val="007D0FDA"/>
    <w:rsid w:val="007D1558"/>
    <w:rsid w:val="007D2953"/>
    <w:rsid w:val="007D2A61"/>
    <w:rsid w:val="007D38A0"/>
    <w:rsid w:val="007D4134"/>
    <w:rsid w:val="007D4481"/>
    <w:rsid w:val="007D6DC0"/>
    <w:rsid w:val="007D6FF6"/>
    <w:rsid w:val="007D76B6"/>
    <w:rsid w:val="007E2248"/>
    <w:rsid w:val="007E3202"/>
    <w:rsid w:val="007E3A60"/>
    <w:rsid w:val="007E3E6A"/>
    <w:rsid w:val="007E43CC"/>
    <w:rsid w:val="007E44D9"/>
    <w:rsid w:val="007E556D"/>
    <w:rsid w:val="007E7821"/>
    <w:rsid w:val="007F0082"/>
    <w:rsid w:val="007F1443"/>
    <w:rsid w:val="007F170B"/>
    <w:rsid w:val="007F1921"/>
    <w:rsid w:val="007F2046"/>
    <w:rsid w:val="007F260C"/>
    <w:rsid w:val="007F2B28"/>
    <w:rsid w:val="007F2D2D"/>
    <w:rsid w:val="007F3139"/>
    <w:rsid w:val="007F3902"/>
    <w:rsid w:val="0080186C"/>
    <w:rsid w:val="00802C77"/>
    <w:rsid w:val="0080558B"/>
    <w:rsid w:val="00806523"/>
    <w:rsid w:val="00806A8A"/>
    <w:rsid w:val="008100FE"/>
    <w:rsid w:val="0081100F"/>
    <w:rsid w:val="008135F0"/>
    <w:rsid w:val="0081399A"/>
    <w:rsid w:val="00813BAF"/>
    <w:rsid w:val="0081585A"/>
    <w:rsid w:val="00815D67"/>
    <w:rsid w:val="00816A67"/>
    <w:rsid w:val="00816C91"/>
    <w:rsid w:val="008179F8"/>
    <w:rsid w:val="00820EC5"/>
    <w:rsid w:val="00821007"/>
    <w:rsid w:val="00821039"/>
    <w:rsid w:val="00821F0D"/>
    <w:rsid w:val="008237AA"/>
    <w:rsid w:val="00823FB8"/>
    <w:rsid w:val="008266E3"/>
    <w:rsid w:val="008268C2"/>
    <w:rsid w:val="00826912"/>
    <w:rsid w:val="00826D22"/>
    <w:rsid w:val="00830C06"/>
    <w:rsid w:val="00830E54"/>
    <w:rsid w:val="00832032"/>
    <w:rsid w:val="0083262F"/>
    <w:rsid w:val="00832D3A"/>
    <w:rsid w:val="008341B4"/>
    <w:rsid w:val="00836053"/>
    <w:rsid w:val="00836F54"/>
    <w:rsid w:val="00836FF9"/>
    <w:rsid w:val="00837786"/>
    <w:rsid w:val="00837CEC"/>
    <w:rsid w:val="0084214C"/>
    <w:rsid w:val="008426D7"/>
    <w:rsid w:val="00843111"/>
    <w:rsid w:val="008441FE"/>
    <w:rsid w:val="008444D1"/>
    <w:rsid w:val="00844506"/>
    <w:rsid w:val="00844BCF"/>
    <w:rsid w:val="00845053"/>
    <w:rsid w:val="00845E8E"/>
    <w:rsid w:val="00846907"/>
    <w:rsid w:val="00846A4E"/>
    <w:rsid w:val="008478F6"/>
    <w:rsid w:val="0085016E"/>
    <w:rsid w:val="00850251"/>
    <w:rsid w:val="008516F7"/>
    <w:rsid w:val="00852535"/>
    <w:rsid w:val="0085330D"/>
    <w:rsid w:val="00854FA3"/>
    <w:rsid w:val="00856530"/>
    <w:rsid w:val="00856CFF"/>
    <w:rsid w:val="00860FCD"/>
    <w:rsid w:val="00863E86"/>
    <w:rsid w:val="0086461F"/>
    <w:rsid w:val="008652B6"/>
    <w:rsid w:val="0086558D"/>
    <w:rsid w:val="00866886"/>
    <w:rsid w:val="00866B0C"/>
    <w:rsid w:val="00870070"/>
    <w:rsid w:val="00870ECC"/>
    <w:rsid w:val="00872EB8"/>
    <w:rsid w:val="00873BF2"/>
    <w:rsid w:val="00875EB2"/>
    <w:rsid w:val="00876E0B"/>
    <w:rsid w:val="00876F2E"/>
    <w:rsid w:val="008806A3"/>
    <w:rsid w:val="00882191"/>
    <w:rsid w:val="00883B23"/>
    <w:rsid w:val="00885713"/>
    <w:rsid w:val="008861D7"/>
    <w:rsid w:val="00887584"/>
    <w:rsid w:val="0089043F"/>
    <w:rsid w:val="00890AB9"/>
    <w:rsid w:val="00891181"/>
    <w:rsid w:val="008916E5"/>
    <w:rsid w:val="00892C55"/>
    <w:rsid w:val="00894A2C"/>
    <w:rsid w:val="008953A7"/>
    <w:rsid w:val="00895A13"/>
    <w:rsid w:val="00896760"/>
    <w:rsid w:val="00896D25"/>
    <w:rsid w:val="008971E9"/>
    <w:rsid w:val="00897271"/>
    <w:rsid w:val="00897391"/>
    <w:rsid w:val="008A2015"/>
    <w:rsid w:val="008A22ED"/>
    <w:rsid w:val="008A25E1"/>
    <w:rsid w:val="008A2C08"/>
    <w:rsid w:val="008A2F2E"/>
    <w:rsid w:val="008A44F0"/>
    <w:rsid w:val="008A4988"/>
    <w:rsid w:val="008A6093"/>
    <w:rsid w:val="008A78F5"/>
    <w:rsid w:val="008B022F"/>
    <w:rsid w:val="008B0AED"/>
    <w:rsid w:val="008B1168"/>
    <w:rsid w:val="008B1B0C"/>
    <w:rsid w:val="008B29D4"/>
    <w:rsid w:val="008B3C67"/>
    <w:rsid w:val="008B4D06"/>
    <w:rsid w:val="008B4D94"/>
    <w:rsid w:val="008B5302"/>
    <w:rsid w:val="008B54DB"/>
    <w:rsid w:val="008B7CEC"/>
    <w:rsid w:val="008C0CBE"/>
    <w:rsid w:val="008C30DE"/>
    <w:rsid w:val="008C381F"/>
    <w:rsid w:val="008C64F4"/>
    <w:rsid w:val="008C7FD3"/>
    <w:rsid w:val="008D06E5"/>
    <w:rsid w:val="008D0D39"/>
    <w:rsid w:val="008D10E2"/>
    <w:rsid w:val="008D12FD"/>
    <w:rsid w:val="008D1462"/>
    <w:rsid w:val="008D21F5"/>
    <w:rsid w:val="008D3E60"/>
    <w:rsid w:val="008D54AC"/>
    <w:rsid w:val="008D5D5A"/>
    <w:rsid w:val="008D659A"/>
    <w:rsid w:val="008D7617"/>
    <w:rsid w:val="008E01EF"/>
    <w:rsid w:val="008E3477"/>
    <w:rsid w:val="008E50E1"/>
    <w:rsid w:val="008E5BB4"/>
    <w:rsid w:val="008E604A"/>
    <w:rsid w:val="008E7838"/>
    <w:rsid w:val="008F1382"/>
    <w:rsid w:val="008F22C0"/>
    <w:rsid w:val="008F3C20"/>
    <w:rsid w:val="008F3FF0"/>
    <w:rsid w:val="008F41AB"/>
    <w:rsid w:val="008F41F6"/>
    <w:rsid w:val="008F7201"/>
    <w:rsid w:val="008F7B7F"/>
    <w:rsid w:val="009002D8"/>
    <w:rsid w:val="00900FE3"/>
    <w:rsid w:val="0090348D"/>
    <w:rsid w:val="00905049"/>
    <w:rsid w:val="009064DB"/>
    <w:rsid w:val="009069B9"/>
    <w:rsid w:val="00906E24"/>
    <w:rsid w:val="00912BBC"/>
    <w:rsid w:val="00921A90"/>
    <w:rsid w:val="00921AAB"/>
    <w:rsid w:val="009232E4"/>
    <w:rsid w:val="00923823"/>
    <w:rsid w:val="00923E27"/>
    <w:rsid w:val="00924FF2"/>
    <w:rsid w:val="00925362"/>
    <w:rsid w:val="00925ADC"/>
    <w:rsid w:val="0092621A"/>
    <w:rsid w:val="00926B94"/>
    <w:rsid w:val="009303AF"/>
    <w:rsid w:val="00931E34"/>
    <w:rsid w:val="009322D0"/>
    <w:rsid w:val="0093319D"/>
    <w:rsid w:val="009349DE"/>
    <w:rsid w:val="0093533F"/>
    <w:rsid w:val="009368DB"/>
    <w:rsid w:val="00937096"/>
    <w:rsid w:val="00937A23"/>
    <w:rsid w:val="00941CA2"/>
    <w:rsid w:val="00942F87"/>
    <w:rsid w:val="00950B24"/>
    <w:rsid w:val="009517F9"/>
    <w:rsid w:val="00951817"/>
    <w:rsid w:val="00951FA6"/>
    <w:rsid w:val="009558E5"/>
    <w:rsid w:val="00956E0C"/>
    <w:rsid w:val="00957672"/>
    <w:rsid w:val="00961206"/>
    <w:rsid w:val="00961CCA"/>
    <w:rsid w:val="0096255B"/>
    <w:rsid w:val="00964C5E"/>
    <w:rsid w:val="0096538D"/>
    <w:rsid w:val="0096556E"/>
    <w:rsid w:val="00965927"/>
    <w:rsid w:val="00967344"/>
    <w:rsid w:val="00967386"/>
    <w:rsid w:val="009674EA"/>
    <w:rsid w:val="009707E1"/>
    <w:rsid w:val="00971881"/>
    <w:rsid w:val="00971B17"/>
    <w:rsid w:val="00972D04"/>
    <w:rsid w:val="00975F33"/>
    <w:rsid w:val="009761DE"/>
    <w:rsid w:val="00976299"/>
    <w:rsid w:val="00976EAB"/>
    <w:rsid w:val="00977B2F"/>
    <w:rsid w:val="009807E0"/>
    <w:rsid w:val="00982099"/>
    <w:rsid w:val="0098281E"/>
    <w:rsid w:val="00982CC6"/>
    <w:rsid w:val="00982D5B"/>
    <w:rsid w:val="009834A2"/>
    <w:rsid w:val="00983D3F"/>
    <w:rsid w:val="00984F12"/>
    <w:rsid w:val="009863C8"/>
    <w:rsid w:val="00987714"/>
    <w:rsid w:val="00990E4A"/>
    <w:rsid w:val="0099103B"/>
    <w:rsid w:val="00991611"/>
    <w:rsid w:val="00992B85"/>
    <w:rsid w:val="00992EE8"/>
    <w:rsid w:val="00996F55"/>
    <w:rsid w:val="0099751D"/>
    <w:rsid w:val="00997BA0"/>
    <w:rsid w:val="009A0F99"/>
    <w:rsid w:val="009A1D37"/>
    <w:rsid w:val="009A22DD"/>
    <w:rsid w:val="009A2A47"/>
    <w:rsid w:val="009B0918"/>
    <w:rsid w:val="009B0ECD"/>
    <w:rsid w:val="009B472C"/>
    <w:rsid w:val="009B59EC"/>
    <w:rsid w:val="009B6251"/>
    <w:rsid w:val="009B709C"/>
    <w:rsid w:val="009C03AE"/>
    <w:rsid w:val="009C10D4"/>
    <w:rsid w:val="009C182C"/>
    <w:rsid w:val="009C1B62"/>
    <w:rsid w:val="009C1B7B"/>
    <w:rsid w:val="009C1F32"/>
    <w:rsid w:val="009C2DF0"/>
    <w:rsid w:val="009C3D6A"/>
    <w:rsid w:val="009C513C"/>
    <w:rsid w:val="009C7086"/>
    <w:rsid w:val="009C7D17"/>
    <w:rsid w:val="009D1E21"/>
    <w:rsid w:val="009D1F22"/>
    <w:rsid w:val="009D498F"/>
    <w:rsid w:val="009D4C2D"/>
    <w:rsid w:val="009D5773"/>
    <w:rsid w:val="009D70BE"/>
    <w:rsid w:val="009E02E7"/>
    <w:rsid w:val="009E0C3C"/>
    <w:rsid w:val="009E1AAC"/>
    <w:rsid w:val="009E4F56"/>
    <w:rsid w:val="009E561E"/>
    <w:rsid w:val="009E5EB0"/>
    <w:rsid w:val="009E607A"/>
    <w:rsid w:val="009E6E7A"/>
    <w:rsid w:val="009F1212"/>
    <w:rsid w:val="009F19FF"/>
    <w:rsid w:val="009F1BDC"/>
    <w:rsid w:val="009F3025"/>
    <w:rsid w:val="009F3AD7"/>
    <w:rsid w:val="009F3B59"/>
    <w:rsid w:val="009F4C58"/>
    <w:rsid w:val="009F60F8"/>
    <w:rsid w:val="009F6569"/>
    <w:rsid w:val="009F7AD3"/>
    <w:rsid w:val="00A00299"/>
    <w:rsid w:val="00A01AA4"/>
    <w:rsid w:val="00A03424"/>
    <w:rsid w:val="00A03485"/>
    <w:rsid w:val="00A036D8"/>
    <w:rsid w:val="00A04BF5"/>
    <w:rsid w:val="00A055CD"/>
    <w:rsid w:val="00A07B56"/>
    <w:rsid w:val="00A07FC8"/>
    <w:rsid w:val="00A10770"/>
    <w:rsid w:val="00A10C9C"/>
    <w:rsid w:val="00A135EA"/>
    <w:rsid w:val="00A1395C"/>
    <w:rsid w:val="00A14E8B"/>
    <w:rsid w:val="00A15BB8"/>
    <w:rsid w:val="00A174B6"/>
    <w:rsid w:val="00A20280"/>
    <w:rsid w:val="00A2032E"/>
    <w:rsid w:val="00A21601"/>
    <w:rsid w:val="00A2167F"/>
    <w:rsid w:val="00A2229C"/>
    <w:rsid w:val="00A236A3"/>
    <w:rsid w:val="00A23834"/>
    <w:rsid w:val="00A27492"/>
    <w:rsid w:val="00A3072A"/>
    <w:rsid w:val="00A31808"/>
    <w:rsid w:val="00A31B3F"/>
    <w:rsid w:val="00A31EE3"/>
    <w:rsid w:val="00A31F67"/>
    <w:rsid w:val="00A3295B"/>
    <w:rsid w:val="00A32978"/>
    <w:rsid w:val="00A33C3A"/>
    <w:rsid w:val="00A34A7F"/>
    <w:rsid w:val="00A34E1E"/>
    <w:rsid w:val="00A352CB"/>
    <w:rsid w:val="00A35A86"/>
    <w:rsid w:val="00A35B0A"/>
    <w:rsid w:val="00A35FC1"/>
    <w:rsid w:val="00A36348"/>
    <w:rsid w:val="00A410A0"/>
    <w:rsid w:val="00A41319"/>
    <w:rsid w:val="00A41B5C"/>
    <w:rsid w:val="00A42129"/>
    <w:rsid w:val="00A42BD0"/>
    <w:rsid w:val="00A44D8D"/>
    <w:rsid w:val="00A45A65"/>
    <w:rsid w:val="00A46517"/>
    <w:rsid w:val="00A479E3"/>
    <w:rsid w:val="00A522B9"/>
    <w:rsid w:val="00A52EB5"/>
    <w:rsid w:val="00A55987"/>
    <w:rsid w:val="00A61E4E"/>
    <w:rsid w:val="00A63B60"/>
    <w:rsid w:val="00A63F63"/>
    <w:rsid w:val="00A65AB5"/>
    <w:rsid w:val="00A66C6D"/>
    <w:rsid w:val="00A66E99"/>
    <w:rsid w:val="00A70DA9"/>
    <w:rsid w:val="00A70FD3"/>
    <w:rsid w:val="00A71ACA"/>
    <w:rsid w:val="00A71E87"/>
    <w:rsid w:val="00A71F44"/>
    <w:rsid w:val="00A74947"/>
    <w:rsid w:val="00A76F07"/>
    <w:rsid w:val="00A77B90"/>
    <w:rsid w:val="00A808F8"/>
    <w:rsid w:val="00A85C84"/>
    <w:rsid w:val="00A86AED"/>
    <w:rsid w:val="00A90AF6"/>
    <w:rsid w:val="00A924D5"/>
    <w:rsid w:val="00A92AF2"/>
    <w:rsid w:val="00A931F7"/>
    <w:rsid w:val="00A97385"/>
    <w:rsid w:val="00AA006E"/>
    <w:rsid w:val="00AA1297"/>
    <w:rsid w:val="00AA1FA1"/>
    <w:rsid w:val="00AA21D0"/>
    <w:rsid w:val="00AA3362"/>
    <w:rsid w:val="00AA3F0E"/>
    <w:rsid w:val="00AA4132"/>
    <w:rsid w:val="00AA4BCA"/>
    <w:rsid w:val="00AA5120"/>
    <w:rsid w:val="00AA5160"/>
    <w:rsid w:val="00AA5872"/>
    <w:rsid w:val="00AB0BAE"/>
    <w:rsid w:val="00AB1958"/>
    <w:rsid w:val="00AB3959"/>
    <w:rsid w:val="00AB3984"/>
    <w:rsid w:val="00AB4613"/>
    <w:rsid w:val="00AB79E5"/>
    <w:rsid w:val="00AC048D"/>
    <w:rsid w:val="00AC0D40"/>
    <w:rsid w:val="00AC14F0"/>
    <w:rsid w:val="00AC17D6"/>
    <w:rsid w:val="00AC26C2"/>
    <w:rsid w:val="00AC3F63"/>
    <w:rsid w:val="00AC4CD7"/>
    <w:rsid w:val="00AC553A"/>
    <w:rsid w:val="00AC5BBA"/>
    <w:rsid w:val="00AC7012"/>
    <w:rsid w:val="00AC78FB"/>
    <w:rsid w:val="00AC7CF8"/>
    <w:rsid w:val="00AD0D3E"/>
    <w:rsid w:val="00AD1632"/>
    <w:rsid w:val="00AD2681"/>
    <w:rsid w:val="00AD29AB"/>
    <w:rsid w:val="00AD4900"/>
    <w:rsid w:val="00AD4B58"/>
    <w:rsid w:val="00AD6884"/>
    <w:rsid w:val="00AD6AD9"/>
    <w:rsid w:val="00AE0DF3"/>
    <w:rsid w:val="00AE215C"/>
    <w:rsid w:val="00AE2220"/>
    <w:rsid w:val="00AE262A"/>
    <w:rsid w:val="00AE4B07"/>
    <w:rsid w:val="00AF33DE"/>
    <w:rsid w:val="00AF5B5B"/>
    <w:rsid w:val="00AF6948"/>
    <w:rsid w:val="00AF724F"/>
    <w:rsid w:val="00B0070C"/>
    <w:rsid w:val="00B00DB9"/>
    <w:rsid w:val="00B03424"/>
    <w:rsid w:val="00B03F6D"/>
    <w:rsid w:val="00B054A6"/>
    <w:rsid w:val="00B05EAC"/>
    <w:rsid w:val="00B06611"/>
    <w:rsid w:val="00B07D5E"/>
    <w:rsid w:val="00B10D6E"/>
    <w:rsid w:val="00B121F3"/>
    <w:rsid w:val="00B124FE"/>
    <w:rsid w:val="00B12955"/>
    <w:rsid w:val="00B15115"/>
    <w:rsid w:val="00B20666"/>
    <w:rsid w:val="00B20DA8"/>
    <w:rsid w:val="00B22221"/>
    <w:rsid w:val="00B228F6"/>
    <w:rsid w:val="00B233A1"/>
    <w:rsid w:val="00B26D93"/>
    <w:rsid w:val="00B272C2"/>
    <w:rsid w:val="00B278B5"/>
    <w:rsid w:val="00B30000"/>
    <w:rsid w:val="00B300FE"/>
    <w:rsid w:val="00B30474"/>
    <w:rsid w:val="00B31D73"/>
    <w:rsid w:val="00B32307"/>
    <w:rsid w:val="00B32577"/>
    <w:rsid w:val="00B3372F"/>
    <w:rsid w:val="00B33D7B"/>
    <w:rsid w:val="00B357E3"/>
    <w:rsid w:val="00B3686C"/>
    <w:rsid w:val="00B40670"/>
    <w:rsid w:val="00B413BD"/>
    <w:rsid w:val="00B41CD8"/>
    <w:rsid w:val="00B42803"/>
    <w:rsid w:val="00B461DD"/>
    <w:rsid w:val="00B47ADD"/>
    <w:rsid w:val="00B51893"/>
    <w:rsid w:val="00B51D65"/>
    <w:rsid w:val="00B52098"/>
    <w:rsid w:val="00B52448"/>
    <w:rsid w:val="00B55007"/>
    <w:rsid w:val="00B560E4"/>
    <w:rsid w:val="00B5610B"/>
    <w:rsid w:val="00B56288"/>
    <w:rsid w:val="00B57975"/>
    <w:rsid w:val="00B60862"/>
    <w:rsid w:val="00B613AC"/>
    <w:rsid w:val="00B63B31"/>
    <w:rsid w:val="00B63E49"/>
    <w:rsid w:val="00B65704"/>
    <w:rsid w:val="00B6751D"/>
    <w:rsid w:val="00B72FE5"/>
    <w:rsid w:val="00B73314"/>
    <w:rsid w:val="00B763D4"/>
    <w:rsid w:val="00B803E2"/>
    <w:rsid w:val="00B806F7"/>
    <w:rsid w:val="00B81545"/>
    <w:rsid w:val="00B81CCB"/>
    <w:rsid w:val="00B8365D"/>
    <w:rsid w:val="00B83814"/>
    <w:rsid w:val="00B84DBB"/>
    <w:rsid w:val="00B86E0D"/>
    <w:rsid w:val="00B90777"/>
    <w:rsid w:val="00B9112E"/>
    <w:rsid w:val="00B91659"/>
    <w:rsid w:val="00B92114"/>
    <w:rsid w:val="00B92CA4"/>
    <w:rsid w:val="00B93869"/>
    <w:rsid w:val="00B9388A"/>
    <w:rsid w:val="00B93F48"/>
    <w:rsid w:val="00B940BB"/>
    <w:rsid w:val="00B9491F"/>
    <w:rsid w:val="00B950D7"/>
    <w:rsid w:val="00B96121"/>
    <w:rsid w:val="00B9735F"/>
    <w:rsid w:val="00B97721"/>
    <w:rsid w:val="00BA0394"/>
    <w:rsid w:val="00BA0AB0"/>
    <w:rsid w:val="00BA2097"/>
    <w:rsid w:val="00BA4721"/>
    <w:rsid w:val="00BA68B3"/>
    <w:rsid w:val="00BA6F91"/>
    <w:rsid w:val="00BA761B"/>
    <w:rsid w:val="00BA7CB3"/>
    <w:rsid w:val="00BB154E"/>
    <w:rsid w:val="00BB156D"/>
    <w:rsid w:val="00BB2DA6"/>
    <w:rsid w:val="00BB32B6"/>
    <w:rsid w:val="00BB3927"/>
    <w:rsid w:val="00BB5408"/>
    <w:rsid w:val="00BB6A6B"/>
    <w:rsid w:val="00BC08A5"/>
    <w:rsid w:val="00BC0B63"/>
    <w:rsid w:val="00BC1AD3"/>
    <w:rsid w:val="00BC343B"/>
    <w:rsid w:val="00BC3C5A"/>
    <w:rsid w:val="00BC49CF"/>
    <w:rsid w:val="00BC49D6"/>
    <w:rsid w:val="00BC53DF"/>
    <w:rsid w:val="00BC600D"/>
    <w:rsid w:val="00BC7F41"/>
    <w:rsid w:val="00BD0C81"/>
    <w:rsid w:val="00BD32BB"/>
    <w:rsid w:val="00BD3365"/>
    <w:rsid w:val="00BD547C"/>
    <w:rsid w:val="00BD60E0"/>
    <w:rsid w:val="00BE23A2"/>
    <w:rsid w:val="00BE35C4"/>
    <w:rsid w:val="00BF06D4"/>
    <w:rsid w:val="00BF2E79"/>
    <w:rsid w:val="00BF441C"/>
    <w:rsid w:val="00BF7045"/>
    <w:rsid w:val="00C003B9"/>
    <w:rsid w:val="00C0055D"/>
    <w:rsid w:val="00C02483"/>
    <w:rsid w:val="00C02B21"/>
    <w:rsid w:val="00C0327E"/>
    <w:rsid w:val="00C03F90"/>
    <w:rsid w:val="00C049CB"/>
    <w:rsid w:val="00C05070"/>
    <w:rsid w:val="00C053AF"/>
    <w:rsid w:val="00C06443"/>
    <w:rsid w:val="00C07493"/>
    <w:rsid w:val="00C07B70"/>
    <w:rsid w:val="00C1028C"/>
    <w:rsid w:val="00C118D2"/>
    <w:rsid w:val="00C11CC3"/>
    <w:rsid w:val="00C11E2D"/>
    <w:rsid w:val="00C14F3E"/>
    <w:rsid w:val="00C15083"/>
    <w:rsid w:val="00C1554C"/>
    <w:rsid w:val="00C1669B"/>
    <w:rsid w:val="00C1690E"/>
    <w:rsid w:val="00C16C6F"/>
    <w:rsid w:val="00C175E5"/>
    <w:rsid w:val="00C179FF"/>
    <w:rsid w:val="00C22236"/>
    <w:rsid w:val="00C22C61"/>
    <w:rsid w:val="00C23A18"/>
    <w:rsid w:val="00C23B76"/>
    <w:rsid w:val="00C252E0"/>
    <w:rsid w:val="00C258AD"/>
    <w:rsid w:val="00C2687A"/>
    <w:rsid w:val="00C26A17"/>
    <w:rsid w:val="00C26B0B"/>
    <w:rsid w:val="00C31A3E"/>
    <w:rsid w:val="00C32EE6"/>
    <w:rsid w:val="00C32F8D"/>
    <w:rsid w:val="00C33345"/>
    <w:rsid w:val="00C338E5"/>
    <w:rsid w:val="00C33DD6"/>
    <w:rsid w:val="00C34AAA"/>
    <w:rsid w:val="00C34EF5"/>
    <w:rsid w:val="00C3502B"/>
    <w:rsid w:val="00C3639E"/>
    <w:rsid w:val="00C40602"/>
    <w:rsid w:val="00C409A6"/>
    <w:rsid w:val="00C416E0"/>
    <w:rsid w:val="00C4334C"/>
    <w:rsid w:val="00C43B15"/>
    <w:rsid w:val="00C44118"/>
    <w:rsid w:val="00C4652D"/>
    <w:rsid w:val="00C46863"/>
    <w:rsid w:val="00C46DCE"/>
    <w:rsid w:val="00C508F0"/>
    <w:rsid w:val="00C52F1A"/>
    <w:rsid w:val="00C54F84"/>
    <w:rsid w:val="00C627C1"/>
    <w:rsid w:val="00C63559"/>
    <w:rsid w:val="00C642B1"/>
    <w:rsid w:val="00C655A3"/>
    <w:rsid w:val="00C6583C"/>
    <w:rsid w:val="00C65F52"/>
    <w:rsid w:val="00C66994"/>
    <w:rsid w:val="00C67C2A"/>
    <w:rsid w:val="00C7067A"/>
    <w:rsid w:val="00C709FD"/>
    <w:rsid w:val="00C71F1C"/>
    <w:rsid w:val="00C739A9"/>
    <w:rsid w:val="00C745B7"/>
    <w:rsid w:val="00C75633"/>
    <w:rsid w:val="00C77580"/>
    <w:rsid w:val="00C77696"/>
    <w:rsid w:val="00C80BA8"/>
    <w:rsid w:val="00C81391"/>
    <w:rsid w:val="00C81463"/>
    <w:rsid w:val="00C82C91"/>
    <w:rsid w:val="00C83093"/>
    <w:rsid w:val="00C83668"/>
    <w:rsid w:val="00C83EF4"/>
    <w:rsid w:val="00C84D57"/>
    <w:rsid w:val="00C86556"/>
    <w:rsid w:val="00C91FA5"/>
    <w:rsid w:val="00C92259"/>
    <w:rsid w:val="00C92753"/>
    <w:rsid w:val="00C9282E"/>
    <w:rsid w:val="00C93007"/>
    <w:rsid w:val="00C93A0B"/>
    <w:rsid w:val="00C94270"/>
    <w:rsid w:val="00C94BA6"/>
    <w:rsid w:val="00C95782"/>
    <w:rsid w:val="00C96706"/>
    <w:rsid w:val="00C96DED"/>
    <w:rsid w:val="00C96E01"/>
    <w:rsid w:val="00C97281"/>
    <w:rsid w:val="00C97576"/>
    <w:rsid w:val="00C97EC3"/>
    <w:rsid w:val="00CA20EC"/>
    <w:rsid w:val="00CA329D"/>
    <w:rsid w:val="00CA4566"/>
    <w:rsid w:val="00CA551F"/>
    <w:rsid w:val="00CA74B5"/>
    <w:rsid w:val="00CA77C7"/>
    <w:rsid w:val="00CB2C59"/>
    <w:rsid w:val="00CB3BA1"/>
    <w:rsid w:val="00CB47DD"/>
    <w:rsid w:val="00CB499D"/>
    <w:rsid w:val="00CB6C25"/>
    <w:rsid w:val="00CB6F9C"/>
    <w:rsid w:val="00CC421E"/>
    <w:rsid w:val="00CC48B5"/>
    <w:rsid w:val="00CC4F21"/>
    <w:rsid w:val="00CC5CBC"/>
    <w:rsid w:val="00CC666C"/>
    <w:rsid w:val="00CC66DF"/>
    <w:rsid w:val="00CC6AC8"/>
    <w:rsid w:val="00CC6F2C"/>
    <w:rsid w:val="00CC7B6B"/>
    <w:rsid w:val="00CD02E9"/>
    <w:rsid w:val="00CD1456"/>
    <w:rsid w:val="00CD28B0"/>
    <w:rsid w:val="00CD3AC8"/>
    <w:rsid w:val="00CD6D3C"/>
    <w:rsid w:val="00CD7E29"/>
    <w:rsid w:val="00CE0B86"/>
    <w:rsid w:val="00CE254D"/>
    <w:rsid w:val="00CE4438"/>
    <w:rsid w:val="00CE687C"/>
    <w:rsid w:val="00CE77D9"/>
    <w:rsid w:val="00CE788B"/>
    <w:rsid w:val="00CF0B78"/>
    <w:rsid w:val="00CF0F8A"/>
    <w:rsid w:val="00CF1AE3"/>
    <w:rsid w:val="00CF1CF2"/>
    <w:rsid w:val="00CF27DE"/>
    <w:rsid w:val="00CF2875"/>
    <w:rsid w:val="00CF2AF2"/>
    <w:rsid w:val="00CF2BC5"/>
    <w:rsid w:val="00CF3EC6"/>
    <w:rsid w:val="00CF4123"/>
    <w:rsid w:val="00CF5CF8"/>
    <w:rsid w:val="00D01659"/>
    <w:rsid w:val="00D0187F"/>
    <w:rsid w:val="00D02957"/>
    <w:rsid w:val="00D02DEF"/>
    <w:rsid w:val="00D06C1A"/>
    <w:rsid w:val="00D07C44"/>
    <w:rsid w:val="00D103BB"/>
    <w:rsid w:val="00D10613"/>
    <w:rsid w:val="00D111F4"/>
    <w:rsid w:val="00D11347"/>
    <w:rsid w:val="00D12024"/>
    <w:rsid w:val="00D12FD0"/>
    <w:rsid w:val="00D13C51"/>
    <w:rsid w:val="00D1512B"/>
    <w:rsid w:val="00D15D1D"/>
    <w:rsid w:val="00D166F8"/>
    <w:rsid w:val="00D178AD"/>
    <w:rsid w:val="00D17B5E"/>
    <w:rsid w:val="00D2020C"/>
    <w:rsid w:val="00D220AE"/>
    <w:rsid w:val="00D2245C"/>
    <w:rsid w:val="00D225C1"/>
    <w:rsid w:val="00D235EE"/>
    <w:rsid w:val="00D23B58"/>
    <w:rsid w:val="00D25144"/>
    <w:rsid w:val="00D2514F"/>
    <w:rsid w:val="00D25575"/>
    <w:rsid w:val="00D26808"/>
    <w:rsid w:val="00D30A1C"/>
    <w:rsid w:val="00D32639"/>
    <w:rsid w:val="00D346B9"/>
    <w:rsid w:val="00D352BF"/>
    <w:rsid w:val="00D3636C"/>
    <w:rsid w:val="00D36C18"/>
    <w:rsid w:val="00D41FE9"/>
    <w:rsid w:val="00D42AD1"/>
    <w:rsid w:val="00D43642"/>
    <w:rsid w:val="00D43F07"/>
    <w:rsid w:val="00D45644"/>
    <w:rsid w:val="00D45861"/>
    <w:rsid w:val="00D459DD"/>
    <w:rsid w:val="00D45A2F"/>
    <w:rsid w:val="00D46D8D"/>
    <w:rsid w:val="00D51281"/>
    <w:rsid w:val="00D515A2"/>
    <w:rsid w:val="00D52EE2"/>
    <w:rsid w:val="00D54FD1"/>
    <w:rsid w:val="00D55448"/>
    <w:rsid w:val="00D55CA2"/>
    <w:rsid w:val="00D60824"/>
    <w:rsid w:val="00D62BB6"/>
    <w:rsid w:val="00D662C9"/>
    <w:rsid w:val="00D66708"/>
    <w:rsid w:val="00D67E5B"/>
    <w:rsid w:val="00D702F3"/>
    <w:rsid w:val="00D707D7"/>
    <w:rsid w:val="00D70E8F"/>
    <w:rsid w:val="00D71992"/>
    <w:rsid w:val="00D71E73"/>
    <w:rsid w:val="00D724AF"/>
    <w:rsid w:val="00D72B9C"/>
    <w:rsid w:val="00D73548"/>
    <w:rsid w:val="00D73FF5"/>
    <w:rsid w:val="00D7446F"/>
    <w:rsid w:val="00D74515"/>
    <w:rsid w:val="00D77CC9"/>
    <w:rsid w:val="00D812F5"/>
    <w:rsid w:val="00D827DB"/>
    <w:rsid w:val="00D83A11"/>
    <w:rsid w:val="00D84EB2"/>
    <w:rsid w:val="00D867E4"/>
    <w:rsid w:val="00D87B29"/>
    <w:rsid w:val="00D91539"/>
    <w:rsid w:val="00D92904"/>
    <w:rsid w:val="00D9427E"/>
    <w:rsid w:val="00D954A9"/>
    <w:rsid w:val="00D95DEB"/>
    <w:rsid w:val="00D97022"/>
    <w:rsid w:val="00D978D7"/>
    <w:rsid w:val="00DA0FF2"/>
    <w:rsid w:val="00DA10D9"/>
    <w:rsid w:val="00DA2EB8"/>
    <w:rsid w:val="00DA3C9C"/>
    <w:rsid w:val="00DA3E24"/>
    <w:rsid w:val="00DA55C7"/>
    <w:rsid w:val="00DA615F"/>
    <w:rsid w:val="00DA6F0F"/>
    <w:rsid w:val="00DA7541"/>
    <w:rsid w:val="00DA7C19"/>
    <w:rsid w:val="00DB02F4"/>
    <w:rsid w:val="00DB048C"/>
    <w:rsid w:val="00DB0888"/>
    <w:rsid w:val="00DB09EC"/>
    <w:rsid w:val="00DB10CF"/>
    <w:rsid w:val="00DB1B0E"/>
    <w:rsid w:val="00DB2BFF"/>
    <w:rsid w:val="00DB3F98"/>
    <w:rsid w:val="00DB4C55"/>
    <w:rsid w:val="00DB64CF"/>
    <w:rsid w:val="00DB7E69"/>
    <w:rsid w:val="00DC002A"/>
    <w:rsid w:val="00DC12BD"/>
    <w:rsid w:val="00DC33E6"/>
    <w:rsid w:val="00DC4000"/>
    <w:rsid w:val="00DC717A"/>
    <w:rsid w:val="00DC71DD"/>
    <w:rsid w:val="00DD1695"/>
    <w:rsid w:val="00DD2E5B"/>
    <w:rsid w:val="00DD3931"/>
    <w:rsid w:val="00DD3C9A"/>
    <w:rsid w:val="00DD4708"/>
    <w:rsid w:val="00DD4712"/>
    <w:rsid w:val="00DD51D3"/>
    <w:rsid w:val="00DD5466"/>
    <w:rsid w:val="00DD6164"/>
    <w:rsid w:val="00DE1A53"/>
    <w:rsid w:val="00DE37A5"/>
    <w:rsid w:val="00DE38F1"/>
    <w:rsid w:val="00DE465A"/>
    <w:rsid w:val="00DE477F"/>
    <w:rsid w:val="00DE4F49"/>
    <w:rsid w:val="00DE6083"/>
    <w:rsid w:val="00DE6930"/>
    <w:rsid w:val="00DE6948"/>
    <w:rsid w:val="00DE6C77"/>
    <w:rsid w:val="00DE72D7"/>
    <w:rsid w:val="00DF11AC"/>
    <w:rsid w:val="00DF20F3"/>
    <w:rsid w:val="00DF3D93"/>
    <w:rsid w:val="00DF7B94"/>
    <w:rsid w:val="00E003AE"/>
    <w:rsid w:val="00E00EE5"/>
    <w:rsid w:val="00E01DEC"/>
    <w:rsid w:val="00E025D1"/>
    <w:rsid w:val="00E03268"/>
    <w:rsid w:val="00E03C5C"/>
    <w:rsid w:val="00E04D1E"/>
    <w:rsid w:val="00E05176"/>
    <w:rsid w:val="00E0536F"/>
    <w:rsid w:val="00E05675"/>
    <w:rsid w:val="00E06816"/>
    <w:rsid w:val="00E07F92"/>
    <w:rsid w:val="00E100AF"/>
    <w:rsid w:val="00E10B13"/>
    <w:rsid w:val="00E13107"/>
    <w:rsid w:val="00E13863"/>
    <w:rsid w:val="00E13C9F"/>
    <w:rsid w:val="00E14DED"/>
    <w:rsid w:val="00E16F86"/>
    <w:rsid w:val="00E172EA"/>
    <w:rsid w:val="00E17DC1"/>
    <w:rsid w:val="00E23B52"/>
    <w:rsid w:val="00E2401D"/>
    <w:rsid w:val="00E26D40"/>
    <w:rsid w:val="00E275CB"/>
    <w:rsid w:val="00E2764D"/>
    <w:rsid w:val="00E27B32"/>
    <w:rsid w:val="00E309FA"/>
    <w:rsid w:val="00E30FA2"/>
    <w:rsid w:val="00E3185B"/>
    <w:rsid w:val="00E32B54"/>
    <w:rsid w:val="00E33A61"/>
    <w:rsid w:val="00E33F92"/>
    <w:rsid w:val="00E354DE"/>
    <w:rsid w:val="00E35C21"/>
    <w:rsid w:val="00E362AC"/>
    <w:rsid w:val="00E366AD"/>
    <w:rsid w:val="00E3716C"/>
    <w:rsid w:val="00E40377"/>
    <w:rsid w:val="00E41871"/>
    <w:rsid w:val="00E42465"/>
    <w:rsid w:val="00E43AEB"/>
    <w:rsid w:val="00E45136"/>
    <w:rsid w:val="00E454D6"/>
    <w:rsid w:val="00E45FF0"/>
    <w:rsid w:val="00E47480"/>
    <w:rsid w:val="00E50435"/>
    <w:rsid w:val="00E5136B"/>
    <w:rsid w:val="00E51662"/>
    <w:rsid w:val="00E54ACB"/>
    <w:rsid w:val="00E552A3"/>
    <w:rsid w:val="00E5569B"/>
    <w:rsid w:val="00E55A69"/>
    <w:rsid w:val="00E57E2E"/>
    <w:rsid w:val="00E604F4"/>
    <w:rsid w:val="00E61C85"/>
    <w:rsid w:val="00E62C47"/>
    <w:rsid w:val="00E6788D"/>
    <w:rsid w:val="00E67CF5"/>
    <w:rsid w:val="00E67D63"/>
    <w:rsid w:val="00E67E56"/>
    <w:rsid w:val="00E70345"/>
    <w:rsid w:val="00E714CB"/>
    <w:rsid w:val="00E730F8"/>
    <w:rsid w:val="00E7369D"/>
    <w:rsid w:val="00E737C3"/>
    <w:rsid w:val="00E76A5B"/>
    <w:rsid w:val="00E770A9"/>
    <w:rsid w:val="00E80DB3"/>
    <w:rsid w:val="00E82938"/>
    <w:rsid w:val="00E86904"/>
    <w:rsid w:val="00E87004"/>
    <w:rsid w:val="00E902AE"/>
    <w:rsid w:val="00E902FC"/>
    <w:rsid w:val="00E91E1E"/>
    <w:rsid w:val="00E95676"/>
    <w:rsid w:val="00E96603"/>
    <w:rsid w:val="00E97E7A"/>
    <w:rsid w:val="00EA0324"/>
    <w:rsid w:val="00EA1478"/>
    <w:rsid w:val="00EA21C5"/>
    <w:rsid w:val="00EA24C5"/>
    <w:rsid w:val="00EA5EE5"/>
    <w:rsid w:val="00EA7533"/>
    <w:rsid w:val="00EA7655"/>
    <w:rsid w:val="00EA7BF2"/>
    <w:rsid w:val="00EA7F64"/>
    <w:rsid w:val="00EB19AD"/>
    <w:rsid w:val="00EB1D25"/>
    <w:rsid w:val="00EB3871"/>
    <w:rsid w:val="00EB4540"/>
    <w:rsid w:val="00EB4715"/>
    <w:rsid w:val="00EB54D0"/>
    <w:rsid w:val="00EC04A6"/>
    <w:rsid w:val="00EC1359"/>
    <w:rsid w:val="00EC1A65"/>
    <w:rsid w:val="00EC3308"/>
    <w:rsid w:val="00EC3361"/>
    <w:rsid w:val="00EC36F1"/>
    <w:rsid w:val="00EC38A7"/>
    <w:rsid w:val="00EC463D"/>
    <w:rsid w:val="00EC478B"/>
    <w:rsid w:val="00EC50AE"/>
    <w:rsid w:val="00ED14F2"/>
    <w:rsid w:val="00ED15DC"/>
    <w:rsid w:val="00ED29AC"/>
    <w:rsid w:val="00ED3AFB"/>
    <w:rsid w:val="00ED45A8"/>
    <w:rsid w:val="00ED45E7"/>
    <w:rsid w:val="00ED461D"/>
    <w:rsid w:val="00ED5C80"/>
    <w:rsid w:val="00ED73D1"/>
    <w:rsid w:val="00EE07B6"/>
    <w:rsid w:val="00EE096D"/>
    <w:rsid w:val="00EE2EE2"/>
    <w:rsid w:val="00EE3033"/>
    <w:rsid w:val="00EE68D5"/>
    <w:rsid w:val="00EF171C"/>
    <w:rsid w:val="00EF1915"/>
    <w:rsid w:val="00EF1D94"/>
    <w:rsid w:val="00EF2381"/>
    <w:rsid w:val="00EF2BE1"/>
    <w:rsid w:val="00EF3732"/>
    <w:rsid w:val="00EF3D7A"/>
    <w:rsid w:val="00EF3ECD"/>
    <w:rsid w:val="00EF7F7B"/>
    <w:rsid w:val="00F01810"/>
    <w:rsid w:val="00F01D6C"/>
    <w:rsid w:val="00F0451B"/>
    <w:rsid w:val="00F0775F"/>
    <w:rsid w:val="00F107D3"/>
    <w:rsid w:val="00F116C6"/>
    <w:rsid w:val="00F11B0C"/>
    <w:rsid w:val="00F11E4B"/>
    <w:rsid w:val="00F13F30"/>
    <w:rsid w:val="00F143CF"/>
    <w:rsid w:val="00F20A74"/>
    <w:rsid w:val="00F22816"/>
    <w:rsid w:val="00F2344E"/>
    <w:rsid w:val="00F244C9"/>
    <w:rsid w:val="00F2474B"/>
    <w:rsid w:val="00F31BAA"/>
    <w:rsid w:val="00F328BA"/>
    <w:rsid w:val="00F32D8F"/>
    <w:rsid w:val="00F33698"/>
    <w:rsid w:val="00F35203"/>
    <w:rsid w:val="00F3523C"/>
    <w:rsid w:val="00F3531A"/>
    <w:rsid w:val="00F353CC"/>
    <w:rsid w:val="00F359B6"/>
    <w:rsid w:val="00F376FE"/>
    <w:rsid w:val="00F406D3"/>
    <w:rsid w:val="00F415BD"/>
    <w:rsid w:val="00F41612"/>
    <w:rsid w:val="00F45C91"/>
    <w:rsid w:val="00F469DC"/>
    <w:rsid w:val="00F47B42"/>
    <w:rsid w:val="00F50A8C"/>
    <w:rsid w:val="00F51391"/>
    <w:rsid w:val="00F52F3B"/>
    <w:rsid w:val="00F544A1"/>
    <w:rsid w:val="00F54A4C"/>
    <w:rsid w:val="00F57ABA"/>
    <w:rsid w:val="00F60176"/>
    <w:rsid w:val="00F6020F"/>
    <w:rsid w:val="00F616AA"/>
    <w:rsid w:val="00F61C78"/>
    <w:rsid w:val="00F61E11"/>
    <w:rsid w:val="00F61EEE"/>
    <w:rsid w:val="00F6214D"/>
    <w:rsid w:val="00F64A34"/>
    <w:rsid w:val="00F659B6"/>
    <w:rsid w:val="00F65DA5"/>
    <w:rsid w:val="00F66686"/>
    <w:rsid w:val="00F71341"/>
    <w:rsid w:val="00F7143B"/>
    <w:rsid w:val="00F726F2"/>
    <w:rsid w:val="00F73A88"/>
    <w:rsid w:val="00F750C0"/>
    <w:rsid w:val="00F75A13"/>
    <w:rsid w:val="00F76DC2"/>
    <w:rsid w:val="00F76E1E"/>
    <w:rsid w:val="00F779D4"/>
    <w:rsid w:val="00F804EA"/>
    <w:rsid w:val="00F83661"/>
    <w:rsid w:val="00F83E27"/>
    <w:rsid w:val="00F844B1"/>
    <w:rsid w:val="00F84DB6"/>
    <w:rsid w:val="00F866FC"/>
    <w:rsid w:val="00F871CB"/>
    <w:rsid w:val="00F87D6A"/>
    <w:rsid w:val="00F929FC"/>
    <w:rsid w:val="00F92BA2"/>
    <w:rsid w:val="00F93600"/>
    <w:rsid w:val="00F94D76"/>
    <w:rsid w:val="00F96245"/>
    <w:rsid w:val="00F97DD0"/>
    <w:rsid w:val="00FA1051"/>
    <w:rsid w:val="00FA10E2"/>
    <w:rsid w:val="00FA2200"/>
    <w:rsid w:val="00FA2806"/>
    <w:rsid w:val="00FA3AFB"/>
    <w:rsid w:val="00FA47EA"/>
    <w:rsid w:val="00FA562A"/>
    <w:rsid w:val="00FA5E73"/>
    <w:rsid w:val="00FA6D8D"/>
    <w:rsid w:val="00FA7476"/>
    <w:rsid w:val="00FA7DDC"/>
    <w:rsid w:val="00FB0361"/>
    <w:rsid w:val="00FB0AEB"/>
    <w:rsid w:val="00FB13A3"/>
    <w:rsid w:val="00FB187C"/>
    <w:rsid w:val="00FB1A4E"/>
    <w:rsid w:val="00FB2157"/>
    <w:rsid w:val="00FB5692"/>
    <w:rsid w:val="00FB5CCB"/>
    <w:rsid w:val="00FB6AD6"/>
    <w:rsid w:val="00FB7563"/>
    <w:rsid w:val="00FC23F0"/>
    <w:rsid w:val="00FC3A81"/>
    <w:rsid w:val="00FC3D00"/>
    <w:rsid w:val="00FC5203"/>
    <w:rsid w:val="00FC5549"/>
    <w:rsid w:val="00FC582C"/>
    <w:rsid w:val="00FC5DD6"/>
    <w:rsid w:val="00FC6184"/>
    <w:rsid w:val="00FC7B4A"/>
    <w:rsid w:val="00FD0BFF"/>
    <w:rsid w:val="00FD1379"/>
    <w:rsid w:val="00FD2A0B"/>
    <w:rsid w:val="00FD35C3"/>
    <w:rsid w:val="00FD4342"/>
    <w:rsid w:val="00FD51B1"/>
    <w:rsid w:val="00FD5A55"/>
    <w:rsid w:val="00FD5C30"/>
    <w:rsid w:val="00FD6C1F"/>
    <w:rsid w:val="00FE0E1A"/>
    <w:rsid w:val="00FE140C"/>
    <w:rsid w:val="00FE199D"/>
    <w:rsid w:val="00FE2C3C"/>
    <w:rsid w:val="00FE31E9"/>
    <w:rsid w:val="00FE3889"/>
    <w:rsid w:val="00FE4687"/>
    <w:rsid w:val="00FE4C24"/>
    <w:rsid w:val="00FE5A23"/>
    <w:rsid w:val="00FE7051"/>
    <w:rsid w:val="00FE7DCE"/>
    <w:rsid w:val="00FF3D88"/>
    <w:rsid w:val="00FF4D18"/>
    <w:rsid w:val="00FF5F7E"/>
    <w:rsid w:val="00FF604B"/>
    <w:rsid w:val="00FF64D4"/>
    <w:rsid w:val="00FF7479"/>
    <w:rsid w:val="00FF77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4A859CAE"/>
  <w15:docId w15:val="{5AE856CE-9078-4FE7-B896-4A64F6391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A67"/>
    <w:pPr>
      <w:spacing w:before="120"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qFormat/>
    <w:pPr>
      <w:pageBreakBefore/>
      <w:numPr>
        <w:numId w:val="6"/>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pPr>
      <w:keepNext/>
      <w:keepLines/>
      <w:numPr>
        <w:ilvl w:val="1"/>
        <w:numId w:val="6"/>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keepNext/>
      <w:numPr>
        <w:ilvl w:val="2"/>
        <w:numId w:val="6"/>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qFormat/>
    <w:rsid w:val="00E62C47"/>
    <w:pPr>
      <w:keepNext/>
      <w:keepLines/>
      <w:spacing w:after="0" w:line="240" w:lineRule="auto"/>
      <w:outlineLvl w:val="4"/>
    </w:pPr>
    <w:rPr>
      <w:rFonts w:ascii="Calibri" w:hAnsi="Calibr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E62C47"/>
    <w:rPr>
      <w:rFonts w:ascii="Calibri" w:eastAsiaTheme="minorHAnsi" w:hAnsi="Calibri" w:cstheme="minorBidi"/>
      <w:b/>
      <w:sz w:val="24"/>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after="120" w:line="240" w:lineRule="auto"/>
    </w:pPr>
    <w:rPr>
      <w:b/>
      <w:noProof/>
    </w:rPr>
  </w:style>
  <w:style w:type="paragraph" w:styleId="TOC2">
    <w:name w:val="toc 2"/>
    <w:basedOn w:val="Normal"/>
    <w:next w:val="Normal"/>
    <w:uiPriority w:val="39"/>
    <w:unhideWhenUsed/>
    <w:qFormat/>
    <w:pPr>
      <w:tabs>
        <w:tab w:val="right" w:leader="dot" w:pos="9060"/>
      </w:tabs>
      <w:spacing w:after="120" w:line="240" w:lineRule="auto"/>
      <w:ind w:firstLine="425"/>
    </w:pPr>
    <w:rPr>
      <w:noProof/>
    </w:rPr>
  </w:style>
  <w:style w:type="paragraph" w:styleId="TOC3">
    <w:name w:val="toc 3"/>
    <w:basedOn w:val="Normal"/>
    <w:next w:val="Normal"/>
    <w:uiPriority w:val="39"/>
    <w:unhideWhenUsed/>
    <w:qFormat/>
    <w:pPr>
      <w:tabs>
        <w:tab w:val="right" w:leader="dot" w:pos="9072"/>
      </w:tabs>
      <w:spacing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3"/>
      </w:numPr>
      <w:spacing w:after="120"/>
    </w:pPr>
  </w:style>
  <w:style w:type="paragraph" w:styleId="TableofFigures">
    <w:name w:val="table of figures"/>
    <w:basedOn w:val="Normal"/>
    <w:next w:val="Normal"/>
    <w:uiPriority w:val="99"/>
    <w:pPr>
      <w:spacing w:after="120" w:line="240" w:lineRule="auto"/>
    </w:pPr>
  </w:style>
  <w:style w:type="paragraph" w:styleId="ListBullet2">
    <w:name w:val="List Bullet 2"/>
    <w:basedOn w:val="Normal"/>
    <w:uiPriority w:val="8"/>
    <w:qFormat/>
    <w:pPr>
      <w:numPr>
        <w:ilvl w:val="1"/>
        <w:numId w:val="3"/>
      </w:numPr>
      <w:spacing w:after="120"/>
      <w:contextualSpacing/>
    </w:pPr>
  </w:style>
  <w:style w:type="paragraph" w:styleId="ListNumber">
    <w:name w:val="List Number"/>
    <w:basedOn w:val="Normal"/>
    <w:uiPriority w:val="9"/>
    <w:qFormat/>
    <w:pPr>
      <w:numPr>
        <w:numId w:val="8"/>
      </w:numPr>
      <w:tabs>
        <w:tab w:val="left" w:pos="142"/>
      </w:tabs>
      <w:spacing w:after="120"/>
    </w:pPr>
  </w:style>
  <w:style w:type="paragraph" w:styleId="ListNumber2">
    <w:name w:val="List Number 2"/>
    <w:uiPriority w:val="10"/>
    <w:qFormat/>
    <w:pPr>
      <w:numPr>
        <w:ilvl w:val="1"/>
        <w:numId w:val="8"/>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link w:val="TableTextChar"/>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link w:val="TableHeadingChar"/>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1">
    <w:name w:val="Table Bullet 1"/>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16"/>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7"/>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10"/>
      </w:numPr>
      <w:tabs>
        <w:tab w:val="num" w:pos="284"/>
      </w:tabs>
      <w:ind w:left="568" w:hanging="284"/>
    </w:pPr>
  </w:style>
  <w:style w:type="numbering" w:customStyle="1" w:styleId="TableBulletlist">
    <w:name w:val="Table Bullet list"/>
    <w:uiPriority w:val="99"/>
    <w:pPr>
      <w:numPr>
        <w:numId w:val="9"/>
      </w:numPr>
    </w:pPr>
  </w:style>
  <w:style w:type="paragraph" w:styleId="Revision">
    <w:name w:val="Revision"/>
    <w:hidden/>
    <w:uiPriority w:val="99"/>
    <w:semiHidden/>
    <w:rsid w:val="00143A3A"/>
    <w:rPr>
      <w:rFonts w:eastAsiaTheme="minorHAnsi" w:cstheme="minorBidi"/>
      <w:sz w:val="22"/>
      <w:szCs w:val="22"/>
      <w:lang w:eastAsia="en-US"/>
    </w:rPr>
  </w:style>
  <w:style w:type="character" w:styleId="SubtleEmphasis">
    <w:name w:val="Subtle Emphasis"/>
    <w:basedOn w:val="DefaultParagraphFont"/>
    <w:uiPriority w:val="19"/>
    <w:qFormat/>
    <w:rsid w:val="00B9735F"/>
    <w:rPr>
      <w:i/>
      <w:iCs/>
      <w:color w:val="404040" w:themeColor="text1" w:themeTint="BF"/>
    </w:rPr>
  </w:style>
  <w:style w:type="paragraph" w:styleId="ListParagraph">
    <w:name w:val="List Paragraph"/>
    <w:basedOn w:val="Normal"/>
    <w:uiPriority w:val="99"/>
    <w:qFormat/>
    <w:rsid w:val="00033FFE"/>
    <w:pPr>
      <w:ind w:left="720"/>
      <w:contextualSpacing/>
    </w:pPr>
  </w:style>
  <w:style w:type="character" w:styleId="BookTitle">
    <w:name w:val="Book Title"/>
    <w:basedOn w:val="DefaultParagraphFont"/>
    <w:uiPriority w:val="33"/>
    <w:qFormat/>
    <w:rsid w:val="00693AA9"/>
    <w:rPr>
      <w:b/>
      <w:bCs/>
      <w:i/>
      <w:iCs/>
      <w:spacing w:val="5"/>
    </w:rPr>
  </w:style>
  <w:style w:type="numbering" w:customStyle="1" w:styleId="ListNumbers">
    <w:name w:val="ListNumbers"/>
    <w:uiPriority w:val="99"/>
    <w:rsid w:val="006658A4"/>
    <w:pPr>
      <w:numPr>
        <w:numId w:val="14"/>
      </w:numPr>
    </w:pPr>
  </w:style>
  <w:style w:type="paragraph" w:customStyle="1" w:styleId="Bullet">
    <w:name w:val="Bullet"/>
    <w:basedOn w:val="Normal"/>
    <w:link w:val="BulletChar"/>
    <w:uiPriority w:val="2"/>
    <w:qFormat/>
    <w:rsid w:val="00EF2381"/>
    <w:pPr>
      <w:numPr>
        <w:numId w:val="15"/>
      </w:numPr>
      <w:suppressAutoHyphens/>
      <w:spacing w:before="0" w:after="120" w:line="240" w:lineRule="auto"/>
    </w:pPr>
    <w:rPr>
      <w:rFonts w:asciiTheme="minorHAnsi" w:eastAsia="Times New Roman" w:hAnsiTheme="minorHAnsi" w:cs="Times New Roman"/>
      <w:sz w:val="21"/>
      <w:szCs w:val="19"/>
      <w:lang w:eastAsia="en-AU"/>
    </w:rPr>
  </w:style>
  <w:style w:type="character" w:customStyle="1" w:styleId="BulletChar">
    <w:name w:val="Bullet Char"/>
    <w:basedOn w:val="DefaultParagraphFont"/>
    <w:link w:val="Bullet"/>
    <w:uiPriority w:val="2"/>
    <w:rsid w:val="00EF2381"/>
    <w:rPr>
      <w:rFonts w:asciiTheme="minorHAnsi" w:eastAsia="Times New Roman" w:hAnsiTheme="minorHAnsi"/>
      <w:sz w:val="21"/>
      <w:szCs w:val="19"/>
    </w:rPr>
  </w:style>
  <w:style w:type="paragraph" w:customStyle="1" w:styleId="TableNText">
    <w:name w:val="Table N Text"/>
    <w:link w:val="TableNTextChar"/>
    <w:uiPriority w:val="9"/>
    <w:qFormat/>
    <w:rsid w:val="00EF2381"/>
    <w:pPr>
      <w:spacing w:before="60" w:after="60"/>
    </w:pPr>
    <w:rPr>
      <w:rFonts w:asciiTheme="minorHAnsi" w:eastAsia="Times New Roman" w:hAnsiTheme="minorHAnsi"/>
      <w:sz w:val="21"/>
      <w:szCs w:val="19"/>
    </w:rPr>
  </w:style>
  <w:style w:type="character" w:customStyle="1" w:styleId="TableNTextChar">
    <w:name w:val="Table N Text Char"/>
    <w:basedOn w:val="DefaultParagraphFont"/>
    <w:link w:val="TableNText"/>
    <w:uiPriority w:val="9"/>
    <w:rsid w:val="00EF2381"/>
    <w:rPr>
      <w:rFonts w:asciiTheme="minorHAnsi" w:eastAsia="Times New Roman" w:hAnsiTheme="minorHAnsi"/>
      <w:sz w:val="21"/>
      <w:szCs w:val="19"/>
    </w:rPr>
  </w:style>
  <w:style w:type="paragraph" w:customStyle="1" w:styleId="Mapsheading">
    <w:name w:val="Maps heading"/>
    <w:basedOn w:val="TableHeading"/>
    <w:link w:val="MapsheadingChar"/>
    <w:qFormat/>
    <w:rsid w:val="007655FF"/>
  </w:style>
  <w:style w:type="character" w:customStyle="1" w:styleId="TableTextChar">
    <w:name w:val="Table Text Char"/>
    <w:basedOn w:val="DefaultParagraphFont"/>
    <w:link w:val="TableText"/>
    <w:uiPriority w:val="13"/>
    <w:rsid w:val="007655FF"/>
    <w:rPr>
      <w:rFonts w:eastAsiaTheme="minorHAnsi" w:cstheme="minorBidi"/>
      <w:sz w:val="18"/>
      <w:szCs w:val="22"/>
      <w:lang w:eastAsia="en-US"/>
    </w:rPr>
  </w:style>
  <w:style w:type="character" w:customStyle="1" w:styleId="TableHeadingChar">
    <w:name w:val="Table Heading Char"/>
    <w:basedOn w:val="TableTextChar"/>
    <w:link w:val="TableHeading"/>
    <w:uiPriority w:val="14"/>
    <w:rsid w:val="007655FF"/>
    <w:rPr>
      <w:rFonts w:eastAsiaTheme="minorHAnsi" w:cstheme="minorBidi"/>
      <w:b/>
      <w:sz w:val="18"/>
      <w:szCs w:val="22"/>
      <w:lang w:eastAsia="en-US"/>
    </w:rPr>
  </w:style>
  <w:style w:type="character" w:customStyle="1" w:styleId="MapsheadingChar">
    <w:name w:val="Maps heading Char"/>
    <w:basedOn w:val="TableHeadingChar"/>
    <w:link w:val="Mapsheading"/>
    <w:rsid w:val="007655FF"/>
    <w:rPr>
      <w:rFonts w:eastAsiaTheme="minorHAnsi" w:cstheme="minorBidi"/>
      <w:b/>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107690">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39569439">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34060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572661">
      <w:bodyDiv w:val="1"/>
      <w:marLeft w:val="0"/>
      <w:marRight w:val="0"/>
      <w:marTop w:val="0"/>
      <w:marBottom w:val="0"/>
      <w:divBdr>
        <w:top w:val="none" w:sz="0" w:space="0" w:color="auto"/>
        <w:left w:val="none" w:sz="0" w:space="0" w:color="auto"/>
        <w:bottom w:val="none" w:sz="0" w:space="0" w:color="auto"/>
        <w:right w:val="none" w:sz="0" w:space="0" w:color="auto"/>
      </w:divBdr>
      <w:divsChild>
        <w:div w:id="167909355">
          <w:marLeft w:val="446"/>
          <w:marRight w:val="0"/>
          <w:marTop w:val="0"/>
          <w:marBottom w:val="200"/>
          <w:divBdr>
            <w:top w:val="none" w:sz="0" w:space="0" w:color="auto"/>
            <w:left w:val="none" w:sz="0" w:space="0" w:color="auto"/>
            <w:bottom w:val="none" w:sz="0" w:space="0" w:color="auto"/>
            <w:right w:val="none" w:sz="0" w:space="0" w:color="auto"/>
          </w:divBdr>
        </w:div>
        <w:div w:id="224339567">
          <w:marLeft w:val="446"/>
          <w:marRight w:val="0"/>
          <w:marTop w:val="0"/>
          <w:marBottom w:val="200"/>
          <w:divBdr>
            <w:top w:val="none" w:sz="0" w:space="0" w:color="auto"/>
            <w:left w:val="none" w:sz="0" w:space="0" w:color="auto"/>
            <w:bottom w:val="none" w:sz="0" w:space="0" w:color="auto"/>
            <w:right w:val="none" w:sz="0" w:space="0" w:color="auto"/>
          </w:divBdr>
        </w:div>
        <w:div w:id="761295194">
          <w:marLeft w:val="446"/>
          <w:marRight w:val="0"/>
          <w:marTop w:val="0"/>
          <w:marBottom w:val="200"/>
          <w:divBdr>
            <w:top w:val="none" w:sz="0" w:space="0" w:color="auto"/>
            <w:left w:val="none" w:sz="0" w:space="0" w:color="auto"/>
            <w:bottom w:val="none" w:sz="0" w:space="0" w:color="auto"/>
            <w:right w:val="none" w:sz="0" w:space="0" w:color="auto"/>
          </w:divBdr>
        </w:div>
        <w:div w:id="2068264530">
          <w:marLeft w:val="446"/>
          <w:marRight w:val="0"/>
          <w:marTop w:val="0"/>
          <w:marBottom w:val="200"/>
          <w:divBdr>
            <w:top w:val="none" w:sz="0" w:space="0" w:color="auto"/>
            <w:left w:val="none" w:sz="0" w:space="0" w:color="auto"/>
            <w:bottom w:val="none" w:sz="0" w:space="0" w:color="auto"/>
            <w:right w:val="none" w:sz="0" w:space="0" w:color="auto"/>
          </w:divBdr>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980439">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84215127">
      <w:bodyDiv w:val="1"/>
      <w:marLeft w:val="0"/>
      <w:marRight w:val="0"/>
      <w:marTop w:val="0"/>
      <w:marBottom w:val="0"/>
      <w:divBdr>
        <w:top w:val="none" w:sz="0" w:space="0" w:color="auto"/>
        <w:left w:val="none" w:sz="0" w:space="0" w:color="auto"/>
        <w:bottom w:val="none" w:sz="0" w:space="0" w:color="auto"/>
        <w:right w:val="none" w:sz="0" w:space="0" w:color="auto"/>
      </w:divBdr>
    </w:div>
    <w:div w:id="1688362022">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810828">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474371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306898">
      <w:bodyDiv w:val="1"/>
      <w:marLeft w:val="0"/>
      <w:marRight w:val="0"/>
      <w:marTop w:val="0"/>
      <w:marBottom w:val="0"/>
      <w:divBdr>
        <w:top w:val="none" w:sz="0" w:space="0" w:color="auto"/>
        <w:left w:val="none" w:sz="0" w:space="0" w:color="auto"/>
        <w:bottom w:val="none" w:sz="0" w:space="0" w:color="auto"/>
        <w:right w:val="none" w:sz="0" w:space="0" w:color="auto"/>
      </w:divBdr>
    </w:div>
    <w:div w:id="2123919089">
      <w:bodyDiv w:val="1"/>
      <w:marLeft w:val="0"/>
      <w:marRight w:val="0"/>
      <w:marTop w:val="0"/>
      <w:marBottom w:val="0"/>
      <w:divBdr>
        <w:top w:val="none" w:sz="0" w:space="0" w:color="auto"/>
        <w:left w:val="none" w:sz="0" w:space="0" w:color="auto"/>
        <w:bottom w:val="none" w:sz="0" w:space="0" w:color="auto"/>
        <w:right w:val="none" w:sz="0" w:space="0" w:color="auto"/>
      </w:divBdr>
      <w:divsChild>
        <w:div w:id="1463812656">
          <w:marLeft w:val="0"/>
          <w:marRight w:val="0"/>
          <w:marTop w:val="0"/>
          <w:marBottom w:val="0"/>
          <w:divBdr>
            <w:top w:val="none" w:sz="0" w:space="0" w:color="auto"/>
            <w:left w:val="none" w:sz="0" w:space="0" w:color="auto"/>
            <w:bottom w:val="none" w:sz="0" w:space="0" w:color="auto"/>
            <w:right w:val="none" w:sz="0" w:space="0" w:color="auto"/>
          </w:divBdr>
          <w:divsChild>
            <w:div w:id="2006468245">
              <w:marLeft w:val="0"/>
              <w:marRight w:val="0"/>
              <w:marTop w:val="0"/>
              <w:marBottom w:val="0"/>
              <w:divBdr>
                <w:top w:val="none" w:sz="0" w:space="0" w:color="auto"/>
                <w:left w:val="none" w:sz="0" w:space="0" w:color="auto"/>
                <w:bottom w:val="none" w:sz="0" w:space="0" w:color="auto"/>
                <w:right w:val="none" w:sz="0" w:space="0" w:color="auto"/>
              </w:divBdr>
              <w:divsChild>
                <w:div w:id="1481457311">
                  <w:marLeft w:val="0"/>
                  <w:marRight w:val="0"/>
                  <w:marTop w:val="0"/>
                  <w:marBottom w:val="0"/>
                  <w:divBdr>
                    <w:top w:val="none" w:sz="0" w:space="0" w:color="auto"/>
                    <w:left w:val="none" w:sz="0" w:space="0" w:color="auto"/>
                    <w:bottom w:val="none" w:sz="0" w:space="0" w:color="auto"/>
                    <w:right w:val="none" w:sz="0" w:space="0" w:color="auto"/>
                  </w:divBdr>
                  <w:divsChild>
                    <w:div w:id="719938209">
                      <w:marLeft w:val="0"/>
                      <w:marRight w:val="0"/>
                      <w:marTop w:val="0"/>
                      <w:marBottom w:val="0"/>
                      <w:divBdr>
                        <w:top w:val="none" w:sz="0" w:space="0" w:color="auto"/>
                        <w:left w:val="none" w:sz="0" w:space="0" w:color="auto"/>
                        <w:bottom w:val="none" w:sz="0" w:space="0" w:color="auto"/>
                        <w:right w:val="none" w:sz="0" w:space="0" w:color="auto"/>
                      </w:divBdr>
                      <w:divsChild>
                        <w:div w:id="1857573177">
                          <w:marLeft w:val="0"/>
                          <w:marRight w:val="0"/>
                          <w:marTop w:val="0"/>
                          <w:marBottom w:val="0"/>
                          <w:divBdr>
                            <w:top w:val="none" w:sz="0" w:space="0" w:color="auto"/>
                            <w:left w:val="none" w:sz="0" w:space="0" w:color="auto"/>
                            <w:bottom w:val="none" w:sz="0" w:space="0" w:color="auto"/>
                            <w:right w:val="none" w:sz="0" w:space="0" w:color="auto"/>
                          </w:divBdr>
                          <w:divsChild>
                            <w:div w:id="1560483501">
                              <w:marLeft w:val="0"/>
                              <w:marRight w:val="0"/>
                              <w:marTop w:val="0"/>
                              <w:marBottom w:val="0"/>
                              <w:divBdr>
                                <w:top w:val="none" w:sz="0" w:space="0" w:color="auto"/>
                                <w:left w:val="none" w:sz="0" w:space="0" w:color="auto"/>
                                <w:bottom w:val="none" w:sz="0" w:space="0" w:color="auto"/>
                                <w:right w:val="none" w:sz="0" w:space="0" w:color="auto"/>
                              </w:divBdr>
                              <w:divsChild>
                                <w:div w:id="1569456918">
                                  <w:marLeft w:val="0"/>
                                  <w:marRight w:val="0"/>
                                  <w:marTop w:val="0"/>
                                  <w:marBottom w:val="0"/>
                                  <w:divBdr>
                                    <w:top w:val="none" w:sz="0" w:space="0" w:color="auto"/>
                                    <w:left w:val="none" w:sz="0" w:space="0" w:color="auto"/>
                                    <w:bottom w:val="none" w:sz="0" w:space="0" w:color="auto"/>
                                    <w:right w:val="none" w:sz="0" w:space="0" w:color="auto"/>
                                  </w:divBdr>
                                  <w:divsChild>
                                    <w:div w:id="1448574363">
                                      <w:marLeft w:val="0"/>
                                      <w:marRight w:val="0"/>
                                      <w:marTop w:val="0"/>
                                      <w:marBottom w:val="0"/>
                                      <w:divBdr>
                                        <w:top w:val="none" w:sz="0" w:space="0" w:color="auto"/>
                                        <w:left w:val="none" w:sz="0" w:space="0" w:color="auto"/>
                                        <w:bottom w:val="none" w:sz="0" w:space="0" w:color="auto"/>
                                        <w:right w:val="none" w:sz="0" w:space="0" w:color="auto"/>
                                      </w:divBdr>
                                      <w:divsChild>
                                        <w:div w:id="1326663490">
                                          <w:marLeft w:val="0"/>
                                          <w:marRight w:val="0"/>
                                          <w:marTop w:val="0"/>
                                          <w:marBottom w:val="0"/>
                                          <w:divBdr>
                                            <w:top w:val="none" w:sz="0" w:space="0" w:color="auto"/>
                                            <w:left w:val="none" w:sz="0" w:space="0" w:color="auto"/>
                                            <w:bottom w:val="none" w:sz="0" w:space="0" w:color="auto"/>
                                            <w:right w:val="none" w:sz="0" w:space="0" w:color="auto"/>
                                          </w:divBdr>
                                          <w:divsChild>
                                            <w:div w:id="1833258942">
                                              <w:marLeft w:val="0"/>
                                              <w:marRight w:val="0"/>
                                              <w:marTop w:val="0"/>
                                              <w:marBottom w:val="0"/>
                                              <w:divBdr>
                                                <w:top w:val="none" w:sz="0" w:space="0" w:color="auto"/>
                                                <w:left w:val="none" w:sz="0" w:space="0" w:color="auto"/>
                                                <w:bottom w:val="none" w:sz="0" w:space="0" w:color="auto"/>
                                                <w:right w:val="none" w:sz="0" w:space="0" w:color="auto"/>
                                              </w:divBdr>
                                              <w:divsChild>
                                                <w:div w:id="3393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pyright@agriculture.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creativecommons.org/licenses/by/4.0/legalcod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agriculture.gov.au/" TargetMode="Externa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agriculture.gov.au/rfcs"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onath%20alakananda\Downloads\Standard-report-template-with-numbered-heading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413DD80E-D63A-4E74-9C60-EE531071E844}"/>
</file>

<file path=customXml/itemProps2.xml><?xml version="1.0" encoding="utf-8"?>
<ds:datastoreItem xmlns:ds="http://schemas.openxmlformats.org/officeDocument/2006/customXml" ds:itemID="{9D1CAD33-3B39-4665-A5E6-666D035120E9}">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cf0e0db-f490-4122-abae-21917392c748"/>
    <ds:schemaRef ds:uri="http://www.w3.org/XML/1998/namespace"/>
    <ds:schemaRef ds:uri="http://purl.org/dc/dcmitype/"/>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410172E9-6585-4B15-BF87-15076E8F1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Standard-report-template-with-numbered-headings (1)</Template>
  <TotalTime>0</TotalTime>
  <Pages>59</Pages>
  <Words>22199</Words>
  <Characters>126539</Characters>
  <Application>Microsoft Office Word</Application>
  <DocSecurity>4</DocSecurity>
  <Lines>1054</Lines>
  <Paragraphs>296</Paragraphs>
  <ScaleCrop>false</ScaleCrop>
  <HeadingPairs>
    <vt:vector size="2" baseType="variant">
      <vt:variant>
        <vt:lpstr>Title</vt:lpstr>
      </vt:variant>
      <vt:variant>
        <vt:i4>1</vt:i4>
      </vt:variant>
    </vt:vector>
  </HeadingPairs>
  <TitlesOfParts>
    <vt:vector size="1" baseType="lpstr">
      <vt:lpstr>Internal review into the 2016 to 2020 Rural Financial Counselling Service program</vt:lpstr>
    </vt:vector>
  </TitlesOfParts>
  <Company>Department of Agriculture Fisheries &amp; Forestry</Company>
  <LinksUpToDate>false</LinksUpToDate>
  <CharactersWithSpaces>148442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review into the 2016 to 2020 Rural Financial Counselling Service program</dc:title>
  <dc:subject/>
  <dc:creator>Department of Agriculture</dc:creator>
  <cp:keywords/>
  <dc:description/>
  <cp:lastModifiedBy>Evans, David</cp:lastModifiedBy>
  <cp:revision>2</cp:revision>
  <cp:lastPrinted>2019-10-09T01:23:00Z</cp:lastPrinted>
  <dcterms:created xsi:type="dcterms:W3CDTF">2019-10-11T03:32:00Z</dcterms:created>
  <dcterms:modified xsi:type="dcterms:W3CDTF">2019-10-11T03:32:00Z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