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2C3EAF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5645" cy="693420"/>
                                  <wp:effectExtent l="0" t="0" r="0" b="0"/>
                                  <wp:docPr id="289" name="Picture 289" descr="Logo of the Australian Government Department of Agricul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554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7044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5645" cy="693420"/>
                            <wp:effectExtent l="0" t="0" r="0" b="0"/>
                            <wp:docPr id="289" name="Picture 289" descr="Logo of the Australian Government Department of Agricul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554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23156" cy="7044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</w:t>
      </w:r>
      <w:bookmarkStart w:id="0" w:name="_GoBack"/>
      <w:bookmarkEnd w:id="0"/>
      <w:r w:rsidR="002539BA" w:rsidRPr="00674A2C">
        <w:rPr>
          <w:rFonts w:asciiTheme="minorHAnsi" w:hAnsiTheme="minorHAnsi" w:cstheme="minorHAnsi"/>
          <w:caps/>
        </w:rPr>
        <w:t>EMENT DEPOSITS SCHEME STATISTICS –</w:t>
      </w:r>
      <w:r w:rsidR="00CD4FEE">
        <w:rPr>
          <w:rFonts w:asciiTheme="minorHAnsi" w:hAnsiTheme="minorHAnsi" w:cstheme="minorHAnsi"/>
          <w:caps/>
          <w:color w:val="FF0000"/>
        </w:rPr>
        <w:t xml:space="preserve"> </w:t>
      </w:r>
      <w:r w:rsidR="00CD4FEE" w:rsidRPr="00CD4FEE">
        <w:rPr>
          <w:rFonts w:asciiTheme="minorHAnsi" w:hAnsiTheme="minorHAnsi" w:cstheme="minorHAnsi"/>
          <w:caps/>
          <w:color w:val="000000"/>
        </w:rPr>
        <w:t>September 2019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143,662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170,672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164,452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107,939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56,114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16,475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4,703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660,634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1,332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138,119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1,446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146,937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100,615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35,898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108,599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34,699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2,494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293,544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1,568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200,711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178,015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115,714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306,676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1,865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352,835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8,056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1,155,152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3,007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326,938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281,768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102,869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272,670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2,138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343,046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2,360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10,940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1,335,230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181,858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129,629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3,105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464,637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41,553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53,257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24,716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6,335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7,838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901,985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145,486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85,350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52,696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68,854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25,730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8,527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3,955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386,975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1,416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134,830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1,344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120,402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9,217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61,289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33,443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340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3,910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372,537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3,854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3,052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2,145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14,645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50,498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26,395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33,007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13,898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6,518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1,372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131,415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29,086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169,793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21,164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14,242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6,827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9,895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2,579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251,007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11,756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12,579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15,066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22,124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27,060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5,626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889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94,211</w:t>
            </w:r>
          </w:p>
        </w:tc>
      </w:tr>
      <w:tr w:rsidR="007B0127" w:rsidTr="006944C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1,238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1,782</w:t>
            </w:r>
          </w:p>
        </w:tc>
      </w:tr>
      <w:tr w:rsidR="007B0127" w:rsidTr="006944C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7B0127" w:rsidRDefault="007B0127" w:rsidP="007B012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CBF0635" wp14:editId="475E174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0127" w:rsidRDefault="007B0127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F0635" id="Text Box 17" o:spid="_x0000_s1027" type="#_x0000_t202" style="position:absolute;margin-left:-4.95pt;margin-top:-2pt;width:9.3pt;height:1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me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h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Asz7me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7B0127" w:rsidRDefault="007B0127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12,749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1,339,350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11,908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1,213,727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9,268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1,227,685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7,702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947,885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5,764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915,807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893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90,913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10,687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48,344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7B0127" w:rsidRDefault="007B0127" w:rsidP="007B0127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5,746,054</w:t>
            </w:r>
          </w:p>
        </w:tc>
      </w:tr>
    </w:tbl>
    <w:p w:rsidR="0082745D" w:rsidRPr="009F38A5" w:rsidRDefault="002539BA" w:rsidP="0082745D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 xml:space="preserve">Victorian </w:t>
      </w:r>
      <w:r w:rsidR="00C93517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 w:rsidR="002539BA">
        <w:rPr>
          <w:rFonts w:asciiTheme="minorHAnsi" w:hAnsiTheme="minorHAnsi" w:cstheme="minorHAnsi"/>
          <w:i/>
          <w:sz w:val="18"/>
          <w:szCs w:val="18"/>
        </w:rPr>
        <w:t>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, </w:t>
      </w:r>
      <w:r>
        <w:rPr>
          <w:rFonts w:asciiTheme="minorHAnsi" w:hAnsiTheme="minorHAnsi" w:cstheme="minorHAnsi"/>
          <w:i/>
          <w:sz w:val="18"/>
          <w:szCs w:val="18"/>
        </w:rPr>
        <w:t xml:space="preserve">intensive livestock </w:t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and forestry &amp; fishing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6944C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C93517">
        <w:rPr>
          <w:rFonts w:asciiTheme="minorHAnsi" w:hAnsiTheme="minorHAnsi" w:cstheme="minorHAnsi"/>
          <w:i/>
          <w:sz w:val="18"/>
          <w:szCs w:val="18"/>
        </w:rPr>
        <w:t>New South Wales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D08E2D6F-127F-41E1-B697-DE56985208A6}"/>
    <w:docVar w:name="dgnword-eventsink" w:val="727804368"/>
  </w:docVars>
  <w:rsids>
    <w:rsidRoot w:val="0090607E"/>
    <w:rsid w:val="0006517A"/>
    <w:rsid w:val="00141066"/>
    <w:rsid w:val="001E0EEC"/>
    <w:rsid w:val="002539BA"/>
    <w:rsid w:val="002B3381"/>
    <w:rsid w:val="002C3EAF"/>
    <w:rsid w:val="002F7136"/>
    <w:rsid w:val="003D3797"/>
    <w:rsid w:val="00574B16"/>
    <w:rsid w:val="0058350E"/>
    <w:rsid w:val="005A1E6D"/>
    <w:rsid w:val="005C6514"/>
    <w:rsid w:val="00607719"/>
    <w:rsid w:val="00674A2C"/>
    <w:rsid w:val="006944C7"/>
    <w:rsid w:val="006949D9"/>
    <w:rsid w:val="006D7D54"/>
    <w:rsid w:val="00713654"/>
    <w:rsid w:val="00752A7F"/>
    <w:rsid w:val="0079054A"/>
    <w:rsid w:val="007B0127"/>
    <w:rsid w:val="0082745D"/>
    <w:rsid w:val="00905CD5"/>
    <w:rsid w:val="0090607E"/>
    <w:rsid w:val="00983AED"/>
    <w:rsid w:val="009F5518"/>
    <w:rsid w:val="00B838D4"/>
    <w:rsid w:val="00C86076"/>
    <w:rsid w:val="00C93517"/>
    <w:rsid w:val="00CD4FEE"/>
    <w:rsid w:val="00D66B7E"/>
    <w:rsid w:val="00F553C2"/>
    <w:rsid w:val="00F602C1"/>
    <w:rsid w:val="00F6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83A3B11-91E8-404C-8BBB-5C3C8DCFDA28}"/>
</file>

<file path=customXml/itemProps2.xml><?xml version="1.0" encoding="utf-8"?>
<ds:datastoreItem xmlns:ds="http://schemas.openxmlformats.org/officeDocument/2006/customXml" ds:itemID="{0DC86FA7-0125-4D7F-A833-A348ABEE4181}"/>
</file>

<file path=customXml/itemProps3.xml><?xml version="1.0" encoding="utf-8"?>
<ds:datastoreItem xmlns:ds="http://schemas.openxmlformats.org/officeDocument/2006/customXml" ds:itemID="{A8562476-2032-4906-9027-D9C5BB38B0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Management Deposits Scheme Statistics - September 2019</vt:lpstr>
    </vt:vector>
  </TitlesOfParts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- September 2019</dc:title>
  <dc:creator/>
  <cp:lastModifiedBy/>
  <cp:revision>1</cp:revision>
  <cp:lastPrinted>2006-10-09T05:56:00Z</cp:lastPrinted>
  <dcterms:created xsi:type="dcterms:W3CDTF">2019-10-15T02:42:00Z</dcterms:created>
  <dcterms:modified xsi:type="dcterms:W3CDTF">2019-10-21T23:53:00Z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