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er8.xml" ContentType="application/vnd.openxmlformats-officedocument.wordprocessingml.footer+xml"/>
  <Override PartName="/word/footer3.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B23E6" w14:textId="17326BE1" w:rsidR="00872BEA" w:rsidRDefault="00166759" w:rsidP="00443F10">
      <w:pPr>
        <w:pStyle w:val="Heading1"/>
      </w:pPr>
      <w:bookmarkStart w:id="0" w:name="_Toc320794426"/>
      <w:bookmarkStart w:id="1" w:name="_GoBack"/>
      <w:bookmarkEnd w:id="1"/>
      <w:r>
        <w:t>Evaluation of th</w:t>
      </w:r>
      <w:r w:rsidR="000758FE">
        <w:t>e Rural R</w:t>
      </w:r>
      <w:r w:rsidR="00A615CD">
        <w:t xml:space="preserve">esearch and </w:t>
      </w:r>
      <w:r w:rsidR="000758FE">
        <w:t>&amp;</w:t>
      </w:r>
      <w:r w:rsidR="00A615CD">
        <w:t xml:space="preserve"> </w:t>
      </w:r>
      <w:r w:rsidR="000758FE">
        <w:t>D</w:t>
      </w:r>
      <w:r w:rsidR="00A615CD">
        <w:t>evelopment (R&amp;D)</w:t>
      </w:r>
      <w:r w:rsidR="000758FE">
        <w:t xml:space="preserve"> for profit program</w:t>
      </w:r>
    </w:p>
    <w:bookmarkEnd w:id="0"/>
    <w:p w14:paraId="459B44EA" w14:textId="77777777" w:rsidR="00B44A26" w:rsidRDefault="00996D39" w:rsidP="00746267">
      <w:pPr>
        <w:pStyle w:val="Subtitle"/>
      </w:pPr>
      <w:r>
        <w:t>FINAL</w:t>
      </w:r>
      <w:r w:rsidR="00B44A26">
        <w:t xml:space="preserve"> REPORT</w:t>
      </w:r>
    </w:p>
    <w:p w14:paraId="70AFA883" w14:textId="77777777" w:rsidR="00A03190" w:rsidRPr="00746267" w:rsidRDefault="00996D39" w:rsidP="00746267">
      <w:pPr>
        <w:pStyle w:val="Subtitle"/>
      </w:pPr>
      <w:r>
        <w:t>15 DECEMBER</w:t>
      </w:r>
      <w:r w:rsidR="00F74AFA">
        <w:t xml:space="preserve"> 2017</w:t>
      </w:r>
    </w:p>
    <w:p w14:paraId="1DE08BD3" w14:textId="77777777" w:rsidR="00A03190" w:rsidRDefault="00A03190" w:rsidP="00746267"/>
    <w:p w14:paraId="1BFAB813" w14:textId="77777777" w:rsidR="00D13C42" w:rsidRDefault="00D13C42" w:rsidP="00746267">
      <w:pPr>
        <w:sectPr w:rsidR="00D13C42" w:rsidSect="00D13C42">
          <w:headerReference w:type="first" r:id="rId8"/>
          <w:footerReference w:type="first" r:id="rId9"/>
          <w:pgSz w:w="11906" w:h="16838"/>
          <w:pgMar w:top="4395" w:right="2267" w:bottom="2268" w:left="2268" w:header="709" w:footer="709" w:gutter="0"/>
          <w:cols w:space="708"/>
          <w:titlePg/>
          <w:docGrid w:linePitch="360"/>
        </w:sectPr>
      </w:pPr>
    </w:p>
    <w:p w14:paraId="088A8237" w14:textId="77777777" w:rsidR="00D13C42" w:rsidRDefault="00D13C42" w:rsidP="00D13C42">
      <w:pPr>
        <w:ind w:left="0"/>
        <w:rPr>
          <w:rStyle w:val="Strong"/>
          <w:rFonts w:ascii="Calibri" w:hAnsi="Calibri"/>
          <w:sz w:val="18"/>
          <w:szCs w:val="18"/>
        </w:rPr>
      </w:pPr>
      <w:r>
        <w:rPr>
          <w:rStyle w:val="Strong"/>
          <w:sz w:val="18"/>
          <w:szCs w:val="18"/>
        </w:rPr>
        <w:lastRenderedPageBreak/>
        <w:t>Ownership of intellectual property rights</w:t>
      </w:r>
    </w:p>
    <w:p w14:paraId="44B22A2F" w14:textId="77777777" w:rsidR="00D13C42" w:rsidRDefault="00D13C42" w:rsidP="00D13C42">
      <w:pPr>
        <w:ind w:left="0"/>
        <w:rPr>
          <w:szCs w:val="22"/>
        </w:rPr>
      </w:pPr>
      <w:r>
        <w:rPr>
          <w:sz w:val="18"/>
          <w:szCs w:val="18"/>
        </w:rPr>
        <w:t>Unless otherwise noted, copyright (and any other intellectual property rights, if any) in this publication is owned by Grosvenor Management Consulting Pty Ltd.</w:t>
      </w:r>
    </w:p>
    <w:p w14:paraId="02091B61" w14:textId="77777777" w:rsidR="00D13C42" w:rsidRDefault="00D13C42" w:rsidP="00D13C42">
      <w:pPr>
        <w:ind w:left="0"/>
        <w:rPr>
          <w:rStyle w:val="Strong"/>
        </w:rPr>
      </w:pPr>
      <w:r>
        <w:rPr>
          <w:rStyle w:val="Strong"/>
          <w:sz w:val="18"/>
          <w:szCs w:val="18"/>
        </w:rPr>
        <w:t>Creative Commons licence</w:t>
      </w:r>
    </w:p>
    <w:p w14:paraId="326C0499" w14:textId="77777777" w:rsidR="00D13C42" w:rsidRDefault="00D13C42" w:rsidP="00D13C42">
      <w:pPr>
        <w:ind w:left="0"/>
      </w:pPr>
      <w:r>
        <w:rPr>
          <w:sz w:val="18"/>
          <w:szCs w:val="18"/>
        </w:rPr>
        <w:t>All material in this publication is licensed under a Creative Commons Attribution 3.0 Australia Licence, save for content supplied by third parties, logos and the Commonwealth Coat of Arms.</w:t>
      </w:r>
    </w:p>
    <w:p w14:paraId="74F92970" w14:textId="77777777" w:rsidR="00D13C42" w:rsidRDefault="00D13C42" w:rsidP="00D13C42">
      <w:pPr>
        <w:ind w:left="0"/>
        <w:rPr>
          <w:sz w:val="18"/>
          <w:szCs w:val="18"/>
        </w:rPr>
      </w:pPr>
      <w:r>
        <w:rPr>
          <w:noProof/>
          <w:sz w:val="18"/>
          <w:szCs w:val="18"/>
        </w:rPr>
        <w:drawing>
          <wp:inline distT="0" distB="0" distL="0" distR="0" wp14:anchorId="3F33D869" wp14:editId="4301FB2D">
            <wp:extent cx="723900" cy="260350"/>
            <wp:effectExtent l="0" t="0" r="0" b="635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23900" cy="260350"/>
                    </a:xfrm>
                    <a:prstGeom prst="rect">
                      <a:avLst/>
                    </a:prstGeom>
                    <a:noFill/>
                    <a:ln>
                      <a:noFill/>
                    </a:ln>
                  </pic:spPr>
                </pic:pic>
              </a:graphicData>
            </a:graphic>
          </wp:inline>
        </w:drawing>
      </w:r>
    </w:p>
    <w:p w14:paraId="15B7A5F3" w14:textId="77777777" w:rsidR="00D13C42" w:rsidRDefault="00D13C42" w:rsidP="00D13C42">
      <w:pPr>
        <w:ind w:left="0"/>
        <w:rPr>
          <w:sz w:val="18"/>
          <w:szCs w:val="18"/>
        </w:rPr>
      </w:pPr>
      <w:r>
        <w:rPr>
          <w:sz w:val="18"/>
          <w:szCs w:val="18"/>
        </w:rP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2" w:history="1">
        <w:r>
          <w:rPr>
            <w:rStyle w:val="Hyperlink"/>
            <w:sz w:val="18"/>
            <w:szCs w:val="18"/>
          </w:rPr>
          <w:t>creativecommons.org/licenses/by/3.0/au/deed.en</w:t>
        </w:r>
      </w:hyperlink>
      <w:r>
        <w:rPr>
          <w:sz w:val="18"/>
          <w:szCs w:val="18"/>
        </w:rPr>
        <w:t xml:space="preserve">. The full licence terms are available from </w:t>
      </w:r>
      <w:hyperlink r:id="rId13" w:history="1">
        <w:r>
          <w:rPr>
            <w:rStyle w:val="Hyperlink"/>
            <w:sz w:val="18"/>
            <w:szCs w:val="18"/>
          </w:rPr>
          <w:t>creativecommons.org/licenses/by/3.0/au/legalcode</w:t>
        </w:r>
      </w:hyperlink>
      <w:r>
        <w:rPr>
          <w:sz w:val="18"/>
          <w:szCs w:val="18"/>
        </w:rPr>
        <w:t>.</w:t>
      </w:r>
    </w:p>
    <w:p w14:paraId="41662349" w14:textId="34126263" w:rsidR="00D13C42" w:rsidRPr="00A615CD" w:rsidRDefault="00D13C42" w:rsidP="00D13C42">
      <w:pPr>
        <w:shd w:val="clear" w:color="auto" w:fill="FFFFFF" w:themeFill="background1"/>
        <w:ind w:left="0"/>
        <w:rPr>
          <w:sz w:val="18"/>
          <w:szCs w:val="18"/>
        </w:rPr>
      </w:pPr>
      <w:r w:rsidRPr="00A615CD">
        <w:rPr>
          <w:sz w:val="18"/>
          <w:szCs w:val="18"/>
        </w:rPr>
        <w:t xml:space="preserve">This publication (and any material sourced from it) should be attributed as: Grosvenor Management Consulting, 2017, </w:t>
      </w:r>
      <w:r w:rsidRPr="00A615CD">
        <w:rPr>
          <w:i/>
          <w:iCs/>
          <w:sz w:val="18"/>
          <w:szCs w:val="18"/>
        </w:rPr>
        <w:t xml:space="preserve">Evaluation of the Rural Research </w:t>
      </w:r>
      <w:r>
        <w:rPr>
          <w:i/>
          <w:iCs/>
          <w:sz w:val="18"/>
          <w:szCs w:val="18"/>
        </w:rPr>
        <w:t>&amp;</w:t>
      </w:r>
      <w:r w:rsidRPr="00A615CD">
        <w:rPr>
          <w:i/>
          <w:iCs/>
          <w:sz w:val="18"/>
          <w:szCs w:val="18"/>
        </w:rPr>
        <w:t xml:space="preserve"> Development (R&amp;D) for Profit Program Final Report</w:t>
      </w:r>
      <w:r w:rsidRPr="00A615CD">
        <w:rPr>
          <w:sz w:val="18"/>
          <w:szCs w:val="18"/>
        </w:rPr>
        <w:t>, Canberra, 15 December</w:t>
      </w:r>
      <w:r w:rsidR="00A31206">
        <w:rPr>
          <w:sz w:val="18"/>
          <w:szCs w:val="18"/>
        </w:rPr>
        <w:t xml:space="preserve"> 2017</w:t>
      </w:r>
      <w:r w:rsidRPr="00A615CD">
        <w:rPr>
          <w:sz w:val="18"/>
          <w:szCs w:val="18"/>
        </w:rPr>
        <w:t>.</w:t>
      </w:r>
    </w:p>
    <w:p w14:paraId="0664705B" w14:textId="77777777" w:rsidR="00D13C42" w:rsidRDefault="00D13C42" w:rsidP="00D13C42">
      <w:pPr>
        <w:ind w:left="0"/>
        <w:rPr>
          <w:sz w:val="18"/>
          <w:szCs w:val="18"/>
        </w:rPr>
      </w:pPr>
      <w:r w:rsidRPr="00A615CD">
        <w:rPr>
          <w:sz w:val="18"/>
          <w:szCs w:val="18"/>
        </w:rPr>
        <w:t xml:space="preserve">This publication is available at </w:t>
      </w:r>
      <w:hyperlink r:id="rId14" w:history="1">
        <w:r w:rsidRPr="00A615CD">
          <w:rPr>
            <w:rStyle w:val="Hyperlink"/>
            <w:sz w:val="18"/>
            <w:szCs w:val="18"/>
          </w:rPr>
          <w:t>agriculture.gov.au/publications</w:t>
        </w:r>
      </w:hyperlink>
      <w:r>
        <w:rPr>
          <w:sz w:val="18"/>
          <w:szCs w:val="18"/>
        </w:rPr>
        <w:t>.</w:t>
      </w:r>
    </w:p>
    <w:p w14:paraId="5636F573" w14:textId="77777777" w:rsidR="00D13C42" w:rsidRDefault="00D13C42" w:rsidP="00D13C42">
      <w:pPr>
        <w:ind w:left="0"/>
        <w:rPr>
          <w:sz w:val="18"/>
          <w:szCs w:val="18"/>
        </w:rPr>
      </w:pPr>
      <w:r>
        <w:rPr>
          <w:sz w:val="18"/>
          <w:szCs w:val="18"/>
        </w:rPr>
        <w:t>Department of Agriculture and Water Resources</w:t>
      </w:r>
    </w:p>
    <w:p w14:paraId="157324EE" w14:textId="77777777" w:rsidR="00D13C42" w:rsidRDefault="00D13C42" w:rsidP="00D13C42">
      <w:pPr>
        <w:ind w:left="0"/>
        <w:rPr>
          <w:sz w:val="18"/>
          <w:szCs w:val="18"/>
        </w:rPr>
      </w:pPr>
      <w:r>
        <w:rPr>
          <w:sz w:val="18"/>
          <w:szCs w:val="18"/>
        </w:rPr>
        <w:t>Postal address GPO Box 858 Canberra ACT 2601</w:t>
      </w:r>
    </w:p>
    <w:p w14:paraId="7D5C845E" w14:textId="77777777" w:rsidR="00D13C42" w:rsidRDefault="00D13C42" w:rsidP="00D13C42">
      <w:pPr>
        <w:ind w:left="0"/>
        <w:rPr>
          <w:sz w:val="18"/>
          <w:szCs w:val="18"/>
        </w:rPr>
      </w:pPr>
      <w:r>
        <w:rPr>
          <w:sz w:val="18"/>
          <w:szCs w:val="18"/>
        </w:rPr>
        <w:t>Telephone 1800 900 090</w:t>
      </w:r>
    </w:p>
    <w:p w14:paraId="614EF60B" w14:textId="77777777" w:rsidR="00D13C42" w:rsidRDefault="00D13C42" w:rsidP="00D13C42">
      <w:pPr>
        <w:ind w:left="0"/>
        <w:rPr>
          <w:sz w:val="18"/>
          <w:szCs w:val="18"/>
        </w:rPr>
      </w:pPr>
      <w:r>
        <w:rPr>
          <w:sz w:val="18"/>
          <w:szCs w:val="18"/>
        </w:rPr>
        <w:t xml:space="preserve">Web </w:t>
      </w:r>
      <w:hyperlink r:id="rId15" w:history="1">
        <w:r>
          <w:rPr>
            <w:rStyle w:val="Hyperlink"/>
            <w:sz w:val="18"/>
            <w:szCs w:val="18"/>
          </w:rPr>
          <w:t>agriculture.gov.au</w:t>
        </w:r>
      </w:hyperlink>
    </w:p>
    <w:p w14:paraId="2D41F36A" w14:textId="77777777" w:rsidR="00D13C42" w:rsidRDefault="00D13C42" w:rsidP="00D13C42">
      <w:pPr>
        <w:ind w:left="0"/>
        <w:rPr>
          <w:rStyle w:val="Strong"/>
          <w:szCs w:val="22"/>
        </w:rPr>
      </w:pPr>
      <w:r>
        <w:rPr>
          <w:rStyle w:val="Strong"/>
          <w:sz w:val="18"/>
          <w:szCs w:val="18"/>
        </w:rPr>
        <w:t>Disclaimer</w:t>
      </w:r>
    </w:p>
    <w:p w14:paraId="4A60D639" w14:textId="5624072B" w:rsidR="00A03190" w:rsidRDefault="00D13C42" w:rsidP="00D13C42">
      <w:pPr>
        <w:ind w:left="0"/>
        <w:rPr>
          <w:sz w:val="18"/>
          <w:szCs w:val="18"/>
        </w:rPr>
      </w:pPr>
      <w:r>
        <w:rPr>
          <w:sz w:val="18"/>
          <w:szCs w:val="18"/>
        </w:rPr>
        <w:t>The Australian Government acting through the Department of Agriculture and Water Resources has exercised due care and skill in publishing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698C5DC8" w14:textId="77777777" w:rsidR="00D13C42" w:rsidRDefault="00D13C42" w:rsidP="00D13C42">
      <w:pPr>
        <w:ind w:left="0"/>
        <w:rPr>
          <w:sz w:val="18"/>
          <w:szCs w:val="18"/>
        </w:rPr>
      </w:pPr>
    </w:p>
    <w:p w14:paraId="28BF4D65" w14:textId="77777777" w:rsidR="00D13C42" w:rsidRPr="00A03190" w:rsidRDefault="00D13C42" w:rsidP="00D13C42">
      <w:pPr>
        <w:sectPr w:rsidR="00D13C42" w:rsidRPr="00A03190" w:rsidSect="00D13C42">
          <w:pgSz w:w="11906" w:h="16838"/>
          <w:pgMar w:top="1418" w:right="2267" w:bottom="2268" w:left="2268" w:header="709" w:footer="709" w:gutter="0"/>
          <w:cols w:space="708"/>
          <w:docGrid w:linePitch="360"/>
        </w:sectPr>
      </w:pPr>
    </w:p>
    <w:p w14:paraId="000727DF" w14:textId="77777777" w:rsidR="00A03190" w:rsidRPr="003C1A71" w:rsidRDefault="00A03190" w:rsidP="00746267">
      <w:pPr>
        <w:pStyle w:val="Subtitle"/>
      </w:pPr>
      <w:bookmarkStart w:id="2" w:name="_Toc320794429"/>
      <w:r w:rsidRPr="003C1A71">
        <w:lastRenderedPageBreak/>
        <w:t>Table of contents</w:t>
      </w:r>
      <w:bookmarkEnd w:id="2"/>
    </w:p>
    <w:p w14:paraId="2D913D5A" w14:textId="77777777" w:rsidR="00A03190" w:rsidRDefault="00A03190" w:rsidP="00746267"/>
    <w:p w14:paraId="49A8DE05" w14:textId="4D769D12" w:rsidR="003A3235" w:rsidRDefault="007D7926">
      <w:pPr>
        <w:pStyle w:val="TOC1"/>
        <w:tabs>
          <w:tab w:val="left" w:pos="660"/>
          <w:tab w:val="right" w:leader="dot" w:pos="8494"/>
        </w:tabs>
        <w:rPr>
          <w:rFonts w:eastAsiaTheme="minorEastAsia" w:cstheme="minorBidi"/>
          <w:noProof/>
          <w:color w:val="auto"/>
          <w:sz w:val="22"/>
          <w:szCs w:val="22"/>
        </w:rPr>
      </w:pPr>
      <w:r>
        <w:rPr>
          <w:rFonts w:ascii="Lato" w:hAnsi="Lato"/>
          <w:i/>
          <w:color w:val="115E95"/>
        </w:rPr>
        <w:fldChar w:fldCharType="begin"/>
      </w:r>
      <w:r>
        <w:rPr>
          <w:rFonts w:ascii="Lato" w:hAnsi="Lato"/>
          <w:i/>
          <w:color w:val="115E95"/>
        </w:rPr>
        <w:instrText xml:space="preserve"> TOC \t "Heading 1,1,Heading 2,2" </w:instrText>
      </w:r>
      <w:r>
        <w:rPr>
          <w:rFonts w:ascii="Lato" w:hAnsi="Lato"/>
          <w:i/>
          <w:color w:val="115E95"/>
        </w:rPr>
        <w:fldChar w:fldCharType="separate"/>
      </w:r>
      <w:r w:rsidR="003A3235">
        <w:rPr>
          <w:noProof/>
        </w:rPr>
        <w:t>1</w:t>
      </w:r>
      <w:r w:rsidR="003A3235">
        <w:rPr>
          <w:rFonts w:eastAsiaTheme="minorEastAsia" w:cstheme="minorBidi"/>
          <w:noProof/>
          <w:color w:val="auto"/>
          <w:sz w:val="22"/>
          <w:szCs w:val="22"/>
        </w:rPr>
        <w:tab/>
      </w:r>
      <w:r w:rsidR="003A3235">
        <w:rPr>
          <w:noProof/>
        </w:rPr>
        <w:t>Executive summary</w:t>
      </w:r>
      <w:r w:rsidR="003A3235">
        <w:rPr>
          <w:noProof/>
        </w:rPr>
        <w:tab/>
      </w:r>
      <w:r w:rsidR="003A3235">
        <w:rPr>
          <w:noProof/>
        </w:rPr>
        <w:fldChar w:fldCharType="begin"/>
      </w:r>
      <w:r w:rsidR="003A3235">
        <w:rPr>
          <w:noProof/>
        </w:rPr>
        <w:instrText xml:space="preserve"> PAGEREF _Toc500934688 \h </w:instrText>
      </w:r>
      <w:r w:rsidR="003A3235">
        <w:rPr>
          <w:noProof/>
        </w:rPr>
      </w:r>
      <w:r w:rsidR="003A3235">
        <w:rPr>
          <w:noProof/>
        </w:rPr>
        <w:fldChar w:fldCharType="separate"/>
      </w:r>
      <w:r w:rsidR="000B73F4">
        <w:rPr>
          <w:noProof/>
        </w:rPr>
        <w:t>3</w:t>
      </w:r>
      <w:r w:rsidR="003A3235">
        <w:rPr>
          <w:noProof/>
        </w:rPr>
        <w:fldChar w:fldCharType="end"/>
      </w:r>
    </w:p>
    <w:p w14:paraId="6E5A51C9" w14:textId="47FD801B" w:rsidR="003A3235" w:rsidRDefault="003A3235">
      <w:pPr>
        <w:pStyle w:val="TOC2"/>
        <w:rPr>
          <w:rFonts w:eastAsiaTheme="minorEastAsia" w:cstheme="minorBidi"/>
          <w:noProof/>
          <w:color w:val="auto"/>
          <w:sz w:val="22"/>
          <w:szCs w:val="22"/>
        </w:rPr>
      </w:pPr>
      <w:r>
        <w:rPr>
          <w:noProof/>
        </w:rPr>
        <w:t>1.1</w:t>
      </w:r>
      <w:r>
        <w:rPr>
          <w:rFonts w:eastAsiaTheme="minorEastAsia" w:cstheme="minorBidi"/>
          <w:noProof/>
          <w:color w:val="auto"/>
          <w:sz w:val="22"/>
          <w:szCs w:val="22"/>
        </w:rPr>
        <w:tab/>
      </w:r>
      <w:r>
        <w:rPr>
          <w:noProof/>
        </w:rPr>
        <w:t>Background</w:t>
      </w:r>
      <w:r>
        <w:rPr>
          <w:noProof/>
        </w:rPr>
        <w:tab/>
      </w:r>
      <w:r>
        <w:rPr>
          <w:noProof/>
        </w:rPr>
        <w:fldChar w:fldCharType="begin"/>
      </w:r>
      <w:r>
        <w:rPr>
          <w:noProof/>
        </w:rPr>
        <w:instrText xml:space="preserve"> PAGEREF _Toc500934689 \h </w:instrText>
      </w:r>
      <w:r>
        <w:rPr>
          <w:noProof/>
        </w:rPr>
      </w:r>
      <w:r>
        <w:rPr>
          <w:noProof/>
        </w:rPr>
        <w:fldChar w:fldCharType="separate"/>
      </w:r>
      <w:r w:rsidR="000B73F4">
        <w:rPr>
          <w:noProof/>
        </w:rPr>
        <w:t>3</w:t>
      </w:r>
      <w:r>
        <w:rPr>
          <w:noProof/>
        </w:rPr>
        <w:fldChar w:fldCharType="end"/>
      </w:r>
    </w:p>
    <w:p w14:paraId="1A008269" w14:textId="1F324A17" w:rsidR="003A3235" w:rsidRDefault="003A3235">
      <w:pPr>
        <w:pStyle w:val="TOC2"/>
        <w:rPr>
          <w:rFonts w:eastAsiaTheme="minorEastAsia" w:cstheme="minorBidi"/>
          <w:noProof/>
          <w:color w:val="auto"/>
          <w:sz w:val="22"/>
          <w:szCs w:val="22"/>
        </w:rPr>
      </w:pPr>
      <w:r>
        <w:rPr>
          <w:noProof/>
        </w:rPr>
        <w:t>1.2</w:t>
      </w:r>
      <w:r>
        <w:rPr>
          <w:rFonts w:eastAsiaTheme="minorEastAsia" w:cstheme="minorBidi"/>
          <w:noProof/>
          <w:color w:val="auto"/>
          <w:sz w:val="22"/>
          <w:szCs w:val="22"/>
        </w:rPr>
        <w:tab/>
      </w:r>
      <w:r>
        <w:rPr>
          <w:noProof/>
        </w:rPr>
        <w:t>Terms of Reference</w:t>
      </w:r>
      <w:r>
        <w:rPr>
          <w:noProof/>
        </w:rPr>
        <w:tab/>
      </w:r>
      <w:r>
        <w:rPr>
          <w:noProof/>
        </w:rPr>
        <w:fldChar w:fldCharType="begin"/>
      </w:r>
      <w:r>
        <w:rPr>
          <w:noProof/>
        </w:rPr>
        <w:instrText xml:space="preserve"> PAGEREF _Toc500934690 \h </w:instrText>
      </w:r>
      <w:r>
        <w:rPr>
          <w:noProof/>
        </w:rPr>
      </w:r>
      <w:r>
        <w:rPr>
          <w:noProof/>
        </w:rPr>
        <w:fldChar w:fldCharType="separate"/>
      </w:r>
      <w:r w:rsidR="000B73F4">
        <w:rPr>
          <w:noProof/>
        </w:rPr>
        <w:t>3</w:t>
      </w:r>
      <w:r>
        <w:rPr>
          <w:noProof/>
        </w:rPr>
        <w:fldChar w:fldCharType="end"/>
      </w:r>
    </w:p>
    <w:p w14:paraId="2097A953" w14:textId="2FCDACB1" w:rsidR="003A3235" w:rsidRDefault="003A3235">
      <w:pPr>
        <w:pStyle w:val="TOC2"/>
        <w:rPr>
          <w:rFonts w:eastAsiaTheme="minorEastAsia" w:cstheme="minorBidi"/>
          <w:noProof/>
          <w:color w:val="auto"/>
          <w:sz w:val="22"/>
          <w:szCs w:val="22"/>
        </w:rPr>
      </w:pPr>
      <w:r>
        <w:rPr>
          <w:noProof/>
        </w:rPr>
        <w:t>1.3</w:t>
      </w:r>
      <w:r>
        <w:rPr>
          <w:rFonts w:eastAsiaTheme="minorEastAsia" w:cstheme="minorBidi"/>
          <w:noProof/>
          <w:color w:val="auto"/>
          <w:sz w:val="22"/>
          <w:szCs w:val="22"/>
        </w:rPr>
        <w:tab/>
      </w:r>
      <w:r>
        <w:rPr>
          <w:noProof/>
        </w:rPr>
        <w:t>Approach</w:t>
      </w:r>
      <w:r>
        <w:rPr>
          <w:noProof/>
        </w:rPr>
        <w:tab/>
      </w:r>
      <w:r>
        <w:rPr>
          <w:noProof/>
        </w:rPr>
        <w:fldChar w:fldCharType="begin"/>
      </w:r>
      <w:r>
        <w:rPr>
          <w:noProof/>
        </w:rPr>
        <w:instrText xml:space="preserve"> PAGEREF _Toc500934691 \h </w:instrText>
      </w:r>
      <w:r>
        <w:rPr>
          <w:noProof/>
        </w:rPr>
      </w:r>
      <w:r>
        <w:rPr>
          <w:noProof/>
        </w:rPr>
        <w:fldChar w:fldCharType="separate"/>
      </w:r>
      <w:r w:rsidR="000B73F4">
        <w:rPr>
          <w:noProof/>
        </w:rPr>
        <w:t>3</w:t>
      </w:r>
      <w:r>
        <w:rPr>
          <w:noProof/>
        </w:rPr>
        <w:fldChar w:fldCharType="end"/>
      </w:r>
    </w:p>
    <w:p w14:paraId="75478AF3" w14:textId="034397D6" w:rsidR="003A3235" w:rsidRDefault="003A3235">
      <w:pPr>
        <w:pStyle w:val="TOC2"/>
        <w:rPr>
          <w:rFonts w:eastAsiaTheme="minorEastAsia" w:cstheme="minorBidi"/>
          <w:noProof/>
          <w:color w:val="auto"/>
          <w:sz w:val="22"/>
          <w:szCs w:val="22"/>
        </w:rPr>
      </w:pPr>
      <w:r>
        <w:rPr>
          <w:noProof/>
        </w:rPr>
        <w:t>1.4</w:t>
      </w:r>
      <w:r>
        <w:rPr>
          <w:rFonts w:eastAsiaTheme="minorEastAsia" w:cstheme="minorBidi"/>
          <w:noProof/>
          <w:color w:val="auto"/>
          <w:sz w:val="22"/>
          <w:szCs w:val="22"/>
        </w:rPr>
        <w:tab/>
      </w:r>
      <w:r>
        <w:rPr>
          <w:noProof/>
        </w:rPr>
        <w:t>Summary of findings, conclusions and recommendations</w:t>
      </w:r>
      <w:r>
        <w:rPr>
          <w:noProof/>
        </w:rPr>
        <w:tab/>
      </w:r>
      <w:r>
        <w:rPr>
          <w:noProof/>
        </w:rPr>
        <w:fldChar w:fldCharType="begin"/>
      </w:r>
      <w:r>
        <w:rPr>
          <w:noProof/>
        </w:rPr>
        <w:instrText xml:space="preserve"> PAGEREF _Toc500934692 \h </w:instrText>
      </w:r>
      <w:r>
        <w:rPr>
          <w:noProof/>
        </w:rPr>
      </w:r>
      <w:r>
        <w:rPr>
          <w:noProof/>
        </w:rPr>
        <w:fldChar w:fldCharType="separate"/>
      </w:r>
      <w:r w:rsidR="000B73F4">
        <w:rPr>
          <w:noProof/>
        </w:rPr>
        <w:t>4</w:t>
      </w:r>
      <w:r>
        <w:rPr>
          <w:noProof/>
        </w:rPr>
        <w:fldChar w:fldCharType="end"/>
      </w:r>
    </w:p>
    <w:p w14:paraId="54AA7626" w14:textId="3C40A5A1" w:rsidR="003A3235" w:rsidRDefault="003A3235">
      <w:pPr>
        <w:pStyle w:val="TOC1"/>
        <w:tabs>
          <w:tab w:val="left" w:pos="660"/>
          <w:tab w:val="right" w:leader="dot" w:pos="8494"/>
        </w:tabs>
        <w:rPr>
          <w:rFonts w:eastAsiaTheme="minorEastAsia" w:cstheme="minorBidi"/>
          <w:noProof/>
          <w:color w:val="auto"/>
          <w:sz w:val="22"/>
          <w:szCs w:val="22"/>
        </w:rPr>
      </w:pPr>
      <w:r>
        <w:rPr>
          <w:noProof/>
        </w:rPr>
        <w:t>2</w:t>
      </w:r>
      <w:r>
        <w:rPr>
          <w:rFonts w:eastAsiaTheme="minorEastAsia" w:cstheme="minorBidi"/>
          <w:noProof/>
          <w:color w:val="auto"/>
          <w:sz w:val="22"/>
          <w:szCs w:val="22"/>
        </w:rPr>
        <w:tab/>
      </w:r>
      <w:r>
        <w:rPr>
          <w:noProof/>
        </w:rPr>
        <w:t>Introduction</w:t>
      </w:r>
      <w:r>
        <w:rPr>
          <w:noProof/>
        </w:rPr>
        <w:tab/>
      </w:r>
      <w:r>
        <w:rPr>
          <w:noProof/>
        </w:rPr>
        <w:fldChar w:fldCharType="begin"/>
      </w:r>
      <w:r>
        <w:rPr>
          <w:noProof/>
        </w:rPr>
        <w:instrText xml:space="preserve"> PAGEREF _Toc500934693 \h </w:instrText>
      </w:r>
      <w:r>
        <w:rPr>
          <w:noProof/>
        </w:rPr>
      </w:r>
      <w:r>
        <w:rPr>
          <w:noProof/>
        </w:rPr>
        <w:fldChar w:fldCharType="separate"/>
      </w:r>
      <w:r w:rsidR="000B73F4">
        <w:rPr>
          <w:noProof/>
        </w:rPr>
        <w:t>9</w:t>
      </w:r>
      <w:r>
        <w:rPr>
          <w:noProof/>
        </w:rPr>
        <w:fldChar w:fldCharType="end"/>
      </w:r>
    </w:p>
    <w:p w14:paraId="2A8382F9" w14:textId="152EAA1C" w:rsidR="003A3235" w:rsidRDefault="003A3235">
      <w:pPr>
        <w:pStyle w:val="TOC2"/>
        <w:rPr>
          <w:rFonts w:eastAsiaTheme="minorEastAsia" w:cstheme="minorBidi"/>
          <w:noProof/>
          <w:color w:val="auto"/>
          <w:sz w:val="22"/>
          <w:szCs w:val="22"/>
        </w:rPr>
      </w:pPr>
      <w:r>
        <w:rPr>
          <w:noProof/>
        </w:rPr>
        <w:t>2.1</w:t>
      </w:r>
      <w:r>
        <w:rPr>
          <w:rFonts w:eastAsiaTheme="minorEastAsia" w:cstheme="minorBidi"/>
          <w:noProof/>
          <w:color w:val="auto"/>
          <w:sz w:val="22"/>
          <w:szCs w:val="22"/>
        </w:rPr>
        <w:tab/>
      </w:r>
      <w:r>
        <w:rPr>
          <w:noProof/>
        </w:rPr>
        <w:t>Program background</w:t>
      </w:r>
      <w:r>
        <w:rPr>
          <w:noProof/>
        </w:rPr>
        <w:tab/>
      </w:r>
      <w:r>
        <w:rPr>
          <w:noProof/>
        </w:rPr>
        <w:fldChar w:fldCharType="begin"/>
      </w:r>
      <w:r>
        <w:rPr>
          <w:noProof/>
        </w:rPr>
        <w:instrText xml:space="preserve"> PAGEREF _Toc500934694 \h </w:instrText>
      </w:r>
      <w:r>
        <w:rPr>
          <w:noProof/>
        </w:rPr>
      </w:r>
      <w:r>
        <w:rPr>
          <w:noProof/>
        </w:rPr>
        <w:fldChar w:fldCharType="separate"/>
      </w:r>
      <w:r w:rsidR="000B73F4">
        <w:rPr>
          <w:noProof/>
        </w:rPr>
        <w:t>9</w:t>
      </w:r>
      <w:r>
        <w:rPr>
          <w:noProof/>
        </w:rPr>
        <w:fldChar w:fldCharType="end"/>
      </w:r>
    </w:p>
    <w:p w14:paraId="124444E7" w14:textId="5D60DD7E" w:rsidR="003A3235" w:rsidRDefault="003A3235">
      <w:pPr>
        <w:pStyle w:val="TOC2"/>
        <w:rPr>
          <w:rFonts w:eastAsiaTheme="minorEastAsia" w:cstheme="minorBidi"/>
          <w:noProof/>
          <w:color w:val="auto"/>
          <w:sz w:val="22"/>
          <w:szCs w:val="22"/>
        </w:rPr>
      </w:pPr>
      <w:r>
        <w:rPr>
          <w:noProof/>
        </w:rPr>
        <w:t>2.2</w:t>
      </w:r>
      <w:r>
        <w:rPr>
          <w:rFonts w:eastAsiaTheme="minorEastAsia" w:cstheme="minorBidi"/>
          <w:noProof/>
          <w:color w:val="auto"/>
          <w:sz w:val="22"/>
          <w:szCs w:val="22"/>
        </w:rPr>
        <w:tab/>
      </w:r>
      <w:r>
        <w:rPr>
          <w:noProof/>
        </w:rPr>
        <w:t>Evaluation requirement, purpose and Terms of Reference (ToR)</w:t>
      </w:r>
      <w:r>
        <w:rPr>
          <w:noProof/>
        </w:rPr>
        <w:tab/>
      </w:r>
      <w:r>
        <w:rPr>
          <w:noProof/>
        </w:rPr>
        <w:fldChar w:fldCharType="begin"/>
      </w:r>
      <w:r>
        <w:rPr>
          <w:noProof/>
        </w:rPr>
        <w:instrText xml:space="preserve"> PAGEREF _Toc500934695 \h </w:instrText>
      </w:r>
      <w:r>
        <w:rPr>
          <w:noProof/>
        </w:rPr>
      </w:r>
      <w:r>
        <w:rPr>
          <w:noProof/>
        </w:rPr>
        <w:fldChar w:fldCharType="separate"/>
      </w:r>
      <w:r w:rsidR="000B73F4">
        <w:rPr>
          <w:noProof/>
        </w:rPr>
        <w:t>11</w:t>
      </w:r>
      <w:r>
        <w:rPr>
          <w:noProof/>
        </w:rPr>
        <w:fldChar w:fldCharType="end"/>
      </w:r>
    </w:p>
    <w:p w14:paraId="60141F78" w14:textId="61355773" w:rsidR="003A3235" w:rsidRDefault="003A3235">
      <w:pPr>
        <w:pStyle w:val="TOC2"/>
        <w:rPr>
          <w:rFonts w:eastAsiaTheme="minorEastAsia" w:cstheme="minorBidi"/>
          <w:noProof/>
          <w:color w:val="auto"/>
          <w:sz w:val="22"/>
          <w:szCs w:val="22"/>
        </w:rPr>
      </w:pPr>
      <w:r>
        <w:rPr>
          <w:noProof/>
        </w:rPr>
        <w:t>2.3</w:t>
      </w:r>
      <w:r>
        <w:rPr>
          <w:rFonts w:eastAsiaTheme="minorEastAsia" w:cstheme="minorBidi"/>
          <w:noProof/>
          <w:color w:val="auto"/>
          <w:sz w:val="22"/>
          <w:szCs w:val="22"/>
        </w:rPr>
        <w:tab/>
      </w:r>
      <w:r>
        <w:rPr>
          <w:noProof/>
        </w:rPr>
        <w:t>Methodology</w:t>
      </w:r>
      <w:r>
        <w:rPr>
          <w:noProof/>
        </w:rPr>
        <w:tab/>
      </w:r>
      <w:r>
        <w:rPr>
          <w:noProof/>
        </w:rPr>
        <w:fldChar w:fldCharType="begin"/>
      </w:r>
      <w:r>
        <w:rPr>
          <w:noProof/>
        </w:rPr>
        <w:instrText xml:space="preserve"> PAGEREF _Toc500934696 \h </w:instrText>
      </w:r>
      <w:r>
        <w:rPr>
          <w:noProof/>
        </w:rPr>
      </w:r>
      <w:r>
        <w:rPr>
          <w:noProof/>
        </w:rPr>
        <w:fldChar w:fldCharType="separate"/>
      </w:r>
      <w:r w:rsidR="000B73F4">
        <w:rPr>
          <w:noProof/>
        </w:rPr>
        <w:t>1</w:t>
      </w:r>
      <w:r w:rsidR="009F013C">
        <w:rPr>
          <w:noProof/>
        </w:rPr>
        <w:t>2</w:t>
      </w:r>
      <w:r>
        <w:rPr>
          <w:noProof/>
        </w:rPr>
        <w:fldChar w:fldCharType="end"/>
      </w:r>
    </w:p>
    <w:p w14:paraId="7F08185B" w14:textId="0FCF51B9" w:rsidR="003A3235" w:rsidRDefault="003A3235">
      <w:pPr>
        <w:pStyle w:val="TOC1"/>
        <w:tabs>
          <w:tab w:val="left" w:pos="660"/>
          <w:tab w:val="right" w:leader="dot" w:pos="8494"/>
        </w:tabs>
        <w:rPr>
          <w:rFonts w:eastAsiaTheme="minorEastAsia" w:cstheme="minorBidi"/>
          <w:noProof/>
          <w:color w:val="auto"/>
          <w:sz w:val="22"/>
          <w:szCs w:val="22"/>
        </w:rPr>
      </w:pPr>
      <w:r>
        <w:rPr>
          <w:noProof/>
        </w:rPr>
        <w:t>3</w:t>
      </w:r>
      <w:r>
        <w:rPr>
          <w:rFonts w:eastAsiaTheme="minorEastAsia" w:cstheme="minorBidi"/>
          <w:noProof/>
          <w:color w:val="auto"/>
          <w:sz w:val="22"/>
          <w:szCs w:val="22"/>
        </w:rPr>
        <w:tab/>
      </w:r>
      <w:r>
        <w:rPr>
          <w:noProof/>
        </w:rPr>
        <w:t>Achievement of outcomes</w:t>
      </w:r>
      <w:r>
        <w:rPr>
          <w:noProof/>
        </w:rPr>
        <w:tab/>
      </w:r>
      <w:r>
        <w:rPr>
          <w:noProof/>
        </w:rPr>
        <w:fldChar w:fldCharType="begin"/>
      </w:r>
      <w:r>
        <w:rPr>
          <w:noProof/>
        </w:rPr>
        <w:instrText xml:space="preserve"> PAGEREF _Toc500934697 \h </w:instrText>
      </w:r>
      <w:r>
        <w:rPr>
          <w:noProof/>
        </w:rPr>
      </w:r>
      <w:r>
        <w:rPr>
          <w:noProof/>
        </w:rPr>
        <w:fldChar w:fldCharType="separate"/>
      </w:r>
      <w:r w:rsidR="000B73F4">
        <w:rPr>
          <w:noProof/>
        </w:rPr>
        <w:t>1</w:t>
      </w:r>
      <w:r>
        <w:rPr>
          <w:noProof/>
        </w:rPr>
        <w:fldChar w:fldCharType="end"/>
      </w:r>
      <w:r w:rsidR="009F013C">
        <w:rPr>
          <w:noProof/>
        </w:rPr>
        <w:t>5</w:t>
      </w:r>
    </w:p>
    <w:p w14:paraId="749B4C1F" w14:textId="51C13412" w:rsidR="003A3235" w:rsidRDefault="003A3235">
      <w:pPr>
        <w:pStyle w:val="TOC2"/>
        <w:rPr>
          <w:rFonts w:eastAsiaTheme="minorEastAsia" w:cstheme="minorBidi"/>
          <w:noProof/>
          <w:color w:val="auto"/>
          <w:sz w:val="22"/>
          <w:szCs w:val="22"/>
        </w:rPr>
      </w:pPr>
      <w:r>
        <w:rPr>
          <w:noProof/>
        </w:rPr>
        <w:t>3.1</w:t>
      </w:r>
      <w:r>
        <w:rPr>
          <w:rFonts w:eastAsiaTheme="minorEastAsia" w:cstheme="minorBidi"/>
          <w:noProof/>
          <w:color w:val="auto"/>
          <w:sz w:val="22"/>
          <w:szCs w:val="22"/>
        </w:rPr>
        <w:tab/>
      </w:r>
      <w:r>
        <w:rPr>
          <w:noProof/>
        </w:rPr>
        <w:t>Program logic</w:t>
      </w:r>
      <w:r>
        <w:rPr>
          <w:noProof/>
        </w:rPr>
        <w:tab/>
      </w:r>
      <w:r>
        <w:rPr>
          <w:noProof/>
        </w:rPr>
        <w:fldChar w:fldCharType="begin"/>
      </w:r>
      <w:r>
        <w:rPr>
          <w:noProof/>
        </w:rPr>
        <w:instrText xml:space="preserve"> PAGEREF _Toc500934698 \h </w:instrText>
      </w:r>
      <w:r>
        <w:rPr>
          <w:noProof/>
        </w:rPr>
      </w:r>
      <w:r>
        <w:rPr>
          <w:noProof/>
        </w:rPr>
        <w:fldChar w:fldCharType="separate"/>
      </w:r>
      <w:r w:rsidR="000B73F4">
        <w:rPr>
          <w:noProof/>
        </w:rPr>
        <w:t>16</w:t>
      </w:r>
      <w:r>
        <w:rPr>
          <w:noProof/>
        </w:rPr>
        <w:fldChar w:fldCharType="end"/>
      </w:r>
    </w:p>
    <w:p w14:paraId="04C44537" w14:textId="0D3A81CF" w:rsidR="003A3235" w:rsidRDefault="003A3235">
      <w:pPr>
        <w:pStyle w:val="TOC2"/>
        <w:rPr>
          <w:rFonts w:eastAsiaTheme="minorEastAsia" w:cstheme="minorBidi"/>
          <w:noProof/>
          <w:color w:val="auto"/>
          <w:sz w:val="22"/>
          <w:szCs w:val="22"/>
        </w:rPr>
      </w:pPr>
      <w:r>
        <w:rPr>
          <w:noProof/>
        </w:rPr>
        <w:t>3.2</w:t>
      </w:r>
      <w:r>
        <w:rPr>
          <w:rFonts w:eastAsiaTheme="minorEastAsia" w:cstheme="minorBidi"/>
          <w:noProof/>
          <w:color w:val="auto"/>
          <w:sz w:val="22"/>
          <w:szCs w:val="22"/>
        </w:rPr>
        <w:tab/>
      </w:r>
      <w:r>
        <w:rPr>
          <w:noProof/>
        </w:rPr>
        <w:t>Program outcomes</w:t>
      </w:r>
      <w:r>
        <w:rPr>
          <w:noProof/>
        </w:rPr>
        <w:tab/>
      </w:r>
      <w:r>
        <w:rPr>
          <w:noProof/>
        </w:rPr>
        <w:fldChar w:fldCharType="begin"/>
      </w:r>
      <w:r>
        <w:rPr>
          <w:noProof/>
        </w:rPr>
        <w:instrText xml:space="preserve"> PAGEREF _Toc500934699 \h </w:instrText>
      </w:r>
      <w:r>
        <w:rPr>
          <w:noProof/>
        </w:rPr>
      </w:r>
      <w:r>
        <w:rPr>
          <w:noProof/>
        </w:rPr>
        <w:fldChar w:fldCharType="separate"/>
      </w:r>
      <w:r w:rsidR="000B73F4">
        <w:rPr>
          <w:noProof/>
        </w:rPr>
        <w:t>1</w:t>
      </w:r>
      <w:r w:rsidR="009F013C">
        <w:rPr>
          <w:noProof/>
        </w:rPr>
        <w:t>7</w:t>
      </w:r>
      <w:r>
        <w:rPr>
          <w:noProof/>
        </w:rPr>
        <w:fldChar w:fldCharType="end"/>
      </w:r>
    </w:p>
    <w:p w14:paraId="789FFD82" w14:textId="47D4569D" w:rsidR="003A3235" w:rsidRDefault="003A3235">
      <w:pPr>
        <w:pStyle w:val="TOC2"/>
        <w:rPr>
          <w:rFonts w:eastAsiaTheme="minorEastAsia" w:cstheme="minorBidi"/>
          <w:noProof/>
          <w:color w:val="auto"/>
          <w:sz w:val="22"/>
          <w:szCs w:val="22"/>
        </w:rPr>
      </w:pPr>
      <w:r>
        <w:rPr>
          <w:noProof/>
        </w:rPr>
        <w:t>3.3</w:t>
      </w:r>
      <w:r>
        <w:rPr>
          <w:rFonts w:eastAsiaTheme="minorEastAsia" w:cstheme="minorBidi"/>
          <w:noProof/>
          <w:color w:val="auto"/>
          <w:sz w:val="22"/>
          <w:szCs w:val="22"/>
        </w:rPr>
        <w:tab/>
      </w:r>
      <w:r>
        <w:rPr>
          <w:noProof/>
        </w:rPr>
        <w:t>New and innovative research collaborations</w:t>
      </w:r>
      <w:r>
        <w:rPr>
          <w:noProof/>
        </w:rPr>
        <w:tab/>
      </w:r>
      <w:r>
        <w:rPr>
          <w:noProof/>
        </w:rPr>
        <w:fldChar w:fldCharType="begin"/>
      </w:r>
      <w:r>
        <w:rPr>
          <w:noProof/>
        </w:rPr>
        <w:instrText xml:space="preserve"> PAGEREF _Toc500934700 \h </w:instrText>
      </w:r>
      <w:r>
        <w:rPr>
          <w:noProof/>
        </w:rPr>
      </w:r>
      <w:r>
        <w:rPr>
          <w:noProof/>
        </w:rPr>
        <w:fldChar w:fldCharType="separate"/>
      </w:r>
      <w:r w:rsidR="000B73F4">
        <w:rPr>
          <w:noProof/>
        </w:rPr>
        <w:t>1</w:t>
      </w:r>
      <w:r w:rsidR="009F013C">
        <w:rPr>
          <w:noProof/>
        </w:rPr>
        <w:t>7</w:t>
      </w:r>
      <w:r>
        <w:rPr>
          <w:noProof/>
        </w:rPr>
        <w:fldChar w:fldCharType="end"/>
      </w:r>
    </w:p>
    <w:p w14:paraId="2CCD5CB6" w14:textId="318FE0E7" w:rsidR="003A3235" w:rsidRDefault="003A3235" w:rsidP="003A3235">
      <w:pPr>
        <w:pStyle w:val="TOC2"/>
        <w:ind w:left="1319" w:hanging="610"/>
        <w:rPr>
          <w:rFonts w:eastAsiaTheme="minorEastAsia" w:cstheme="minorBidi"/>
          <w:noProof/>
          <w:color w:val="auto"/>
          <w:sz w:val="22"/>
          <w:szCs w:val="22"/>
        </w:rPr>
      </w:pPr>
      <w:r>
        <w:rPr>
          <w:noProof/>
        </w:rPr>
        <w:t>3.4</w:t>
      </w:r>
      <w:r>
        <w:rPr>
          <w:rFonts w:eastAsiaTheme="minorEastAsia" w:cstheme="minorBidi"/>
          <w:noProof/>
          <w:color w:val="auto"/>
          <w:sz w:val="22"/>
          <w:szCs w:val="22"/>
        </w:rPr>
        <w:tab/>
      </w:r>
      <w:r>
        <w:rPr>
          <w:noProof/>
        </w:rPr>
        <w:t>Generating knowledge, technologies, products or processes that benefit primary producers</w:t>
      </w:r>
      <w:r>
        <w:rPr>
          <w:noProof/>
        </w:rPr>
        <w:tab/>
      </w:r>
      <w:r>
        <w:rPr>
          <w:noProof/>
        </w:rPr>
        <w:fldChar w:fldCharType="begin"/>
      </w:r>
      <w:r>
        <w:rPr>
          <w:noProof/>
        </w:rPr>
        <w:instrText xml:space="preserve"> PAGEREF _Toc500934701 \h </w:instrText>
      </w:r>
      <w:r>
        <w:rPr>
          <w:noProof/>
        </w:rPr>
      </w:r>
      <w:r>
        <w:rPr>
          <w:noProof/>
        </w:rPr>
        <w:fldChar w:fldCharType="separate"/>
      </w:r>
      <w:r w:rsidR="000B73F4">
        <w:rPr>
          <w:noProof/>
        </w:rPr>
        <w:t>2</w:t>
      </w:r>
      <w:r>
        <w:rPr>
          <w:noProof/>
        </w:rPr>
        <w:fldChar w:fldCharType="end"/>
      </w:r>
      <w:r w:rsidR="009F013C">
        <w:rPr>
          <w:noProof/>
        </w:rPr>
        <w:t>8</w:t>
      </w:r>
    </w:p>
    <w:p w14:paraId="5D6A8EF4" w14:textId="077BBB33" w:rsidR="003A3235" w:rsidRDefault="003A3235" w:rsidP="003A3235">
      <w:pPr>
        <w:pStyle w:val="TOC2"/>
        <w:ind w:left="1319" w:hanging="610"/>
        <w:rPr>
          <w:rFonts w:eastAsiaTheme="minorEastAsia" w:cstheme="minorBidi"/>
          <w:noProof/>
          <w:color w:val="auto"/>
          <w:sz w:val="22"/>
          <w:szCs w:val="22"/>
        </w:rPr>
      </w:pPr>
      <w:r>
        <w:rPr>
          <w:noProof/>
        </w:rPr>
        <w:t>3.5</w:t>
      </w:r>
      <w:r>
        <w:rPr>
          <w:rFonts w:eastAsiaTheme="minorEastAsia" w:cstheme="minorBidi"/>
          <w:noProof/>
          <w:color w:val="auto"/>
          <w:sz w:val="22"/>
          <w:szCs w:val="22"/>
        </w:rPr>
        <w:tab/>
      </w:r>
      <w:r>
        <w:rPr>
          <w:noProof/>
        </w:rPr>
        <w:t>Strengthening of extension pathways and understanding barriers to adoption</w:t>
      </w:r>
      <w:r>
        <w:rPr>
          <w:noProof/>
        </w:rPr>
        <w:tab/>
      </w:r>
      <w:r>
        <w:rPr>
          <w:noProof/>
        </w:rPr>
        <w:fldChar w:fldCharType="begin"/>
      </w:r>
      <w:r>
        <w:rPr>
          <w:noProof/>
        </w:rPr>
        <w:instrText xml:space="preserve"> PAGEREF _Toc500934702 \h </w:instrText>
      </w:r>
      <w:r>
        <w:rPr>
          <w:noProof/>
        </w:rPr>
      </w:r>
      <w:r>
        <w:rPr>
          <w:noProof/>
        </w:rPr>
        <w:fldChar w:fldCharType="separate"/>
      </w:r>
      <w:r w:rsidR="000B73F4">
        <w:rPr>
          <w:noProof/>
        </w:rPr>
        <w:t>3</w:t>
      </w:r>
      <w:r>
        <w:rPr>
          <w:noProof/>
        </w:rPr>
        <w:fldChar w:fldCharType="end"/>
      </w:r>
      <w:r w:rsidR="009F013C">
        <w:rPr>
          <w:noProof/>
        </w:rPr>
        <w:t>2</w:t>
      </w:r>
    </w:p>
    <w:p w14:paraId="5BFB0280" w14:textId="3248DEF8" w:rsidR="003A3235" w:rsidRDefault="003A3235">
      <w:pPr>
        <w:pStyle w:val="TOC1"/>
        <w:tabs>
          <w:tab w:val="left" w:pos="660"/>
          <w:tab w:val="right" w:leader="dot" w:pos="8494"/>
        </w:tabs>
        <w:rPr>
          <w:rFonts w:eastAsiaTheme="minorEastAsia" w:cstheme="minorBidi"/>
          <w:noProof/>
          <w:color w:val="auto"/>
          <w:sz w:val="22"/>
          <w:szCs w:val="22"/>
        </w:rPr>
      </w:pPr>
      <w:r>
        <w:rPr>
          <w:noProof/>
        </w:rPr>
        <w:t>4</w:t>
      </w:r>
      <w:r>
        <w:rPr>
          <w:rFonts w:eastAsiaTheme="minorEastAsia" w:cstheme="minorBidi"/>
          <w:noProof/>
          <w:color w:val="auto"/>
          <w:sz w:val="22"/>
          <w:szCs w:val="22"/>
        </w:rPr>
        <w:tab/>
      </w:r>
      <w:r>
        <w:rPr>
          <w:noProof/>
        </w:rPr>
        <w:t>Administration, implementation and delivery</w:t>
      </w:r>
      <w:r>
        <w:rPr>
          <w:noProof/>
        </w:rPr>
        <w:tab/>
      </w:r>
      <w:r>
        <w:rPr>
          <w:noProof/>
        </w:rPr>
        <w:fldChar w:fldCharType="begin"/>
      </w:r>
      <w:r>
        <w:rPr>
          <w:noProof/>
        </w:rPr>
        <w:instrText xml:space="preserve"> PAGEREF _Toc500934703 \h </w:instrText>
      </w:r>
      <w:r>
        <w:rPr>
          <w:noProof/>
        </w:rPr>
      </w:r>
      <w:r>
        <w:rPr>
          <w:noProof/>
        </w:rPr>
        <w:fldChar w:fldCharType="separate"/>
      </w:r>
      <w:r w:rsidR="000B73F4">
        <w:rPr>
          <w:noProof/>
        </w:rPr>
        <w:t>3</w:t>
      </w:r>
      <w:r>
        <w:rPr>
          <w:noProof/>
        </w:rPr>
        <w:fldChar w:fldCharType="end"/>
      </w:r>
      <w:r w:rsidR="009F013C">
        <w:rPr>
          <w:noProof/>
        </w:rPr>
        <w:t>6</w:t>
      </w:r>
    </w:p>
    <w:p w14:paraId="479BDCDD" w14:textId="5303BAD2" w:rsidR="003A3235" w:rsidRDefault="003A3235">
      <w:pPr>
        <w:pStyle w:val="TOC2"/>
        <w:rPr>
          <w:rFonts w:eastAsiaTheme="minorEastAsia" w:cstheme="minorBidi"/>
          <w:noProof/>
          <w:color w:val="auto"/>
          <w:sz w:val="22"/>
          <w:szCs w:val="22"/>
        </w:rPr>
      </w:pPr>
      <w:r>
        <w:rPr>
          <w:noProof/>
        </w:rPr>
        <w:t>4.1</w:t>
      </w:r>
      <w:r>
        <w:rPr>
          <w:rFonts w:eastAsiaTheme="minorEastAsia" w:cstheme="minorBidi"/>
          <w:noProof/>
          <w:color w:val="auto"/>
          <w:sz w:val="22"/>
          <w:szCs w:val="22"/>
        </w:rPr>
        <w:tab/>
      </w:r>
      <w:r>
        <w:rPr>
          <w:noProof/>
        </w:rPr>
        <w:t>Efficiency and effectiveness</w:t>
      </w:r>
      <w:r>
        <w:rPr>
          <w:noProof/>
        </w:rPr>
        <w:tab/>
      </w:r>
      <w:r>
        <w:rPr>
          <w:noProof/>
        </w:rPr>
        <w:fldChar w:fldCharType="begin"/>
      </w:r>
      <w:r>
        <w:rPr>
          <w:noProof/>
        </w:rPr>
        <w:instrText xml:space="preserve"> PAGEREF _Toc500934704 \h </w:instrText>
      </w:r>
      <w:r>
        <w:rPr>
          <w:noProof/>
        </w:rPr>
      </w:r>
      <w:r>
        <w:rPr>
          <w:noProof/>
        </w:rPr>
        <w:fldChar w:fldCharType="separate"/>
      </w:r>
      <w:r w:rsidR="000B73F4">
        <w:rPr>
          <w:noProof/>
        </w:rPr>
        <w:t>3</w:t>
      </w:r>
      <w:r>
        <w:rPr>
          <w:noProof/>
        </w:rPr>
        <w:fldChar w:fldCharType="end"/>
      </w:r>
      <w:r w:rsidR="009F013C">
        <w:rPr>
          <w:noProof/>
        </w:rPr>
        <w:t>6</w:t>
      </w:r>
    </w:p>
    <w:p w14:paraId="4174E77F" w14:textId="2994ED78" w:rsidR="003A3235" w:rsidRDefault="003A3235">
      <w:pPr>
        <w:pStyle w:val="TOC2"/>
        <w:rPr>
          <w:rFonts w:eastAsiaTheme="minorEastAsia" w:cstheme="minorBidi"/>
          <w:noProof/>
          <w:color w:val="auto"/>
          <w:sz w:val="22"/>
          <w:szCs w:val="22"/>
        </w:rPr>
      </w:pPr>
      <w:r>
        <w:rPr>
          <w:noProof/>
        </w:rPr>
        <w:t>4.2</w:t>
      </w:r>
      <w:r>
        <w:rPr>
          <w:rFonts w:eastAsiaTheme="minorEastAsia" w:cstheme="minorBidi"/>
          <w:noProof/>
          <w:color w:val="auto"/>
          <w:sz w:val="22"/>
          <w:szCs w:val="22"/>
        </w:rPr>
        <w:tab/>
      </w:r>
      <w:r>
        <w:rPr>
          <w:noProof/>
        </w:rPr>
        <w:t>Application, assessment and selection</w:t>
      </w:r>
      <w:r>
        <w:rPr>
          <w:noProof/>
        </w:rPr>
        <w:tab/>
      </w:r>
      <w:r>
        <w:rPr>
          <w:noProof/>
        </w:rPr>
        <w:fldChar w:fldCharType="begin"/>
      </w:r>
      <w:r>
        <w:rPr>
          <w:noProof/>
        </w:rPr>
        <w:instrText xml:space="preserve"> PAGEREF _Toc500934705 \h </w:instrText>
      </w:r>
      <w:r>
        <w:rPr>
          <w:noProof/>
        </w:rPr>
      </w:r>
      <w:r>
        <w:rPr>
          <w:noProof/>
        </w:rPr>
        <w:fldChar w:fldCharType="separate"/>
      </w:r>
      <w:r w:rsidR="000B73F4">
        <w:rPr>
          <w:noProof/>
        </w:rPr>
        <w:t>3</w:t>
      </w:r>
      <w:r w:rsidR="009F013C">
        <w:rPr>
          <w:noProof/>
        </w:rPr>
        <w:t>6</w:t>
      </w:r>
      <w:r>
        <w:rPr>
          <w:noProof/>
        </w:rPr>
        <w:fldChar w:fldCharType="end"/>
      </w:r>
    </w:p>
    <w:p w14:paraId="3CE1CB7A" w14:textId="706C3CD2" w:rsidR="003A3235" w:rsidRDefault="003A3235">
      <w:pPr>
        <w:pStyle w:val="TOC2"/>
        <w:rPr>
          <w:rFonts w:eastAsiaTheme="minorEastAsia" w:cstheme="minorBidi"/>
          <w:noProof/>
          <w:color w:val="auto"/>
          <w:sz w:val="22"/>
          <w:szCs w:val="22"/>
        </w:rPr>
      </w:pPr>
      <w:r>
        <w:rPr>
          <w:noProof/>
        </w:rPr>
        <w:t>4.3</w:t>
      </w:r>
      <w:r>
        <w:rPr>
          <w:rFonts w:eastAsiaTheme="minorEastAsia" w:cstheme="minorBidi"/>
          <w:noProof/>
          <w:color w:val="auto"/>
          <w:sz w:val="22"/>
          <w:szCs w:val="22"/>
        </w:rPr>
        <w:tab/>
      </w:r>
      <w:r>
        <w:rPr>
          <w:noProof/>
        </w:rPr>
        <w:t>Monitoring, evaluation and KPIs</w:t>
      </w:r>
      <w:r>
        <w:rPr>
          <w:noProof/>
        </w:rPr>
        <w:tab/>
      </w:r>
      <w:r>
        <w:rPr>
          <w:noProof/>
        </w:rPr>
        <w:fldChar w:fldCharType="begin"/>
      </w:r>
      <w:r>
        <w:rPr>
          <w:noProof/>
        </w:rPr>
        <w:instrText xml:space="preserve"> PAGEREF _Toc500934706 \h </w:instrText>
      </w:r>
      <w:r>
        <w:rPr>
          <w:noProof/>
        </w:rPr>
      </w:r>
      <w:r>
        <w:rPr>
          <w:noProof/>
        </w:rPr>
        <w:fldChar w:fldCharType="separate"/>
      </w:r>
      <w:r w:rsidR="000B73F4">
        <w:rPr>
          <w:noProof/>
        </w:rPr>
        <w:t>4</w:t>
      </w:r>
      <w:r>
        <w:rPr>
          <w:noProof/>
        </w:rPr>
        <w:fldChar w:fldCharType="end"/>
      </w:r>
      <w:r w:rsidR="009F013C">
        <w:rPr>
          <w:noProof/>
        </w:rPr>
        <w:t>2</w:t>
      </w:r>
    </w:p>
    <w:p w14:paraId="3D47E714" w14:textId="00CC7C16" w:rsidR="003A3235" w:rsidRDefault="003A3235">
      <w:pPr>
        <w:pStyle w:val="TOC2"/>
        <w:rPr>
          <w:rFonts w:eastAsiaTheme="minorEastAsia" w:cstheme="minorBidi"/>
          <w:noProof/>
          <w:color w:val="auto"/>
          <w:sz w:val="22"/>
          <w:szCs w:val="22"/>
        </w:rPr>
      </w:pPr>
      <w:r>
        <w:rPr>
          <w:noProof/>
        </w:rPr>
        <w:t>4.4</w:t>
      </w:r>
      <w:r>
        <w:rPr>
          <w:rFonts w:eastAsiaTheme="minorEastAsia" w:cstheme="minorBidi"/>
          <w:noProof/>
          <w:color w:val="auto"/>
          <w:sz w:val="22"/>
          <w:szCs w:val="22"/>
        </w:rPr>
        <w:tab/>
      </w:r>
      <w:r>
        <w:rPr>
          <w:noProof/>
        </w:rPr>
        <w:t>Meeting the needs of RDCs and government</w:t>
      </w:r>
      <w:r>
        <w:rPr>
          <w:noProof/>
        </w:rPr>
        <w:tab/>
      </w:r>
      <w:r>
        <w:rPr>
          <w:noProof/>
        </w:rPr>
        <w:fldChar w:fldCharType="begin"/>
      </w:r>
      <w:r>
        <w:rPr>
          <w:noProof/>
        </w:rPr>
        <w:instrText xml:space="preserve"> PAGEREF _Toc500934707 \h </w:instrText>
      </w:r>
      <w:r>
        <w:rPr>
          <w:noProof/>
        </w:rPr>
      </w:r>
      <w:r>
        <w:rPr>
          <w:noProof/>
        </w:rPr>
        <w:fldChar w:fldCharType="separate"/>
      </w:r>
      <w:r w:rsidR="000B73F4">
        <w:rPr>
          <w:noProof/>
        </w:rPr>
        <w:t>4</w:t>
      </w:r>
      <w:r>
        <w:rPr>
          <w:noProof/>
        </w:rPr>
        <w:fldChar w:fldCharType="end"/>
      </w:r>
      <w:r w:rsidR="009F013C">
        <w:rPr>
          <w:noProof/>
        </w:rPr>
        <w:t>5</w:t>
      </w:r>
    </w:p>
    <w:p w14:paraId="0A78C95A" w14:textId="6A357F89" w:rsidR="003A3235" w:rsidRDefault="003A3235">
      <w:pPr>
        <w:pStyle w:val="TOC1"/>
        <w:tabs>
          <w:tab w:val="left" w:pos="660"/>
          <w:tab w:val="right" w:leader="dot" w:pos="8494"/>
        </w:tabs>
        <w:rPr>
          <w:rFonts w:eastAsiaTheme="minorEastAsia" w:cstheme="minorBidi"/>
          <w:noProof/>
          <w:color w:val="auto"/>
          <w:sz w:val="22"/>
          <w:szCs w:val="22"/>
        </w:rPr>
      </w:pPr>
      <w:r>
        <w:rPr>
          <w:noProof/>
        </w:rPr>
        <w:t>5</w:t>
      </w:r>
      <w:r>
        <w:rPr>
          <w:rFonts w:eastAsiaTheme="minorEastAsia" w:cstheme="minorBidi"/>
          <w:noProof/>
          <w:color w:val="auto"/>
          <w:sz w:val="22"/>
          <w:szCs w:val="22"/>
        </w:rPr>
        <w:tab/>
      </w:r>
      <w:r>
        <w:rPr>
          <w:noProof/>
        </w:rPr>
        <w:t>Conclusions and recommendations</w:t>
      </w:r>
      <w:r>
        <w:rPr>
          <w:noProof/>
        </w:rPr>
        <w:tab/>
      </w:r>
      <w:r w:rsidR="009F013C">
        <w:rPr>
          <w:noProof/>
        </w:rPr>
        <w:t>49</w:t>
      </w:r>
    </w:p>
    <w:p w14:paraId="56D1486D" w14:textId="5003E2F5" w:rsidR="003A3235" w:rsidRDefault="003A3235">
      <w:pPr>
        <w:pStyle w:val="TOC2"/>
        <w:rPr>
          <w:rFonts w:eastAsiaTheme="minorEastAsia" w:cstheme="minorBidi"/>
          <w:noProof/>
          <w:color w:val="auto"/>
          <w:sz w:val="22"/>
          <w:szCs w:val="22"/>
        </w:rPr>
      </w:pPr>
      <w:r>
        <w:rPr>
          <w:noProof/>
        </w:rPr>
        <w:t>5.1</w:t>
      </w:r>
      <w:r>
        <w:rPr>
          <w:rFonts w:eastAsiaTheme="minorEastAsia" w:cstheme="minorBidi"/>
          <w:noProof/>
          <w:color w:val="auto"/>
          <w:sz w:val="22"/>
          <w:szCs w:val="22"/>
        </w:rPr>
        <w:tab/>
      </w:r>
      <w:r>
        <w:rPr>
          <w:noProof/>
        </w:rPr>
        <w:t>Achievement of outcomes</w:t>
      </w:r>
      <w:r>
        <w:rPr>
          <w:noProof/>
        </w:rPr>
        <w:tab/>
      </w:r>
      <w:r>
        <w:rPr>
          <w:noProof/>
        </w:rPr>
        <w:fldChar w:fldCharType="begin"/>
      </w:r>
      <w:r>
        <w:rPr>
          <w:noProof/>
        </w:rPr>
        <w:instrText xml:space="preserve"> PAGEREF _Toc500934709 \h </w:instrText>
      </w:r>
      <w:r>
        <w:rPr>
          <w:noProof/>
        </w:rPr>
      </w:r>
      <w:r>
        <w:rPr>
          <w:noProof/>
        </w:rPr>
        <w:fldChar w:fldCharType="separate"/>
      </w:r>
      <w:r w:rsidR="009F013C">
        <w:rPr>
          <w:noProof/>
        </w:rPr>
        <w:t>49</w:t>
      </w:r>
      <w:r>
        <w:rPr>
          <w:noProof/>
        </w:rPr>
        <w:fldChar w:fldCharType="end"/>
      </w:r>
    </w:p>
    <w:p w14:paraId="35D4696C" w14:textId="27638769" w:rsidR="003A3235" w:rsidRDefault="003A3235">
      <w:pPr>
        <w:pStyle w:val="TOC2"/>
        <w:rPr>
          <w:rFonts w:eastAsiaTheme="minorEastAsia" w:cstheme="minorBidi"/>
          <w:noProof/>
          <w:color w:val="auto"/>
          <w:sz w:val="22"/>
          <w:szCs w:val="22"/>
        </w:rPr>
      </w:pPr>
      <w:r>
        <w:rPr>
          <w:noProof/>
        </w:rPr>
        <w:t>5.2</w:t>
      </w:r>
      <w:r>
        <w:rPr>
          <w:rFonts w:eastAsiaTheme="minorEastAsia" w:cstheme="minorBidi"/>
          <w:noProof/>
          <w:color w:val="auto"/>
          <w:sz w:val="22"/>
          <w:szCs w:val="22"/>
        </w:rPr>
        <w:tab/>
      </w:r>
      <w:r>
        <w:rPr>
          <w:noProof/>
        </w:rPr>
        <w:t>Efficiency and effectiveness of program management by the department</w:t>
      </w:r>
      <w:r>
        <w:rPr>
          <w:noProof/>
        </w:rPr>
        <w:tab/>
      </w:r>
      <w:r w:rsidR="0097677D">
        <w:rPr>
          <w:noProof/>
        </w:rPr>
        <w:tab/>
      </w:r>
      <w:r w:rsidR="0097677D">
        <w:rPr>
          <w:noProof/>
        </w:rPr>
        <w:tab/>
      </w:r>
      <w:r>
        <w:rPr>
          <w:noProof/>
        </w:rPr>
        <w:fldChar w:fldCharType="begin"/>
      </w:r>
      <w:r>
        <w:rPr>
          <w:noProof/>
        </w:rPr>
        <w:instrText xml:space="preserve"> PAGEREF _Toc500934710 \h </w:instrText>
      </w:r>
      <w:r>
        <w:rPr>
          <w:noProof/>
        </w:rPr>
      </w:r>
      <w:r>
        <w:rPr>
          <w:noProof/>
        </w:rPr>
        <w:fldChar w:fldCharType="separate"/>
      </w:r>
      <w:r w:rsidR="000B73F4">
        <w:rPr>
          <w:noProof/>
        </w:rPr>
        <w:t>5</w:t>
      </w:r>
      <w:r>
        <w:rPr>
          <w:noProof/>
        </w:rPr>
        <w:fldChar w:fldCharType="end"/>
      </w:r>
      <w:r w:rsidR="009F013C">
        <w:rPr>
          <w:noProof/>
        </w:rPr>
        <w:t>1</w:t>
      </w:r>
    </w:p>
    <w:p w14:paraId="30DD1653" w14:textId="4E2D52A6" w:rsidR="003A3235" w:rsidRDefault="003A3235">
      <w:pPr>
        <w:pStyle w:val="TOC1"/>
        <w:tabs>
          <w:tab w:val="right" w:leader="dot" w:pos="8494"/>
        </w:tabs>
        <w:rPr>
          <w:rFonts w:eastAsiaTheme="minorEastAsia" w:cstheme="minorBidi"/>
          <w:noProof/>
          <w:color w:val="auto"/>
          <w:sz w:val="22"/>
          <w:szCs w:val="22"/>
        </w:rPr>
      </w:pPr>
      <w:r>
        <w:rPr>
          <w:noProof/>
        </w:rPr>
        <w:t>Attachments</w:t>
      </w:r>
      <w:r>
        <w:rPr>
          <w:noProof/>
        </w:rPr>
        <w:tab/>
      </w:r>
      <w:r>
        <w:rPr>
          <w:noProof/>
        </w:rPr>
        <w:fldChar w:fldCharType="begin"/>
      </w:r>
      <w:r>
        <w:rPr>
          <w:noProof/>
        </w:rPr>
        <w:instrText xml:space="preserve"> PAGEREF _Toc500934711 \h </w:instrText>
      </w:r>
      <w:r>
        <w:rPr>
          <w:noProof/>
        </w:rPr>
      </w:r>
      <w:r>
        <w:rPr>
          <w:noProof/>
        </w:rPr>
        <w:fldChar w:fldCharType="separate"/>
      </w:r>
      <w:r w:rsidR="000B73F4">
        <w:rPr>
          <w:noProof/>
        </w:rPr>
        <w:t>5</w:t>
      </w:r>
      <w:r>
        <w:rPr>
          <w:noProof/>
        </w:rPr>
        <w:fldChar w:fldCharType="end"/>
      </w:r>
      <w:r w:rsidR="009F013C">
        <w:rPr>
          <w:noProof/>
        </w:rPr>
        <w:t>4</w:t>
      </w:r>
    </w:p>
    <w:p w14:paraId="2CAE2992" w14:textId="16967036" w:rsidR="003A3235" w:rsidRDefault="003A3235">
      <w:pPr>
        <w:pStyle w:val="TOC2"/>
        <w:rPr>
          <w:rFonts w:eastAsiaTheme="minorEastAsia" w:cstheme="minorBidi"/>
          <w:noProof/>
          <w:color w:val="auto"/>
          <w:sz w:val="22"/>
          <w:szCs w:val="22"/>
        </w:rPr>
      </w:pPr>
      <w:r w:rsidRPr="00841F92">
        <w:rPr>
          <w:noProof/>
          <w:lang w:val="en"/>
        </w:rPr>
        <w:t>Attachment A: List of projects (taken from Rural R&amp;D for Profit website)</w:t>
      </w:r>
      <w:r>
        <w:rPr>
          <w:noProof/>
        </w:rPr>
        <w:tab/>
      </w:r>
      <w:r>
        <w:rPr>
          <w:noProof/>
        </w:rPr>
        <w:fldChar w:fldCharType="begin"/>
      </w:r>
      <w:r>
        <w:rPr>
          <w:noProof/>
        </w:rPr>
        <w:instrText xml:space="preserve"> PAGEREF _Toc500934712 \h </w:instrText>
      </w:r>
      <w:r>
        <w:rPr>
          <w:noProof/>
        </w:rPr>
      </w:r>
      <w:r>
        <w:rPr>
          <w:noProof/>
        </w:rPr>
        <w:fldChar w:fldCharType="separate"/>
      </w:r>
      <w:r w:rsidR="000B73F4">
        <w:rPr>
          <w:noProof/>
        </w:rPr>
        <w:t>5</w:t>
      </w:r>
      <w:r>
        <w:rPr>
          <w:noProof/>
        </w:rPr>
        <w:fldChar w:fldCharType="end"/>
      </w:r>
      <w:r w:rsidR="009F013C">
        <w:rPr>
          <w:noProof/>
        </w:rPr>
        <w:t>4</w:t>
      </w:r>
    </w:p>
    <w:p w14:paraId="307DA174" w14:textId="1E02504C" w:rsidR="003A3235" w:rsidRDefault="003A3235">
      <w:pPr>
        <w:pStyle w:val="TOC2"/>
        <w:rPr>
          <w:rFonts w:eastAsiaTheme="minorEastAsia" w:cstheme="minorBidi"/>
          <w:noProof/>
          <w:color w:val="auto"/>
          <w:sz w:val="22"/>
          <w:szCs w:val="22"/>
        </w:rPr>
      </w:pPr>
      <w:r>
        <w:rPr>
          <w:noProof/>
        </w:rPr>
        <w:t>Attachment B: Extracts from program and evaluation plans</w:t>
      </w:r>
      <w:r>
        <w:rPr>
          <w:noProof/>
        </w:rPr>
        <w:tab/>
      </w:r>
      <w:r>
        <w:rPr>
          <w:noProof/>
        </w:rPr>
        <w:fldChar w:fldCharType="begin"/>
      </w:r>
      <w:r>
        <w:rPr>
          <w:noProof/>
        </w:rPr>
        <w:instrText xml:space="preserve"> PAGEREF _Toc500934713 \h </w:instrText>
      </w:r>
      <w:r>
        <w:rPr>
          <w:noProof/>
        </w:rPr>
      </w:r>
      <w:r>
        <w:rPr>
          <w:noProof/>
        </w:rPr>
        <w:fldChar w:fldCharType="separate"/>
      </w:r>
      <w:r w:rsidR="000B73F4">
        <w:rPr>
          <w:noProof/>
        </w:rPr>
        <w:t>7</w:t>
      </w:r>
      <w:r>
        <w:rPr>
          <w:noProof/>
        </w:rPr>
        <w:fldChar w:fldCharType="end"/>
      </w:r>
      <w:r w:rsidR="00627B7A">
        <w:rPr>
          <w:noProof/>
        </w:rPr>
        <w:t>4</w:t>
      </w:r>
    </w:p>
    <w:p w14:paraId="5EA7A9B1" w14:textId="7BFE5E72" w:rsidR="003A3235" w:rsidRDefault="003A3235">
      <w:pPr>
        <w:pStyle w:val="TOC2"/>
        <w:rPr>
          <w:rFonts w:eastAsiaTheme="minorEastAsia" w:cstheme="minorBidi"/>
          <w:noProof/>
          <w:color w:val="auto"/>
          <w:sz w:val="22"/>
          <w:szCs w:val="22"/>
        </w:rPr>
      </w:pPr>
      <w:r>
        <w:rPr>
          <w:noProof/>
        </w:rPr>
        <w:t>Attachment C: Draft outcomes hierarchy and KPIs</w:t>
      </w:r>
      <w:r>
        <w:rPr>
          <w:noProof/>
        </w:rPr>
        <w:tab/>
      </w:r>
      <w:r>
        <w:rPr>
          <w:noProof/>
        </w:rPr>
        <w:fldChar w:fldCharType="begin"/>
      </w:r>
      <w:r>
        <w:rPr>
          <w:noProof/>
        </w:rPr>
        <w:instrText xml:space="preserve"> PAGEREF _Toc500934714 \h </w:instrText>
      </w:r>
      <w:r>
        <w:rPr>
          <w:noProof/>
        </w:rPr>
      </w:r>
      <w:r>
        <w:rPr>
          <w:noProof/>
        </w:rPr>
        <w:fldChar w:fldCharType="separate"/>
      </w:r>
      <w:r w:rsidR="000B73F4">
        <w:rPr>
          <w:noProof/>
        </w:rPr>
        <w:t>7</w:t>
      </w:r>
      <w:r>
        <w:rPr>
          <w:noProof/>
        </w:rPr>
        <w:fldChar w:fldCharType="end"/>
      </w:r>
      <w:r w:rsidR="00627B7A">
        <w:rPr>
          <w:noProof/>
        </w:rPr>
        <w:t>5</w:t>
      </w:r>
    </w:p>
    <w:p w14:paraId="6125E13C" w14:textId="548F87CF" w:rsidR="003A3235" w:rsidRDefault="003A3235">
      <w:pPr>
        <w:pStyle w:val="TOC1"/>
        <w:tabs>
          <w:tab w:val="right" w:leader="dot" w:pos="8494"/>
        </w:tabs>
        <w:rPr>
          <w:rFonts w:eastAsiaTheme="minorEastAsia" w:cstheme="minorBidi"/>
          <w:noProof/>
          <w:color w:val="auto"/>
          <w:sz w:val="22"/>
          <w:szCs w:val="22"/>
        </w:rPr>
      </w:pPr>
      <w:r>
        <w:rPr>
          <w:noProof/>
        </w:rPr>
        <w:t>Contact us</w:t>
      </w:r>
      <w:r>
        <w:rPr>
          <w:noProof/>
        </w:rPr>
        <w:tab/>
      </w:r>
      <w:r>
        <w:rPr>
          <w:noProof/>
        </w:rPr>
        <w:fldChar w:fldCharType="begin"/>
      </w:r>
      <w:r>
        <w:rPr>
          <w:noProof/>
        </w:rPr>
        <w:instrText xml:space="preserve"> PAGEREF _Toc500934715 \h </w:instrText>
      </w:r>
      <w:r>
        <w:rPr>
          <w:noProof/>
        </w:rPr>
      </w:r>
      <w:r>
        <w:rPr>
          <w:noProof/>
        </w:rPr>
        <w:fldChar w:fldCharType="separate"/>
      </w:r>
      <w:r w:rsidR="00627B7A">
        <w:rPr>
          <w:noProof/>
        </w:rPr>
        <w:t>79</w:t>
      </w:r>
      <w:r>
        <w:rPr>
          <w:noProof/>
        </w:rPr>
        <w:fldChar w:fldCharType="end"/>
      </w:r>
    </w:p>
    <w:p w14:paraId="054808E5" w14:textId="7B91FED2" w:rsidR="00D13C42" w:rsidRPr="005251C3" w:rsidRDefault="007D7926" w:rsidP="005251C3">
      <w:pPr>
        <w:ind w:left="709"/>
      </w:pPr>
      <w:r>
        <w:fldChar w:fldCharType="end"/>
      </w:r>
    </w:p>
    <w:p w14:paraId="68BA7CEB" w14:textId="77777777" w:rsidR="002477B1" w:rsidRPr="00D13C42" w:rsidRDefault="002477B1" w:rsidP="00D13C42">
      <w:pPr>
        <w:rPr>
          <w:lang w:eastAsia="en-US"/>
        </w:rPr>
        <w:sectPr w:rsidR="002477B1" w:rsidRPr="00D13C42" w:rsidSect="002477B1">
          <w:headerReference w:type="default" r:id="rId16"/>
          <w:footerReference w:type="default" r:id="rId17"/>
          <w:pgSz w:w="11906" w:h="16838"/>
          <w:pgMar w:top="1701" w:right="1701" w:bottom="1701" w:left="1701" w:header="709" w:footer="709" w:gutter="0"/>
          <w:pgNumType w:start="1"/>
          <w:cols w:space="708"/>
          <w:docGrid w:linePitch="360"/>
        </w:sectPr>
      </w:pPr>
    </w:p>
    <w:p w14:paraId="24EBFDF1" w14:textId="45F4E546" w:rsidR="00BE7E61" w:rsidRDefault="00BE7E61" w:rsidP="001E6549">
      <w:pPr>
        <w:pStyle w:val="Heading2"/>
      </w:pPr>
      <w:bookmarkStart w:id="3" w:name="_Toc480803960"/>
      <w:bookmarkStart w:id="4" w:name="_Toc482970182"/>
      <w:bookmarkStart w:id="5" w:name="_Toc500934688"/>
      <w:r w:rsidRPr="00CA5CDC">
        <w:t>Executive</w:t>
      </w:r>
      <w:r>
        <w:t xml:space="preserve"> summary</w:t>
      </w:r>
      <w:bookmarkEnd w:id="3"/>
      <w:bookmarkEnd w:id="4"/>
      <w:bookmarkEnd w:id="5"/>
    </w:p>
    <w:p w14:paraId="0C79C904" w14:textId="0B268E14" w:rsidR="00156BB7" w:rsidRPr="005A0433" w:rsidRDefault="00156BB7" w:rsidP="000F0253">
      <w:pPr>
        <w:pStyle w:val="Heading3"/>
      </w:pPr>
      <w:bookmarkStart w:id="6" w:name="_Toc500934689"/>
      <w:r w:rsidRPr="005A0433">
        <w:t>Background</w:t>
      </w:r>
      <w:bookmarkEnd w:id="6"/>
    </w:p>
    <w:p w14:paraId="3721565A" w14:textId="3F96DC7F" w:rsidR="00B12302" w:rsidRDefault="00E7327C" w:rsidP="000F0253">
      <w:pPr>
        <w:spacing w:before="200"/>
      </w:pPr>
      <w:r>
        <w:t>Th</w:t>
      </w:r>
      <w:r w:rsidR="00992F95">
        <w:t>e Rural R&amp;D for Profit program</w:t>
      </w:r>
      <w:r>
        <w:t xml:space="preserve"> is a $180.5 milli</w:t>
      </w:r>
      <w:r w:rsidR="00992F95">
        <w:t xml:space="preserve">on competitive grants program </w:t>
      </w:r>
      <w:r>
        <w:t>administered by the Department</w:t>
      </w:r>
      <w:r w:rsidR="00F873F4">
        <w:t xml:space="preserve"> of Agriculture and Water Resources</w:t>
      </w:r>
      <w:r w:rsidR="0075572F">
        <w:t xml:space="preserve"> (the department)</w:t>
      </w:r>
      <w:r w:rsidR="00861788">
        <w:t>.</w:t>
      </w:r>
    </w:p>
    <w:p w14:paraId="14FA8181" w14:textId="77777777" w:rsidR="00E7327C" w:rsidRDefault="00992F95" w:rsidP="00B12302">
      <w:r>
        <w:t>The program</w:t>
      </w:r>
      <w:r w:rsidR="00B12302">
        <w:t xml:space="preserve"> is d</w:t>
      </w:r>
      <w:r w:rsidR="00E7327C">
        <w:t xml:space="preserve">esigned to create </w:t>
      </w:r>
      <w:r w:rsidR="00E7327C" w:rsidRPr="00313B3A">
        <w:t>productivity and profitability improvements for primary producers</w:t>
      </w:r>
      <w:r w:rsidR="00B12302">
        <w:t>, through</w:t>
      </w:r>
      <w:r w:rsidR="00E7327C" w:rsidRPr="00313B3A">
        <w:t xml:space="preserve"> generating knowledge, tech</w:t>
      </w:r>
      <w:r w:rsidR="00E7327C">
        <w:t>nologies, products or processes, as well as</w:t>
      </w:r>
      <w:r w:rsidR="00E7327C" w:rsidRPr="00313B3A">
        <w:t xml:space="preserve"> strengthening pathways</w:t>
      </w:r>
      <w:r w:rsidR="00E7327C">
        <w:t xml:space="preserve"> to extend results of rural R&amp;D</w:t>
      </w:r>
      <w:r w:rsidR="00E7327C" w:rsidRPr="00313B3A">
        <w:t xml:space="preserve"> and establishing new and innovative research collaborations.</w:t>
      </w:r>
    </w:p>
    <w:p w14:paraId="6946FE4A" w14:textId="366D410E" w:rsidR="00E7327C" w:rsidRPr="004F45CF" w:rsidRDefault="00411715" w:rsidP="00E7327C">
      <w:r>
        <w:t>The program c</w:t>
      </w:r>
      <w:r w:rsidR="009E20DE">
        <w:t>ommenced in 2</w:t>
      </w:r>
      <w:r w:rsidR="004A03CC">
        <w:t>0</w:t>
      </w:r>
      <w:r w:rsidR="009E20DE">
        <w:t>15</w:t>
      </w:r>
      <w:r w:rsidR="004A03CC">
        <w:t xml:space="preserve"> and </w:t>
      </w:r>
      <w:r>
        <w:t xml:space="preserve">is </w:t>
      </w:r>
      <w:r w:rsidR="004A03CC">
        <w:t>set to conclude in 2022</w:t>
      </w:r>
      <w:r w:rsidR="00B25C0E">
        <w:t xml:space="preserve">. </w:t>
      </w:r>
      <w:r w:rsidR="00E7327C">
        <w:t>Program guidelines stipulate</w:t>
      </w:r>
      <w:r w:rsidR="00B827F1">
        <w:t>d</w:t>
      </w:r>
      <w:r w:rsidR="00E7327C">
        <w:t xml:space="preserve"> that an evaluation w</w:t>
      </w:r>
      <w:r w:rsidR="005F738B">
        <w:t>ould</w:t>
      </w:r>
      <w:r w:rsidR="00E7327C">
        <w:t xml:space="preserve"> occur in the fourth year </w:t>
      </w:r>
      <w:r w:rsidR="009951FD">
        <w:t xml:space="preserve">(midpoint) </w:t>
      </w:r>
      <w:r w:rsidR="00E7327C">
        <w:t>of the program</w:t>
      </w:r>
      <w:r w:rsidR="009951FD">
        <w:t>’s lifecycle</w:t>
      </w:r>
      <w:r w:rsidR="00E7327C">
        <w:t xml:space="preserve"> to examine if the program </w:t>
      </w:r>
      <w:r w:rsidR="00B827F1">
        <w:t>wa</w:t>
      </w:r>
      <w:r w:rsidR="00E7327C">
        <w:t xml:space="preserve">s meeting its stated objectives, and consider if there </w:t>
      </w:r>
      <w:r w:rsidR="00B827F1">
        <w:t>wa</w:t>
      </w:r>
      <w:r w:rsidR="00E7327C">
        <w:t>s a need for refinement.</w:t>
      </w:r>
      <w:r w:rsidR="00B12302">
        <w:rPr>
          <w:rStyle w:val="FootnoteReference"/>
        </w:rPr>
        <w:footnoteReference w:id="2"/>
      </w:r>
      <w:r w:rsidR="00E7327C">
        <w:t xml:space="preserve">  </w:t>
      </w:r>
    </w:p>
    <w:p w14:paraId="63964136" w14:textId="77777777" w:rsidR="00647F57" w:rsidRDefault="00277378" w:rsidP="001D2E9C">
      <w:r w:rsidRPr="00176821">
        <w:t xml:space="preserve">Grosvenor Management Consulting </w:t>
      </w:r>
      <w:r w:rsidR="00411715">
        <w:t xml:space="preserve">(Grosvenor) </w:t>
      </w:r>
      <w:r w:rsidRPr="00176821">
        <w:t xml:space="preserve">was engaged by the </w:t>
      </w:r>
      <w:r w:rsidR="00F635BB">
        <w:t>d</w:t>
      </w:r>
      <w:r w:rsidRPr="00176821">
        <w:t xml:space="preserve">epartment to conduct </w:t>
      </w:r>
      <w:r w:rsidR="009E2F47">
        <w:t>the</w:t>
      </w:r>
      <w:r w:rsidR="00647F57">
        <w:t xml:space="preserve"> mid prog</w:t>
      </w:r>
      <w:r w:rsidR="004A03CC">
        <w:t xml:space="preserve">ram evaluation to inform the </w:t>
      </w:r>
      <w:r w:rsidR="002A5D7D">
        <w:t>d</w:t>
      </w:r>
      <w:r w:rsidR="00647F57">
        <w:t>epartment regarding:</w:t>
      </w:r>
    </w:p>
    <w:p w14:paraId="165096C7" w14:textId="77777777" w:rsidR="00647F57" w:rsidRPr="009C71E4" w:rsidRDefault="00647F57" w:rsidP="005A0433">
      <w:pPr>
        <w:pStyle w:val="ListBullet"/>
      </w:pPr>
      <w:r w:rsidRPr="006A5339">
        <w:t xml:space="preserve">the extent to which the program </w:t>
      </w:r>
      <w:r w:rsidR="009A5FF3">
        <w:t>is</w:t>
      </w:r>
      <w:r w:rsidRPr="006A5339">
        <w:t xml:space="preserve"> on track to achieve its long-term objectives</w:t>
      </w:r>
      <w:r>
        <w:t xml:space="preserve">, to identify </w:t>
      </w:r>
      <w:r w:rsidRPr="006A5339">
        <w:t xml:space="preserve">opportunities for change and improvement </w:t>
      </w:r>
      <w:r>
        <w:t>and to provide recommendations to improve the perfor</w:t>
      </w:r>
      <w:r w:rsidR="00A96C0D">
        <w:t xml:space="preserve">mance measures for the program </w:t>
      </w:r>
    </w:p>
    <w:p w14:paraId="2CB501D2" w14:textId="77777777" w:rsidR="00647F57" w:rsidRDefault="00647F57" w:rsidP="005A0433">
      <w:pPr>
        <w:pStyle w:val="ListBullet"/>
      </w:pPr>
      <w:r>
        <w:t>impacts of</w:t>
      </w:r>
      <w:r w:rsidRPr="006A5339">
        <w:t xml:space="preserve"> </w:t>
      </w:r>
      <w:r>
        <w:t xml:space="preserve">the </w:t>
      </w:r>
      <w:r w:rsidRPr="006A5339">
        <w:t>program’s operating model</w:t>
      </w:r>
      <w:r>
        <w:rPr>
          <w:rStyle w:val="FootnoteReference"/>
        </w:rPr>
        <w:footnoteReference w:id="3"/>
      </w:r>
      <w:r w:rsidRPr="006A5339">
        <w:t xml:space="preserve"> </w:t>
      </w:r>
      <w:r>
        <w:t>on the broader RDC system</w:t>
      </w:r>
      <w:r w:rsidR="00DA1196">
        <w:t>,</w:t>
      </w:r>
      <w:r w:rsidR="00DA1196" w:rsidRPr="006A5339">
        <w:t xml:space="preserve"> </w:t>
      </w:r>
      <w:r>
        <w:t xml:space="preserve">and </w:t>
      </w:r>
      <w:r w:rsidRPr="006A5339">
        <w:t xml:space="preserve">lessons </w:t>
      </w:r>
      <w:r>
        <w:t>learned from experience to date.</w:t>
      </w:r>
    </w:p>
    <w:p w14:paraId="3713B19A" w14:textId="36711626" w:rsidR="00156BB7" w:rsidRDefault="00156BB7" w:rsidP="000F0253">
      <w:pPr>
        <w:pStyle w:val="Heading3"/>
      </w:pPr>
      <w:bookmarkStart w:id="7" w:name="_Toc500934690"/>
      <w:r>
        <w:t>Terms of Reference</w:t>
      </w:r>
      <w:bookmarkEnd w:id="7"/>
    </w:p>
    <w:p w14:paraId="09913265" w14:textId="77777777" w:rsidR="0083188B" w:rsidRDefault="00DC7BA1" w:rsidP="000F0253">
      <w:pPr>
        <w:spacing w:before="200"/>
      </w:pPr>
      <w:r>
        <w:t>The following</w:t>
      </w:r>
      <w:r w:rsidR="00871538">
        <w:t xml:space="preserve"> Terms of Reference were de</w:t>
      </w:r>
      <w:r>
        <w:t>veloped for the evaluation:</w:t>
      </w:r>
    </w:p>
    <w:p w14:paraId="2247112E" w14:textId="77777777" w:rsidR="0083188B" w:rsidRPr="001E6549" w:rsidRDefault="004A03CC" w:rsidP="001E6549">
      <w:pPr>
        <w:pStyle w:val="ListNumber"/>
      </w:pPr>
      <w:r w:rsidRPr="001E6549">
        <w:t xml:space="preserve">To what extent is the program </w:t>
      </w:r>
      <w:r w:rsidR="0083188B" w:rsidRPr="001E6549">
        <w:t>on track to achieve long-term outcomes?</w:t>
      </w:r>
    </w:p>
    <w:p w14:paraId="1B6AC5F0" w14:textId="77777777" w:rsidR="0083188B" w:rsidRPr="001E6549" w:rsidRDefault="004A03CC" w:rsidP="001E6549">
      <w:pPr>
        <w:pStyle w:val="ListNumber"/>
      </w:pPr>
      <w:r w:rsidRPr="001E6549">
        <w:t>To what extent is the program</w:t>
      </w:r>
      <w:r w:rsidR="00A96C0D" w:rsidRPr="001E6549">
        <w:t>’s</w:t>
      </w:r>
      <w:r w:rsidR="0083188B" w:rsidRPr="001E6549">
        <w:t xml:space="preserve"> operating model appropriate?  </w:t>
      </w:r>
    </w:p>
    <w:p w14:paraId="6A3852D0" w14:textId="77777777" w:rsidR="0083188B" w:rsidRPr="001E6549" w:rsidRDefault="0083188B" w:rsidP="001E6549">
      <w:pPr>
        <w:pStyle w:val="ListNumber"/>
      </w:pPr>
      <w:r w:rsidRPr="001E6549">
        <w:t>What are the lessons learn</w:t>
      </w:r>
      <w:r w:rsidR="007171F9" w:rsidRPr="001E6549">
        <w:t>ed</w:t>
      </w:r>
      <w:r w:rsidRPr="001E6549">
        <w:t xml:space="preserve"> from the design and delivery of R</w:t>
      </w:r>
      <w:r w:rsidR="00A96C0D" w:rsidRPr="001E6549">
        <w:t>ural R&amp;D for Profit</w:t>
      </w:r>
      <w:r w:rsidRPr="001E6549">
        <w:t xml:space="preserve"> to date?  Are there any opportunities for improvement?</w:t>
      </w:r>
    </w:p>
    <w:p w14:paraId="0DCDF279" w14:textId="382429F9" w:rsidR="00156BB7" w:rsidRDefault="00156BB7" w:rsidP="000F0253">
      <w:pPr>
        <w:pStyle w:val="Heading3"/>
      </w:pPr>
      <w:bookmarkStart w:id="8" w:name="_Toc500934691"/>
      <w:r w:rsidRPr="00183C83">
        <w:t>Approach</w:t>
      </w:r>
      <w:bookmarkEnd w:id="8"/>
    </w:p>
    <w:p w14:paraId="30DBB791" w14:textId="77777777" w:rsidR="00176821" w:rsidRPr="000F559F" w:rsidRDefault="00FE557D" w:rsidP="000F0253">
      <w:pPr>
        <w:spacing w:before="200"/>
      </w:pPr>
      <w:r w:rsidRPr="00543384">
        <w:t xml:space="preserve">The evaluation was informed by desktop review of </w:t>
      </w:r>
      <w:r w:rsidR="006E690F" w:rsidRPr="00543384">
        <w:t>all</w:t>
      </w:r>
      <w:r w:rsidRPr="00543384">
        <w:t xml:space="preserve"> project</w:t>
      </w:r>
      <w:r w:rsidR="005D55D2" w:rsidRPr="00543384">
        <w:t>s</w:t>
      </w:r>
      <w:r w:rsidRPr="00543384">
        <w:t xml:space="preserve"> </w:t>
      </w:r>
      <w:r w:rsidR="006E690F" w:rsidRPr="00543384">
        <w:t xml:space="preserve">from Rounds 1, 2 and 3 </w:t>
      </w:r>
      <w:r w:rsidRPr="00543384">
        <w:t>in addition to co</w:t>
      </w:r>
      <w:r w:rsidR="007D1F4C" w:rsidRPr="00543384">
        <w:t>nsultation with key stakeholder groups</w:t>
      </w:r>
      <w:r w:rsidRPr="00543384">
        <w:t>.</w:t>
      </w:r>
      <w:r>
        <w:t xml:space="preserve"> </w:t>
      </w:r>
    </w:p>
    <w:p w14:paraId="781E0492" w14:textId="429FC84B" w:rsidR="000D32AA" w:rsidRPr="005A0433" w:rsidRDefault="000D32AA" w:rsidP="000F0253">
      <w:pPr>
        <w:pStyle w:val="Heading3"/>
      </w:pPr>
      <w:bookmarkStart w:id="9" w:name="_Toc500934692"/>
      <w:r w:rsidRPr="005A0433">
        <w:t>Summary of findings, conclusions and recommendations</w:t>
      </w:r>
      <w:bookmarkEnd w:id="9"/>
    </w:p>
    <w:p w14:paraId="32A25F82" w14:textId="77777777" w:rsidR="003706DD" w:rsidRPr="000F0253" w:rsidRDefault="003706DD" w:rsidP="000F0253">
      <w:pPr>
        <w:pStyle w:val="Heading4"/>
      </w:pPr>
      <w:r w:rsidRPr="000F0253">
        <w:t>Overall finding</w:t>
      </w:r>
    </w:p>
    <w:p w14:paraId="1A36CB7B" w14:textId="08610A87" w:rsidR="00E036EE" w:rsidRDefault="00E036EE" w:rsidP="000F0253">
      <w:pPr>
        <w:spacing w:before="200"/>
      </w:pPr>
      <w:r>
        <w:t>Early indicators suggest the program is on track to achieve longer term objectives</w:t>
      </w:r>
      <w:r w:rsidR="00B25C0E">
        <w:t xml:space="preserve">. </w:t>
      </w:r>
      <w:r>
        <w:t xml:space="preserve">Enabling factors for long term success were evidenced by </w:t>
      </w:r>
      <w:r w:rsidR="00E13C69">
        <w:t xml:space="preserve">the program’s </w:t>
      </w:r>
      <w:r>
        <w:t xml:space="preserve">positive impacts </w:t>
      </w:r>
      <w:r w:rsidR="009A185A">
        <w:t>relating to</w:t>
      </w:r>
      <w:r>
        <w:t>:</w:t>
      </w:r>
    </w:p>
    <w:p w14:paraId="4328EB93" w14:textId="77777777" w:rsidR="00E036EE" w:rsidRDefault="00E036EE" w:rsidP="005A0433">
      <w:pPr>
        <w:pStyle w:val="ListBullet"/>
      </w:pPr>
      <w:r>
        <w:t>collaboration</w:t>
      </w:r>
    </w:p>
    <w:p w14:paraId="13E24198" w14:textId="77777777" w:rsidR="00E036EE" w:rsidRDefault="00E036EE" w:rsidP="005A0433">
      <w:pPr>
        <w:pStyle w:val="ListBullet"/>
      </w:pPr>
      <w:r>
        <w:t xml:space="preserve">generation of </w:t>
      </w:r>
      <w:r w:rsidRPr="007A2731">
        <w:t xml:space="preserve">knowledge, technologies, products or processes that benefit primary </w:t>
      </w:r>
      <w:r w:rsidRPr="00A23645">
        <w:t>producers</w:t>
      </w:r>
    </w:p>
    <w:p w14:paraId="69FB19DD" w14:textId="77777777" w:rsidR="00E036EE" w:rsidRDefault="00E036EE" w:rsidP="005A0433">
      <w:pPr>
        <w:pStyle w:val="ListBullet"/>
      </w:pPr>
      <w:r>
        <w:t xml:space="preserve">understanding of barriers to adoption and </w:t>
      </w:r>
    </w:p>
    <w:p w14:paraId="611C3595" w14:textId="77777777" w:rsidR="00E036EE" w:rsidRDefault="00E036EE" w:rsidP="005A0433">
      <w:pPr>
        <w:pStyle w:val="ListBullet"/>
      </w:pPr>
      <w:r>
        <w:t>strengthening of pathways to extension</w:t>
      </w:r>
      <w:r w:rsidR="00F54322">
        <w:t>.</w:t>
      </w:r>
    </w:p>
    <w:p w14:paraId="12409077" w14:textId="38E808D6" w:rsidR="00E036EE" w:rsidRDefault="00E036EE" w:rsidP="005A0433">
      <w:r w:rsidRPr="00403C80">
        <w:t xml:space="preserve">The majority of RDCs </w:t>
      </w:r>
      <w:r w:rsidR="00765753">
        <w:t>are</w:t>
      </w:r>
      <w:r w:rsidRPr="00403C80">
        <w:t xml:space="preserve"> supportive of the comp</w:t>
      </w:r>
      <w:r>
        <w:t>etitive grants operating model and the department regard</w:t>
      </w:r>
      <w:r w:rsidR="00765753">
        <w:t xml:space="preserve">s </w:t>
      </w:r>
      <w:r>
        <w:t>the program as an important link to RDCs</w:t>
      </w:r>
      <w:r w:rsidR="00B25C0E">
        <w:t xml:space="preserve">. </w:t>
      </w:r>
      <w:r>
        <w:t xml:space="preserve">Due to the importance of the program in linking </w:t>
      </w:r>
      <w:r w:rsidR="00765753">
        <w:t xml:space="preserve">the </w:t>
      </w:r>
      <w:r>
        <w:t>department and RDCs</w:t>
      </w:r>
      <w:r w:rsidR="00E2092B">
        <w:t>,</w:t>
      </w:r>
      <w:r>
        <w:t xml:space="preserve"> a cautious approach should be adopted in transitioning the program to the Community Grants Hub</w:t>
      </w:r>
      <w:r w:rsidR="00B25C0E">
        <w:t xml:space="preserve">. </w:t>
      </w:r>
    </w:p>
    <w:p w14:paraId="51F2D7F5" w14:textId="1633D1EC" w:rsidR="00E036EE" w:rsidRDefault="00594E7D" w:rsidP="005A0433">
      <w:r>
        <w:t>Feedback from the majority of RDCs and partner organisations was positive in relation to administration and management of projects by the department</w:t>
      </w:r>
      <w:r w:rsidR="00B25C0E">
        <w:t xml:space="preserve">. </w:t>
      </w:r>
      <w:r w:rsidR="00015196">
        <w:t>However,</w:t>
      </w:r>
      <w:r>
        <w:t xml:space="preserve"> a</w:t>
      </w:r>
      <w:r w:rsidR="00E036EE">
        <w:t xml:space="preserve"> key area for improvement was in relation to KPIs and </w:t>
      </w:r>
      <w:r w:rsidR="00E036EE" w:rsidRPr="00403C80">
        <w:t>reporting and monitoring</w:t>
      </w:r>
      <w:r w:rsidR="00E2092B">
        <w:t>,</w:t>
      </w:r>
      <w:r w:rsidR="00E036EE" w:rsidRPr="00403C80">
        <w:t xml:space="preserve"> </w:t>
      </w:r>
      <w:r w:rsidR="00E036EE">
        <w:t xml:space="preserve">which was regarded by the RDCs and partner organisations as </w:t>
      </w:r>
      <w:r w:rsidR="00E036EE" w:rsidRPr="00403C80">
        <w:t xml:space="preserve">‘overcomplicated’. While the </w:t>
      </w:r>
      <w:r w:rsidR="00E036EE">
        <w:t>d</w:t>
      </w:r>
      <w:r w:rsidR="00E036EE" w:rsidRPr="00403C80">
        <w:t xml:space="preserve">epartment has simplified KPIs over successive rounds, there is still opportunity to enhance the visibility of achievement of </w:t>
      </w:r>
      <w:r w:rsidR="00E036EE">
        <w:t>o</w:t>
      </w:r>
      <w:r w:rsidR="005A0433">
        <w:t>utcomes at the program level.</w:t>
      </w:r>
    </w:p>
    <w:p w14:paraId="6C53AAB7" w14:textId="2E2082DA" w:rsidR="00E036EE" w:rsidRDefault="00E036EE" w:rsidP="005A0433">
      <w:r>
        <w:t>A focus for the department should be building on the success of the program moving forward to en</w:t>
      </w:r>
      <w:r w:rsidR="005A0433">
        <w:t>sure continuity in the future.</w:t>
      </w:r>
    </w:p>
    <w:p w14:paraId="60C93114" w14:textId="3429904F" w:rsidR="000D32AA" w:rsidRPr="00F00EEC" w:rsidRDefault="00E036EE" w:rsidP="005A0433">
      <w:r>
        <w:t>Notwithstanding successes achieved to date, opportunities for improvement were identified</w:t>
      </w:r>
      <w:r w:rsidR="00594E7D">
        <w:t xml:space="preserve"> and t</w:t>
      </w:r>
      <w:r>
        <w:t xml:space="preserve">hese are detailed in </w:t>
      </w:r>
      <w:r w:rsidR="003E2CDE">
        <w:t xml:space="preserve">evaluation </w:t>
      </w:r>
      <w:r w:rsidR="005A0433">
        <w:t>recommendations.</w:t>
      </w:r>
    </w:p>
    <w:p w14:paraId="216CBD2F" w14:textId="77777777" w:rsidR="000D32AA" w:rsidRPr="00980EBF" w:rsidRDefault="000D32AA" w:rsidP="000F0253">
      <w:pPr>
        <w:pStyle w:val="Heading4"/>
      </w:pPr>
      <w:r w:rsidRPr="00980EBF">
        <w:t>Collaboration</w:t>
      </w:r>
    </w:p>
    <w:p w14:paraId="63A283A5" w14:textId="77777777" w:rsidR="004D333B" w:rsidRPr="00403C80" w:rsidRDefault="004D333B" w:rsidP="000F0253">
      <w:pPr>
        <w:spacing w:before="200"/>
      </w:pPr>
      <w:r w:rsidRPr="00403C80">
        <w:t>Notwithstanding the absence of a</w:t>
      </w:r>
      <w:r>
        <w:t xml:space="preserve"> documented</w:t>
      </w:r>
      <w:r w:rsidRPr="00403C80">
        <w:t xml:space="preserve"> baseline</w:t>
      </w:r>
      <w:r>
        <w:t>,</w:t>
      </w:r>
      <w:r w:rsidRPr="00403C80">
        <w:t xml:space="preserve"> the program has contributed to fostering new and innovative collaborations, evidenced by:</w:t>
      </w:r>
    </w:p>
    <w:p w14:paraId="6CA14D65" w14:textId="77777777" w:rsidR="004D333B" w:rsidRPr="00403C80" w:rsidRDefault="004D333B" w:rsidP="005A0433">
      <w:pPr>
        <w:pStyle w:val="ListBullet"/>
      </w:pPr>
      <w:r w:rsidRPr="00403C80">
        <w:t>successful leveraging of funding</w:t>
      </w:r>
      <w:r>
        <w:t xml:space="preserve"> across projects undertaken to date</w:t>
      </w:r>
    </w:p>
    <w:p w14:paraId="03231095" w14:textId="77777777" w:rsidR="004D333B" w:rsidRPr="00403C80" w:rsidRDefault="004D333B" w:rsidP="005A0433">
      <w:pPr>
        <w:pStyle w:val="ListBullet"/>
      </w:pPr>
      <w:r>
        <w:t xml:space="preserve">a prevailing view across stakeholder groups that that it </w:t>
      </w:r>
      <w:r w:rsidRPr="00403C80">
        <w:t>has fostered pursuance of innovative collaborations between RDCs and universities, research organisations and private companies</w:t>
      </w:r>
    </w:p>
    <w:p w14:paraId="733FE563" w14:textId="0A82D9E4" w:rsidR="004D333B" w:rsidRPr="00403C80" w:rsidRDefault="004D333B" w:rsidP="005A0433">
      <w:pPr>
        <w:pStyle w:val="ListBullet"/>
      </w:pPr>
      <w:r w:rsidRPr="00403C80">
        <w:t>the projects undertaken to date</w:t>
      </w:r>
      <w:r>
        <w:t>,</w:t>
      </w:r>
      <w:r w:rsidRPr="00403C80">
        <w:t xml:space="preserve"> which demonstrate </w:t>
      </w:r>
      <w:r>
        <w:t xml:space="preserve">a </w:t>
      </w:r>
      <w:r w:rsidRPr="00403C80">
        <w:t>breadth and variety of collaborations resulting fro</w:t>
      </w:r>
      <w:r w:rsidR="005A0433">
        <w:t>m participation in the program.</w:t>
      </w:r>
    </w:p>
    <w:p w14:paraId="75500F2F" w14:textId="77777777" w:rsidR="004D333B" w:rsidRDefault="004D333B" w:rsidP="004D333B">
      <w:r>
        <w:t xml:space="preserve">The nature of collaboration and extent of involvement in the program varies considerably among RDCs, and a minority of RDCs are represented very strongly. The department may need to consider strategies to better understand why some RDCs have limited or no involvement, and how they might participate more fully. </w:t>
      </w:r>
    </w:p>
    <w:p w14:paraId="1B637789" w14:textId="77777777" w:rsidR="004D333B" w:rsidRPr="00403C80" w:rsidRDefault="004D333B" w:rsidP="004D333B">
      <w:r>
        <w:t>The e</w:t>
      </w:r>
      <w:r w:rsidRPr="00403C80">
        <w:t>xtent of new</w:t>
      </w:r>
      <w:r>
        <w:t xml:space="preserve"> collaborations, particularly inter-RDC, and therefore new cross sectoral collaborations, </w:t>
      </w:r>
      <w:r w:rsidRPr="00403C80">
        <w:t xml:space="preserve">appears to </w:t>
      </w:r>
      <w:r>
        <w:t xml:space="preserve">be </w:t>
      </w:r>
      <w:r w:rsidRPr="00403C80">
        <w:t xml:space="preserve">dwindling over successive rounds and there is evidence of repeated </w:t>
      </w:r>
      <w:r>
        <w:t xml:space="preserve">inter-RDC </w:t>
      </w:r>
      <w:r w:rsidRPr="00403C80">
        <w:t xml:space="preserve">collaborations across projects. </w:t>
      </w:r>
    </w:p>
    <w:p w14:paraId="51ED872E" w14:textId="77777777" w:rsidR="004D333B" w:rsidRPr="00443F10" w:rsidRDefault="004D333B" w:rsidP="00443F10">
      <w:pPr>
        <w:rPr>
          <w:rStyle w:val="Strong"/>
        </w:rPr>
      </w:pPr>
      <w:r w:rsidRPr="00443F10">
        <w:rPr>
          <w:rStyle w:val="Strong"/>
        </w:rPr>
        <w:t>Recommendation 1</w:t>
      </w:r>
    </w:p>
    <w:p w14:paraId="2067C355" w14:textId="77777777" w:rsidR="004D333B" w:rsidRDefault="004D333B" w:rsidP="004D333B">
      <w:pPr>
        <w:spacing w:before="120"/>
      </w:pPr>
      <w:r w:rsidRPr="00DA6F97">
        <w:t xml:space="preserve">Revise the program’s </w:t>
      </w:r>
      <w:r>
        <w:t>current</w:t>
      </w:r>
      <w:r w:rsidRPr="00DA6F97">
        <w:t xml:space="preserve"> emphasis on establishing ‘new’ collaborations such that there is broader application towards supporting collaboration more generally. This would include fostering of new collaborations as well as sustaining collaborations already developed. </w:t>
      </w:r>
    </w:p>
    <w:p w14:paraId="47BD62A1" w14:textId="77777777" w:rsidR="004D333B" w:rsidRPr="00443F10" w:rsidRDefault="004D333B" w:rsidP="00443F10">
      <w:pPr>
        <w:rPr>
          <w:rStyle w:val="Strong"/>
        </w:rPr>
      </w:pPr>
      <w:r w:rsidRPr="00443F10">
        <w:rPr>
          <w:rStyle w:val="Strong"/>
        </w:rPr>
        <w:t>Recommendation 2</w:t>
      </w:r>
    </w:p>
    <w:p w14:paraId="477D90A8" w14:textId="77777777" w:rsidR="004D333B" w:rsidRPr="00DA6F97" w:rsidRDefault="004D333B" w:rsidP="004D333B">
      <w:pPr>
        <w:spacing w:before="120"/>
      </w:pPr>
      <w:r w:rsidRPr="00403C80">
        <w:t xml:space="preserve">The </w:t>
      </w:r>
      <w:r>
        <w:t>d</w:t>
      </w:r>
      <w:r w:rsidRPr="00403C80">
        <w:t xml:space="preserve">epartment </w:t>
      </w:r>
      <w:r w:rsidRPr="002B4411">
        <w:t>may</w:t>
      </w:r>
      <w:r w:rsidRPr="00403C80">
        <w:t xml:space="preserve"> need to consider strategies to </w:t>
      </w:r>
      <w:r>
        <w:t>better understand why some</w:t>
      </w:r>
      <w:r w:rsidRPr="00403C80">
        <w:t xml:space="preserve"> RDCs </w:t>
      </w:r>
      <w:r>
        <w:t>have</w:t>
      </w:r>
      <w:r w:rsidRPr="00403C80">
        <w:t xml:space="preserve"> only limited</w:t>
      </w:r>
      <w:r>
        <w:t xml:space="preserve"> involvement, and how they might</w:t>
      </w:r>
      <w:r w:rsidRPr="00403C80">
        <w:t xml:space="preserve"> participate more fully. </w:t>
      </w:r>
    </w:p>
    <w:p w14:paraId="37235286" w14:textId="77777777" w:rsidR="00EE7249" w:rsidRPr="00980EBF" w:rsidRDefault="00EE7249" w:rsidP="000F0253">
      <w:pPr>
        <w:pStyle w:val="Heading4"/>
      </w:pPr>
      <w:r w:rsidRPr="00980EBF">
        <w:t>Generation of knowledge, technologies, products or processes</w:t>
      </w:r>
    </w:p>
    <w:p w14:paraId="6121C22F" w14:textId="1AE185F9" w:rsidR="004D333B" w:rsidRPr="00403C80" w:rsidRDefault="004D333B" w:rsidP="000F0253">
      <w:pPr>
        <w:spacing w:before="200"/>
      </w:pPr>
      <w:r w:rsidRPr="00403C80">
        <w:t xml:space="preserve">Early indicators are positive that the program is on track to achieve </w:t>
      </w:r>
      <w:r>
        <w:t>outcomes</w:t>
      </w:r>
      <w:r w:rsidRPr="00403C80">
        <w:t xml:space="preserve"> relating to generation of knowledge, techn</w:t>
      </w:r>
      <w:r>
        <w:t xml:space="preserve">ologies, products or processes that benefit primary producers. </w:t>
      </w:r>
      <w:r w:rsidR="004B1443">
        <w:t>This is e</w:t>
      </w:r>
      <w:r w:rsidRPr="00403C80">
        <w:t>videnced by:</w:t>
      </w:r>
    </w:p>
    <w:p w14:paraId="6723674E" w14:textId="77777777" w:rsidR="004D333B" w:rsidRPr="00403C80" w:rsidRDefault="004D333B" w:rsidP="00565949">
      <w:pPr>
        <w:pStyle w:val="ListBullet"/>
      </w:pPr>
      <w:r w:rsidRPr="00403C80">
        <w:t>the 36 projects resulting from the program (including one completed project)</w:t>
      </w:r>
      <w:r>
        <w:t xml:space="preserve"> that aim to benefit primary producers and</w:t>
      </w:r>
    </w:p>
    <w:p w14:paraId="543EFA32" w14:textId="77777777" w:rsidR="004D333B" w:rsidRPr="00403C80" w:rsidRDefault="004D333B" w:rsidP="00565949">
      <w:pPr>
        <w:pStyle w:val="ListBullet"/>
      </w:pPr>
      <w:r w:rsidRPr="00403C80">
        <w:t>relative distribution of projects across priority areas</w:t>
      </w:r>
      <w:r>
        <w:t>.</w:t>
      </w:r>
    </w:p>
    <w:p w14:paraId="0F11285C" w14:textId="3C01DB51" w:rsidR="004D333B" w:rsidRDefault="004D333B" w:rsidP="004D333B">
      <w:r w:rsidRPr="00403C80">
        <w:t>However, due to the inher</w:t>
      </w:r>
      <w:r>
        <w:t xml:space="preserve">ent complex nature of research, realisation of project </w:t>
      </w:r>
      <w:r w:rsidRPr="00403C80">
        <w:t xml:space="preserve">outcomes may not </w:t>
      </w:r>
      <w:r>
        <w:t xml:space="preserve">eventuate, or </w:t>
      </w:r>
      <w:r w:rsidRPr="00403C80">
        <w:t>be evident for some time</w:t>
      </w:r>
      <w:r w:rsidR="00B25C0E">
        <w:t xml:space="preserve">. </w:t>
      </w:r>
    </w:p>
    <w:p w14:paraId="2045FCE2" w14:textId="77777777" w:rsidR="004D333B" w:rsidRPr="00443F10" w:rsidRDefault="004D333B" w:rsidP="00443F10">
      <w:pPr>
        <w:rPr>
          <w:rStyle w:val="Strong"/>
        </w:rPr>
      </w:pPr>
      <w:r w:rsidRPr="00443F10">
        <w:rPr>
          <w:rStyle w:val="Strong"/>
        </w:rPr>
        <w:t>Recommendation 3</w:t>
      </w:r>
    </w:p>
    <w:p w14:paraId="38032B11" w14:textId="09BD3FCD" w:rsidR="004D333B" w:rsidRDefault="004D333B" w:rsidP="004D333B">
      <w:pPr>
        <w:spacing w:before="120"/>
      </w:pPr>
      <w:r>
        <w:t>The department should c</w:t>
      </w:r>
      <w:r w:rsidRPr="00403C80">
        <w:t>ontinue to monitor distribution of projects across program priorities in future rounds to assess adequacy of representation and if action is requir</w:t>
      </w:r>
      <w:r>
        <w:t>ed to address any imbalance</w:t>
      </w:r>
      <w:r w:rsidR="00B25C0E">
        <w:t xml:space="preserve">. </w:t>
      </w:r>
    </w:p>
    <w:p w14:paraId="6C97F128" w14:textId="77777777" w:rsidR="007017F5" w:rsidRPr="00980EBF" w:rsidRDefault="007017F5" w:rsidP="000F0253">
      <w:pPr>
        <w:pStyle w:val="Heading4"/>
      </w:pPr>
      <w:r w:rsidRPr="00980EBF">
        <w:t>Extension pathways and barriers to adoption</w:t>
      </w:r>
    </w:p>
    <w:p w14:paraId="1C0B7E66" w14:textId="3FFAE491" w:rsidR="004D333B" w:rsidRPr="00403C80" w:rsidRDefault="004D333B" w:rsidP="000F0253">
      <w:pPr>
        <w:spacing w:before="200"/>
      </w:pPr>
      <w:r w:rsidRPr="009A185A">
        <w:t xml:space="preserve">Early indicators suggest that the program is on track to achieve outcomes relating to strengthening of extension pathways and understanding barriers to adoption. </w:t>
      </w:r>
      <w:r w:rsidR="00015196" w:rsidRPr="009A185A">
        <w:t>This is e</w:t>
      </w:r>
      <w:r w:rsidRPr="009A185A">
        <w:t>videnced by:</w:t>
      </w:r>
    </w:p>
    <w:p w14:paraId="7FFCD40F" w14:textId="77777777" w:rsidR="004D333B" w:rsidRPr="00403C80" w:rsidRDefault="004D333B" w:rsidP="00565949">
      <w:pPr>
        <w:pStyle w:val="ListBullet"/>
      </w:pPr>
      <w:r>
        <w:t>the requirement for e</w:t>
      </w:r>
      <w:r w:rsidRPr="00403C80">
        <w:t xml:space="preserve">ach project to </w:t>
      </w:r>
      <w:r>
        <w:t xml:space="preserve">develop a plan to </w:t>
      </w:r>
      <w:r w:rsidRPr="00403C80">
        <w:t>undertake extension and communication activities</w:t>
      </w:r>
      <w:r>
        <w:t xml:space="preserve"> </w:t>
      </w:r>
    </w:p>
    <w:p w14:paraId="21604ED1" w14:textId="77777777" w:rsidR="004D333B" w:rsidRPr="00403C80" w:rsidRDefault="004D333B" w:rsidP="00565949">
      <w:pPr>
        <w:pStyle w:val="ListBullet"/>
      </w:pPr>
      <w:r>
        <w:t>20 projects that address</w:t>
      </w:r>
      <w:r w:rsidRPr="00403C80">
        <w:t xml:space="preserve"> the priority of adoption </w:t>
      </w:r>
      <w:r>
        <w:t>and</w:t>
      </w:r>
    </w:p>
    <w:p w14:paraId="06BC7C13" w14:textId="77777777" w:rsidR="004D333B" w:rsidRPr="00660F61" w:rsidRDefault="004D333B" w:rsidP="00565949">
      <w:pPr>
        <w:pStyle w:val="ListBullet"/>
      </w:pPr>
      <w:r>
        <w:t>p</w:t>
      </w:r>
      <w:r w:rsidRPr="00660F61">
        <w:t>ositive views expressed by RDCs and partner organisations that their projects were on track to meet extension and adoption objectives</w:t>
      </w:r>
      <w:r>
        <w:t>,</w:t>
      </w:r>
      <w:r w:rsidRPr="00660F61">
        <w:t xml:space="preserve"> with the caveat that results against this outcome are likely to be evident in the longer term. </w:t>
      </w:r>
    </w:p>
    <w:p w14:paraId="07F097B5" w14:textId="77777777" w:rsidR="00521A26" w:rsidRPr="00980EBF" w:rsidRDefault="00521A26" w:rsidP="000F0253">
      <w:pPr>
        <w:pStyle w:val="Heading4"/>
      </w:pPr>
      <w:r w:rsidRPr="00980EBF">
        <w:t>Lessons learned</w:t>
      </w:r>
    </w:p>
    <w:p w14:paraId="33F8B413" w14:textId="4AECA6B3" w:rsidR="004D333B" w:rsidRPr="00403C80" w:rsidRDefault="004D333B" w:rsidP="000F0253">
      <w:pPr>
        <w:spacing w:before="200"/>
      </w:pPr>
      <w:r w:rsidRPr="00403C80">
        <w:t xml:space="preserve">Lessons learned about successful collaboration </w:t>
      </w:r>
      <w:r>
        <w:t>are</w:t>
      </w:r>
      <w:r w:rsidRPr="00403C80">
        <w:t xml:space="preserve"> being collected via project reporting</w:t>
      </w:r>
      <w:r w:rsidR="00B25C0E">
        <w:t xml:space="preserve">. </w:t>
      </w:r>
      <w:r>
        <w:t>For example, the evaluation found that f</w:t>
      </w:r>
      <w:r w:rsidRPr="00403C80">
        <w:t xml:space="preserve">actors for successful collaboration include trust, shared vision and benefits. Barriers identified primarily referred to the costs associated with collaboration. </w:t>
      </w:r>
    </w:p>
    <w:p w14:paraId="67211504" w14:textId="3E6DDFFD" w:rsidR="004D333B" w:rsidRPr="00403C80" w:rsidRDefault="004D333B" w:rsidP="004D333B">
      <w:r>
        <w:t>Via project reporting, t</w:t>
      </w:r>
      <w:r w:rsidRPr="00AB306F">
        <w:t xml:space="preserve">he department is </w:t>
      </w:r>
      <w:r>
        <w:t xml:space="preserve">also </w:t>
      </w:r>
      <w:r w:rsidRPr="00AB306F">
        <w:t xml:space="preserve">collecting information regarding factors for success, or barriers to, extension and adoption from project participant </w:t>
      </w:r>
      <w:r>
        <w:t>(</w:t>
      </w:r>
      <w:r w:rsidRPr="00AB306F">
        <w:t>either in relation to specific extension projects or more generally</w:t>
      </w:r>
      <w:r>
        <w:t>)</w:t>
      </w:r>
      <w:r w:rsidRPr="00AB306F">
        <w:t>. As more projects mature and finish, the department will have a rich source of data for analysis</w:t>
      </w:r>
      <w:r>
        <w:t xml:space="preserve"> which could be used to inform future policy</w:t>
      </w:r>
      <w:r w:rsidRPr="00AB306F">
        <w:t xml:space="preserve"> and </w:t>
      </w:r>
      <w:r>
        <w:t xml:space="preserve">be </w:t>
      </w:r>
      <w:r w:rsidRPr="00AB306F">
        <w:t>shar</w:t>
      </w:r>
      <w:r>
        <w:t>ed</w:t>
      </w:r>
      <w:r w:rsidRPr="00AB306F">
        <w:t xml:space="preserve"> more broadly</w:t>
      </w:r>
      <w:r>
        <w:t xml:space="preserve"> with stakeholders</w:t>
      </w:r>
      <w:r w:rsidR="00B25C0E">
        <w:t xml:space="preserve">. </w:t>
      </w:r>
    </w:p>
    <w:p w14:paraId="7B302BAB" w14:textId="191CB8DB" w:rsidR="004D333B" w:rsidRDefault="004D333B" w:rsidP="004D333B">
      <w:r w:rsidRPr="00403C80">
        <w:t xml:space="preserve">Other areas of the </w:t>
      </w:r>
      <w:r>
        <w:t>d</w:t>
      </w:r>
      <w:r w:rsidRPr="00403C80">
        <w:t>epartment, specifically dealing with extension activities in the rural R&amp;D context</w:t>
      </w:r>
      <w:r>
        <w:t>,</w:t>
      </w:r>
      <w:r w:rsidRPr="00403C80">
        <w:t xml:space="preserve"> </w:t>
      </w:r>
      <w:r>
        <w:t xml:space="preserve">identified </w:t>
      </w:r>
      <w:r w:rsidRPr="00403C80">
        <w:t>a need for greater engagement</w:t>
      </w:r>
      <w:r>
        <w:t xml:space="preserve"> with the program</w:t>
      </w:r>
      <w:r w:rsidR="00B25C0E">
        <w:t xml:space="preserve">. </w:t>
      </w:r>
      <w:r>
        <w:t>This was with a view</w:t>
      </w:r>
      <w:r w:rsidRPr="00403C80">
        <w:t xml:space="preserve"> to further</w:t>
      </w:r>
      <w:r>
        <w:t>ing</w:t>
      </w:r>
      <w:r w:rsidRPr="00403C80">
        <w:t xml:space="preserve"> their understanding </w:t>
      </w:r>
      <w:r>
        <w:t>of the program and individual projects,</w:t>
      </w:r>
      <w:r w:rsidRPr="00403C80">
        <w:t xml:space="preserve"> </w:t>
      </w:r>
      <w:r>
        <w:t>to</w:t>
      </w:r>
      <w:r w:rsidRPr="00403C80">
        <w:t xml:space="preserve"> assist them promulgate program information and learnings in their broader networks</w:t>
      </w:r>
      <w:r w:rsidR="00B25C0E">
        <w:t xml:space="preserve">. </w:t>
      </w:r>
    </w:p>
    <w:p w14:paraId="02082A93" w14:textId="77777777" w:rsidR="004D333B" w:rsidRPr="00F43105" w:rsidRDefault="004D333B" w:rsidP="00F43105">
      <w:pPr>
        <w:rPr>
          <w:rStyle w:val="Strong"/>
        </w:rPr>
      </w:pPr>
      <w:r w:rsidRPr="00F43105">
        <w:rPr>
          <w:rStyle w:val="Strong"/>
        </w:rPr>
        <w:t>Recommendation 4</w:t>
      </w:r>
    </w:p>
    <w:p w14:paraId="0E55E8CD" w14:textId="709FE998" w:rsidR="004D333B" w:rsidRDefault="00A41E08" w:rsidP="004D333B">
      <w:pPr>
        <w:spacing w:before="120"/>
      </w:pPr>
      <w:r>
        <w:t>U</w:t>
      </w:r>
      <w:r w:rsidR="004D333B" w:rsidRPr="00403C80">
        <w:t>ndertake meta-analysis of project final reporting and evaluations to build up a knowledge base of success factors</w:t>
      </w:r>
      <w:r w:rsidR="004D333B">
        <w:t xml:space="preserve"> for,</w:t>
      </w:r>
      <w:r w:rsidR="004D333B" w:rsidRPr="00403C80">
        <w:t xml:space="preserve"> and better understanding of barriers to</w:t>
      </w:r>
      <w:r w:rsidR="004D333B">
        <w:t>,</w:t>
      </w:r>
      <w:r w:rsidR="004D333B" w:rsidRPr="00403C80">
        <w:t xml:space="preserve"> collaboration, extension and adoption</w:t>
      </w:r>
      <w:r w:rsidR="00B25C0E">
        <w:t xml:space="preserve">. </w:t>
      </w:r>
      <w:r w:rsidR="004D333B" w:rsidRPr="00403C80">
        <w:t xml:space="preserve">Share learnings with </w:t>
      </w:r>
      <w:r w:rsidR="004D333B">
        <w:t xml:space="preserve">other areas of the department, </w:t>
      </w:r>
      <w:r w:rsidR="004D333B" w:rsidRPr="00403C80">
        <w:t xml:space="preserve">program participants and the broader </w:t>
      </w:r>
      <w:r w:rsidR="004D333B">
        <w:t>r</w:t>
      </w:r>
      <w:r w:rsidR="004D333B" w:rsidRPr="00403C80">
        <w:t xml:space="preserve">ural R&amp;D community. </w:t>
      </w:r>
    </w:p>
    <w:p w14:paraId="10D0B813" w14:textId="77777777" w:rsidR="004D333B" w:rsidRPr="005251C3" w:rsidRDefault="004D333B" w:rsidP="000F0253">
      <w:pPr>
        <w:pStyle w:val="Heading4"/>
      </w:pPr>
      <w:r w:rsidRPr="005251C3">
        <w:t>Appropriateness of program approach and operating model</w:t>
      </w:r>
    </w:p>
    <w:p w14:paraId="323272D7" w14:textId="77777777" w:rsidR="004D333B" w:rsidRDefault="004D333B" w:rsidP="000F0253">
      <w:pPr>
        <w:spacing w:before="200"/>
      </w:pPr>
      <w:r w:rsidRPr="00403C80">
        <w:t xml:space="preserve">The majority of RDCs were supportive of the competitive grants operating model, however a minority did think </w:t>
      </w:r>
      <w:r>
        <w:t xml:space="preserve">the grants program </w:t>
      </w:r>
      <w:r w:rsidRPr="00403C80">
        <w:t>would be better placed with other existing structures such as the Council</w:t>
      </w:r>
      <w:r>
        <w:t xml:space="preserve"> of Rural RDCs</w:t>
      </w:r>
      <w:r w:rsidRPr="00403C80">
        <w:t xml:space="preserve">. </w:t>
      </w:r>
    </w:p>
    <w:p w14:paraId="546C75F3" w14:textId="77777777" w:rsidR="004D333B" w:rsidRDefault="004D333B" w:rsidP="004D333B">
      <w:r w:rsidRPr="00403C80">
        <w:t xml:space="preserve">The program helps the </w:t>
      </w:r>
      <w:r>
        <w:t>d</w:t>
      </w:r>
      <w:r w:rsidRPr="00403C80">
        <w:t>epartment better understand the rural R&amp;D agenda and strengthens linkages with the RDCs. In the broader context of the Government’s streamlining grants agenda</w:t>
      </w:r>
      <w:r>
        <w:t>,</w:t>
      </w:r>
      <w:r w:rsidRPr="00403C80">
        <w:t xml:space="preserve"> key policy and management responsibilities should be retained by the </w:t>
      </w:r>
      <w:r>
        <w:t>d</w:t>
      </w:r>
      <w:r w:rsidRPr="00403C80">
        <w:t>epartment and a staged approach be adopted in transitioning to the Community Grants Hub.</w:t>
      </w:r>
    </w:p>
    <w:p w14:paraId="5FF5CEEE" w14:textId="77777777" w:rsidR="004D333B" w:rsidRPr="00F43105" w:rsidRDefault="004D333B" w:rsidP="00F43105">
      <w:pPr>
        <w:rPr>
          <w:rStyle w:val="Strong"/>
        </w:rPr>
      </w:pPr>
      <w:r w:rsidRPr="00F43105">
        <w:rPr>
          <w:rStyle w:val="Strong"/>
        </w:rPr>
        <w:t>Recommendation 5</w:t>
      </w:r>
    </w:p>
    <w:p w14:paraId="741070A0" w14:textId="79F709B0" w:rsidR="004D333B" w:rsidRPr="00403C80" w:rsidRDefault="004D333B" w:rsidP="004D333B">
      <w:pPr>
        <w:spacing w:before="120"/>
      </w:pPr>
      <w:r>
        <w:t xml:space="preserve">As part of the Streamlining Government Grants Administration program, a </w:t>
      </w:r>
      <w:r w:rsidRPr="00403C80">
        <w:t xml:space="preserve">staged approach to transitioning </w:t>
      </w:r>
      <w:r>
        <w:t xml:space="preserve">to the Community Grants Hub </w:t>
      </w:r>
      <w:r w:rsidRPr="00403C80">
        <w:t xml:space="preserve">should be adopted with key policy and management responsibilities to be retained by the </w:t>
      </w:r>
      <w:r>
        <w:t>d</w:t>
      </w:r>
      <w:r w:rsidRPr="00403C80">
        <w:t xml:space="preserve">epartment. </w:t>
      </w:r>
    </w:p>
    <w:p w14:paraId="35BDA71B" w14:textId="77777777" w:rsidR="004D333B" w:rsidRPr="00913941" w:rsidRDefault="004D333B" w:rsidP="000F0253">
      <w:pPr>
        <w:pStyle w:val="Heading4"/>
      </w:pPr>
      <w:r w:rsidRPr="00913941">
        <w:t>Efficiency and effectiveness of program management by the department</w:t>
      </w:r>
    </w:p>
    <w:p w14:paraId="4A9C8C3C" w14:textId="6A33A4A6" w:rsidR="00876AF2" w:rsidRDefault="004D333B" w:rsidP="00FE0E53">
      <w:pPr>
        <w:spacing w:before="200"/>
      </w:pPr>
      <w:r>
        <w:t xml:space="preserve">Administration and management of projects by the department </w:t>
      </w:r>
      <w:r w:rsidRPr="00BC2907">
        <w:t xml:space="preserve">showed alignment with the </w:t>
      </w:r>
      <w:r w:rsidRPr="00447C5B">
        <w:rPr>
          <w:i/>
        </w:rPr>
        <w:t>Commonwealth Grants Rules and Guidelines</w:t>
      </w:r>
      <w:r>
        <w:t xml:space="preserve"> in that analysis of reporting showed projects were being managed against the e</w:t>
      </w:r>
      <w:r w:rsidR="009425FF">
        <w:t>stablished funding agreements.</w:t>
      </w:r>
    </w:p>
    <w:p w14:paraId="41578387" w14:textId="16C3E4D1" w:rsidR="004D333B" w:rsidRDefault="004D333B" w:rsidP="00FE0E53">
      <w:pPr>
        <w:spacing w:before="200"/>
      </w:pPr>
      <w:r>
        <w:t xml:space="preserve">Feedback from the majority of RDCs and partner organisations was positive in relation to </w:t>
      </w:r>
      <w:r w:rsidR="009C786F">
        <w:t xml:space="preserve">the department’s </w:t>
      </w:r>
      <w:r>
        <w:t>administration and management of projects</w:t>
      </w:r>
      <w:r w:rsidR="00B25C0E">
        <w:t xml:space="preserve">. </w:t>
      </w:r>
      <w:r>
        <w:t>Notwithstanding</w:t>
      </w:r>
      <w:r w:rsidR="00876AF2">
        <w:t>,</w:t>
      </w:r>
      <w:r>
        <w:t xml:space="preserve"> there were opportunities for improvement identified, particularly in relation to application and selection processes and program and pro</w:t>
      </w:r>
      <w:r w:rsidR="009425FF">
        <w:t>ject monitoring and reporting.</w:t>
      </w:r>
    </w:p>
    <w:p w14:paraId="555DB685" w14:textId="77777777" w:rsidR="00521A26" w:rsidRPr="00980EBF" w:rsidRDefault="00521A26" w:rsidP="000F0253">
      <w:pPr>
        <w:pStyle w:val="Heading4"/>
      </w:pPr>
      <w:r w:rsidRPr="00980EBF">
        <w:t>Application and selection</w:t>
      </w:r>
    </w:p>
    <w:p w14:paraId="072FFC6A" w14:textId="13FD58FA" w:rsidR="004D333B" w:rsidRDefault="004D333B" w:rsidP="00FE0E53">
      <w:pPr>
        <w:spacing w:before="200"/>
      </w:pPr>
      <w:r>
        <w:t>There is a downward trend in numbers of application</w:t>
      </w:r>
      <w:r w:rsidR="00F43105">
        <w:t>s being submitted over rounds.</w:t>
      </w:r>
    </w:p>
    <w:p w14:paraId="56F317CB" w14:textId="2AA5CC94" w:rsidR="004D333B" w:rsidRPr="00403C80" w:rsidRDefault="004D333B" w:rsidP="00FE0E53">
      <w:pPr>
        <w:spacing w:before="200"/>
      </w:pPr>
      <w:r>
        <w:t>T</w:t>
      </w:r>
      <w:r w:rsidRPr="00403C80">
        <w:t xml:space="preserve">here is a degree of confusion </w:t>
      </w:r>
      <w:r>
        <w:t xml:space="preserve">evident </w:t>
      </w:r>
      <w:r w:rsidRPr="00403C80">
        <w:t xml:space="preserve">among RDCs </w:t>
      </w:r>
      <w:r>
        <w:t xml:space="preserve">and partner organisations </w:t>
      </w:r>
      <w:r w:rsidRPr="00403C80">
        <w:t>regarding the selection criteria and why projects are successful or unsuccessful.</w:t>
      </w:r>
    </w:p>
    <w:p w14:paraId="46E4A3CF" w14:textId="4B76E115" w:rsidR="004D333B" w:rsidRPr="00403C80" w:rsidRDefault="004D333B" w:rsidP="00FE0E53">
      <w:pPr>
        <w:spacing w:before="200"/>
      </w:pPr>
      <w:r>
        <w:t>C</w:t>
      </w:r>
      <w:r w:rsidRPr="00403C80">
        <w:t xml:space="preserve">ommunication around options for debriefing unsuccessful bidders was </w:t>
      </w:r>
      <w:r>
        <w:t>identified as an area to address -</w:t>
      </w:r>
      <w:r w:rsidRPr="00403C80">
        <w:t xml:space="preserve"> to assist RDCs and partner organisations to </w:t>
      </w:r>
      <w:r>
        <w:t xml:space="preserve">better understand assessment and selection criteria and to </w:t>
      </w:r>
      <w:r w:rsidR="00F43105">
        <w:t>improve their future proposals.</w:t>
      </w:r>
    </w:p>
    <w:p w14:paraId="4C6D069A" w14:textId="1F72A527" w:rsidR="004D333B" w:rsidRDefault="004D333B" w:rsidP="00FE0E53">
      <w:pPr>
        <w:spacing w:before="200"/>
      </w:pPr>
      <w:r>
        <w:t>The application timeframe was regarded as too short by some RDCs and partner organisations, particularly because of the lead time required to organise collaborations</w:t>
      </w:r>
      <w:r w:rsidR="00B25C0E">
        <w:t xml:space="preserve">. </w:t>
      </w:r>
      <w:r>
        <w:t>Comparison with other research grants programs showed Rural R&amp;D for Profit has one of the</w:t>
      </w:r>
      <w:r w:rsidR="00F43105">
        <w:t xml:space="preserve"> shortest application periods.</w:t>
      </w:r>
    </w:p>
    <w:p w14:paraId="0DA329F3" w14:textId="12186A4F" w:rsidR="004D333B" w:rsidRDefault="004D333B" w:rsidP="00FE0E53">
      <w:pPr>
        <w:spacing w:beforeLines="60" w:before="144" w:afterLines="60" w:after="144"/>
      </w:pPr>
      <w:r>
        <w:t>The length of time taken to select and publicly announce projects was identified as an opportunity for improvement by RDCs and partner organisations</w:t>
      </w:r>
      <w:r w:rsidR="00B25C0E">
        <w:t xml:space="preserve">. </w:t>
      </w:r>
      <w:r>
        <w:t>The length of time taken to notify unsuccessful bidders was also regarded as too long</w:t>
      </w:r>
      <w:r w:rsidR="00B25C0E">
        <w:t xml:space="preserve">. </w:t>
      </w:r>
      <w:r>
        <w:t>Implications of a lengthy selection process included:</w:t>
      </w:r>
    </w:p>
    <w:p w14:paraId="478D0740" w14:textId="77777777" w:rsidR="004D333B" w:rsidRDefault="004D333B" w:rsidP="00565949">
      <w:pPr>
        <w:pStyle w:val="ListBullet"/>
      </w:pPr>
      <w:r>
        <w:t>successful bidders experiencing delays in getting projects started</w:t>
      </w:r>
    </w:p>
    <w:p w14:paraId="085BF007" w14:textId="3C8C5500" w:rsidR="004D333B" w:rsidRDefault="004D333B" w:rsidP="00565949">
      <w:pPr>
        <w:pStyle w:val="ListBullet"/>
      </w:pPr>
      <w:r>
        <w:t>unsuccessful bidders missing out on opportunities to pursue other research proposals, as funding allocated to their Rural R&amp;D for Profit bid was held in reserve while awaiting notificatio</w:t>
      </w:r>
      <w:r w:rsidR="00F43105">
        <w:t>n of their proposal’s outcome.</w:t>
      </w:r>
    </w:p>
    <w:p w14:paraId="4A1404D9" w14:textId="77777777" w:rsidR="004D333B" w:rsidRPr="00DA1B08" w:rsidRDefault="004D333B" w:rsidP="00DA1B08">
      <w:pPr>
        <w:rPr>
          <w:rStyle w:val="Strong"/>
        </w:rPr>
      </w:pPr>
      <w:r w:rsidRPr="00DA1B08">
        <w:rPr>
          <w:rStyle w:val="Strong"/>
        </w:rPr>
        <w:t>Recommendation 6</w:t>
      </w:r>
    </w:p>
    <w:p w14:paraId="7D0ADD88" w14:textId="77777777" w:rsidR="004D333B" w:rsidRDefault="004D333B" w:rsidP="004D333B">
      <w:pPr>
        <w:spacing w:before="120"/>
      </w:pPr>
      <w:r>
        <w:t>The department c</w:t>
      </w:r>
      <w:r w:rsidRPr="007D612D">
        <w:t>ontinue to monitor numbers of applications and successful projects selected to assess if criteria need further refinement.</w:t>
      </w:r>
    </w:p>
    <w:p w14:paraId="24E1AF68" w14:textId="77777777" w:rsidR="004D333B" w:rsidRPr="00DA1B08" w:rsidRDefault="004D333B" w:rsidP="00DA1B08">
      <w:pPr>
        <w:rPr>
          <w:rStyle w:val="Strong"/>
        </w:rPr>
      </w:pPr>
      <w:r w:rsidRPr="00DA1B08">
        <w:rPr>
          <w:rStyle w:val="Strong"/>
        </w:rPr>
        <w:t>Recommendation 7</w:t>
      </w:r>
    </w:p>
    <w:p w14:paraId="0112EC25" w14:textId="6BB58BB0" w:rsidR="004D333B" w:rsidRDefault="004D333B" w:rsidP="004D333B">
      <w:pPr>
        <w:spacing w:before="120"/>
      </w:pPr>
      <w:r>
        <w:t>The department i</w:t>
      </w:r>
      <w:r w:rsidRPr="00403C80">
        <w:t>ncrease publicity regarding the debriefing process for unsuccessful bidders to assist RDCs and associated partner organisations to access this feedback</w:t>
      </w:r>
      <w:r w:rsidR="00B25C0E">
        <w:t xml:space="preserve">. </w:t>
      </w:r>
      <w:r>
        <w:t>This is with a view to</w:t>
      </w:r>
      <w:r w:rsidRPr="00403C80">
        <w:t xml:space="preserve"> </w:t>
      </w:r>
      <w:r>
        <w:t xml:space="preserve">increasing their understanding of the assessment and selection criteria, </w:t>
      </w:r>
      <w:r w:rsidRPr="00403C80">
        <w:t xml:space="preserve">improving </w:t>
      </w:r>
      <w:r>
        <w:t xml:space="preserve">their bids, and increasing </w:t>
      </w:r>
      <w:r w:rsidRPr="00403C80">
        <w:t xml:space="preserve">their chances for successful </w:t>
      </w:r>
      <w:r>
        <w:t>applications</w:t>
      </w:r>
      <w:r w:rsidR="00DA1B08">
        <w:t xml:space="preserve"> in future rounds.</w:t>
      </w:r>
    </w:p>
    <w:p w14:paraId="4DFA063B" w14:textId="77777777" w:rsidR="004D333B" w:rsidRPr="00DA1B08" w:rsidRDefault="004D333B" w:rsidP="00DA1B08">
      <w:pPr>
        <w:rPr>
          <w:rStyle w:val="Strong"/>
        </w:rPr>
      </w:pPr>
      <w:r w:rsidRPr="00DA1B08">
        <w:rPr>
          <w:rStyle w:val="Strong"/>
        </w:rPr>
        <w:t>Recommendation 8</w:t>
      </w:r>
    </w:p>
    <w:p w14:paraId="0BCDE785" w14:textId="32ACF7CD" w:rsidR="004D333B" w:rsidRDefault="004D333B" w:rsidP="004D333B">
      <w:pPr>
        <w:spacing w:before="120"/>
      </w:pPr>
      <w:r>
        <w:t>The department explore</w:t>
      </w:r>
      <w:r w:rsidRPr="008B1955">
        <w:t xml:space="preserve"> options for extending the timeframe for the </w:t>
      </w:r>
      <w:r w:rsidR="00DA1B08">
        <w:t>application stage.</w:t>
      </w:r>
    </w:p>
    <w:p w14:paraId="75378F56" w14:textId="77777777" w:rsidR="004D333B" w:rsidRPr="00DA1B08" w:rsidRDefault="004D333B" w:rsidP="00DA1B08">
      <w:pPr>
        <w:rPr>
          <w:rStyle w:val="Strong"/>
        </w:rPr>
      </w:pPr>
      <w:r w:rsidRPr="00DA1B08">
        <w:rPr>
          <w:rStyle w:val="Strong"/>
        </w:rPr>
        <w:t>Recommendation 9</w:t>
      </w:r>
    </w:p>
    <w:p w14:paraId="6F82D505" w14:textId="30AB3C87" w:rsidR="004D333B" w:rsidRPr="00403C80" w:rsidRDefault="004D333B" w:rsidP="004D333B">
      <w:pPr>
        <w:spacing w:before="120"/>
      </w:pPr>
      <w:r>
        <w:t>The department explore options to r</w:t>
      </w:r>
      <w:r w:rsidRPr="008B1955">
        <w:t xml:space="preserve">educe timeframes in the assessment and selection process, including time lags associated </w:t>
      </w:r>
      <w:r>
        <w:t xml:space="preserve">with notification of unsuccessful applicants and </w:t>
      </w:r>
      <w:r w:rsidRPr="008B1955">
        <w:t>public announcement of successful projects.</w:t>
      </w:r>
    </w:p>
    <w:p w14:paraId="0933078C" w14:textId="77777777" w:rsidR="00521A26" w:rsidRPr="0015426A" w:rsidRDefault="00521A26" w:rsidP="000F0253">
      <w:pPr>
        <w:pStyle w:val="Heading4"/>
      </w:pPr>
      <w:r w:rsidRPr="0015426A">
        <w:t>Monitoring and reporting</w:t>
      </w:r>
    </w:p>
    <w:p w14:paraId="05B53A8A" w14:textId="457BA92E" w:rsidR="004D333B" w:rsidRDefault="004D333B" w:rsidP="000F0253">
      <w:pPr>
        <w:spacing w:before="200"/>
      </w:pPr>
      <w:r w:rsidRPr="00403C80">
        <w:t xml:space="preserve">Milestone reporting and monitoring has been complicated, perhaps ‘overcomplicated’. While the </w:t>
      </w:r>
      <w:r>
        <w:t>d</w:t>
      </w:r>
      <w:r w:rsidRPr="00403C80">
        <w:t xml:space="preserve">epartment has simplified </w:t>
      </w:r>
      <w:r>
        <w:t xml:space="preserve">reporting of project </w:t>
      </w:r>
      <w:r w:rsidRPr="00403C80">
        <w:t xml:space="preserve">KPIs over successive rounds, there is still opportunity to </w:t>
      </w:r>
      <w:r>
        <w:t xml:space="preserve">simplify monitoring and reporting requirements through the development of a M&amp;E Framework that will link data collection to program outcomes and </w:t>
      </w:r>
      <w:r w:rsidRPr="00403C80">
        <w:t xml:space="preserve">enhance the visibility of achievement </w:t>
      </w:r>
      <w:r w:rsidR="00DA1B08">
        <w:t>at project and program levels.</w:t>
      </w:r>
    </w:p>
    <w:p w14:paraId="149367D9" w14:textId="77777777" w:rsidR="004D333B" w:rsidRPr="00DA1B08" w:rsidRDefault="004D333B" w:rsidP="00DA1B08">
      <w:pPr>
        <w:rPr>
          <w:rStyle w:val="Strong"/>
        </w:rPr>
      </w:pPr>
      <w:r w:rsidRPr="00DA1B08">
        <w:rPr>
          <w:rStyle w:val="Strong"/>
        </w:rPr>
        <w:t>Recommendation 10</w:t>
      </w:r>
    </w:p>
    <w:p w14:paraId="7603ADA5" w14:textId="4D8D2A5B" w:rsidR="004D333B" w:rsidRDefault="004D333B" w:rsidP="004D333B">
      <w:pPr>
        <w:spacing w:before="120"/>
      </w:pPr>
      <w:r>
        <w:t>The department d</w:t>
      </w:r>
      <w:r w:rsidRPr="00403C80">
        <w:t xml:space="preserve">evelop </w:t>
      </w:r>
      <w:r>
        <w:t>a M&amp;E</w:t>
      </w:r>
      <w:r w:rsidRPr="00403C80">
        <w:t xml:space="preserve"> framework</w:t>
      </w:r>
      <w:r>
        <w:t>,</w:t>
      </w:r>
      <w:r w:rsidRPr="00403C80">
        <w:t xml:space="preserve"> using the program logic diagram as a starting point</w:t>
      </w:r>
      <w:r>
        <w:t>,</w:t>
      </w:r>
      <w:r w:rsidRPr="00403C80">
        <w:t xml:space="preserve"> to drive </w:t>
      </w:r>
      <w:r>
        <w:t xml:space="preserve">the </w:t>
      </w:r>
      <w:r w:rsidRPr="00403C80">
        <w:t xml:space="preserve">development of </w:t>
      </w:r>
      <w:r>
        <w:t xml:space="preserve">outcomes oriented </w:t>
      </w:r>
      <w:r w:rsidRPr="00403C80">
        <w:t>KPIs</w:t>
      </w:r>
      <w:r>
        <w:t xml:space="preserve">, and associated </w:t>
      </w:r>
      <w:r w:rsidRPr="00403C80">
        <w:t>data and data sources</w:t>
      </w:r>
      <w:r w:rsidR="00DA1B08">
        <w:t>.</w:t>
      </w:r>
    </w:p>
    <w:p w14:paraId="06298D87" w14:textId="77777777" w:rsidR="004D333B" w:rsidRPr="00DA1B08" w:rsidRDefault="004D333B" w:rsidP="00DA1B08">
      <w:pPr>
        <w:rPr>
          <w:rStyle w:val="Strong"/>
        </w:rPr>
      </w:pPr>
      <w:r w:rsidRPr="00DA1B08">
        <w:rPr>
          <w:rStyle w:val="Strong"/>
        </w:rPr>
        <w:t>Recommendation 11</w:t>
      </w:r>
    </w:p>
    <w:p w14:paraId="03272DD1" w14:textId="53C67275" w:rsidR="004D333B" w:rsidRDefault="004D333B" w:rsidP="004D333B">
      <w:pPr>
        <w:spacing w:before="120"/>
      </w:pPr>
      <w:r w:rsidRPr="00403C80">
        <w:t xml:space="preserve">Based on the </w:t>
      </w:r>
      <w:r>
        <w:t>M&amp;E</w:t>
      </w:r>
      <w:r w:rsidRPr="00403C80">
        <w:t xml:space="preserve"> framework developed, revise project reporting, including consideration of </w:t>
      </w:r>
      <w:r>
        <w:t xml:space="preserve">reduced and </w:t>
      </w:r>
      <w:r w:rsidRPr="00403C80">
        <w:t>more flexible reporting</w:t>
      </w:r>
      <w:r>
        <w:t xml:space="preserve"> options</w:t>
      </w:r>
      <w:r w:rsidR="00DA1B08">
        <w:t>.</w:t>
      </w:r>
    </w:p>
    <w:p w14:paraId="11156021" w14:textId="77777777" w:rsidR="004D333B" w:rsidRDefault="004D333B" w:rsidP="000F0253">
      <w:pPr>
        <w:pStyle w:val="Heading4"/>
      </w:pPr>
      <w:r>
        <w:t>Program legacy</w:t>
      </w:r>
    </w:p>
    <w:p w14:paraId="7C15841D" w14:textId="77777777" w:rsidR="004D333B" w:rsidRDefault="004D333B" w:rsidP="000F0253">
      <w:pPr>
        <w:spacing w:before="200"/>
      </w:pPr>
      <w:r>
        <w:t>As the program moves into the latter half of its life cycle, the department will need to plan so that momentum built up is leveraged and outputs and achievements are not stymied or lost with the cessation of the program.</w:t>
      </w:r>
    </w:p>
    <w:p w14:paraId="607A513B" w14:textId="77777777" w:rsidR="004D333B" w:rsidRPr="00386D62" w:rsidRDefault="004D333B" w:rsidP="004D333B">
      <w:r w:rsidRPr="00386D62">
        <w:t>There are networks and organisations, external to the program</w:t>
      </w:r>
      <w:r>
        <w:t>,</w:t>
      </w:r>
      <w:r w:rsidRPr="00386D62">
        <w:t xml:space="preserve"> which are fostering rural R&amp;D collaboration (eg Council of RDCs and CRCs). These could provide ongoing mechanisms and infrastructure to support future </w:t>
      </w:r>
      <w:r>
        <w:t xml:space="preserve">rural R&amp;D </w:t>
      </w:r>
      <w:r w:rsidRPr="00386D62">
        <w:t>collaborations.</w:t>
      </w:r>
    </w:p>
    <w:p w14:paraId="4F8B38A6" w14:textId="19CCF340" w:rsidR="004D333B" w:rsidRDefault="004D333B" w:rsidP="004D333B">
      <w:r w:rsidRPr="00386D62">
        <w:t xml:space="preserve">Further, in building on the success of the program, the </w:t>
      </w:r>
      <w:r>
        <w:t>d</w:t>
      </w:r>
      <w:r w:rsidRPr="00386D62">
        <w:t>epartment should</w:t>
      </w:r>
      <w:r>
        <w:t xml:space="preserve"> also consider how sharing of research outcomes might be undertaken and communicated more broadly</w:t>
      </w:r>
      <w:r w:rsidR="00B25C0E">
        <w:t xml:space="preserve">. </w:t>
      </w:r>
    </w:p>
    <w:p w14:paraId="2B090795" w14:textId="77777777" w:rsidR="004D333B" w:rsidRPr="00DA1B08" w:rsidRDefault="004D333B" w:rsidP="009425FF">
      <w:pPr>
        <w:rPr>
          <w:rStyle w:val="Strong"/>
        </w:rPr>
      </w:pPr>
      <w:r w:rsidRPr="00DA1B08">
        <w:rPr>
          <w:rStyle w:val="Strong"/>
        </w:rPr>
        <w:t>Recommendation 12</w:t>
      </w:r>
    </w:p>
    <w:p w14:paraId="1474995A" w14:textId="4B5A7FAC" w:rsidR="004D333B" w:rsidRDefault="004D333B" w:rsidP="004D333B">
      <w:pPr>
        <w:spacing w:before="120"/>
      </w:pPr>
      <w:r>
        <w:t xml:space="preserve">The department consider options </w:t>
      </w:r>
      <w:r w:rsidRPr="00403C80">
        <w:t xml:space="preserve">to build on current success </w:t>
      </w:r>
      <w:r>
        <w:t>into</w:t>
      </w:r>
      <w:r w:rsidRPr="00403C80">
        <w:t xml:space="preserve"> the future. This would include consultation with the RDC community </w:t>
      </w:r>
      <w:r w:rsidR="009425FF">
        <w:t>regarding suggested approaches.</w:t>
      </w:r>
    </w:p>
    <w:p w14:paraId="22FE51BC" w14:textId="11971144" w:rsidR="00476007" w:rsidRDefault="00F74AFA" w:rsidP="009425FF">
      <w:pPr>
        <w:pStyle w:val="Heading2"/>
      </w:pPr>
      <w:bookmarkStart w:id="10" w:name="_Toc482970183"/>
      <w:bookmarkStart w:id="11" w:name="_Toc500934693"/>
      <w:r w:rsidRPr="00AF1507">
        <w:t>Introduction</w:t>
      </w:r>
      <w:bookmarkEnd w:id="10"/>
      <w:bookmarkEnd w:id="11"/>
    </w:p>
    <w:p w14:paraId="119262E1" w14:textId="74EF80AF" w:rsidR="00CF3F53" w:rsidRDefault="007E070A" w:rsidP="000F0253">
      <w:pPr>
        <w:pStyle w:val="Heading3"/>
      </w:pPr>
      <w:bookmarkStart w:id="12" w:name="_Toc500934694"/>
      <w:r>
        <w:t>P</w:t>
      </w:r>
      <w:r w:rsidR="004D4B1F">
        <w:t>rogram background</w:t>
      </w:r>
      <w:bookmarkEnd w:id="12"/>
    </w:p>
    <w:p w14:paraId="37E81374" w14:textId="77777777" w:rsidR="000832D1" w:rsidRDefault="000832D1" w:rsidP="000F0253">
      <w:pPr>
        <w:pStyle w:val="Heading4"/>
      </w:pPr>
      <w:r w:rsidRPr="00100F48">
        <w:t>Context</w:t>
      </w:r>
    </w:p>
    <w:p w14:paraId="5D3F0814" w14:textId="6BBD33B7" w:rsidR="004354EE" w:rsidRDefault="005942FF" w:rsidP="000F0253">
      <w:pPr>
        <w:spacing w:before="200"/>
      </w:pPr>
      <w:r>
        <w:t>Th</w:t>
      </w:r>
      <w:r w:rsidR="004354EE">
        <w:t>e Rural R</w:t>
      </w:r>
      <w:r w:rsidR="00B97661">
        <w:t xml:space="preserve">esearch </w:t>
      </w:r>
      <w:r w:rsidR="004354EE">
        <w:t>&amp;</w:t>
      </w:r>
      <w:r w:rsidR="00B97661">
        <w:t xml:space="preserve"> </w:t>
      </w:r>
      <w:r w:rsidR="004354EE">
        <w:t>D</w:t>
      </w:r>
      <w:r w:rsidR="00B97661">
        <w:t>evelopment (R&amp;D)</w:t>
      </w:r>
      <w:r w:rsidR="004354EE">
        <w:t xml:space="preserve"> for Profit program</w:t>
      </w:r>
      <w:r w:rsidR="00B97661">
        <w:t xml:space="preserve"> (hereafter Rural R&amp;D for Profit</w:t>
      </w:r>
      <w:r w:rsidR="002D3063">
        <w:t>,</w:t>
      </w:r>
      <w:r w:rsidR="00B97661">
        <w:t xml:space="preserve"> or the </w:t>
      </w:r>
      <w:r w:rsidR="002D3063">
        <w:t>‘</w:t>
      </w:r>
      <w:r w:rsidR="00B97661">
        <w:t>program</w:t>
      </w:r>
      <w:r w:rsidR="002D3063">
        <w:t>’</w:t>
      </w:r>
      <w:r w:rsidR="00B97661">
        <w:t>)</w:t>
      </w:r>
      <w:r>
        <w:t xml:space="preserve"> is a $180.5 milli</w:t>
      </w:r>
      <w:r w:rsidR="004354EE">
        <w:t xml:space="preserve">on competitive grants program </w:t>
      </w:r>
      <w:r>
        <w:t>administered by the Department</w:t>
      </w:r>
      <w:r w:rsidR="004354EE">
        <w:t xml:space="preserve"> of Agricultur</w:t>
      </w:r>
      <w:r w:rsidR="00725608">
        <w:t xml:space="preserve">e </w:t>
      </w:r>
      <w:r w:rsidR="004354EE">
        <w:t xml:space="preserve">and Water Resources (the </w:t>
      </w:r>
      <w:r w:rsidR="002D7C53">
        <w:t>department</w:t>
      </w:r>
      <w:r w:rsidR="009425FF">
        <w:t>).</w:t>
      </w:r>
    </w:p>
    <w:p w14:paraId="5625D748" w14:textId="00F9B8EF" w:rsidR="004D4B1F" w:rsidRDefault="004354EE" w:rsidP="005942FF">
      <w:r>
        <w:t>The program</w:t>
      </w:r>
      <w:r w:rsidR="005942FF">
        <w:t xml:space="preserve"> was established in response to a 2013 federal election commitment by the </w:t>
      </w:r>
      <w:r w:rsidR="002D7C53">
        <w:t>Coalition</w:t>
      </w:r>
      <w:r w:rsidR="005942FF">
        <w:t>, initially receiving $100 million in funding ove</w:t>
      </w:r>
      <w:r w:rsidR="009425FF">
        <w:t>r four years (from 2014-2018).</w:t>
      </w:r>
    </w:p>
    <w:p w14:paraId="04C0D434" w14:textId="57CB8E7A" w:rsidR="005942FF" w:rsidRDefault="005942FF" w:rsidP="005942FF">
      <w:r>
        <w:t>In July 2015, the Government announced a four</w:t>
      </w:r>
      <w:r w:rsidR="004354EE">
        <w:t>-year extension to the program</w:t>
      </w:r>
      <w:r>
        <w:t xml:space="preserve"> until </w:t>
      </w:r>
      <w:r w:rsidR="00F41FDA">
        <w:br/>
      </w:r>
      <w:r w:rsidR="004D4B1F">
        <w:t xml:space="preserve">30 June </w:t>
      </w:r>
      <w:r>
        <w:t>2022</w:t>
      </w:r>
      <w:r w:rsidR="00DA1196">
        <w:t xml:space="preserve">, </w:t>
      </w:r>
      <w:r>
        <w:t xml:space="preserve">with an additional $100 million in funding made available as part of the </w:t>
      </w:r>
      <w:r>
        <w:rPr>
          <w:i/>
        </w:rPr>
        <w:t>Agricultural Competitiveness White Paper</w:t>
      </w:r>
      <w:r>
        <w:t>.</w:t>
      </w:r>
      <w:r w:rsidR="00AB4A31">
        <w:rPr>
          <w:rStyle w:val="FootnoteReference"/>
        </w:rPr>
        <w:footnoteReference w:id="4"/>
      </w:r>
      <w:r>
        <w:t xml:space="preserve">  $19.5 million has since be</w:t>
      </w:r>
      <w:r w:rsidR="009F5534">
        <w:t>en redirected from the program</w:t>
      </w:r>
      <w:r>
        <w:t xml:space="preserve"> for other government priorities</w:t>
      </w:r>
      <w:r w:rsidR="00B25C0E">
        <w:t>.</w:t>
      </w:r>
    </w:p>
    <w:p w14:paraId="749989B5" w14:textId="19D1C63F" w:rsidR="002D3063" w:rsidRDefault="004D4B1F" w:rsidP="004D4B1F">
      <w:r>
        <w:t xml:space="preserve">The program was designed to create </w:t>
      </w:r>
      <w:r w:rsidRPr="00313B3A">
        <w:t>productivity and profitability improvements for primary producers by generating knowledge, tech</w:t>
      </w:r>
      <w:r>
        <w:t>nologies, products or processes, as well as</w:t>
      </w:r>
      <w:r w:rsidRPr="00313B3A">
        <w:t xml:space="preserve"> strengthening pathways</w:t>
      </w:r>
      <w:r>
        <w:t xml:space="preserve"> to extend results of rural R&amp;D</w:t>
      </w:r>
      <w:r w:rsidRPr="00313B3A">
        <w:t xml:space="preserve"> and establishing new and innovative research collaborations</w:t>
      </w:r>
      <w:r w:rsidR="00B25C0E">
        <w:t xml:space="preserve">. </w:t>
      </w:r>
      <w:r w:rsidR="002D3063">
        <w:t>As described in the Coalition’s policy document:</w:t>
      </w:r>
    </w:p>
    <w:p w14:paraId="4144D526" w14:textId="77777777" w:rsidR="004D4B1F" w:rsidRPr="002D3063" w:rsidRDefault="002D3063" w:rsidP="009425FF">
      <w:pPr>
        <w:pStyle w:val="Quote"/>
      </w:pPr>
      <w:r w:rsidRPr="002D3063">
        <w:t>‘</w:t>
      </w:r>
      <w:r w:rsidR="004D4B1F" w:rsidRPr="002D3063">
        <w:t>Funding will be allocated to specific projects that openly enhance agricultural profitability, level out competition and better leverage coordination and cooperation between stakeholders. In conjunction with increased investment, the Coalition will work with research and development organisations and levy payers to improve the collaboration on research and to provide even better returns on investment.’</w:t>
      </w:r>
      <w:r w:rsidR="004D4B1F" w:rsidRPr="002D3063">
        <w:rPr>
          <w:rStyle w:val="FootnoteReference"/>
        </w:rPr>
        <w:footnoteReference w:id="5"/>
      </w:r>
    </w:p>
    <w:p w14:paraId="08B1D7F8" w14:textId="77777777" w:rsidR="00E64E21" w:rsidRDefault="00D32A99" w:rsidP="000F0253">
      <w:pPr>
        <w:pStyle w:val="Heading4"/>
      </w:pPr>
      <w:r>
        <w:t xml:space="preserve">Eligibility and </w:t>
      </w:r>
      <w:r w:rsidR="00D031B1">
        <w:t>program criteria</w:t>
      </w:r>
    </w:p>
    <w:p w14:paraId="29B6EB4F" w14:textId="63F750C4" w:rsidR="00E64E21" w:rsidRDefault="004354EE" w:rsidP="000F0253">
      <w:pPr>
        <w:spacing w:before="200"/>
      </w:pPr>
      <w:r>
        <w:t>The program</w:t>
      </w:r>
      <w:r w:rsidR="005942FF">
        <w:t xml:space="preserve"> is open exclusively to the 15 Australian Rural Research and Development Corporations (</w:t>
      </w:r>
      <w:r w:rsidR="00836958">
        <w:t xml:space="preserve">Rural </w:t>
      </w:r>
      <w:r w:rsidR="005942FF">
        <w:t>RDCs</w:t>
      </w:r>
      <w:r w:rsidR="00836958">
        <w:t xml:space="preserve"> or RDCs</w:t>
      </w:r>
      <w:r w:rsidR="005942FF">
        <w:t>)</w:t>
      </w:r>
      <w:r w:rsidR="00E64E21">
        <w:t xml:space="preserve">, covering </w:t>
      </w:r>
      <w:r w:rsidR="00041EB7">
        <w:t>the agriculture, fishery and forestry industries</w:t>
      </w:r>
      <w:r w:rsidR="00E64E21">
        <w:t>.</w:t>
      </w:r>
      <w:r w:rsidR="00181150">
        <w:rPr>
          <w:rStyle w:val="FootnoteReference"/>
        </w:rPr>
        <w:footnoteReference w:id="6"/>
      </w:r>
    </w:p>
    <w:p w14:paraId="696E0199" w14:textId="0B5008D3" w:rsidR="00E64E21" w:rsidRDefault="00355D87" w:rsidP="00E64E21">
      <w:r>
        <w:t xml:space="preserve">The Rural </w:t>
      </w:r>
      <w:r w:rsidR="00E64E21">
        <w:t>RDCs are funded through industry levies, with matched Australian Government funding</w:t>
      </w:r>
      <w:r w:rsidR="00B25C0E">
        <w:t xml:space="preserve">. </w:t>
      </w:r>
      <w:r w:rsidR="00E64E21">
        <w:t xml:space="preserve">Ten of the </w:t>
      </w:r>
      <w:r w:rsidR="00650FCE">
        <w:t xml:space="preserve">Rural </w:t>
      </w:r>
      <w:r w:rsidR="00E64E21">
        <w:t xml:space="preserve">RDCs are industry owned companies, and five are Commonwealth statutory </w:t>
      </w:r>
      <w:r w:rsidR="00DA2876">
        <w:t>bodie</w:t>
      </w:r>
      <w:r w:rsidR="00041EB7">
        <w:t>s</w:t>
      </w:r>
      <w:r w:rsidR="00181150">
        <w:t xml:space="preserve">, </w:t>
      </w:r>
      <w:r w:rsidR="00650FCE">
        <w:t>liste</w:t>
      </w:r>
      <w:r w:rsidR="00D4700F">
        <w:t xml:space="preserve">d in </w:t>
      </w:r>
      <w:r w:rsidR="00226784">
        <w:t>Table 1</w:t>
      </w:r>
      <w:r w:rsidR="00B25C0E">
        <w:t xml:space="preserve">. </w:t>
      </w:r>
    </w:p>
    <w:p w14:paraId="3C404ADC" w14:textId="77777777" w:rsidR="00D45A4D" w:rsidRDefault="00D45A4D">
      <w:pPr>
        <w:ind w:left="0"/>
        <w:rPr>
          <w:rFonts w:asciiTheme="majorHAnsi" w:hAnsiTheme="majorHAnsi"/>
          <w:bCs/>
          <w:i/>
          <w:sz w:val="19"/>
          <w:szCs w:val="18"/>
        </w:rPr>
      </w:pPr>
      <w:r>
        <w:br w:type="page"/>
      </w:r>
    </w:p>
    <w:p w14:paraId="0984B291" w14:textId="77777777" w:rsidR="00E64E21" w:rsidRDefault="00226784" w:rsidP="00181150">
      <w:pPr>
        <w:pStyle w:val="Caption"/>
      </w:pPr>
      <w:r w:rsidRPr="00226784">
        <w:t>Table 1</w:t>
      </w:r>
      <w:r w:rsidR="00D45A4D">
        <w:t>:</w:t>
      </w:r>
      <w:r w:rsidR="00E64E21" w:rsidRPr="00226784">
        <w:t xml:space="preserve"> List of </w:t>
      </w:r>
      <w:r w:rsidR="00B43EF6">
        <w:t>R</w:t>
      </w:r>
      <w:r w:rsidR="00E64E21" w:rsidRPr="00226784">
        <w:t>ural RDCs</w:t>
      </w:r>
      <w:r w:rsidR="00E64E21">
        <w:t xml:space="preserve"> </w:t>
      </w:r>
    </w:p>
    <w:tbl>
      <w:tblPr>
        <w:tblW w:w="7830" w:type="dxa"/>
        <w:tblInd w:w="817" w:type="dxa"/>
        <w:tblBorders>
          <w:insideH w:val="single" w:sz="4" w:space="0" w:color="0092CF"/>
          <w:insideV w:val="single" w:sz="4" w:space="0" w:color="0092CF"/>
        </w:tblBorders>
        <w:tblLook w:val="04A0" w:firstRow="1" w:lastRow="0" w:firstColumn="1" w:lastColumn="0" w:noHBand="0" w:noVBand="1"/>
        <w:tblCaption w:val="List of Rural RDCs"/>
        <w:tblDescription w:val="This table lists the 15 Rural RDCs.  Five of the RDCS are Commonwealth Statutory Rural RDCs and ten are industry RDCs.  "/>
      </w:tblPr>
      <w:tblGrid>
        <w:gridCol w:w="7830"/>
      </w:tblGrid>
      <w:tr w:rsidR="00E64E21" w14:paraId="50D309BA" w14:textId="77777777" w:rsidTr="009A2C67">
        <w:trPr>
          <w:tblHeader/>
        </w:trPr>
        <w:tc>
          <w:tcPr>
            <w:tcW w:w="7830" w:type="dxa"/>
            <w:shd w:val="clear" w:color="auto" w:fill="auto"/>
            <w:vAlign w:val="center"/>
            <w:hideMark/>
          </w:tcPr>
          <w:p w14:paraId="42C31395" w14:textId="77777777" w:rsidR="00E64E21" w:rsidRDefault="00E64E21" w:rsidP="00A26418">
            <w:pPr>
              <w:pStyle w:val="TableHeading"/>
            </w:pPr>
            <w:r>
              <w:t>Commonwealth Statutory</w:t>
            </w:r>
            <w:r w:rsidR="00CB0331">
              <w:t xml:space="preserve"> Rural</w:t>
            </w:r>
            <w:r>
              <w:t xml:space="preserve"> RDC</w:t>
            </w:r>
            <w:r w:rsidR="00041EB7">
              <w:rPr>
                <w:caps w:val="0"/>
              </w:rPr>
              <w:t>s</w:t>
            </w:r>
          </w:p>
        </w:tc>
      </w:tr>
      <w:tr w:rsidR="00E64E21" w14:paraId="01D10FFF" w14:textId="77777777" w:rsidTr="008609A0">
        <w:tc>
          <w:tcPr>
            <w:tcW w:w="7830" w:type="dxa"/>
            <w:hideMark/>
          </w:tcPr>
          <w:p w14:paraId="4B29132A" w14:textId="77777777" w:rsidR="00E64E21" w:rsidRPr="003727FB" w:rsidRDefault="00434677" w:rsidP="009A2C67">
            <w:pPr>
              <w:pStyle w:val="Tablebodytext"/>
            </w:pPr>
            <w:r>
              <w:t xml:space="preserve">Wine Australia (formerly </w:t>
            </w:r>
            <w:r w:rsidR="00E64E21" w:rsidRPr="003727FB">
              <w:t xml:space="preserve">Australian Grape and Wine Authority </w:t>
            </w:r>
            <w:r>
              <w:t>[</w:t>
            </w:r>
            <w:r w:rsidR="00E64E21" w:rsidRPr="003727FB">
              <w:t>AGWA</w:t>
            </w:r>
            <w:r>
              <w:t>]</w:t>
            </w:r>
            <w:r w:rsidR="00E64E21" w:rsidRPr="003727FB">
              <w:t>)</w:t>
            </w:r>
          </w:p>
        </w:tc>
      </w:tr>
      <w:tr w:rsidR="00E64E21" w14:paraId="02DA03D3" w14:textId="77777777" w:rsidTr="008609A0">
        <w:tc>
          <w:tcPr>
            <w:tcW w:w="7830" w:type="dxa"/>
            <w:hideMark/>
          </w:tcPr>
          <w:p w14:paraId="4C5F6607" w14:textId="77777777" w:rsidR="00E64E21" w:rsidRPr="003727FB" w:rsidRDefault="00E64E21" w:rsidP="009A2C67">
            <w:pPr>
              <w:pStyle w:val="Tablebodytext"/>
            </w:pPr>
            <w:r w:rsidRPr="003727FB">
              <w:t>Cotton Research and Development Corporation (CRDC)</w:t>
            </w:r>
          </w:p>
        </w:tc>
      </w:tr>
      <w:tr w:rsidR="00E64E21" w14:paraId="7B9B7597" w14:textId="77777777" w:rsidTr="008609A0">
        <w:tc>
          <w:tcPr>
            <w:tcW w:w="7830" w:type="dxa"/>
            <w:hideMark/>
          </w:tcPr>
          <w:p w14:paraId="00D161A4" w14:textId="77777777" w:rsidR="00E64E21" w:rsidRPr="003727FB" w:rsidRDefault="00E64E21" w:rsidP="009A2C67">
            <w:pPr>
              <w:pStyle w:val="Tablebodytext"/>
            </w:pPr>
            <w:r w:rsidRPr="003727FB">
              <w:t>Fisheries Research and Develop</w:t>
            </w:r>
            <w:r w:rsidR="00CD06AF">
              <w:t>ment</w:t>
            </w:r>
            <w:r w:rsidRPr="003727FB">
              <w:t xml:space="preserve"> Corporation (FRDC)</w:t>
            </w:r>
          </w:p>
        </w:tc>
      </w:tr>
      <w:tr w:rsidR="00E64E21" w14:paraId="603BFBDE" w14:textId="77777777" w:rsidTr="008609A0">
        <w:tc>
          <w:tcPr>
            <w:tcW w:w="7830" w:type="dxa"/>
          </w:tcPr>
          <w:p w14:paraId="15FB2EB8" w14:textId="77777777" w:rsidR="00E64E21" w:rsidRPr="003727FB" w:rsidRDefault="00E64E21" w:rsidP="009A2C67">
            <w:pPr>
              <w:pStyle w:val="Tablebodytext"/>
            </w:pPr>
            <w:r w:rsidRPr="003727FB">
              <w:t>Grains Research and Development Corporation (GRDC)</w:t>
            </w:r>
          </w:p>
        </w:tc>
      </w:tr>
      <w:tr w:rsidR="00E64E21" w14:paraId="73BDB7E9" w14:textId="77777777" w:rsidTr="008609A0">
        <w:tc>
          <w:tcPr>
            <w:tcW w:w="7830" w:type="dxa"/>
          </w:tcPr>
          <w:p w14:paraId="783A683C" w14:textId="77777777" w:rsidR="00E64E21" w:rsidRPr="003727FB" w:rsidRDefault="00B67152" w:rsidP="009A2C67">
            <w:pPr>
              <w:pStyle w:val="Tablebodytext"/>
            </w:pPr>
            <w:r w:rsidRPr="003727FB">
              <w:t xml:space="preserve">AgriFutures Australia (formerly </w:t>
            </w:r>
            <w:r w:rsidR="00E64E21" w:rsidRPr="003727FB">
              <w:t>Rural Industries Resear</w:t>
            </w:r>
            <w:r w:rsidRPr="003727FB">
              <w:t>ch and Development Corporation [</w:t>
            </w:r>
            <w:r w:rsidR="00E64E21" w:rsidRPr="003727FB">
              <w:t>RIRDC</w:t>
            </w:r>
            <w:r w:rsidRPr="003727FB">
              <w:t>]</w:t>
            </w:r>
            <w:r w:rsidR="00737CA6">
              <w:t>)</w:t>
            </w:r>
          </w:p>
        </w:tc>
      </w:tr>
      <w:tr w:rsidR="00E64E21" w14:paraId="0F501F61" w14:textId="77777777" w:rsidTr="009A2C67">
        <w:trPr>
          <w:tblHeader/>
        </w:trPr>
        <w:tc>
          <w:tcPr>
            <w:tcW w:w="7830" w:type="dxa"/>
            <w:shd w:val="clear" w:color="auto" w:fill="auto"/>
            <w:vAlign w:val="center"/>
            <w:hideMark/>
          </w:tcPr>
          <w:p w14:paraId="5045580F" w14:textId="77777777" w:rsidR="00E64E21" w:rsidRDefault="00E64E21" w:rsidP="00A26418">
            <w:pPr>
              <w:pStyle w:val="TableHeading"/>
            </w:pPr>
            <w:r>
              <w:t>Industry RDCs</w:t>
            </w:r>
          </w:p>
        </w:tc>
      </w:tr>
      <w:tr w:rsidR="00E64E21" w14:paraId="4C61856B" w14:textId="77777777" w:rsidTr="008609A0">
        <w:tc>
          <w:tcPr>
            <w:tcW w:w="7830" w:type="dxa"/>
          </w:tcPr>
          <w:p w14:paraId="0FD07D3F" w14:textId="77777777" w:rsidR="00E64E21" w:rsidRPr="00EB7716" w:rsidRDefault="00E64E21" w:rsidP="009A2C67">
            <w:pPr>
              <w:pStyle w:val="Tablebodytext"/>
            </w:pPr>
            <w:r>
              <w:t>Australian Eggs Corporation Limited</w:t>
            </w:r>
          </w:p>
        </w:tc>
      </w:tr>
      <w:tr w:rsidR="00E64E21" w14:paraId="74055B7B" w14:textId="77777777" w:rsidTr="008609A0">
        <w:tc>
          <w:tcPr>
            <w:tcW w:w="7830" w:type="dxa"/>
          </w:tcPr>
          <w:p w14:paraId="5448482A" w14:textId="77777777" w:rsidR="00E64E21" w:rsidRDefault="00E64E21" w:rsidP="009A2C67">
            <w:pPr>
              <w:pStyle w:val="Tablebodytext"/>
            </w:pPr>
            <w:r>
              <w:t>Australian Livestock Export Corporation Limited (LiveCorp)</w:t>
            </w:r>
          </w:p>
        </w:tc>
      </w:tr>
      <w:tr w:rsidR="00E64E21" w14:paraId="0F5FF5AA" w14:textId="77777777" w:rsidTr="008609A0">
        <w:tc>
          <w:tcPr>
            <w:tcW w:w="7830" w:type="dxa"/>
          </w:tcPr>
          <w:p w14:paraId="0C9370ED" w14:textId="77777777" w:rsidR="00E64E21" w:rsidRDefault="00E64E21" w:rsidP="009A2C67">
            <w:pPr>
              <w:pStyle w:val="Tablebodytext"/>
            </w:pPr>
            <w:r>
              <w:t>Australian Meat Processor Corporation (AMPC)</w:t>
            </w:r>
          </w:p>
        </w:tc>
      </w:tr>
      <w:tr w:rsidR="00E64E21" w14:paraId="577BA9BC" w14:textId="77777777" w:rsidTr="008609A0">
        <w:tc>
          <w:tcPr>
            <w:tcW w:w="7830" w:type="dxa"/>
          </w:tcPr>
          <w:p w14:paraId="6F602BC2" w14:textId="77777777" w:rsidR="00E64E21" w:rsidRDefault="00E64E21" w:rsidP="009A2C67">
            <w:pPr>
              <w:pStyle w:val="Tablebodytext"/>
            </w:pPr>
            <w:r>
              <w:t>Australian Pork Limited (APL)</w:t>
            </w:r>
          </w:p>
        </w:tc>
      </w:tr>
      <w:tr w:rsidR="00E64E21" w14:paraId="25CD8BF4" w14:textId="77777777" w:rsidTr="008609A0">
        <w:tc>
          <w:tcPr>
            <w:tcW w:w="7830" w:type="dxa"/>
          </w:tcPr>
          <w:p w14:paraId="3E2B7FAB" w14:textId="77777777" w:rsidR="00E64E21" w:rsidRDefault="00E64E21" w:rsidP="009A2C67">
            <w:pPr>
              <w:pStyle w:val="Tablebodytext"/>
            </w:pPr>
            <w:r>
              <w:t>Australian Wool Innovation Limited (AWI)</w:t>
            </w:r>
          </w:p>
        </w:tc>
      </w:tr>
      <w:tr w:rsidR="00E64E21" w14:paraId="724082D7" w14:textId="77777777" w:rsidTr="008609A0">
        <w:tc>
          <w:tcPr>
            <w:tcW w:w="7830" w:type="dxa"/>
          </w:tcPr>
          <w:p w14:paraId="597ED865" w14:textId="77777777" w:rsidR="00E64E21" w:rsidRDefault="00E64E21" w:rsidP="009A2C67">
            <w:pPr>
              <w:pStyle w:val="Tablebodytext"/>
            </w:pPr>
            <w:r>
              <w:t>Dairy Australia Limited (DAL)</w:t>
            </w:r>
          </w:p>
        </w:tc>
      </w:tr>
      <w:tr w:rsidR="00E64E21" w14:paraId="007974DA" w14:textId="77777777" w:rsidTr="008609A0">
        <w:tc>
          <w:tcPr>
            <w:tcW w:w="7830" w:type="dxa"/>
          </w:tcPr>
          <w:p w14:paraId="2FE85E61" w14:textId="77777777" w:rsidR="00E64E21" w:rsidRDefault="00E64E21" w:rsidP="009A2C67">
            <w:pPr>
              <w:pStyle w:val="Tablebodytext"/>
            </w:pPr>
            <w:r>
              <w:t>Forest and Wood Products Australia (FWPA)</w:t>
            </w:r>
          </w:p>
        </w:tc>
      </w:tr>
      <w:tr w:rsidR="00E64E21" w14:paraId="4B1D4319" w14:textId="77777777" w:rsidTr="008609A0">
        <w:tc>
          <w:tcPr>
            <w:tcW w:w="7830" w:type="dxa"/>
          </w:tcPr>
          <w:p w14:paraId="4E8478DB" w14:textId="77777777" w:rsidR="00E64E21" w:rsidRDefault="00E64E21" w:rsidP="009A2C67">
            <w:pPr>
              <w:pStyle w:val="Tablebodytext"/>
            </w:pPr>
            <w:r>
              <w:t>Horticulture Innovation Australia Limited (HIA)</w:t>
            </w:r>
          </w:p>
        </w:tc>
      </w:tr>
      <w:tr w:rsidR="00E64E21" w14:paraId="7A48EA9B" w14:textId="77777777" w:rsidTr="008609A0">
        <w:tc>
          <w:tcPr>
            <w:tcW w:w="7830" w:type="dxa"/>
          </w:tcPr>
          <w:p w14:paraId="3CA3FDB5" w14:textId="77777777" w:rsidR="00E64E21" w:rsidRDefault="00E64E21" w:rsidP="009A2C67">
            <w:pPr>
              <w:pStyle w:val="Tablebodytext"/>
            </w:pPr>
            <w:r>
              <w:t>Meat and Livestock Australia (MLA)</w:t>
            </w:r>
          </w:p>
        </w:tc>
      </w:tr>
      <w:tr w:rsidR="00E64E21" w14:paraId="472EF098" w14:textId="77777777" w:rsidTr="008609A0">
        <w:tc>
          <w:tcPr>
            <w:tcW w:w="7830" w:type="dxa"/>
          </w:tcPr>
          <w:p w14:paraId="5A5D450D" w14:textId="77777777" w:rsidR="00E64E21" w:rsidRDefault="00E64E21" w:rsidP="009A2C67">
            <w:pPr>
              <w:pStyle w:val="Tablebodytext"/>
            </w:pPr>
            <w:r>
              <w:t>Sugar Research Australia Limited (SRA)</w:t>
            </w:r>
          </w:p>
        </w:tc>
      </w:tr>
    </w:tbl>
    <w:p w14:paraId="6ED0CE22" w14:textId="5B0330CE" w:rsidR="004354EE" w:rsidRDefault="003E5A2C" w:rsidP="000F0253">
      <w:pPr>
        <w:spacing w:before="200"/>
      </w:pPr>
      <w:r>
        <w:t>A condition of</w:t>
      </w:r>
      <w:r w:rsidR="004354EE">
        <w:t xml:space="preserve"> fundin</w:t>
      </w:r>
      <w:r w:rsidR="00F5523A">
        <w:t>g</w:t>
      </w:r>
      <w:r w:rsidR="00F41FDA">
        <w:t xml:space="preserve"> under the program</w:t>
      </w:r>
      <w:r w:rsidR="00F5523A">
        <w:t xml:space="preserve"> is for </w:t>
      </w:r>
      <w:r w:rsidR="004354EE">
        <w:t xml:space="preserve">RDCs </w:t>
      </w:r>
      <w:r w:rsidR="00F5523A">
        <w:t>to</w:t>
      </w:r>
      <w:r w:rsidR="004354EE">
        <w:t xml:space="preserve"> collaborate or partner with other organisations across the research, industry, busines</w:t>
      </w:r>
      <w:r w:rsidR="00D031B1">
        <w:t>s and/or not-for-profit sectors</w:t>
      </w:r>
      <w:r w:rsidR="00B25C0E">
        <w:t xml:space="preserve">. </w:t>
      </w:r>
      <w:r w:rsidR="00BF3B6C">
        <w:t>Where two or more RDCs seek a grant as a consortium, one RDC member must be appointed as the applicant or ‘lead’</w:t>
      </w:r>
      <w:r w:rsidR="00B25C0E">
        <w:t xml:space="preserve">. </w:t>
      </w:r>
      <w:r w:rsidR="00BF3B6C">
        <w:t xml:space="preserve">The lead RDC must submit the application and if successful, is the legal entity that enters into a grant agreement with the </w:t>
      </w:r>
      <w:r w:rsidR="002A5D7D">
        <w:t>d</w:t>
      </w:r>
      <w:r w:rsidR="00BF3B6C">
        <w:t>epartment.</w:t>
      </w:r>
      <w:r w:rsidR="00BF3B6C">
        <w:rPr>
          <w:rStyle w:val="FootnoteReference"/>
        </w:rPr>
        <w:footnoteReference w:id="7"/>
      </w:r>
      <w:r w:rsidR="00BF3B6C">
        <w:t xml:space="preserve">  </w:t>
      </w:r>
    </w:p>
    <w:p w14:paraId="5B80E32A" w14:textId="1AC73E4D" w:rsidR="001601E2" w:rsidRDefault="001601E2" w:rsidP="001601E2">
      <w:r>
        <w:t>It is a co-investment program – where</w:t>
      </w:r>
      <w:r w:rsidR="00434B01">
        <w:t>by</w:t>
      </w:r>
      <w:r>
        <w:t xml:space="preserve"> applicants/partner organisations must provide cash and</w:t>
      </w:r>
      <w:r w:rsidR="00F41FDA">
        <w:t xml:space="preserve"> </w:t>
      </w:r>
      <w:r>
        <w:t>in</w:t>
      </w:r>
      <w:r w:rsidR="00F41FDA">
        <w:t>-</w:t>
      </w:r>
      <w:r>
        <w:t>kind co-</w:t>
      </w:r>
      <w:r w:rsidRPr="00D031B1">
        <w:t>investment</w:t>
      </w:r>
      <w:r w:rsidR="00B25C0E">
        <w:t xml:space="preserve">. </w:t>
      </w:r>
      <w:r w:rsidRPr="00D031B1">
        <w:t xml:space="preserve">Commonwealth grant funding </w:t>
      </w:r>
      <w:r w:rsidR="00725608">
        <w:t>can</w:t>
      </w:r>
      <w:r w:rsidRPr="00D031B1">
        <w:t>not exceed 50 perc</w:t>
      </w:r>
      <w:r w:rsidR="00D031B1" w:rsidRPr="00D031B1">
        <w:t>ent of the total project cost and projects should not t</w:t>
      </w:r>
      <w:r w:rsidRPr="00D031B1">
        <w:t xml:space="preserve">ypically </w:t>
      </w:r>
      <w:r w:rsidR="00D031B1" w:rsidRPr="00D031B1">
        <w:t>exceed</w:t>
      </w:r>
      <w:r w:rsidR="00434B01">
        <w:t xml:space="preserve"> five</w:t>
      </w:r>
      <w:r w:rsidRPr="00D031B1">
        <w:t xml:space="preserve"> years. </w:t>
      </w:r>
    </w:p>
    <w:p w14:paraId="7A97A2FD" w14:textId="70859E09" w:rsidR="001601E2" w:rsidRDefault="001E15A4" w:rsidP="001601E2">
      <w:r>
        <w:t>Program priorities, displayed in Table 2</w:t>
      </w:r>
      <w:r w:rsidR="00F41FDA">
        <w:t>,</w:t>
      </w:r>
      <w:r>
        <w:t xml:space="preserve"> </w:t>
      </w:r>
      <w:r w:rsidR="001601E2">
        <w:t xml:space="preserve">were derived from the </w:t>
      </w:r>
      <w:r w:rsidR="001601E2" w:rsidRPr="00AB4A31">
        <w:rPr>
          <w:i/>
        </w:rPr>
        <w:t>Agricultural Competitiveness White Paper</w:t>
      </w:r>
      <w:r w:rsidR="001601E2">
        <w:rPr>
          <w:rStyle w:val="FootnoteReference"/>
        </w:rPr>
        <w:footnoteReference w:id="8"/>
      </w:r>
      <w:r w:rsidR="001601E2">
        <w:t xml:space="preserve">, which set priorities for targeting rural </w:t>
      </w:r>
      <w:r w:rsidR="00442561">
        <w:t>research, development and extension (</w:t>
      </w:r>
      <w:r w:rsidR="001601E2">
        <w:t>RD&amp;E</w:t>
      </w:r>
      <w:r w:rsidR="00442561">
        <w:t>)</w:t>
      </w:r>
      <w:r w:rsidR="001601E2">
        <w:t xml:space="preserve"> funding</w:t>
      </w:r>
      <w:r w:rsidR="00B25C0E">
        <w:t xml:space="preserve">. </w:t>
      </w:r>
    </w:p>
    <w:p w14:paraId="2654B0DC" w14:textId="77777777" w:rsidR="001E15A4" w:rsidRDefault="001E15A4">
      <w:pPr>
        <w:ind w:left="0"/>
        <w:rPr>
          <w:rFonts w:asciiTheme="majorHAnsi" w:hAnsiTheme="majorHAnsi"/>
          <w:bCs/>
          <w:i/>
          <w:sz w:val="19"/>
          <w:szCs w:val="18"/>
        </w:rPr>
      </w:pPr>
      <w:r>
        <w:br w:type="page"/>
      </w:r>
    </w:p>
    <w:p w14:paraId="1A119F99" w14:textId="77777777" w:rsidR="001601E2" w:rsidRPr="009E728A" w:rsidRDefault="0023786E" w:rsidP="0023786E">
      <w:pPr>
        <w:pStyle w:val="Caption"/>
      </w:pPr>
      <w:r>
        <w:t>Table 2:</w:t>
      </w:r>
      <w:r w:rsidR="001601E2" w:rsidRPr="0023786E">
        <w:t xml:space="preserve"> Program priorities</w:t>
      </w:r>
    </w:p>
    <w:tbl>
      <w:tblPr>
        <w:tblStyle w:val="TableGrid"/>
        <w:tblW w:w="7513" w:type="dxa"/>
        <w:tblInd w:w="709" w:type="dxa"/>
        <w:tblBorders>
          <w:top w:val="none" w:sz="0" w:space="0" w:color="auto"/>
          <w:left w:val="none" w:sz="0" w:space="0" w:color="auto"/>
          <w:bottom w:val="none" w:sz="0" w:space="0" w:color="auto"/>
          <w:right w:val="none" w:sz="0" w:space="0" w:color="auto"/>
          <w:insideH w:val="single" w:sz="4" w:space="0" w:color="0092CF"/>
          <w:insideV w:val="single" w:sz="4" w:space="0" w:color="0092CF"/>
        </w:tblBorders>
        <w:tblLook w:val="04A0" w:firstRow="1" w:lastRow="0" w:firstColumn="1" w:lastColumn="0" w:noHBand="0" w:noVBand="1"/>
        <w:tblCaption w:val="Table 2 Program priorities"/>
        <w:tblDescription w:val="This table describes the four program priorities of advanced technology, biosecurity, soil, water and managing natural resources and adoption of R&amp;D."/>
      </w:tblPr>
      <w:tblGrid>
        <w:gridCol w:w="2410"/>
        <w:gridCol w:w="5103"/>
      </w:tblGrid>
      <w:tr w:rsidR="001601E2" w:rsidRPr="00B15A99" w14:paraId="2FB07FF3" w14:textId="77777777" w:rsidTr="00BD6A9E">
        <w:tc>
          <w:tcPr>
            <w:tcW w:w="2410" w:type="dxa"/>
            <w:shd w:val="clear" w:color="auto" w:fill="E0F0FC"/>
          </w:tcPr>
          <w:p w14:paraId="3124627C" w14:textId="77777777" w:rsidR="001601E2" w:rsidRPr="009A2C67" w:rsidRDefault="001601E2" w:rsidP="009A2C67">
            <w:pPr>
              <w:pStyle w:val="TableHeading"/>
            </w:pPr>
            <w:r w:rsidRPr="009A2C67">
              <w:t>Priority</w:t>
            </w:r>
          </w:p>
        </w:tc>
        <w:tc>
          <w:tcPr>
            <w:tcW w:w="5103" w:type="dxa"/>
            <w:shd w:val="clear" w:color="auto" w:fill="E0F0FC"/>
          </w:tcPr>
          <w:p w14:paraId="5BE307D6" w14:textId="77777777" w:rsidR="001601E2" w:rsidRPr="009A2C67" w:rsidRDefault="001601E2" w:rsidP="009A2C67">
            <w:pPr>
              <w:pStyle w:val="TableHeading"/>
            </w:pPr>
            <w:r w:rsidRPr="009A2C67">
              <w:t>description</w:t>
            </w:r>
          </w:p>
        </w:tc>
      </w:tr>
      <w:tr w:rsidR="001601E2" w14:paraId="76561DDA" w14:textId="77777777" w:rsidTr="00E06FB8">
        <w:tc>
          <w:tcPr>
            <w:tcW w:w="2410" w:type="dxa"/>
            <w:shd w:val="clear" w:color="auto" w:fill="auto"/>
          </w:tcPr>
          <w:p w14:paraId="212953A3" w14:textId="77777777" w:rsidR="001601E2" w:rsidRPr="009C3E56" w:rsidRDefault="001601E2" w:rsidP="002522C1">
            <w:pPr>
              <w:pStyle w:val="Tablebodytext"/>
              <w:ind w:left="173" w:hanging="173"/>
            </w:pPr>
            <w:r w:rsidRPr="009C3E56">
              <w:t>1</w:t>
            </w:r>
            <w:r w:rsidR="002522C1">
              <w:t>.</w:t>
            </w:r>
            <w:r w:rsidRPr="009C3E56">
              <w:t xml:space="preserve"> Advanced technology</w:t>
            </w:r>
          </w:p>
        </w:tc>
        <w:tc>
          <w:tcPr>
            <w:tcW w:w="5103" w:type="dxa"/>
          </w:tcPr>
          <w:p w14:paraId="497A5D32" w14:textId="7195F137" w:rsidR="001601E2" w:rsidRDefault="001601E2" w:rsidP="002E0A3E">
            <w:pPr>
              <w:pStyle w:val="Tablebodytext"/>
            </w:pPr>
            <w:r>
              <w:t>To enhance innovation of products, processes and practices across the food and fibre supply chains through technologies such as robotics, digitisation, big data, genetics and precision agriculture</w:t>
            </w:r>
            <w:r w:rsidR="00B25C0E">
              <w:t xml:space="preserve">. </w:t>
            </w:r>
          </w:p>
        </w:tc>
      </w:tr>
      <w:tr w:rsidR="001601E2" w14:paraId="24F2801B" w14:textId="77777777" w:rsidTr="00E06FB8">
        <w:tc>
          <w:tcPr>
            <w:tcW w:w="2410" w:type="dxa"/>
            <w:shd w:val="clear" w:color="auto" w:fill="auto"/>
          </w:tcPr>
          <w:p w14:paraId="60C43A77" w14:textId="77777777" w:rsidR="001601E2" w:rsidRPr="009C3E56" w:rsidRDefault="001601E2" w:rsidP="009C3E56">
            <w:pPr>
              <w:pStyle w:val="Tablebodytext"/>
            </w:pPr>
            <w:r w:rsidRPr="009C3E56">
              <w:t>2</w:t>
            </w:r>
            <w:r w:rsidR="002522C1">
              <w:t>.</w:t>
            </w:r>
            <w:r w:rsidRPr="009C3E56">
              <w:t xml:space="preserve"> Biosecurity</w:t>
            </w:r>
          </w:p>
        </w:tc>
        <w:tc>
          <w:tcPr>
            <w:tcW w:w="5103" w:type="dxa"/>
          </w:tcPr>
          <w:p w14:paraId="6303D440" w14:textId="77777777" w:rsidR="001601E2" w:rsidRDefault="001601E2" w:rsidP="002E0A3E">
            <w:pPr>
              <w:pStyle w:val="Tablebodytext"/>
            </w:pPr>
            <w:r>
              <w:t>To improve understanding and evidence of pest and disease pathways to help direct biosecurity resources to their best uses, minimising biosecurity threats and improving market access for primary producers.</w:t>
            </w:r>
          </w:p>
        </w:tc>
      </w:tr>
      <w:tr w:rsidR="001601E2" w14:paraId="752A8ADA" w14:textId="77777777" w:rsidTr="00E06FB8">
        <w:tc>
          <w:tcPr>
            <w:tcW w:w="2410" w:type="dxa"/>
            <w:shd w:val="clear" w:color="auto" w:fill="auto"/>
          </w:tcPr>
          <w:p w14:paraId="06295205" w14:textId="77777777" w:rsidR="001601E2" w:rsidRPr="009C3E56" w:rsidRDefault="001601E2" w:rsidP="002522C1">
            <w:pPr>
              <w:pStyle w:val="Tablebodytext"/>
              <w:ind w:left="173" w:hanging="142"/>
            </w:pPr>
            <w:r w:rsidRPr="009C3E56">
              <w:t>3</w:t>
            </w:r>
            <w:r w:rsidR="002522C1">
              <w:t>.</w:t>
            </w:r>
            <w:r w:rsidRPr="009C3E56">
              <w:t xml:space="preserve"> </w:t>
            </w:r>
            <w:r w:rsidR="002522C1">
              <w:t>S</w:t>
            </w:r>
            <w:r w:rsidRPr="009C3E56">
              <w:t>oil, water and managing natural resources</w:t>
            </w:r>
          </w:p>
        </w:tc>
        <w:tc>
          <w:tcPr>
            <w:tcW w:w="5103" w:type="dxa"/>
          </w:tcPr>
          <w:p w14:paraId="7A3C44DB" w14:textId="77777777" w:rsidR="001601E2" w:rsidRPr="009E728A" w:rsidRDefault="001601E2" w:rsidP="002E0A3E">
            <w:pPr>
              <w:spacing w:before="60" w:after="60"/>
              <w:ind w:left="0"/>
              <w:rPr>
                <w:sz w:val="19"/>
                <w:lang w:eastAsia="en-US"/>
              </w:rPr>
            </w:pPr>
            <w:r>
              <w:rPr>
                <w:sz w:val="19"/>
                <w:lang w:eastAsia="en-US"/>
              </w:rPr>
              <w:t>T</w:t>
            </w:r>
            <w:r w:rsidRPr="009E728A">
              <w:rPr>
                <w:sz w:val="19"/>
                <w:lang w:eastAsia="en-US"/>
              </w:rPr>
              <w:t>o manage soil health, improve water use efficiency and certainty of supply, sustainably develop new production areas and improve resilience to climate events and impacts.</w:t>
            </w:r>
          </w:p>
        </w:tc>
      </w:tr>
      <w:tr w:rsidR="001601E2" w14:paraId="0AC9C809" w14:textId="77777777" w:rsidTr="00E06FB8">
        <w:tc>
          <w:tcPr>
            <w:tcW w:w="2410" w:type="dxa"/>
            <w:shd w:val="clear" w:color="auto" w:fill="auto"/>
          </w:tcPr>
          <w:p w14:paraId="7C1DD2CA" w14:textId="77777777" w:rsidR="001601E2" w:rsidRPr="009C3E56" w:rsidRDefault="002522C1" w:rsidP="009C3E56">
            <w:pPr>
              <w:pStyle w:val="Tablebodytext"/>
            </w:pPr>
            <w:r>
              <w:t>4. A</w:t>
            </w:r>
            <w:r w:rsidR="001601E2" w:rsidRPr="009C3E56">
              <w:t>doption of R&amp;D</w:t>
            </w:r>
          </w:p>
        </w:tc>
        <w:tc>
          <w:tcPr>
            <w:tcW w:w="5103" w:type="dxa"/>
          </w:tcPr>
          <w:p w14:paraId="1F2C8A7E" w14:textId="77777777" w:rsidR="005513C5" w:rsidRDefault="001601E2" w:rsidP="002E0A3E">
            <w:pPr>
              <w:pStyle w:val="Tablebodytext"/>
            </w:pPr>
            <w:r>
              <w:t>Focusing on flexible delivery of extension services that meet primary producers’ needs and recognising the growing role of private s</w:t>
            </w:r>
            <w:r w:rsidR="00BA0CB3">
              <w:t>ector</w:t>
            </w:r>
            <w:r>
              <w:t xml:space="preserve"> delivery.</w:t>
            </w:r>
          </w:p>
        </w:tc>
      </w:tr>
    </w:tbl>
    <w:p w14:paraId="7A0BC6F3" w14:textId="481CCD9D" w:rsidR="001601E2" w:rsidRDefault="00C83004" w:rsidP="001601E2">
      <w:r w:rsidRPr="00C83004">
        <w:t xml:space="preserve">Adoption of research outputs was also identified as </w:t>
      </w:r>
      <w:r w:rsidR="001601E2" w:rsidRPr="00C83004">
        <w:t>key t</w:t>
      </w:r>
      <w:r w:rsidRPr="00C83004">
        <w:t>o the success of the program. Whereby</w:t>
      </w:r>
      <w:r w:rsidR="001601E2" w:rsidRPr="00C83004">
        <w:t xml:space="preserve"> applicants must consider how primary producers will use the outcomes and must build pathways to adoption or benefit into projects</w:t>
      </w:r>
      <w:r w:rsidR="00B25C0E">
        <w:t xml:space="preserve">. </w:t>
      </w:r>
    </w:p>
    <w:p w14:paraId="30DC55A2" w14:textId="77777777" w:rsidR="009B51BF" w:rsidRDefault="00720791" w:rsidP="000F0253">
      <w:pPr>
        <w:pStyle w:val="Heading4"/>
      </w:pPr>
      <w:r>
        <w:t>Projects to date</w:t>
      </w:r>
    </w:p>
    <w:p w14:paraId="0FCDFD59" w14:textId="2B9F7413" w:rsidR="00AA13B2" w:rsidRDefault="00E64E21" w:rsidP="000F0253">
      <w:pPr>
        <w:spacing w:before="200"/>
      </w:pPr>
      <w:r>
        <w:t>To date, three rounds of the program have been undertaken</w:t>
      </w:r>
      <w:r w:rsidR="00AA13B2">
        <w:t xml:space="preserve"> (in years 2014, 2015 and 2016)</w:t>
      </w:r>
      <w:r w:rsidR="00F41FDA">
        <w:t>,</w:t>
      </w:r>
      <w:r>
        <w:t xml:space="preserve"> with 36 projects funded</w:t>
      </w:r>
      <w:r w:rsidR="00B25C0E">
        <w:t xml:space="preserve">. </w:t>
      </w:r>
      <w:r>
        <w:t>One project has been completed</w:t>
      </w:r>
      <w:r w:rsidR="00B25C0E">
        <w:t xml:space="preserve">. </w:t>
      </w:r>
    </w:p>
    <w:p w14:paraId="6C7CFC79" w14:textId="45C94F1B" w:rsidR="00E64E21" w:rsidRDefault="00E64E21" w:rsidP="00A92FD5">
      <w:r>
        <w:t xml:space="preserve">The list of projects funded by round is provided at Attachment </w:t>
      </w:r>
      <w:r w:rsidR="00D621C0" w:rsidRPr="00D621C0">
        <w:t>A</w:t>
      </w:r>
      <w:r w:rsidR="00B25C0E">
        <w:t xml:space="preserve">. </w:t>
      </w:r>
    </w:p>
    <w:p w14:paraId="11EE9031" w14:textId="1D4ED952" w:rsidR="00682743" w:rsidRPr="00792102" w:rsidRDefault="00DB0229" w:rsidP="000F0253">
      <w:pPr>
        <w:pStyle w:val="Heading3"/>
      </w:pPr>
      <w:bookmarkStart w:id="13" w:name="_Toc500934695"/>
      <w:r>
        <w:t>Evaluation</w:t>
      </w:r>
      <w:r w:rsidR="0045762B">
        <w:t xml:space="preserve"> </w:t>
      </w:r>
      <w:r w:rsidR="00A8143D">
        <w:t xml:space="preserve">requirement, </w:t>
      </w:r>
      <w:r w:rsidR="004C3E96">
        <w:t>purpose and Terms of Reference</w:t>
      </w:r>
      <w:r w:rsidR="006B1BA5">
        <w:t xml:space="preserve"> (ToR)</w:t>
      </w:r>
      <w:bookmarkEnd w:id="13"/>
    </w:p>
    <w:p w14:paraId="081E6060" w14:textId="77777777" w:rsidR="00A8143D" w:rsidRDefault="00E06FB8" w:rsidP="000F0253">
      <w:pPr>
        <w:pStyle w:val="Heading4"/>
      </w:pPr>
      <w:r>
        <w:t>Evaluation r</w:t>
      </w:r>
      <w:r w:rsidR="00A8143D">
        <w:t>equirement</w:t>
      </w:r>
    </w:p>
    <w:p w14:paraId="1063FBAD" w14:textId="77777777" w:rsidR="00CF3F53" w:rsidRDefault="00CF3F53" w:rsidP="000F0253">
      <w:pPr>
        <w:spacing w:before="200"/>
      </w:pPr>
      <w:r>
        <w:t>The Rural R&amp;D for Profit program has the f</w:t>
      </w:r>
      <w:r w:rsidR="00204145">
        <w:t>ollowing evaluation requirement</w:t>
      </w:r>
      <w:r>
        <w:t>:</w:t>
      </w:r>
    </w:p>
    <w:p w14:paraId="66BAC32F" w14:textId="77777777" w:rsidR="00CF3F53" w:rsidRDefault="00CF3F53" w:rsidP="00565949">
      <w:pPr>
        <w:pStyle w:val="ListBullet"/>
      </w:pPr>
      <w:r>
        <w:t>a mid-point evaluation in year four of the program, to examine i</w:t>
      </w:r>
      <w:r w:rsidR="00136BB6">
        <w:t>f the program i</w:t>
      </w:r>
      <w:r>
        <w:t>s meeting its stated objectives, and consid</w:t>
      </w:r>
      <w:r w:rsidR="00BA0CB3">
        <w:t>er any needs for refinement</w:t>
      </w:r>
    </w:p>
    <w:p w14:paraId="25DEC9C7" w14:textId="4D0AD117" w:rsidR="00CF3F53" w:rsidRPr="004F45CF" w:rsidRDefault="00CF3F53" w:rsidP="00565949">
      <w:pPr>
        <w:pStyle w:val="ListBullet"/>
      </w:pPr>
      <w:r>
        <w:t>a final evaluation to be conducted in the eighth and final year of the program to measure performance against outcomes and impacts on primary producers</w:t>
      </w:r>
      <w:r w:rsidR="00B25C0E">
        <w:t xml:space="preserve">. </w:t>
      </w:r>
    </w:p>
    <w:p w14:paraId="6EEF99C0" w14:textId="437AABB1" w:rsidR="00CF3F53" w:rsidRDefault="00CF3F53" w:rsidP="00CF3F53">
      <w:r>
        <w:t xml:space="preserve">Grosvenor was engaged by the </w:t>
      </w:r>
      <w:r w:rsidR="002A5D7D">
        <w:t>d</w:t>
      </w:r>
      <w:r>
        <w:t>epartment to conduct the mid-point evaluation</w:t>
      </w:r>
      <w:r w:rsidR="00B25C0E">
        <w:t xml:space="preserve">. </w:t>
      </w:r>
    </w:p>
    <w:p w14:paraId="78EA5F5F" w14:textId="6F5ACED4" w:rsidR="00CF3F53" w:rsidRDefault="00CF3F53" w:rsidP="00CF3F53">
      <w:r>
        <w:t>This report documents the evaluation’s findings</w:t>
      </w:r>
      <w:r w:rsidR="005B3C3B">
        <w:t>, conclusions</w:t>
      </w:r>
      <w:r>
        <w:t xml:space="preserve"> and recommendations</w:t>
      </w:r>
      <w:r w:rsidR="00B25C0E">
        <w:t xml:space="preserve">. </w:t>
      </w:r>
    </w:p>
    <w:p w14:paraId="5259ACD5" w14:textId="77777777" w:rsidR="00CC6358" w:rsidRDefault="00CC6358">
      <w:pPr>
        <w:ind w:left="0"/>
        <w:rPr>
          <w:rFonts w:eastAsia="Times New Roman"/>
          <w:bCs/>
          <w:color w:val="595959"/>
          <w:sz w:val="28"/>
          <w:szCs w:val="24"/>
        </w:rPr>
      </w:pPr>
      <w:r>
        <w:br w:type="page"/>
      </w:r>
    </w:p>
    <w:p w14:paraId="554841D1" w14:textId="77777777" w:rsidR="00224513" w:rsidRDefault="00224513" w:rsidP="000F0253">
      <w:pPr>
        <w:pStyle w:val="Heading4"/>
      </w:pPr>
      <w:r>
        <w:t>Purpose and scope</w:t>
      </w:r>
    </w:p>
    <w:p w14:paraId="5011D1FB" w14:textId="77777777" w:rsidR="0045762B" w:rsidRDefault="0045762B" w:rsidP="000F0253">
      <w:pPr>
        <w:spacing w:before="200"/>
      </w:pPr>
      <w:r>
        <w:t>The purpose of th</w:t>
      </w:r>
      <w:r w:rsidR="00CC2D15">
        <w:t xml:space="preserve">e evaluation was to inform the </w:t>
      </w:r>
      <w:r w:rsidR="002A5D7D">
        <w:t>d</w:t>
      </w:r>
      <w:r w:rsidR="00CC2D15">
        <w:t>epartment program</w:t>
      </w:r>
      <w:r>
        <w:t xml:space="preserve"> team regarding:</w:t>
      </w:r>
    </w:p>
    <w:p w14:paraId="56B168F8" w14:textId="1495643F" w:rsidR="0045762B" w:rsidRDefault="0045762B" w:rsidP="00565949">
      <w:pPr>
        <w:pStyle w:val="ListBullet"/>
      </w:pPr>
      <w:r>
        <w:t>t</w:t>
      </w:r>
      <w:r w:rsidR="00DB0582">
        <w:t xml:space="preserve">he extent to which the program </w:t>
      </w:r>
      <w:r w:rsidR="00576FA3">
        <w:t>i</w:t>
      </w:r>
      <w:r>
        <w:t>s on track to achieve its long-term objectives, to identify opportunities for change and improvement and to provide recommendations to improve the perfo</w:t>
      </w:r>
      <w:r w:rsidR="00DB0582">
        <w:t>rmance measures for the program</w:t>
      </w:r>
    </w:p>
    <w:p w14:paraId="6F14C350" w14:textId="4715C667" w:rsidR="0045762B" w:rsidRDefault="0045762B" w:rsidP="00565949">
      <w:pPr>
        <w:pStyle w:val="ListBullet"/>
      </w:pPr>
      <w:r>
        <w:t>impacts of the program’s operating model (includes program</w:t>
      </w:r>
      <w:r w:rsidR="0043228B">
        <w:t xml:space="preserve"> design and approach) on the br</w:t>
      </w:r>
      <w:r>
        <w:t>o</w:t>
      </w:r>
      <w:r w:rsidR="0043228B">
        <w:t>a</w:t>
      </w:r>
      <w:r>
        <w:t>der RDC system</w:t>
      </w:r>
      <w:r w:rsidR="00DA1196">
        <w:t xml:space="preserve">, </w:t>
      </w:r>
      <w:r>
        <w:t>and lessons that can be learned from experience</w:t>
      </w:r>
      <w:r w:rsidR="00B25C0E">
        <w:t xml:space="preserve">. </w:t>
      </w:r>
    </w:p>
    <w:p w14:paraId="0A95D05F" w14:textId="368A4BA2" w:rsidR="003F02DB" w:rsidRDefault="0045762B" w:rsidP="00DF2DEA">
      <w:r>
        <w:t xml:space="preserve">The scope of the evaluation </w:t>
      </w:r>
      <w:r w:rsidR="00BA579D">
        <w:t xml:space="preserve">focused on the effectiveness and appropriateness of design and </w:t>
      </w:r>
      <w:r w:rsidR="0043228B">
        <w:t>delivery</w:t>
      </w:r>
      <w:r w:rsidR="00BA579D">
        <w:t xml:space="preserve"> of the </w:t>
      </w:r>
      <w:r w:rsidR="0043228B">
        <w:t>program</w:t>
      </w:r>
      <w:r w:rsidR="00BA579D">
        <w:t xml:space="preserve"> to date</w:t>
      </w:r>
      <w:r w:rsidR="00B25C0E">
        <w:t xml:space="preserve">. </w:t>
      </w:r>
      <w:r w:rsidR="00BA579D">
        <w:t xml:space="preserve">All 36 </w:t>
      </w:r>
      <w:r w:rsidR="00F83470">
        <w:t xml:space="preserve">funded </w:t>
      </w:r>
      <w:r w:rsidR="00BA579D">
        <w:t>projects were included</w:t>
      </w:r>
      <w:r w:rsidR="00B25C0E">
        <w:t xml:space="preserve">. </w:t>
      </w:r>
    </w:p>
    <w:p w14:paraId="30678D2D" w14:textId="58D3F7F1" w:rsidR="0045762B" w:rsidRDefault="0043228B" w:rsidP="00DF2DEA">
      <w:r>
        <w:t>Assessment</w:t>
      </w:r>
      <w:r w:rsidR="00BA579D">
        <w:t xml:space="preserve"> of financial process</w:t>
      </w:r>
      <w:r w:rsidR="00BA0CB3">
        <w:t>es</w:t>
      </w:r>
      <w:r w:rsidR="00BA579D">
        <w:t xml:space="preserve"> and achievement of value for money was outside the scope of the evaluation</w:t>
      </w:r>
      <w:r w:rsidR="00B25C0E">
        <w:t xml:space="preserve">. </w:t>
      </w:r>
    </w:p>
    <w:p w14:paraId="0F9FC7D3" w14:textId="77777777" w:rsidR="00682743" w:rsidRPr="00943967" w:rsidRDefault="00A10AAA" w:rsidP="000F0253">
      <w:pPr>
        <w:pStyle w:val="Heading4"/>
      </w:pPr>
      <w:bookmarkStart w:id="14" w:name="_Toc479086877"/>
      <w:bookmarkStart w:id="15" w:name="_Ref480970018"/>
      <w:bookmarkStart w:id="16" w:name="_Toc482970189"/>
      <w:r>
        <w:t>T</w:t>
      </w:r>
      <w:r w:rsidR="00215AA8">
        <w:t>oR</w:t>
      </w:r>
      <w:r w:rsidR="008A7D9E">
        <w:t>, key evaluation questions</w:t>
      </w:r>
      <w:r w:rsidR="00845DA1">
        <w:t xml:space="preserve"> (KEQs)</w:t>
      </w:r>
      <w:r w:rsidR="009E7385">
        <w:t xml:space="preserve"> </w:t>
      </w:r>
      <w:r w:rsidR="00682743" w:rsidRPr="00943967">
        <w:t xml:space="preserve">and </w:t>
      </w:r>
      <w:r w:rsidR="009D5AF6">
        <w:t>d</w:t>
      </w:r>
      <w:r w:rsidR="009D5AF6" w:rsidRPr="00943967">
        <w:t xml:space="preserve">ata </w:t>
      </w:r>
      <w:bookmarkEnd w:id="14"/>
      <w:r w:rsidR="009D5AF6">
        <w:t>s</w:t>
      </w:r>
      <w:r w:rsidR="009D5AF6" w:rsidRPr="00943967">
        <w:t>ources</w:t>
      </w:r>
      <w:bookmarkEnd w:id="15"/>
      <w:bookmarkEnd w:id="16"/>
    </w:p>
    <w:p w14:paraId="7FC1A046" w14:textId="45A7F461" w:rsidR="00921A8F" w:rsidRDefault="00A10AAA" w:rsidP="000F0253">
      <w:pPr>
        <w:spacing w:before="200"/>
      </w:pPr>
      <w:r>
        <w:t>ToR and KEQs</w:t>
      </w:r>
      <w:r w:rsidR="00900741">
        <w:t xml:space="preserve"> for the evaluation </w:t>
      </w:r>
      <w:r w:rsidR="003405C7">
        <w:t>were developed</w:t>
      </w:r>
      <w:r w:rsidR="002D7C53">
        <w:t>, as follows</w:t>
      </w:r>
      <w:r w:rsidR="00B25C0E">
        <w:t xml:space="preserve">. </w:t>
      </w:r>
      <w:r w:rsidR="00AB05D2">
        <w:t>(Note, as this was</w:t>
      </w:r>
      <w:r w:rsidR="00AB05D2" w:rsidRPr="005F7664">
        <w:t xml:space="preserve"> a </w:t>
      </w:r>
      <w:r w:rsidR="00AB05D2">
        <w:t>mid-program</w:t>
      </w:r>
      <w:r w:rsidR="00AB05D2" w:rsidRPr="005F7664">
        <w:t xml:space="preserve"> evaluation, </w:t>
      </w:r>
      <w:r w:rsidR="00AB05D2">
        <w:t>the</w:t>
      </w:r>
      <w:r w:rsidR="00F83470">
        <w:t xml:space="preserve"> focus was on both</w:t>
      </w:r>
      <w:r w:rsidR="00AB05D2" w:rsidRPr="005F7664">
        <w:t xml:space="preserve"> </w:t>
      </w:r>
      <w:r w:rsidR="00AB05D2">
        <w:t>what had</w:t>
      </w:r>
      <w:r w:rsidR="00AB05D2" w:rsidRPr="005F7664">
        <w:t xml:space="preserve"> occurred to date </w:t>
      </w:r>
      <w:r w:rsidR="00AB05D2">
        <w:t>and / or what was</w:t>
      </w:r>
      <w:r w:rsidR="00BA0CB3">
        <w:t xml:space="preserve"> expected to occur </w:t>
      </w:r>
      <w:r w:rsidR="00AB05D2">
        <w:t xml:space="preserve">in the </w:t>
      </w:r>
      <w:r w:rsidR="00BA0CB3">
        <w:t>future</w:t>
      </w:r>
      <w:r w:rsidR="00AB05D2" w:rsidRPr="005F7664">
        <w:t xml:space="preserve">. For </w:t>
      </w:r>
      <w:r w:rsidR="00AB05D2">
        <w:t xml:space="preserve">simplicity’s sake and </w:t>
      </w:r>
      <w:r w:rsidR="00AB05D2" w:rsidRPr="005F7664">
        <w:t>ease of reading</w:t>
      </w:r>
      <w:r w:rsidR="00AB05D2" w:rsidRPr="00591C3F">
        <w:t xml:space="preserve">, </w:t>
      </w:r>
      <w:r w:rsidR="00AB05D2">
        <w:t>all KEQs were</w:t>
      </w:r>
      <w:r w:rsidR="00AB05D2" w:rsidRPr="00591C3F">
        <w:t xml:space="preserve"> </w:t>
      </w:r>
      <w:r w:rsidR="00AB05D2">
        <w:t>posed</w:t>
      </w:r>
      <w:r w:rsidR="00AB05D2" w:rsidRPr="00591C3F">
        <w:t xml:space="preserve"> in the past tense.</w:t>
      </w:r>
      <w:r w:rsidR="00F83470">
        <w:t>)</w:t>
      </w:r>
    </w:p>
    <w:tbl>
      <w:tblPr>
        <w:tblStyle w:val="TableGrid"/>
        <w:tblW w:w="7938" w:type="dxa"/>
        <w:tblInd w:w="709" w:type="dxa"/>
        <w:tblBorders>
          <w:top w:val="none" w:sz="0" w:space="0" w:color="auto"/>
          <w:left w:val="none" w:sz="0" w:space="0" w:color="auto"/>
          <w:bottom w:val="none" w:sz="0" w:space="0" w:color="auto"/>
          <w:right w:val="none" w:sz="0" w:space="0" w:color="auto"/>
          <w:insideH w:val="single" w:sz="4" w:space="0" w:color="0092CF"/>
          <w:insideV w:val="single" w:sz="4" w:space="0" w:color="0092CF"/>
        </w:tblBorders>
        <w:tblLook w:val="04A0" w:firstRow="1" w:lastRow="0" w:firstColumn="1" w:lastColumn="0" w:noHBand="0" w:noVBand="1"/>
      </w:tblPr>
      <w:tblGrid>
        <w:gridCol w:w="7938"/>
      </w:tblGrid>
      <w:tr w:rsidR="0083020E" w14:paraId="3E619EE2" w14:textId="77777777" w:rsidTr="0083020E">
        <w:tc>
          <w:tcPr>
            <w:tcW w:w="7938" w:type="dxa"/>
          </w:tcPr>
          <w:p w14:paraId="422E873B" w14:textId="77777777" w:rsidR="0083020E" w:rsidRPr="00BA6B69" w:rsidRDefault="0083020E" w:rsidP="00862BEE">
            <w:pPr>
              <w:pStyle w:val="Tablebodytext"/>
            </w:pPr>
            <w:r w:rsidRPr="00BA6B69">
              <w:t>1</w:t>
            </w:r>
            <w:r w:rsidR="00BA0CB3">
              <w:tab/>
              <w:t>To what extent is the program</w:t>
            </w:r>
            <w:r w:rsidRPr="00BA6B69">
              <w:t xml:space="preserve"> on track to achieve long-term </w:t>
            </w:r>
            <w:r w:rsidR="00BA6B69">
              <w:t>outcomes?</w:t>
            </w:r>
          </w:p>
          <w:p w14:paraId="0E06A832" w14:textId="77777777" w:rsidR="00BA6B69" w:rsidRDefault="00BA6B69" w:rsidP="00862BEE">
            <w:pPr>
              <w:pStyle w:val="Tablebodytextintent"/>
            </w:pPr>
            <w:r>
              <w:t>1.1</w:t>
            </w:r>
            <w:r>
              <w:tab/>
              <w:t>To what extent have ne</w:t>
            </w:r>
            <w:r w:rsidRPr="007A2731">
              <w:t>w</w:t>
            </w:r>
            <w:r>
              <w:t xml:space="preserve"> and innovative</w:t>
            </w:r>
            <w:r w:rsidRPr="007A2731">
              <w:t xml:space="preserve"> research collaborations</w:t>
            </w:r>
            <w:r>
              <w:t xml:space="preserve"> been established as a result of the program</w:t>
            </w:r>
            <w:r w:rsidRPr="007A2731">
              <w:t>?</w:t>
            </w:r>
          </w:p>
          <w:p w14:paraId="306F3DC3" w14:textId="77777777" w:rsidR="00BA6B69" w:rsidRPr="00A23645" w:rsidRDefault="00BA6B69" w:rsidP="00862BEE">
            <w:pPr>
              <w:pStyle w:val="Tablebodytextintent"/>
            </w:pPr>
            <w:r>
              <w:t>1.2</w:t>
            </w:r>
            <w:r>
              <w:tab/>
              <w:t xml:space="preserve">To what extent has the program generated </w:t>
            </w:r>
            <w:r w:rsidRPr="007A2731">
              <w:t xml:space="preserve">knowledge, technologies, products or processes that benefit primary </w:t>
            </w:r>
            <w:r w:rsidRPr="00A23645">
              <w:t>producers?</w:t>
            </w:r>
          </w:p>
          <w:p w14:paraId="36A13323" w14:textId="77777777" w:rsidR="00BA6B69" w:rsidRPr="00A23645" w:rsidRDefault="00BA6B69" w:rsidP="00862BEE">
            <w:pPr>
              <w:pStyle w:val="Tablebodytextintent"/>
            </w:pPr>
            <w:r>
              <w:t>1.3</w:t>
            </w:r>
            <w:r>
              <w:tab/>
            </w:r>
            <w:r w:rsidRPr="00A23645">
              <w:t>To what extent has the program improved understanding of the barriers to adoption</w:t>
            </w:r>
            <w:r>
              <w:t xml:space="preserve"> of research by primary producers?</w:t>
            </w:r>
          </w:p>
          <w:p w14:paraId="6133A2A0" w14:textId="77777777" w:rsidR="00BA6B69" w:rsidRDefault="00BA6B69" w:rsidP="00862BEE">
            <w:pPr>
              <w:pStyle w:val="Tablebodytextintent"/>
            </w:pPr>
            <w:bookmarkStart w:id="17" w:name="_Hlk487017950"/>
            <w:r>
              <w:t>1.4</w:t>
            </w:r>
            <w:r>
              <w:tab/>
              <w:t xml:space="preserve">To what extent has the program strengthened </w:t>
            </w:r>
            <w:r w:rsidRPr="007A2731">
              <w:t xml:space="preserve">pathways </w:t>
            </w:r>
            <w:r>
              <w:t xml:space="preserve">to extend results of rural R&amp;D to end users? </w:t>
            </w:r>
            <w:bookmarkEnd w:id="17"/>
          </w:p>
          <w:p w14:paraId="14F2B6F5" w14:textId="77777777" w:rsidR="00BA6B69" w:rsidRDefault="00BA6B69" w:rsidP="00862BEE">
            <w:pPr>
              <w:pStyle w:val="Tablebodytextintent"/>
            </w:pPr>
            <w:bookmarkStart w:id="18" w:name="_Hlk487018014"/>
            <w:r>
              <w:t>1.5</w:t>
            </w:r>
            <w:r>
              <w:tab/>
              <w:t>Are</w:t>
            </w:r>
            <w:r w:rsidRPr="007A2731">
              <w:t xml:space="preserve"> current performance measures sufficient to demo</w:t>
            </w:r>
            <w:r>
              <w:t xml:space="preserve">nstrate achievement of program outcomes?  Are they </w:t>
            </w:r>
            <w:r w:rsidR="002762F2">
              <w:t>measurable</w:t>
            </w:r>
            <w:r>
              <w:t>?</w:t>
            </w:r>
            <w:bookmarkEnd w:id="18"/>
          </w:p>
        </w:tc>
      </w:tr>
      <w:tr w:rsidR="0083020E" w14:paraId="5E99C372" w14:textId="77777777" w:rsidTr="0083020E">
        <w:tc>
          <w:tcPr>
            <w:tcW w:w="7938" w:type="dxa"/>
          </w:tcPr>
          <w:p w14:paraId="421921B0" w14:textId="77777777" w:rsidR="0083020E" w:rsidRPr="0081270E" w:rsidRDefault="0083020E" w:rsidP="00862BEE">
            <w:pPr>
              <w:pStyle w:val="Tablebodytext"/>
            </w:pPr>
            <w:r w:rsidRPr="0081270E">
              <w:t>2.</w:t>
            </w:r>
            <w:r w:rsidRPr="0081270E">
              <w:tab/>
              <w:t xml:space="preserve">To what extent is the program operating model appropriate?  </w:t>
            </w:r>
          </w:p>
          <w:p w14:paraId="592E31C1" w14:textId="77777777" w:rsidR="0083020E" w:rsidRDefault="0081270E" w:rsidP="00862BEE">
            <w:pPr>
              <w:pStyle w:val="Tablebodytextintent"/>
              <w:rPr>
                <w:rStyle w:val="CommentReference"/>
              </w:rPr>
            </w:pPr>
            <w:r>
              <w:t>2.1</w:t>
            </w:r>
            <w:r>
              <w:tab/>
            </w:r>
            <w:r w:rsidR="0083020E" w:rsidRPr="005C6B54">
              <w:t>How effective and efficient was the implementation, administration and service delivery of the program?</w:t>
            </w:r>
          </w:p>
          <w:p w14:paraId="5C37AAA1" w14:textId="77777777" w:rsidR="0083020E" w:rsidRDefault="0081270E" w:rsidP="00862BEE">
            <w:pPr>
              <w:pStyle w:val="Tablebodytextintent"/>
            </w:pPr>
            <w:r>
              <w:t>2.2</w:t>
            </w:r>
            <w:r>
              <w:tab/>
            </w:r>
            <w:r w:rsidR="0083020E">
              <w:t xml:space="preserve">To what extent does the program’s operating model meet the needs of RDCs and government?  </w:t>
            </w:r>
          </w:p>
        </w:tc>
      </w:tr>
      <w:tr w:rsidR="0083020E" w14:paraId="2F60BA71" w14:textId="77777777" w:rsidTr="0083020E">
        <w:tc>
          <w:tcPr>
            <w:tcW w:w="7938" w:type="dxa"/>
          </w:tcPr>
          <w:p w14:paraId="4BEBC7E7" w14:textId="43170579" w:rsidR="0083020E" w:rsidRPr="00921A8F" w:rsidRDefault="00862BEE" w:rsidP="000F0253">
            <w:pPr>
              <w:pStyle w:val="Tablebodytext"/>
              <w:ind w:left="743" w:hanging="743"/>
            </w:pPr>
            <w:r>
              <w:t>3.</w:t>
            </w:r>
            <w:r w:rsidR="0083020E" w:rsidRPr="00921A8F">
              <w:tab/>
              <w:t>What are the lessons learnt from the design and delivery of R</w:t>
            </w:r>
            <w:r w:rsidR="00BA0CB3">
              <w:t>ural R&amp;D for Profit</w:t>
            </w:r>
            <w:r w:rsidR="0083020E" w:rsidRPr="00921A8F">
              <w:t xml:space="preserve"> to date?  Are there any opportunities for improvement?  </w:t>
            </w:r>
          </w:p>
        </w:tc>
      </w:tr>
    </w:tbl>
    <w:p w14:paraId="2CDD4C81" w14:textId="77777777" w:rsidR="00FF5899" w:rsidRDefault="00FF5899" w:rsidP="000F0253">
      <w:pPr>
        <w:pStyle w:val="Heading3"/>
      </w:pPr>
      <w:bookmarkStart w:id="19" w:name="_Toc500934696"/>
      <w:bookmarkStart w:id="20" w:name="_Ref483986653"/>
      <w:bookmarkStart w:id="21" w:name="_Ref483985766"/>
      <w:r>
        <w:t>Methodology</w:t>
      </w:r>
      <w:bookmarkEnd w:id="19"/>
    </w:p>
    <w:p w14:paraId="40CCC755" w14:textId="77777777" w:rsidR="00852EFF" w:rsidRDefault="00852EFF" w:rsidP="000F0253">
      <w:pPr>
        <w:pStyle w:val="Heading4"/>
      </w:pPr>
      <w:r>
        <w:t>Approach</w:t>
      </w:r>
    </w:p>
    <w:p w14:paraId="0B07D2E3" w14:textId="2CE8DCF7" w:rsidR="00682743" w:rsidRPr="00D447B3" w:rsidRDefault="006E255E" w:rsidP="000F0253">
      <w:pPr>
        <w:spacing w:before="200"/>
      </w:pPr>
      <w:r>
        <w:t>The evaluation adopted a highly consultative approach</w:t>
      </w:r>
      <w:r w:rsidR="00E43EEC">
        <w:t>,</w:t>
      </w:r>
      <w:r>
        <w:t xml:space="preserve"> and comprised a combination of qualitative and quantitative data collection</w:t>
      </w:r>
      <w:r w:rsidR="00B25C0E">
        <w:t xml:space="preserve">. </w:t>
      </w:r>
      <w:r w:rsidR="002B1CCF">
        <w:t>T</w:t>
      </w:r>
      <w:r w:rsidR="002B1CCF" w:rsidRPr="00D447B3">
        <w:t xml:space="preserve">he evaluation </w:t>
      </w:r>
      <w:r w:rsidR="002B1CCF" w:rsidRPr="005A2901">
        <w:t xml:space="preserve">was </w:t>
      </w:r>
      <w:r w:rsidR="002B1CCF" w:rsidRPr="00D447B3">
        <w:t>informed by a</w:t>
      </w:r>
      <w:r w:rsidR="002B1CCF">
        <w:t xml:space="preserve"> range of activities</w:t>
      </w:r>
      <w:r w:rsidR="00900741">
        <w:t>, including desktop analysis and stakeholder consultations</w:t>
      </w:r>
      <w:r w:rsidR="00B25C0E">
        <w:t xml:space="preserve">. </w:t>
      </w:r>
    </w:p>
    <w:p w14:paraId="4631FB1F" w14:textId="77777777" w:rsidR="00F83660" w:rsidRDefault="00F83660" w:rsidP="000F0253">
      <w:pPr>
        <w:pStyle w:val="Heading4"/>
      </w:pPr>
      <w:r>
        <w:t>D</w:t>
      </w:r>
      <w:r w:rsidR="00682743" w:rsidRPr="004D5416">
        <w:t>esktop analysis o</w:t>
      </w:r>
      <w:r w:rsidR="00587225">
        <w:t>f existing project and program</w:t>
      </w:r>
      <w:r w:rsidR="00682743" w:rsidRPr="004D5416">
        <w:t xml:space="preserve"> materials</w:t>
      </w:r>
    </w:p>
    <w:bookmarkEnd w:id="20"/>
    <w:bookmarkEnd w:id="21"/>
    <w:p w14:paraId="067BB7FF" w14:textId="6368A49F" w:rsidR="00682743" w:rsidRPr="00792102" w:rsidRDefault="00682743" w:rsidP="000F0253">
      <w:pPr>
        <w:spacing w:before="200"/>
      </w:pPr>
      <w:r w:rsidRPr="00792102">
        <w:t>T</w:t>
      </w:r>
      <w:r w:rsidR="00CA469C">
        <w:t xml:space="preserve">he desktop review considered data relating to </w:t>
      </w:r>
      <w:r w:rsidRPr="00792102">
        <w:t xml:space="preserve">each </w:t>
      </w:r>
      <w:r w:rsidR="00CA469C">
        <w:t>of the 36</w:t>
      </w:r>
      <w:r w:rsidRPr="00792102">
        <w:t xml:space="preserve"> project</w:t>
      </w:r>
      <w:r w:rsidR="00CA469C">
        <w:t>s</w:t>
      </w:r>
      <w:r w:rsidRPr="00792102">
        <w:t xml:space="preserve">, with a </w:t>
      </w:r>
      <w:r w:rsidR="00CA469C">
        <w:t>focus on Round 1 projects (</w:t>
      </w:r>
      <w:r w:rsidR="00D6323F">
        <w:t xml:space="preserve">those </w:t>
      </w:r>
      <w:r w:rsidR="00CA469C">
        <w:t>being the most mature</w:t>
      </w:r>
      <w:r w:rsidR="00086FEE">
        <w:t xml:space="preserve"> and more likely</w:t>
      </w:r>
      <w:r w:rsidR="00CA469C">
        <w:t xml:space="preserve"> to </w:t>
      </w:r>
      <w:r w:rsidR="00086FEE">
        <w:t>have</w:t>
      </w:r>
      <w:r w:rsidR="00CA469C">
        <w:t xml:space="preserve"> evidence </w:t>
      </w:r>
      <w:r w:rsidR="00086FEE">
        <w:t>of</w:t>
      </w:r>
      <w:r w:rsidR="00CA469C">
        <w:t xml:space="preserve"> impacts)</w:t>
      </w:r>
      <w:r w:rsidR="00B25C0E">
        <w:t xml:space="preserve">. </w:t>
      </w:r>
    </w:p>
    <w:p w14:paraId="534E5C0C" w14:textId="13F13C27" w:rsidR="00826996" w:rsidRDefault="00D6323F" w:rsidP="00826996">
      <w:r>
        <w:t>D</w:t>
      </w:r>
      <w:r w:rsidR="00682743">
        <w:t>ata for each</w:t>
      </w:r>
      <w:r w:rsidR="00682743" w:rsidRPr="00792102">
        <w:t xml:space="preserve"> project</w:t>
      </w:r>
      <w:r w:rsidR="00F13E55">
        <w:t xml:space="preserve"> was collated and analysed</w:t>
      </w:r>
      <w:r w:rsidR="00985825">
        <w:t xml:space="preserve">, including review of </w:t>
      </w:r>
      <w:r w:rsidR="00682743">
        <w:t>funding agreements, project plans, milestone reports, variations and final report</w:t>
      </w:r>
      <w:r w:rsidR="009D5AF6">
        <w:t>s</w:t>
      </w:r>
      <w:r w:rsidR="00682743">
        <w:t xml:space="preserve"> </w:t>
      </w:r>
      <w:r w:rsidR="00124982">
        <w:t>where available</w:t>
      </w:r>
      <w:r w:rsidR="00F83470">
        <w:t xml:space="preserve"> (one project)</w:t>
      </w:r>
      <w:r w:rsidR="00B25C0E">
        <w:t xml:space="preserve">. </w:t>
      </w:r>
    </w:p>
    <w:p w14:paraId="002E0ADC" w14:textId="3AC47DBF" w:rsidR="00826996" w:rsidRDefault="004C633F" w:rsidP="00A80584">
      <w:r>
        <w:t>Program plans, frameworks a</w:t>
      </w:r>
      <w:r w:rsidR="00A80584">
        <w:t>nd reports were also assessed as well as e</w:t>
      </w:r>
      <w:r w:rsidR="008064F6">
        <w:t xml:space="preserve">xternal </w:t>
      </w:r>
      <w:r w:rsidR="00826996">
        <w:t xml:space="preserve">reports </w:t>
      </w:r>
      <w:r w:rsidR="00A80584">
        <w:t>and contextual documentation</w:t>
      </w:r>
      <w:r w:rsidR="00B25C0E">
        <w:t xml:space="preserve">. </w:t>
      </w:r>
    </w:p>
    <w:p w14:paraId="01634CE1" w14:textId="77777777" w:rsidR="00682743" w:rsidRPr="00D40A39" w:rsidRDefault="00682743" w:rsidP="000F0253">
      <w:pPr>
        <w:pStyle w:val="Heading4"/>
      </w:pPr>
      <w:r w:rsidRPr="00B90B82">
        <w:t>Stakeholder</w:t>
      </w:r>
      <w:r w:rsidRPr="00D40A39">
        <w:t xml:space="preserve"> consultations</w:t>
      </w:r>
    </w:p>
    <w:p w14:paraId="5988F4A2" w14:textId="77777777" w:rsidR="00EC451C" w:rsidRDefault="009425A1" w:rsidP="000F0253">
      <w:pPr>
        <w:spacing w:before="200"/>
      </w:pPr>
      <w:r>
        <w:t>Consultations were undertaken with a range of</w:t>
      </w:r>
      <w:r w:rsidR="00EC451C">
        <w:t xml:space="preserve"> internal and external stakeholders</w:t>
      </w:r>
      <w:r w:rsidR="004E4325">
        <w:t>:</w:t>
      </w:r>
    </w:p>
    <w:p w14:paraId="761DC918" w14:textId="77777777" w:rsidR="00127249" w:rsidRPr="004D5416" w:rsidRDefault="00515B48" w:rsidP="00565949">
      <w:pPr>
        <w:pStyle w:val="ListBullet"/>
      </w:pPr>
      <w:r>
        <w:t>i</w:t>
      </w:r>
      <w:r w:rsidR="00AB6121">
        <w:t xml:space="preserve">nterviews with </w:t>
      </w:r>
      <w:r w:rsidR="00332945" w:rsidRPr="00D754CB">
        <w:t>Research Managers</w:t>
      </w:r>
      <w:r w:rsidR="00127249">
        <w:t xml:space="preserve"> and </w:t>
      </w:r>
      <w:r w:rsidR="00470BD0" w:rsidRPr="00D754CB">
        <w:t>Project Managers (where available)</w:t>
      </w:r>
      <w:r w:rsidR="00127249">
        <w:t xml:space="preserve"> from each of the </w:t>
      </w:r>
      <w:r w:rsidR="00127249" w:rsidRPr="00E36EBE">
        <w:t>15</w:t>
      </w:r>
      <w:r w:rsidR="00127249">
        <w:t xml:space="preserve"> </w:t>
      </w:r>
      <w:r>
        <w:t xml:space="preserve">Rural </w:t>
      </w:r>
      <w:r w:rsidR="00332945" w:rsidRPr="00D754CB">
        <w:t>RDCS</w:t>
      </w:r>
      <w:r w:rsidR="00127249">
        <w:t xml:space="preserve"> </w:t>
      </w:r>
    </w:p>
    <w:p w14:paraId="6FB8A5DC" w14:textId="77777777" w:rsidR="00EC451C" w:rsidRPr="002B16B7" w:rsidRDefault="00C4220D" w:rsidP="00565949">
      <w:pPr>
        <w:pStyle w:val="ListBullet"/>
      </w:pPr>
      <w:r>
        <w:t xml:space="preserve">online </w:t>
      </w:r>
      <w:r w:rsidR="00AB6121">
        <w:t>survey of p</w:t>
      </w:r>
      <w:r w:rsidR="00EC451C">
        <w:t>roject partner organisations</w:t>
      </w:r>
      <w:r w:rsidR="002B16B7">
        <w:t xml:space="preserve">, distributed via the RDC </w:t>
      </w:r>
      <w:r w:rsidR="00A76215">
        <w:t xml:space="preserve">Research </w:t>
      </w:r>
      <w:r w:rsidR="002B16B7">
        <w:t>Manager</w:t>
      </w:r>
      <w:r>
        <w:t>s</w:t>
      </w:r>
      <w:r w:rsidR="002B16B7" w:rsidRPr="002B16B7">
        <w:t xml:space="preserve"> </w:t>
      </w:r>
    </w:p>
    <w:p w14:paraId="19BFEAC6" w14:textId="77777777" w:rsidR="00EC451C" w:rsidRDefault="00C4220D" w:rsidP="00565949">
      <w:pPr>
        <w:pStyle w:val="ListBullet"/>
      </w:pPr>
      <w:r>
        <w:t>i</w:t>
      </w:r>
      <w:r w:rsidR="002B16B7" w:rsidRPr="008307C2">
        <w:t>nterviews</w:t>
      </w:r>
      <w:r w:rsidR="00AB6121">
        <w:t xml:space="preserve"> with a </w:t>
      </w:r>
      <w:r w:rsidR="002B16B7" w:rsidRPr="008307C2">
        <w:t>sm</w:t>
      </w:r>
      <w:r w:rsidR="002B16B7" w:rsidRPr="00740DAA">
        <w:t xml:space="preserve">all </w:t>
      </w:r>
      <w:r w:rsidR="00AB6121" w:rsidRPr="00740DAA">
        <w:t>sample</w:t>
      </w:r>
      <w:r w:rsidR="002B16B7" w:rsidRPr="00740DAA">
        <w:t xml:space="preserve"> of</w:t>
      </w:r>
      <w:r w:rsidR="00434677">
        <w:t xml:space="preserve"> Sustainable Agriculture Facilitators</w:t>
      </w:r>
      <w:r w:rsidR="002B16B7" w:rsidRPr="00740DAA">
        <w:t xml:space="preserve"> </w:t>
      </w:r>
      <w:r>
        <w:t xml:space="preserve">from the </w:t>
      </w:r>
      <w:r w:rsidR="002A5D7D">
        <w:t>d</w:t>
      </w:r>
      <w:r>
        <w:t>epartment</w:t>
      </w:r>
    </w:p>
    <w:p w14:paraId="729E7F86" w14:textId="77777777" w:rsidR="002B16B7" w:rsidRPr="002B16B7" w:rsidRDefault="00F3287E" w:rsidP="00565949">
      <w:pPr>
        <w:pStyle w:val="ListBullet"/>
      </w:pPr>
      <w:r>
        <w:t>i</w:t>
      </w:r>
      <w:r w:rsidR="002B16B7" w:rsidRPr="002B16B7">
        <w:t xml:space="preserve">nterviews with a small sample of stakeholders not directly participating in </w:t>
      </w:r>
      <w:r>
        <w:t>the program</w:t>
      </w:r>
      <w:r w:rsidR="002B16B7" w:rsidRPr="002B16B7">
        <w:t>, for example, representative</w:t>
      </w:r>
      <w:r w:rsidR="003C625D">
        <w:t>s from the Council of Rural RDCs</w:t>
      </w:r>
      <w:r w:rsidR="002B16B7" w:rsidRPr="002B16B7">
        <w:t xml:space="preserve"> and </w:t>
      </w:r>
      <w:r w:rsidR="00FD13C1">
        <w:t>partner organisation representatives</w:t>
      </w:r>
      <w:r w:rsidR="002B16B7" w:rsidRPr="002B16B7">
        <w:t xml:space="preserve"> from u</w:t>
      </w:r>
      <w:r w:rsidR="0031493B">
        <w:t>nsuccessful project proposals</w:t>
      </w:r>
    </w:p>
    <w:p w14:paraId="458F3077" w14:textId="77777777" w:rsidR="006E255E" w:rsidRDefault="00CA2908" w:rsidP="00565949">
      <w:pPr>
        <w:pStyle w:val="ListBullet"/>
      </w:pPr>
      <w:r>
        <w:t>i</w:t>
      </w:r>
      <w:r w:rsidR="006E255E" w:rsidRPr="00D754CB">
        <w:t>nterviews</w:t>
      </w:r>
      <w:r w:rsidR="006E255E">
        <w:t xml:space="preserve"> with </w:t>
      </w:r>
      <w:r>
        <w:t xml:space="preserve">program staff </w:t>
      </w:r>
      <w:r w:rsidR="006E255E" w:rsidRPr="004D5416">
        <w:t xml:space="preserve">from the </w:t>
      </w:r>
      <w:r w:rsidR="002A5D7D">
        <w:t>d</w:t>
      </w:r>
      <w:r>
        <w:t>epartment</w:t>
      </w:r>
      <w:r w:rsidR="00900741">
        <w:t>.</w:t>
      </w:r>
    </w:p>
    <w:p w14:paraId="21431794" w14:textId="6F237E78" w:rsidR="00CA2908" w:rsidRPr="00E36EBE" w:rsidRDefault="00CA2908" w:rsidP="002E7EDE">
      <w:r>
        <w:t xml:space="preserve">Further, the evaluation </w:t>
      </w:r>
      <w:r w:rsidRPr="00E36EBE">
        <w:t>research</w:t>
      </w:r>
      <w:r>
        <w:t>ed</w:t>
      </w:r>
      <w:r w:rsidRPr="00E36EBE">
        <w:t xml:space="preserve"> four </w:t>
      </w:r>
      <w:r>
        <w:t xml:space="preserve">Round 1 </w:t>
      </w:r>
      <w:r w:rsidRPr="00E36EBE">
        <w:t>project</w:t>
      </w:r>
      <w:r>
        <w:t>s as short</w:t>
      </w:r>
      <w:r w:rsidRPr="00E36EBE">
        <w:t xml:space="preserve"> case studies</w:t>
      </w:r>
      <w:r w:rsidR="00B25C0E">
        <w:t xml:space="preserve">. </w:t>
      </w:r>
      <w:r w:rsidRPr="00E36EBE">
        <w:t>The</w:t>
      </w:r>
      <w:r>
        <w:t>se</w:t>
      </w:r>
      <w:r w:rsidRPr="00E36EBE">
        <w:t xml:space="preserve"> were </w:t>
      </w:r>
      <w:r>
        <w:t>informed by project documentation,</w:t>
      </w:r>
      <w:r w:rsidRPr="00E36EBE">
        <w:t xml:space="preserve"> interviews with relevant RDC representatives, project partners</w:t>
      </w:r>
      <w:r w:rsidR="00DA1196">
        <w:t>,</w:t>
      </w:r>
      <w:r w:rsidR="00DA1196" w:rsidRPr="00E36EBE">
        <w:t xml:space="preserve"> </w:t>
      </w:r>
      <w:r w:rsidR="003F5BEE">
        <w:t xml:space="preserve">and where available, </w:t>
      </w:r>
      <w:r>
        <w:t>primary producers</w:t>
      </w:r>
      <w:r w:rsidR="003F5BEE">
        <w:t xml:space="preserve"> and extension providers</w:t>
      </w:r>
      <w:r w:rsidR="00B25C0E">
        <w:t xml:space="preserve">. </w:t>
      </w:r>
      <w:r w:rsidR="00C16D27">
        <w:t xml:space="preserve">Case studies were chosen to evidence the </w:t>
      </w:r>
      <w:r w:rsidR="00C87C0B">
        <w:t>variance in size and nature of R&amp;D projects and</w:t>
      </w:r>
      <w:r w:rsidR="00C16D27">
        <w:t xml:space="preserve"> collaborations</w:t>
      </w:r>
      <w:r w:rsidR="00F4639E">
        <w:t>,</w:t>
      </w:r>
      <w:r w:rsidR="00C16D27">
        <w:t xml:space="preserve"> </w:t>
      </w:r>
      <w:r w:rsidR="00C87C0B">
        <w:t>and to obtain feedback from primary producers and industry participants where possible</w:t>
      </w:r>
      <w:r w:rsidR="00B25C0E">
        <w:t xml:space="preserve">. </w:t>
      </w:r>
      <w:r w:rsidR="00C16D27">
        <w:t xml:space="preserve">Two specific extension projects were also nominated </w:t>
      </w:r>
      <w:r w:rsidR="00C87C0B">
        <w:t xml:space="preserve">as case studies </w:t>
      </w:r>
      <w:r w:rsidR="00C16D27">
        <w:t xml:space="preserve">to better understand </w:t>
      </w:r>
      <w:r w:rsidR="001B0980">
        <w:t xml:space="preserve">some of the issues relating to extension and adoption within agriculture and </w:t>
      </w:r>
      <w:r w:rsidR="00C16D27">
        <w:t xml:space="preserve">stakeholder perceptions </w:t>
      </w:r>
      <w:r w:rsidR="0091368A">
        <w:t>as applicable to their projects</w:t>
      </w:r>
      <w:r w:rsidR="00B25C0E">
        <w:t xml:space="preserve">. </w:t>
      </w:r>
    </w:p>
    <w:p w14:paraId="25EC5425" w14:textId="77777777" w:rsidR="00682743" w:rsidRDefault="00A11A7E" w:rsidP="000F0253">
      <w:pPr>
        <w:pStyle w:val="Heading4"/>
      </w:pPr>
      <w:bookmarkStart w:id="22" w:name="_Toc482970191"/>
      <w:r>
        <w:t>L</w:t>
      </w:r>
      <w:r w:rsidR="00682743">
        <w:t>imitations</w:t>
      </w:r>
      <w:bookmarkEnd w:id="22"/>
    </w:p>
    <w:p w14:paraId="7664DEF0" w14:textId="77777777" w:rsidR="000E6950" w:rsidRPr="00565949" w:rsidRDefault="000E6950" w:rsidP="000F0253">
      <w:pPr>
        <w:spacing w:before="200"/>
        <w:rPr>
          <w:rStyle w:val="Strong"/>
        </w:rPr>
      </w:pPr>
      <w:r w:rsidRPr="00565949">
        <w:rPr>
          <w:rStyle w:val="Strong"/>
        </w:rPr>
        <w:t>Online survey of partner organisations</w:t>
      </w:r>
    </w:p>
    <w:p w14:paraId="16C992AE" w14:textId="1A5F1A9B" w:rsidR="00761BF7" w:rsidRDefault="003A2439" w:rsidP="006667B3">
      <w:r w:rsidRPr="003A2439">
        <w:t xml:space="preserve">The </w:t>
      </w:r>
      <w:r w:rsidR="00C94BD6">
        <w:t xml:space="preserve">online survey </w:t>
      </w:r>
      <w:r w:rsidR="00270478">
        <w:t xml:space="preserve">of </w:t>
      </w:r>
      <w:r w:rsidR="00E27B8B" w:rsidRPr="003A2439">
        <w:t xml:space="preserve">partner organisations </w:t>
      </w:r>
      <w:r w:rsidR="00900741">
        <w:t>was</w:t>
      </w:r>
      <w:r w:rsidR="00270478">
        <w:t xml:space="preserve"> distributed </w:t>
      </w:r>
      <w:r w:rsidR="00E27B8B" w:rsidRPr="003A2439">
        <w:t xml:space="preserve">via the RDC </w:t>
      </w:r>
      <w:r w:rsidR="0063070F">
        <w:t>Research M</w:t>
      </w:r>
      <w:r w:rsidR="00E27B8B" w:rsidRPr="003A2439">
        <w:t>anager network</w:t>
      </w:r>
      <w:r w:rsidR="00B25C0E">
        <w:t xml:space="preserve">. </w:t>
      </w:r>
      <w:r w:rsidR="00A16284">
        <w:t>I</w:t>
      </w:r>
      <w:r w:rsidR="00A16284" w:rsidRPr="003A2439">
        <w:t xml:space="preserve">t was </w:t>
      </w:r>
      <w:r w:rsidR="00A16284">
        <w:t xml:space="preserve">therefore </w:t>
      </w:r>
      <w:r w:rsidR="00A16284" w:rsidRPr="003A2439">
        <w:t xml:space="preserve">difficult to determine how </w:t>
      </w:r>
      <w:r w:rsidR="00E20BC4">
        <w:t xml:space="preserve">many </w:t>
      </w:r>
      <w:r w:rsidR="00A16284">
        <w:t xml:space="preserve">surveys had been distributed, and </w:t>
      </w:r>
      <w:r w:rsidR="00A16284" w:rsidRPr="003A2439">
        <w:t>some partners participating in multiple projects received the survey more than once</w:t>
      </w:r>
      <w:r w:rsidR="00B25C0E">
        <w:t xml:space="preserve">. </w:t>
      </w:r>
    </w:p>
    <w:p w14:paraId="4E0CC97E" w14:textId="20EF6967" w:rsidR="00A16284" w:rsidRDefault="00761BF7" w:rsidP="006667B3">
      <w:r>
        <w:t xml:space="preserve">Therefore, the representation and overall response rates were difficult to </w:t>
      </w:r>
      <w:r w:rsidR="00D41CE1">
        <w:t>determine,</w:t>
      </w:r>
      <w:r w:rsidR="00EB5A71">
        <w:t xml:space="preserve"> and survey results have </w:t>
      </w:r>
      <w:r w:rsidR="00D41CE1">
        <w:t>been viewed as</w:t>
      </w:r>
      <w:r w:rsidR="00EB5A71">
        <w:t xml:space="preserve"> indicative rather than representative</w:t>
      </w:r>
      <w:r w:rsidR="00B25C0E">
        <w:t xml:space="preserve">. </w:t>
      </w:r>
    </w:p>
    <w:p w14:paraId="5B9ACE06" w14:textId="5CE5B47E" w:rsidR="00EB5A71" w:rsidRDefault="00E7247D" w:rsidP="006667B3">
      <w:r>
        <w:t>There were</w:t>
      </w:r>
      <w:r w:rsidR="00E27B8B" w:rsidRPr="003A2439">
        <w:t xml:space="preserve"> </w:t>
      </w:r>
      <w:r w:rsidR="00E27B8B" w:rsidRPr="00DB64C4">
        <w:t>303 partner</w:t>
      </w:r>
      <w:r w:rsidR="00E27B8B" w:rsidRPr="003A2439">
        <w:t xml:space="preserve"> organisations</w:t>
      </w:r>
      <w:r>
        <w:t xml:space="preserve"> identified as participating in the program</w:t>
      </w:r>
      <w:r w:rsidR="002E26E4">
        <w:t xml:space="preserve"> (based on analysis of grant agreements)</w:t>
      </w:r>
      <w:r w:rsidR="00B25C0E">
        <w:t xml:space="preserve">. </w:t>
      </w:r>
      <w:r w:rsidR="00EB5A71" w:rsidRPr="003A2439">
        <w:t>52 responses were received</w:t>
      </w:r>
      <w:r w:rsidR="00B25C0E">
        <w:t xml:space="preserve">. </w:t>
      </w:r>
    </w:p>
    <w:p w14:paraId="5CDEA18E" w14:textId="67B08139" w:rsidR="00E27B8B" w:rsidRDefault="00DB7B26" w:rsidP="00D41CE1">
      <w:r>
        <w:t xml:space="preserve">The </w:t>
      </w:r>
      <w:r w:rsidR="00E27B8B">
        <w:t xml:space="preserve">52 responses </w:t>
      </w:r>
      <w:r>
        <w:t>came from a cross section of partner organisations, including university, research and industry sectors and were</w:t>
      </w:r>
      <w:r w:rsidR="00E27B8B">
        <w:t xml:space="preserve"> a ‘healthy</w:t>
      </w:r>
      <w:r w:rsidR="00CE72CB">
        <w:t xml:space="preserve">’ </w:t>
      </w:r>
      <w:r>
        <w:t xml:space="preserve">sized </w:t>
      </w:r>
      <w:r w:rsidR="00E27B8B">
        <w:t xml:space="preserve">pool </w:t>
      </w:r>
      <w:r>
        <w:t xml:space="preserve">of information </w:t>
      </w:r>
      <w:r w:rsidR="00E27B8B">
        <w:t>to draw from</w:t>
      </w:r>
      <w:r w:rsidR="00B25C0E">
        <w:t xml:space="preserve">. </w:t>
      </w:r>
      <w:r w:rsidR="00F23E17">
        <w:t>Further</w:t>
      </w:r>
      <w:r w:rsidR="00900741">
        <w:t>,</w:t>
      </w:r>
      <w:r w:rsidR="00E27B8B">
        <w:t xml:space="preserve"> most respondents invested in providing detailed qualitative commentary and feedback</w:t>
      </w:r>
      <w:r w:rsidR="00B25C0E">
        <w:t xml:space="preserve">. </w:t>
      </w:r>
    </w:p>
    <w:p w14:paraId="63E8BB92" w14:textId="77777777" w:rsidR="000E6950" w:rsidRPr="00565949" w:rsidRDefault="000E6950" w:rsidP="00565949">
      <w:pPr>
        <w:rPr>
          <w:rStyle w:val="Strong"/>
        </w:rPr>
      </w:pPr>
      <w:r w:rsidRPr="00565949">
        <w:rPr>
          <w:rStyle w:val="Strong"/>
        </w:rPr>
        <w:t>Evaluation taking place before projects completed</w:t>
      </w:r>
    </w:p>
    <w:p w14:paraId="7270BAF5" w14:textId="05073584" w:rsidR="00966A66" w:rsidRDefault="00BD5D79" w:rsidP="00966A66">
      <w:r>
        <w:t>O</w:t>
      </w:r>
      <w:r w:rsidR="00966A66">
        <w:t>nly one project had been completed</w:t>
      </w:r>
      <w:r>
        <w:t xml:space="preserve"> during the </w:t>
      </w:r>
      <w:r w:rsidR="008839CE">
        <w:t>period evaluated</w:t>
      </w:r>
      <w:r w:rsidR="00B25C0E">
        <w:t xml:space="preserve">. </w:t>
      </w:r>
      <w:r w:rsidR="00A5731F">
        <w:t>Figure 1</w:t>
      </w:r>
      <w:r w:rsidR="00966A66">
        <w:t xml:space="preserve"> shows the point in time in the context </w:t>
      </w:r>
      <w:r w:rsidR="003645B6">
        <w:t xml:space="preserve">of the life cycle </w:t>
      </w:r>
      <w:r w:rsidR="00966A66">
        <w:t>of the 36 projects</w:t>
      </w:r>
      <w:r w:rsidR="00B25C0E">
        <w:t xml:space="preserve">. </w:t>
      </w:r>
    </w:p>
    <w:p w14:paraId="69C150EC" w14:textId="77777777" w:rsidR="00966A66" w:rsidRDefault="00966A66" w:rsidP="00966A66">
      <w:pPr>
        <w:pStyle w:val="Caption"/>
      </w:pPr>
      <w:r w:rsidRPr="00D03BF0">
        <w:t xml:space="preserve">Figure </w:t>
      </w:r>
      <w:r w:rsidR="00A5731F">
        <w:t>1</w:t>
      </w:r>
      <w:r w:rsidRPr="00D03BF0">
        <w:t xml:space="preserve">: </w:t>
      </w:r>
      <w:r w:rsidR="00900741">
        <w:t>Duration of projects funded</w:t>
      </w:r>
      <w:r>
        <w:t xml:space="preserve"> (red line denotes timing of evaluation)</w:t>
      </w:r>
    </w:p>
    <w:p w14:paraId="384A5AC1" w14:textId="77777777" w:rsidR="00966A66" w:rsidRDefault="00966A66" w:rsidP="00966A66">
      <w:r w:rsidRPr="00600422">
        <w:rPr>
          <w:noProof/>
        </w:rPr>
        <w:drawing>
          <wp:inline distT="0" distB="0" distL="0" distR="0" wp14:anchorId="30C73D59" wp14:editId="66895BDE">
            <wp:extent cx="4927600" cy="2732954"/>
            <wp:effectExtent l="0" t="0" r="6350" b="0"/>
            <wp:docPr id="2" name="Picture 2" descr="A chart showing the duration of projects funded.  The chart shows that the evaluation was conducted in late 2017 and at the time of the evaluation only one project had been completed.  The other 35 projects were in progress.  " title="Figure 1 Duration of projects fu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0220" cy="2745500"/>
                    </a:xfrm>
                    <a:prstGeom prst="rect">
                      <a:avLst/>
                    </a:prstGeom>
                    <a:noFill/>
                    <a:ln>
                      <a:noFill/>
                    </a:ln>
                  </pic:spPr>
                </pic:pic>
              </a:graphicData>
            </a:graphic>
          </wp:inline>
        </w:drawing>
      </w:r>
    </w:p>
    <w:p w14:paraId="178882F8" w14:textId="15213A3A" w:rsidR="00966A66" w:rsidRDefault="00A21D17" w:rsidP="00966A66">
      <w:pPr>
        <w:spacing w:before="360"/>
      </w:pPr>
      <w:r>
        <w:t>As can be seen in Figure 1</w:t>
      </w:r>
      <w:r w:rsidR="00966A66">
        <w:t xml:space="preserve">, only one project was completed </w:t>
      </w:r>
      <w:r w:rsidR="00F41FDA">
        <w:t xml:space="preserve">at the time of </w:t>
      </w:r>
      <w:r w:rsidR="00966A66">
        <w:t>the evaluation</w:t>
      </w:r>
      <w:r w:rsidR="00B25C0E">
        <w:t xml:space="preserve">. </w:t>
      </w:r>
    </w:p>
    <w:p w14:paraId="6B152A4D" w14:textId="03FDF228" w:rsidR="00966A66" w:rsidRDefault="00966A66" w:rsidP="00966A66">
      <w:pPr>
        <w:spacing w:before="360"/>
      </w:pPr>
      <w:r>
        <w:t>It was therefore only possible to assess the extent to which program outputs and some of the short-term outcomes were in place to provide an indication of whether the program was on track to achieve longer term success</w:t>
      </w:r>
      <w:r w:rsidR="00B25C0E">
        <w:t xml:space="preserve">. </w:t>
      </w:r>
    </w:p>
    <w:p w14:paraId="2604AD62" w14:textId="642860B2" w:rsidR="00966A66" w:rsidRDefault="00A5731F" w:rsidP="00966A66">
      <w:pPr>
        <w:spacing w:before="360"/>
      </w:pPr>
      <w:r>
        <w:t>Further</w:t>
      </w:r>
      <w:r w:rsidR="0001764D">
        <w:t>,</w:t>
      </w:r>
      <w:r>
        <w:t xml:space="preserve"> </w:t>
      </w:r>
      <w:r w:rsidR="00966A66">
        <w:t>R&amp;D project results may take years before research phases are completed and exten</w:t>
      </w:r>
      <w:r w:rsidR="00456DDA">
        <w:t>sion and adoption are evident</w:t>
      </w:r>
      <w:r w:rsidR="00B25C0E">
        <w:t xml:space="preserve">. </w:t>
      </w:r>
      <w:r w:rsidR="00456DDA">
        <w:t xml:space="preserve">R&amp;D is by nature unpredictable, and there are no guarantees that </w:t>
      </w:r>
      <w:r w:rsidR="00A85E4A">
        <w:t>projects will result as planned</w:t>
      </w:r>
      <w:r w:rsidR="00DA1196">
        <w:t xml:space="preserve">, </w:t>
      </w:r>
      <w:r w:rsidR="00A85E4A">
        <w:t xml:space="preserve">or </w:t>
      </w:r>
      <w:r w:rsidR="00966A66">
        <w:t xml:space="preserve">translate to extension and adoption by primary producers. </w:t>
      </w:r>
    </w:p>
    <w:p w14:paraId="1C7C412D" w14:textId="77777777" w:rsidR="00CA2A5A" w:rsidRDefault="00CA2A5A">
      <w:pPr>
        <w:ind w:left="0"/>
      </w:pPr>
      <w:r>
        <w:br w:type="page"/>
      </w:r>
    </w:p>
    <w:p w14:paraId="64DCCE9B" w14:textId="77777777" w:rsidR="000F0253" w:rsidRDefault="00AF1507" w:rsidP="000F0253">
      <w:pPr>
        <w:pStyle w:val="Heading2"/>
      </w:pPr>
      <w:bookmarkStart w:id="23" w:name="_Toc500934697"/>
      <w:bookmarkStart w:id="24" w:name="_Toc479086879"/>
      <w:bookmarkStart w:id="25" w:name="_Ref481057802"/>
      <w:bookmarkStart w:id="26" w:name="_Ref481065710"/>
      <w:bookmarkStart w:id="27" w:name="_Toc482970192"/>
      <w:r>
        <w:t>Achievement of outcomes</w:t>
      </w:r>
      <w:bookmarkStart w:id="28" w:name="_Toc500934698"/>
      <w:bookmarkEnd w:id="23"/>
    </w:p>
    <w:p w14:paraId="6D5A9D24" w14:textId="05EEF9F6" w:rsidR="00BE060C" w:rsidRDefault="00BE060C" w:rsidP="000F0253">
      <w:pPr>
        <w:pStyle w:val="Heading3"/>
      </w:pPr>
      <w:r>
        <w:t>Program logic</w:t>
      </w:r>
      <w:bookmarkEnd w:id="28"/>
    </w:p>
    <w:p w14:paraId="484B55C7" w14:textId="77777777" w:rsidR="00FA79EE" w:rsidRDefault="00FA79EE" w:rsidP="000F0253">
      <w:pPr>
        <w:spacing w:before="200"/>
      </w:pPr>
      <w:r>
        <w:t xml:space="preserve">The </w:t>
      </w:r>
      <w:r w:rsidR="002A5D7D">
        <w:t>d</w:t>
      </w:r>
      <w:r>
        <w:t>epartment</w:t>
      </w:r>
      <w:r w:rsidR="002A0405">
        <w:t>’s</w:t>
      </w:r>
      <w:r>
        <w:t xml:space="preserve"> program team developed a program logic diagram to inform the evaluation</w:t>
      </w:r>
      <w:r w:rsidR="00900741">
        <w:t xml:space="preserve">, which was refined during the </w:t>
      </w:r>
      <w:r w:rsidR="008638D5">
        <w:t>project</w:t>
      </w:r>
      <w:r>
        <w:t>.</w:t>
      </w:r>
    </w:p>
    <w:p w14:paraId="0D269C1F" w14:textId="6E4E56D8" w:rsidR="001A6D8A" w:rsidRDefault="00FA79EE" w:rsidP="00A26418">
      <w:r>
        <w:t xml:space="preserve">The program logic articulated the </w:t>
      </w:r>
      <w:r w:rsidR="0003300C">
        <w:t>long, medium and short-</w:t>
      </w:r>
      <w:r w:rsidR="00E63D33">
        <w:t>term outcomes</w:t>
      </w:r>
      <w:r>
        <w:t xml:space="preserve"> and </w:t>
      </w:r>
      <w:r w:rsidR="00E63D33">
        <w:t>outputs and activities</w:t>
      </w:r>
      <w:r w:rsidR="001A6D8A">
        <w:t xml:space="preserve"> </w:t>
      </w:r>
      <w:r w:rsidR="008638D5">
        <w:t>for Rural R&amp;D for Profit, displayed in Figure 2</w:t>
      </w:r>
      <w:r w:rsidR="00B25C0E">
        <w:t xml:space="preserve">. </w:t>
      </w:r>
    </w:p>
    <w:p w14:paraId="1D400929" w14:textId="77777777" w:rsidR="003E4D49" w:rsidRDefault="003E4D49" w:rsidP="003E4D49">
      <w:pPr>
        <w:pStyle w:val="Caption"/>
        <w:sectPr w:rsidR="003E4D49">
          <w:pgSz w:w="11906" w:h="16838"/>
          <w:pgMar w:top="1701" w:right="1701" w:bottom="1701" w:left="1701" w:header="709" w:footer="709" w:gutter="0"/>
          <w:cols w:space="720"/>
        </w:sectPr>
      </w:pPr>
    </w:p>
    <w:p w14:paraId="3CAC30B4" w14:textId="77777777" w:rsidR="005D17BE" w:rsidRDefault="005D17BE" w:rsidP="003E4D49">
      <w:pPr>
        <w:pStyle w:val="Caption"/>
      </w:pPr>
      <w:r>
        <w:t xml:space="preserve">Figure </w:t>
      </w:r>
      <w:r w:rsidR="00A27525">
        <w:t>2</w:t>
      </w:r>
      <w:r>
        <w:t>: Rural R&amp;D for Profit program logic diagram</w:t>
      </w:r>
    </w:p>
    <w:p w14:paraId="34D535D2" w14:textId="77777777" w:rsidR="00796EE9" w:rsidRDefault="00A55E6C" w:rsidP="00A26418">
      <w:pPr>
        <w:sectPr w:rsidR="00796EE9" w:rsidSect="008362E3">
          <w:footerReference w:type="default" r:id="rId19"/>
          <w:pgSz w:w="16838" w:h="11906" w:orient="landscape"/>
          <w:pgMar w:top="1701" w:right="1701" w:bottom="1701" w:left="1701" w:header="709" w:footer="709" w:gutter="0"/>
          <w:cols w:space="720"/>
          <w:docGrid w:linePitch="299"/>
        </w:sectPr>
      </w:pPr>
      <w:r w:rsidRPr="00A55E6C">
        <w:rPr>
          <w:noProof/>
        </w:rPr>
        <w:drawing>
          <wp:inline distT="0" distB="0" distL="0" distR="0" wp14:anchorId="3E963A00" wp14:editId="243BF07D">
            <wp:extent cx="8531860" cy="4645536"/>
            <wp:effectExtent l="0" t="0" r="2540" b="3175"/>
            <wp:docPr id="7" name="Picture 7" descr="The diagram describes the activities, outputs, short, medium and long term outcomes for the program.  It also describes the portfolio outcome and program national priorities.  " title="Figure 2 Rural R&amp;D for Profit program log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31860" cy="4645536"/>
                    </a:xfrm>
                    <a:prstGeom prst="rect">
                      <a:avLst/>
                    </a:prstGeom>
                    <a:noFill/>
                    <a:ln>
                      <a:noFill/>
                    </a:ln>
                  </pic:spPr>
                </pic:pic>
              </a:graphicData>
            </a:graphic>
          </wp:inline>
        </w:drawing>
      </w:r>
    </w:p>
    <w:p w14:paraId="727E7741" w14:textId="77777777" w:rsidR="00E40592" w:rsidRDefault="00E40592" w:rsidP="000F0253">
      <w:pPr>
        <w:pStyle w:val="Heading3"/>
      </w:pPr>
      <w:bookmarkStart w:id="29" w:name="_Toc500934699"/>
      <w:r>
        <w:t>Program outcomes</w:t>
      </w:r>
      <w:bookmarkEnd w:id="29"/>
    </w:p>
    <w:p w14:paraId="78B1DAC4" w14:textId="77777777" w:rsidR="00184E26" w:rsidRDefault="00184E26" w:rsidP="000F0253">
      <w:pPr>
        <w:pStyle w:val="Heading4"/>
      </w:pPr>
      <w:r>
        <w:t>Is it on track?</w:t>
      </w:r>
    </w:p>
    <w:p w14:paraId="5A228F9B" w14:textId="4E0CF24E" w:rsidR="002746EB" w:rsidRDefault="002746EB" w:rsidP="000F0253">
      <w:pPr>
        <w:spacing w:before="200"/>
      </w:pPr>
      <w:r>
        <w:t xml:space="preserve">This section </w:t>
      </w:r>
      <w:r w:rsidR="00704F24">
        <w:t>discusses</w:t>
      </w:r>
      <w:r w:rsidR="00186FFC">
        <w:t xml:space="preserve"> findings in relation to</w:t>
      </w:r>
      <w:r>
        <w:t xml:space="preserve"> t</w:t>
      </w:r>
      <w:r w:rsidR="00186FFC">
        <w:t xml:space="preserve">he extent to which the program </w:t>
      </w:r>
      <w:r w:rsidR="00F83470">
        <w:t xml:space="preserve">is </w:t>
      </w:r>
      <w:r w:rsidR="000B6F5C">
        <w:t>on track to achieve its long</w:t>
      </w:r>
      <w:r w:rsidR="002C42F7">
        <w:t>er</w:t>
      </w:r>
      <w:r w:rsidR="000B6F5C">
        <w:t>-</w:t>
      </w:r>
      <w:r>
        <w:t>term outcomes</w:t>
      </w:r>
      <w:r w:rsidR="009A185A">
        <w:t xml:space="preserve"> </w:t>
      </w:r>
      <w:r w:rsidR="008E5092">
        <w:t>relating to</w:t>
      </w:r>
      <w:r>
        <w:t xml:space="preserve">: </w:t>
      </w:r>
    </w:p>
    <w:p w14:paraId="7AEC17A1" w14:textId="77777777" w:rsidR="002746EB" w:rsidRDefault="004946F8" w:rsidP="00565949">
      <w:pPr>
        <w:pStyle w:val="ListBullet"/>
      </w:pPr>
      <w:r>
        <w:t>e</w:t>
      </w:r>
      <w:r w:rsidR="002746EB">
        <w:t>stablishment of new and innovative research collaborations</w:t>
      </w:r>
    </w:p>
    <w:p w14:paraId="4E537206" w14:textId="77777777" w:rsidR="002746EB" w:rsidRDefault="004946F8" w:rsidP="00565949">
      <w:pPr>
        <w:pStyle w:val="ListBullet"/>
      </w:pPr>
      <w:r>
        <w:t>g</w:t>
      </w:r>
      <w:r w:rsidR="002746EB">
        <w:t>eneration of knowledge, technologies, products or processes that benefit primary producers</w:t>
      </w:r>
    </w:p>
    <w:p w14:paraId="724A37CE" w14:textId="77777777" w:rsidR="002746EB" w:rsidRDefault="004946F8" w:rsidP="00565949">
      <w:pPr>
        <w:pStyle w:val="ListBullet"/>
      </w:pPr>
      <w:r>
        <w:t>i</w:t>
      </w:r>
      <w:r w:rsidR="002746EB">
        <w:t>mprovement of understanding of barriers to adoption of research by primary producers</w:t>
      </w:r>
    </w:p>
    <w:p w14:paraId="244BBBB2" w14:textId="77777777" w:rsidR="002746EB" w:rsidRDefault="004946F8" w:rsidP="00565949">
      <w:pPr>
        <w:pStyle w:val="ListBullet"/>
      </w:pPr>
      <w:r>
        <w:t>s</w:t>
      </w:r>
      <w:r w:rsidR="002746EB">
        <w:t>trengthening of pathways to extend results of rural R&amp;D to end users.</w:t>
      </w:r>
    </w:p>
    <w:p w14:paraId="086C57D6" w14:textId="77777777" w:rsidR="00E5408D" w:rsidRDefault="00E5408D" w:rsidP="000F0253">
      <w:pPr>
        <w:pStyle w:val="Heading3"/>
      </w:pPr>
      <w:bookmarkStart w:id="30" w:name="_Toc500934700"/>
      <w:r>
        <w:t>New and innovative research collaborations</w:t>
      </w:r>
      <w:bookmarkEnd w:id="30"/>
    </w:p>
    <w:p w14:paraId="3F725AC0" w14:textId="77777777" w:rsidR="000815E6" w:rsidRDefault="00601FA8" w:rsidP="000F0253">
      <w:pPr>
        <w:pStyle w:val="Heading4"/>
      </w:pPr>
      <w:r>
        <w:t>Guidelines and criteria</w:t>
      </w:r>
    </w:p>
    <w:p w14:paraId="21103F75" w14:textId="0276FAE6" w:rsidR="00D056C4" w:rsidRDefault="00E5408D" w:rsidP="000F0253">
      <w:pPr>
        <w:spacing w:before="200"/>
      </w:pPr>
      <w:r>
        <w:t>Collaboration refers to the communication, coordination and co-investment of partner organisations to deliver a common goal</w:t>
      </w:r>
      <w:r w:rsidR="00B25C0E">
        <w:t xml:space="preserve">. </w:t>
      </w:r>
      <w:r w:rsidR="00184E26">
        <w:t>A</w:t>
      </w:r>
      <w:r w:rsidR="00601FA8">
        <w:t xml:space="preserve"> </w:t>
      </w:r>
      <w:r w:rsidR="000C1443">
        <w:t>long-</w:t>
      </w:r>
      <w:r w:rsidR="00601FA8">
        <w:t>term o</w:t>
      </w:r>
      <w:r w:rsidR="00527757">
        <w:t>bjective</w:t>
      </w:r>
      <w:r>
        <w:t xml:space="preserve"> sought </w:t>
      </w:r>
      <w:r w:rsidR="002C42F7">
        <w:t xml:space="preserve">by the program </w:t>
      </w:r>
      <w:r w:rsidR="004F7583">
        <w:t>is for</w:t>
      </w:r>
      <w:r>
        <w:t xml:space="preserve"> industry and research collaborations </w:t>
      </w:r>
      <w:r w:rsidR="004F7583">
        <w:t xml:space="preserve">to </w:t>
      </w:r>
      <w:r>
        <w:t xml:space="preserve">form the basis for ongoing innovation and growth of Australian </w:t>
      </w:r>
      <w:r w:rsidR="00F41FDA">
        <w:t>agriculture</w:t>
      </w:r>
      <w:r w:rsidR="00B25C0E">
        <w:t xml:space="preserve">. </w:t>
      </w:r>
    </w:p>
    <w:p w14:paraId="075F3ED4" w14:textId="77777777" w:rsidR="0094713B" w:rsidRDefault="0062479D" w:rsidP="0094713B">
      <w:r>
        <w:t>P</w:t>
      </w:r>
      <w:r w:rsidR="008D183C">
        <w:t>rogram G</w:t>
      </w:r>
      <w:r w:rsidR="0094713B">
        <w:t>uidelines</w:t>
      </w:r>
      <w:r w:rsidR="008F1D3E">
        <w:rPr>
          <w:rStyle w:val="FootnoteReference"/>
        </w:rPr>
        <w:footnoteReference w:id="9"/>
      </w:r>
      <w:r w:rsidR="0094713B">
        <w:t xml:space="preserve">: </w:t>
      </w:r>
    </w:p>
    <w:p w14:paraId="6BF9FDE4" w14:textId="77777777" w:rsidR="00672177" w:rsidRDefault="00672177" w:rsidP="00CC2606">
      <w:pPr>
        <w:pStyle w:val="ListBullet"/>
      </w:pPr>
      <w:r>
        <w:t xml:space="preserve">refer to the National Primary Industries Research Development and Extension </w:t>
      </w:r>
      <w:r w:rsidR="009C7BD0">
        <w:t xml:space="preserve">(NPIRD&amp;E) </w:t>
      </w:r>
      <w:r>
        <w:t xml:space="preserve">framework to encourage greater collaboration and coordination in the investment of </w:t>
      </w:r>
      <w:r w:rsidR="00906E1F">
        <w:t>research, development and extension (</w:t>
      </w:r>
      <w:r>
        <w:t>RD&amp;E</w:t>
      </w:r>
      <w:r w:rsidR="00906E1F">
        <w:t>)</w:t>
      </w:r>
      <w:r>
        <w:t xml:space="preserve"> nationally</w:t>
      </w:r>
    </w:p>
    <w:p w14:paraId="708DFA7A" w14:textId="77777777" w:rsidR="0094713B" w:rsidRDefault="00672177" w:rsidP="00CC2606">
      <w:pPr>
        <w:pStyle w:val="ListBullet"/>
      </w:pPr>
      <w:r>
        <w:t>articulate this objective as</w:t>
      </w:r>
      <w:r w:rsidR="0094713B">
        <w:t xml:space="preserve">: </w:t>
      </w:r>
      <w:r w:rsidR="0094713B" w:rsidRPr="00AE6526">
        <w:t>‘</w:t>
      </w:r>
      <w:r w:rsidR="0002031B" w:rsidRPr="00AE6526">
        <w:t xml:space="preserve">Establishing and fostering industry and research </w:t>
      </w:r>
      <w:r w:rsidR="00F56208" w:rsidRPr="00AE6526">
        <w:t>collaborations</w:t>
      </w:r>
      <w:r w:rsidR="0002031B" w:rsidRPr="00AE6526">
        <w:t xml:space="preserve"> that form the basis for ongoing innovation and growth of Australian agriculture.</w:t>
      </w:r>
      <w:r w:rsidR="0094713B">
        <w:t>’</w:t>
      </w:r>
      <w:r w:rsidR="0002031B">
        <w:t xml:space="preserve">  </w:t>
      </w:r>
    </w:p>
    <w:p w14:paraId="11CF14D5" w14:textId="77777777" w:rsidR="00C94D38" w:rsidRDefault="00672177" w:rsidP="00CC2606">
      <w:pPr>
        <w:pStyle w:val="ListBullet"/>
      </w:pPr>
      <w:r>
        <w:t>set out</w:t>
      </w:r>
      <w:r w:rsidR="0094713B">
        <w:t xml:space="preserve"> ‘partnership’ </w:t>
      </w:r>
      <w:r>
        <w:t xml:space="preserve">as an eligibility </w:t>
      </w:r>
      <w:r w:rsidR="0094713B">
        <w:t xml:space="preserve">requisite: </w:t>
      </w:r>
      <w:r w:rsidR="0094713B" w:rsidRPr="00AE6526">
        <w:t>‘</w:t>
      </w:r>
      <w:r w:rsidR="00C94D38" w:rsidRPr="00AE6526">
        <w:t xml:space="preserve">Partnership: the applicant must partner with one or more researchers, research agencies, RDCs, funding bodies, businesses, </w:t>
      </w:r>
      <w:r w:rsidR="002762F2" w:rsidRPr="00AE6526">
        <w:t>producers’</w:t>
      </w:r>
      <w:r w:rsidR="00C94D38" w:rsidRPr="00AE6526">
        <w:t xml:space="preserve"> groups or not-for-profit organisations</w:t>
      </w:r>
      <w:r w:rsidR="00AE6526" w:rsidRPr="00AE6526">
        <w:t>’</w:t>
      </w:r>
      <w:r w:rsidR="00C94D38">
        <w:t>.</w:t>
      </w:r>
      <w:r w:rsidR="0094713B" w:rsidRPr="0094713B">
        <w:rPr>
          <w:rStyle w:val="FootnoteReference"/>
        </w:rPr>
        <w:t xml:space="preserve"> </w:t>
      </w:r>
    </w:p>
    <w:p w14:paraId="505EE241" w14:textId="77777777" w:rsidR="00903F49" w:rsidRDefault="00773FFC" w:rsidP="00903F49">
      <w:r>
        <w:t>The G</w:t>
      </w:r>
      <w:r w:rsidR="00141A5D">
        <w:t xml:space="preserve">uidelines </w:t>
      </w:r>
      <w:r w:rsidR="00E61DF7">
        <w:t>over the three</w:t>
      </w:r>
      <w:r w:rsidR="00141A5D">
        <w:t xml:space="preserve"> </w:t>
      </w:r>
      <w:r w:rsidR="0007509E">
        <w:t xml:space="preserve">funding </w:t>
      </w:r>
      <w:r w:rsidR="00141A5D">
        <w:t xml:space="preserve">rounds have indicated a preference for projects that are </w:t>
      </w:r>
      <w:r w:rsidR="00625B14" w:rsidRPr="00F123C3">
        <w:rPr>
          <w:u w:val="single"/>
        </w:rPr>
        <w:t>cross sectoral</w:t>
      </w:r>
      <w:r w:rsidR="00625B14">
        <w:t xml:space="preserve"> </w:t>
      </w:r>
      <w:r w:rsidR="00141A5D">
        <w:t xml:space="preserve">in scope and </w:t>
      </w:r>
      <w:r w:rsidR="000F0686">
        <w:t>that are</w:t>
      </w:r>
      <w:r w:rsidR="00141A5D">
        <w:t xml:space="preserve"> </w:t>
      </w:r>
      <w:r w:rsidR="00625B14" w:rsidRPr="00F123C3">
        <w:rPr>
          <w:u w:val="single"/>
        </w:rPr>
        <w:t>new</w:t>
      </w:r>
      <w:r w:rsidR="00625B14">
        <w:t xml:space="preserve"> collaboration</w:t>
      </w:r>
      <w:r w:rsidR="00141A5D">
        <w:t>s.</w:t>
      </w:r>
      <w:r w:rsidR="00161A80">
        <w:rPr>
          <w:rStyle w:val="FootnoteReference"/>
        </w:rPr>
        <w:footnoteReference w:id="10"/>
      </w:r>
      <w:r w:rsidR="00903F49">
        <w:t xml:space="preserve">  For example:</w:t>
      </w:r>
    </w:p>
    <w:p w14:paraId="631ABE43" w14:textId="77777777" w:rsidR="00D15720" w:rsidRDefault="00D70411" w:rsidP="00565949">
      <w:pPr>
        <w:pStyle w:val="ListBullet"/>
      </w:pPr>
      <w:r>
        <w:t>a</w:t>
      </w:r>
      <w:r w:rsidR="00625B14">
        <w:t xml:space="preserve">dditional considerations </w:t>
      </w:r>
      <w:r w:rsidR="00141A5D">
        <w:t>stated that a</w:t>
      </w:r>
      <w:r w:rsidR="00D15720">
        <w:t>ssessors</w:t>
      </w:r>
      <w:r w:rsidR="00141A5D">
        <w:t xml:space="preserve"> of project proposals may consider whether projects h</w:t>
      </w:r>
      <w:r w:rsidR="00D15720">
        <w:t>ave potential benefits for more than one primary industry</w:t>
      </w:r>
      <w:r w:rsidR="00DA1196">
        <w:t xml:space="preserve">, </w:t>
      </w:r>
      <w:r w:rsidR="00903F49">
        <w:t>and/ or form new collaboration</w:t>
      </w:r>
      <w:r w:rsidR="00141A5D">
        <w:t>s</w:t>
      </w:r>
      <w:r>
        <w:t xml:space="preserve"> (Round 1 Guidelines)</w:t>
      </w:r>
    </w:p>
    <w:p w14:paraId="14020AB3" w14:textId="49D0B396" w:rsidR="0081689B" w:rsidRDefault="00D70411" w:rsidP="00565949">
      <w:pPr>
        <w:pStyle w:val="ListBullet"/>
      </w:pPr>
      <w:r>
        <w:t>a</w:t>
      </w:r>
      <w:r w:rsidR="00A54D15">
        <w:t>ssessment criteria emphasis</w:t>
      </w:r>
      <w:r w:rsidR="00141A5D">
        <w:t xml:space="preserve">ed a </w:t>
      </w:r>
      <w:r w:rsidR="00E8138C">
        <w:t xml:space="preserve">high </w:t>
      </w:r>
      <w:r w:rsidR="00141A5D">
        <w:t xml:space="preserve">regard for </w:t>
      </w:r>
      <w:r w:rsidR="00E8138C">
        <w:t xml:space="preserve">projects that evidence: </w:t>
      </w:r>
      <w:r w:rsidR="00A54D15">
        <w:t>potential benefits for more than one primary industry</w:t>
      </w:r>
      <w:r w:rsidR="00141A5D">
        <w:t>;</w:t>
      </w:r>
      <w:r w:rsidR="00A54D15">
        <w:t xml:space="preserve"> form</w:t>
      </w:r>
      <w:r w:rsidR="00E8138C">
        <w:t>ation of</w:t>
      </w:r>
      <w:r w:rsidR="00A54D15">
        <w:t xml:space="preserve"> new research and or extension collaborations for ongoing innovation and g</w:t>
      </w:r>
      <w:r w:rsidR="00141A5D">
        <w:t xml:space="preserve">rowth of Australian </w:t>
      </w:r>
      <w:r w:rsidR="00F41FDA">
        <w:t>a</w:t>
      </w:r>
      <w:r w:rsidR="00141A5D">
        <w:t xml:space="preserve">griculture; </w:t>
      </w:r>
      <w:r w:rsidR="00D661AE">
        <w:t xml:space="preserve">a case for </w:t>
      </w:r>
      <w:r w:rsidR="00141A5D">
        <w:t>research that w</w:t>
      </w:r>
      <w:r w:rsidR="0081689B">
        <w:t>ould not other</w:t>
      </w:r>
      <w:r w:rsidR="00A54D15">
        <w:t>wise be undertaken for example,</w:t>
      </w:r>
      <w:r w:rsidR="0081689B">
        <w:t xml:space="preserve"> due to the project having a large scale broad scope and or re</w:t>
      </w:r>
      <w:r w:rsidR="00A54D15">
        <w:t>quiring cross-sectoral collabor</w:t>
      </w:r>
      <w:r w:rsidR="0081689B">
        <w:t>ation</w:t>
      </w:r>
      <w:r w:rsidR="00B25C0E">
        <w:t xml:space="preserve">. </w:t>
      </w:r>
      <w:r>
        <w:t>(Rounds 2 and 3)</w:t>
      </w:r>
    </w:p>
    <w:p w14:paraId="2D614042" w14:textId="77777777" w:rsidR="003932CF" w:rsidRDefault="00F83470" w:rsidP="006C7F85">
      <w:pPr>
        <w:spacing w:before="200"/>
      </w:pPr>
      <w:r>
        <w:t>P</w:t>
      </w:r>
      <w:r w:rsidR="00EC1637">
        <w:t xml:space="preserve">rojects </w:t>
      </w:r>
      <w:r w:rsidR="00657AF8">
        <w:t xml:space="preserve">have been </w:t>
      </w:r>
      <w:r w:rsidR="00EC1637">
        <w:t xml:space="preserve">successful </w:t>
      </w:r>
      <w:r w:rsidR="00657AF8">
        <w:t xml:space="preserve">when </w:t>
      </w:r>
      <w:r w:rsidR="00EC1637">
        <w:t xml:space="preserve">not cross sectoral </w:t>
      </w:r>
      <w:r w:rsidR="006E71F0">
        <w:t xml:space="preserve">or a new collaboration; </w:t>
      </w:r>
      <w:r w:rsidR="002762F2">
        <w:t>however,</w:t>
      </w:r>
      <w:r w:rsidR="00E03891">
        <w:t xml:space="preserve"> the </w:t>
      </w:r>
      <w:r w:rsidR="000A4552">
        <w:t>G</w:t>
      </w:r>
      <w:r w:rsidR="00EC1637">
        <w:t xml:space="preserve">uidelines </w:t>
      </w:r>
      <w:r w:rsidR="00E03891">
        <w:t xml:space="preserve">and assessment panel reports </w:t>
      </w:r>
      <w:r w:rsidR="000A4552">
        <w:t xml:space="preserve">have </w:t>
      </w:r>
      <w:r w:rsidR="00EC1637">
        <w:t>indicate</w:t>
      </w:r>
      <w:r w:rsidR="000A4552">
        <w:t>d</w:t>
      </w:r>
      <w:r w:rsidR="00EC1637">
        <w:t xml:space="preserve"> a preference for such projects</w:t>
      </w:r>
      <w:r w:rsidR="00EA5364">
        <w:t>.</w:t>
      </w:r>
      <w:r w:rsidR="00EC1637">
        <w:t xml:space="preserve"> </w:t>
      </w:r>
    </w:p>
    <w:p w14:paraId="06EAE58B" w14:textId="77777777" w:rsidR="00BB72B6" w:rsidRDefault="00BB72B6" w:rsidP="00D9457D">
      <w:pPr>
        <w:pStyle w:val="Heading4"/>
      </w:pPr>
      <w:r>
        <w:t>Evidence</w:t>
      </w:r>
    </w:p>
    <w:p w14:paraId="7C74B67F" w14:textId="77777777" w:rsidR="00E5408D" w:rsidRDefault="007625E9" w:rsidP="000F0253">
      <w:pPr>
        <w:spacing w:before="200"/>
      </w:pPr>
      <w:r>
        <w:t>The following was investigated to form a picture of the exte</w:t>
      </w:r>
      <w:r w:rsidR="005E56A7">
        <w:t xml:space="preserve">nt to which the program was on track to achieve </w:t>
      </w:r>
      <w:r w:rsidR="008B7B4F">
        <w:t>outcomes</w:t>
      </w:r>
      <w:r w:rsidR="005F1FD3">
        <w:t xml:space="preserve"> relating to collaboration</w:t>
      </w:r>
      <w:r w:rsidR="00B04B0F">
        <w:t>:</w:t>
      </w:r>
      <w:r w:rsidR="005E56A7">
        <w:t xml:space="preserve">  </w:t>
      </w:r>
    </w:p>
    <w:p w14:paraId="248A1E66" w14:textId="77777777" w:rsidR="003021E4" w:rsidRDefault="00200575" w:rsidP="00565949">
      <w:pPr>
        <w:pStyle w:val="ListBullet"/>
      </w:pPr>
      <w:r>
        <w:t xml:space="preserve">extent of </w:t>
      </w:r>
      <w:r w:rsidR="007B1EA1">
        <w:t xml:space="preserve">leveraged </w:t>
      </w:r>
      <w:r>
        <w:t>f</w:t>
      </w:r>
      <w:r w:rsidR="00403632">
        <w:t>unding</w:t>
      </w:r>
    </w:p>
    <w:p w14:paraId="61BCF70F" w14:textId="77777777" w:rsidR="00E5408D" w:rsidRDefault="000D06DD" w:rsidP="00565949">
      <w:pPr>
        <w:pStyle w:val="ListBullet"/>
      </w:pPr>
      <w:r>
        <w:t>i</w:t>
      </w:r>
      <w:r w:rsidR="00A36E62">
        <w:t xml:space="preserve">ncrease in </w:t>
      </w:r>
      <w:r w:rsidR="00AC7271">
        <w:t>number</w:t>
      </w:r>
      <w:r w:rsidR="003E0F2A">
        <w:t>s</w:t>
      </w:r>
      <w:r w:rsidR="00AC7271">
        <w:t xml:space="preserve"> of new inter-RDC collaborations and those between RDCs and external organisations</w:t>
      </w:r>
    </w:p>
    <w:p w14:paraId="295EE9A5" w14:textId="77777777" w:rsidR="00AC7271" w:rsidRDefault="00A36E62" w:rsidP="00565949">
      <w:pPr>
        <w:pStyle w:val="ListBullet"/>
      </w:pPr>
      <w:r>
        <w:t>i</w:t>
      </w:r>
      <w:r w:rsidR="003E0F2A">
        <w:t>ncrease in</w:t>
      </w:r>
      <w:r w:rsidR="00B57CA2">
        <w:t xml:space="preserve"> appetite by RDCs</w:t>
      </w:r>
      <w:r w:rsidR="00AC7271">
        <w:t xml:space="preserve"> and partner organisations</w:t>
      </w:r>
      <w:r>
        <w:t xml:space="preserve"> to establish new collaboration</w:t>
      </w:r>
    </w:p>
    <w:p w14:paraId="393627B3" w14:textId="4B64DDCF" w:rsidR="004B72C6" w:rsidRDefault="00224C5B" w:rsidP="00565949">
      <w:pPr>
        <w:pStyle w:val="ListBullet"/>
      </w:pPr>
      <w:r>
        <w:t>s</w:t>
      </w:r>
      <w:r w:rsidR="00AC7271">
        <w:t>ustainment of collaborations between RDCs and partner organisation</w:t>
      </w:r>
      <w:r w:rsidR="0027028F">
        <w:t>s</w:t>
      </w:r>
      <w:r w:rsidR="00AC7271">
        <w:t xml:space="preserve">, </w:t>
      </w:r>
      <w:r w:rsidR="00AA5E0A">
        <w:t xml:space="preserve">outside </w:t>
      </w:r>
      <w:r w:rsidR="005D4D9F">
        <w:t xml:space="preserve">of </w:t>
      </w:r>
      <w:r w:rsidR="00BB5950">
        <w:t>Rural R&amp;D for Profit project</w:t>
      </w:r>
      <w:r w:rsidR="00AC7271">
        <w:t>s</w:t>
      </w:r>
      <w:r w:rsidR="00B25C0E">
        <w:t xml:space="preserve">. </w:t>
      </w:r>
    </w:p>
    <w:p w14:paraId="6D9DBFD0" w14:textId="77777777" w:rsidR="00E5408D" w:rsidRPr="000F0253" w:rsidRDefault="00F41FDA" w:rsidP="00D9457D">
      <w:pPr>
        <w:pStyle w:val="Heading4"/>
      </w:pPr>
      <w:r w:rsidRPr="000F0253">
        <w:t>B</w:t>
      </w:r>
      <w:r w:rsidR="001A7EBE" w:rsidRPr="000F0253">
        <w:t>aseline</w:t>
      </w:r>
    </w:p>
    <w:p w14:paraId="57D47AD5" w14:textId="0A9DCBDC" w:rsidR="00FA59BB" w:rsidRDefault="00FA59BB" w:rsidP="006C7F85">
      <w:pPr>
        <w:spacing w:before="200"/>
      </w:pPr>
      <w:r>
        <w:t>The program has contributed to the existence of 36 R&amp;D projects, involving 36 collaborative arrangements</w:t>
      </w:r>
      <w:r w:rsidR="00B25C0E">
        <w:t xml:space="preserve">. </w:t>
      </w:r>
    </w:p>
    <w:p w14:paraId="0D79295B" w14:textId="77777777" w:rsidR="00E5408D" w:rsidRDefault="00261D6B" w:rsidP="006C7F85">
      <w:pPr>
        <w:spacing w:before="200"/>
      </w:pPr>
      <w:r>
        <w:t>I</w:t>
      </w:r>
      <w:r w:rsidR="00DF3269">
        <w:t xml:space="preserve">t proved difficult to determine </w:t>
      </w:r>
      <w:r w:rsidR="000B28C2">
        <w:t xml:space="preserve">change in </w:t>
      </w:r>
      <w:r w:rsidR="00DF3269">
        <w:t xml:space="preserve">the actual </w:t>
      </w:r>
      <w:r w:rsidR="000B28C2">
        <w:t xml:space="preserve">number of collaborations </w:t>
      </w:r>
      <w:r w:rsidR="002762F2">
        <w:t>pre-and</w:t>
      </w:r>
      <w:r w:rsidR="00DF3269">
        <w:t xml:space="preserve"> </w:t>
      </w:r>
      <w:r w:rsidR="00895C69">
        <w:t>post-program</w:t>
      </w:r>
      <w:r w:rsidR="00DF3269">
        <w:t xml:space="preserve"> as the </w:t>
      </w:r>
      <w:r w:rsidR="000B28C2">
        <w:t>‘</w:t>
      </w:r>
      <w:r w:rsidR="00E5408D" w:rsidRPr="000B28C2">
        <w:rPr>
          <w:i/>
        </w:rPr>
        <w:t>the extent of collaboration has not been documented</w:t>
      </w:r>
      <w:r w:rsidR="000B28C2">
        <w:t>’</w:t>
      </w:r>
      <w:r w:rsidR="00E5408D">
        <w:t>.</w:t>
      </w:r>
      <w:r w:rsidR="00E5408D">
        <w:rPr>
          <w:rStyle w:val="FootnoteReference"/>
        </w:rPr>
        <w:footnoteReference w:id="11"/>
      </w:r>
    </w:p>
    <w:p w14:paraId="7C3431B7" w14:textId="77777777" w:rsidR="00DF3269" w:rsidRDefault="00DF3269" w:rsidP="006C7F85">
      <w:pPr>
        <w:spacing w:before="200"/>
      </w:pPr>
      <w:r>
        <w:t>While there was not a</w:t>
      </w:r>
      <w:r w:rsidR="00F1361B">
        <w:t>n accurate</w:t>
      </w:r>
      <w:r>
        <w:t xml:space="preserve"> pre-program </w:t>
      </w:r>
      <w:r w:rsidR="00F1361B">
        <w:t xml:space="preserve">collaboration </w:t>
      </w:r>
      <w:r w:rsidR="00E5408D">
        <w:t>baseline</w:t>
      </w:r>
      <w:r w:rsidR="00222BA8">
        <w:t xml:space="preserve"> available</w:t>
      </w:r>
      <w:r w:rsidR="00442F6B">
        <w:t xml:space="preserve">, </w:t>
      </w:r>
      <w:r>
        <w:t>the prevailing view</w:t>
      </w:r>
      <w:r w:rsidR="0072269F">
        <w:t>,</w:t>
      </w:r>
      <w:r>
        <w:t xml:space="preserve"> </w:t>
      </w:r>
      <w:r w:rsidR="009B3269">
        <w:t>pre-program</w:t>
      </w:r>
      <w:r>
        <w:t>:</w:t>
      </w:r>
    </w:p>
    <w:p w14:paraId="79643961" w14:textId="77777777" w:rsidR="00DF3269" w:rsidRDefault="0072269F" w:rsidP="00565949">
      <w:pPr>
        <w:pStyle w:val="ListBullet"/>
      </w:pPr>
      <w:r>
        <w:t xml:space="preserve">showed </w:t>
      </w:r>
      <w:r w:rsidR="009B3269">
        <w:t xml:space="preserve">a </w:t>
      </w:r>
      <w:r w:rsidR="00DF3269">
        <w:t xml:space="preserve">perception of </w:t>
      </w:r>
      <w:r w:rsidR="003E118B">
        <w:t xml:space="preserve">a </w:t>
      </w:r>
      <w:r w:rsidR="003E118B" w:rsidRPr="00DF3269">
        <w:rPr>
          <w:u w:val="single"/>
        </w:rPr>
        <w:t>lack</w:t>
      </w:r>
      <w:r w:rsidR="003E118B">
        <w:t xml:space="preserve"> of cross RDC collaboration and focus on cross sectoral R&amp;D</w:t>
      </w:r>
      <w:r w:rsidR="00DF3269">
        <w:t xml:space="preserve"> </w:t>
      </w:r>
    </w:p>
    <w:p w14:paraId="14FA40D7" w14:textId="77777777" w:rsidR="00DF3269" w:rsidRDefault="0072269F" w:rsidP="00565949">
      <w:pPr>
        <w:pStyle w:val="ListBullet"/>
      </w:pPr>
      <w:r>
        <w:t>evidenced the</w:t>
      </w:r>
      <w:r w:rsidR="009B3269">
        <w:t xml:space="preserve"> </w:t>
      </w:r>
      <w:r w:rsidR="00222BA8">
        <w:t>intention to pursue</w:t>
      </w:r>
      <w:r w:rsidR="00DF3269">
        <w:t xml:space="preserve"> policy levers to drive such collaboration. </w:t>
      </w:r>
    </w:p>
    <w:p w14:paraId="5F9642A8" w14:textId="77777777" w:rsidR="00DF3269" w:rsidRPr="00EA3EAD" w:rsidRDefault="00DF3269" w:rsidP="00030D23">
      <w:pPr>
        <w:pStyle w:val="Quote"/>
      </w:pPr>
      <w:r w:rsidRPr="00EA3EAD">
        <w:t>There was a perception that ….</w:t>
      </w:r>
      <w:r w:rsidR="00E5408D" w:rsidRPr="00EA3EAD">
        <w:t xml:space="preserve">‘RDCs were weak in being able to appropriately resource and prioritise collaborative cross-sectoral R&amp;D’ </w:t>
      </w:r>
      <w:r w:rsidR="00E5408D" w:rsidRPr="00EA3EAD">
        <w:rPr>
          <w:rStyle w:val="FootnoteReference"/>
        </w:rPr>
        <w:footnoteReference w:id="12"/>
      </w:r>
    </w:p>
    <w:p w14:paraId="22881CF8" w14:textId="77777777" w:rsidR="00E5408D" w:rsidRDefault="00DF3269" w:rsidP="00030D23">
      <w:pPr>
        <w:pStyle w:val="Quote"/>
      </w:pPr>
      <w:r w:rsidRPr="00391F35">
        <w:t>‘</w:t>
      </w:r>
      <w:r w:rsidR="00E5408D" w:rsidRPr="00391F35">
        <w:t>Government calls for RDCs to collaborate, particularly on cross-sectoral issues, have been increasing</w:t>
      </w:r>
      <w:r w:rsidR="00F1361B" w:rsidRPr="00391F35">
        <w:t xml:space="preserve"> in</w:t>
      </w:r>
      <w:r w:rsidR="00E5408D" w:rsidRPr="00391F35">
        <w:t xml:space="preserve"> intensity over the last decade.’</w:t>
      </w:r>
      <w:r w:rsidR="00983AEC">
        <w:t xml:space="preserve"> </w:t>
      </w:r>
      <w:r w:rsidR="00E5408D" w:rsidRPr="00391F35">
        <w:rPr>
          <w:rStyle w:val="FootnoteReference"/>
        </w:rPr>
        <w:footnoteReference w:id="13"/>
      </w:r>
    </w:p>
    <w:p w14:paraId="5ACC2C2F" w14:textId="77777777" w:rsidR="00E718AC" w:rsidRDefault="004E6A15" w:rsidP="00D9457D">
      <w:pPr>
        <w:pStyle w:val="Heading4"/>
      </w:pPr>
      <w:r>
        <w:t>Leveraging of funding</w:t>
      </w:r>
    </w:p>
    <w:p w14:paraId="65C7FBF6" w14:textId="711E2CEF" w:rsidR="00792461" w:rsidRDefault="00DA37F9" w:rsidP="00D9457D">
      <w:pPr>
        <w:spacing w:before="200"/>
      </w:pPr>
      <w:r>
        <w:t>A key</w:t>
      </w:r>
      <w:r w:rsidR="00D2317C">
        <w:t xml:space="preserve"> advantage of co</w:t>
      </w:r>
      <w:r w:rsidR="002F56B3">
        <w:t>llaboration is that it enables leveraging of</w:t>
      </w:r>
      <w:r w:rsidR="00D2317C">
        <w:t xml:space="preserve"> resources and funding</w:t>
      </w:r>
      <w:r w:rsidR="00B25C0E">
        <w:t xml:space="preserve">. </w:t>
      </w:r>
      <w:r w:rsidR="00E718AC">
        <w:t>Analysis of the 36 pro</w:t>
      </w:r>
      <w:r w:rsidR="00D05B16">
        <w:t xml:space="preserve">jects </w:t>
      </w:r>
      <w:r w:rsidR="00661B2E">
        <w:t>showed</w:t>
      </w:r>
      <w:r w:rsidR="00D05B16">
        <w:t xml:space="preserve"> that </w:t>
      </w:r>
      <w:r w:rsidR="000F1D3D">
        <w:t>via collaboration</w:t>
      </w:r>
      <w:r w:rsidR="00AF33E0">
        <w:t xml:space="preserve"> </w:t>
      </w:r>
      <w:r w:rsidR="00D05B16">
        <w:t>t</w:t>
      </w:r>
      <w:r w:rsidR="00E718AC">
        <w:t xml:space="preserve">he program has successfully leveraged funding </w:t>
      </w:r>
      <w:r w:rsidR="005859C1">
        <w:t>across the three rounds</w:t>
      </w:r>
      <w:r w:rsidR="008231B2">
        <w:t xml:space="preserve"> (illustrated in Fig</w:t>
      </w:r>
      <w:r w:rsidR="000F1D3D">
        <w:t>ure 3</w:t>
      </w:r>
      <w:r w:rsidR="008231B2">
        <w:t>)</w:t>
      </w:r>
      <w:r w:rsidR="00B25C0E">
        <w:t xml:space="preserve">. </w:t>
      </w:r>
    </w:p>
    <w:p w14:paraId="4419F3FE" w14:textId="77777777" w:rsidR="00E718AC" w:rsidRDefault="00D05B16" w:rsidP="00D05B16">
      <w:r>
        <w:t xml:space="preserve">In sum, </w:t>
      </w:r>
      <w:r w:rsidR="005859C1">
        <w:t>a</w:t>
      </w:r>
      <w:r w:rsidR="004D24F0">
        <w:t xml:space="preserve"> total of $114</w:t>
      </w:r>
      <w:r w:rsidR="000671E0">
        <w:t>.</w:t>
      </w:r>
      <w:r w:rsidR="004D24F0">
        <w:t>68</w:t>
      </w:r>
      <w:r w:rsidR="00295381">
        <w:t xml:space="preserve"> </w:t>
      </w:r>
      <w:r w:rsidR="00D4570A">
        <w:t>m</w:t>
      </w:r>
      <w:r w:rsidR="00295381">
        <w:t>illion in</w:t>
      </w:r>
      <w:r w:rsidR="00442F6B">
        <w:t xml:space="preserve"> </w:t>
      </w:r>
      <w:r w:rsidR="004D24F0">
        <w:t>Commonwe</w:t>
      </w:r>
      <w:r w:rsidR="005859C1">
        <w:t xml:space="preserve">alth funding has been </w:t>
      </w:r>
      <w:r w:rsidR="00442F6B">
        <w:t xml:space="preserve">awarded to projects </w:t>
      </w:r>
      <w:r w:rsidR="005859C1">
        <w:t>and</w:t>
      </w:r>
      <w:r>
        <w:t xml:space="preserve"> </w:t>
      </w:r>
      <w:r w:rsidR="005859C1">
        <w:t>t</w:t>
      </w:r>
      <w:r w:rsidR="004D24F0">
        <w:t>he program has leveraged $169</w:t>
      </w:r>
      <w:r w:rsidR="00295381">
        <w:t>.37</w:t>
      </w:r>
      <w:r w:rsidR="00442F6B">
        <w:t xml:space="preserve"> </w:t>
      </w:r>
      <w:r w:rsidR="00295381">
        <w:t xml:space="preserve">million </w:t>
      </w:r>
      <w:r w:rsidR="004D24F0">
        <w:t>in partner co-contributions</w:t>
      </w:r>
      <w:r w:rsidR="00E26AAD">
        <w:t xml:space="preserve"> (cash and in-kind)</w:t>
      </w:r>
      <w:r>
        <w:t>.</w:t>
      </w:r>
      <w:r w:rsidR="00C55F30">
        <w:t xml:space="preserve"> </w:t>
      </w:r>
    </w:p>
    <w:p w14:paraId="32B23922" w14:textId="77777777" w:rsidR="00D05B16" w:rsidRDefault="000F1D3D" w:rsidP="00D05B16">
      <w:pPr>
        <w:pStyle w:val="Caption"/>
      </w:pPr>
      <w:r>
        <w:t>Figure 3</w:t>
      </w:r>
      <w:r w:rsidR="0081155F">
        <w:t>:</w:t>
      </w:r>
      <w:r w:rsidR="00D05B16">
        <w:t xml:space="preserve"> Amount of Commonwealth funding and non-government funding (partner co-contributions) across Rounds 1, 2 and 3</w:t>
      </w:r>
    </w:p>
    <w:p w14:paraId="7A46895E" w14:textId="77777777" w:rsidR="0015730E" w:rsidRPr="0015730E" w:rsidRDefault="0015730E" w:rsidP="0015730E">
      <w:r w:rsidRPr="0015730E">
        <w:rPr>
          <w:noProof/>
        </w:rPr>
        <w:drawing>
          <wp:inline distT="0" distB="0" distL="0" distR="0" wp14:anchorId="2A85A0C3" wp14:editId="637518E7">
            <wp:extent cx="4922274" cy="3652025"/>
            <wp:effectExtent l="0" t="0" r="0" b="5715"/>
            <wp:docPr id="6" name="Picture 6" descr="The graph shows the amount of Commonwealth funding allocated and amount of non government funding leveraged for funding rounds 1, 2 and 3. &#10;The graph shows Commonwealth funding allocated for Round 1 totalled $26,669,445, non government funding totalled $32,883,764.  In Round 2, Commonwealth funding totalled $52,186,966 and non government funding &#10;$77,011,513.  In Round 3 Commonwealth funding totalled $35,821,98 and non government funding totalled $59,312,405." title="Figure 3 Amount of Commonwealth funding and non government funding across Rounds 1, 2 an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26856" cy="3655425"/>
                    </a:xfrm>
                    <a:prstGeom prst="rect">
                      <a:avLst/>
                    </a:prstGeom>
                    <a:noFill/>
                    <a:ln>
                      <a:noFill/>
                    </a:ln>
                  </pic:spPr>
                </pic:pic>
              </a:graphicData>
            </a:graphic>
          </wp:inline>
        </w:drawing>
      </w:r>
    </w:p>
    <w:p w14:paraId="7F10C7F1" w14:textId="0DBCA6BE" w:rsidR="003165AB" w:rsidRDefault="003165AB" w:rsidP="003165AB">
      <w:r>
        <w:t xml:space="preserve">A breakdown of program funding sources </w:t>
      </w:r>
      <w:r w:rsidR="00F265A5">
        <w:t>showed</w:t>
      </w:r>
      <w:r w:rsidR="00EC3813">
        <w:t xml:space="preserve"> that </w:t>
      </w:r>
      <w:r w:rsidR="003E13F2">
        <w:t>over</w:t>
      </w:r>
      <w:r w:rsidR="00EC3813">
        <w:t xml:space="preserve"> three rounds the </w:t>
      </w:r>
      <w:r w:rsidR="002A5D7D">
        <w:t>d</w:t>
      </w:r>
      <w:r w:rsidR="00EC3813">
        <w:t xml:space="preserve">epartment funded 40% of </w:t>
      </w:r>
      <w:r w:rsidR="003E13F2">
        <w:t xml:space="preserve">the </w:t>
      </w:r>
      <w:r w:rsidR="00EC3813">
        <w:t>total project funding allocation, with 60% of total project funding provided by external sources</w:t>
      </w:r>
      <w:r w:rsidR="000E2B01">
        <w:t xml:space="preserve"> (both cash and in-kind)</w:t>
      </w:r>
      <w:r w:rsidR="00B25C0E">
        <w:t xml:space="preserve">. </w:t>
      </w:r>
      <w:r w:rsidR="007D05B0">
        <w:t>The breakdown is represented in Figure 4</w:t>
      </w:r>
      <w:r w:rsidR="00B25C0E">
        <w:t xml:space="preserve">. </w:t>
      </w:r>
    </w:p>
    <w:p w14:paraId="41D35EDD" w14:textId="77777777" w:rsidR="00A27525" w:rsidRDefault="00A27525">
      <w:pPr>
        <w:ind w:left="0"/>
        <w:rPr>
          <w:rFonts w:asciiTheme="majorHAnsi" w:hAnsiTheme="majorHAnsi"/>
          <w:bCs/>
          <w:i/>
          <w:sz w:val="19"/>
          <w:szCs w:val="18"/>
        </w:rPr>
      </w:pPr>
      <w:r>
        <w:br w:type="page"/>
      </w:r>
    </w:p>
    <w:p w14:paraId="64EB16EE" w14:textId="77777777" w:rsidR="003165AB" w:rsidRDefault="00071080" w:rsidP="00EC3813">
      <w:pPr>
        <w:pStyle w:val="Caption"/>
      </w:pPr>
      <w:r>
        <w:t>Figure 4</w:t>
      </w:r>
      <w:r w:rsidR="0081155F">
        <w:t>:</w:t>
      </w:r>
      <w:r w:rsidR="003165AB">
        <w:t xml:space="preserve"> </w:t>
      </w:r>
      <w:r w:rsidR="00EC3813">
        <w:t>Percentage b</w:t>
      </w:r>
      <w:r w:rsidR="003165AB">
        <w:t xml:space="preserve">reakdown </w:t>
      </w:r>
      <w:r w:rsidR="00D5183D">
        <w:t xml:space="preserve">of </w:t>
      </w:r>
      <w:r w:rsidR="00EC3813">
        <w:t xml:space="preserve">total </w:t>
      </w:r>
      <w:r w:rsidR="00D5183D">
        <w:t>program</w:t>
      </w:r>
      <w:r w:rsidR="003165AB">
        <w:t xml:space="preserve"> funding</w:t>
      </w:r>
      <w:r w:rsidR="00D5183D">
        <w:t xml:space="preserve"> by funding sources</w:t>
      </w:r>
    </w:p>
    <w:p w14:paraId="29DB8FB7" w14:textId="77777777" w:rsidR="00AB4160" w:rsidRDefault="00AB4160" w:rsidP="00AB4160">
      <w:r w:rsidRPr="00AB4160">
        <w:rPr>
          <w:noProof/>
        </w:rPr>
        <w:drawing>
          <wp:inline distT="0" distB="0" distL="0" distR="0" wp14:anchorId="1E493B60" wp14:editId="7A77831A">
            <wp:extent cx="4952560" cy="2973735"/>
            <wp:effectExtent l="0" t="0" r="635" b="0"/>
            <wp:docPr id="13" name="Picture 13" descr="This graph shows the breakdown by percentages of total program funding by funding sources.   Percentages of funding for each category are: 40% from Commonwealth grant funding, 10% for grantee cash, 2% for grantee in-kind, 18% for partner cash and 30% for partner in-kind.  " title="Figure 4 Percentage breakdown of total program funding by funding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9609" cy="2977968"/>
                    </a:xfrm>
                    <a:prstGeom prst="rect">
                      <a:avLst/>
                    </a:prstGeom>
                    <a:noFill/>
                    <a:ln>
                      <a:noFill/>
                    </a:ln>
                  </pic:spPr>
                </pic:pic>
              </a:graphicData>
            </a:graphic>
          </wp:inline>
        </w:drawing>
      </w:r>
    </w:p>
    <w:p w14:paraId="67251E7E" w14:textId="77777777" w:rsidR="00547A94" w:rsidRDefault="004C53EA" w:rsidP="00D9457D">
      <w:pPr>
        <w:pStyle w:val="Heading4"/>
      </w:pPr>
      <w:r>
        <w:t>Extent of p</w:t>
      </w:r>
      <w:r w:rsidR="00547A94">
        <w:t>articipation by RDCs and partner organisations</w:t>
      </w:r>
      <w:r w:rsidR="00F16BEB">
        <w:t xml:space="preserve"> in collaborations</w:t>
      </w:r>
    </w:p>
    <w:p w14:paraId="160FBEC3" w14:textId="7F1E341C" w:rsidR="000C71A1" w:rsidRDefault="00581E8A" w:rsidP="00D9457D">
      <w:pPr>
        <w:spacing w:before="200"/>
      </w:pPr>
      <w:r>
        <w:t>The n</w:t>
      </w:r>
      <w:r w:rsidR="000C71A1">
        <w:t xml:space="preserve">ature and size of </w:t>
      </w:r>
      <w:r w:rsidR="002762F2">
        <w:t>collaborations</w:t>
      </w:r>
      <w:r w:rsidR="000C71A1">
        <w:t xml:space="preserve"> varie</w:t>
      </w:r>
      <w:r>
        <w:t>d significantly across projects</w:t>
      </w:r>
      <w:r w:rsidR="000C71A1">
        <w:t xml:space="preserve"> in terms of </w:t>
      </w:r>
      <w:r w:rsidR="0018134A">
        <w:t>the</w:t>
      </w:r>
      <w:r>
        <w:t xml:space="preserve"> </w:t>
      </w:r>
      <w:r w:rsidR="000C71A1">
        <w:t>numbers of partners involved</w:t>
      </w:r>
      <w:r>
        <w:t>, the</w:t>
      </w:r>
      <w:r w:rsidR="000C71A1">
        <w:t xml:space="preserve"> size and nature of projects and level of involvement and contribution</w:t>
      </w:r>
      <w:r w:rsidR="00B25C0E">
        <w:t xml:space="preserve">. </w:t>
      </w:r>
    </w:p>
    <w:p w14:paraId="75160365" w14:textId="6293ED35" w:rsidR="00F01820" w:rsidRDefault="00E1683B" w:rsidP="003165AB">
      <w:r>
        <w:t>W</w:t>
      </w:r>
      <w:r w:rsidR="00462EB0">
        <w:t>hile</w:t>
      </w:r>
      <w:r w:rsidR="0065043C">
        <w:t xml:space="preserve"> </w:t>
      </w:r>
      <w:r w:rsidR="00FC7F8D">
        <w:t>all</w:t>
      </w:r>
      <w:r w:rsidR="00E46092">
        <w:t xml:space="preserve"> RDCs have participated in the program in some capacity</w:t>
      </w:r>
      <w:r w:rsidR="00581E8A">
        <w:t>,</w:t>
      </w:r>
      <w:r w:rsidR="00E46092">
        <w:t xml:space="preserve"> the degree of involvement </w:t>
      </w:r>
      <w:r w:rsidR="00676A23">
        <w:t xml:space="preserve">across RDCs </w:t>
      </w:r>
      <w:r w:rsidR="00E46092">
        <w:t>varie</w:t>
      </w:r>
      <w:r w:rsidR="00215609">
        <w:t>d</w:t>
      </w:r>
      <w:r w:rsidR="00E46092">
        <w:t xml:space="preserve"> considerably</w:t>
      </w:r>
      <w:r w:rsidR="00B25C0E">
        <w:t xml:space="preserve">. </w:t>
      </w:r>
    </w:p>
    <w:p w14:paraId="688D419C" w14:textId="4D5FAA5A" w:rsidR="00330DF5" w:rsidRDefault="00F01820" w:rsidP="003165AB">
      <w:r>
        <w:t>Figure 5</w:t>
      </w:r>
      <w:r w:rsidR="00567FA0">
        <w:t xml:space="preserve"> </w:t>
      </w:r>
      <w:r w:rsidR="002C1B23">
        <w:t>illustrates</w:t>
      </w:r>
      <w:r w:rsidR="0086566C">
        <w:t xml:space="preserve"> the</w:t>
      </w:r>
      <w:r w:rsidR="002A1518">
        <w:t xml:space="preserve"> </w:t>
      </w:r>
      <w:r>
        <w:t>variance in</w:t>
      </w:r>
      <w:r w:rsidR="00FB531C">
        <w:t xml:space="preserve"> involvement </w:t>
      </w:r>
      <w:r w:rsidR="002A1518">
        <w:t>by RDCs</w:t>
      </w:r>
      <w:r w:rsidR="00DA1196">
        <w:t xml:space="preserve">, </w:t>
      </w:r>
      <w:r w:rsidR="00FB531C">
        <w:t xml:space="preserve">whereby some RDCs </w:t>
      </w:r>
      <w:r w:rsidR="002A1518">
        <w:t xml:space="preserve">have </w:t>
      </w:r>
      <w:r w:rsidR="00FB531C">
        <w:t>participate</w:t>
      </w:r>
      <w:r w:rsidR="002A1518">
        <w:t>d extensively</w:t>
      </w:r>
      <w:r w:rsidR="00FB531C">
        <w:t xml:space="preserve"> as both lead</w:t>
      </w:r>
      <w:r w:rsidR="00B63DDC">
        <w:t>s</w:t>
      </w:r>
      <w:r w:rsidR="00FB531C">
        <w:t xml:space="preserve"> and partners in multiple projects</w:t>
      </w:r>
      <w:r w:rsidR="00E53A99">
        <w:t>,</w:t>
      </w:r>
      <w:r w:rsidR="00B63DDC">
        <w:t xml:space="preserve"> a</w:t>
      </w:r>
      <w:r w:rsidR="001B0980">
        <w:t>nd a</w:t>
      </w:r>
      <w:r w:rsidR="00B63DDC">
        <w:t xml:space="preserve"> few</w:t>
      </w:r>
      <w:r w:rsidR="00E66203">
        <w:t xml:space="preserve"> </w:t>
      </w:r>
      <w:r w:rsidR="00581E8A">
        <w:t>RDCs did not invest much</w:t>
      </w:r>
      <w:r w:rsidR="001B0980">
        <w:t xml:space="preserve"> at all</w:t>
      </w:r>
      <w:r w:rsidR="00B25C0E">
        <w:t xml:space="preserve">. </w:t>
      </w:r>
      <w:r w:rsidR="00157EEE">
        <w:t>RDCs do range significantly in terms of their R&amp;D funding, capacity and capability</w:t>
      </w:r>
      <w:r w:rsidR="00B25C0E">
        <w:t xml:space="preserve">. </w:t>
      </w:r>
      <w:r w:rsidR="00157EEE">
        <w:t>The number and size of projects is partly, but not only</w:t>
      </w:r>
      <w:r w:rsidR="00F01805">
        <w:t>,</w:t>
      </w:r>
      <w:r w:rsidR="00157EEE">
        <w:t xml:space="preserve"> a reflection of their </w:t>
      </w:r>
      <w:r w:rsidR="00F01805">
        <w:t xml:space="preserve">size and </w:t>
      </w:r>
      <w:r w:rsidR="00157EEE">
        <w:t>scale</w:t>
      </w:r>
      <w:r w:rsidR="00B25C0E">
        <w:t xml:space="preserve">. </w:t>
      </w:r>
    </w:p>
    <w:p w14:paraId="0E1AEAB2" w14:textId="16034FB1" w:rsidR="00567FA0" w:rsidRDefault="00EC4164" w:rsidP="00567FA0">
      <w:r>
        <w:t>Figure 5</w:t>
      </w:r>
      <w:r w:rsidR="00567FA0">
        <w:t xml:space="preserve"> </w:t>
      </w:r>
      <w:r w:rsidR="007F3884">
        <w:t xml:space="preserve">also </w:t>
      </w:r>
      <w:r w:rsidR="00567FA0">
        <w:t>shows 11 out of the 15 RDCs have participated as lead RDCs</w:t>
      </w:r>
      <w:r w:rsidR="00B25C0E">
        <w:t xml:space="preserve">. </w:t>
      </w:r>
    </w:p>
    <w:p w14:paraId="39AA6D28" w14:textId="77777777" w:rsidR="00A27525" w:rsidRDefault="00A27525">
      <w:pPr>
        <w:ind w:left="0"/>
        <w:rPr>
          <w:rFonts w:asciiTheme="majorHAnsi" w:hAnsiTheme="majorHAnsi"/>
          <w:bCs/>
          <w:i/>
          <w:sz w:val="19"/>
          <w:szCs w:val="18"/>
        </w:rPr>
      </w:pPr>
      <w:r>
        <w:br w:type="page"/>
      </w:r>
    </w:p>
    <w:p w14:paraId="5A2A5DBD" w14:textId="77777777" w:rsidR="00E17508" w:rsidRDefault="00E17508" w:rsidP="00947CB6">
      <w:pPr>
        <w:pStyle w:val="Caption"/>
        <w:spacing w:after="160"/>
      </w:pPr>
      <w:r>
        <w:t>Figu</w:t>
      </w:r>
      <w:r w:rsidR="00E46E3D">
        <w:t>re 5:</w:t>
      </w:r>
      <w:r w:rsidR="00000489">
        <w:t xml:space="preserve"> N</w:t>
      </w:r>
      <w:r w:rsidR="0049790B">
        <w:t xml:space="preserve">umber of projects </w:t>
      </w:r>
      <w:r w:rsidR="00370065">
        <w:t xml:space="preserve">by </w:t>
      </w:r>
      <w:r w:rsidR="005B0DB9">
        <w:t xml:space="preserve">participant </w:t>
      </w:r>
      <w:r w:rsidR="0049790B">
        <w:t>RDCs</w:t>
      </w:r>
      <w:r w:rsidR="00370065">
        <w:t xml:space="preserve"> (as </w:t>
      </w:r>
      <w:r w:rsidR="0049790B">
        <w:t xml:space="preserve">lead </w:t>
      </w:r>
      <w:r w:rsidR="00370065">
        <w:t>and</w:t>
      </w:r>
      <w:r w:rsidR="0049790B">
        <w:t xml:space="preserve"> supportin</w:t>
      </w:r>
      <w:r w:rsidR="00370065">
        <w:t>g partners)</w:t>
      </w:r>
    </w:p>
    <w:p w14:paraId="265AFD12" w14:textId="77777777" w:rsidR="00D604B5" w:rsidRDefault="00EF647B" w:rsidP="005109AE">
      <w:pPr>
        <w:jc w:val="center"/>
      </w:pPr>
      <w:r w:rsidRPr="00EF647B">
        <w:rPr>
          <w:noProof/>
        </w:rPr>
        <w:drawing>
          <wp:inline distT="0" distB="0" distL="0" distR="0" wp14:anchorId="55ED633F" wp14:editId="0F0549D2">
            <wp:extent cx="4811661" cy="3231582"/>
            <wp:effectExtent l="0" t="0" r="8255" b="6985"/>
            <wp:docPr id="12" name="Picture 12" descr="This graph shows the number of projects for each of the participating RDCS, both as lead RDCs and as supporting partners.  &#10;MLA had the highest number of projects, 8 as a lead RDC and 7 as a supporting partner.  Agrifutures had 5 projects as a lead and 8 projects as a supporting partner.  DAL had 3 projects as a lead and 9 as a supporting partner.  HIAL had 5 projects as a lead and 8 projects as a supporting partner.  APL had 3 projects as a lead and 8 as a supporting partner.  CRDC had 3 as a lead and 7 as a supporting partner.  SRA had 2 as a lead and 8 as a partner.  Wine Australia had 2 as a lead and 5 as a partner.  GRDC had 1 as a lead and 5 as a partner.  FRDC had 2 as a lead and 3 as a partner.  FWPA had 2 as a lead and 3 as a partner.  AWI supported 4 projects and AMPC supported 2.  " title="Figure 5 Number of projects by participating RD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16413" cy="3234774"/>
                    </a:xfrm>
                    <a:prstGeom prst="rect">
                      <a:avLst/>
                    </a:prstGeom>
                    <a:noFill/>
                    <a:ln>
                      <a:noFill/>
                    </a:ln>
                  </pic:spPr>
                </pic:pic>
              </a:graphicData>
            </a:graphic>
          </wp:inline>
        </w:drawing>
      </w:r>
    </w:p>
    <w:p w14:paraId="0BAB541D" w14:textId="51227E6B" w:rsidR="00330DF5" w:rsidRDefault="0043062D" w:rsidP="00CB01E2">
      <w:r>
        <w:t>Allocation of funding across lead</w:t>
      </w:r>
      <w:r w:rsidR="006A2892">
        <w:t xml:space="preserve"> RDCs is illustrated in Figure 6</w:t>
      </w:r>
      <w:r w:rsidR="00B25C0E">
        <w:t xml:space="preserve">. </w:t>
      </w:r>
      <w:r w:rsidR="00AA25C1">
        <w:t xml:space="preserve">Distribution </w:t>
      </w:r>
      <w:r w:rsidR="009377EF">
        <w:t xml:space="preserve">of </w:t>
      </w:r>
      <w:r w:rsidR="00E32426">
        <w:t xml:space="preserve">the </w:t>
      </w:r>
      <w:r w:rsidR="009377EF">
        <w:t xml:space="preserve">number of projects across lead RDCs is </w:t>
      </w:r>
      <w:r w:rsidR="00E32426">
        <w:t>displayed in Figure 7</w:t>
      </w:r>
      <w:r w:rsidR="00B25C0E">
        <w:t xml:space="preserve">. </w:t>
      </w:r>
    </w:p>
    <w:p w14:paraId="46C69555" w14:textId="77777777" w:rsidR="0043062D" w:rsidRDefault="00E32426" w:rsidP="00947CB6">
      <w:pPr>
        <w:pStyle w:val="Caption"/>
        <w:spacing w:after="160"/>
      </w:pPr>
      <w:r>
        <w:t>Figure 6:</w:t>
      </w:r>
      <w:r w:rsidR="0043062D">
        <w:t xml:space="preserve"> Distribution of Commonwealth funding across lead RDCs</w:t>
      </w:r>
    </w:p>
    <w:p w14:paraId="4B5BAB94" w14:textId="77777777" w:rsidR="00607029" w:rsidRDefault="00D30A45" w:rsidP="00607029">
      <w:r w:rsidRPr="00D30A45">
        <w:rPr>
          <w:noProof/>
        </w:rPr>
        <w:drawing>
          <wp:inline distT="0" distB="0" distL="0" distR="0" wp14:anchorId="58EDC046" wp14:editId="33F6261B">
            <wp:extent cx="5013960" cy="3008376"/>
            <wp:effectExtent l="0" t="0" r="0" b="1905"/>
            <wp:docPr id="19" name="Picture 19" descr="This graph shows the distribution of Commonwealth funding across the lead RDCs.    MLA received the highest amount of funding, $40,324,502 or 35% of the total Commonwealth funding allocated.  HIAL received the next highest amount, $19,184,681, or 17% of total Commonwealth funding.  Agrifutures was third, receiving $14,644,186, or 13% and CRDC received $11,286, 847, or 10%.  Other lead RDCs received the remainder of $29,238,183 or 25%.   " title="Figure 6 Distribution of Commonwealth funding across lead RD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19674" cy="3011804"/>
                    </a:xfrm>
                    <a:prstGeom prst="rect">
                      <a:avLst/>
                    </a:prstGeom>
                    <a:noFill/>
                    <a:ln>
                      <a:noFill/>
                    </a:ln>
                  </pic:spPr>
                </pic:pic>
              </a:graphicData>
            </a:graphic>
          </wp:inline>
        </w:drawing>
      </w:r>
    </w:p>
    <w:p w14:paraId="16D23478" w14:textId="77777777" w:rsidR="000300C8" w:rsidRPr="00DD18A7" w:rsidRDefault="00B029C4" w:rsidP="00947CB6">
      <w:pPr>
        <w:pStyle w:val="Caption"/>
        <w:spacing w:before="100" w:beforeAutospacing="1" w:after="0"/>
        <w:contextualSpacing/>
        <w:rPr>
          <w:bCs w:val="0"/>
          <w:i w:val="0"/>
          <w:szCs w:val="19"/>
        </w:rPr>
      </w:pPr>
      <w:r w:rsidRPr="00DD18A7">
        <w:rPr>
          <w:szCs w:val="19"/>
        </w:rPr>
        <w:t>*</w:t>
      </w:r>
      <w:r w:rsidR="000671E0">
        <w:rPr>
          <w:szCs w:val="19"/>
        </w:rPr>
        <w:t>’</w:t>
      </w:r>
      <w:r w:rsidRPr="00DD18A7">
        <w:rPr>
          <w:szCs w:val="19"/>
        </w:rPr>
        <w:t>Other</w:t>
      </w:r>
      <w:r w:rsidR="000671E0">
        <w:rPr>
          <w:szCs w:val="19"/>
        </w:rPr>
        <w:t>’</w:t>
      </w:r>
      <w:r w:rsidR="0085465C" w:rsidRPr="00DD18A7">
        <w:rPr>
          <w:szCs w:val="19"/>
        </w:rPr>
        <w:t xml:space="preserve"> category </w:t>
      </w:r>
      <w:r w:rsidR="0085465C" w:rsidRPr="00CB01E2">
        <w:rPr>
          <w:szCs w:val="19"/>
        </w:rPr>
        <w:t>includes</w:t>
      </w:r>
      <w:r w:rsidRPr="00CB01E2">
        <w:rPr>
          <w:szCs w:val="19"/>
        </w:rPr>
        <w:t>:</w:t>
      </w:r>
      <w:r w:rsidR="00330FDB" w:rsidRPr="00CB01E2">
        <w:rPr>
          <w:szCs w:val="19"/>
        </w:rPr>
        <w:t xml:space="preserve"> </w:t>
      </w:r>
      <w:r w:rsidR="000300C8" w:rsidRPr="00CB01E2">
        <w:rPr>
          <w:bCs w:val="0"/>
          <w:szCs w:val="19"/>
        </w:rPr>
        <w:t>Wine Australia, $4,453,635, 4%</w:t>
      </w:r>
      <w:r w:rsidR="00947CB6" w:rsidRPr="00CB01E2">
        <w:rPr>
          <w:bCs w:val="0"/>
          <w:szCs w:val="19"/>
        </w:rPr>
        <w:t xml:space="preserve">; </w:t>
      </w:r>
      <w:r w:rsidR="000300C8" w:rsidRPr="00CB01E2">
        <w:rPr>
          <w:bCs w:val="0"/>
          <w:szCs w:val="19"/>
        </w:rPr>
        <w:t>APL, $2,848,361, 2%</w:t>
      </w:r>
      <w:r w:rsidR="00947CB6" w:rsidRPr="00CB01E2">
        <w:rPr>
          <w:bCs w:val="0"/>
          <w:szCs w:val="19"/>
        </w:rPr>
        <w:t xml:space="preserve">; </w:t>
      </w:r>
      <w:r w:rsidR="000300C8" w:rsidRPr="00CB01E2">
        <w:rPr>
          <w:bCs w:val="0"/>
          <w:szCs w:val="19"/>
        </w:rPr>
        <w:t>DAL, $5</w:t>
      </w:r>
      <w:r w:rsidR="000671E0">
        <w:rPr>
          <w:bCs w:val="0"/>
          <w:szCs w:val="19"/>
        </w:rPr>
        <w:t>,</w:t>
      </w:r>
      <w:r w:rsidR="000300C8" w:rsidRPr="00CB01E2">
        <w:rPr>
          <w:bCs w:val="0"/>
          <w:szCs w:val="19"/>
        </w:rPr>
        <w:t>122</w:t>
      </w:r>
      <w:r w:rsidR="000671E0">
        <w:rPr>
          <w:bCs w:val="0"/>
          <w:szCs w:val="19"/>
        </w:rPr>
        <w:t>,</w:t>
      </w:r>
      <w:r w:rsidR="000300C8" w:rsidRPr="00CB01E2">
        <w:rPr>
          <w:bCs w:val="0"/>
          <w:szCs w:val="19"/>
        </w:rPr>
        <w:t>273, 4%</w:t>
      </w:r>
      <w:r w:rsidR="00947CB6" w:rsidRPr="00CB01E2">
        <w:rPr>
          <w:bCs w:val="0"/>
          <w:szCs w:val="19"/>
        </w:rPr>
        <w:t xml:space="preserve">; </w:t>
      </w:r>
      <w:r w:rsidR="000300C8" w:rsidRPr="00CB01E2">
        <w:rPr>
          <w:bCs w:val="0"/>
          <w:szCs w:val="19"/>
        </w:rPr>
        <w:t>FRDC, $3</w:t>
      </w:r>
      <w:r w:rsidR="000671E0">
        <w:rPr>
          <w:bCs w:val="0"/>
          <w:szCs w:val="19"/>
        </w:rPr>
        <w:t>,</w:t>
      </w:r>
      <w:r w:rsidR="000300C8" w:rsidRPr="00CB01E2">
        <w:rPr>
          <w:bCs w:val="0"/>
          <w:szCs w:val="19"/>
        </w:rPr>
        <w:t>236</w:t>
      </w:r>
      <w:r w:rsidR="000671E0">
        <w:rPr>
          <w:bCs w:val="0"/>
          <w:szCs w:val="19"/>
        </w:rPr>
        <w:t>,</w:t>
      </w:r>
      <w:r w:rsidR="000300C8" w:rsidRPr="00CB01E2">
        <w:rPr>
          <w:bCs w:val="0"/>
          <w:szCs w:val="19"/>
        </w:rPr>
        <w:t>275, 3%</w:t>
      </w:r>
      <w:r w:rsidR="00947CB6" w:rsidRPr="00CB01E2">
        <w:rPr>
          <w:bCs w:val="0"/>
          <w:szCs w:val="19"/>
        </w:rPr>
        <w:t xml:space="preserve">; </w:t>
      </w:r>
      <w:r w:rsidR="000300C8" w:rsidRPr="00CB01E2">
        <w:rPr>
          <w:bCs w:val="0"/>
          <w:szCs w:val="19"/>
        </w:rPr>
        <w:t>FWPA, $1,420,000, 1%</w:t>
      </w:r>
      <w:r w:rsidR="00947CB6" w:rsidRPr="00CB01E2">
        <w:rPr>
          <w:bCs w:val="0"/>
          <w:szCs w:val="19"/>
        </w:rPr>
        <w:t xml:space="preserve">; </w:t>
      </w:r>
      <w:r w:rsidR="000300C8" w:rsidRPr="00CB01E2">
        <w:rPr>
          <w:bCs w:val="0"/>
          <w:szCs w:val="19"/>
        </w:rPr>
        <w:t>GRDC, $5,516,075, 5%</w:t>
      </w:r>
      <w:r w:rsidR="00947CB6" w:rsidRPr="00CB01E2">
        <w:rPr>
          <w:bCs w:val="0"/>
          <w:szCs w:val="19"/>
        </w:rPr>
        <w:t xml:space="preserve">; </w:t>
      </w:r>
      <w:r w:rsidR="000300C8" w:rsidRPr="00CB01E2">
        <w:rPr>
          <w:bCs w:val="0"/>
          <w:szCs w:val="19"/>
        </w:rPr>
        <w:t>SRA, $6,641,564, 6%</w:t>
      </w:r>
    </w:p>
    <w:p w14:paraId="1933A20F" w14:textId="77777777" w:rsidR="00CB01E2" w:rsidRDefault="00CB01E2">
      <w:pPr>
        <w:ind w:left="0"/>
        <w:rPr>
          <w:rFonts w:asciiTheme="majorHAnsi" w:hAnsiTheme="majorHAnsi"/>
          <w:bCs/>
          <w:i/>
          <w:sz w:val="19"/>
          <w:szCs w:val="18"/>
        </w:rPr>
      </w:pPr>
      <w:r>
        <w:br w:type="page"/>
      </w:r>
    </w:p>
    <w:p w14:paraId="6CDCD158" w14:textId="77777777" w:rsidR="00607029" w:rsidRPr="00607029" w:rsidRDefault="00B30D70" w:rsidP="00B30D70">
      <w:pPr>
        <w:pStyle w:val="Caption"/>
      </w:pPr>
      <w:r>
        <w:t>Figure 7:</w:t>
      </w:r>
      <w:r w:rsidR="00AA25C1">
        <w:t xml:space="preserve"> </w:t>
      </w:r>
      <w:r w:rsidR="00960B3E">
        <w:t xml:space="preserve">Distribution </w:t>
      </w:r>
      <w:r>
        <w:t>of number of</w:t>
      </w:r>
      <w:r w:rsidR="00960B3E">
        <w:t xml:space="preserve"> projects </w:t>
      </w:r>
      <w:r>
        <w:t>by</w:t>
      </w:r>
      <w:r w:rsidR="00960B3E">
        <w:t xml:space="preserve"> lead RDC</w:t>
      </w:r>
    </w:p>
    <w:p w14:paraId="6E580A23" w14:textId="77777777" w:rsidR="003F423F" w:rsidRPr="003F423F" w:rsidRDefault="000C4160" w:rsidP="001C4025">
      <w:pPr>
        <w:jc w:val="center"/>
      </w:pPr>
      <w:r w:rsidRPr="000C4160">
        <w:rPr>
          <w:noProof/>
        </w:rPr>
        <w:drawing>
          <wp:inline distT="0" distB="0" distL="0" distR="0" wp14:anchorId="0520AA23" wp14:editId="512BA966">
            <wp:extent cx="4852219" cy="2911330"/>
            <wp:effectExtent l="0" t="0" r="5715" b="3810"/>
            <wp:docPr id="21" name="Picture 21" descr="This graph shows the distribution of projects by lead RDC.  MLA led with the highest number of projects - 8 projects, or 22% of the total 36 projects.  Agrifutures and HIAL each led 5 projects and other lead RDCs had the remaining 18 projects, or 50% of the total 36 projects.  " title="Figure 7 Distribution of number of projects by lead R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62151" cy="2917289"/>
                    </a:xfrm>
                    <a:prstGeom prst="rect">
                      <a:avLst/>
                    </a:prstGeom>
                    <a:noFill/>
                    <a:ln>
                      <a:noFill/>
                    </a:ln>
                  </pic:spPr>
                </pic:pic>
              </a:graphicData>
            </a:graphic>
          </wp:inline>
        </w:drawing>
      </w:r>
    </w:p>
    <w:p w14:paraId="4289D395" w14:textId="77777777" w:rsidR="00D90DA0" w:rsidRPr="001B6DCB" w:rsidRDefault="004E0A99" w:rsidP="00642129">
      <w:pPr>
        <w:rPr>
          <w:rFonts w:asciiTheme="majorHAnsi" w:hAnsiTheme="majorHAnsi"/>
          <w:i/>
          <w:sz w:val="19"/>
          <w:szCs w:val="19"/>
        </w:rPr>
      </w:pPr>
      <w:r w:rsidRPr="001B6DCB">
        <w:rPr>
          <w:rFonts w:asciiTheme="majorHAnsi" w:hAnsiTheme="majorHAnsi"/>
          <w:i/>
          <w:sz w:val="19"/>
          <w:szCs w:val="19"/>
        </w:rPr>
        <w:t xml:space="preserve">* </w:t>
      </w:r>
      <w:r w:rsidR="000671E0">
        <w:rPr>
          <w:rFonts w:asciiTheme="majorHAnsi" w:hAnsiTheme="majorHAnsi"/>
          <w:i/>
          <w:sz w:val="19"/>
          <w:szCs w:val="19"/>
        </w:rPr>
        <w:t>‘</w:t>
      </w:r>
      <w:r w:rsidRPr="001B6DCB">
        <w:rPr>
          <w:rFonts w:asciiTheme="majorHAnsi" w:hAnsiTheme="majorHAnsi"/>
          <w:i/>
          <w:sz w:val="19"/>
          <w:szCs w:val="19"/>
        </w:rPr>
        <w:t>Other</w:t>
      </w:r>
      <w:r w:rsidR="000671E0">
        <w:rPr>
          <w:rFonts w:asciiTheme="majorHAnsi" w:hAnsiTheme="majorHAnsi"/>
          <w:i/>
          <w:sz w:val="19"/>
          <w:szCs w:val="19"/>
        </w:rPr>
        <w:t>’</w:t>
      </w:r>
      <w:r w:rsidRPr="001B6DCB">
        <w:rPr>
          <w:rFonts w:asciiTheme="majorHAnsi" w:hAnsiTheme="majorHAnsi"/>
          <w:i/>
          <w:sz w:val="19"/>
          <w:szCs w:val="19"/>
        </w:rPr>
        <w:t xml:space="preserve"> includes: </w:t>
      </w:r>
      <w:r w:rsidR="000671E0">
        <w:rPr>
          <w:rFonts w:asciiTheme="majorHAnsi" w:hAnsiTheme="majorHAnsi"/>
          <w:i/>
          <w:sz w:val="19"/>
          <w:szCs w:val="19"/>
        </w:rPr>
        <w:t xml:space="preserve">Wine Australia </w:t>
      </w:r>
      <w:r w:rsidR="00E15EC9">
        <w:rPr>
          <w:rFonts w:asciiTheme="majorHAnsi" w:hAnsiTheme="majorHAnsi"/>
          <w:i/>
          <w:sz w:val="19"/>
          <w:szCs w:val="19"/>
        </w:rPr>
        <w:t>2 projects, 5%</w:t>
      </w:r>
      <w:r w:rsidR="00870C61">
        <w:rPr>
          <w:rFonts w:asciiTheme="majorHAnsi" w:hAnsiTheme="majorHAnsi"/>
          <w:i/>
          <w:sz w:val="19"/>
          <w:szCs w:val="19"/>
        </w:rPr>
        <w:t>;</w:t>
      </w:r>
      <w:r w:rsidR="00E15EC9">
        <w:rPr>
          <w:rFonts w:asciiTheme="majorHAnsi" w:hAnsiTheme="majorHAnsi"/>
          <w:i/>
          <w:sz w:val="19"/>
          <w:szCs w:val="19"/>
        </w:rPr>
        <w:t xml:space="preserve"> APL 3 projects, 8%</w:t>
      </w:r>
      <w:r w:rsidR="00870C61">
        <w:rPr>
          <w:rFonts w:asciiTheme="majorHAnsi" w:hAnsiTheme="majorHAnsi"/>
          <w:i/>
          <w:sz w:val="19"/>
          <w:szCs w:val="19"/>
        </w:rPr>
        <w:t>;</w:t>
      </w:r>
      <w:r w:rsidR="00E15EC9">
        <w:rPr>
          <w:rFonts w:asciiTheme="majorHAnsi" w:hAnsiTheme="majorHAnsi"/>
          <w:i/>
          <w:sz w:val="19"/>
          <w:szCs w:val="19"/>
        </w:rPr>
        <w:t xml:space="preserve"> CRDC</w:t>
      </w:r>
      <w:r w:rsidR="00870C61">
        <w:rPr>
          <w:rFonts w:asciiTheme="majorHAnsi" w:hAnsiTheme="majorHAnsi"/>
          <w:i/>
          <w:sz w:val="19"/>
          <w:szCs w:val="19"/>
        </w:rPr>
        <w:t xml:space="preserve"> 3 projects, 8%; DAL 3 projects, 8%; FRDC </w:t>
      </w:r>
      <w:r w:rsidR="00E15EC9">
        <w:rPr>
          <w:rFonts w:asciiTheme="majorHAnsi" w:hAnsiTheme="majorHAnsi"/>
          <w:i/>
          <w:sz w:val="19"/>
          <w:szCs w:val="19"/>
        </w:rPr>
        <w:t>2 projects, 6%</w:t>
      </w:r>
      <w:r w:rsidR="00870C61">
        <w:rPr>
          <w:rFonts w:asciiTheme="majorHAnsi" w:hAnsiTheme="majorHAnsi"/>
          <w:i/>
          <w:sz w:val="19"/>
          <w:szCs w:val="19"/>
        </w:rPr>
        <w:t xml:space="preserve">; FWPA 2 projects, 6%; GRDC </w:t>
      </w:r>
      <w:r w:rsidR="00E15EC9">
        <w:rPr>
          <w:rFonts w:asciiTheme="majorHAnsi" w:hAnsiTheme="majorHAnsi"/>
          <w:i/>
          <w:sz w:val="19"/>
          <w:szCs w:val="19"/>
        </w:rPr>
        <w:t>1 project, 3%</w:t>
      </w:r>
      <w:r w:rsidR="00870C61">
        <w:rPr>
          <w:rFonts w:asciiTheme="majorHAnsi" w:hAnsiTheme="majorHAnsi"/>
          <w:i/>
          <w:sz w:val="19"/>
          <w:szCs w:val="19"/>
        </w:rPr>
        <w:t>;</w:t>
      </w:r>
      <w:r w:rsidR="00E15EC9">
        <w:rPr>
          <w:rFonts w:asciiTheme="majorHAnsi" w:hAnsiTheme="majorHAnsi"/>
          <w:i/>
          <w:sz w:val="19"/>
          <w:szCs w:val="19"/>
        </w:rPr>
        <w:t xml:space="preserve"> SRA 2 projects 6%</w:t>
      </w:r>
    </w:p>
    <w:p w14:paraId="3C86C023" w14:textId="6AE5A471" w:rsidR="00642129" w:rsidRDefault="006E3607" w:rsidP="00642129">
      <w:r>
        <w:t>Of the lead RDCs, there were</w:t>
      </w:r>
      <w:r w:rsidR="00F35278">
        <w:t xml:space="preserve"> four key players that </w:t>
      </w:r>
      <w:r w:rsidR="006F532F">
        <w:t>received the</w:t>
      </w:r>
      <w:r w:rsidR="00F35278">
        <w:t xml:space="preserve"> high</w:t>
      </w:r>
      <w:r>
        <w:t>est</w:t>
      </w:r>
      <w:r w:rsidR="00F35278">
        <w:t xml:space="preserve"> propo</w:t>
      </w:r>
      <w:r w:rsidR="006F532F">
        <w:t xml:space="preserve">rtion of grant funding allocated and there </w:t>
      </w:r>
      <w:r w:rsidR="00335513">
        <w:t xml:space="preserve">was </w:t>
      </w:r>
      <w:r w:rsidR="00215F5A">
        <w:t>a similar trend in the high</w:t>
      </w:r>
      <w:r w:rsidR="006F532F">
        <w:t>est</w:t>
      </w:r>
      <w:r w:rsidR="00F35278">
        <w:t xml:space="preserve"> </w:t>
      </w:r>
      <w:r>
        <w:t>number of projects lead by those</w:t>
      </w:r>
      <w:r w:rsidR="00F35278">
        <w:t xml:space="preserve"> RDCs</w:t>
      </w:r>
      <w:r w:rsidR="00A27525">
        <w:t xml:space="preserve"> (seen in Table </w:t>
      </w:r>
      <w:r w:rsidR="002D7037">
        <w:t>3</w:t>
      </w:r>
      <w:r w:rsidR="00A27525">
        <w:t>)</w:t>
      </w:r>
      <w:r w:rsidR="00B25C0E">
        <w:t xml:space="preserve">. </w:t>
      </w:r>
    </w:p>
    <w:p w14:paraId="1885E3B9" w14:textId="77777777" w:rsidR="00F35278" w:rsidRDefault="00A27525" w:rsidP="00F35278">
      <w:pPr>
        <w:pStyle w:val="Caption"/>
      </w:pPr>
      <w:r>
        <w:t>Table 3</w:t>
      </w:r>
      <w:r w:rsidR="00A10DA3">
        <w:t>: Highest amount of grant funding allocated and highest number of projects</w:t>
      </w:r>
    </w:p>
    <w:tbl>
      <w:tblPr>
        <w:tblStyle w:val="TableGrid"/>
        <w:tblW w:w="7935" w:type="dxa"/>
        <w:tblBorders>
          <w:top w:val="none" w:sz="0" w:space="0" w:color="auto"/>
          <w:left w:val="none" w:sz="0" w:space="0" w:color="auto"/>
          <w:bottom w:val="none" w:sz="0" w:space="0" w:color="auto"/>
          <w:right w:val="none" w:sz="0" w:space="0" w:color="auto"/>
          <w:insideH w:val="single" w:sz="4" w:space="0" w:color="0092CF"/>
          <w:insideV w:val="single" w:sz="4" w:space="0" w:color="0092CF"/>
        </w:tblBorders>
        <w:tblLook w:val="04A0" w:firstRow="1" w:lastRow="0" w:firstColumn="1" w:lastColumn="0" w:noHBand="0" w:noVBand="1"/>
        <w:tblCaption w:val="Table 3 Highest amount of grant funding allocated and highest number of projects"/>
        <w:tblDescription w:val="This table shows that MLA led with the highest number of projects and received the highest amount of commonwealth funding.  HIAL and AgriFutures were next with 5 projects each and received 17% and 13% of Commonwealth funding allocated.  CRDC led 3 projects and received 10% of Commonwealth funding."/>
      </w:tblPr>
      <w:tblGrid>
        <w:gridCol w:w="1545"/>
        <w:gridCol w:w="1489"/>
        <w:gridCol w:w="1489"/>
        <w:gridCol w:w="1706"/>
        <w:gridCol w:w="1706"/>
      </w:tblGrid>
      <w:tr w:rsidR="00F35278" w:rsidRPr="00B15A99" w14:paraId="0BFBAEE4" w14:textId="77777777" w:rsidTr="00BD6A9E">
        <w:tc>
          <w:tcPr>
            <w:tcW w:w="1545" w:type="dxa"/>
            <w:shd w:val="clear" w:color="auto" w:fill="E0F0FC"/>
          </w:tcPr>
          <w:p w14:paraId="637DDDFD" w14:textId="77777777" w:rsidR="00F35278" w:rsidRPr="00B15A99" w:rsidRDefault="00F35278" w:rsidP="00922C36">
            <w:pPr>
              <w:pStyle w:val="TableHeading"/>
              <w:jc w:val="center"/>
            </w:pPr>
            <w:r>
              <w:t>Lead RDC</w:t>
            </w:r>
          </w:p>
        </w:tc>
        <w:tc>
          <w:tcPr>
            <w:tcW w:w="1489" w:type="dxa"/>
            <w:shd w:val="clear" w:color="auto" w:fill="E0F0FC"/>
          </w:tcPr>
          <w:p w14:paraId="6EBA0C13" w14:textId="77777777" w:rsidR="00F35278" w:rsidRPr="00B15A99" w:rsidRDefault="00F35278" w:rsidP="00922C36">
            <w:pPr>
              <w:pStyle w:val="TableHeading"/>
              <w:jc w:val="center"/>
            </w:pPr>
            <w:r>
              <w:t># Projects Lead</w:t>
            </w:r>
          </w:p>
        </w:tc>
        <w:tc>
          <w:tcPr>
            <w:tcW w:w="1489" w:type="dxa"/>
            <w:shd w:val="clear" w:color="auto" w:fill="E0F0FC"/>
          </w:tcPr>
          <w:p w14:paraId="726E1495" w14:textId="77777777" w:rsidR="00F35278" w:rsidRPr="00B15A99" w:rsidRDefault="00F35278" w:rsidP="00922C36">
            <w:pPr>
              <w:pStyle w:val="TableHeading"/>
              <w:jc w:val="center"/>
            </w:pPr>
            <w:r>
              <w:t>% of total # projects</w:t>
            </w:r>
          </w:p>
        </w:tc>
        <w:tc>
          <w:tcPr>
            <w:tcW w:w="1706" w:type="dxa"/>
            <w:shd w:val="clear" w:color="auto" w:fill="E0F0FC"/>
          </w:tcPr>
          <w:p w14:paraId="041896B0" w14:textId="77777777" w:rsidR="00F35278" w:rsidRPr="00B15A99" w:rsidRDefault="00F35278" w:rsidP="00922C36">
            <w:pPr>
              <w:pStyle w:val="TableHeading"/>
              <w:jc w:val="center"/>
            </w:pPr>
            <w:r>
              <w:t>Commonwealth $ received</w:t>
            </w:r>
          </w:p>
        </w:tc>
        <w:tc>
          <w:tcPr>
            <w:tcW w:w="1706" w:type="dxa"/>
            <w:shd w:val="clear" w:color="auto" w:fill="E0F0FC"/>
          </w:tcPr>
          <w:p w14:paraId="3E598979" w14:textId="77777777" w:rsidR="00F35278" w:rsidRPr="00B15A99" w:rsidRDefault="00F35278" w:rsidP="00922C36">
            <w:pPr>
              <w:pStyle w:val="TableHeading"/>
              <w:jc w:val="center"/>
            </w:pPr>
            <w:r>
              <w:t>% of total Commonwealth funding allocated</w:t>
            </w:r>
          </w:p>
        </w:tc>
      </w:tr>
      <w:tr w:rsidR="00F35278" w14:paraId="23F1A125" w14:textId="77777777" w:rsidTr="00AB714F">
        <w:tc>
          <w:tcPr>
            <w:tcW w:w="1545" w:type="dxa"/>
            <w:shd w:val="clear" w:color="auto" w:fill="F2F2F2" w:themeFill="background1" w:themeFillShade="F2"/>
          </w:tcPr>
          <w:p w14:paraId="517122B0" w14:textId="77777777" w:rsidR="00F35278" w:rsidRDefault="00F35278" w:rsidP="00922C36">
            <w:pPr>
              <w:pStyle w:val="Subtableheading"/>
              <w:jc w:val="center"/>
            </w:pPr>
            <w:r>
              <w:t>MLA</w:t>
            </w:r>
          </w:p>
        </w:tc>
        <w:tc>
          <w:tcPr>
            <w:tcW w:w="1489" w:type="dxa"/>
          </w:tcPr>
          <w:p w14:paraId="7C4CAD2D" w14:textId="77777777" w:rsidR="00F35278" w:rsidRDefault="00F35278" w:rsidP="00922C36">
            <w:pPr>
              <w:pStyle w:val="Tablebodytext"/>
              <w:jc w:val="center"/>
            </w:pPr>
            <w:r>
              <w:t>8</w:t>
            </w:r>
          </w:p>
        </w:tc>
        <w:tc>
          <w:tcPr>
            <w:tcW w:w="1489" w:type="dxa"/>
          </w:tcPr>
          <w:p w14:paraId="249C7F20" w14:textId="77777777" w:rsidR="00F35278" w:rsidRDefault="00F35278" w:rsidP="00922C36">
            <w:pPr>
              <w:pStyle w:val="Tablebodytext"/>
              <w:jc w:val="center"/>
            </w:pPr>
            <w:r>
              <w:t>22</w:t>
            </w:r>
            <w:r w:rsidR="000671E0">
              <w:t>%</w:t>
            </w:r>
          </w:p>
        </w:tc>
        <w:tc>
          <w:tcPr>
            <w:tcW w:w="1706" w:type="dxa"/>
          </w:tcPr>
          <w:p w14:paraId="22C5B822" w14:textId="77777777" w:rsidR="00F35278" w:rsidRDefault="00F35278" w:rsidP="00922C36">
            <w:pPr>
              <w:pStyle w:val="Tablebodytext"/>
              <w:jc w:val="center"/>
            </w:pPr>
            <w:r>
              <w:t>$40,324,502</w:t>
            </w:r>
          </w:p>
        </w:tc>
        <w:tc>
          <w:tcPr>
            <w:tcW w:w="1706" w:type="dxa"/>
          </w:tcPr>
          <w:p w14:paraId="1635AB19" w14:textId="77777777" w:rsidR="00F35278" w:rsidRDefault="00F35278" w:rsidP="00922C36">
            <w:pPr>
              <w:pStyle w:val="Tablebodytext"/>
              <w:jc w:val="center"/>
            </w:pPr>
            <w:r>
              <w:t>35%</w:t>
            </w:r>
          </w:p>
        </w:tc>
      </w:tr>
      <w:tr w:rsidR="00F35278" w14:paraId="08D58F7E" w14:textId="77777777" w:rsidTr="00AB714F">
        <w:tc>
          <w:tcPr>
            <w:tcW w:w="1545" w:type="dxa"/>
            <w:shd w:val="clear" w:color="auto" w:fill="F2F2F2" w:themeFill="background1" w:themeFillShade="F2"/>
          </w:tcPr>
          <w:p w14:paraId="07BFD1BA" w14:textId="77777777" w:rsidR="00F35278" w:rsidRDefault="00F35278" w:rsidP="00922C36">
            <w:pPr>
              <w:pStyle w:val="Subtableheading"/>
              <w:jc w:val="center"/>
            </w:pPr>
            <w:r>
              <w:t>HIAL</w:t>
            </w:r>
          </w:p>
        </w:tc>
        <w:tc>
          <w:tcPr>
            <w:tcW w:w="1489" w:type="dxa"/>
          </w:tcPr>
          <w:p w14:paraId="64DD7268" w14:textId="77777777" w:rsidR="00F35278" w:rsidRDefault="00F35278" w:rsidP="00922C36">
            <w:pPr>
              <w:pStyle w:val="Tablebodytext"/>
              <w:jc w:val="center"/>
            </w:pPr>
            <w:r>
              <w:t>5</w:t>
            </w:r>
          </w:p>
        </w:tc>
        <w:tc>
          <w:tcPr>
            <w:tcW w:w="1489" w:type="dxa"/>
          </w:tcPr>
          <w:p w14:paraId="1E7AF592" w14:textId="77777777" w:rsidR="00F35278" w:rsidRDefault="00F35278" w:rsidP="00922C36">
            <w:pPr>
              <w:pStyle w:val="Tablebodytext"/>
              <w:jc w:val="center"/>
            </w:pPr>
            <w:r>
              <w:t>14</w:t>
            </w:r>
            <w:r w:rsidR="000671E0">
              <w:t>%</w:t>
            </w:r>
          </w:p>
        </w:tc>
        <w:tc>
          <w:tcPr>
            <w:tcW w:w="1706" w:type="dxa"/>
          </w:tcPr>
          <w:p w14:paraId="6E2BAA31" w14:textId="77777777" w:rsidR="00F35278" w:rsidRDefault="00F35278" w:rsidP="00922C36">
            <w:pPr>
              <w:pStyle w:val="Tablebodytext"/>
              <w:jc w:val="center"/>
            </w:pPr>
            <w:r>
              <w:t>$19,184,681</w:t>
            </w:r>
          </w:p>
        </w:tc>
        <w:tc>
          <w:tcPr>
            <w:tcW w:w="1706" w:type="dxa"/>
          </w:tcPr>
          <w:p w14:paraId="1C2D16EF" w14:textId="77777777" w:rsidR="00F35278" w:rsidRDefault="00F35278" w:rsidP="00922C36">
            <w:pPr>
              <w:pStyle w:val="Tablebodytext"/>
              <w:jc w:val="center"/>
            </w:pPr>
            <w:r>
              <w:t>17%</w:t>
            </w:r>
          </w:p>
        </w:tc>
      </w:tr>
      <w:tr w:rsidR="00F35278" w14:paraId="2ED06D1A" w14:textId="77777777" w:rsidTr="00AB714F">
        <w:tc>
          <w:tcPr>
            <w:tcW w:w="1545" w:type="dxa"/>
            <w:shd w:val="clear" w:color="auto" w:fill="F2F2F2" w:themeFill="background1" w:themeFillShade="F2"/>
          </w:tcPr>
          <w:p w14:paraId="03EE7EE3" w14:textId="77777777" w:rsidR="00F35278" w:rsidRDefault="00F35278" w:rsidP="00922C36">
            <w:pPr>
              <w:pStyle w:val="Subtableheading"/>
              <w:jc w:val="center"/>
            </w:pPr>
            <w:r>
              <w:t>Agrifutures</w:t>
            </w:r>
          </w:p>
        </w:tc>
        <w:tc>
          <w:tcPr>
            <w:tcW w:w="1489" w:type="dxa"/>
          </w:tcPr>
          <w:p w14:paraId="6F868116" w14:textId="77777777" w:rsidR="00F35278" w:rsidRDefault="00F35278" w:rsidP="00922C36">
            <w:pPr>
              <w:pStyle w:val="Tablebodytext"/>
              <w:jc w:val="center"/>
            </w:pPr>
            <w:r>
              <w:t>5</w:t>
            </w:r>
          </w:p>
        </w:tc>
        <w:tc>
          <w:tcPr>
            <w:tcW w:w="1489" w:type="dxa"/>
          </w:tcPr>
          <w:p w14:paraId="161312CB" w14:textId="77777777" w:rsidR="00F35278" w:rsidRDefault="00F35278" w:rsidP="00922C36">
            <w:pPr>
              <w:pStyle w:val="Tablebodytext"/>
              <w:jc w:val="center"/>
            </w:pPr>
            <w:r>
              <w:t>14</w:t>
            </w:r>
            <w:r w:rsidR="000671E0">
              <w:t>%</w:t>
            </w:r>
          </w:p>
        </w:tc>
        <w:tc>
          <w:tcPr>
            <w:tcW w:w="1706" w:type="dxa"/>
          </w:tcPr>
          <w:p w14:paraId="74C4BB80" w14:textId="77777777" w:rsidR="00F35278" w:rsidRDefault="00F35278" w:rsidP="00922C36">
            <w:pPr>
              <w:pStyle w:val="Tablebodytext"/>
              <w:jc w:val="center"/>
            </w:pPr>
            <w:r>
              <w:t>$14,644,186</w:t>
            </w:r>
          </w:p>
        </w:tc>
        <w:tc>
          <w:tcPr>
            <w:tcW w:w="1706" w:type="dxa"/>
          </w:tcPr>
          <w:p w14:paraId="3A5A21D3" w14:textId="77777777" w:rsidR="00F35278" w:rsidRDefault="00F35278" w:rsidP="00922C36">
            <w:pPr>
              <w:pStyle w:val="Tablebodytext"/>
              <w:jc w:val="center"/>
            </w:pPr>
            <w:r>
              <w:t>13%</w:t>
            </w:r>
          </w:p>
        </w:tc>
      </w:tr>
      <w:tr w:rsidR="00F35278" w14:paraId="3706D040" w14:textId="77777777" w:rsidTr="00AB714F">
        <w:tc>
          <w:tcPr>
            <w:tcW w:w="1545" w:type="dxa"/>
            <w:shd w:val="clear" w:color="auto" w:fill="F2F2F2" w:themeFill="background1" w:themeFillShade="F2"/>
          </w:tcPr>
          <w:p w14:paraId="0CF642EF" w14:textId="77777777" w:rsidR="00F35278" w:rsidRDefault="00F35278" w:rsidP="00922C36">
            <w:pPr>
              <w:pStyle w:val="Subtableheading"/>
              <w:jc w:val="center"/>
            </w:pPr>
            <w:r>
              <w:t>CRDC</w:t>
            </w:r>
          </w:p>
        </w:tc>
        <w:tc>
          <w:tcPr>
            <w:tcW w:w="1489" w:type="dxa"/>
          </w:tcPr>
          <w:p w14:paraId="5E727F0C" w14:textId="77777777" w:rsidR="00F35278" w:rsidRDefault="00F35278" w:rsidP="00922C36">
            <w:pPr>
              <w:pStyle w:val="Tablebodytext"/>
              <w:jc w:val="center"/>
            </w:pPr>
            <w:r>
              <w:t>3</w:t>
            </w:r>
          </w:p>
        </w:tc>
        <w:tc>
          <w:tcPr>
            <w:tcW w:w="1489" w:type="dxa"/>
          </w:tcPr>
          <w:p w14:paraId="6980E059" w14:textId="77777777" w:rsidR="00F35278" w:rsidRDefault="00F35278" w:rsidP="00922C36">
            <w:pPr>
              <w:pStyle w:val="Tablebodytext"/>
              <w:jc w:val="center"/>
            </w:pPr>
            <w:r>
              <w:t>8</w:t>
            </w:r>
            <w:r w:rsidR="000671E0">
              <w:t>%</w:t>
            </w:r>
          </w:p>
        </w:tc>
        <w:tc>
          <w:tcPr>
            <w:tcW w:w="1706" w:type="dxa"/>
          </w:tcPr>
          <w:p w14:paraId="102BB33E" w14:textId="77777777" w:rsidR="00F35278" w:rsidRDefault="00F35278" w:rsidP="00922C36">
            <w:pPr>
              <w:pStyle w:val="Tablebodytext"/>
              <w:jc w:val="center"/>
            </w:pPr>
            <w:r>
              <w:t>$11,286,847</w:t>
            </w:r>
          </w:p>
        </w:tc>
        <w:tc>
          <w:tcPr>
            <w:tcW w:w="1706" w:type="dxa"/>
          </w:tcPr>
          <w:p w14:paraId="7787FD21" w14:textId="77777777" w:rsidR="00F35278" w:rsidRDefault="00F35278" w:rsidP="00922C36">
            <w:pPr>
              <w:pStyle w:val="Tablebodytext"/>
              <w:jc w:val="center"/>
            </w:pPr>
            <w:r>
              <w:t>10%</w:t>
            </w:r>
          </w:p>
        </w:tc>
      </w:tr>
    </w:tbl>
    <w:p w14:paraId="1B700B6F" w14:textId="39FD6FEE" w:rsidR="002D60B4" w:rsidRPr="002D60B4" w:rsidRDefault="002D60B4" w:rsidP="00D9457D">
      <w:pPr>
        <w:spacing w:before="200"/>
      </w:pPr>
      <w:r w:rsidRPr="00546BB7">
        <w:t xml:space="preserve">There were </w:t>
      </w:r>
      <w:r w:rsidR="006C77ED" w:rsidRPr="006C77ED">
        <w:t xml:space="preserve">20 </w:t>
      </w:r>
      <w:r w:rsidRPr="00546BB7">
        <w:t xml:space="preserve">inter-RDC collaborations across the 36 projects </w:t>
      </w:r>
      <w:r>
        <w:t>in Rounds 1, 2 and 3, but as discussed below there was an element of repeated partnering between the same RDCs</w:t>
      </w:r>
      <w:r w:rsidR="00B25C0E">
        <w:t xml:space="preserve">. </w:t>
      </w:r>
    </w:p>
    <w:p w14:paraId="34734F2E" w14:textId="65B2B479" w:rsidR="00642129" w:rsidRDefault="00812BDA" w:rsidP="0048234D">
      <w:r>
        <w:t>Project collaborations involving more than one RDC were analysed to establish if there were any trends in the</w:t>
      </w:r>
      <w:r w:rsidR="0048234D">
        <w:t xml:space="preserve"> </w:t>
      </w:r>
      <w:r w:rsidR="00324A56">
        <w:t>make-</w:t>
      </w:r>
      <w:r w:rsidR="00C009C5">
        <w:t>up</w:t>
      </w:r>
      <w:r w:rsidR="0048234D">
        <w:t xml:space="preserve"> of inter-RDC partnering </w:t>
      </w:r>
      <w:r>
        <w:t>arrangements</w:t>
      </w:r>
      <w:r w:rsidR="00B25C0E">
        <w:t xml:space="preserve">. </w:t>
      </w:r>
      <w:r w:rsidR="00BD7BA8">
        <w:t>Analysis revealed a high incidence of repeated partnering in inter-RDC collaborations</w:t>
      </w:r>
      <w:r w:rsidR="00B25C0E">
        <w:t xml:space="preserve">. </w:t>
      </w:r>
    </w:p>
    <w:p w14:paraId="46B177D8" w14:textId="2312C496" w:rsidR="002A7275" w:rsidRDefault="00200C91" w:rsidP="00B737DD">
      <w:r>
        <w:t>While re</w:t>
      </w:r>
      <w:r w:rsidR="00A1413A">
        <w:t xml:space="preserve">peated partnering between RDCs across </w:t>
      </w:r>
      <w:r w:rsidR="00CB7323">
        <w:t xml:space="preserve">multiple </w:t>
      </w:r>
      <w:r w:rsidR="00A1413A">
        <w:t xml:space="preserve">projects </w:t>
      </w:r>
      <w:r w:rsidR="002A7275">
        <w:t xml:space="preserve">is not </w:t>
      </w:r>
      <w:r w:rsidR="00CB7323">
        <w:t>problematic per se</w:t>
      </w:r>
      <w:r w:rsidR="00CA08CB">
        <w:t xml:space="preserve">, </w:t>
      </w:r>
      <w:r w:rsidR="00CB7323">
        <w:t xml:space="preserve">it is a factor for consideration in the context of the </w:t>
      </w:r>
      <w:r w:rsidR="002A7275">
        <w:t xml:space="preserve">program’s emphasis on fostering </w:t>
      </w:r>
      <w:r w:rsidR="002A7275" w:rsidRPr="0063373B">
        <w:rPr>
          <w:u w:val="single"/>
        </w:rPr>
        <w:t>new</w:t>
      </w:r>
      <w:r w:rsidR="002A7275">
        <w:t xml:space="preserve"> collaborations</w:t>
      </w:r>
      <w:r w:rsidR="00B25C0E">
        <w:t xml:space="preserve">. </w:t>
      </w:r>
      <w:r w:rsidR="00F24F47">
        <w:t>Th</w:t>
      </w:r>
      <w:r w:rsidR="002A7275">
        <w:t xml:space="preserve">e extent of new </w:t>
      </w:r>
      <w:r w:rsidR="00CB7323">
        <w:t xml:space="preserve">inter-RDC </w:t>
      </w:r>
      <w:r w:rsidR="002A7275">
        <w:t>collaborations</w:t>
      </w:r>
      <w:r w:rsidR="00FF7687">
        <w:t xml:space="preserve"> appears to be lessening</w:t>
      </w:r>
      <w:r w:rsidR="00B737DD">
        <w:t xml:space="preserve"> over successive rounds</w:t>
      </w:r>
      <w:r w:rsidR="002A7275">
        <w:t>.</w:t>
      </w:r>
      <w:r w:rsidR="00B737DD">
        <w:t xml:space="preserve"> </w:t>
      </w:r>
    </w:p>
    <w:p w14:paraId="214F7509" w14:textId="1E1AE647" w:rsidR="00F873EE" w:rsidRDefault="00ED431A" w:rsidP="003D222E">
      <w:r>
        <w:t>This is not necessarily surprising</w:t>
      </w:r>
      <w:r w:rsidR="009E475C">
        <w:t xml:space="preserve">; a factor </w:t>
      </w:r>
      <w:r w:rsidR="000D0C1A">
        <w:t xml:space="preserve">inherent in </w:t>
      </w:r>
      <w:r w:rsidR="009E475C">
        <w:t>a relatively small</w:t>
      </w:r>
      <w:r w:rsidR="004344F4">
        <w:t xml:space="preserve"> </w:t>
      </w:r>
      <w:r w:rsidR="007E7F02">
        <w:t xml:space="preserve">pool of </w:t>
      </w:r>
      <w:r w:rsidR="000D0C1A">
        <w:t xml:space="preserve">15 potential RDC </w:t>
      </w:r>
      <w:r w:rsidR="007E7F02">
        <w:t>partner</w:t>
      </w:r>
      <w:r w:rsidR="009E475C">
        <w:t>s</w:t>
      </w:r>
      <w:r w:rsidR="00DB005D">
        <w:t>,</w:t>
      </w:r>
      <w:r w:rsidR="007E7F02">
        <w:t xml:space="preserve"> </w:t>
      </w:r>
      <w:r w:rsidR="004355F5">
        <w:t xml:space="preserve">and </w:t>
      </w:r>
      <w:r w:rsidR="009E475C">
        <w:t xml:space="preserve">the fact that </w:t>
      </w:r>
      <w:r w:rsidR="004355F5">
        <w:t>some</w:t>
      </w:r>
      <w:r w:rsidR="005A5BEA">
        <w:t xml:space="preserve"> </w:t>
      </w:r>
      <w:r w:rsidR="00BD7BA8">
        <w:t xml:space="preserve">industries </w:t>
      </w:r>
      <w:r w:rsidR="00DB005D">
        <w:t>are more</w:t>
      </w:r>
      <w:r w:rsidR="00BD7BA8">
        <w:t xml:space="preserve"> </w:t>
      </w:r>
      <w:r w:rsidR="00DB005D">
        <w:t>aligned,</w:t>
      </w:r>
      <w:r w:rsidR="00BD7BA8">
        <w:t xml:space="preserve"> </w:t>
      </w:r>
      <w:r w:rsidR="00DB005D">
        <w:t xml:space="preserve">which translates </w:t>
      </w:r>
      <w:r w:rsidR="00424CD2">
        <w:t xml:space="preserve">more </w:t>
      </w:r>
      <w:r w:rsidR="00DB005D">
        <w:t xml:space="preserve">easily </w:t>
      </w:r>
      <w:r w:rsidR="00424CD2">
        <w:t>to cross-sectoral research</w:t>
      </w:r>
      <w:r w:rsidR="00BD7BA8">
        <w:t xml:space="preserve"> opportunities</w:t>
      </w:r>
      <w:r w:rsidR="00B25C0E">
        <w:t xml:space="preserve">. </w:t>
      </w:r>
      <w:r w:rsidR="003D222E">
        <w:t>T</w:t>
      </w:r>
      <w:r w:rsidR="00615034">
        <w:t xml:space="preserve">he department may want to consider the ongoing appropriateness of the emphasis on </w:t>
      </w:r>
      <w:r w:rsidR="00615034" w:rsidRPr="00615034">
        <w:rPr>
          <w:u w:val="single"/>
        </w:rPr>
        <w:t>new</w:t>
      </w:r>
      <w:r w:rsidR="00615034">
        <w:t xml:space="preserve"> collaboration</w:t>
      </w:r>
      <w:r w:rsidR="00673792">
        <w:t>s</w:t>
      </w:r>
      <w:r w:rsidR="00615034">
        <w:t xml:space="preserve"> </w:t>
      </w:r>
      <w:r w:rsidR="00A77CC5">
        <w:t>for</w:t>
      </w:r>
      <w:r w:rsidR="00615034">
        <w:t xml:space="preserve"> the remaining rounds of the program</w:t>
      </w:r>
      <w:r w:rsidR="00B25C0E">
        <w:t xml:space="preserve">. </w:t>
      </w:r>
    </w:p>
    <w:p w14:paraId="00498C67" w14:textId="77777777" w:rsidR="00F61615" w:rsidRDefault="00507404" w:rsidP="00D9457D">
      <w:pPr>
        <w:pStyle w:val="Heading4"/>
      </w:pPr>
      <w:r>
        <w:t xml:space="preserve">Participation by partner organisations </w:t>
      </w:r>
    </w:p>
    <w:p w14:paraId="209BEC63" w14:textId="77777777" w:rsidR="00B66029" w:rsidRDefault="00B66029" w:rsidP="00126C00">
      <w:pPr>
        <w:spacing w:before="200"/>
      </w:pPr>
      <w:r>
        <w:t>Analysis of partner organisations participating in projects showed:</w:t>
      </w:r>
    </w:p>
    <w:p w14:paraId="18C868D0" w14:textId="77777777" w:rsidR="00B66029" w:rsidRDefault="0029660B" w:rsidP="00565949">
      <w:pPr>
        <w:pStyle w:val="ListBullet"/>
      </w:pPr>
      <w:r>
        <w:t>a</w:t>
      </w:r>
      <w:r w:rsidR="00B66029">
        <w:t xml:space="preserve"> total of 303 individual partner organisations have, or are current</w:t>
      </w:r>
      <w:r w:rsidR="00CB0166">
        <w:t>ly participating in the program</w:t>
      </w:r>
    </w:p>
    <w:p w14:paraId="5B69A311" w14:textId="0144CF60" w:rsidR="00B66029" w:rsidRDefault="0029660B" w:rsidP="00565949">
      <w:pPr>
        <w:pStyle w:val="ListBullet"/>
      </w:pPr>
      <w:r>
        <w:t>p</w:t>
      </w:r>
      <w:r w:rsidR="00B66029">
        <w:t>rivate sector, state govern</w:t>
      </w:r>
      <w:r>
        <w:t>ment and university partners were</w:t>
      </w:r>
      <w:r w:rsidR="00CB0166">
        <w:t xml:space="preserve"> most strongly represented</w:t>
      </w:r>
      <w:r w:rsidR="00B25C0E">
        <w:t xml:space="preserve">. </w:t>
      </w:r>
      <w:r w:rsidR="00616530">
        <w:t>Illustrated in the count by sector type of the non-RDC partners involved in the program to date</w:t>
      </w:r>
      <w:r w:rsidR="006038CE">
        <w:t xml:space="preserve"> in Figure 8</w:t>
      </w:r>
      <w:r w:rsidR="00B25C0E">
        <w:t xml:space="preserve">. </w:t>
      </w:r>
    </w:p>
    <w:p w14:paraId="7EA1A328" w14:textId="33B32E87" w:rsidR="00B66029" w:rsidRDefault="00CB0166" w:rsidP="00565949">
      <w:pPr>
        <w:pStyle w:val="ListBullet"/>
      </w:pPr>
      <w:r>
        <w:t>there wa</w:t>
      </w:r>
      <w:r w:rsidR="00B66029">
        <w:t>s</w:t>
      </w:r>
      <w:r w:rsidR="00F340C8">
        <w:t xml:space="preserve"> </w:t>
      </w:r>
      <w:r w:rsidR="00CC61E5">
        <w:t xml:space="preserve">a </w:t>
      </w:r>
      <w:r w:rsidR="00F340C8">
        <w:t xml:space="preserve">mix of partners represented from </w:t>
      </w:r>
      <w:r w:rsidR="00F72AA9">
        <w:t>the different states and territories</w:t>
      </w:r>
      <w:r w:rsidR="00551EE5">
        <w:t xml:space="preserve"> and from urban and regional areas</w:t>
      </w:r>
      <w:r w:rsidR="00B25C0E">
        <w:t xml:space="preserve">. </w:t>
      </w:r>
    </w:p>
    <w:p w14:paraId="19FD2986" w14:textId="77777777" w:rsidR="002D7384" w:rsidRDefault="004C58E0" w:rsidP="00126C00">
      <w:pPr>
        <w:pStyle w:val="Caption"/>
        <w:spacing w:before="160" w:after="0"/>
      </w:pPr>
      <w:r>
        <w:t>Figure 8: Co</w:t>
      </w:r>
      <w:r w:rsidR="002D7384">
        <w:t>unt of</w:t>
      </w:r>
      <w:r w:rsidR="00DD2BEE">
        <w:t xml:space="preserve"> partner organisations (</w:t>
      </w:r>
      <w:r w:rsidR="002D7384">
        <w:t>non-RDC</w:t>
      </w:r>
      <w:r w:rsidR="00DD2BEE">
        <w:t>s)</w:t>
      </w:r>
      <w:r w:rsidR="002D7384">
        <w:t xml:space="preserve"> involved across projects</w:t>
      </w:r>
    </w:p>
    <w:p w14:paraId="202EB40D" w14:textId="77777777" w:rsidR="00AD3048" w:rsidRDefault="00AD3048" w:rsidP="006E1211">
      <w:r w:rsidRPr="00AD3048">
        <w:rPr>
          <w:noProof/>
        </w:rPr>
        <w:drawing>
          <wp:inline distT="0" distB="0" distL="0" distR="0" wp14:anchorId="130EA019" wp14:editId="3320A418">
            <wp:extent cx="4559427" cy="3436307"/>
            <wp:effectExtent l="0" t="0" r="0" b="0"/>
            <wp:docPr id="15" name="Picture 15" descr="This graph shows the count of partner organisations involved across the 36 projects by different categories.  &#10;There were 78 private companies, 70 state government agencies, 63 universities, 26 industry bodies, 26 Government bodies (other), 14 research bodies, 12 local government bodies, 10 not-for-profit, and 4 federal government agencies.   " title="Figure 8 Count of partner organisations (non-RDCs) involved across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5806" cy="3448651"/>
                    </a:xfrm>
                    <a:prstGeom prst="rect">
                      <a:avLst/>
                    </a:prstGeom>
                    <a:noFill/>
                    <a:ln>
                      <a:noFill/>
                    </a:ln>
                  </pic:spPr>
                </pic:pic>
              </a:graphicData>
            </a:graphic>
          </wp:inline>
        </w:drawing>
      </w:r>
    </w:p>
    <w:p w14:paraId="3ABE1D4E" w14:textId="10ECFBFE" w:rsidR="002F0CF2" w:rsidRDefault="002F0CF2" w:rsidP="00126C00">
      <w:pPr>
        <w:spacing w:before="200"/>
      </w:pPr>
      <w:r>
        <w:t>A</w:t>
      </w:r>
      <w:r w:rsidR="000A5EF8">
        <w:t>mong non-RDC p</w:t>
      </w:r>
      <w:r w:rsidR="00E45440">
        <w:t xml:space="preserve">artner </w:t>
      </w:r>
      <w:r w:rsidR="00CC61E5">
        <w:t xml:space="preserve">organisations, </w:t>
      </w:r>
      <w:r w:rsidR="000A5EF8">
        <w:t xml:space="preserve">there </w:t>
      </w:r>
      <w:r w:rsidR="00516CF1">
        <w:t>was</w:t>
      </w:r>
      <w:r w:rsidR="000A5EF8">
        <w:t xml:space="preserve"> </w:t>
      </w:r>
      <w:r>
        <w:t xml:space="preserve">also </w:t>
      </w:r>
      <w:r w:rsidR="000A5EF8">
        <w:t>a portion involved in multiple projects</w:t>
      </w:r>
      <w:r w:rsidR="00EB53AD">
        <w:t>, ie repeat</w:t>
      </w:r>
      <w:r w:rsidR="00E45440">
        <w:t>ed</w:t>
      </w:r>
      <w:r w:rsidR="00A02364">
        <w:t xml:space="preserve"> partners in </w:t>
      </w:r>
      <w:r w:rsidR="00EB53AD">
        <w:t xml:space="preserve">project </w:t>
      </w:r>
      <w:r w:rsidR="00A02364">
        <w:t>collaborations</w:t>
      </w:r>
      <w:r w:rsidR="00B25C0E">
        <w:t xml:space="preserve">. </w:t>
      </w:r>
    </w:p>
    <w:p w14:paraId="2A771739" w14:textId="0CA9E1DF" w:rsidR="00EF2751" w:rsidRDefault="00A664F0" w:rsidP="00126C00">
      <w:pPr>
        <w:spacing w:before="160"/>
      </w:pPr>
      <w:r>
        <w:t>W</w:t>
      </w:r>
      <w:r w:rsidR="00A92818">
        <w:t xml:space="preserve">hile </w:t>
      </w:r>
      <w:r w:rsidR="001C48D1">
        <w:t xml:space="preserve">it was evidenced that </w:t>
      </w:r>
      <w:r w:rsidR="00A92818">
        <w:t xml:space="preserve">a number of organisations </w:t>
      </w:r>
      <w:r w:rsidR="002F0CF2">
        <w:t xml:space="preserve">have, or are </w:t>
      </w:r>
      <w:r w:rsidR="005364FC">
        <w:t>participating</w:t>
      </w:r>
      <w:r w:rsidR="009B1CA9">
        <w:t xml:space="preserve"> in multiple project</w:t>
      </w:r>
      <w:r w:rsidR="006E3607">
        <w:t>s</w:t>
      </w:r>
      <w:r w:rsidR="009B1CA9">
        <w:t>;</w:t>
      </w:r>
      <w:r w:rsidR="00A92818">
        <w:t xml:space="preserve"> the </w:t>
      </w:r>
      <w:r w:rsidR="00F13521">
        <w:t>appearance</w:t>
      </w:r>
      <w:r w:rsidR="00A92818">
        <w:t xml:space="preserve"> of re</w:t>
      </w:r>
      <w:r w:rsidR="002F0CF2">
        <w:t>peated partnering was</w:t>
      </w:r>
      <w:r w:rsidR="002E21DD">
        <w:t xml:space="preserve"> distorted</w:t>
      </w:r>
      <w:r w:rsidR="002F0CF2">
        <w:t xml:space="preserve"> by the fact that these wer</w:t>
      </w:r>
      <w:r w:rsidR="00A92818">
        <w:t xml:space="preserve">e typically very large organisations with significant research </w:t>
      </w:r>
      <w:r w:rsidR="000265D6">
        <w:t>r</w:t>
      </w:r>
      <w:r>
        <w:t>each</w:t>
      </w:r>
      <w:r w:rsidR="00CA08CB">
        <w:t xml:space="preserve">, </w:t>
      </w:r>
      <w:r w:rsidR="000265D6">
        <w:t xml:space="preserve">such as CSIRO, state departments </w:t>
      </w:r>
      <w:r w:rsidR="00F86E88">
        <w:t>or large universities</w:t>
      </w:r>
      <w:r w:rsidR="00B25C0E">
        <w:t xml:space="preserve">. </w:t>
      </w:r>
    </w:p>
    <w:p w14:paraId="35C2B009" w14:textId="0D912A92" w:rsidR="00A92818" w:rsidRDefault="00807F98" w:rsidP="00126C00">
      <w:pPr>
        <w:spacing w:before="160"/>
      </w:pPr>
      <w:r>
        <w:t xml:space="preserve">Hence </w:t>
      </w:r>
      <w:r w:rsidR="00263064">
        <w:t xml:space="preserve">while the </w:t>
      </w:r>
      <w:r>
        <w:t>organisation</w:t>
      </w:r>
      <w:r w:rsidR="000265D6">
        <w:t xml:space="preserve"> </w:t>
      </w:r>
      <w:r w:rsidR="00CA76CA">
        <w:t>had</w:t>
      </w:r>
      <w:r w:rsidR="000265D6">
        <w:t xml:space="preserve"> </w:t>
      </w:r>
      <w:r>
        <w:t xml:space="preserve">partnered </w:t>
      </w:r>
      <w:r w:rsidR="000265D6">
        <w:t xml:space="preserve">multiple times </w:t>
      </w:r>
      <w:r w:rsidR="00CA76CA">
        <w:t>in</w:t>
      </w:r>
      <w:r>
        <w:t xml:space="preserve"> Rural R&amp;D for Profit project</w:t>
      </w:r>
      <w:r w:rsidR="00CA76CA">
        <w:t>s</w:t>
      </w:r>
      <w:r>
        <w:t xml:space="preserve">, it </w:t>
      </w:r>
      <w:r w:rsidR="00CA76CA">
        <w:t xml:space="preserve">was </w:t>
      </w:r>
      <w:r w:rsidR="00904C62">
        <w:t>often</w:t>
      </w:r>
      <w:r>
        <w:t xml:space="preserve"> a different </w:t>
      </w:r>
      <w:r w:rsidR="00773281">
        <w:t xml:space="preserve">research team, </w:t>
      </w:r>
      <w:r w:rsidR="000265D6">
        <w:t>branch or faculty</w:t>
      </w:r>
      <w:r w:rsidR="00B25C0E">
        <w:t xml:space="preserve">. </w:t>
      </w:r>
    </w:p>
    <w:p w14:paraId="08E82A4E" w14:textId="77777777" w:rsidR="00F57E58" w:rsidRDefault="00F57E58" w:rsidP="00D9457D">
      <w:pPr>
        <w:pStyle w:val="Heading4"/>
      </w:pPr>
      <w:r>
        <w:t>Stakeholder feedback</w:t>
      </w:r>
    </w:p>
    <w:p w14:paraId="4DABAE6E" w14:textId="77777777" w:rsidR="00F57E58" w:rsidRPr="00565949" w:rsidRDefault="00F57E58" w:rsidP="00D9457D">
      <w:pPr>
        <w:spacing w:before="200"/>
        <w:rPr>
          <w:rStyle w:val="Strong"/>
        </w:rPr>
      </w:pPr>
      <w:r w:rsidRPr="00565949">
        <w:rPr>
          <w:rStyle w:val="Strong"/>
        </w:rPr>
        <w:t>RDCs</w:t>
      </w:r>
    </w:p>
    <w:p w14:paraId="4E4F7F5C" w14:textId="41C6D613" w:rsidR="00E9241F" w:rsidRDefault="00E9241F" w:rsidP="00E9241F">
      <w:r>
        <w:t>A key point made by the majority of RDCs, particularly in relation to inter RDC collaboration was that ‘collaboration is a means</w:t>
      </w:r>
      <w:r w:rsidR="001C4913">
        <w:t xml:space="preserve"> to an end’ and it was the pursuit</w:t>
      </w:r>
      <w:r>
        <w:t xml:space="preserve"> of shared research goals that should drive the development of partnerships</w:t>
      </w:r>
      <w:r w:rsidR="00B25C0E">
        <w:t xml:space="preserve">. </w:t>
      </w:r>
    </w:p>
    <w:p w14:paraId="5AD5DE9C" w14:textId="77777777" w:rsidR="003F4B4C" w:rsidRDefault="003F4B4C" w:rsidP="003F4B4C">
      <w:r>
        <w:t>RDCs in</w:t>
      </w:r>
      <w:r w:rsidR="005A3558">
        <w:t xml:space="preserve"> the main</w:t>
      </w:r>
      <w:r w:rsidR="004E7810">
        <w:t>,</w:t>
      </w:r>
      <w:r w:rsidR="005A3558">
        <w:t xml:space="preserve"> felt</w:t>
      </w:r>
      <w:r w:rsidR="00DF3F1F">
        <w:t xml:space="preserve"> that the </w:t>
      </w:r>
      <w:r w:rsidR="00894051">
        <w:t xml:space="preserve">program’s focus on </w:t>
      </w:r>
      <w:r>
        <w:t xml:space="preserve">collaboration </w:t>
      </w:r>
      <w:r w:rsidR="00894051">
        <w:t xml:space="preserve">had </w:t>
      </w:r>
      <w:r w:rsidR="006020C7">
        <w:t>encouraged their</w:t>
      </w:r>
      <w:r>
        <w:t xml:space="preserve"> </w:t>
      </w:r>
      <w:r w:rsidR="006020C7">
        <w:t>pursuit</w:t>
      </w:r>
      <w:r>
        <w:t xml:space="preserve"> of </w:t>
      </w:r>
      <w:r w:rsidR="005B106D">
        <w:t xml:space="preserve">new </w:t>
      </w:r>
      <w:r>
        <w:t>co</w:t>
      </w:r>
      <w:r w:rsidR="006D03A0">
        <w:t>llaborative research projects:</w:t>
      </w:r>
    </w:p>
    <w:p w14:paraId="59C9FFFB" w14:textId="77777777" w:rsidR="00261B3D" w:rsidRDefault="007D2BF5" w:rsidP="00565949">
      <w:pPr>
        <w:pStyle w:val="ListBullet"/>
      </w:pPr>
      <w:r>
        <w:t>t</w:t>
      </w:r>
      <w:r w:rsidR="00261B3D">
        <w:t xml:space="preserve">he majority of RDCs </w:t>
      </w:r>
      <w:r w:rsidR="006D03A0">
        <w:t>felt</w:t>
      </w:r>
      <w:r w:rsidR="00261B3D">
        <w:t xml:space="preserve"> the program had contributed to </w:t>
      </w:r>
      <w:r w:rsidR="009674E6">
        <w:t>the creation of</w:t>
      </w:r>
      <w:r w:rsidR="00261B3D">
        <w:t xml:space="preserve"> new collaborations</w:t>
      </w:r>
      <w:r w:rsidR="00DA1196">
        <w:t xml:space="preserve">, </w:t>
      </w:r>
      <w:r w:rsidR="00261B3D">
        <w:t>including both inter-RDC (cross-sectoral) collabo</w:t>
      </w:r>
      <w:r>
        <w:t>rations and industry specific</w:t>
      </w:r>
    </w:p>
    <w:p w14:paraId="356E1CF2" w14:textId="5DAA4E9C" w:rsidR="00003410" w:rsidRDefault="003F4B4C" w:rsidP="00565949">
      <w:pPr>
        <w:pStyle w:val="ListBullet"/>
      </w:pPr>
      <w:r>
        <w:t>s</w:t>
      </w:r>
      <w:r w:rsidR="00C25319">
        <w:t>ome</w:t>
      </w:r>
      <w:r w:rsidR="00F57E58">
        <w:t xml:space="preserve"> RDCs indicated they collaborated with other RDCs </w:t>
      </w:r>
      <w:r w:rsidR="003E7742">
        <w:t xml:space="preserve">and project partners </w:t>
      </w:r>
      <w:r w:rsidR="00F57E58">
        <w:t xml:space="preserve">prior to </w:t>
      </w:r>
      <w:r w:rsidR="00851C5A">
        <w:t>the program</w:t>
      </w:r>
      <w:r w:rsidR="0003555B">
        <w:t xml:space="preserve"> and to that</w:t>
      </w:r>
      <w:r w:rsidR="000948BE">
        <w:t xml:space="preserve"> end </w:t>
      </w:r>
      <w:r w:rsidR="00711E8C">
        <w:t>a number of</w:t>
      </w:r>
      <w:r w:rsidR="000948BE">
        <w:t xml:space="preserve"> collaborations </w:t>
      </w:r>
      <w:r w:rsidR="001C4913">
        <w:t xml:space="preserve">within this program </w:t>
      </w:r>
      <w:r w:rsidR="001A0997">
        <w:t>were</w:t>
      </w:r>
      <w:r w:rsidR="000948BE">
        <w:t xml:space="preserve"> from pre-existing partner relationships</w:t>
      </w:r>
      <w:r w:rsidR="00DD11B8">
        <w:t>; nonetheless they regarded any opportunity to collaborate as valuable</w:t>
      </w:r>
      <w:r w:rsidR="00B25C0E">
        <w:t xml:space="preserve">. </w:t>
      </w:r>
    </w:p>
    <w:p w14:paraId="5C5944CE" w14:textId="77777777" w:rsidR="00BE5D4F" w:rsidRDefault="00F57E58" w:rsidP="00BE5D4F">
      <w:r>
        <w:t xml:space="preserve">Some RDCs </w:t>
      </w:r>
      <w:r w:rsidR="00E77697">
        <w:t>were particularly positive</w:t>
      </w:r>
      <w:r w:rsidR="00193D31">
        <w:t>, regarding the</w:t>
      </w:r>
      <w:r w:rsidR="00BE5D4F">
        <w:t xml:space="preserve"> program as a ‘circuit breaker’ </w:t>
      </w:r>
      <w:r w:rsidR="00190652">
        <w:t>that</w:t>
      </w:r>
      <w:r w:rsidR="000948BE">
        <w:t xml:space="preserve"> </w:t>
      </w:r>
      <w:r w:rsidR="00BE5D4F">
        <w:t>had:</w:t>
      </w:r>
    </w:p>
    <w:p w14:paraId="67B18B52" w14:textId="77777777" w:rsidR="00BE5D4F" w:rsidRDefault="00BE5D4F" w:rsidP="00565949">
      <w:pPr>
        <w:pStyle w:val="ListBullet"/>
      </w:pPr>
      <w:r>
        <w:t xml:space="preserve">caused </w:t>
      </w:r>
      <w:r w:rsidR="000948BE">
        <w:t xml:space="preserve">them to develop </w:t>
      </w:r>
      <w:r w:rsidR="00F57E58">
        <w:t xml:space="preserve">new and innovative collaborations, including </w:t>
      </w:r>
      <w:r>
        <w:t>inter RDC collaborations</w:t>
      </w:r>
      <w:r w:rsidR="00BE39B3">
        <w:t>, and</w:t>
      </w:r>
    </w:p>
    <w:p w14:paraId="213AA5A1" w14:textId="77777777" w:rsidR="00BE5D4F" w:rsidRDefault="001C4913" w:rsidP="00565949">
      <w:pPr>
        <w:pStyle w:val="ListBullet"/>
      </w:pPr>
      <w:r>
        <w:t>led to</w:t>
      </w:r>
      <w:r w:rsidR="00280866">
        <w:t xml:space="preserve"> </w:t>
      </w:r>
      <w:r w:rsidR="00BE5D4F">
        <w:t xml:space="preserve">development of mechanisms for ongoing collaboration (for example, establishment of the Council of </w:t>
      </w:r>
      <w:r w:rsidR="00A76764">
        <w:t>Rural RDC Research Manager F</w:t>
      </w:r>
      <w:r w:rsidR="00BE5D4F">
        <w:t>orum and creation of legal agreement templates)</w:t>
      </w:r>
      <w:r w:rsidR="004B465D">
        <w:t>.</w:t>
      </w:r>
    </w:p>
    <w:p w14:paraId="61F0C6FC" w14:textId="48129D50" w:rsidR="00FD1703" w:rsidRDefault="00127A85" w:rsidP="00151C09">
      <w:r>
        <w:t xml:space="preserve">RDCs </w:t>
      </w:r>
      <w:r w:rsidR="001C4913">
        <w:t xml:space="preserve">observed </w:t>
      </w:r>
      <w:r>
        <w:t>the</w:t>
      </w:r>
      <w:r w:rsidR="0018445C">
        <w:t>ir</w:t>
      </w:r>
      <w:r>
        <w:t xml:space="preserve"> </w:t>
      </w:r>
      <w:r w:rsidR="0018445C">
        <w:t xml:space="preserve">R&amp;D </w:t>
      </w:r>
      <w:r>
        <w:t xml:space="preserve">capability and </w:t>
      </w:r>
      <w:r w:rsidR="0018445C">
        <w:t>capacity impacted on the nature of their</w:t>
      </w:r>
      <w:r>
        <w:t xml:space="preserve"> </w:t>
      </w:r>
      <w:r w:rsidR="0018445C">
        <w:t xml:space="preserve">collaborations </w:t>
      </w:r>
      <w:r>
        <w:t xml:space="preserve">and </w:t>
      </w:r>
      <w:r w:rsidR="0018445C">
        <w:t>general participation</w:t>
      </w:r>
      <w:r w:rsidR="001C4913">
        <w:t xml:space="preserve"> in the program</w:t>
      </w:r>
      <w:r w:rsidR="00B25C0E">
        <w:t xml:space="preserve">. </w:t>
      </w:r>
      <w:r>
        <w:t>For example, RDCs w</w:t>
      </w:r>
      <w:r w:rsidR="007C67CA">
        <w:t>ith limited R&amp;D capability</w:t>
      </w:r>
      <w:r w:rsidR="000524DA">
        <w:t xml:space="preserve"> to take on additional projects</w:t>
      </w:r>
      <w:r w:rsidR="00304E7B">
        <w:t>,</w:t>
      </w:r>
      <w:r w:rsidR="007C67CA">
        <w:t xml:space="preserve"> </w:t>
      </w:r>
      <w:r>
        <w:t>collaborate</w:t>
      </w:r>
      <w:r w:rsidR="000A29DE">
        <w:t>d</w:t>
      </w:r>
      <w:r>
        <w:t xml:space="preserve"> differently to t</w:t>
      </w:r>
      <w:r w:rsidR="00240CED">
        <w:t>hose with a large in-</w:t>
      </w:r>
      <w:r w:rsidR="007C67CA">
        <w:t>house research function</w:t>
      </w:r>
      <w:r w:rsidR="00B25C0E">
        <w:t xml:space="preserve">. </w:t>
      </w:r>
    </w:p>
    <w:p w14:paraId="6D0EA5E8" w14:textId="77777777" w:rsidR="00AA0074" w:rsidRPr="00565949" w:rsidRDefault="00AA0074" w:rsidP="00565949">
      <w:pPr>
        <w:rPr>
          <w:rStyle w:val="Strong"/>
        </w:rPr>
      </w:pPr>
      <w:r w:rsidRPr="00565949">
        <w:rPr>
          <w:rStyle w:val="Strong"/>
        </w:rPr>
        <w:t>Partner organisations</w:t>
      </w:r>
    </w:p>
    <w:p w14:paraId="65FFB8DA" w14:textId="189108D6" w:rsidR="00AA0074" w:rsidRDefault="00274503" w:rsidP="00AA0074">
      <w:r>
        <w:t>90</w:t>
      </w:r>
      <w:r w:rsidR="00AA0074">
        <w:t xml:space="preserve">% </w:t>
      </w:r>
      <w:r>
        <w:t>of partner organisation</w:t>
      </w:r>
      <w:r w:rsidR="00645893">
        <w:t>s</w:t>
      </w:r>
      <w:r>
        <w:t xml:space="preserve"> </w:t>
      </w:r>
      <w:r w:rsidR="00EF41C2">
        <w:t>felt</w:t>
      </w:r>
      <w:r w:rsidR="00AA0074">
        <w:t xml:space="preserve"> the program had created new partnerships</w:t>
      </w:r>
      <w:r w:rsidR="00DA1196">
        <w:t xml:space="preserve">, </w:t>
      </w:r>
      <w:r w:rsidR="00AA0074">
        <w:t>and that the</w:t>
      </w:r>
      <w:r w:rsidR="00A661F1">
        <w:t xml:space="preserve">se partnerships would likely </w:t>
      </w:r>
      <w:r w:rsidR="00AA0074">
        <w:t>be sustained beyond the life of the program</w:t>
      </w:r>
      <w:r w:rsidR="00B25C0E">
        <w:t xml:space="preserve">. </w:t>
      </w:r>
    </w:p>
    <w:p w14:paraId="1E6381E7" w14:textId="770A303C" w:rsidR="00AA0074" w:rsidRDefault="00D1156E" w:rsidP="00AA0074">
      <w:r>
        <w:t xml:space="preserve">Their </w:t>
      </w:r>
      <w:r w:rsidR="00274503">
        <w:t>c</w:t>
      </w:r>
      <w:r w:rsidR="00AA0074">
        <w:t xml:space="preserve">omments highlighted </w:t>
      </w:r>
      <w:r w:rsidR="004E7810">
        <w:t xml:space="preserve">that </w:t>
      </w:r>
      <w:r w:rsidR="00AA0074">
        <w:t xml:space="preserve">the collaborative emphasis had fostered research in </w:t>
      </w:r>
      <w:r w:rsidR="00287EA2">
        <w:t xml:space="preserve">cross-sectoral </w:t>
      </w:r>
      <w:r w:rsidR="00081A7E">
        <w:t>areas they</w:t>
      </w:r>
      <w:r w:rsidR="00B20D3F">
        <w:t xml:space="preserve"> otherwise would not have </w:t>
      </w:r>
      <w:r w:rsidR="00AA0074">
        <w:t>invested in</w:t>
      </w:r>
      <w:r w:rsidR="00704437">
        <w:t>, and had fostered partnerships with other organisations with different skill sets</w:t>
      </w:r>
      <w:r w:rsidR="00B25C0E">
        <w:t xml:space="preserve">. </w:t>
      </w:r>
      <w:r w:rsidR="00CA12F1">
        <w:t>Illustrated</w:t>
      </w:r>
      <w:r w:rsidR="00645893">
        <w:t xml:space="preserve"> in </w:t>
      </w:r>
      <w:r w:rsidR="00BD62BA">
        <w:t xml:space="preserve">the following </w:t>
      </w:r>
      <w:r w:rsidR="00645893">
        <w:t xml:space="preserve">survey </w:t>
      </w:r>
      <w:r w:rsidR="00BB3E70">
        <w:t>comments</w:t>
      </w:r>
      <w:r w:rsidR="00645893">
        <w:t>:</w:t>
      </w:r>
      <w:r w:rsidR="00CA12F1">
        <w:t xml:space="preserve">  </w:t>
      </w:r>
    </w:p>
    <w:p w14:paraId="6A7B3450" w14:textId="77777777" w:rsidR="00704437" w:rsidRPr="00645893" w:rsidRDefault="007603FA" w:rsidP="0067112F">
      <w:pPr>
        <w:pStyle w:val="Quote"/>
      </w:pPr>
      <w:r>
        <w:t>(</w:t>
      </w:r>
      <w:r w:rsidR="00704437" w:rsidRPr="00645893">
        <w:t>The program</w:t>
      </w:r>
      <w:r>
        <w:t>)</w:t>
      </w:r>
      <w:r w:rsidR="00A27525">
        <w:t xml:space="preserve"> </w:t>
      </w:r>
      <w:r>
        <w:t>…</w:t>
      </w:r>
      <w:r w:rsidR="00704437" w:rsidRPr="00645893">
        <w:t>has allowed our organisation to develop large multidisciplinary projects with multiple industry</w:t>
      </w:r>
      <w:r w:rsidR="005E0AE9">
        <w:t xml:space="preserve"> bodies</w:t>
      </w:r>
      <w:r w:rsidR="00704437" w:rsidRPr="00645893">
        <w:t xml:space="preserve">, private sector and universities and tackling kay national challenges on a scale </w:t>
      </w:r>
      <w:r w:rsidR="00B20D3F" w:rsidRPr="00645893">
        <w:t>never before</w:t>
      </w:r>
      <w:r w:rsidR="000E6EAA" w:rsidRPr="00645893">
        <w:t xml:space="preserve"> achieved</w:t>
      </w:r>
      <w:r w:rsidR="00A27525">
        <w:t>.</w:t>
      </w:r>
    </w:p>
    <w:p w14:paraId="1392C026" w14:textId="77777777" w:rsidR="00077036" w:rsidRPr="00645893" w:rsidRDefault="00077036" w:rsidP="0067112F">
      <w:pPr>
        <w:pStyle w:val="Quote"/>
      </w:pPr>
      <w:r w:rsidRPr="00645893">
        <w:t>The program has allowed us to expand our research focus and bring in research collaborators with</w:t>
      </w:r>
      <w:r w:rsidR="00B31F46" w:rsidRPr="00645893">
        <w:t xml:space="preserve"> </w:t>
      </w:r>
      <w:r w:rsidRPr="00645893">
        <w:t xml:space="preserve">different skills and experience necessary </w:t>
      </w:r>
      <w:r w:rsidR="00E63315" w:rsidRPr="00645893">
        <w:t>t</w:t>
      </w:r>
      <w:r w:rsidRPr="00645893">
        <w:t>o achieve the objectives of</w:t>
      </w:r>
      <w:r w:rsidR="000E6EAA" w:rsidRPr="00645893">
        <w:t xml:space="preserve"> the research</w:t>
      </w:r>
      <w:r w:rsidR="00A27525">
        <w:t>.</w:t>
      </w:r>
    </w:p>
    <w:p w14:paraId="7FE23889" w14:textId="77777777" w:rsidR="00B31F46" w:rsidRPr="00645893" w:rsidRDefault="00B31F46" w:rsidP="0067112F">
      <w:pPr>
        <w:pStyle w:val="Quote"/>
      </w:pPr>
      <w:r w:rsidRPr="00645893">
        <w:t xml:space="preserve">…the program is also providing the opportunity for improved communication between producers, </w:t>
      </w:r>
      <w:r w:rsidR="00E25DB9" w:rsidRPr="00645893">
        <w:t>processors</w:t>
      </w:r>
      <w:r w:rsidRPr="00645893">
        <w:t xml:space="preserve">, regulators, veterinary </w:t>
      </w:r>
      <w:r w:rsidR="00E25DB9" w:rsidRPr="00645893">
        <w:t>practitioners</w:t>
      </w:r>
      <w:r w:rsidRPr="00645893">
        <w:t xml:space="preserve"> and research </w:t>
      </w:r>
      <w:r w:rsidR="00E25DB9" w:rsidRPr="00645893">
        <w:t>across</w:t>
      </w:r>
      <w:r w:rsidRPr="00645893">
        <w:t xml:space="preserve"> </w:t>
      </w:r>
      <w:r w:rsidR="00E25DB9" w:rsidRPr="00645893">
        <w:t>different</w:t>
      </w:r>
      <w:r w:rsidRPr="00645893">
        <w:t xml:space="preserve"> </w:t>
      </w:r>
      <w:r w:rsidR="00E25DB9" w:rsidRPr="00645893">
        <w:t>livestock</w:t>
      </w:r>
      <w:r w:rsidRPr="00645893">
        <w:t xml:space="preserve"> sectors to come </w:t>
      </w:r>
      <w:r w:rsidR="00E25DB9" w:rsidRPr="00645893">
        <w:t>together</w:t>
      </w:r>
      <w:r w:rsidRPr="00645893">
        <w:t xml:space="preserve"> on an issue </w:t>
      </w:r>
      <w:r w:rsidR="00E25DB9" w:rsidRPr="00645893">
        <w:t>that</w:t>
      </w:r>
      <w:r w:rsidRPr="00645893">
        <w:t xml:space="preserve"> affects all the </w:t>
      </w:r>
      <w:r w:rsidR="00E25DB9" w:rsidRPr="00645893">
        <w:t>stakeholders</w:t>
      </w:r>
      <w:r w:rsidR="00A27525">
        <w:t>.</w:t>
      </w:r>
    </w:p>
    <w:p w14:paraId="249FCB98" w14:textId="77777777" w:rsidR="005E335E" w:rsidRPr="00645893" w:rsidRDefault="007603FA" w:rsidP="0067112F">
      <w:pPr>
        <w:pStyle w:val="Quote"/>
      </w:pPr>
      <w:r>
        <w:t>…</w:t>
      </w:r>
      <w:r w:rsidR="00B4612E">
        <w:t xml:space="preserve"> injected welcome fun</w:t>
      </w:r>
      <w:r w:rsidR="005E335E" w:rsidRPr="00645893">
        <w:t>d</w:t>
      </w:r>
      <w:r w:rsidR="00B4612E">
        <w:t>s</w:t>
      </w:r>
      <w:r w:rsidR="005E335E" w:rsidRPr="00645893">
        <w:t xml:space="preserve"> into a sector </w:t>
      </w:r>
      <w:r w:rsidR="00EE6F50">
        <w:t>seriously in need of innovation and</w:t>
      </w:r>
      <w:r w:rsidR="005E335E" w:rsidRPr="00645893">
        <w:t xml:space="preserve"> has forced an examination of ways to demolish silo walls</w:t>
      </w:r>
      <w:r w:rsidR="00A27525">
        <w:t>.</w:t>
      </w:r>
    </w:p>
    <w:p w14:paraId="21524862" w14:textId="77777777" w:rsidR="006E3607" w:rsidRDefault="006E3607" w:rsidP="00D9457D">
      <w:pPr>
        <w:pStyle w:val="Heading4"/>
      </w:pPr>
      <w:r>
        <w:t>ANAO performance audit</w:t>
      </w:r>
    </w:p>
    <w:p w14:paraId="6CAF99FC" w14:textId="4CB60F9F" w:rsidR="006E3607" w:rsidRDefault="00EC5294" w:rsidP="00D9457D">
      <w:pPr>
        <w:spacing w:before="200"/>
      </w:pPr>
      <w:r>
        <w:t>P</w:t>
      </w:r>
      <w:r w:rsidR="006E3607">
        <w:t xml:space="preserve">roject analysis and stakeholder feedback </w:t>
      </w:r>
      <w:r w:rsidR="005E0AE9">
        <w:t>collected for the evaluation,</w:t>
      </w:r>
      <w:r w:rsidR="0018134A">
        <w:t xml:space="preserve"> </w:t>
      </w:r>
      <w:r w:rsidR="006E3607">
        <w:t>on balance indicated the program has had a positive impact with respect to encouraging collaboration</w:t>
      </w:r>
      <w:r w:rsidR="00B25C0E">
        <w:t xml:space="preserve">. </w:t>
      </w:r>
      <w:r w:rsidR="00215EC8">
        <w:t xml:space="preserve">However, the Australian National Audit Office’s (ANAO) recent </w:t>
      </w:r>
      <w:r w:rsidR="006E3607">
        <w:t xml:space="preserve">performance audit </w:t>
      </w:r>
      <w:r w:rsidR="006E3607">
        <w:rPr>
          <w:rStyle w:val="FootnoteReference"/>
        </w:rPr>
        <w:footnoteReference w:id="14"/>
      </w:r>
      <w:r w:rsidR="006E3607">
        <w:t xml:space="preserve"> reported that stakeholder feedback in relation to the collaborative aspects of the program was mixed</w:t>
      </w:r>
      <w:r w:rsidR="00B25C0E">
        <w:t xml:space="preserve">. </w:t>
      </w:r>
      <w:r w:rsidR="006E3607">
        <w:t xml:space="preserve">Specifically, it </w:t>
      </w:r>
      <w:r w:rsidR="00CF76BF">
        <w:t>considered that</w:t>
      </w:r>
      <w:r w:rsidR="006E3607">
        <w:t>:</w:t>
      </w:r>
    </w:p>
    <w:p w14:paraId="27B35634" w14:textId="3F2F19D9" w:rsidR="006E3607" w:rsidRPr="00295F50" w:rsidRDefault="006E3607" w:rsidP="0067112F">
      <w:pPr>
        <w:pStyle w:val="Quote"/>
      </w:pPr>
      <w:r w:rsidRPr="00295F50">
        <w:t>Potential for effective collaboration was constrained by the competitive nature of the program</w:t>
      </w:r>
      <w:r w:rsidR="00DA1196">
        <w:t>,</w:t>
      </w:r>
      <w:r w:rsidR="00DA1196" w:rsidRPr="00295F50">
        <w:t xml:space="preserve"> </w:t>
      </w:r>
      <w:r w:rsidRPr="00295F50">
        <w:t>the relatively short application period</w:t>
      </w:r>
      <w:r w:rsidR="00DA1196">
        <w:t>,</w:t>
      </w:r>
      <w:r w:rsidR="00DA1196" w:rsidRPr="00295F50">
        <w:t xml:space="preserve"> </w:t>
      </w:r>
      <w:r w:rsidRPr="00295F50">
        <w:t>and / or the incentive to select research partners on the basis of their ability to provide co-contributions rather than the suitability of their research capabili</w:t>
      </w:r>
      <w:r w:rsidR="00F540C5">
        <w:t>ties to the proposed project</w:t>
      </w:r>
      <w:r w:rsidR="00B25C0E">
        <w:t xml:space="preserve">. </w:t>
      </w:r>
    </w:p>
    <w:p w14:paraId="25FED3E5" w14:textId="404190EE" w:rsidR="00801633" w:rsidRDefault="00A47A70" w:rsidP="00801633">
      <w:r>
        <w:t xml:space="preserve">Barriers to </w:t>
      </w:r>
      <w:r w:rsidR="00801633">
        <w:t xml:space="preserve">collaboration </w:t>
      </w:r>
      <w:r>
        <w:t xml:space="preserve">that were identified by stakeholders interviewed </w:t>
      </w:r>
      <w:r w:rsidR="00801633">
        <w:t xml:space="preserve">are discussed in more detail </w:t>
      </w:r>
      <w:r w:rsidR="00F24F4B" w:rsidRPr="00F27165">
        <w:t>in 2.3.9</w:t>
      </w:r>
      <w:r w:rsidR="00B25C0E">
        <w:t xml:space="preserve">. </w:t>
      </w:r>
    </w:p>
    <w:p w14:paraId="3C13CB36" w14:textId="77777777" w:rsidR="00E5408D" w:rsidRDefault="005A0970" w:rsidP="00D9457D">
      <w:pPr>
        <w:pStyle w:val="Heading4"/>
      </w:pPr>
      <w:r>
        <w:t>Factors for successful collaboration</w:t>
      </w:r>
      <w:r w:rsidR="00B47938">
        <w:t xml:space="preserve"> and barriers to collaboration</w:t>
      </w:r>
    </w:p>
    <w:p w14:paraId="5E67BA58" w14:textId="65A51B05" w:rsidR="007F5BE5" w:rsidRDefault="00E5408D" w:rsidP="00D9457D">
      <w:pPr>
        <w:spacing w:before="200"/>
      </w:pPr>
      <w:r>
        <w:t xml:space="preserve">A range of factors were identified </w:t>
      </w:r>
      <w:r w:rsidR="00C90D5C">
        <w:t xml:space="preserve">by stakeholders </w:t>
      </w:r>
      <w:r>
        <w:t xml:space="preserve">as contributing to </w:t>
      </w:r>
      <w:r w:rsidR="003A5244">
        <w:t>successful collaboration</w:t>
      </w:r>
      <w:r w:rsidR="007F5BE5">
        <w:t>s</w:t>
      </w:r>
      <w:r w:rsidR="005E0AE9">
        <w:t xml:space="preserve"> </w:t>
      </w:r>
      <w:r w:rsidR="00B47938">
        <w:t xml:space="preserve">or as providing barriers to collaborations, summarised </w:t>
      </w:r>
      <w:r w:rsidR="00B47938" w:rsidRPr="002D7037">
        <w:t xml:space="preserve">in </w:t>
      </w:r>
      <w:r w:rsidR="002D7037" w:rsidRPr="002D7037">
        <w:t>Tables 4 and 5</w:t>
      </w:r>
      <w:r w:rsidR="00B25C0E">
        <w:t xml:space="preserve">. </w:t>
      </w:r>
      <w:r w:rsidR="005E0AE9">
        <w:t xml:space="preserve"> </w:t>
      </w:r>
      <w:r w:rsidR="0088407B">
        <w:t>This information may be useful to the program team</w:t>
      </w:r>
      <w:r w:rsidR="00E76C00">
        <w:t xml:space="preserve"> </w:t>
      </w:r>
      <w:r w:rsidR="00B47938">
        <w:t xml:space="preserve">to </w:t>
      </w:r>
      <w:r w:rsidR="00092CFC">
        <w:t xml:space="preserve">inform future guidance to applicants and </w:t>
      </w:r>
      <w:r w:rsidR="00E76C00">
        <w:t xml:space="preserve">to the </w:t>
      </w:r>
      <w:r w:rsidR="002A5D7D">
        <w:t>d</w:t>
      </w:r>
      <w:r w:rsidR="00E76C00">
        <w:t xml:space="preserve">epartment </w:t>
      </w:r>
      <w:r w:rsidR="00B47938">
        <w:t xml:space="preserve">in developing </w:t>
      </w:r>
      <w:r w:rsidR="00092CFC">
        <w:t>future policy</w:t>
      </w:r>
      <w:r w:rsidR="00B25C0E">
        <w:t xml:space="preserve">. </w:t>
      </w:r>
    </w:p>
    <w:p w14:paraId="4C64B91B" w14:textId="77777777" w:rsidR="00E5408D" w:rsidRDefault="00E5408D" w:rsidP="00E5408D">
      <w:pPr>
        <w:pStyle w:val="Caption"/>
        <w:keepNext/>
      </w:pPr>
      <w:bookmarkStart w:id="31" w:name="_Ref480360572"/>
      <w:r w:rsidRPr="002D7037">
        <w:t>Table</w:t>
      </w:r>
      <w:bookmarkEnd w:id="31"/>
      <w:r w:rsidR="00E85B78" w:rsidRPr="002D7037">
        <w:t xml:space="preserve"> </w:t>
      </w:r>
      <w:r w:rsidR="002D7037" w:rsidRPr="002D7037">
        <w:t>4</w:t>
      </w:r>
      <w:r w:rsidR="007F5BE5" w:rsidRPr="00A53B9B">
        <w:t xml:space="preserve"> </w:t>
      </w:r>
      <w:r w:rsidR="004F234B" w:rsidRPr="00A53B9B">
        <w:t>Collaboration</w:t>
      </w:r>
      <w:r w:rsidR="004F234B">
        <w:t xml:space="preserve"> - factors identified for succ</w:t>
      </w:r>
      <w:r w:rsidR="00A53B9B">
        <w:t>e</w:t>
      </w:r>
      <w:r w:rsidR="004F234B">
        <w:t>ss</w:t>
      </w:r>
    </w:p>
    <w:tbl>
      <w:tblPr>
        <w:tblW w:w="7830" w:type="dxa"/>
        <w:tblInd w:w="817" w:type="dxa"/>
        <w:tblBorders>
          <w:insideH w:val="single" w:sz="6" w:space="0" w:color="0092CF"/>
          <w:insideV w:val="single" w:sz="6" w:space="0" w:color="0092CF"/>
        </w:tblBorders>
        <w:tblLook w:val="04A0" w:firstRow="1" w:lastRow="0" w:firstColumn="1" w:lastColumn="0" w:noHBand="0" w:noVBand="1"/>
        <w:tblCaption w:val="Table 4 Collaboration - factors for success"/>
        <w:tblDescription w:val="This table describes factors identified for successful collaboration including picking the right research project, getting the right project manager, positive working relationships and getting the right skills sets and industry perspectives."/>
      </w:tblPr>
      <w:tblGrid>
        <w:gridCol w:w="1593"/>
        <w:gridCol w:w="6237"/>
      </w:tblGrid>
      <w:tr w:rsidR="00E5408D" w14:paraId="17097DED" w14:textId="77777777" w:rsidTr="00BD6A9E">
        <w:trPr>
          <w:tblHeader/>
        </w:trPr>
        <w:tc>
          <w:tcPr>
            <w:tcW w:w="1593" w:type="dxa"/>
            <w:tcBorders>
              <w:top w:val="nil"/>
              <w:left w:val="nil"/>
              <w:bottom w:val="single" w:sz="4" w:space="0" w:color="0092CF"/>
              <w:right w:val="single" w:sz="6" w:space="0" w:color="0092CF"/>
            </w:tcBorders>
            <w:shd w:val="clear" w:color="auto" w:fill="E0F0FC"/>
            <w:vAlign w:val="center"/>
            <w:hideMark/>
          </w:tcPr>
          <w:p w14:paraId="4F1E134E" w14:textId="77777777" w:rsidR="00E5408D" w:rsidRDefault="00E5408D" w:rsidP="00A26418">
            <w:pPr>
              <w:pStyle w:val="TableHeading"/>
            </w:pPr>
            <w:r>
              <w:t>SuCcess Factor</w:t>
            </w:r>
          </w:p>
        </w:tc>
        <w:tc>
          <w:tcPr>
            <w:tcW w:w="6237" w:type="dxa"/>
            <w:tcBorders>
              <w:top w:val="nil"/>
              <w:left w:val="single" w:sz="6" w:space="0" w:color="0092CF"/>
              <w:bottom w:val="single" w:sz="4" w:space="0" w:color="0092CF"/>
              <w:right w:val="nil"/>
            </w:tcBorders>
            <w:shd w:val="clear" w:color="auto" w:fill="E0F0FC"/>
            <w:vAlign w:val="center"/>
            <w:hideMark/>
          </w:tcPr>
          <w:p w14:paraId="4FD770A6" w14:textId="77777777" w:rsidR="00E5408D" w:rsidRDefault="00E5408D" w:rsidP="00A26418">
            <w:pPr>
              <w:pStyle w:val="TableHeading"/>
            </w:pPr>
            <w:r>
              <w:t>Description</w:t>
            </w:r>
          </w:p>
        </w:tc>
      </w:tr>
      <w:tr w:rsidR="007F5BE5" w14:paraId="5DB6F352" w14:textId="77777777" w:rsidTr="008E78C1">
        <w:tc>
          <w:tcPr>
            <w:tcW w:w="1593" w:type="dxa"/>
            <w:tcBorders>
              <w:top w:val="single" w:sz="4" w:space="0" w:color="0092CF"/>
              <w:left w:val="nil"/>
              <w:bottom w:val="single" w:sz="6" w:space="0" w:color="0092CF"/>
              <w:right w:val="single" w:sz="6" w:space="0" w:color="0092CF"/>
            </w:tcBorders>
          </w:tcPr>
          <w:p w14:paraId="6230BCF8" w14:textId="77777777" w:rsidR="007F5BE5" w:rsidRDefault="00A53B9B" w:rsidP="00443F10">
            <w:pPr>
              <w:pStyle w:val="Tablebullet"/>
            </w:pPr>
            <w:r>
              <w:t>Picking t</w:t>
            </w:r>
            <w:r w:rsidR="00580522">
              <w:t>he ‘right’ r</w:t>
            </w:r>
            <w:r w:rsidR="007F5BE5">
              <w:t>esearch project</w:t>
            </w:r>
          </w:p>
        </w:tc>
        <w:tc>
          <w:tcPr>
            <w:tcW w:w="6237" w:type="dxa"/>
            <w:tcBorders>
              <w:top w:val="single" w:sz="4" w:space="0" w:color="0092CF"/>
              <w:left w:val="single" w:sz="6" w:space="0" w:color="0092CF"/>
              <w:bottom w:val="single" w:sz="6" w:space="0" w:color="0092CF"/>
              <w:right w:val="nil"/>
            </w:tcBorders>
          </w:tcPr>
          <w:p w14:paraId="02CE6810" w14:textId="77777777" w:rsidR="00B3031D" w:rsidRDefault="00DD1EFC" w:rsidP="00443F10">
            <w:pPr>
              <w:pStyle w:val="Tablebullet"/>
            </w:pPr>
            <w:r>
              <w:t>Stakeholders often described f</w:t>
            </w:r>
            <w:r w:rsidR="007F5BE5">
              <w:t xml:space="preserve">inding the ‘right’ </w:t>
            </w:r>
            <w:r w:rsidR="00B3031D">
              <w:t xml:space="preserve">research </w:t>
            </w:r>
            <w:r w:rsidR="007F5BE5">
              <w:t xml:space="preserve">project </w:t>
            </w:r>
            <w:r w:rsidR="007C763F">
              <w:t>was the key driver to successful collaboration</w:t>
            </w:r>
            <w:r w:rsidR="00CF4F93">
              <w:t xml:space="preserve"> - w</w:t>
            </w:r>
            <w:r w:rsidR="00087931">
              <w:t xml:space="preserve">hereby research outcomes would be to the equal advantage to all project partners </w:t>
            </w:r>
          </w:p>
          <w:p w14:paraId="437AEBDA" w14:textId="77777777" w:rsidR="007831E3" w:rsidRPr="002002F5" w:rsidRDefault="0051177B" w:rsidP="00BD6A9E">
            <w:pPr>
              <w:pStyle w:val="Quote"/>
            </w:pPr>
            <w:r>
              <w:t>…</w:t>
            </w:r>
            <w:r w:rsidR="007831E3" w:rsidRPr="002002F5">
              <w:t>collaboration is a means to an end; you don’t collaborate for collaboration’s sake</w:t>
            </w:r>
            <w:r w:rsidR="00CF4F93" w:rsidRPr="002002F5">
              <w:t xml:space="preserve"> (RDC)</w:t>
            </w:r>
          </w:p>
        </w:tc>
      </w:tr>
      <w:tr w:rsidR="007E7CE3" w14:paraId="7A6C444E" w14:textId="77777777" w:rsidTr="008E78C1">
        <w:tc>
          <w:tcPr>
            <w:tcW w:w="1593" w:type="dxa"/>
            <w:tcBorders>
              <w:top w:val="single" w:sz="4" w:space="0" w:color="0092CF"/>
              <w:left w:val="nil"/>
              <w:bottom w:val="single" w:sz="6" w:space="0" w:color="0092CF"/>
              <w:right w:val="single" w:sz="6" w:space="0" w:color="0092CF"/>
            </w:tcBorders>
          </w:tcPr>
          <w:p w14:paraId="4EA17B90" w14:textId="77777777" w:rsidR="007E7CE3" w:rsidRDefault="002002F5" w:rsidP="00443F10">
            <w:pPr>
              <w:pStyle w:val="Tablebullet"/>
            </w:pPr>
            <w:r>
              <w:t>Getting the</w:t>
            </w:r>
            <w:r w:rsidR="007E7CE3">
              <w:t xml:space="preserve"> </w:t>
            </w:r>
            <w:r w:rsidR="00710DD0">
              <w:t>‘</w:t>
            </w:r>
            <w:r w:rsidR="007E7CE3">
              <w:t>right</w:t>
            </w:r>
            <w:r w:rsidR="00710DD0">
              <w:t>’</w:t>
            </w:r>
            <w:r w:rsidR="007E7CE3">
              <w:t xml:space="preserve"> project manager</w:t>
            </w:r>
          </w:p>
        </w:tc>
        <w:tc>
          <w:tcPr>
            <w:tcW w:w="6237" w:type="dxa"/>
            <w:tcBorders>
              <w:top w:val="single" w:sz="4" w:space="0" w:color="0092CF"/>
              <w:left w:val="single" w:sz="6" w:space="0" w:color="0092CF"/>
              <w:bottom w:val="single" w:sz="6" w:space="0" w:color="0092CF"/>
              <w:right w:val="nil"/>
            </w:tcBorders>
          </w:tcPr>
          <w:p w14:paraId="240E16EF" w14:textId="509975F2" w:rsidR="002002F5" w:rsidRDefault="002002F5" w:rsidP="00443F10">
            <w:pPr>
              <w:pStyle w:val="Tablebullet"/>
            </w:pPr>
            <w:r>
              <w:t xml:space="preserve">The role of project manager / </w:t>
            </w:r>
            <w:r w:rsidR="00710DD0">
              <w:t>coordinator was identified as crucial to the success or otherwise of collaborative projects</w:t>
            </w:r>
            <w:r w:rsidR="00B25C0E">
              <w:t xml:space="preserve">. </w:t>
            </w:r>
            <w:r>
              <w:t>Their key attributes were categorised as:</w:t>
            </w:r>
          </w:p>
          <w:p w14:paraId="4B929D93" w14:textId="77777777" w:rsidR="00710DD0" w:rsidRDefault="002002F5" w:rsidP="00443F10">
            <w:pPr>
              <w:pStyle w:val="Tablebullet2"/>
            </w:pPr>
            <w:r>
              <w:t>w</w:t>
            </w:r>
            <w:r w:rsidR="00710DD0">
              <w:t>ell organised</w:t>
            </w:r>
          </w:p>
          <w:p w14:paraId="52B3E692" w14:textId="77777777" w:rsidR="00710DD0" w:rsidRDefault="002002F5" w:rsidP="00443F10">
            <w:pPr>
              <w:pStyle w:val="Tablebullet2"/>
            </w:pPr>
            <w:r>
              <w:t>s</w:t>
            </w:r>
            <w:r w:rsidR="00710DD0">
              <w:t>trong communicator</w:t>
            </w:r>
            <w:r>
              <w:t xml:space="preserve"> - ensuring</w:t>
            </w:r>
            <w:r w:rsidR="00A01456">
              <w:t xml:space="preserve"> all parties were kept abreast of project developments</w:t>
            </w:r>
            <w:r w:rsidR="001B4423">
              <w:t xml:space="preserve"> and able to build positive w</w:t>
            </w:r>
            <w:r>
              <w:t xml:space="preserve">orking relationships </w:t>
            </w:r>
          </w:p>
          <w:p w14:paraId="5AA14488" w14:textId="77777777" w:rsidR="00710DD0" w:rsidRDefault="002002F5" w:rsidP="00443F10">
            <w:pPr>
              <w:pStyle w:val="Tablebullet2"/>
            </w:pPr>
            <w:r>
              <w:t>f</w:t>
            </w:r>
            <w:r w:rsidR="00710DD0">
              <w:t>air – ensuring all partner views and interests were represented</w:t>
            </w:r>
            <w:r>
              <w:t xml:space="preserve"> </w:t>
            </w:r>
          </w:p>
          <w:p w14:paraId="77CEF8E8" w14:textId="77777777" w:rsidR="002002F5" w:rsidRDefault="002002F5" w:rsidP="00443F10">
            <w:pPr>
              <w:pStyle w:val="Tablebullet2"/>
            </w:pPr>
            <w:r>
              <w:t>strong l</w:t>
            </w:r>
            <w:r w:rsidR="00710DD0">
              <w:t>eadership skills</w:t>
            </w:r>
            <w:r>
              <w:t xml:space="preserve"> -</w:t>
            </w:r>
            <w:r w:rsidR="00710DD0">
              <w:t xml:space="preserve"> particularly ensuring </w:t>
            </w:r>
            <w:r>
              <w:t xml:space="preserve">that </w:t>
            </w:r>
            <w:r w:rsidR="00A01456">
              <w:t>project partners functioned as a team</w:t>
            </w:r>
            <w:r>
              <w:t>,</w:t>
            </w:r>
            <w:r w:rsidR="00A01456">
              <w:t xml:space="preserve"> working towards project outcomes, rather than interests of </w:t>
            </w:r>
            <w:r>
              <w:t>their individual organisation</w:t>
            </w:r>
          </w:p>
          <w:p w14:paraId="5A2FE4E0" w14:textId="77777777" w:rsidR="00710DD0" w:rsidRDefault="0051177B" w:rsidP="00BD6A9E">
            <w:pPr>
              <w:pStyle w:val="Quote"/>
            </w:pPr>
            <w:r>
              <w:t>…</w:t>
            </w:r>
            <w:r w:rsidR="002002F5" w:rsidRPr="00BE474A">
              <w:t xml:space="preserve">the project stayed on track </w:t>
            </w:r>
            <w:r w:rsidR="00710DD0" w:rsidRPr="00BE474A">
              <w:t>and true to the needs of th</w:t>
            </w:r>
            <w:r w:rsidR="002002F5" w:rsidRPr="00BE474A">
              <w:t>e farmers - not the researchers (partner organisation)</w:t>
            </w:r>
          </w:p>
        </w:tc>
      </w:tr>
      <w:tr w:rsidR="00132F9E" w14:paraId="622344F7" w14:textId="77777777" w:rsidTr="008E78C1">
        <w:tc>
          <w:tcPr>
            <w:tcW w:w="1593" w:type="dxa"/>
            <w:tcBorders>
              <w:top w:val="single" w:sz="4" w:space="0" w:color="0092CF"/>
              <w:left w:val="nil"/>
              <w:bottom w:val="single" w:sz="6" w:space="0" w:color="0092CF"/>
              <w:right w:val="single" w:sz="6" w:space="0" w:color="0092CF"/>
            </w:tcBorders>
          </w:tcPr>
          <w:p w14:paraId="268569DC" w14:textId="77777777" w:rsidR="00132F9E" w:rsidRDefault="00132F9E" w:rsidP="00443F10">
            <w:pPr>
              <w:pStyle w:val="Tablebullet"/>
            </w:pPr>
            <w:r>
              <w:t>Positive working relationships</w:t>
            </w:r>
          </w:p>
        </w:tc>
        <w:tc>
          <w:tcPr>
            <w:tcW w:w="6237" w:type="dxa"/>
            <w:tcBorders>
              <w:top w:val="single" w:sz="4" w:space="0" w:color="0092CF"/>
              <w:left w:val="single" w:sz="6" w:space="0" w:color="0092CF"/>
              <w:bottom w:val="single" w:sz="6" w:space="0" w:color="0092CF"/>
              <w:right w:val="nil"/>
            </w:tcBorders>
          </w:tcPr>
          <w:p w14:paraId="673AEAC5" w14:textId="36A2C044" w:rsidR="00132F9E" w:rsidRDefault="00C14292" w:rsidP="00443F10">
            <w:pPr>
              <w:pStyle w:val="Tablebullet"/>
            </w:pPr>
            <w:r>
              <w:t>Investment in ‘</w:t>
            </w:r>
            <w:r w:rsidR="00E61807">
              <w:t xml:space="preserve">soft capital’ and </w:t>
            </w:r>
            <w:r>
              <w:t>building of positive working relationships where partners had a ‘shared understanding and vision’ was viewed as critical to the success of a collaboration</w:t>
            </w:r>
            <w:r w:rsidR="00B25C0E">
              <w:t xml:space="preserve">. </w:t>
            </w:r>
            <w:r>
              <w:t>It was seen as the building block of any future collaboration between partners as well as sustaining of existing partnerships and networks</w:t>
            </w:r>
            <w:r w:rsidR="00B25C0E">
              <w:t xml:space="preserve">. </w:t>
            </w:r>
          </w:p>
          <w:p w14:paraId="5A4D7D34" w14:textId="77777777" w:rsidR="00132F9E" w:rsidRPr="00E61807" w:rsidRDefault="00132F9E" w:rsidP="00BD6A9E">
            <w:pPr>
              <w:pStyle w:val="Quote"/>
            </w:pPr>
            <w:r w:rsidRPr="00E61807">
              <w:t>Trust</w:t>
            </w:r>
            <w:r w:rsidR="00C14292" w:rsidRPr="00E61807">
              <w:t xml:space="preserve"> – </w:t>
            </w:r>
            <w:r w:rsidR="003E7742" w:rsidRPr="00E61807">
              <w:t xml:space="preserve">it’s so simple, but </w:t>
            </w:r>
            <w:r w:rsidR="00C14292" w:rsidRPr="00E61807">
              <w:t>it’s essential</w:t>
            </w:r>
            <w:r w:rsidR="002F50C1">
              <w:t xml:space="preserve"> (project manager, partner organisation)</w:t>
            </w:r>
          </w:p>
          <w:p w14:paraId="69C91479" w14:textId="77777777" w:rsidR="00EA2E64" w:rsidRDefault="00A271FB" w:rsidP="00BD6A9E">
            <w:pPr>
              <w:pStyle w:val="Quote"/>
            </w:pPr>
            <w:r w:rsidRPr="00E61807">
              <w:t>Good collaborations are</w:t>
            </w:r>
            <w:r w:rsidR="00EA2E64" w:rsidRPr="00E61807">
              <w:t xml:space="preserve"> about relationships and stakeholder ma</w:t>
            </w:r>
            <w:r w:rsidR="00C14292" w:rsidRPr="00E61807">
              <w:t>nagement</w:t>
            </w:r>
            <w:r w:rsidR="002F50C1">
              <w:t xml:space="preserve"> (partner organisation)</w:t>
            </w:r>
          </w:p>
        </w:tc>
      </w:tr>
      <w:tr w:rsidR="0013509B" w14:paraId="4D466E3B" w14:textId="77777777" w:rsidTr="008E78C1">
        <w:tc>
          <w:tcPr>
            <w:tcW w:w="1593" w:type="dxa"/>
            <w:tcBorders>
              <w:top w:val="single" w:sz="4" w:space="0" w:color="0092CF"/>
              <w:left w:val="nil"/>
              <w:bottom w:val="single" w:sz="6" w:space="0" w:color="0092CF"/>
              <w:right w:val="single" w:sz="6" w:space="0" w:color="0092CF"/>
            </w:tcBorders>
          </w:tcPr>
          <w:p w14:paraId="7E199DDB" w14:textId="77777777" w:rsidR="0013509B" w:rsidRDefault="00C77D87" w:rsidP="00443F10">
            <w:pPr>
              <w:pStyle w:val="Tablebullet"/>
            </w:pPr>
            <w:r>
              <w:t>The right skill sets and industry perspectives</w:t>
            </w:r>
          </w:p>
        </w:tc>
        <w:tc>
          <w:tcPr>
            <w:tcW w:w="6237" w:type="dxa"/>
            <w:tcBorders>
              <w:top w:val="single" w:sz="4" w:space="0" w:color="0092CF"/>
              <w:left w:val="single" w:sz="6" w:space="0" w:color="0092CF"/>
              <w:bottom w:val="single" w:sz="6" w:space="0" w:color="0092CF"/>
              <w:right w:val="nil"/>
            </w:tcBorders>
          </w:tcPr>
          <w:p w14:paraId="37C9CA81" w14:textId="7A8B9E23" w:rsidR="00093BDB" w:rsidRDefault="00093BDB" w:rsidP="00443F10">
            <w:pPr>
              <w:pStyle w:val="Tablebullet"/>
            </w:pPr>
            <w:r>
              <w:t>Those involved in cross-</w:t>
            </w:r>
            <w:r w:rsidR="000524DA">
              <w:t xml:space="preserve">sectoral </w:t>
            </w:r>
            <w:r>
              <w:t>research projects in particular highlighted the advantages of partnerships with other organisations that have other skills and perspectives</w:t>
            </w:r>
            <w:r w:rsidR="00B25C0E">
              <w:t xml:space="preserve">. </w:t>
            </w:r>
            <w:r>
              <w:t>This included the direct involvement of industry participants and primary producers on the team</w:t>
            </w:r>
            <w:r w:rsidR="00B25C0E">
              <w:t xml:space="preserve">. </w:t>
            </w:r>
          </w:p>
          <w:p w14:paraId="536A78B9" w14:textId="177999B2" w:rsidR="004F2EC7" w:rsidRDefault="004F2EC7" w:rsidP="00443F10">
            <w:pPr>
              <w:pStyle w:val="Tablebullet"/>
            </w:pPr>
            <w:r>
              <w:t>Sheer number of partners was not seen as a factor for success</w:t>
            </w:r>
            <w:r w:rsidR="00B25C0E">
              <w:t xml:space="preserve">. </w:t>
            </w:r>
            <w:r>
              <w:t>Rather choosing the right collaborators that brought the right skill set and views to the project</w:t>
            </w:r>
            <w:r w:rsidR="00B25C0E">
              <w:t xml:space="preserve">. </w:t>
            </w:r>
          </w:p>
          <w:p w14:paraId="36A64473" w14:textId="77777777" w:rsidR="003E0CA6" w:rsidRPr="00E81806" w:rsidRDefault="003E0CA6" w:rsidP="00BD6A9E">
            <w:pPr>
              <w:pStyle w:val="Quote"/>
            </w:pPr>
            <w:r w:rsidRPr="00E81806">
              <w:t>More partners don’t necessarily equal better collaboratio</w:t>
            </w:r>
            <w:r w:rsidR="004F2EC7" w:rsidRPr="00E81806">
              <w:t>n with better research outcomes</w:t>
            </w:r>
            <w:r w:rsidR="0092426D">
              <w:t xml:space="preserve"> (RDC)</w:t>
            </w:r>
          </w:p>
          <w:p w14:paraId="239CB131" w14:textId="77777777" w:rsidR="0013509B" w:rsidRDefault="0013509B" w:rsidP="00BD6A9E">
            <w:pPr>
              <w:pStyle w:val="Quote"/>
            </w:pPr>
            <w:r w:rsidRPr="00E81806">
              <w:t>There is a sweet spot for the number of organisations involved</w:t>
            </w:r>
            <w:r w:rsidR="00AD0D87" w:rsidRPr="00E81806">
              <w:t>,</w:t>
            </w:r>
            <w:r w:rsidRPr="00E81806">
              <w:t xml:space="preserve"> and sometimes </w:t>
            </w:r>
            <w:r w:rsidR="004F2EC7" w:rsidRPr="00E81806">
              <w:t>less is more</w:t>
            </w:r>
            <w:r w:rsidR="0092426D">
              <w:t xml:space="preserve"> (R</w:t>
            </w:r>
            <w:r w:rsidR="000524DA">
              <w:t>D</w:t>
            </w:r>
            <w:r w:rsidR="0092426D">
              <w:t>C)</w:t>
            </w:r>
          </w:p>
        </w:tc>
      </w:tr>
    </w:tbl>
    <w:p w14:paraId="21FFA793" w14:textId="77777777" w:rsidR="00C74A89" w:rsidRDefault="002D7037" w:rsidP="00BD6A9E">
      <w:pPr>
        <w:pStyle w:val="Caption"/>
      </w:pPr>
      <w:bookmarkStart w:id="32" w:name="_Ref479057501"/>
      <w:r w:rsidRPr="002D7037">
        <w:t>Table 5</w:t>
      </w:r>
      <w:r w:rsidR="002B5EB5" w:rsidRPr="002D7037">
        <w:t xml:space="preserve"> –</w:t>
      </w:r>
      <w:r w:rsidR="002B5EB5">
        <w:t xml:space="preserve"> Barriers identified for collaboration</w:t>
      </w:r>
    </w:p>
    <w:tbl>
      <w:tblPr>
        <w:tblW w:w="7830" w:type="dxa"/>
        <w:tblInd w:w="817" w:type="dxa"/>
        <w:tblBorders>
          <w:insideH w:val="single" w:sz="6" w:space="0" w:color="0092CF"/>
          <w:insideV w:val="single" w:sz="6" w:space="0" w:color="0092CF"/>
        </w:tblBorders>
        <w:tblLook w:val="04A0" w:firstRow="1" w:lastRow="0" w:firstColumn="1" w:lastColumn="0" w:noHBand="0" w:noVBand="1"/>
        <w:tblCaption w:val="Table 5 Barriers identified for collaboration"/>
        <w:tblDescription w:val="This table describes barriers identified for collaborations including costs and collaborating with your competitors.  "/>
      </w:tblPr>
      <w:tblGrid>
        <w:gridCol w:w="1593"/>
        <w:gridCol w:w="6237"/>
      </w:tblGrid>
      <w:tr w:rsidR="00C74A89" w14:paraId="6EBD70C7" w14:textId="77777777" w:rsidTr="00BD6A9E">
        <w:trPr>
          <w:tblHeader/>
        </w:trPr>
        <w:tc>
          <w:tcPr>
            <w:tcW w:w="1593" w:type="dxa"/>
            <w:tcBorders>
              <w:top w:val="nil"/>
              <w:left w:val="nil"/>
              <w:bottom w:val="single" w:sz="4" w:space="0" w:color="0092CF"/>
              <w:right w:val="single" w:sz="6" w:space="0" w:color="0092CF"/>
            </w:tcBorders>
            <w:shd w:val="clear" w:color="auto" w:fill="E0F0FC"/>
            <w:vAlign w:val="center"/>
            <w:hideMark/>
          </w:tcPr>
          <w:p w14:paraId="67CC7995" w14:textId="77777777" w:rsidR="00C74A89" w:rsidRDefault="00C74A89" w:rsidP="004B72C6">
            <w:pPr>
              <w:pStyle w:val="TableHeading"/>
            </w:pPr>
            <w:r>
              <w:t>BArriers</w:t>
            </w:r>
          </w:p>
        </w:tc>
        <w:tc>
          <w:tcPr>
            <w:tcW w:w="6237" w:type="dxa"/>
            <w:tcBorders>
              <w:top w:val="nil"/>
              <w:left w:val="single" w:sz="6" w:space="0" w:color="0092CF"/>
              <w:bottom w:val="single" w:sz="4" w:space="0" w:color="0092CF"/>
              <w:right w:val="nil"/>
            </w:tcBorders>
            <w:shd w:val="clear" w:color="auto" w:fill="E0F0FC"/>
            <w:vAlign w:val="center"/>
            <w:hideMark/>
          </w:tcPr>
          <w:p w14:paraId="2A613866" w14:textId="77777777" w:rsidR="00C74A89" w:rsidRDefault="00C74A89" w:rsidP="004B72C6">
            <w:pPr>
              <w:pStyle w:val="TableHeading"/>
            </w:pPr>
            <w:r>
              <w:t>Description</w:t>
            </w:r>
          </w:p>
        </w:tc>
      </w:tr>
      <w:tr w:rsidR="00C74A89" w14:paraId="6722EB67" w14:textId="77777777" w:rsidTr="008E78C1">
        <w:tc>
          <w:tcPr>
            <w:tcW w:w="1593" w:type="dxa"/>
            <w:tcBorders>
              <w:top w:val="single" w:sz="4" w:space="0" w:color="0092CF"/>
              <w:left w:val="nil"/>
              <w:bottom w:val="single" w:sz="6" w:space="0" w:color="0092CF"/>
              <w:right w:val="single" w:sz="6" w:space="0" w:color="0092CF"/>
            </w:tcBorders>
          </w:tcPr>
          <w:p w14:paraId="749C6652" w14:textId="77777777" w:rsidR="00C74A89" w:rsidRDefault="002F4673" w:rsidP="00443F10">
            <w:pPr>
              <w:pStyle w:val="Tablebullet"/>
            </w:pPr>
            <w:r>
              <w:t>Costs</w:t>
            </w:r>
          </w:p>
        </w:tc>
        <w:tc>
          <w:tcPr>
            <w:tcW w:w="6237" w:type="dxa"/>
            <w:tcBorders>
              <w:top w:val="single" w:sz="4" w:space="0" w:color="0092CF"/>
              <w:left w:val="single" w:sz="6" w:space="0" w:color="0092CF"/>
              <w:bottom w:val="single" w:sz="6" w:space="0" w:color="0092CF"/>
              <w:right w:val="nil"/>
            </w:tcBorders>
          </w:tcPr>
          <w:p w14:paraId="2F0E4483" w14:textId="77777777" w:rsidR="00C74A89" w:rsidRDefault="004A1636" w:rsidP="00443F10">
            <w:pPr>
              <w:pStyle w:val="Tablebullet"/>
            </w:pPr>
            <w:r>
              <w:t xml:space="preserve">Collaborations </w:t>
            </w:r>
            <w:r w:rsidR="006236E6">
              <w:t>were described as</w:t>
            </w:r>
            <w:r>
              <w:t xml:space="preserve"> intensive in time, money and resources, particularly during project </w:t>
            </w:r>
            <w:r w:rsidR="004B72C6">
              <w:t>initiation</w:t>
            </w:r>
            <w:r w:rsidR="00CA08CB">
              <w:t>.</w:t>
            </w:r>
          </w:p>
          <w:p w14:paraId="51671EA5" w14:textId="77777777" w:rsidR="004A1636" w:rsidRDefault="002E4C74" w:rsidP="00BD6A9E">
            <w:pPr>
              <w:pStyle w:val="Quote"/>
            </w:pPr>
            <w:r w:rsidRPr="000D0CDE">
              <w:t>Collaborations involve a cost – and the value of working to</w:t>
            </w:r>
            <w:r w:rsidR="00682B4C">
              <w:t>gether must outweigh the cost</w:t>
            </w:r>
            <w:r w:rsidRPr="000D0CDE">
              <w:t xml:space="preserve"> </w:t>
            </w:r>
            <w:r w:rsidR="00682B4C">
              <w:t>(RDC</w:t>
            </w:r>
            <w:r w:rsidRPr="000D0CDE">
              <w:t>)</w:t>
            </w:r>
          </w:p>
          <w:p w14:paraId="7C0F7D99" w14:textId="77777777" w:rsidR="00B02E03" w:rsidRDefault="00B02E03" w:rsidP="00B02E03">
            <w:pPr>
              <w:pStyle w:val="Highlight"/>
              <w:spacing w:before="60" w:after="60"/>
              <w:ind w:left="32"/>
              <w:rPr>
                <w:rFonts w:asciiTheme="minorHAnsi" w:hAnsiTheme="minorHAnsi"/>
                <w:i w:val="0"/>
                <w:color w:val="auto"/>
                <w:sz w:val="19"/>
                <w:lang w:eastAsia="en-US"/>
              </w:rPr>
            </w:pPr>
            <w:r w:rsidRPr="00B02E03">
              <w:rPr>
                <w:rFonts w:asciiTheme="minorHAnsi" w:hAnsiTheme="minorHAnsi"/>
                <w:i w:val="0"/>
                <w:color w:val="auto"/>
                <w:sz w:val="19"/>
                <w:lang w:eastAsia="en-US"/>
              </w:rPr>
              <w:t>Collaboratio</w:t>
            </w:r>
            <w:r>
              <w:rPr>
                <w:rFonts w:asciiTheme="minorHAnsi" w:hAnsiTheme="minorHAnsi"/>
                <w:i w:val="0"/>
                <w:color w:val="auto"/>
                <w:sz w:val="19"/>
                <w:lang w:eastAsia="en-US"/>
              </w:rPr>
              <w:t xml:space="preserve">ns particularly impacted on </w:t>
            </w:r>
            <w:r w:rsidRPr="00B02E03">
              <w:rPr>
                <w:rFonts w:asciiTheme="minorHAnsi" w:hAnsiTheme="minorHAnsi"/>
                <w:i w:val="0"/>
                <w:color w:val="auto"/>
                <w:sz w:val="19"/>
                <w:lang w:eastAsia="en-US"/>
              </w:rPr>
              <w:t>in-kind contributions / or costs</w:t>
            </w:r>
            <w:r w:rsidR="00CA08CB">
              <w:rPr>
                <w:rFonts w:asciiTheme="minorHAnsi" w:hAnsiTheme="minorHAnsi"/>
                <w:i w:val="0"/>
                <w:color w:val="auto"/>
                <w:sz w:val="19"/>
                <w:lang w:eastAsia="en-US"/>
              </w:rPr>
              <w:t>.</w:t>
            </w:r>
          </w:p>
          <w:p w14:paraId="795258BB" w14:textId="0B46B8CF" w:rsidR="00B02E03" w:rsidRPr="000D0CDE" w:rsidRDefault="00B02E03" w:rsidP="00BD6A9E">
            <w:pPr>
              <w:pStyle w:val="Quote"/>
            </w:pPr>
            <w:r w:rsidRPr="00B02E03">
              <w:t>Partners have all spent more time on the project than expected,</w:t>
            </w:r>
            <w:r>
              <w:t xml:space="preserve"> </w:t>
            </w:r>
            <w:r w:rsidRPr="00B02E03">
              <w:t>but that is not demonstrated in the in-kind reporting</w:t>
            </w:r>
            <w:r w:rsidR="00B25C0E">
              <w:t xml:space="preserve">. </w:t>
            </w:r>
            <w:r w:rsidRPr="00B02E03">
              <w:t>With contract in-kind contributions based on ‘staff time’ most partners are not including actual costs (travel, accommodation, reporting etc) in their contributions</w:t>
            </w:r>
            <w:r w:rsidR="00B25C0E">
              <w:t xml:space="preserve">. </w:t>
            </w:r>
            <w:r w:rsidRPr="00B02E03">
              <w:t>(Partner organisation)</w:t>
            </w:r>
          </w:p>
        </w:tc>
      </w:tr>
      <w:tr w:rsidR="00C74A89" w14:paraId="7CF0702A" w14:textId="77777777" w:rsidTr="008E78C1">
        <w:tc>
          <w:tcPr>
            <w:tcW w:w="1593" w:type="dxa"/>
            <w:tcBorders>
              <w:top w:val="single" w:sz="4" w:space="0" w:color="0092CF"/>
              <w:left w:val="nil"/>
              <w:bottom w:val="single" w:sz="6" w:space="0" w:color="0092CF"/>
              <w:right w:val="single" w:sz="6" w:space="0" w:color="0092CF"/>
            </w:tcBorders>
          </w:tcPr>
          <w:p w14:paraId="41ADB6CB" w14:textId="77777777" w:rsidR="00C74A89" w:rsidRDefault="006236E6" w:rsidP="00443F10">
            <w:pPr>
              <w:pStyle w:val="Tablebullet"/>
            </w:pPr>
            <w:r>
              <w:t>Collaborati</w:t>
            </w:r>
            <w:r w:rsidR="0096173B">
              <w:t>ng with your competitors</w:t>
            </w:r>
          </w:p>
        </w:tc>
        <w:tc>
          <w:tcPr>
            <w:tcW w:w="6237" w:type="dxa"/>
            <w:tcBorders>
              <w:top w:val="single" w:sz="4" w:space="0" w:color="0092CF"/>
              <w:left w:val="single" w:sz="6" w:space="0" w:color="0092CF"/>
              <w:bottom w:val="single" w:sz="6" w:space="0" w:color="0092CF"/>
              <w:right w:val="nil"/>
            </w:tcBorders>
          </w:tcPr>
          <w:p w14:paraId="404A648F" w14:textId="77777777" w:rsidR="00C061A0" w:rsidRDefault="0096173B" w:rsidP="00443F10">
            <w:pPr>
              <w:pStyle w:val="Tablebullet"/>
            </w:pPr>
            <w:r>
              <w:t xml:space="preserve">It was noted that </w:t>
            </w:r>
            <w:r w:rsidR="00C061A0">
              <w:t xml:space="preserve">RDCs are in competition </w:t>
            </w:r>
            <w:r>
              <w:t>for research dollars</w:t>
            </w:r>
            <w:r w:rsidR="00CA08CB">
              <w:t>.</w:t>
            </w:r>
            <w:r w:rsidR="00C061A0">
              <w:t xml:space="preserve"> </w:t>
            </w:r>
          </w:p>
          <w:p w14:paraId="0100A17D" w14:textId="5188B991" w:rsidR="0096173B" w:rsidRPr="002762F2" w:rsidRDefault="0096173B" w:rsidP="00443F10">
            <w:pPr>
              <w:pStyle w:val="Tablebullet"/>
            </w:pPr>
            <w:r w:rsidRPr="002762F2">
              <w:t>We are so often in competition, including protecting our IP (intellectual property)</w:t>
            </w:r>
            <w:r w:rsidR="00B25C0E">
              <w:t xml:space="preserve">. </w:t>
            </w:r>
            <w:r w:rsidRPr="002762F2">
              <w:t>You wonder if they are still holding a few card</w:t>
            </w:r>
            <w:r w:rsidR="00027AD7">
              <w:t>s</w:t>
            </w:r>
            <w:r w:rsidRPr="002762F2">
              <w:t xml:space="preserve"> back. (RDC)</w:t>
            </w:r>
          </w:p>
          <w:p w14:paraId="103FDC3B" w14:textId="17F4F7D4" w:rsidR="0096173B" w:rsidRDefault="0096173B" w:rsidP="00443F10">
            <w:pPr>
              <w:pStyle w:val="Tablebullet"/>
            </w:pPr>
            <w:r>
              <w:t xml:space="preserve">Further, the tension between levy payer priorities and cross-sector </w:t>
            </w:r>
            <w:r w:rsidR="0044212B">
              <w:t>collaboration wa</w:t>
            </w:r>
            <w:r>
              <w:t>s inhibitive for some RDCs in particular</w:t>
            </w:r>
            <w:r w:rsidR="00CA08CB">
              <w:t>.</w:t>
            </w:r>
            <w:r w:rsidR="00746D28">
              <w:t xml:space="preserve"> For example, some industry groups </w:t>
            </w:r>
            <w:r w:rsidR="000B0EE8">
              <w:t xml:space="preserve">were noted as </w:t>
            </w:r>
            <w:r w:rsidR="00746D28">
              <w:t>prioritis</w:t>
            </w:r>
            <w:r w:rsidR="000B0EE8">
              <w:t>ing</w:t>
            </w:r>
            <w:r w:rsidR="00746D28">
              <w:t xml:space="preserve"> industry specific research over cross-sectoral</w:t>
            </w:r>
            <w:r w:rsidR="00B25C0E">
              <w:t xml:space="preserve">. </w:t>
            </w:r>
          </w:p>
        </w:tc>
      </w:tr>
    </w:tbl>
    <w:bookmarkEnd w:id="32"/>
    <w:p w14:paraId="2F0BF175" w14:textId="77777777" w:rsidR="0013039F" w:rsidRPr="002A2A4D" w:rsidRDefault="0013039F" w:rsidP="00D9457D">
      <w:pPr>
        <w:pStyle w:val="Heading4"/>
      </w:pPr>
      <w:r>
        <w:t xml:space="preserve">Case study – </w:t>
      </w:r>
      <w:bookmarkStart w:id="33" w:name="_Hlk499728377"/>
      <w:r>
        <w:t>Smarter irrigation for profit</w:t>
      </w:r>
      <w:bookmarkEnd w:id="33"/>
    </w:p>
    <w:p w14:paraId="783AF0D7" w14:textId="0B294803" w:rsidR="0013039F" w:rsidRDefault="0013039F" w:rsidP="00D9457D">
      <w:pPr>
        <w:spacing w:before="200"/>
        <w:rPr>
          <w:lang w:val="en-US"/>
        </w:rPr>
      </w:pPr>
      <w:r>
        <w:rPr>
          <w:lang w:val="en-US"/>
        </w:rPr>
        <w:t xml:space="preserve">A large Round 1 project (total </w:t>
      </w:r>
      <w:r w:rsidRPr="00CF79BE">
        <w:rPr>
          <w:lang w:val="en-US"/>
        </w:rPr>
        <w:t>of $4,000,000 in Commonwealth funding</w:t>
      </w:r>
      <w:r>
        <w:rPr>
          <w:lang w:val="en-US"/>
        </w:rPr>
        <w:t>, $3,435,000 cash and $2,906,949 in kind) due for completion in September 2018</w:t>
      </w:r>
      <w:r w:rsidR="00B25C0E">
        <w:rPr>
          <w:lang w:val="en-US"/>
        </w:rPr>
        <w:t xml:space="preserve">. </w:t>
      </w:r>
    </w:p>
    <w:p w14:paraId="0836520F" w14:textId="1711CA9D" w:rsidR="0013039F" w:rsidRPr="0085628D" w:rsidRDefault="0013039F" w:rsidP="0013039F">
      <w:r>
        <w:rPr>
          <w:lang w:val="en-US"/>
        </w:rPr>
        <w:t xml:space="preserve">This project is aimed at </w:t>
      </w:r>
      <w:r>
        <w:t>improving</w:t>
      </w:r>
      <w:r w:rsidRPr="0085628D">
        <w:t xml:space="preserve"> water productivity, efficiency and farmer profitability</w:t>
      </w:r>
      <w:r>
        <w:t xml:space="preserve"> for 3,000 cotton, dairy, rice and sugar irrigators</w:t>
      </w:r>
      <w:r w:rsidR="00B25C0E">
        <w:t xml:space="preserve">. </w:t>
      </w:r>
      <w:r>
        <w:t>It aims to assist farmers and irrigation professionals improve farm profits through new irrigation technologies and science application</w:t>
      </w:r>
      <w:r w:rsidR="00B25C0E">
        <w:t xml:space="preserve">. </w:t>
      </w:r>
      <w:r>
        <w:t>It is a grower led research and extension project to collect commercially relevant comparative data on different irrigation systems and technologies</w:t>
      </w:r>
      <w:r w:rsidR="00B25C0E">
        <w:t xml:space="preserve">. </w:t>
      </w:r>
      <w:r>
        <w:t>The intention is to provide growers with improved understanding of implications of capital investment, management and resource requirements (water, energy and labour) associated with different irrigation systems</w:t>
      </w:r>
      <w:r w:rsidR="00B25C0E">
        <w:t xml:space="preserve">. </w:t>
      </w:r>
    </w:p>
    <w:p w14:paraId="26F6B6EF" w14:textId="2CFB208A" w:rsidR="0013039F" w:rsidRPr="002964A5" w:rsidRDefault="0013039F" w:rsidP="0013039F">
      <w:pPr>
        <w:rPr>
          <w:lang w:val="en-US"/>
        </w:rPr>
      </w:pPr>
      <w:r w:rsidRPr="002964A5">
        <w:rPr>
          <w:lang w:val="en-US"/>
        </w:rPr>
        <w:t>This project provides a good example of large scale cross industry collaboration</w:t>
      </w:r>
      <w:r w:rsidR="00CA08CB">
        <w:rPr>
          <w:lang w:val="en-US"/>
        </w:rPr>
        <w:t>,</w:t>
      </w:r>
      <w:r w:rsidR="00CA08CB" w:rsidRPr="002964A5">
        <w:rPr>
          <w:lang w:val="en-US"/>
        </w:rPr>
        <w:t xml:space="preserve"> </w:t>
      </w:r>
      <w:r w:rsidRPr="002964A5">
        <w:rPr>
          <w:lang w:val="en-US"/>
        </w:rPr>
        <w:t>involving multiple RDCs and partner orga</w:t>
      </w:r>
      <w:r>
        <w:rPr>
          <w:lang w:val="en-US"/>
        </w:rPr>
        <w:t>nisations across Australia</w:t>
      </w:r>
      <w:r w:rsidR="00B25C0E">
        <w:rPr>
          <w:lang w:val="en-US"/>
        </w:rPr>
        <w:t xml:space="preserve">. </w:t>
      </w:r>
      <w:r>
        <w:rPr>
          <w:lang w:val="en-US"/>
        </w:rPr>
        <w:t>Le</w:t>
      </w:r>
      <w:r w:rsidRPr="002964A5">
        <w:rPr>
          <w:lang w:val="en-US"/>
        </w:rPr>
        <w:t xml:space="preserve">d </w:t>
      </w:r>
      <w:r>
        <w:rPr>
          <w:lang w:val="en-US"/>
        </w:rPr>
        <w:t xml:space="preserve">by </w:t>
      </w:r>
      <w:r w:rsidRPr="002964A5">
        <w:rPr>
          <w:lang w:val="en-US"/>
        </w:rPr>
        <w:t>CRDC</w:t>
      </w:r>
      <w:r>
        <w:rPr>
          <w:lang w:val="en-US"/>
        </w:rPr>
        <w:t xml:space="preserve">, other partner RDCs included </w:t>
      </w:r>
      <w:r w:rsidR="003C2526">
        <w:rPr>
          <w:lang w:val="en-US"/>
        </w:rPr>
        <w:t xml:space="preserve">AgriFutures, DAL and </w:t>
      </w:r>
      <w:r w:rsidRPr="002964A5">
        <w:rPr>
          <w:lang w:val="en-US"/>
        </w:rPr>
        <w:t>SRA</w:t>
      </w:r>
      <w:r w:rsidR="00B25C0E">
        <w:rPr>
          <w:lang w:val="en-US"/>
        </w:rPr>
        <w:t xml:space="preserve">. </w:t>
      </w:r>
    </w:p>
    <w:p w14:paraId="61D4AC1D" w14:textId="77777777" w:rsidR="0013039F" w:rsidRPr="002964A5" w:rsidRDefault="0013039F" w:rsidP="0013039F">
      <w:pPr>
        <w:rPr>
          <w:lang w:val="en-US"/>
        </w:rPr>
      </w:pPr>
      <w:r>
        <w:rPr>
          <w:lang w:val="en-US"/>
        </w:rPr>
        <w:t xml:space="preserve">There </w:t>
      </w:r>
      <w:r w:rsidR="008D1FF5">
        <w:rPr>
          <w:lang w:val="en-US"/>
        </w:rPr>
        <w:t>are also</w:t>
      </w:r>
      <w:r>
        <w:rPr>
          <w:lang w:val="en-US"/>
        </w:rPr>
        <w:t xml:space="preserve"> many p</w:t>
      </w:r>
      <w:r w:rsidRPr="002964A5">
        <w:rPr>
          <w:lang w:val="en-US"/>
        </w:rPr>
        <w:t>artner organisations</w:t>
      </w:r>
      <w:r>
        <w:rPr>
          <w:lang w:val="en-US"/>
        </w:rPr>
        <w:t xml:space="preserve"> </w:t>
      </w:r>
      <w:r w:rsidR="008D1FF5">
        <w:rPr>
          <w:lang w:val="en-US"/>
        </w:rPr>
        <w:t xml:space="preserve">involved </w:t>
      </w:r>
      <w:r>
        <w:rPr>
          <w:lang w:val="en-US"/>
        </w:rPr>
        <w:t>from across university, state government and private sectors, including primary producers</w:t>
      </w:r>
      <w:r w:rsidR="00CA08CB">
        <w:rPr>
          <w:lang w:val="en-US"/>
        </w:rPr>
        <w:t>,</w:t>
      </w:r>
      <w:r w:rsidR="00CA08CB" w:rsidRPr="002964A5">
        <w:rPr>
          <w:lang w:val="en-US"/>
        </w:rPr>
        <w:t xml:space="preserve"> </w:t>
      </w:r>
      <w:r w:rsidRPr="002964A5">
        <w:rPr>
          <w:lang w:val="en-US"/>
        </w:rPr>
        <w:t>University of Southern Queensland, Tasmanian Institute of Agriculture, CSIRO, NSW Government Department of Primary Industries, DairyTas Board, South Australian Research and Development Institute, Dairy SA, Victorian Government Department of Economic Development, Jobs, Transport and Resources, Gwydir Valley Irrigators Associa</w:t>
      </w:r>
      <w:r w:rsidR="0078012F">
        <w:rPr>
          <w:lang w:val="en-US"/>
        </w:rPr>
        <w:t xml:space="preserve">tion, Sundown Pastoral Company and </w:t>
      </w:r>
      <w:r w:rsidRPr="002964A5">
        <w:rPr>
          <w:lang w:val="en-US"/>
        </w:rPr>
        <w:t>Auscott</w:t>
      </w:r>
      <w:r>
        <w:rPr>
          <w:lang w:val="en-US"/>
        </w:rPr>
        <w:t>.</w:t>
      </w:r>
    </w:p>
    <w:p w14:paraId="36DBC4B4" w14:textId="0493056C" w:rsidR="0013039F" w:rsidRDefault="0013039F" w:rsidP="0013039F">
      <w:pPr>
        <w:rPr>
          <w:lang w:val="en-US"/>
        </w:rPr>
      </w:pPr>
      <w:r>
        <w:rPr>
          <w:lang w:val="en-US"/>
        </w:rPr>
        <w:t xml:space="preserve">It </w:t>
      </w:r>
      <w:r w:rsidR="008D1FF5">
        <w:rPr>
          <w:lang w:val="en-US"/>
        </w:rPr>
        <w:t>i</w:t>
      </w:r>
      <w:r>
        <w:rPr>
          <w:lang w:val="en-US"/>
        </w:rPr>
        <w:t>s also large and complex in the of number trial sites and their broad distribution across regional Australia</w:t>
      </w:r>
      <w:r w:rsidR="00B25C0E">
        <w:rPr>
          <w:lang w:val="en-US"/>
        </w:rPr>
        <w:t xml:space="preserve">. </w:t>
      </w:r>
      <w:bookmarkStart w:id="34" w:name="_Hlk499728366"/>
      <w:r>
        <w:rPr>
          <w:lang w:val="en-US"/>
        </w:rPr>
        <w:t xml:space="preserve">There </w:t>
      </w:r>
      <w:r w:rsidR="008D1FF5">
        <w:rPr>
          <w:lang w:val="en-US"/>
        </w:rPr>
        <w:t>are</w:t>
      </w:r>
      <w:r>
        <w:rPr>
          <w:lang w:val="en-US"/>
        </w:rPr>
        <w:t xml:space="preserve"> 19 sites in total in </w:t>
      </w:r>
      <w:r>
        <w:t>Ayr, Emerald, Warwick, Dalby, Toowoomba, St George, Moree, Narrabri, Wee Waa, Tamworth, Whitton, Jerilderie, Numurkah, Shepparton, Macalister, Goulburn, Murray Irrigation District, Rocky Creek, Sisters Creek, South Riana, Montana, Cressy, Allendal</w:t>
      </w:r>
      <w:r w:rsidR="0078012F">
        <w:t xml:space="preserve">e, Eight Mile Creek, Mt Schank, and </w:t>
      </w:r>
      <w:r>
        <w:t>Harvey.</w:t>
      </w:r>
    </w:p>
    <w:bookmarkEnd w:id="34"/>
    <w:p w14:paraId="28160402" w14:textId="253AABB0" w:rsidR="0013039F" w:rsidRDefault="0013039F" w:rsidP="0013039F">
      <w:pPr>
        <w:rPr>
          <w:lang w:val="en-US" w:eastAsia="en-US"/>
        </w:rPr>
      </w:pPr>
      <w:r>
        <w:rPr>
          <w:lang w:val="en-US" w:eastAsia="en-US"/>
        </w:rPr>
        <w:t>From an RDC perspective, t</w:t>
      </w:r>
      <w:r w:rsidRPr="00D210C4">
        <w:rPr>
          <w:lang w:val="en-US" w:eastAsia="en-US"/>
        </w:rPr>
        <w:t>his projec</w:t>
      </w:r>
      <w:r>
        <w:rPr>
          <w:lang w:val="en-US"/>
        </w:rPr>
        <w:t>t provide</w:t>
      </w:r>
      <w:r w:rsidR="008D1FF5">
        <w:rPr>
          <w:lang w:val="en-US"/>
        </w:rPr>
        <w:t>s</w:t>
      </w:r>
      <w:r>
        <w:rPr>
          <w:lang w:val="en-US"/>
        </w:rPr>
        <w:t xml:space="preserve"> a focal point for</w:t>
      </w:r>
      <w:r w:rsidRPr="00D210C4">
        <w:rPr>
          <w:lang w:val="en-US" w:eastAsia="en-US"/>
        </w:rPr>
        <w:t xml:space="preserve"> greater collaboration across RDCs and </w:t>
      </w:r>
      <w:r>
        <w:rPr>
          <w:lang w:val="en-US" w:eastAsia="en-US"/>
        </w:rPr>
        <w:t xml:space="preserve">the </w:t>
      </w:r>
      <w:r w:rsidRPr="00D210C4">
        <w:rPr>
          <w:lang w:val="en-US" w:eastAsia="en-US"/>
        </w:rPr>
        <w:t xml:space="preserve">government sector, and </w:t>
      </w:r>
      <w:r w:rsidR="00337AE9">
        <w:rPr>
          <w:lang w:val="en-US" w:eastAsia="en-US"/>
        </w:rPr>
        <w:t xml:space="preserve">this was </w:t>
      </w:r>
      <w:r>
        <w:rPr>
          <w:lang w:val="en-US"/>
        </w:rPr>
        <w:t xml:space="preserve">identified </w:t>
      </w:r>
      <w:r>
        <w:rPr>
          <w:lang w:val="en-US" w:eastAsia="en-US"/>
        </w:rPr>
        <w:t xml:space="preserve">as </w:t>
      </w:r>
      <w:r w:rsidRPr="00D210C4">
        <w:rPr>
          <w:lang w:val="en-US" w:eastAsia="en-US"/>
        </w:rPr>
        <w:t xml:space="preserve">an area </w:t>
      </w:r>
      <w:r>
        <w:rPr>
          <w:lang w:val="en-US"/>
        </w:rPr>
        <w:t>f</w:t>
      </w:r>
      <w:r w:rsidRPr="00D210C4">
        <w:rPr>
          <w:lang w:val="en-US" w:eastAsia="en-US"/>
        </w:rPr>
        <w:t>or increased collaboration and extension in the future</w:t>
      </w:r>
      <w:r w:rsidR="00B25C0E">
        <w:rPr>
          <w:lang w:val="en-US" w:eastAsia="en-US"/>
        </w:rPr>
        <w:t xml:space="preserve">. </w:t>
      </w:r>
      <w:r>
        <w:rPr>
          <w:lang w:val="en-US" w:eastAsia="en-US"/>
        </w:rPr>
        <w:t xml:space="preserve">It was clear from interviews that project participants value the trust built up across the group, and </w:t>
      </w:r>
      <w:r w:rsidR="00D74051">
        <w:rPr>
          <w:lang w:val="en-US" w:eastAsia="en-US"/>
        </w:rPr>
        <w:t xml:space="preserve">they </w:t>
      </w:r>
      <w:r>
        <w:rPr>
          <w:lang w:val="en-US" w:eastAsia="en-US"/>
        </w:rPr>
        <w:t>felt interests had been balanced and equal participation encouraged</w:t>
      </w:r>
      <w:r w:rsidR="00B25C0E">
        <w:rPr>
          <w:lang w:val="en-US" w:eastAsia="en-US"/>
        </w:rPr>
        <w:t xml:space="preserve">. </w:t>
      </w:r>
      <w:r>
        <w:rPr>
          <w:lang w:val="en-US" w:eastAsia="en-US"/>
        </w:rPr>
        <w:t>As commented by one project participant:</w:t>
      </w:r>
    </w:p>
    <w:p w14:paraId="6FA499AA" w14:textId="66D44E24" w:rsidR="0013039F" w:rsidRPr="007B5D60" w:rsidRDefault="0013039F" w:rsidP="0067112F">
      <w:pPr>
        <w:pStyle w:val="Quote"/>
        <w:rPr>
          <w:lang w:val="en-US" w:eastAsia="en-US"/>
        </w:rPr>
      </w:pPr>
      <w:r w:rsidRPr="007B5D60">
        <w:rPr>
          <w:lang w:val="en-US" w:eastAsia="en-US"/>
        </w:rPr>
        <w:t>It</w:t>
      </w:r>
      <w:r>
        <w:rPr>
          <w:lang w:val="en-US" w:eastAsia="en-US"/>
        </w:rPr>
        <w:t>’</w:t>
      </w:r>
      <w:r w:rsidRPr="007B5D60">
        <w:rPr>
          <w:lang w:val="en-US" w:eastAsia="en-US"/>
        </w:rPr>
        <w:t>s been a good honest forum</w:t>
      </w:r>
      <w:r w:rsidR="00B25C0E">
        <w:rPr>
          <w:lang w:val="en-US" w:eastAsia="en-US"/>
        </w:rPr>
        <w:t xml:space="preserve">. </w:t>
      </w:r>
      <w:r>
        <w:rPr>
          <w:lang w:val="en-US" w:eastAsia="en-US"/>
        </w:rPr>
        <w:t xml:space="preserve">Not like some, where </w:t>
      </w:r>
      <w:r w:rsidRPr="007B5D60">
        <w:rPr>
          <w:lang w:val="en-US" w:eastAsia="en-US"/>
        </w:rPr>
        <w:t xml:space="preserve">you get into them, and you know the bloke across the table is holding a few cards back. </w:t>
      </w:r>
    </w:p>
    <w:p w14:paraId="18A7FFE7" w14:textId="5622E0D0" w:rsidR="00C92B6F" w:rsidRDefault="0013039F" w:rsidP="00746D28">
      <w:pPr>
        <w:rPr>
          <w:lang w:val="en-US"/>
        </w:rPr>
      </w:pPr>
      <w:r>
        <w:rPr>
          <w:lang w:val="en-US"/>
        </w:rPr>
        <w:t>This project also provides an example of farmer led collaboration</w:t>
      </w:r>
      <w:r w:rsidR="00DA1196">
        <w:rPr>
          <w:lang w:val="en-US"/>
        </w:rPr>
        <w:t xml:space="preserve">, </w:t>
      </w:r>
      <w:r>
        <w:rPr>
          <w:lang w:val="en-US"/>
        </w:rPr>
        <w:t>as farmers are collecting the commercially comparative data on different irrigation systems and technologies as they trial the different automated irrigation scheduling systems on farms</w:t>
      </w:r>
      <w:r w:rsidR="00B25C0E">
        <w:rPr>
          <w:lang w:val="en-US"/>
        </w:rPr>
        <w:t xml:space="preserve">. </w:t>
      </w:r>
      <w:r>
        <w:rPr>
          <w:lang w:val="en-US"/>
        </w:rPr>
        <w:t>Two satellite based scheduling irrigation performance pilots are also being implemented on commercial dairy farms in Northern Victoria. Interviews with RDC representatives commented on how the collaboration has successfully involved farmers as part of the research</w:t>
      </w:r>
      <w:r w:rsidR="00746D28">
        <w:rPr>
          <w:lang w:val="en-US"/>
        </w:rPr>
        <w:t>.</w:t>
      </w:r>
    </w:p>
    <w:p w14:paraId="0010FF30" w14:textId="0509E18A" w:rsidR="0013039F" w:rsidRDefault="0013039F" w:rsidP="0013039F">
      <w:pPr>
        <w:rPr>
          <w:lang w:val="en-US"/>
        </w:rPr>
      </w:pPr>
      <w:r>
        <w:rPr>
          <w:lang w:val="en-US"/>
        </w:rPr>
        <w:t>Farmers involved in the project commented on the impact of the project to their farm practices</w:t>
      </w:r>
      <w:r w:rsidR="00B25C0E">
        <w:rPr>
          <w:lang w:val="en-US"/>
        </w:rPr>
        <w:t xml:space="preserve">. </w:t>
      </w:r>
      <w:r>
        <w:rPr>
          <w:lang w:val="en-US"/>
        </w:rPr>
        <w:t>For example:</w:t>
      </w:r>
    </w:p>
    <w:p w14:paraId="271A85BE" w14:textId="5D827DD4" w:rsidR="0013039F" w:rsidRPr="00FC110B" w:rsidRDefault="0013039F" w:rsidP="0067112F">
      <w:pPr>
        <w:pStyle w:val="Quote"/>
        <w:rPr>
          <w:lang w:val="en-US"/>
        </w:rPr>
      </w:pPr>
      <w:r w:rsidRPr="00FC110B">
        <w:rPr>
          <w:lang w:val="en-US"/>
        </w:rPr>
        <w:t>I’ve now fully automated the farm</w:t>
      </w:r>
      <w:r w:rsidR="00B25C0E">
        <w:rPr>
          <w:lang w:val="en-US"/>
        </w:rPr>
        <w:t xml:space="preserve">. </w:t>
      </w:r>
      <w:r w:rsidRPr="00FC110B">
        <w:rPr>
          <w:lang w:val="en-US"/>
        </w:rPr>
        <w:t>It’s made a massive difference</w:t>
      </w:r>
      <w:r w:rsidR="00B25C0E">
        <w:rPr>
          <w:lang w:val="en-US"/>
        </w:rPr>
        <w:t xml:space="preserve">. </w:t>
      </w:r>
      <w:r w:rsidRPr="00FC110B">
        <w:rPr>
          <w:lang w:val="en-US"/>
        </w:rPr>
        <w:t>We have proper records of water usage and we can manage our irrigation much better</w:t>
      </w:r>
      <w:r w:rsidR="00B25C0E">
        <w:rPr>
          <w:lang w:val="en-US"/>
        </w:rPr>
        <w:t xml:space="preserve">. </w:t>
      </w:r>
    </w:p>
    <w:p w14:paraId="3F89916F" w14:textId="19E395E7" w:rsidR="0013039F" w:rsidRPr="00FC110B" w:rsidRDefault="0013039F" w:rsidP="0067112F">
      <w:pPr>
        <w:pStyle w:val="Quote"/>
      </w:pPr>
      <w:r w:rsidRPr="00FC110B">
        <w:rPr>
          <w:lang w:val="en-US"/>
        </w:rPr>
        <w:t>It’s also meant I’ve saved money on hiring people</w:t>
      </w:r>
      <w:r w:rsidR="00B25C0E">
        <w:rPr>
          <w:lang w:val="en-US"/>
        </w:rPr>
        <w:t xml:space="preserve">. </w:t>
      </w:r>
      <w:r w:rsidRPr="00FC110B">
        <w:rPr>
          <w:lang w:val="en-US"/>
        </w:rPr>
        <w:t xml:space="preserve">I was lying in my </w:t>
      </w:r>
      <w:r w:rsidRPr="00FC110B">
        <w:t>hotel room in San Francisco and was still able to turn my pumps on</w:t>
      </w:r>
      <w:r w:rsidR="00B25C0E">
        <w:t xml:space="preserve">. </w:t>
      </w:r>
    </w:p>
    <w:p w14:paraId="1B9D1469" w14:textId="07C0BED0" w:rsidR="0013039F" w:rsidRDefault="0013039F" w:rsidP="0013039F">
      <w:pPr>
        <w:rPr>
          <w:lang w:val="en-US"/>
        </w:rPr>
      </w:pPr>
      <w:r>
        <w:rPr>
          <w:lang w:val="en-US"/>
        </w:rPr>
        <w:t>The project also evidence</w:t>
      </w:r>
      <w:r w:rsidR="006255DB">
        <w:rPr>
          <w:lang w:val="en-US"/>
        </w:rPr>
        <w:t>s</w:t>
      </w:r>
      <w:r>
        <w:rPr>
          <w:lang w:val="en-US"/>
        </w:rPr>
        <w:t xml:space="preserve"> how new collaborations between farmers in the sugar, cotton, rice and dairy industries have been formed, via a number of activities such as bus tours of young farmers to other farms and presentation by groups at major workshops</w:t>
      </w:r>
      <w:r w:rsidR="00B25C0E">
        <w:rPr>
          <w:lang w:val="en-US"/>
        </w:rPr>
        <w:t xml:space="preserve">. </w:t>
      </w:r>
      <w:r>
        <w:rPr>
          <w:lang w:val="en-US"/>
        </w:rPr>
        <w:t>As commented by one farmer involved:</w:t>
      </w:r>
    </w:p>
    <w:p w14:paraId="7424C5C0" w14:textId="1A57CDAF" w:rsidR="0013039F" w:rsidRPr="003D1277" w:rsidRDefault="0013039F" w:rsidP="00565949">
      <w:pPr>
        <w:pStyle w:val="Quote"/>
        <w:rPr>
          <w:lang w:val="en-US"/>
        </w:rPr>
      </w:pPr>
      <w:r w:rsidRPr="003D1277">
        <w:rPr>
          <w:lang w:val="en-US"/>
        </w:rPr>
        <w:t>… talking to others, you could see that we faced the exact same issues across industries</w:t>
      </w:r>
      <w:r w:rsidR="00B25C0E">
        <w:rPr>
          <w:lang w:val="en-US"/>
        </w:rPr>
        <w:t xml:space="preserve">. </w:t>
      </w:r>
      <w:r w:rsidRPr="003D1277">
        <w:rPr>
          <w:lang w:val="en-US"/>
        </w:rPr>
        <w:t>It’s good to find out what other people are doing to make me think about how I could apply it differently on my property</w:t>
      </w:r>
      <w:r w:rsidR="00B25C0E">
        <w:rPr>
          <w:lang w:val="en-US"/>
        </w:rPr>
        <w:t xml:space="preserve">. </w:t>
      </w:r>
    </w:p>
    <w:p w14:paraId="41C34D23" w14:textId="77777777" w:rsidR="00E5408D" w:rsidRDefault="00E5408D" w:rsidP="00D9457D">
      <w:pPr>
        <w:pStyle w:val="Heading3"/>
      </w:pPr>
      <w:bookmarkStart w:id="35" w:name="_Toc500934701"/>
      <w:r>
        <w:t>Generating knowledge, technologies, products or processes</w:t>
      </w:r>
      <w:r w:rsidR="00C07A26">
        <w:t xml:space="preserve"> that benefit primary producers</w:t>
      </w:r>
      <w:bookmarkEnd w:id="35"/>
    </w:p>
    <w:p w14:paraId="7C731140" w14:textId="77777777" w:rsidR="00DA4CB6" w:rsidRDefault="00DA4CB6" w:rsidP="00D9457D">
      <w:pPr>
        <w:pStyle w:val="Heading4"/>
      </w:pPr>
      <w:r>
        <w:t>Guidelines and priorities</w:t>
      </w:r>
    </w:p>
    <w:p w14:paraId="6569C6C6" w14:textId="34398BEE" w:rsidR="00DA4CB6" w:rsidRDefault="00865B51" w:rsidP="00D9457D">
      <w:pPr>
        <w:spacing w:before="200"/>
      </w:pPr>
      <w:r>
        <w:t xml:space="preserve">A key objective of the program is to realise productivity and profitability improvements for primary producers through generating </w:t>
      </w:r>
      <w:r w:rsidR="0084104F">
        <w:t xml:space="preserve">new </w:t>
      </w:r>
      <w:r>
        <w:t>knowledge, technologies, products or processes</w:t>
      </w:r>
      <w:r w:rsidR="00B25C0E">
        <w:t xml:space="preserve">. </w:t>
      </w:r>
      <w:r w:rsidR="001805E3">
        <w:t>(</w:t>
      </w:r>
      <w:r w:rsidR="00DA4CB6">
        <w:t>This was identified in the program logic as a key output: ‘new innovative knowledge, technologies, products or process are produced to enhance profitability and productivity of primary producers’.</w:t>
      </w:r>
      <w:r w:rsidR="001805E3">
        <w:t>)</w:t>
      </w:r>
      <w:r w:rsidR="00DA4CB6">
        <w:t xml:space="preserve">  </w:t>
      </w:r>
    </w:p>
    <w:p w14:paraId="25FB83F5" w14:textId="77777777" w:rsidR="003B11B8" w:rsidRDefault="003B11B8" w:rsidP="00984EE3">
      <w:r>
        <w:t>Projects must address one or more of the program’s priorities:</w:t>
      </w:r>
    </w:p>
    <w:p w14:paraId="3D02024E" w14:textId="77777777" w:rsidR="009718EE" w:rsidRPr="004F6FB3" w:rsidRDefault="009718EE" w:rsidP="00565949">
      <w:pPr>
        <w:pStyle w:val="ListBullet"/>
      </w:pPr>
      <w:r w:rsidRPr="004F6FB3">
        <w:t>advanced technology</w:t>
      </w:r>
    </w:p>
    <w:p w14:paraId="111F3BF0" w14:textId="77777777" w:rsidR="009718EE" w:rsidRPr="004F6FB3" w:rsidRDefault="009718EE" w:rsidP="00565949">
      <w:pPr>
        <w:pStyle w:val="ListBullet"/>
      </w:pPr>
      <w:r w:rsidRPr="004F6FB3">
        <w:t>biosecurity</w:t>
      </w:r>
    </w:p>
    <w:p w14:paraId="764B123E" w14:textId="77777777" w:rsidR="009718EE" w:rsidRPr="004F6FB3" w:rsidRDefault="009718EE" w:rsidP="00565949">
      <w:pPr>
        <w:pStyle w:val="ListBullet"/>
      </w:pPr>
      <w:r w:rsidRPr="004F6FB3">
        <w:t>soil, water and managing natural resources</w:t>
      </w:r>
    </w:p>
    <w:p w14:paraId="3907CD3C" w14:textId="77777777" w:rsidR="009718EE" w:rsidRPr="004F6FB3" w:rsidRDefault="009718EE" w:rsidP="00565949">
      <w:pPr>
        <w:pStyle w:val="ListBullet"/>
      </w:pPr>
      <w:r w:rsidRPr="004F6FB3">
        <w:t>adoption of R&amp;D.</w:t>
      </w:r>
    </w:p>
    <w:p w14:paraId="7B59423F" w14:textId="77777777" w:rsidR="00606E93" w:rsidRDefault="00DA4CB6" w:rsidP="00984EE3">
      <w:r>
        <w:t xml:space="preserve">To </w:t>
      </w:r>
      <w:r w:rsidR="009D4991">
        <w:t xml:space="preserve">assess </w:t>
      </w:r>
      <w:r>
        <w:t>the extent to which this output has been (</w:t>
      </w:r>
      <w:r w:rsidR="00C046D5">
        <w:t xml:space="preserve">or </w:t>
      </w:r>
      <w:r w:rsidR="0084104F">
        <w:t xml:space="preserve">is </w:t>
      </w:r>
      <w:r w:rsidR="00C046D5">
        <w:t>on track to be)</w:t>
      </w:r>
      <w:r>
        <w:t xml:space="preserve"> achieved, the following was investigated</w:t>
      </w:r>
      <w:r w:rsidR="00606E93">
        <w:t>:</w:t>
      </w:r>
    </w:p>
    <w:p w14:paraId="2A4F67B8" w14:textId="77777777" w:rsidR="00606E93" w:rsidRDefault="004B2BEF" w:rsidP="00565949">
      <w:pPr>
        <w:pStyle w:val="ListBullet"/>
      </w:pPr>
      <w:r>
        <w:t xml:space="preserve">numbers of </w:t>
      </w:r>
      <w:r w:rsidR="00606E93">
        <w:t>new innovative technologies, products or processes being produced</w:t>
      </w:r>
      <w:r>
        <w:t xml:space="preserve"> and distribution of these across program priorities</w:t>
      </w:r>
    </w:p>
    <w:p w14:paraId="434AC8FF" w14:textId="77777777" w:rsidR="00606E93" w:rsidRDefault="004B2BEF" w:rsidP="00565949">
      <w:pPr>
        <w:pStyle w:val="ListBullet"/>
      </w:pPr>
      <w:r>
        <w:t xml:space="preserve">evidence of </w:t>
      </w:r>
      <w:r w:rsidR="008B14D1">
        <w:t>R&amp;D</w:t>
      </w:r>
      <w:r>
        <w:t xml:space="preserve"> outputs, for example </w:t>
      </w:r>
      <w:r w:rsidR="00606E93">
        <w:t>published research reports and articles</w:t>
      </w:r>
      <w:r>
        <w:t xml:space="preserve"> and trial activities</w:t>
      </w:r>
      <w:r w:rsidR="0084104F">
        <w:t xml:space="preserve"> with new knowledge</w:t>
      </w:r>
      <w:r w:rsidR="00CB4990">
        <w:t>.</w:t>
      </w:r>
    </w:p>
    <w:p w14:paraId="270DBF99" w14:textId="77777777" w:rsidR="00611533" w:rsidRDefault="001F6685" w:rsidP="00D9457D">
      <w:pPr>
        <w:pStyle w:val="Heading4"/>
      </w:pPr>
      <w:r>
        <w:t xml:space="preserve">Number of </w:t>
      </w:r>
      <w:r w:rsidR="00504D7B">
        <w:t xml:space="preserve">projects and </w:t>
      </w:r>
      <w:r w:rsidR="00363C5D">
        <w:t>representation of priority areas</w:t>
      </w:r>
    </w:p>
    <w:p w14:paraId="557C05B5" w14:textId="5EEA0BFE" w:rsidR="00C07A26" w:rsidRDefault="00CB4990" w:rsidP="00D9457D">
      <w:pPr>
        <w:spacing w:before="200"/>
      </w:pPr>
      <w:r>
        <w:t xml:space="preserve">As indicated previously, </w:t>
      </w:r>
      <w:r w:rsidR="00C07A26">
        <w:t>36 rural R&amp;D projects have been funded</w:t>
      </w:r>
      <w:r w:rsidR="00D96B4D">
        <w:t>,</w:t>
      </w:r>
      <w:r w:rsidR="00C07A26">
        <w:t xml:space="preserve"> including one completed project</w:t>
      </w:r>
      <w:r w:rsidR="00B25C0E">
        <w:t xml:space="preserve">. </w:t>
      </w:r>
    </w:p>
    <w:p w14:paraId="11F3C247" w14:textId="3C54C26A" w:rsidR="00611533" w:rsidRDefault="00C07A26" w:rsidP="00A63E9D">
      <w:r>
        <w:t>All pro</w:t>
      </w:r>
      <w:r w:rsidR="00504D7B">
        <w:t xml:space="preserve">gram priorities </w:t>
      </w:r>
      <w:r w:rsidR="00CB4990">
        <w:t xml:space="preserve">were well </w:t>
      </w:r>
      <w:r w:rsidR="00504D7B">
        <w:t xml:space="preserve">represented, showing a </w:t>
      </w:r>
      <w:r w:rsidR="00F8581B">
        <w:t xml:space="preserve">relative distribution </w:t>
      </w:r>
      <w:r w:rsidR="00A86CB6">
        <w:t>in both number</w:t>
      </w:r>
      <w:r w:rsidR="00F87C6D">
        <w:t>s</w:t>
      </w:r>
      <w:r w:rsidR="00A86CB6">
        <w:t xml:space="preserve"> of projects and</w:t>
      </w:r>
      <w:r>
        <w:t xml:space="preserve"> C</w:t>
      </w:r>
      <w:r w:rsidR="00D96B4D">
        <w:t>ommonwealth funding allocated (a</w:t>
      </w:r>
      <w:r w:rsidR="00A86CB6">
        <w:t>lbeit, a slightly lower alloca</w:t>
      </w:r>
      <w:r w:rsidR="007E6052">
        <w:t>tion to biosecurity projects)</w:t>
      </w:r>
      <w:r w:rsidR="00B25C0E">
        <w:t xml:space="preserve">. </w:t>
      </w:r>
      <w:r w:rsidR="00F87C6D">
        <w:t>This is i</w:t>
      </w:r>
      <w:r w:rsidR="003E7BB4">
        <w:t>llustrated in Figure 9</w:t>
      </w:r>
      <w:r w:rsidR="00B25C0E">
        <w:t xml:space="preserve">. </w:t>
      </w:r>
      <w:r w:rsidR="000814CE">
        <w:t>Note, p</w:t>
      </w:r>
      <w:r w:rsidR="009059BB">
        <w:t xml:space="preserve">riorities were identified by the </w:t>
      </w:r>
      <w:r w:rsidR="0013076B">
        <w:t xml:space="preserve">departmental </w:t>
      </w:r>
      <w:r w:rsidR="009059BB">
        <w:t>program tea</w:t>
      </w:r>
      <w:r w:rsidR="006062C1">
        <w:t>m</w:t>
      </w:r>
      <w:r w:rsidR="009059BB">
        <w:t xml:space="preserve">, and do not necessarily </w:t>
      </w:r>
      <w:r w:rsidR="006062C1">
        <w:t>align</w:t>
      </w:r>
      <w:r w:rsidR="009059BB">
        <w:t xml:space="preserve"> with the project </w:t>
      </w:r>
      <w:r w:rsidR="006062C1">
        <w:t>applications</w:t>
      </w:r>
      <w:r w:rsidR="009059BB">
        <w:t xml:space="preserve">, as the applications </w:t>
      </w:r>
      <w:r w:rsidR="006062C1">
        <w:t>sometimes</w:t>
      </w:r>
      <w:r w:rsidR="009059BB">
        <w:t xml:space="preserve"> identified priorities which </w:t>
      </w:r>
      <w:r w:rsidR="006062C1">
        <w:t>we</w:t>
      </w:r>
      <w:r w:rsidR="009059BB">
        <w:t>re beyond the main scope of work</w:t>
      </w:r>
      <w:r w:rsidR="00B25C0E">
        <w:t xml:space="preserve">. </w:t>
      </w:r>
      <w:r w:rsidR="00FD4B50">
        <w:t>Also, a</w:t>
      </w:r>
      <w:r w:rsidR="000A31A5">
        <w:t xml:space="preserve"> number of projects responded to multiple priorities</w:t>
      </w:r>
      <w:r w:rsidR="00B25C0E">
        <w:t xml:space="preserve">. </w:t>
      </w:r>
      <w:r w:rsidR="006C1B06">
        <w:t>Where projects addressed more than one priority, the grant funding has been averaged across nominated priorities</w:t>
      </w:r>
      <w:r w:rsidR="00B25C0E">
        <w:t xml:space="preserve">. </w:t>
      </w:r>
      <w:r w:rsidR="006C1B06">
        <w:t xml:space="preserve">For example, where </w:t>
      </w:r>
      <w:r w:rsidR="006062C1">
        <w:t>a project addressed four priorities</w:t>
      </w:r>
      <w:r w:rsidR="006C1B06">
        <w:t xml:space="preserve">, 25% of the grant funding </w:t>
      </w:r>
      <w:r w:rsidR="006062C1">
        <w:t>for</w:t>
      </w:r>
      <w:r w:rsidR="006C1B06">
        <w:t xml:space="preserve"> </w:t>
      </w:r>
      <w:r w:rsidR="006062C1">
        <w:t>that project was</w:t>
      </w:r>
      <w:r w:rsidR="006C1B06">
        <w:t xml:space="preserve"> </w:t>
      </w:r>
      <w:r w:rsidR="006062C1">
        <w:t>allocated</w:t>
      </w:r>
      <w:r w:rsidR="006C1B06">
        <w:t xml:space="preserve"> to each priority</w:t>
      </w:r>
      <w:r w:rsidR="00B25C0E">
        <w:t xml:space="preserve">. </w:t>
      </w:r>
    </w:p>
    <w:p w14:paraId="4F70E93F" w14:textId="77777777" w:rsidR="00C320B9" w:rsidRPr="00C320B9" w:rsidRDefault="003E7BB4" w:rsidP="005A1C4A">
      <w:pPr>
        <w:pStyle w:val="Caption"/>
      </w:pPr>
      <w:r>
        <w:t>Figure 9</w:t>
      </w:r>
      <w:r w:rsidR="007E6052">
        <w:t xml:space="preserve"> Distribution of number of projects and Commonwealth funding allocated across priority areas</w:t>
      </w:r>
      <w:r w:rsidR="005F147F" w:rsidRPr="005F147F">
        <w:rPr>
          <w:noProof/>
        </w:rPr>
        <w:drawing>
          <wp:inline distT="0" distB="0" distL="0" distR="0" wp14:anchorId="0643EB5D" wp14:editId="76A8FC90">
            <wp:extent cx="5400040" cy="4249172"/>
            <wp:effectExtent l="0" t="0" r="0" b="0"/>
            <wp:docPr id="11" name="Picture 11" descr="This graph shows the number of projects and amount of Commonwealth funding allocated to different priority areas.&#10;Priority area of advanced technology had 21 projects, and received $61,049,275. &#10;Priority area of biosecurity had 9 projects and received  $27,905,375.&#10;Priority area of soil, water and managing&#10;nautral resources had 14 projects and recieved  $45,438,831.&#10;Priority area of adoption of R&amp;D had 20 projects and received  $63,528,531." title="Figure 9 Distribution of number of projects and Commonwealth funding allocated to priority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40" cy="4249172"/>
                    </a:xfrm>
                    <a:prstGeom prst="rect">
                      <a:avLst/>
                    </a:prstGeom>
                    <a:noFill/>
                    <a:ln>
                      <a:noFill/>
                    </a:ln>
                  </pic:spPr>
                </pic:pic>
              </a:graphicData>
            </a:graphic>
          </wp:inline>
        </w:drawing>
      </w:r>
    </w:p>
    <w:p w14:paraId="39B0EC5B" w14:textId="77777777" w:rsidR="00E66AEC" w:rsidRDefault="00FD5BF9" w:rsidP="00D9457D">
      <w:pPr>
        <w:pStyle w:val="Heading4"/>
      </w:pPr>
      <w:r>
        <w:t>Publications and reports</w:t>
      </w:r>
    </w:p>
    <w:p w14:paraId="53682A10" w14:textId="7357DDD3" w:rsidR="00145AA0" w:rsidRPr="004E7810" w:rsidRDefault="00A53E63" w:rsidP="00D9457D">
      <w:pPr>
        <w:spacing w:before="200"/>
      </w:pPr>
      <w:r>
        <w:t>Analysis of project reports</w:t>
      </w:r>
      <w:r w:rsidR="004864F7">
        <w:t xml:space="preserve"> </w:t>
      </w:r>
      <w:r w:rsidR="00D10563">
        <w:t xml:space="preserve">revealed </w:t>
      </w:r>
      <w:r w:rsidR="008248D3">
        <w:t>evidence</w:t>
      </w:r>
      <w:r w:rsidR="00D10563">
        <w:t xml:space="preserve"> of numerous</w:t>
      </w:r>
      <w:r w:rsidR="004864F7">
        <w:t xml:space="preserve"> R&amp;D outputs such </w:t>
      </w:r>
      <w:r w:rsidR="00E742AD">
        <w:t>as publis</w:t>
      </w:r>
      <w:r w:rsidR="00226D0D">
        <w:t xml:space="preserve">hed </w:t>
      </w:r>
      <w:r w:rsidR="00145AA0">
        <w:t xml:space="preserve">academic </w:t>
      </w:r>
      <w:r w:rsidR="00226D0D">
        <w:t xml:space="preserve">research </w:t>
      </w:r>
      <w:r w:rsidR="00145AA0">
        <w:t xml:space="preserve">papers and </w:t>
      </w:r>
      <w:r w:rsidR="00226D0D">
        <w:t xml:space="preserve">other reports </w:t>
      </w:r>
      <w:r w:rsidR="0026548F">
        <w:t>which indicated projects are producing the knowledge, technologies, products or processes</w:t>
      </w:r>
      <w:r w:rsidR="00B25C0E">
        <w:t xml:space="preserve">. </w:t>
      </w:r>
      <w:r w:rsidR="00C03635">
        <w:t>A</w:t>
      </w:r>
      <w:r w:rsidR="006C7CE5">
        <w:t xml:space="preserve">nalysis indicated consistent evidence that those outputs were in line with </w:t>
      </w:r>
      <w:r w:rsidR="0026548F">
        <w:t xml:space="preserve">project </w:t>
      </w:r>
      <w:r w:rsidR="00750DB4">
        <w:t>applications</w:t>
      </w:r>
      <w:r w:rsidR="00B25C0E">
        <w:t xml:space="preserve">. </w:t>
      </w:r>
      <w:r w:rsidR="00145AA0" w:rsidRPr="00FA0E29">
        <w:t xml:space="preserve">For example, review of the most recent milestone reports for Round 1 projects </w:t>
      </w:r>
      <w:r w:rsidR="00C03635" w:rsidRPr="004E7810">
        <w:t xml:space="preserve">showed </w:t>
      </w:r>
      <w:r w:rsidR="001C08FD" w:rsidRPr="004E7810">
        <w:t xml:space="preserve">in </w:t>
      </w:r>
      <w:r w:rsidR="00C03635" w:rsidRPr="004E7810">
        <w:t>that last reporting period</w:t>
      </w:r>
      <w:r w:rsidR="00145AA0" w:rsidRPr="004E7810">
        <w:t>:</w:t>
      </w:r>
    </w:p>
    <w:p w14:paraId="5E227AD5" w14:textId="77777777" w:rsidR="00145AA0" w:rsidRPr="00FA0E29" w:rsidRDefault="00C03635" w:rsidP="00565949">
      <w:pPr>
        <w:pStyle w:val="ListBullet"/>
      </w:pPr>
      <w:r>
        <w:t xml:space="preserve">a </w:t>
      </w:r>
      <w:r w:rsidR="00145AA0" w:rsidRPr="00FA0E29">
        <w:t>total of 48 academic papers and presentations</w:t>
      </w:r>
      <w:r w:rsidR="00094D67" w:rsidRPr="00FA0E29">
        <w:t xml:space="preserve"> </w:t>
      </w:r>
      <w:r w:rsidR="00CD7AFE">
        <w:t>had been completed</w:t>
      </w:r>
    </w:p>
    <w:p w14:paraId="6BCF211B" w14:textId="77777777" w:rsidR="001C08FD" w:rsidRDefault="00145AA0" w:rsidP="00565949">
      <w:pPr>
        <w:pStyle w:val="ListBullet"/>
      </w:pPr>
      <w:r w:rsidRPr="00FA0E29">
        <w:t>2</w:t>
      </w:r>
      <w:r w:rsidR="00627E4D" w:rsidRPr="00FA0E29">
        <w:t>2</w:t>
      </w:r>
      <w:r w:rsidRPr="00FA0E29">
        <w:t xml:space="preserve"> other reports</w:t>
      </w:r>
      <w:r w:rsidR="00C03635">
        <w:t xml:space="preserve"> had been produced</w:t>
      </w:r>
      <w:r w:rsidRPr="00FA0E29">
        <w:t>, for example survey reports,</w:t>
      </w:r>
      <w:r w:rsidR="00627E4D" w:rsidRPr="00FA0E29">
        <w:t xml:space="preserve"> research reports and </w:t>
      </w:r>
      <w:r w:rsidRPr="00FA0E29">
        <w:t>evaluations were produced</w:t>
      </w:r>
    </w:p>
    <w:p w14:paraId="0435FFF3" w14:textId="68C647DB" w:rsidR="00DD1CB3" w:rsidRDefault="001C08FD" w:rsidP="00565949">
      <w:pPr>
        <w:pStyle w:val="ListBullet"/>
      </w:pPr>
      <w:r>
        <w:t xml:space="preserve">evidence of </w:t>
      </w:r>
      <w:r w:rsidR="005F76BA" w:rsidRPr="00FA0E29">
        <w:t xml:space="preserve">numerous </w:t>
      </w:r>
      <w:r w:rsidR="00094D67" w:rsidRPr="00FA0E29">
        <w:t xml:space="preserve">project related </w:t>
      </w:r>
      <w:r w:rsidR="00E5569D" w:rsidRPr="00FA0E29">
        <w:t>industry magazine articles and presentations</w:t>
      </w:r>
      <w:r w:rsidR="00B25C0E">
        <w:t xml:space="preserve">. </w:t>
      </w:r>
    </w:p>
    <w:p w14:paraId="26A8B990" w14:textId="6421F6B6" w:rsidR="00B906C1" w:rsidRPr="004864F7" w:rsidRDefault="00320AE3" w:rsidP="00502F31">
      <w:r>
        <w:t xml:space="preserve">The case study projects also </w:t>
      </w:r>
      <w:r w:rsidR="009737EE">
        <w:t>displayed evidence of numerous</w:t>
      </w:r>
      <w:r>
        <w:t xml:space="preserve"> academic and research reports, </w:t>
      </w:r>
      <w:r w:rsidR="00C946AE">
        <w:t>including attendance at research forums and symposiums</w:t>
      </w:r>
      <w:r w:rsidR="00B25C0E">
        <w:t xml:space="preserve">. </w:t>
      </w:r>
      <w:r w:rsidR="00494590">
        <w:t xml:space="preserve">By way of example, </w:t>
      </w:r>
      <w:r w:rsidR="00CA08CB">
        <w:t xml:space="preserve">a paper on a component of </w:t>
      </w:r>
      <w:r w:rsidR="00494590">
        <w:t xml:space="preserve">the </w:t>
      </w:r>
      <w:r w:rsidR="00B83889">
        <w:t>‘</w:t>
      </w:r>
      <w:r w:rsidR="00502F31">
        <w:t>Multi-scale monitoring tools for managing Australian tree crops: Industry meets innovation</w:t>
      </w:r>
      <w:r w:rsidR="00B83889">
        <w:t>’</w:t>
      </w:r>
      <w:r w:rsidR="00502F31">
        <w:t xml:space="preserve"> </w:t>
      </w:r>
      <w:r w:rsidR="00CA08CB">
        <w:t xml:space="preserve">project </w:t>
      </w:r>
      <w:r w:rsidR="00502F31">
        <w:t>won best paper at an international conference in mid</w:t>
      </w:r>
      <w:r w:rsidR="00087C8E">
        <w:t>-</w:t>
      </w:r>
      <w:r w:rsidR="00502F31">
        <w:t>2017.</w:t>
      </w:r>
      <w:r w:rsidR="001E7D12">
        <w:rPr>
          <w:rStyle w:val="FootnoteReference"/>
        </w:rPr>
        <w:footnoteReference w:id="15"/>
      </w:r>
      <w:r w:rsidR="00502F31">
        <w:t xml:space="preserve">  </w:t>
      </w:r>
      <w:r w:rsidR="00122A3D" w:rsidRPr="00CB0651">
        <w:t xml:space="preserve">(See case study in section </w:t>
      </w:r>
      <w:r w:rsidR="001A1C21" w:rsidRPr="00CB0651">
        <w:t>2.4.5</w:t>
      </w:r>
      <w:r w:rsidR="00CB0651">
        <w:t>.</w:t>
      </w:r>
      <w:r w:rsidR="00122A3D" w:rsidRPr="00CB0651">
        <w:t>)</w:t>
      </w:r>
      <w:r w:rsidR="00122A3D">
        <w:t xml:space="preserve">  </w:t>
      </w:r>
    </w:p>
    <w:p w14:paraId="31E38A34" w14:textId="77777777" w:rsidR="00E5408D" w:rsidRDefault="0067688B" w:rsidP="00D9457D">
      <w:pPr>
        <w:pStyle w:val="Heading4"/>
      </w:pPr>
      <w:r>
        <w:t>Stakeholder feedback</w:t>
      </w:r>
    </w:p>
    <w:p w14:paraId="0139ABE9" w14:textId="2CE2A0EC" w:rsidR="00570B50" w:rsidRDefault="00B36F04" w:rsidP="00D9457D">
      <w:pPr>
        <w:spacing w:before="200"/>
      </w:pPr>
      <w:r>
        <w:t>RDCs</w:t>
      </w:r>
      <w:r w:rsidR="0067688B">
        <w:t xml:space="preserve"> were </w:t>
      </w:r>
      <w:r w:rsidR="00FE599B">
        <w:t xml:space="preserve">very </w:t>
      </w:r>
      <w:r w:rsidR="0067688B">
        <w:t xml:space="preserve">positive that projects </w:t>
      </w:r>
      <w:r w:rsidR="005B5A60">
        <w:t>had delivered</w:t>
      </w:r>
      <w:r w:rsidR="0067688B">
        <w:t xml:space="preserve">, or </w:t>
      </w:r>
      <w:r w:rsidR="005B5A60">
        <w:t xml:space="preserve">were </w:t>
      </w:r>
      <w:r w:rsidR="0067688B">
        <w:t>on track to deliver</w:t>
      </w:r>
      <w:r w:rsidR="005B5A60">
        <w:t>,</w:t>
      </w:r>
      <w:r w:rsidR="0067688B">
        <w:t xml:space="preserve"> intended research outcomes</w:t>
      </w:r>
      <w:r w:rsidR="00AD3C8E">
        <w:t xml:space="preserve"> that would benefit farmers</w:t>
      </w:r>
      <w:r w:rsidR="00B25C0E">
        <w:t xml:space="preserve">. </w:t>
      </w:r>
      <w:r w:rsidR="00570B50">
        <w:t xml:space="preserve">As articulated by </w:t>
      </w:r>
      <w:r w:rsidR="00361E0B">
        <w:t xml:space="preserve">two </w:t>
      </w:r>
      <w:r w:rsidR="00570B50">
        <w:t>RDC</w:t>
      </w:r>
      <w:r w:rsidR="00361E0B">
        <w:t>s</w:t>
      </w:r>
      <w:r w:rsidR="00570B50">
        <w:t>:</w:t>
      </w:r>
    </w:p>
    <w:p w14:paraId="1C84B3E8" w14:textId="77777777" w:rsidR="00570B50" w:rsidRPr="00361E0B" w:rsidRDefault="00570B50" w:rsidP="00565949">
      <w:pPr>
        <w:pStyle w:val="Quote"/>
      </w:pPr>
      <w:r w:rsidRPr="00361E0B">
        <w:t xml:space="preserve">We would only invest in projects </w:t>
      </w:r>
      <w:r w:rsidR="00087C8E">
        <w:t>where</w:t>
      </w:r>
      <w:r w:rsidR="00087C8E" w:rsidRPr="00361E0B">
        <w:t xml:space="preserve"> </w:t>
      </w:r>
      <w:r w:rsidRPr="00361E0B">
        <w:t>there is a high degree of certainty that outcomes will be delivered to stakeholders and address relevant issues</w:t>
      </w:r>
      <w:r w:rsidR="00D12FEB">
        <w:t>.</w:t>
      </w:r>
    </w:p>
    <w:p w14:paraId="29F68FD8" w14:textId="77777777" w:rsidR="00E41894" w:rsidRPr="00361E0B" w:rsidRDefault="00C97F94" w:rsidP="00565949">
      <w:pPr>
        <w:pStyle w:val="Quote"/>
      </w:pPr>
      <w:r w:rsidRPr="00361E0B">
        <w:t xml:space="preserve">This program has enabled us to achieve 15 fold … </w:t>
      </w:r>
      <w:r w:rsidR="00E41894" w:rsidRPr="00361E0B">
        <w:t>I am amazed by what they have achieved in such a short space of time</w:t>
      </w:r>
      <w:r w:rsidR="00D12FEB">
        <w:t>.</w:t>
      </w:r>
    </w:p>
    <w:p w14:paraId="72F91829" w14:textId="0EF235D5" w:rsidR="002C2970" w:rsidRDefault="00912C58" w:rsidP="002C2970">
      <w:r>
        <w:t xml:space="preserve">Partner organisations </w:t>
      </w:r>
      <w:r w:rsidR="002C2970">
        <w:t>were also very posi</w:t>
      </w:r>
      <w:r w:rsidR="00AA31B7">
        <w:t>tive</w:t>
      </w:r>
      <w:r w:rsidR="00B25C0E">
        <w:t xml:space="preserve">. </w:t>
      </w:r>
      <w:r w:rsidR="00AA31B7">
        <w:t>In the survey:</w:t>
      </w:r>
    </w:p>
    <w:p w14:paraId="5920D86A" w14:textId="77777777" w:rsidR="002C2970" w:rsidRDefault="002C2970" w:rsidP="00565949">
      <w:pPr>
        <w:pStyle w:val="ListBullet"/>
      </w:pPr>
      <w:r>
        <w:t xml:space="preserve">98% </w:t>
      </w:r>
      <w:r w:rsidR="005C14F6">
        <w:t xml:space="preserve">respondents </w:t>
      </w:r>
      <w:r>
        <w:t>indicated their projects will meet their goal of delivering new knowledge and technologies and productivity or profi</w:t>
      </w:r>
      <w:r w:rsidR="00C003B8">
        <w:t>t benefits to primary producers</w:t>
      </w:r>
    </w:p>
    <w:p w14:paraId="5C1B31F3" w14:textId="77777777" w:rsidR="002C2970" w:rsidRDefault="002C2970" w:rsidP="00565949">
      <w:pPr>
        <w:pStyle w:val="ListBullet"/>
      </w:pPr>
      <w:r>
        <w:t>91% perceived projects have</w:t>
      </w:r>
      <w:r w:rsidR="007E7A10">
        <w:t xml:space="preserve"> resulted</w:t>
      </w:r>
      <w:r w:rsidR="005C14F6">
        <w:t>,</w:t>
      </w:r>
      <w:r>
        <w:t xml:space="preserve"> or will result</w:t>
      </w:r>
      <w:r w:rsidR="007E7A10">
        <w:t>,</w:t>
      </w:r>
      <w:r>
        <w:t xml:space="preserve"> in productivity and profit benefits to primary producers</w:t>
      </w:r>
    </w:p>
    <w:p w14:paraId="1A581025" w14:textId="3249048D" w:rsidR="00F77B41" w:rsidRDefault="00F77B41" w:rsidP="00F77B41">
      <w:r>
        <w:t xml:space="preserve">Comments from survey respondents highlighted the multi-sector element of the program </w:t>
      </w:r>
      <w:r w:rsidR="00F00E14">
        <w:t>had been a</w:t>
      </w:r>
      <w:r w:rsidR="00AA31B7">
        <w:t xml:space="preserve"> key benefit in the project and, as per</w:t>
      </w:r>
      <w:r w:rsidR="00373DC4">
        <w:t xml:space="preserve"> RDC comments, had enabled them to accelerate </w:t>
      </w:r>
      <w:r w:rsidR="00F62583">
        <w:t>their research</w:t>
      </w:r>
      <w:r w:rsidR="00B25C0E">
        <w:t xml:space="preserve">. </w:t>
      </w:r>
      <w:r w:rsidR="00121CEC">
        <w:t>For example:</w:t>
      </w:r>
    </w:p>
    <w:p w14:paraId="3F701F40" w14:textId="77777777" w:rsidR="00D43F77" w:rsidRPr="009475A3" w:rsidRDefault="00D43F77" w:rsidP="00565949">
      <w:pPr>
        <w:pStyle w:val="Quote"/>
      </w:pPr>
      <w:r w:rsidRPr="009475A3">
        <w:t xml:space="preserve">Rural R&amp;D for </w:t>
      </w:r>
      <w:r w:rsidR="00284310">
        <w:t>P</w:t>
      </w:r>
      <w:r w:rsidRPr="009475A3">
        <w:t xml:space="preserve">rofit has allowed us to tackle traditional and new </w:t>
      </w:r>
      <w:r w:rsidR="00361C58" w:rsidRPr="009475A3">
        <w:t>biosecurity</w:t>
      </w:r>
      <w:r w:rsidRPr="009475A3">
        <w:t xml:space="preserve"> challenges with state of the art technology solutions that can potentially game change knowledge and service provision to farmers. </w:t>
      </w:r>
    </w:p>
    <w:p w14:paraId="4B6BC2D9" w14:textId="5E9BA562" w:rsidR="006E5D04" w:rsidRPr="009475A3" w:rsidRDefault="006E5D04" w:rsidP="00565949">
      <w:pPr>
        <w:pStyle w:val="Quote"/>
      </w:pPr>
      <w:r w:rsidRPr="009475A3">
        <w:t xml:space="preserve">Involvement has enabled us to extend the scope of projects and activities over a shorter </w:t>
      </w:r>
      <w:r w:rsidR="00361C58" w:rsidRPr="009475A3">
        <w:t>period</w:t>
      </w:r>
      <w:r w:rsidRPr="009475A3">
        <w:t xml:space="preserve"> of time than what may have otherwise been </w:t>
      </w:r>
      <w:r w:rsidR="00361C58" w:rsidRPr="009475A3">
        <w:t>possible</w:t>
      </w:r>
      <w:r w:rsidR="00B25C0E">
        <w:t xml:space="preserve">. </w:t>
      </w:r>
    </w:p>
    <w:p w14:paraId="001EEE8E" w14:textId="5862BCBC" w:rsidR="006E0E33" w:rsidRDefault="00E930A7" w:rsidP="006E0E33">
      <w:r>
        <w:t xml:space="preserve">While </w:t>
      </w:r>
      <w:r w:rsidR="002762F2">
        <w:t>consensus</w:t>
      </w:r>
      <w:r>
        <w:t xml:space="preserve"> was that projects were on track, comments from both RDCs and partner organisati</w:t>
      </w:r>
      <w:r w:rsidR="00FB5877">
        <w:t xml:space="preserve">ons indicated that </w:t>
      </w:r>
      <w:r w:rsidR="00284310">
        <w:t>some</w:t>
      </w:r>
      <w:r w:rsidR="00FB5877">
        <w:t xml:space="preserve"> projects</w:t>
      </w:r>
      <w:r>
        <w:t xml:space="preserve"> had been delayed due to the time required in organising partnership arrangements </w:t>
      </w:r>
      <w:r w:rsidR="005762DD">
        <w:t>in the project initiation phase</w:t>
      </w:r>
      <w:r w:rsidR="00B25C0E">
        <w:t xml:space="preserve">. </w:t>
      </w:r>
    </w:p>
    <w:p w14:paraId="3DB26A65" w14:textId="225C2A48" w:rsidR="006E0E33" w:rsidRDefault="006E0E33" w:rsidP="00013FC4">
      <w:pPr>
        <w:spacing w:before="120"/>
      </w:pPr>
      <w:r>
        <w:t xml:space="preserve">RDCs in particular also highlighted that most projects were still in the ‘knowledge creation’ stage and R&amp;D by its very nature is complex and often unpredictable; </w:t>
      </w:r>
      <w:r w:rsidR="002762F2">
        <w:t>therefore,</w:t>
      </w:r>
      <w:r>
        <w:t xml:space="preserve"> outcomes from the research </w:t>
      </w:r>
      <w:r w:rsidR="00066128">
        <w:t xml:space="preserve">are not </w:t>
      </w:r>
      <w:r w:rsidR="005564BC">
        <w:t>guaranteed</w:t>
      </w:r>
      <w:r w:rsidR="00066128">
        <w:t xml:space="preserve">, or </w:t>
      </w:r>
      <w:r>
        <w:t xml:space="preserve">may not be available </w:t>
      </w:r>
      <w:r w:rsidR="00F05734">
        <w:t>for some time</w:t>
      </w:r>
      <w:r w:rsidR="00B25C0E">
        <w:t xml:space="preserve">. </w:t>
      </w:r>
      <w:r w:rsidR="00DE03D8">
        <w:t>As articulated by one RDC:</w:t>
      </w:r>
    </w:p>
    <w:p w14:paraId="00A87000" w14:textId="4AC2B9B6" w:rsidR="00DE03D8" w:rsidRPr="005D6033" w:rsidRDefault="00DE03D8" w:rsidP="00565949">
      <w:pPr>
        <w:pStyle w:val="Quote"/>
      </w:pPr>
      <w:r w:rsidRPr="005D6033">
        <w:t>Projects aren’t always going to hit the sweet spot</w:t>
      </w:r>
      <w:r w:rsidR="00B25C0E">
        <w:t xml:space="preserve">. </w:t>
      </w:r>
    </w:p>
    <w:p w14:paraId="58DD608D" w14:textId="77777777" w:rsidR="00A1316C" w:rsidRPr="00747327" w:rsidRDefault="00A1316C" w:rsidP="00421A84">
      <w:pPr>
        <w:pStyle w:val="Heading4"/>
      </w:pPr>
      <w:r>
        <w:t xml:space="preserve">Case study </w:t>
      </w:r>
      <w:bookmarkStart w:id="36" w:name="_Hlk499728415"/>
      <w:r>
        <w:t>- Multi-scale monitoring tools for managing Australian tree crops: Industry meets innovation</w:t>
      </w:r>
    </w:p>
    <w:bookmarkEnd w:id="36"/>
    <w:p w14:paraId="3FCDF60A" w14:textId="3D31FEBF" w:rsidR="00C80751" w:rsidRDefault="00834A55" w:rsidP="00421A84">
      <w:pPr>
        <w:spacing w:before="200"/>
      </w:pPr>
      <w:r>
        <w:t>A</w:t>
      </w:r>
      <w:r w:rsidR="001C37AA">
        <w:t xml:space="preserve"> Round 1 project</w:t>
      </w:r>
      <w:r w:rsidR="004B55C2">
        <w:t xml:space="preserve">, </w:t>
      </w:r>
      <w:r w:rsidR="00BA65B9">
        <w:t>receiving</w:t>
      </w:r>
      <w:r w:rsidR="004B55C2">
        <w:t xml:space="preserve"> $3,428,24</w:t>
      </w:r>
      <w:r w:rsidR="004F4DFB">
        <w:t>8 in Commonwealth funding, $</w:t>
      </w:r>
      <w:r w:rsidR="006062C1">
        <w:t>2,079,000</w:t>
      </w:r>
      <w:r w:rsidR="004B55C2">
        <w:t xml:space="preserve"> in cash and $</w:t>
      </w:r>
      <w:r w:rsidR="006062C1">
        <w:t>1,692,072</w:t>
      </w:r>
      <w:r w:rsidR="004B55C2">
        <w:t xml:space="preserve"> in kind</w:t>
      </w:r>
      <w:r w:rsidR="006062C1">
        <w:rPr>
          <w:rStyle w:val="FootnoteReference"/>
        </w:rPr>
        <w:footnoteReference w:id="16"/>
      </w:r>
      <w:r w:rsidR="00CA08CB">
        <w:t xml:space="preserve"> and </w:t>
      </w:r>
      <w:r w:rsidR="001A47BA">
        <w:t>due to finish in June 2018</w:t>
      </w:r>
      <w:r w:rsidR="00B25C0E">
        <w:t xml:space="preserve">. </w:t>
      </w:r>
      <w:r w:rsidR="00A7039E">
        <w:t>This project provides another example of large scale research</w:t>
      </w:r>
      <w:r w:rsidR="00CA08CB">
        <w:t xml:space="preserve">; </w:t>
      </w:r>
      <w:r w:rsidR="001A1C21">
        <w:t>eg,</w:t>
      </w:r>
      <w:r w:rsidR="00A7039E">
        <w:t xml:space="preserve"> teams from four universities were in the field at the same time</w:t>
      </w:r>
      <w:r w:rsidR="00B25C0E">
        <w:t xml:space="preserve">. </w:t>
      </w:r>
    </w:p>
    <w:p w14:paraId="5B64A364" w14:textId="182AC283" w:rsidR="001C37AA" w:rsidRDefault="001C37AA" w:rsidP="001C37AA">
      <w:r>
        <w:t>The project is led by HIAL with a number of partners from university and private sectors, including: University of New England</w:t>
      </w:r>
      <w:r w:rsidR="000442B9">
        <w:t xml:space="preserve">, </w:t>
      </w:r>
      <w:r>
        <w:t>University of Queensland</w:t>
      </w:r>
      <w:r w:rsidR="000442B9">
        <w:t xml:space="preserve">, </w:t>
      </w:r>
      <w:r>
        <w:t>Central Queensland University</w:t>
      </w:r>
      <w:r w:rsidR="000442B9">
        <w:t xml:space="preserve">, </w:t>
      </w:r>
      <w:r>
        <w:t>University of Sydney</w:t>
      </w:r>
      <w:r w:rsidR="000442B9">
        <w:t xml:space="preserve">, </w:t>
      </w:r>
      <w:r>
        <w:t>Department</w:t>
      </w:r>
      <w:r w:rsidR="004F4DFB">
        <w:t xml:space="preserve"> of</w:t>
      </w:r>
      <w:r>
        <w:t xml:space="preserve"> Agriculture and Fisheries Queensland</w:t>
      </w:r>
      <w:r w:rsidR="000442B9">
        <w:t xml:space="preserve">, </w:t>
      </w:r>
      <w:r>
        <w:t>Australian Mango Industry Association</w:t>
      </w:r>
      <w:r w:rsidR="000442B9">
        <w:t xml:space="preserve">, </w:t>
      </w:r>
      <w:r>
        <w:t>Australian Macadamia Society</w:t>
      </w:r>
      <w:r w:rsidR="000442B9">
        <w:t xml:space="preserve">, </w:t>
      </w:r>
      <w:r>
        <w:t>Avocados Australia</w:t>
      </w:r>
      <w:r w:rsidR="000442B9">
        <w:t xml:space="preserve">, </w:t>
      </w:r>
      <w:r>
        <w:t>Simpson Farms and AGTRIX</w:t>
      </w:r>
      <w:r w:rsidR="00B25C0E">
        <w:t xml:space="preserve">. </w:t>
      </w:r>
    </w:p>
    <w:p w14:paraId="3EDD114A" w14:textId="37721E5D" w:rsidR="00A8552B" w:rsidRDefault="00A8552B" w:rsidP="00A8552B">
      <w:r>
        <w:t>The project is integrating</w:t>
      </w:r>
      <w:r w:rsidR="00CA08CB">
        <w:t xml:space="preserve"> the</w:t>
      </w:r>
      <w:r>
        <w:t xml:space="preserve"> latest imaging and robotics technologies to provide mango, avocado and macadamia farmers with decision-support tools to help improve production and profit</w:t>
      </w:r>
      <w:r w:rsidR="00B25C0E">
        <w:t xml:space="preserve">. </w:t>
      </w:r>
      <w:r>
        <w:t>Data collected via the project</w:t>
      </w:r>
      <w:r w:rsidR="00D82325">
        <w:t xml:space="preserve">, and tools developed, </w:t>
      </w:r>
      <w:r>
        <w:t>will help farmers predict fruit quality and yield, and</w:t>
      </w:r>
      <w:r w:rsidR="0088641E">
        <w:t xml:space="preserve"> to monitor tree health including</w:t>
      </w:r>
      <w:r>
        <w:t xml:space="preserve"> early detection of pests and disease outbreaks</w:t>
      </w:r>
      <w:r w:rsidR="00B25C0E">
        <w:t xml:space="preserve">. </w:t>
      </w:r>
    </w:p>
    <w:p w14:paraId="41ED152E" w14:textId="77777777" w:rsidR="00A8552B" w:rsidRDefault="00A8552B" w:rsidP="00A8552B">
      <w:r>
        <w:t>The project aims to provide:</w:t>
      </w:r>
    </w:p>
    <w:p w14:paraId="3F52629F" w14:textId="77777777" w:rsidR="00A8552B" w:rsidRDefault="00A8552B" w:rsidP="00565949">
      <w:pPr>
        <w:pStyle w:val="ListBullet"/>
      </w:pPr>
      <w:r>
        <w:t>a national audit capability framework identifying location, area and tree population of every commercial avocado, mango, macadamia orchard and banan</w:t>
      </w:r>
      <w:r w:rsidR="0088641E">
        <w:t>a plantation across Australia</w:t>
      </w:r>
    </w:p>
    <w:p w14:paraId="569E5097" w14:textId="1508A63F" w:rsidR="00A8552B" w:rsidRDefault="00A8552B" w:rsidP="00565949">
      <w:pPr>
        <w:pStyle w:val="ListBullet"/>
      </w:pPr>
      <w:r>
        <w:t>farm level decision support tool utilising satellite image data streams and novel on-ground sensor systems, including machine vision and spectro-radiometric sensors, and robotic platforms for mapping fruit yield and quality, tree health and inflorescence counts</w:t>
      </w:r>
      <w:r w:rsidR="00B25C0E">
        <w:t xml:space="preserve">. </w:t>
      </w:r>
    </w:p>
    <w:p w14:paraId="1286A11A" w14:textId="42A955D1" w:rsidR="00290A55" w:rsidRDefault="00290A55" w:rsidP="00290A55">
      <w:r>
        <w:t>Partners, including university and industry representatives</w:t>
      </w:r>
      <w:r w:rsidR="00CA08CB">
        <w:t>,</w:t>
      </w:r>
      <w:r>
        <w:t xml:space="preserve"> commented on the extent of results achieved by the project in such a short space of time and are pushing for commercialisation this year</w:t>
      </w:r>
      <w:r w:rsidR="00B25C0E">
        <w:t xml:space="preserve">. </w:t>
      </w:r>
      <w:r w:rsidR="00CA08CB">
        <w:t>T</w:t>
      </w:r>
      <w:r>
        <w:t>hey have noted the p</w:t>
      </w:r>
      <w:r w:rsidR="00A7039E">
        <w:t>otential for extension</w:t>
      </w:r>
      <w:r>
        <w:t xml:space="preserve"> to other </w:t>
      </w:r>
      <w:r w:rsidR="00087C8E">
        <w:t>commodities</w:t>
      </w:r>
      <w:r>
        <w:t xml:space="preserve"> such as olive, citrus, potatoes, pineapples, almonds, blueberries and rice</w:t>
      </w:r>
      <w:r w:rsidR="00B25C0E">
        <w:t xml:space="preserve">. </w:t>
      </w:r>
    </w:p>
    <w:p w14:paraId="51DF19AB" w14:textId="4C4FC3C4" w:rsidR="00290A55" w:rsidRDefault="00A7039E" w:rsidP="00931D88">
      <w:r>
        <w:t>Project participants</w:t>
      </w:r>
      <w:r w:rsidR="00925598">
        <w:t xml:space="preserve"> interviewed consistently identified involvement of industry partners as integral to the success of the project</w:t>
      </w:r>
      <w:r w:rsidR="00B25C0E">
        <w:t xml:space="preserve">. </w:t>
      </w:r>
      <w:r w:rsidR="00925598">
        <w:t>Evidenced in a sample of their comments:</w:t>
      </w:r>
    </w:p>
    <w:p w14:paraId="76E889F0" w14:textId="0878076A" w:rsidR="007E7895" w:rsidRDefault="00A7039E" w:rsidP="00565949">
      <w:pPr>
        <w:pStyle w:val="Quote"/>
      </w:pPr>
      <w:r w:rsidRPr="00A7039E">
        <w:t>… we are producing good solid results for industry</w:t>
      </w:r>
      <w:r w:rsidR="00B25C0E">
        <w:t xml:space="preserve">. </w:t>
      </w:r>
      <w:r w:rsidR="00051B1E">
        <w:t>I</w:t>
      </w:r>
      <w:r w:rsidR="007E7895" w:rsidRPr="00A7039E">
        <w:t>ndustry groups have been instrumental in ensuring the group has stayed practical</w:t>
      </w:r>
      <w:r w:rsidR="00CA08CB">
        <w:t>.</w:t>
      </w:r>
    </w:p>
    <w:p w14:paraId="5200ADB4" w14:textId="2DCDC439" w:rsidR="00925598" w:rsidRPr="00925598" w:rsidRDefault="00051B1E" w:rsidP="00565949">
      <w:pPr>
        <w:pStyle w:val="Quote"/>
      </w:pPr>
      <w:r>
        <w:t>It’s essential to have the v</w:t>
      </w:r>
      <w:r w:rsidR="00925598" w:rsidRPr="00925598">
        <w:t>oice of the farmer at the table – I know the farmer down the road and what he needs</w:t>
      </w:r>
      <w:r w:rsidR="00B25C0E">
        <w:t xml:space="preserve">. </w:t>
      </w:r>
      <w:r w:rsidR="00925598" w:rsidRPr="00925598">
        <w:t>You can’t just sit there and agree to everything</w:t>
      </w:r>
      <w:r>
        <w:t>, you’ve got to br</w:t>
      </w:r>
      <w:r w:rsidR="00925598" w:rsidRPr="00925598">
        <w:t xml:space="preserve">ing the research back </w:t>
      </w:r>
      <w:r w:rsidR="0088641E">
        <w:t xml:space="preserve">to the </w:t>
      </w:r>
      <w:r w:rsidR="00925598" w:rsidRPr="00925598">
        <w:t>ground</w:t>
      </w:r>
      <w:r w:rsidR="00CA08CB">
        <w:t>.</w:t>
      </w:r>
    </w:p>
    <w:p w14:paraId="7F14B36B" w14:textId="77777777" w:rsidR="00700313" w:rsidRDefault="000116E8" w:rsidP="00700313">
      <w:r>
        <w:t>P</w:t>
      </w:r>
      <w:r w:rsidR="007E7895">
        <w:t>ublications</w:t>
      </w:r>
      <w:r w:rsidR="004701A3">
        <w:t xml:space="preserve"> and reports</w:t>
      </w:r>
      <w:r>
        <w:t>, and participation in symposiums and forums have been s</w:t>
      </w:r>
      <w:r w:rsidR="00C37C31">
        <w:t xml:space="preserve">trongly evident in this project, </w:t>
      </w:r>
      <w:r>
        <w:t>including taking out the prize for best paper at an international conference in mid</w:t>
      </w:r>
      <w:r w:rsidR="00CA08CB">
        <w:t>-</w:t>
      </w:r>
      <w:r>
        <w:t>2017.</w:t>
      </w:r>
      <w:r w:rsidR="001A1C21">
        <w:rPr>
          <w:rStyle w:val="FootnoteReference"/>
        </w:rPr>
        <w:footnoteReference w:id="17"/>
      </w:r>
      <w:r>
        <w:t xml:space="preserve">  </w:t>
      </w:r>
    </w:p>
    <w:p w14:paraId="583418B0" w14:textId="37DD28BE" w:rsidR="00700313" w:rsidRDefault="00700313" w:rsidP="00700313">
      <w:r>
        <w:t xml:space="preserve">Project participants felt that this project has been a </w:t>
      </w:r>
      <w:r w:rsidR="00102FCF">
        <w:t xml:space="preserve">model </w:t>
      </w:r>
      <w:r>
        <w:t>for succe</w:t>
      </w:r>
      <w:r w:rsidR="00A47F56">
        <w:t xml:space="preserve">ss, with </w:t>
      </w:r>
      <w:r w:rsidR="004F4DFB">
        <w:t xml:space="preserve">potential </w:t>
      </w:r>
      <w:r w:rsidR="00A47F56">
        <w:t>future application for</w:t>
      </w:r>
      <w:r>
        <w:t xml:space="preserve"> pest and disease management</w:t>
      </w:r>
      <w:r w:rsidR="00087C8E">
        <w:t xml:space="preserve">, </w:t>
      </w:r>
      <w:r>
        <w:t>biosecurity outbreaks</w:t>
      </w:r>
      <w:r w:rsidR="00087C8E">
        <w:t xml:space="preserve"> and responding to extreme weather events such as cyclones</w:t>
      </w:r>
      <w:r w:rsidR="00B25C0E">
        <w:t xml:space="preserve">. </w:t>
      </w:r>
    </w:p>
    <w:p w14:paraId="61A40BDA" w14:textId="77777777" w:rsidR="00E5408D" w:rsidRDefault="00985977" w:rsidP="00421A84">
      <w:pPr>
        <w:pStyle w:val="Heading3"/>
      </w:pPr>
      <w:bookmarkStart w:id="37" w:name="_Toc500934702"/>
      <w:bookmarkStart w:id="38" w:name="_Hlk484692502"/>
      <w:r>
        <w:t>Strengthening of extension pathways and u</w:t>
      </w:r>
      <w:r w:rsidR="00E5408D">
        <w:t>nderstanding barriers to adoption</w:t>
      </w:r>
      <w:bookmarkEnd w:id="37"/>
    </w:p>
    <w:p w14:paraId="6D6783F5" w14:textId="77777777" w:rsidR="00871913" w:rsidRDefault="00DE11EC" w:rsidP="00421A84">
      <w:pPr>
        <w:pStyle w:val="Heading4"/>
      </w:pPr>
      <w:bookmarkStart w:id="39" w:name="_Hlk484692469"/>
      <w:bookmarkEnd w:id="38"/>
      <w:r>
        <w:t>Program guidelines</w:t>
      </w:r>
    </w:p>
    <w:p w14:paraId="373E3F12" w14:textId="16EADD90" w:rsidR="00856267" w:rsidRDefault="008B688B" w:rsidP="00421A84">
      <w:pPr>
        <w:spacing w:before="200"/>
      </w:pPr>
      <w:r>
        <w:t>Other</w:t>
      </w:r>
      <w:r w:rsidR="002D1A2F">
        <w:t xml:space="preserve"> program objective</w:t>
      </w:r>
      <w:r>
        <w:t>s</w:t>
      </w:r>
      <w:r w:rsidR="002D1A2F">
        <w:t xml:space="preserve"> </w:t>
      </w:r>
      <w:r>
        <w:t>are</w:t>
      </w:r>
      <w:r w:rsidR="002D1A2F">
        <w:t xml:space="preserve"> to strengthen pathways to extend the results of rural R&amp;D, </w:t>
      </w:r>
      <w:r w:rsidR="00087C8E">
        <w:t xml:space="preserve">and to </w:t>
      </w:r>
      <w:r w:rsidR="002D1A2F">
        <w:t>understa</w:t>
      </w:r>
      <w:r w:rsidR="000D79D6">
        <w:t xml:space="preserve">nd </w:t>
      </w:r>
      <w:r w:rsidR="00087C8E">
        <w:t xml:space="preserve">the </w:t>
      </w:r>
      <w:r w:rsidR="000D79D6">
        <w:t>barriers to adoption</w:t>
      </w:r>
      <w:r w:rsidR="00B25C0E">
        <w:t xml:space="preserve">. </w:t>
      </w:r>
    </w:p>
    <w:p w14:paraId="6A06731F" w14:textId="55A7D0CF" w:rsidR="00984EE3" w:rsidRDefault="0080489C" w:rsidP="00856267">
      <w:r>
        <w:t>O</w:t>
      </w:r>
      <w:r w:rsidR="00915FFB">
        <w:t>ne of the program priorities is adoption of R&amp;D, focusing on flexible delivery of extension services that meet primary producers’ needs and</w:t>
      </w:r>
      <w:r w:rsidR="00604D93">
        <w:t xml:space="preserve"> recognising the growing role for</w:t>
      </w:r>
      <w:r w:rsidR="00915FFB">
        <w:t xml:space="preserve"> private service delivery</w:t>
      </w:r>
      <w:r w:rsidR="00B25C0E">
        <w:t xml:space="preserve">. </w:t>
      </w:r>
    </w:p>
    <w:p w14:paraId="147B6772" w14:textId="555BC26C" w:rsidR="00984EE3" w:rsidRDefault="00430F3B" w:rsidP="00E5408D">
      <w:r>
        <w:t>To assess the extent to which the program was tracking towards th</w:t>
      </w:r>
      <w:r w:rsidR="00AE5501">
        <w:t>ese</w:t>
      </w:r>
      <w:r>
        <w:t xml:space="preserve"> o</w:t>
      </w:r>
      <w:r w:rsidR="00AE5501">
        <w:t>bjectives</w:t>
      </w:r>
      <w:r>
        <w:t>, the evaluation investigated evidence pertaining to</w:t>
      </w:r>
      <w:r w:rsidR="000D79D6">
        <w:t xml:space="preserve"> communication and extension activities</w:t>
      </w:r>
      <w:r w:rsidR="00604D93">
        <w:t>,</w:t>
      </w:r>
      <w:r w:rsidR="000D79D6">
        <w:t xml:space="preserve"> materials</w:t>
      </w:r>
      <w:r w:rsidR="00CA08CB">
        <w:t xml:space="preserve"> developed</w:t>
      </w:r>
      <w:r w:rsidR="000D79D6">
        <w:t xml:space="preserve"> and </w:t>
      </w:r>
      <w:r w:rsidR="00544560">
        <w:t>understanding barriers to adoption</w:t>
      </w:r>
      <w:r w:rsidR="00B25C0E">
        <w:t xml:space="preserve">. </w:t>
      </w:r>
    </w:p>
    <w:p w14:paraId="5D3C4B91" w14:textId="77777777" w:rsidR="00591605" w:rsidRDefault="00591605" w:rsidP="00421A84">
      <w:pPr>
        <w:pStyle w:val="Heading4"/>
      </w:pPr>
      <w:r>
        <w:t>Project reports</w:t>
      </w:r>
    </w:p>
    <w:p w14:paraId="6D2BDAA1" w14:textId="44514BEC" w:rsidR="00A902C9" w:rsidRDefault="00591605" w:rsidP="00421A84">
      <w:pPr>
        <w:spacing w:before="200"/>
      </w:pPr>
      <w:r>
        <w:t xml:space="preserve">Analysis of project reports showed </w:t>
      </w:r>
      <w:r w:rsidR="00A902C9">
        <w:t xml:space="preserve">strong </w:t>
      </w:r>
      <w:r>
        <w:t xml:space="preserve">evidence of </w:t>
      </w:r>
      <w:r w:rsidR="00A902C9">
        <w:t>extension activities</w:t>
      </w:r>
      <w:r w:rsidR="00B25C0E">
        <w:t xml:space="preserve">. </w:t>
      </w:r>
      <w:r w:rsidR="00A902C9">
        <w:t>Of note:</w:t>
      </w:r>
    </w:p>
    <w:p w14:paraId="466F5457" w14:textId="55725914" w:rsidR="00A902C9" w:rsidRDefault="007C190B" w:rsidP="00565949">
      <w:pPr>
        <w:pStyle w:val="ListBullet"/>
      </w:pPr>
      <w:r>
        <w:t>c</w:t>
      </w:r>
      <w:r w:rsidR="00A902C9">
        <w:t>ommunic</w:t>
      </w:r>
      <w:r w:rsidR="001601B9">
        <w:t xml:space="preserve">ation and extension plans are </w:t>
      </w:r>
      <w:r w:rsidR="00A902C9">
        <w:t>requisite in project planning</w:t>
      </w:r>
      <w:r w:rsidR="00B25C0E">
        <w:t xml:space="preserve">. </w:t>
      </w:r>
      <w:r w:rsidR="00624323">
        <w:t>Review of a sample showed extremely detailed and specific planning</w:t>
      </w:r>
      <w:r w:rsidR="00B25C0E">
        <w:t xml:space="preserve">. </w:t>
      </w:r>
    </w:p>
    <w:p w14:paraId="38035F34" w14:textId="77777777" w:rsidR="00A902C9" w:rsidRDefault="007C190B" w:rsidP="00565949">
      <w:pPr>
        <w:pStyle w:val="ListBullet"/>
      </w:pPr>
      <w:r>
        <w:t>c</w:t>
      </w:r>
      <w:r w:rsidR="00A902C9">
        <w:t>ommunication and extension act</w:t>
      </w:r>
      <w:r w:rsidR="00E178D4">
        <w:t>ivities were varied, b</w:t>
      </w:r>
      <w:r w:rsidR="00D71945">
        <w:t>y way of example such activities included</w:t>
      </w:r>
      <w:r w:rsidR="00A902C9">
        <w:t>:</w:t>
      </w:r>
    </w:p>
    <w:p w14:paraId="7468204F" w14:textId="77777777" w:rsidR="00EE64D2" w:rsidRDefault="004860F8" w:rsidP="0067112F">
      <w:pPr>
        <w:pStyle w:val="ListBullet2"/>
      </w:pPr>
      <w:r>
        <w:t>l</w:t>
      </w:r>
      <w:r w:rsidR="00A90D7B">
        <w:t xml:space="preserve">ocal </w:t>
      </w:r>
      <w:r w:rsidR="00DF1B0E">
        <w:t>m</w:t>
      </w:r>
      <w:r w:rsidR="00EE64D2">
        <w:t>edia releases and newspaper articles</w:t>
      </w:r>
    </w:p>
    <w:p w14:paraId="59AC6F68" w14:textId="77777777" w:rsidR="00B33334" w:rsidRDefault="004860F8" w:rsidP="0067112F">
      <w:pPr>
        <w:pStyle w:val="ListBullet2"/>
      </w:pPr>
      <w:r>
        <w:t xml:space="preserve">local </w:t>
      </w:r>
      <w:r w:rsidR="00B33334">
        <w:t>television and radio interviews</w:t>
      </w:r>
    </w:p>
    <w:p w14:paraId="473ADA99" w14:textId="77777777" w:rsidR="00A902C9" w:rsidRDefault="00DF1B0E" w:rsidP="0067112F">
      <w:pPr>
        <w:pStyle w:val="ListBullet2"/>
      </w:pPr>
      <w:r>
        <w:t>d</w:t>
      </w:r>
      <w:r w:rsidR="00A902C9">
        <w:t xml:space="preserve">istribution of written materials in a range of formats, often involving </w:t>
      </w:r>
      <w:r w:rsidR="00134288">
        <w:t xml:space="preserve">a website presence and/or </w:t>
      </w:r>
      <w:r w:rsidR="00A902C9">
        <w:t>online publication, such as targeted newsletters</w:t>
      </w:r>
      <w:r w:rsidR="00134288">
        <w:t xml:space="preserve"> and</w:t>
      </w:r>
      <w:r w:rsidR="00EE64D2">
        <w:t xml:space="preserve"> updates</w:t>
      </w:r>
      <w:r w:rsidR="00134288">
        <w:t xml:space="preserve"> </w:t>
      </w:r>
    </w:p>
    <w:p w14:paraId="37E0F60D" w14:textId="77777777" w:rsidR="00591605" w:rsidRDefault="00DF1B0E" w:rsidP="0067112F">
      <w:pPr>
        <w:pStyle w:val="ListBullet2"/>
      </w:pPr>
      <w:r>
        <w:t>a</w:t>
      </w:r>
      <w:r w:rsidR="00624323">
        <w:t xml:space="preserve"> range of face to face activities </w:t>
      </w:r>
      <w:r w:rsidR="003A22FD">
        <w:t>such as meetings, workshops, f</w:t>
      </w:r>
      <w:r w:rsidR="00624323">
        <w:t>orums and field days</w:t>
      </w:r>
    </w:p>
    <w:p w14:paraId="4C4C1BBA" w14:textId="77777777" w:rsidR="009E7E33" w:rsidRDefault="00DF1B0E" w:rsidP="0067112F">
      <w:pPr>
        <w:pStyle w:val="ListBullet2"/>
      </w:pPr>
      <w:r>
        <w:t>i</w:t>
      </w:r>
      <w:r w:rsidR="009E7E33">
        <w:t xml:space="preserve">nvolvement of local professional extension providers </w:t>
      </w:r>
      <w:r w:rsidR="00681F33">
        <w:t xml:space="preserve">as both advisers </w:t>
      </w:r>
      <w:r w:rsidR="00EF06AD">
        <w:t xml:space="preserve">to the project </w:t>
      </w:r>
      <w:r w:rsidR="00681F33">
        <w:t xml:space="preserve">and as </w:t>
      </w:r>
      <w:r w:rsidR="00EF06AD">
        <w:t>active participants in research and trials</w:t>
      </w:r>
    </w:p>
    <w:p w14:paraId="1ED08198" w14:textId="2CD8B6EC" w:rsidR="00681F33" w:rsidRDefault="00DF1B0E" w:rsidP="0067112F">
      <w:pPr>
        <w:pStyle w:val="ListBullet2"/>
      </w:pPr>
      <w:r>
        <w:t>i</w:t>
      </w:r>
      <w:r w:rsidR="00681F33">
        <w:t xml:space="preserve">nclusion of primary producers in </w:t>
      </w:r>
      <w:r w:rsidR="002D4741">
        <w:t>project design</w:t>
      </w:r>
      <w:r w:rsidR="00B25C0E">
        <w:t xml:space="preserve">. </w:t>
      </w:r>
      <w:r w:rsidR="00B66E98">
        <w:t>They then assist with advocating or facilitating further extension and adoption of research/technology via their networks</w:t>
      </w:r>
      <w:r w:rsidR="00B25C0E">
        <w:t xml:space="preserve">. </w:t>
      </w:r>
    </w:p>
    <w:p w14:paraId="40086196" w14:textId="77777777" w:rsidR="00EE64D2" w:rsidRDefault="00EE64D2" w:rsidP="00591605">
      <w:r>
        <w:t xml:space="preserve">There were </w:t>
      </w:r>
      <w:r w:rsidR="00604D93">
        <w:t>two specific extension projects funded:</w:t>
      </w:r>
    </w:p>
    <w:p w14:paraId="1C948844" w14:textId="77777777" w:rsidR="00D14DF8" w:rsidRDefault="00D14DF8" w:rsidP="00565949">
      <w:pPr>
        <w:pStyle w:val="ListBullet"/>
      </w:pPr>
      <w:r w:rsidRPr="00747327">
        <w:t>Simulating private sector extension in Australian agriculture to increase returns from R&amp;D</w:t>
      </w:r>
      <w:r w:rsidR="00087C8E">
        <w:t xml:space="preserve">, led by Agrifutures Australia with </w:t>
      </w:r>
      <w:r w:rsidR="00AF6C5F">
        <w:t>a grant</w:t>
      </w:r>
      <w:r w:rsidR="00087C8E">
        <w:t xml:space="preserve"> of </w:t>
      </w:r>
      <w:r w:rsidR="00AF6C5F">
        <w:t>almost $1.6 million</w:t>
      </w:r>
    </w:p>
    <w:p w14:paraId="093C6B34" w14:textId="77777777" w:rsidR="00EE64D2" w:rsidRDefault="0077022B" w:rsidP="00565949">
      <w:pPr>
        <w:pStyle w:val="ListBullet"/>
      </w:pPr>
      <w:r>
        <w:t>Consolidating targeted and practical extension services for Australian farmers and fishers</w:t>
      </w:r>
      <w:r w:rsidR="00AF6C5F">
        <w:t>, led by DAL with a grant of $815,000.</w:t>
      </w:r>
    </w:p>
    <w:p w14:paraId="6DE95CD7" w14:textId="200594B8" w:rsidR="00C55DA3" w:rsidRDefault="003C7191" w:rsidP="00591605">
      <w:r>
        <w:t xml:space="preserve">These are discussed in case studies </w:t>
      </w:r>
      <w:r w:rsidR="00DF389F">
        <w:t>in this section</w:t>
      </w:r>
      <w:r w:rsidR="00B25C0E">
        <w:t xml:space="preserve">. </w:t>
      </w:r>
    </w:p>
    <w:p w14:paraId="2C9B91BA" w14:textId="37C8694E" w:rsidR="008369BB" w:rsidRDefault="001F6F0D" w:rsidP="00591605">
      <w:r>
        <w:t xml:space="preserve">The </w:t>
      </w:r>
      <w:r w:rsidR="002A5D7D">
        <w:t>d</w:t>
      </w:r>
      <w:r>
        <w:t>epartment, via project reporting</w:t>
      </w:r>
      <w:r w:rsidR="00CA08CB">
        <w:t>,</w:t>
      </w:r>
      <w:r>
        <w:t xml:space="preserve"> is </w:t>
      </w:r>
      <w:r w:rsidR="00B528E1">
        <w:t xml:space="preserve">in the process of </w:t>
      </w:r>
      <w:r>
        <w:t xml:space="preserve">collecting information </w:t>
      </w:r>
      <w:r w:rsidR="005145CC">
        <w:t>relating</w:t>
      </w:r>
      <w:r>
        <w:t xml:space="preserve"> to extension </w:t>
      </w:r>
      <w:r w:rsidR="005145CC">
        <w:t xml:space="preserve">activities </w:t>
      </w:r>
      <w:r>
        <w:t xml:space="preserve">and </w:t>
      </w:r>
      <w:r w:rsidR="005145CC">
        <w:t xml:space="preserve">the understanding of </w:t>
      </w:r>
      <w:r>
        <w:t>barriers to adoption</w:t>
      </w:r>
      <w:r w:rsidR="00B25C0E">
        <w:t xml:space="preserve">. </w:t>
      </w:r>
      <w:r w:rsidR="00B23780">
        <w:t xml:space="preserve">Data </w:t>
      </w:r>
      <w:r w:rsidR="008369BB">
        <w:t xml:space="preserve">received is variable across projects and there is an opportunity for the department </w:t>
      </w:r>
      <w:r w:rsidR="003248CB">
        <w:t xml:space="preserve">to </w:t>
      </w:r>
      <w:r w:rsidR="008369BB">
        <w:t>collect</w:t>
      </w:r>
      <w:r w:rsidR="00B23780">
        <w:t xml:space="preserve"> information more consistently</w:t>
      </w:r>
      <w:r w:rsidR="008369BB">
        <w:t xml:space="preserve">, so </w:t>
      </w:r>
      <w:r w:rsidR="00B23780">
        <w:t xml:space="preserve">that </w:t>
      </w:r>
      <w:r w:rsidR="008369BB">
        <w:t>it can be aggregated and analysed at a program level</w:t>
      </w:r>
      <w:r w:rsidR="00B25C0E">
        <w:t xml:space="preserve">. </w:t>
      </w:r>
      <w:r w:rsidR="008369BB">
        <w:t>This could be done as part of developing a Monitoring and Evaluation (M&amp;E) Framework</w:t>
      </w:r>
      <w:r w:rsidR="00B23780">
        <w:t>,</w:t>
      </w:r>
      <w:r w:rsidR="008369BB">
        <w:t xml:space="preserve"> discussed in </w:t>
      </w:r>
      <w:r w:rsidR="008369BB" w:rsidRPr="0056424D">
        <w:t xml:space="preserve">section </w:t>
      </w:r>
      <w:r w:rsidR="00831D42" w:rsidRPr="0056424D">
        <w:t>4</w:t>
      </w:r>
      <w:r w:rsidR="00BA29A0" w:rsidRPr="0056424D">
        <w:t>.3</w:t>
      </w:r>
      <w:r w:rsidR="00B25C0E">
        <w:t xml:space="preserve">. </w:t>
      </w:r>
    </w:p>
    <w:p w14:paraId="67325C84" w14:textId="30FFDB85" w:rsidR="001F6F0D" w:rsidRDefault="005145CC" w:rsidP="00591605">
      <w:r>
        <w:t>As more projects mature and are completed</w:t>
      </w:r>
      <w:r w:rsidR="00604D93">
        <w:t>,</w:t>
      </w:r>
      <w:r>
        <w:t xml:space="preserve"> the store of information </w:t>
      </w:r>
      <w:r w:rsidR="003C072A">
        <w:t>relating to</w:t>
      </w:r>
      <w:r>
        <w:t xml:space="preserve"> lessons learned </w:t>
      </w:r>
      <w:r w:rsidR="003C072A">
        <w:t xml:space="preserve">about extension and adoption of rural R&amp;D </w:t>
      </w:r>
      <w:r w:rsidR="00604D93">
        <w:t xml:space="preserve">will be significant and valuable to share with the broader </w:t>
      </w:r>
      <w:r w:rsidR="008566A8">
        <w:t xml:space="preserve">rural </w:t>
      </w:r>
      <w:r w:rsidR="00604D93">
        <w:t>R&amp;D community</w:t>
      </w:r>
      <w:r w:rsidR="00B25C0E">
        <w:t xml:space="preserve">. </w:t>
      </w:r>
    </w:p>
    <w:p w14:paraId="12142CE4" w14:textId="77777777" w:rsidR="00965A84" w:rsidRPr="00565949" w:rsidRDefault="00965A84" w:rsidP="00565949">
      <w:pPr>
        <w:rPr>
          <w:rStyle w:val="Strong"/>
        </w:rPr>
      </w:pPr>
      <w:r w:rsidRPr="00565949">
        <w:rPr>
          <w:rStyle w:val="Strong"/>
        </w:rPr>
        <w:t>RDCs</w:t>
      </w:r>
    </w:p>
    <w:p w14:paraId="2B0AE0C0" w14:textId="21469CA4" w:rsidR="00965A84" w:rsidRPr="00965A84" w:rsidRDefault="009453DB" w:rsidP="00965A84">
      <w:r>
        <w:t>Most RDCs indicated that despite some difficulties in demonstrating ext</w:t>
      </w:r>
      <w:r w:rsidR="00C8567E">
        <w:t>ension and adoption within</w:t>
      </w:r>
      <w:r>
        <w:t xml:space="preserve"> project timeframe</w:t>
      </w:r>
      <w:r w:rsidR="00C8567E">
        <w:t>s</w:t>
      </w:r>
      <w:r w:rsidR="00DA1196">
        <w:t xml:space="preserve">, </w:t>
      </w:r>
      <w:r>
        <w:t>they felt confident that projects were either already showing, or were on the way to showing actual extension and adoption</w:t>
      </w:r>
      <w:r w:rsidR="00B25C0E">
        <w:t xml:space="preserve">. </w:t>
      </w:r>
      <w:r>
        <w:t>They highlighted that a key factor in this was due to project design, whereby actual end users</w:t>
      </w:r>
      <w:r w:rsidR="00A960C1">
        <w:t>,</w:t>
      </w:r>
      <w:r>
        <w:t xml:space="preserve"> or industry </w:t>
      </w:r>
      <w:r w:rsidR="006C01F9">
        <w:t>participants</w:t>
      </w:r>
      <w:r>
        <w:t xml:space="preserve"> were involved as partners and testers of the technology</w:t>
      </w:r>
      <w:r w:rsidR="00B25C0E">
        <w:t xml:space="preserve">. </w:t>
      </w:r>
      <w:r w:rsidR="00B72B48">
        <w:t>Therefore,</w:t>
      </w:r>
      <w:r>
        <w:t xml:space="preserve"> extension and adoption activities were embed</w:t>
      </w:r>
      <w:r w:rsidR="00F17B99">
        <w:t>d</w:t>
      </w:r>
      <w:r>
        <w:t>ed throughout the lifecycle of the project</w:t>
      </w:r>
      <w:r w:rsidR="00B25C0E">
        <w:t xml:space="preserve">. </w:t>
      </w:r>
    </w:p>
    <w:p w14:paraId="5B5CE8E2" w14:textId="77777777" w:rsidR="00E45B31" w:rsidRPr="00565949" w:rsidRDefault="00E45B31" w:rsidP="00565949">
      <w:pPr>
        <w:rPr>
          <w:rStyle w:val="Strong"/>
        </w:rPr>
      </w:pPr>
      <w:r w:rsidRPr="00565949">
        <w:rPr>
          <w:rStyle w:val="Strong"/>
        </w:rPr>
        <w:t>Partner organisations</w:t>
      </w:r>
    </w:p>
    <w:p w14:paraId="165F1CB7" w14:textId="230A9842" w:rsidR="00A960C1" w:rsidRDefault="00E2704E" w:rsidP="00591605">
      <w:r>
        <w:t>Nearly all partner organisation survey respondents indicated that their projects have, or will strengthe</w:t>
      </w:r>
      <w:r w:rsidR="00A90344">
        <w:t>n pathways to adoption and that there will be evidence of adoption by primary producers before the conclusion of the program</w:t>
      </w:r>
      <w:r w:rsidR="00B25C0E">
        <w:t xml:space="preserve">. </w:t>
      </w:r>
      <w:r w:rsidR="00A90344">
        <w:t>80</w:t>
      </w:r>
      <w:r w:rsidR="009839F5">
        <w:t>% indicated that their projects will inform better understanding of barriers to adoption</w:t>
      </w:r>
      <w:r w:rsidR="00B25C0E">
        <w:t xml:space="preserve">. </w:t>
      </w:r>
    </w:p>
    <w:p w14:paraId="59DD608F" w14:textId="0D9380CB" w:rsidR="00E2704E" w:rsidRDefault="008D1761" w:rsidP="00591605">
      <w:r>
        <w:t xml:space="preserve">Qualitative feedback </w:t>
      </w:r>
      <w:r w:rsidR="00294078">
        <w:t xml:space="preserve">in the survey </w:t>
      </w:r>
      <w:r>
        <w:t xml:space="preserve">highlighted the complex and multifaceted nature of barriers to adoption </w:t>
      </w:r>
      <w:r w:rsidR="00A960C1">
        <w:t xml:space="preserve">and identified the importance of designing extension activities </w:t>
      </w:r>
      <w:r>
        <w:t>to suit</w:t>
      </w:r>
      <w:r w:rsidR="00A960C1">
        <w:t xml:space="preserve"> </w:t>
      </w:r>
      <w:r>
        <w:t xml:space="preserve">the </w:t>
      </w:r>
      <w:r w:rsidR="00760D0A">
        <w:t>specific nature of the research</w:t>
      </w:r>
      <w:r w:rsidR="00CA08CB">
        <w:t xml:space="preserve">, </w:t>
      </w:r>
      <w:r>
        <w:t xml:space="preserve">the </w:t>
      </w:r>
      <w:r w:rsidR="00760D0A">
        <w:t xml:space="preserve">needs of the </w:t>
      </w:r>
      <w:r>
        <w:t>industry group</w:t>
      </w:r>
      <w:r w:rsidR="00CA08CB">
        <w:t xml:space="preserve">, </w:t>
      </w:r>
      <w:r w:rsidR="00A960C1">
        <w:t xml:space="preserve">and </w:t>
      </w:r>
      <w:r>
        <w:t>the local environment</w:t>
      </w:r>
      <w:r w:rsidR="00B25C0E">
        <w:t xml:space="preserve">. </w:t>
      </w:r>
      <w:r>
        <w:t>For example:</w:t>
      </w:r>
    </w:p>
    <w:p w14:paraId="1CCE441D" w14:textId="5450B69D" w:rsidR="008D1761" w:rsidRPr="00A960C1" w:rsidRDefault="008D1761" w:rsidP="0067112F">
      <w:pPr>
        <w:pStyle w:val="Quote"/>
      </w:pPr>
      <w:r w:rsidRPr="00A960C1">
        <w:t>Our project is looking specifically at barriers to adoption and developing a strategy to address these barriers</w:t>
      </w:r>
      <w:r w:rsidR="00B25C0E">
        <w:t xml:space="preserve">. </w:t>
      </w:r>
      <w:r w:rsidRPr="00A960C1">
        <w:t>Barriers to adoption are being shown to be complex (there are multiple barriers) and different strategies and approaches are required</w:t>
      </w:r>
      <w:r w:rsidR="00B25C0E">
        <w:t xml:space="preserve">. </w:t>
      </w:r>
      <w:r w:rsidRPr="00A960C1">
        <w:t xml:space="preserve">Extension and adoption activities are likely to be required to extend beyond the life of the project and we will need to develop a </w:t>
      </w:r>
      <w:r w:rsidR="00A960C1">
        <w:t>strategy to deal with this</w:t>
      </w:r>
      <w:r w:rsidR="00B25C0E">
        <w:t xml:space="preserve">. </w:t>
      </w:r>
    </w:p>
    <w:p w14:paraId="3017D12C" w14:textId="77777777" w:rsidR="00413272" w:rsidRPr="00A960C1" w:rsidRDefault="00413272" w:rsidP="0067112F">
      <w:pPr>
        <w:pStyle w:val="Quote"/>
      </w:pPr>
      <w:r w:rsidRPr="00A960C1">
        <w:t xml:space="preserve">Communication and appropriate reporting for the specific intended audience is </w:t>
      </w:r>
      <w:r w:rsidR="00EF134F" w:rsidRPr="00A960C1">
        <w:t>crucial</w:t>
      </w:r>
      <w:r w:rsidRPr="00A960C1">
        <w:t xml:space="preserve"> to develop participation in the project</w:t>
      </w:r>
      <w:r w:rsidR="0068069A">
        <w:t>,</w:t>
      </w:r>
      <w:r w:rsidRPr="00A960C1">
        <w:t xml:space="preserve"> and adoption of the </w:t>
      </w:r>
      <w:r w:rsidR="0068069A">
        <w:t xml:space="preserve">system and the project outcomes. </w:t>
      </w:r>
    </w:p>
    <w:p w14:paraId="1CC04726" w14:textId="70FAADB3" w:rsidR="00A04D90" w:rsidRDefault="00E666E2" w:rsidP="00A04D90">
      <w:r>
        <w:t>Survey c</w:t>
      </w:r>
      <w:r w:rsidR="00A04D90">
        <w:t xml:space="preserve">omments also highlighted the importance of addressing the </w:t>
      </w:r>
      <w:r w:rsidR="00AD067A">
        <w:t>social</w:t>
      </w:r>
      <w:r w:rsidR="00A04D90">
        <w:t xml:space="preserve"> element</w:t>
      </w:r>
      <w:r w:rsidR="00AD067A">
        <w:t>s</w:t>
      </w:r>
      <w:r w:rsidR="00A04D90">
        <w:t xml:space="preserve"> of extension and adoption activities</w:t>
      </w:r>
      <w:r w:rsidR="00B25C0E">
        <w:t xml:space="preserve">. </w:t>
      </w:r>
      <w:r w:rsidR="00F64BE6">
        <w:t>For example:</w:t>
      </w:r>
    </w:p>
    <w:p w14:paraId="17763F32" w14:textId="77777777" w:rsidR="00B84CF6" w:rsidRPr="00AD067A" w:rsidRDefault="00A04D90" w:rsidP="0067112F">
      <w:pPr>
        <w:pStyle w:val="Quote"/>
      </w:pPr>
      <w:r w:rsidRPr="00AD067A">
        <w:t>Our p</w:t>
      </w:r>
      <w:r w:rsidR="00B84CF6" w:rsidRPr="00AD067A">
        <w:t xml:space="preserve">roject has </w:t>
      </w:r>
      <w:r w:rsidRPr="00AD067A">
        <w:t xml:space="preserve">a </w:t>
      </w:r>
      <w:r w:rsidR="00B84CF6" w:rsidRPr="00AD067A">
        <w:t>specific social science aspect</w:t>
      </w:r>
      <w:r w:rsidRPr="00AD067A">
        <w:t xml:space="preserve"> -</w:t>
      </w:r>
      <w:r w:rsidR="00B84CF6" w:rsidRPr="00AD067A">
        <w:t xml:space="preserve"> to understand the challenges and </w:t>
      </w:r>
      <w:r w:rsidR="00EF134F" w:rsidRPr="00AD067A">
        <w:t>limitations</w:t>
      </w:r>
      <w:r w:rsidR="00B84CF6" w:rsidRPr="00AD067A">
        <w:t xml:space="preserve"> of im</w:t>
      </w:r>
      <w:r w:rsidRPr="00AD067A">
        <w:t>plementing the new technology</w:t>
      </w:r>
      <w:r w:rsidR="00CA08CB">
        <w:t>.</w:t>
      </w:r>
    </w:p>
    <w:p w14:paraId="2E631218" w14:textId="3A956EC0" w:rsidR="00A04D90" w:rsidRPr="00AD067A" w:rsidRDefault="00A04D90" w:rsidP="0067112F">
      <w:pPr>
        <w:pStyle w:val="Quote"/>
      </w:pPr>
      <w:r w:rsidRPr="00AD067A">
        <w:t>Regional networks are vital for extension, working with the private sector requires considerable effort and trust</w:t>
      </w:r>
      <w:r w:rsidR="00B25C0E">
        <w:t xml:space="preserve">. </w:t>
      </w:r>
    </w:p>
    <w:p w14:paraId="29B9EDA6" w14:textId="77777777" w:rsidR="00036383" w:rsidRPr="00747327" w:rsidRDefault="00042112" w:rsidP="00421A84">
      <w:pPr>
        <w:pStyle w:val="Heading4"/>
      </w:pPr>
      <w:bookmarkStart w:id="40" w:name="_Toc480733554"/>
      <w:bookmarkStart w:id="41" w:name="_Toc480733555"/>
      <w:bookmarkStart w:id="42" w:name="_Toc480733557"/>
      <w:bookmarkStart w:id="43" w:name="_Toc480733558"/>
      <w:bookmarkStart w:id="44" w:name="_Toc480733559"/>
      <w:bookmarkStart w:id="45" w:name="_Toc480733560"/>
      <w:bookmarkStart w:id="46" w:name="_Toc480733561"/>
      <w:bookmarkStart w:id="47" w:name="_Toc480733562"/>
      <w:bookmarkEnd w:id="39"/>
      <w:bookmarkEnd w:id="40"/>
      <w:bookmarkEnd w:id="41"/>
      <w:bookmarkEnd w:id="42"/>
      <w:bookmarkEnd w:id="43"/>
      <w:bookmarkEnd w:id="44"/>
      <w:bookmarkEnd w:id="45"/>
      <w:bookmarkEnd w:id="46"/>
      <w:bookmarkEnd w:id="47"/>
      <w:r>
        <w:t xml:space="preserve">Case </w:t>
      </w:r>
      <w:r w:rsidR="00036383">
        <w:t xml:space="preserve">study - </w:t>
      </w:r>
      <w:r w:rsidR="00036383" w:rsidRPr="00747327">
        <w:t>Simulating private sector extension in Australian agriculture to increase returns from R&amp;D</w:t>
      </w:r>
    </w:p>
    <w:p w14:paraId="5CDEC55B" w14:textId="0B14EBA4" w:rsidR="00042112" w:rsidRDefault="00BA65B9" w:rsidP="00421A84">
      <w:pPr>
        <w:spacing w:before="200"/>
      </w:pPr>
      <w:r>
        <w:t xml:space="preserve">A </w:t>
      </w:r>
      <w:r w:rsidR="00036383">
        <w:t>Round 1</w:t>
      </w:r>
      <w:r w:rsidR="00A53FCD">
        <w:t xml:space="preserve"> project, </w:t>
      </w:r>
      <w:r>
        <w:t>receiving $1,595,000 Commonwealth funding, $810,000 in cash and $785,000 in-kind</w:t>
      </w:r>
      <w:r w:rsidR="00B25C0E">
        <w:t xml:space="preserve">. </w:t>
      </w:r>
      <w:r w:rsidR="00842D63">
        <w:t>It c</w:t>
      </w:r>
      <w:r w:rsidR="00A53FCD">
        <w:t>ommenced in</w:t>
      </w:r>
      <w:r w:rsidR="00036383">
        <w:t xml:space="preserve"> mid 2015</w:t>
      </w:r>
      <w:r>
        <w:t xml:space="preserve"> and </w:t>
      </w:r>
      <w:r w:rsidR="00842D63">
        <w:t xml:space="preserve">is </w:t>
      </w:r>
      <w:r w:rsidR="00A53FCD">
        <w:t>d</w:t>
      </w:r>
      <w:r w:rsidR="00036383">
        <w:t>ue for completion mid 2018</w:t>
      </w:r>
      <w:r>
        <w:t>.</w:t>
      </w:r>
    </w:p>
    <w:p w14:paraId="69461BE8" w14:textId="6C0F4717" w:rsidR="002F704D" w:rsidRDefault="002F704D" w:rsidP="00E20BBE">
      <w:r>
        <w:t>This is a large inter-RDC collaboration</w:t>
      </w:r>
      <w:r w:rsidR="00B25C0E">
        <w:t xml:space="preserve">. </w:t>
      </w:r>
      <w:r>
        <w:t xml:space="preserve">Lead by </w:t>
      </w:r>
      <w:r w:rsidR="00036383">
        <w:t>DAL</w:t>
      </w:r>
      <w:r>
        <w:t xml:space="preserve">, it includes </w:t>
      </w:r>
      <w:r w:rsidR="00036383">
        <w:t>MLA</w:t>
      </w:r>
      <w:r>
        <w:t xml:space="preserve">, </w:t>
      </w:r>
      <w:r w:rsidR="00036383">
        <w:t>CRDC</w:t>
      </w:r>
      <w:r>
        <w:t xml:space="preserve">, </w:t>
      </w:r>
      <w:r w:rsidR="00036383">
        <w:t>APL</w:t>
      </w:r>
      <w:r>
        <w:t xml:space="preserve">, </w:t>
      </w:r>
      <w:r w:rsidR="00036383">
        <w:t>HIAL</w:t>
      </w:r>
      <w:r>
        <w:t xml:space="preserve"> an</w:t>
      </w:r>
      <w:r w:rsidR="00724DE4">
        <w:t>d</w:t>
      </w:r>
      <w:r>
        <w:t xml:space="preserve"> SRA</w:t>
      </w:r>
      <w:r w:rsidR="00B25C0E">
        <w:t xml:space="preserve">. </w:t>
      </w:r>
      <w:r>
        <w:t xml:space="preserve">Other partner organisations include </w:t>
      </w:r>
      <w:r w:rsidR="00036383" w:rsidRPr="006A0107">
        <w:t>University of Melbourne</w:t>
      </w:r>
      <w:r>
        <w:t xml:space="preserve">, </w:t>
      </w:r>
      <w:r w:rsidR="00036383" w:rsidRPr="006A0107">
        <w:t>Victorian Government Department of Economic Development, Jobs, Transport and Resources</w:t>
      </w:r>
      <w:r w:rsidR="000D71BC">
        <w:t xml:space="preserve"> and </w:t>
      </w:r>
      <w:r w:rsidR="00036383" w:rsidRPr="006A0107">
        <w:t>NSW Department of Primary</w:t>
      </w:r>
      <w:r w:rsidR="00036383">
        <w:t xml:space="preserve"> Industries</w:t>
      </w:r>
      <w:r>
        <w:t>.</w:t>
      </w:r>
    </w:p>
    <w:p w14:paraId="41A98A0B" w14:textId="6A909456" w:rsidR="00467C07" w:rsidRDefault="00125D0C" w:rsidP="00467C07">
      <w:r>
        <w:t xml:space="preserve">This project is one of </w:t>
      </w:r>
      <w:r w:rsidR="00AF6C5F">
        <w:t xml:space="preserve">two </w:t>
      </w:r>
      <w:r>
        <w:t>projects solely focus</w:t>
      </w:r>
      <w:r w:rsidR="009C5BB1">
        <w:t>ed</w:t>
      </w:r>
      <w:r>
        <w:t xml:space="preserve"> on extension</w:t>
      </w:r>
      <w:r w:rsidR="00B25C0E">
        <w:t xml:space="preserve">. </w:t>
      </w:r>
      <w:r w:rsidR="005E5C8F">
        <w:t>It is a n</w:t>
      </w:r>
      <w:r w:rsidR="00036383">
        <w:t>ational project conducting research and developing models to increase capacity of commercial and private-sector extension services to deliver research and development outputs on-farm</w:t>
      </w:r>
      <w:r w:rsidR="00B25C0E">
        <w:t xml:space="preserve">. </w:t>
      </w:r>
      <w:r w:rsidR="00467C07">
        <w:t xml:space="preserve">A project website has been developed </w:t>
      </w:r>
      <w:hyperlink r:id="rId28" w:history="1">
        <w:r w:rsidR="00467C07" w:rsidRPr="00317798">
          <w:rPr>
            <w:rStyle w:val="Hyperlink"/>
          </w:rPr>
          <w:t>http://rirg.fvas.unimelb.edu.au/ag-extension</w:t>
        </w:r>
      </w:hyperlink>
      <w:r w:rsidR="00467C07">
        <w:t xml:space="preserve"> containing publications and communication materials.</w:t>
      </w:r>
    </w:p>
    <w:p w14:paraId="20219E04" w14:textId="77777777" w:rsidR="00036383" w:rsidRDefault="00D5554B" w:rsidP="00E20BBE">
      <w:r>
        <w:t>Project activities have included:</w:t>
      </w:r>
    </w:p>
    <w:p w14:paraId="44B7C702" w14:textId="77777777" w:rsidR="00036383" w:rsidRDefault="00036383" w:rsidP="00565949">
      <w:pPr>
        <w:pStyle w:val="ListBullet"/>
      </w:pPr>
      <w:r>
        <w:t>an Australia wide survey of farmers and advisors to develop a national picture of needs for extension skills training</w:t>
      </w:r>
    </w:p>
    <w:p w14:paraId="595A8379" w14:textId="77777777" w:rsidR="00036383" w:rsidRDefault="000D71BC" w:rsidP="00565949">
      <w:pPr>
        <w:pStyle w:val="ListBullet"/>
      </w:pPr>
      <w:r>
        <w:t>forums, workshops and</w:t>
      </w:r>
      <w:r w:rsidR="00036383">
        <w:t xml:space="preserve"> research throughout Australia  </w:t>
      </w:r>
    </w:p>
    <w:p w14:paraId="00729A71" w14:textId="1C875A0D" w:rsidR="00036383" w:rsidRDefault="00036383" w:rsidP="00565949">
      <w:pPr>
        <w:pStyle w:val="ListBullet"/>
      </w:pPr>
      <w:r>
        <w:t>action research case studies in four trial sites</w:t>
      </w:r>
      <w:r w:rsidR="00B25C0E">
        <w:t xml:space="preserve">. </w:t>
      </w:r>
    </w:p>
    <w:p w14:paraId="479BA097" w14:textId="77777777" w:rsidR="00036383" w:rsidRDefault="00036383" w:rsidP="00E20BBE">
      <w:r>
        <w:t xml:space="preserve">Results </w:t>
      </w:r>
      <w:r w:rsidR="00CA08CB">
        <w:t xml:space="preserve">achieved </w:t>
      </w:r>
      <w:r w:rsidR="00D5554B">
        <w:t>to date include:</w:t>
      </w:r>
      <w:r>
        <w:t xml:space="preserve"> </w:t>
      </w:r>
    </w:p>
    <w:p w14:paraId="386C9BE5" w14:textId="77777777" w:rsidR="00036383" w:rsidRDefault="008D2340" w:rsidP="00565949">
      <w:pPr>
        <w:pStyle w:val="ListBullet"/>
      </w:pPr>
      <w:r>
        <w:t>k</w:t>
      </w:r>
      <w:r w:rsidR="00036383">
        <w:t>nowledge of end user preferences and demand for extension services</w:t>
      </w:r>
    </w:p>
    <w:p w14:paraId="39A579BB" w14:textId="77777777" w:rsidR="00036383" w:rsidRDefault="008D2340" w:rsidP="00565949">
      <w:pPr>
        <w:pStyle w:val="ListBullet"/>
      </w:pPr>
      <w:r>
        <w:t>b</w:t>
      </w:r>
      <w:r w:rsidR="00036383">
        <w:t>etter understanding of the emerging role of brokers within the RD&amp;E system</w:t>
      </w:r>
    </w:p>
    <w:p w14:paraId="1C3BD719" w14:textId="77777777" w:rsidR="00036383" w:rsidRDefault="008D2340" w:rsidP="00565949">
      <w:pPr>
        <w:pStyle w:val="ListBullet"/>
      </w:pPr>
      <w:r>
        <w:t>c</w:t>
      </w:r>
      <w:r w:rsidR="00036383">
        <w:t>areer pathways for building private and public agriculture extension capacity through training new and retaining extension professionals</w:t>
      </w:r>
      <w:r w:rsidR="004F0DE6">
        <w:t>.</w:t>
      </w:r>
    </w:p>
    <w:p w14:paraId="3EB79D98" w14:textId="77777777" w:rsidR="004F0DE6" w:rsidRDefault="0015715B" w:rsidP="0015715B">
      <w:r>
        <w:t>Project participa</w:t>
      </w:r>
      <w:r w:rsidR="004F0DE6">
        <w:t>n</w:t>
      </w:r>
      <w:r>
        <w:t>t</w:t>
      </w:r>
      <w:r w:rsidR="004F0DE6">
        <w:t>s interviewed commented on changes in the exten</w:t>
      </w:r>
      <w:r>
        <w:t>sion sector, and the applicability o</w:t>
      </w:r>
      <w:r w:rsidR="00D07C2C">
        <w:t>f this project to filling gaps:</w:t>
      </w:r>
      <w:r>
        <w:t xml:space="preserve"> </w:t>
      </w:r>
    </w:p>
    <w:p w14:paraId="25259CF3" w14:textId="77777777" w:rsidR="004F0DE6" w:rsidRPr="001A37A0" w:rsidRDefault="004F0DE6" w:rsidP="00565949">
      <w:pPr>
        <w:pStyle w:val="Quote"/>
      </w:pPr>
      <w:r w:rsidRPr="001A37A0">
        <w:t>The linear approach to extension doesn’t work anymore.</w:t>
      </w:r>
    </w:p>
    <w:p w14:paraId="2F02C9C1" w14:textId="77777777" w:rsidR="004F0DE6" w:rsidRPr="001A37A0" w:rsidRDefault="004F0DE6" w:rsidP="00565949">
      <w:pPr>
        <w:pStyle w:val="Quote"/>
      </w:pPr>
      <w:r w:rsidRPr="001A37A0">
        <w:t>Extension networks have been eroded over the years</w:t>
      </w:r>
      <w:r w:rsidR="00CA08CB">
        <w:t>.</w:t>
      </w:r>
    </w:p>
    <w:p w14:paraId="1902C2CA" w14:textId="77777777" w:rsidR="004F0DE6" w:rsidRPr="001A37A0" w:rsidRDefault="004F0DE6" w:rsidP="00565949">
      <w:pPr>
        <w:pStyle w:val="Quote"/>
      </w:pPr>
      <w:r w:rsidRPr="001A37A0">
        <w:t>There’s lots of research not getting out to the farms</w:t>
      </w:r>
      <w:r w:rsidR="00CA08CB">
        <w:t>.</w:t>
      </w:r>
    </w:p>
    <w:p w14:paraId="19F77269" w14:textId="61C6EF74" w:rsidR="001A37A0" w:rsidRPr="001A37A0" w:rsidRDefault="001A37A0" w:rsidP="006C0C85">
      <w:r w:rsidRPr="001A37A0">
        <w:t>The approach to the project has been inclusive of industry, including in the trial sites, and this was regarded as a key contributing factor to the momentum of the project</w:t>
      </w:r>
      <w:r w:rsidR="00B25C0E">
        <w:t xml:space="preserve">. </w:t>
      </w:r>
      <w:r w:rsidR="006C0C85">
        <w:t>It was highlighted as being p</w:t>
      </w:r>
      <w:r w:rsidR="006C0C85" w:rsidRPr="001A37A0">
        <w:t>ractical research where all partners have learned from the project</w:t>
      </w:r>
      <w:r w:rsidR="00B25C0E">
        <w:t xml:space="preserve">. </w:t>
      </w:r>
      <w:r w:rsidRPr="001A37A0">
        <w:t>As identified by project participants interviewed:</w:t>
      </w:r>
    </w:p>
    <w:p w14:paraId="44ECF45F" w14:textId="77777777" w:rsidR="006C0C85" w:rsidRPr="006C0C85" w:rsidRDefault="006C0C85" w:rsidP="00565949">
      <w:pPr>
        <w:pStyle w:val="Quote"/>
      </w:pPr>
      <w:r w:rsidRPr="006C0C85">
        <w:t>We’ve gained real insight into issues and challenges in private secto</w:t>
      </w:r>
      <w:r w:rsidR="00CF16D1">
        <w:t>r extension.</w:t>
      </w:r>
    </w:p>
    <w:p w14:paraId="5167AC43" w14:textId="12FB48A5" w:rsidR="001A37A0" w:rsidRPr="001A37A0" w:rsidRDefault="001A37A0" w:rsidP="00565949">
      <w:pPr>
        <w:pStyle w:val="Quote"/>
      </w:pPr>
      <w:r w:rsidRPr="001A37A0">
        <w:t>You can’t just come up with a model for engagement</w:t>
      </w:r>
      <w:r w:rsidR="00B25C0E">
        <w:t xml:space="preserve">. </w:t>
      </w:r>
      <w:r w:rsidRPr="001A37A0">
        <w:t>Farmers have to feel part of the solution</w:t>
      </w:r>
      <w:r w:rsidR="00B25C0E">
        <w:t xml:space="preserve">. </w:t>
      </w:r>
    </w:p>
    <w:p w14:paraId="114878AF" w14:textId="299BF871" w:rsidR="001A37A0" w:rsidRPr="001A37A0" w:rsidRDefault="001A37A0" w:rsidP="00565949">
      <w:pPr>
        <w:pStyle w:val="Quote"/>
      </w:pPr>
      <w:r w:rsidRPr="001A37A0">
        <w:t>Processors have really appreciated the opportunity to focus on their own business</w:t>
      </w:r>
      <w:r w:rsidR="00B25C0E">
        <w:t xml:space="preserve">. </w:t>
      </w:r>
    </w:p>
    <w:p w14:paraId="244A8C18" w14:textId="77777777" w:rsidR="001A37A0" w:rsidRPr="001A37A0" w:rsidRDefault="001A37A0" w:rsidP="00565949">
      <w:pPr>
        <w:pStyle w:val="Quote"/>
      </w:pPr>
      <w:r w:rsidRPr="001A37A0">
        <w:t>Would not have had this level of buy in without trials in situ</w:t>
      </w:r>
      <w:r w:rsidR="00CA08CB">
        <w:t>.</w:t>
      </w:r>
    </w:p>
    <w:p w14:paraId="5AED493D" w14:textId="77777777" w:rsidR="00141ED0" w:rsidRPr="00747327" w:rsidRDefault="00141ED0" w:rsidP="00421A84">
      <w:pPr>
        <w:pStyle w:val="Heading4"/>
      </w:pPr>
      <w:r>
        <w:t xml:space="preserve">Case study </w:t>
      </w:r>
      <w:r w:rsidR="00921F3D">
        <w:t>–</w:t>
      </w:r>
      <w:r>
        <w:t xml:space="preserve"> </w:t>
      </w:r>
      <w:bookmarkStart w:id="48" w:name="_Hlk499728466"/>
      <w:r>
        <w:t>Consolidated</w:t>
      </w:r>
      <w:r w:rsidR="00921F3D">
        <w:t>,</w:t>
      </w:r>
      <w:r>
        <w:t xml:space="preserve"> targeted and practical extension services for Australian farmers and fishers</w:t>
      </w:r>
      <w:bookmarkEnd w:id="48"/>
    </w:p>
    <w:p w14:paraId="5C1F7ECD" w14:textId="3BB722D2" w:rsidR="006912A5" w:rsidRDefault="00E26F14" w:rsidP="00421A84">
      <w:pPr>
        <w:spacing w:before="200"/>
      </w:pPr>
      <w:r>
        <w:t xml:space="preserve">This is the only completed </w:t>
      </w:r>
      <w:r w:rsidR="00862DB8">
        <w:t xml:space="preserve">Rural R&amp;D for Profit </w:t>
      </w:r>
      <w:r>
        <w:t>project to date</w:t>
      </w:r>
      <w:r w:rsidR="005B47D8">
        <w:t>, and one of the two projects focused on extension</w:t>
      </w:r>
      <w:r w:rsidR="00CD027F">
        <w:t>. This was a</w:t>
      </w:r>
      <w:r w:rsidR="003C3800">
        <w:t xml:space="preserve"> </w:t>
      </w:r>
      <w:r w:rsidR="00141ED0">
        <w:t>Round 1</w:t>
      </w:r>
      <w:r>
        <w:t xml:space="preserve"> project, commenc</w:t>
      </w:r>
      <w:r w:rsidR="00CA08CB">
        <w:t>ing</w:t>
      </w:r>
      <w:r>
        <w:t xml:space="preserve"> in </w:t>
      </w:r>
      <w:r w:rsidR="00CA08CB">
        <w:br/>
      </w:r>
      <w:r w:rsidR="00141ED0">
        <w:t>mid</w:t>
      </w:r>
      <w:r w:rsidR="00CA08CB">
        <w:t>-</w:t>
      </w:r>
      <w:r w:rsidR="00141ED0">
        <w:t>2015</w:t>
      </w:r>
      <w:r w:rsidR="003C3800">
        <w:t xml:space="preserve"> and c</w:t>
      </w:r>
      <w:r w:rsidR="00141ED0">
        <w:t xml:space="preserve">ompleted </w:t>
      </w:r>
      <w:r w:rsidR="00CA08CB">
        <w:t xml:space="preserve">in </w:t>
      </w:r>
      <w:r w:rsidR="00141ED0">
        <w:t>December 2016</w:t>
      </w:r>
      <w:r w:rsidR="00B25C0E">
        <w:t xml:space="preserve">. </w:t>
      </w:r>
      <w:r w:rsidR="00B76122">
        <w:t>It r</w:t>
      </w:r>
      <w:r w:rsidR="000F0713">
        <w:t xml:space="preserve">eceived </w:t>
      </w:r>
      <w:r w:rsidR="000F0713" w:rsidRPr="000F0713">
        <w:t xml:space="preserve">$815,000 </w:t>
      </w:r>
      <w:r w:rsidR="000F0713">
        <w:t xml:space="preserve">in Commonwealth funding </w:t>
      </w:r>
      <w:r w:rsidR="000F0713" w:rsidRPr="000F0713">
        <w:t xml:space="preserve">and </w:t>
      </w:r>
      <w:r w:rsidR="000F0713">
        <w:t xml:space="preserve">partner contributions of </w:t>
      </w:r>
      <w:r w:rsidR="000F0713" w:rsidRPr="000F0713">
        <w:t>$600,000 cash</w:t>
      </w:r>
      <w:r w:rsidR="000F0713">
        <w:t xml:space="preserve"> and $300,000 in-kin</w:t>
      </w:r>
      <w:r w:rsidR="000F0713" w:rsidRPr="000F0713">
        <w:t>d</w:t>
      </w:r>
      <w:r w:rsidR="00B25C0E">
        <w:t xml:space="preserve">. </w:t>
      </w:r>
    </w:p>
    <w:p w14:paraId="3F506FEA" w14:textId="30D75D8E" w:rsidR="00141ED0" w:rsidRDefault="006912A5" w:rsidP="00DB2862">
      <w:r>
        <w:t xml:space="preserve">This was </w:t>
      </w:r>
      <w:r w:rsidR="002C6AD1">
        <w:t xml:space="preserve">integrated </w:t>
      </w:r>
      <w:r w:rsidR="004833C7">
        <w:t xml:space="preserve">with the extension project </w:t>
      </w:r>
      <w:r w:rsidR="002C6AD1">
        <w:t>led by DAL – Simulating private sector extension in Australian agriculture to increase returns from R&amp;D (see case study</w:t>
      </w:r>
      <w:r w:rsidR="000B729F">
        <w:t xml:space="preserve"> at </w:t>
      </w:r>
      <w:r w:rsidR="000B729F" w:rsidRPr="00835399">
        <w:t>section 2.5.3</w:t>
      </w:r>
      <w:r w:rsidR="002C6AD1" w:rsidRPr="00835399">
        <w:t>)</w:t>
      </w:r>
      <w:r w:rsidR="00B25C0E">
        <w:t xml:space="preserve">. </w:t>
      </w:r>
      <w:r w:rsidR="00DB2862">
        <w:t>The project also involved collaboration</w:t>
      </w:r>
      <w:r w:rsidR="002C6AD1">
        <w:t xml:space="preserve"> with the Australasian Pacific Extension Network (APEN) and engaged with all state agencies</w:t>
      </w:r>
      <w:r w:rsidR="00B25C0E">
        <w:t xml:space="preserve">. </w:t>
      </w:r>
    </w:p>
    <w:p w14:paraId="0BE23E00" w14:textId="417DDC8A" w:rsidR="00141ED0" w:rsidRDefault="00684591" w:rsidP="00AE321B">
      <w:r>
        <w:t xml:space="preserve">Led by </w:t>
      </w:r>
      <w:r w:rsidR="00141ED0">
        <w:t>AgriFutures</w:t>
      </w:r>
      <w:r w:rsidR="009E2B09">
        <w:t xml:space="preserve"> Australia</w:t>
      </w:r>
      <w:r w:rsidR="000F0713">
        <w:t xml:space="preserve">, </w:t>
      </w:r>
      <w:bookmarkStart w:id="49" w:name="_Hlk499728478"/>
      <w:r w:rsidR="000F0713">
        <w:t>it included</w:t>
      </w:r>
      <w:r>
        <w:t xml:space="preserve"> partner organisations from </w:t>
      </w:r>
      <w:r w:rsidR="00141ED0">
        <w:t>NSW Local Land Services</w:t>
      </w:r>
      <w:r>
        <w:t xml:space="preserve">, </w:t>
      </w:r>
      <w:r w:rsidR="00141ED0">
        <w:t>NT Department of Primary Industry</w:t>
      </w:r>
      <w:r>
        <w:t xml:space="preserve">, </w:t>
      </w:r>
      <w:r w:rsidR="00141ED0">
        <w:t>Tasmanian Institute of Agriculture and Fisheries</w:t>
      </w:r>
      <w:r>
        <w:t xml:space="preserve">, </w:t>
      </w:r>
      <w:r w:rsidR="00141ED0">
        <w:t>University of Melbourne</w:t>
      </w:r>
      <w:r>
        <w:t xml:space="preserve"> and </w:t>
      </w:r>
      <w:r w:rsidR="00141ED0">
        <w:t xml:space="preserve">Victorian Government Department of Economic </w:t>
      </w:r>
      <w:bookmarkEnd w:id="49"/>
      <w:r w:rsidR="00141ED0">
        <w:t>Development, Jobs, Transport and Resources</w:t>
      </w:r>
      <w:r w:rsidR="00B25C0E">
        <w:t xml:space="preserve">. </w:t>
      </w:r>
    </w:p>
    <w:p w14:paraId="01713F40" w14:textId="6B9F4984" w:rsidR="00AC0107" w:rsidRDefault="00AC0107" w:rsidP="00AC0107">
      <w:r>
        <w:t xml:space="preserve">Note this project ran a number of forums – including two collaborative workshops with </w:t>
      </w:r>
      <w:r w:rsidRPr="00AC0107">
        <w:rPr>
          <w:u w:val="single"/>
        </w:rPr>
        <w:t>all 15 rural RDCs</w:t>
      </w:r>
      <w:r>
        <w:t>, state agencies and University of Melbourne</w:t>
      </w:r>
      <w:r w:rsidR="00B25C0E">
        <w:t xml:space="preserve">. </w:t>
      </w:r>
    </w:p>
    <w:p w14:paraId="70942508" w14:textId="77777777" w:rsidR="00752F6A" w:rsidRDefault="003B31A8" w:rsidP="00AE321B">
      <w:r>
        <w:t>The</w:t>
      </w:r>
      <w:r w:rsidR="005B47D8">
        <w:t xml:space="preserve"> project sought to</w:t>
      </w:r>
      <w:r w:rsidR="00752F6A">
        <w:t xml:space="preserve"> reverse some of the drivers of fragmentation impacting on delivery of extension services and to identify actions that would lead to improvements in the extension system and consolidate knowledge. </w:t>
      </w:r>
    </w:p>
    <w:p w14:paraId="7E5D993E" w14:textId="5FAA1701" w:rsidR="00752F6A" w:rsidRDefault="00C612E5" w:rsidP="00AE321B">
      <w:r>
        <w:t>The project was m</w:t>
      </w:r>
      <w:r w:rsidR="00752F6A">
        <w:t>anaged by a dedicated project manager employed by AgriFutures</w:t>
      </w:r>
      <w:r w:rsidR="00D92F2E">
        <w:t xml:space="preserve"> Australia</w:t>
      </w:r>
      <w:r w:rsidR="00752F6A">
        <w:t xml:space="preserve">, with an Expert Panel comprising extension experts from </w:t>
      </w:r>
      <w:r w:rsidR="00921F3D">
        <w:t xml:space="preserve">around Australia, and included </w:t>
      </w:r>
      <w:r w:rsidR="00752F6A">
        <w:t xml:space="preserve">representatives from all project partners </w:t>
      </w:r>
      <w:r w:rsidR="00921F3D">
        <w:t>to provide technical expertise</w:t>
      </w:r>
      <w:r w:rsidR="00B25C0E">
        <w:t xml:space="preserve">. </w:t>
      </w:r>
    </w:p>
    <w:p w14:paraId="67CCD622" w14:textId="77777777" w:rsidR="00752F6A" w:rsidRPr="005877BE" w:rsidRDefault="00752F6A" w:rsidP="00AE321B">
      <w:pPr>
        <w:rPr>
          <w:lang w:val="en-US"/>
        </w:rPr>
      </w:pPr>
      <w:r>
        <w:rPr>
          <w:lang w:val="en-US"/>
        </w:rPr>
        <w:t xml:space="preserve">Key </w:t>
      </w:r>
      <w:r w:rsidR="00040E8F">
        <w:rPr>
          <w:lang w:val="en-US"/>
        </w:rPr>
        <w:t>activities undertaken included:</w:t>
      </w:r>
    </w:p>
    <w:p w14:paraId="383FC4DF" w14:textId="54002FCD" w:rsidR="00752F6A" w:rsidRPr="002724B5" w:rsidRDefault="00CF16D1" w:rsidP="00565949">
      <w:pPr>
        <w:pStyle w:val="ListBullet"/>
      </w:pPr>
      <w:r>
        <w:t>a</w:t>
      </w:r>
      <w:r w:rsidR="00752F6A" w:rsidRPr="002724B5">
        <w:t>n evaluation of the current extension environment systems – to better understand system strengths and weaknesses, identify key players and their needs</w:t>
      </w:r>
      <w:r w:rsidR="00B25C0E">
        <w:t xml:space="preserve">. </w:t>
      </w:r>
      <w:r w:rsidR="00752F6A" w:rsidRPr="002724B5">
        <w:t>This included an assessment of current and potential future extension delivery approaches and how these could be used</w:t>
      </w:r>
      <w:r w:rsidR="00B25C0E">
        <w:t xml:space="preserve">. </w:t>
      </w:r>
    </w:p>
    <w:p w14:paraId="017075C8" w14:textId="77777777" w:rsidR="00752F6A" w:rsidRPr="002724B5" w:rsidRDefault="00CF16D1" w:rsidP="00565949">
      <w:pPr>
        <w:pStyle w:val="ListBullet"/>
      </w:pPr>
      <w:r>
        <w:t>i</w:t>
      </w:r>
      <w:r w:rsidR="00752F6A" w:rsidRPr="002724B5">
        <w:t>nformation and advice on strategic next steps to improve the efficiency of Australian primary industry extension.</w:t>
      </w:r>
    </w:p>
    <w:p w14:paraId="52633A2B" w14:textId="18B8C804" w:rsidR="00752F6A" w:rsidRPr="002724B5" w:rsidRDefault="00CF16D1" w:rsidP="00565949">
      <w:pPr>
        <w:pStyle w:val="ListBullet"/>
      </w:pPr>
      <w:r>
        <w:t>a</w:t>
      </w:r>
      <w:r w:rsidR="00752F6A" w:rsidRPr="002724B5">
        <w:t xml:space="preserve"> practical extension information ‘hub’, </w:t>
      </w:r>
      <w:hyperlink r:id="rId29" w:history="1">
        <w:r w:rsidR="00752F6A" w:rsidRPr="002724B5">
          <w:t>https://extensionhub.com.au/web/extension-practice</w:t>
        </w:r>
      </w:hyperlink>
      <w:r w:rsidR="00752F6A" w:rsidRPr="002724B5">
        <w:t xml:space="preserve"> – a web based hub to support extension professionals as they plan and deliver information to Australian farmers and fishers</w:t>
      </w:r>
      <w:r w:rsidR="00B25C0E">
        <w:t xml:space="preserve">. </w:t>
      </w:r>
    </w:p>
    <w:p w14:paraId="43BB6C86" w14:textId="7BCD7BB9" w:rsidR="00EC3654" w:rsidRDefault="00752F6A" w:rsidP="00EC3654">
      <w:r w:rsidRPr="002724B5">
        <w:t xml:space="preserve">The site, established as the Extension Community of Practice (CoP) went live </w:t>
      </w:r>
      <w:r w:rsidR="00AF0A3E">
        <w:t xml:space="preserve">in </w:t>
      </w:r>
      <w:r w:rsidRPr="002724B5">
        <w:t>November 2016</w:t>
      </w:r>
      <w:r w:rsidR="00B25C0E">
        <w:t xml:space="preserve">. </w:t>
      </w:r>
      <w:r w:rsidR="000A38B9">
        <w:t>AgriFutures continues to fund mainte</w:t>
      </w:r>
      <w:r w:rsidR="00921F3D">
        <w:t>nance of the site, although with a greatly reduced amount of s</w:t>
      </w:r>
      <w:r w:rsidR="00375D26">
        <w:t>ite management</w:t>
      </w:r>
      <w:r w:rsidR="00B25C0E">
        <w:t xml:space="preserve">. </w:t>
      </w:r>
      <w:r w:rsidR="00EC3654">
        <w:t xml:space="preserve">The site currently has six communities of practice and </w:t>
      </w:r>
      <w:r w:rsidR="00AF6C5F">
        <w:t xml:space="preserve">from </w:t>
      </w:r>
      <w:r w:rsidR="00EC3654">
        <w:t>July 1 2017</w:t>
      </w:r>
      <w:r w:rsidR="00AF6C5F">
        <w:t xml:space="preserve"> to </w:t>
      </w:r>
      <w:r w:rsidR="00102FCF">
        <w:t>October</w:t>
      </w:r>
      <w:r w:rsidR="00AF6C5F">
        <w:t xml:space="preserve"> 2017</w:t>
      </w:r>
      <w:r w:rsidR="00EC3654">
        <w:t>, 23000 users have accessed the site</w:t>
      </w:r>
      <w:r w:rsidR="00B25C0E">
        <w:t xml:space="preserve">. </w:t>
      </w:r>
    </w:p>
    <w:p w14:paraId="083F1B03" w14:textId="6A3501D1" w:rsidR="00F83E04" w:rsidRDefault="003B31A8" w:rsidP="00C5636A">
      <w:r>
        <w:t>Project participants interviewed regarded the project highly, describing it as an ‘ab</w:t>
      </w:r>
      <w:r w:rsidR="003C2ED6">
        <w:t>solute front runner’</w:t>
      </w:r>
      <w:r w:rsidR="00355DC5">
        <w:t xml:space="preserve"> with </w:t>
      </w:r>
      <w:r w:rsidR="00FB0EF4">
        <w:t>’</w:t>
      </w:r>
      <w:r w:rsidR="004E7C81">
        <w:t>genuine</w:t>
      </w:r>
      <w:r w:rsidR="00FB0EF4">
        <w:t>’</w:t>
      </w:r>
      <w:r w:rsidR="004E7C81">
        <w:t xml:space="preserve"> national representation of extension professionals</w:t>
      </w:r>
      <w:r w:rsidR="00B25C0E">
        <w:t xml:space="preserve">. </w:t>
      </w:r>
      <w:r w:rsidR="00F83E04">
        <w:t xml:space="preserve">They all identified the potential for further development of the project and use of the </w:t>
      </w:r>
      <w:r w:rsidR="008F17C8">
        <w:t>‘</w:t>
      </w:r>
      <w:r w:rsidR="00F83E04">
        <w:t>backend</w:t>
      </w:r>
      <w:r w:rsidR="008F17C8">
        <w:t>’</w:t>
      </w:r>
      <w:r w:rsidR="00F83E04">
        <w:t xml:space="preserve"> platform </w:t>
      </w:r>
      <w:r w:rsidR="008F17C8">
        <w:t xml:space="preserve">to potentially </w:t>
      </w:r>
      <w:r w:rsidR="00F83E04">
        <w:t>host unlimited C</w:t>
      </w:r>
      <w:r w:rsidR="007648C6">
        <w:t xml:space="preserve">ommunities of </w:t>
      </w:r>
      <w:r w:rsidR="00F83E04">
        <w:t>P</w:t>
      </w:r>
      <w:r w:rsidR="007648C6">
        <w:t>ractice</w:t>
      </w:r>
      <w:r w:rsidR="00B25C0E">
        <w:t xml:space="preserve">. </w:t>
      </w:r>
      <w:r w:rsidR="00EC3654">
        <w:t>As one interviewee commented:</w:t>
      </w:r>
    </w:p>
    <w:p w14:paraId="77FBFCC1" w14:textId="48FFF2EF" w:rsidR="003C2ED6" w:rsidRPr="00EC3654" w:rsidRDefault="00EC3654" w:rsidP="0067112F">
      <w:pPr>
        <w:pStyle w:val="Quote"/>
      </w:pPr>
      <w:r w:rsidRPr="00EC3654">
        <w:t>The Hub has potential to provide real value in the future</w:t>
      </w:r>
      <w:r w:rsidR="00B25C0E">
        <w:t xml:space="preserve">. </w:t>
      </w:r>
      <w:r w:rsidRPr="00EC3654">
        <w:t>AgriFutures</w:t>
      </w:r>
      <w:r w:rsidR="003C2ED6" w:rsidRPr="00EC3654">
        <w:t xml:space="preserve"> now has a tested platform to establish unlimited communities of practice</w:t>
      </w:r>
      <w:r w:rsidR="00B25C0E">
        <w:t xml:space="preserve">. </w:t>
      </w:r>
      <w:r w:rsidRPr="00EC3654">
        <w:t>But it would take more funding to get it to the next level</w:t>
      </w:r>
      <w:r w:rsidR="00B25C0E">
        <w:t xml:space="preserve">. </w:t>
      </w:r>
    </w:p>
    <w:p w14:paraId="191C80EF" w14:textId="77777777" w:rsidR="00506E4D" w:rsidRDefault="00506E4D">
      <w:pPr>
        <w:ind w:left="0"/>
        <w:rPr>
          <w:rFonts w:eastAsia="Times New Roman"/>
          <w:bCs/>
          <w:color w:val="595959"/>
          <w:sz w:val="33"/>
          <w:szCs w:val="33"/>
          <w:highlight w:val="lightGray"/>
        </w:rPr>
      </w:pPr>
      <w:r>
        <w:rPr>
          <w:highlight w:val="lightGray"/>
        </w:rPr>
        <w:br w:type="page"/>
      </w:r>
    </w:p>
    <w:p w14:paraId="758B1E5F" w14:textId="4921FEBC" w:rsidR="00CA2A5A" w:rsidRDefault="00CA2A5A" w:rsidP="00421A84">
      <w:pPr>
        <w:pStyle w:val="Heading2"/>
      </w:pPr>
      <w:bookmarkStart w:id="50" w:name="_Toc500934703"/>
      <w:r>
        <w:t>Administration, implementation and delivery</w:t>
      </w:r>
      <w:bookmarkEnd w:id="24"/>
      <w:bookmarkEnd w:id="25"/>
      <w:bookmarkEnd w:id="26"/>
      <w:bookmarkEnd w:id="27"/>
      <w:bookmarkEnd w:id="50"/>
    </w:p>
    <w:p w14:paraId="751922A3" w14:textId="77777777" w:rsidR="00F13513" w:rsidRDefault="00F13513" w:rsidP="00421A84">
      <w:pPr>
        <w:pStyle w:val="Heading3"/>
      </w:pPr>
      <w:bookmarkStart w:id="51" w:name="_Toc500934704"/>
      <w:bookmarkStart w:id="52" w:name="_Toc479086880"/>
      <w:bookmarkStart w:id="53" w:name="_Ref479680453"/>
      <w:bookmarkStart w:id="54" w:name="_Ref480528073"/>
      <w:bookmarkStart w:id="55" w:name="_Ref481049077"/>
      <w:bookmarkStart w:id="56" w:name="_Ref481056613"/>
      <w:bookmarkStart w:id="57" w:name="_Ref481069515"/>
      <w:bookmarkStart w:id="58" w:name="_Ref481069565"/>
      <w:bookmarkStart w:id="59" w:name="_Toc482970193"/>
      <w:r>
        <w:t>Efficiency and effectiveness</w:t>
      </w:r>
      <w:bookmarkEnd w:id="51"/>
    </w:p>
    <w:p w14:paraId="6052B86E" w14:textId="77777777" w:rsidR="00F13513" w:rsidRDefault="00F13513" w:rsidP="00421A84">
      <w:pPr>
        <w:pStyle w:val="Heading4"/>
      </w:pPr>
      <w:r>
        <w:t>Introduction</w:t>
      </w:r>
    </w:p>
    <w:p w14:paraId="607A3F7B" w14:textId="580F57A0" w:rsidR="00F13513" w:rsidRPr="00F13513" w:rsidRDefault="00D84887" w:rsidP="00421A84">
      <w:pPr>
        <w:spacing w:before="200"/>
      </w:pPr>
      <w:r w:rsidRPr="00D84887">
        <w:t xml:space="preserve">This section presents findings relating </w:t>
      </w:r>
      <w:r>
        <w:t xml:space="preserve">to </w:t>
      </w:r>
      <w:r w:rsidR="00F04A75">
        <w:t xml:space="preserve">the </w:t>
      </w:r>
      <w:r w:rsidR="002A5D7D">
        <w:t>d</w:t>
      </w:r>
      <w:r w:rsidR="00F04A75">
        <w:t xml:space="preserve">epartment’s </w:t>
      </w:r>
      <w:r>
        <w:t xml:space="preserve">administration and management of the </w:t>
      </w:r>
      <w:r w:rsidR="00F04A75">
        <w:t xml:space="preserve">competitive grants </w:t>
      </w:r>
      <w:r>
        <w:t>program</w:t>
      </w:r>
      <w:r w:rsidR="00B25C0E">
        <w:t xml:space="preserve">. </w:t>
      </w:r>
      <w:r>
        <w:t>The evaluation looked at both aspects of efficiency and effectiveness across program processes</w:t>
      </w:r>
      <w:r w:rsidR="00B25C0E">
        <w:t xml:space="preserve">. </w:t>
      </w:r>
    </w:p>
    <w:p w14:paraId="4CE244A0" w14:textId="4FFCA1F6" w:rsidR="0042786C" w:rsidRDefault="008A6716" w:rsidP="009B0E41">
      <w:r>
        <w:t>Program proc</w:t>
      </w:r>
      <w:r w:rsidR="00E515C1">
        <w:t>e</w:t>
      </w:r>
      <w:r w:rsidR="003E7BB4">
        <w:t>sses are summarised in Figure 10</w:t>
      </w:r>
      <w:r w:rsidR="00B25C0E">
        <w:t xml:space="preserve">. </w:t>
      </w:r>
    </w:p>
    <w:p w14:paraId="1F6F7A08" w14:textId="77777777" w:rsidR="00BF7D80" w:rsidRDefault="00C12987" w:rsidP="002234C6">
      <w:pPr>
        <w:pStyle w:val="Caption"/>
      </w:pPr>
      <w:r>
        <w:t>Figure 1</w:t>
      </w:r>
      <w:r w:rsidR="003E7BB4">
        <w:t>0</w:t>
      </w:r>
      <w:r w:rsidR="0053029E">
        <w:t xml:space="preserve"> Summary of program processes</w:t>
      </w:r>
      <w:r w:rsidR="006E7531">
        <w:t xml:space="preserve"> (from program Guidelines</w:t>
      </w:r>
      <w:r w:rsidR="00994664">
        <w:t>, Round 3</w:t>
      </w:r>
      <w:r w:rsidR="006E7531">
        <w:t>)</w:t>
      </w:r>
    </w:p>
    <w:p w14:paraId="12A93876" w14:textId="77777777" w:rsidR="005D1915" w:rsidRDefault="0053029E" w:rsidP="009B0E41">
      <w:r w:rsidRPr="0053029E">
        <w:rPr>
          <w:noProof/>
        </w:rPr>
        <w:drawing>
          <wp:inline distT="0" distB="0" distL="0" distR="0" wp14:anchorId="4BEE1FD7" wp14:editId="09485AF1">
            <wp:extent cx="4899998" cy="3386666"/>
            <wp:effectExtent l="0" t="0" r="0" b="4445"/>
            <wp:docPr id="3" name="Picture 3" descr="This process chart provides a summary of program processes." title="Figure 10 Summary of program proc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04572" cy="3389828"/>
                    </a:xfrm>
                    <a:prstGeom prst="rect">
                      <a:avLst/>
                    </a:prstGeom>
                    <a:noFill/>
                    <a:ln>
                      <a:noFill/>
                    </a:ln>
                  </pic:spPr>
                </pic:pic>
              </a:graphicData>
            </a:graphic>
          </wp:inline>
        </w:drawing>
      </w:r>
    </w:p>
    <w:p w14:paraId="00E7B926" w14:textId="77777777" w:rsidR="005B273D" w:rsidRDefault="005B273D" w:rsidP="00421A84">
      <w:pPr>
        <w:pStyle w:val="Heading3"/>
      </w:pPr>
      <w:bookmarkStart w:id="60" w:name="_Toc500934705"/>
      <w:bookmarkStart w:id="61" w:name="_Toc482970195"/>
      <w:bookmarkEnd w:id="52"/>
      <w:bookmarkEnd w:id="53"/>
      <w:bookmarkEnd w:id="54"/>
      <w:bookmarkEnd w:id="55"/>
      <w:bookmarkEnd w:id="56"/>
      <w:bookmarkEnd w:id="57"/>
      <w:bookmarkEnd w:id="58"/>
      <w:bookmarkEnd w:id="59"/>
      <w:r>
        <w:t>A</w:t>
      </w:r>
      <w:r w:rsidR="00817665">
        <w:t>pplication, a</w:t>
      </w:r>
      <w:r>
        <w:t>ssessment and selection</w:t>
      </w:r>
      <w:bookmarkEnd w:id="60"/>
    </w:p>
    <w:p w14:paraId="54B695B5" w14:textId="4D5D3D3A" w:rsidR="00F5752C" w:rsidRDefault="00322C56" w:rsidP="00421A84">
      <w:pPr>
        <w:spacing w:before="200"/>
      </w:pPr>
      <w:r>
        <w:t xml:space="preserve">Guidance relating to </w:t>
      </w:r>
      <w:r w:rsidR="00C650C6">
        <w:t>project application</w:t>
      </w:r>
      <w:r w:rsidR="006A78D5">
        <w:t>s</w:t>
      </w:r>
      <w:r w:rsidR="00AF0A3E">
        <w:t xml:space="preserve">, </w:t>
      </w:r>
      <w:r>
        <w:t>a</w:t>
      </w:r>
      <w:r w:rsidR="00F5752C">
        <w:t xml:space="preserve">ssessment </w:t>
      </w:r>
      <w:r w:rsidR="00C650C6">
        <w:t xml:space="preserve">(including criteria and process) </w:t>
      </w:r>
      <w:r>
        <w:t>and selection</w:t>
      </w:r>
      <w:r w:rsidR="00732282">
        <w:t xml:space="preserve"> and approval</w:t>
      </w:r>
      <w:r w:rsidR="00206AD5">
        <w:t xml:space="preserve"> of</w:t>
      </w:r>
      <w:r>
        <w:t xml:space="preserve"> projects </w:t>
      </w:r>
      <w:r w:rsidR="0080177B">
        <w:t>wa</w:t>
      </w:r>
      <w:r w:rsidR="009745EA">
        <w:t>s</w:t>
      </w:r>
      <w:r w:rsidR="00206AD5">
        <w:t xml:space="preserve"> detailed in the program </w:t>
      </w:r>
      <w:r w:rsidR="00AF0A3E">
        <w:t>guidelines</w:t>
      </w:r>
      <w:r w:rsidR="009745EA">
        <w:t xml:space="preserve">, application template and application checklist, and responses to Frequently Asked Questions (FAQs) posted on the </w:t>
      </w:r>
      <w:r w:rsidR="002A5D7D">
        <w:t>d</w:t>
      </w:r>
      <w:r w:rsidR="009745EA">
        <w:t>epartment’s website</w:t>
      </w:r>
      <w:r w:rsidR="00B25C0E">
        <w:t xml:space="preserve">. </w:t>
      </w:r>
    </w:p>
    <w:p w14:paraId="7B9A35B7" w14:textId="3B5827D8" w:rsidR="009745EA" w:rsidRDefault="009160FF" w:rsidP="00F5752C">
      <w:r>
        <w:t xml:space="preserve">Further, during the application period, the </w:t>
      </w:r>
      <w:r w:rsidR="002A5D7D">
        <w:t>d</w:t>
      </w:r>
      <w:r>
        <w:t xml:space="preserve">epartment </w:t>
      </w:r>
      <w:r w:rsidR="0080177B">
        <w:t>wa</w:t>
      </w:r>
      <w:r w:rsidR="001F3343">
        <w:t>s available to</w:t>
      </w:r>
      <w:r>
        <w:t xml:space="preserve"> respond to questions</w:t>
      </w:r>
      <w:r w:rsidR="00446BCA">
        <w:t xml:space="preserve"> via phone or email</w:t>
      </w:r>
      <w:r w:rsidR="00B25C0E">
        <w:t xml:space="preserve">. </w:t>
      </w:r>
    </w:p>
    <w:p w14:paraId="660BA789" w14:textId="77777777" w:rsidR="00CE0D8E" w:rsidRDefault="00CE0D8E">
      <w:pPr>
        <w:ind w:left="0"/>
        <w:rPr>
          <w:rFonts w:eastAsia="Times New Roman"/>
          <w:bCs/>
          <w:color w:val="595959"/>
          <w:sz w:val="28"/>
          <w:szCs w:val="24"/>
        </w:rPr>
      </w:pPr>
      <w:r>
        <w:br w:type="page"/>
      </w:r>
    </w:p>
    <w:p w14:paraId="68272EEC" w14:textId="77777777" w:rsidR="00530DA0" w:rsidRDefault="00F33734" w:rsidP="00421A84">
      <w:pPr>
        <w:pStyle w:val="Heading4"/>
      </w:pPr>
      <w:r>
        <w:t>Numbers of applications and projects selected</w:t>
      </w:r>
    </w:p>
    <w:p w14:paraId="4240131D" w14:textId="77777777" w:rsidR="00AD0310" w:rsidRPr="00565949" w:rsidRDefault="00AD0310" w:rsidP="00421A84">
      <w:pPr>
        <w:spacing w:before="200"/>
        <w:rPr>
          <w:rStyle w:val="Strong"/>
        </w:rPr>
      </w:pPr>
      <w:r w:rsidRPr="00565949">
        <w:rPr>
          <w:rStyle w:val="Strong"/>
        </w:rPr>
        <w:t>Project information</w:t>
      </w:r>
    </w:p>
    <w:p w14:paraId="2F2A1149" w14:textId="7564D00D" w:rsidR="00BE1DC0" w:rsidRDefault="00A97A2E" w:rsidP="00F5752C">
      <w:r>
        <w:t>Analysis of project information showed that t</w:t>
      </w:r>
      <w:r w:rsidR="00185D0F">
        <w:t>he program had</w:t>
      </w:r>
      <w:r w:rsidR="00BE1DC0">
        <w:t xml:space="preserve"> </w:t>
      </w:r>
      <w:r w:rsidR="00ED0CE8">
        <w:t xml:space="preserve">attracted sufficient numbers </w:t>
      </w:r>
      <w:r w:rsidR="00F118EA">
        <w:t xml:space="preserve">of </w:t>
      </w:r>
      <w:r w:rsidR="00ED0CE8">
        <w:t xml:space="preserve">applications to enable selection of </w:t>
      </w:r>
      <w:r w:rsidR="00F118EA">
        <w:t xml:space="preserve">suitable </w:t>
      </w:r>
      <w:r w:rsidR="00ED0CE8">
        <w:t>projects over the three funding rounds</w:t>
      </w:r>
      <w:r w:rsidR="00B25C0E">
        <w:t xml:space="preserve">. </w:t>
      </w:r>
      <w:r w:rsidR="00F53021">
        <w:t>Trends in the numbers of applications received an</w:t>
      </w:r>
      <w:r w:rsidR="003E4F70">
        <w:t>d</w:t>
      </w:r>
      <w:r w:rsidR="003E7BB4">
        <w:t xml:space="preserve"> selected are shown in Figure 11</w:t>
      </w:r>
      <w:r w:rsidR="00F53021">
        <w:t>.</w:t>
      </w:r>
    </w:p>
    <w:p w14:paraId="7BE5D783" w14:textId="77777777" w:rsidR="00F53021" w:rsidRDefault="003E7BB4" w:rsidP="00DF5440">
      <w:pPr>
        <w:pStyle w:val="Caption"/>
      </w:pPr>
      <w:r>
        <w:t xml:space="preserve">Figure 11: </w:t>
      </w:r>
      <w:r w:rsidR="00A90C79">
        <w:t>Numbers of applications received and selected over Rounds 1, 2 and 3</w:t>
      </w:r>
    </w:p>
    <w:p w14:paraId="3B89AD0F" w14:textId="77777777" w:rsidR="00F1258F" w:rsidRDefault="00DF5440" w:rsidP="00F5752C">
      <w:r w:rsidRPr="00DF5440">
        <w:rPr>
          <w:noProof/>
        </w:rPr>
        <w:drawing>
          <wp:inline distT="0" distB="0" distL="0" distR="0" wp14:anchorId="37D58F3E" wp14:editId="16E50023">
            <wp:extent cx="4923366" cy="2800497"/>
            <wp:effectExtent l="0" t="0" r="0" b="0"/>
            <wp:docPr id="4" name="Picture 4" descr="This graph shows the total number of applications by funding round and the numbers of ineligible, unsuccessful and successful applications.&#10;In Round 1 there were 52 applications.  19 of these were ineligible, 21 were unsuccessful and 12 were successful.  In Round 2, there were 38 applications.  1 application was ineligible, 20 were unsuccessful and 17 were successful.  In Round 3, there were 16 applications, no ineligible applications, 9 unsuccessful and 7 successful applications.   " title="Figure 11 Numbers of applications recieved and selected over Rounds 1, 2 an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35325" cy="2807299"/>
                    </a:xfrm>
                    <a:prstGeom prst="rect">
                      <a:avLst/>
                    </a:prstGeom>
                    <a:noFill/>
                    <a:ln>
                      <a:noFill/>
                    </a:ln>
                  </pic:spPr>
                </pic:pic>
              </a:graphicData>
            </a:graphic>
          </wp:inline>
        </w:drawing>
      </w:r>
    </w:p>
    <w:p w14:paraId="2BC0E4A7" w14:textId="77777777" w:rsidR="00DF5440" w:rsidRDefault="00155A88" w:rsidP="00F5752C">
      <w:r>
        <w:t>Figure 11</w:t>
      </w:r>
      <w:r w:rsidR="00DF5440">
        <w:t xml:space="preserve"> shows </w:t>
      </w:r>
      <w:r w:rsidR="00BD3F3D">
        <w:t>there has been</w:t>
      </w:r>
      <w:r w:rsidR="00DF5440">
        <w:t>:</w:t>
      </w:r>
    </w:p>
    <w:p w14:paraId="2210AA18" w14:textId="77777777" w:rsidR="00DF5440" w:rsidRDefault="006B2D3B" w:rsidP="00565949">
      <w:pPr>
        <w:pStyle w:val="ListBullet"/>
      </w:pPr>
      <w:r>
        <w:t>r</w:t>
      </w:r>
      <w:r w:rsidR="00DF5440">
        <w:t>eduction in the total number of application</w:t>
      </w:r>
      <w:r w:rsidR="00A64F28">
        <w:t>s</w:t>
      </w:r>
      <w:r w:rsidR="00DF5440">
        <w:t xml:space="preserve"> received </w:t>
      </w:r>
      <w:r w:rsidR="000B3F8F">
        <w:t>over the course of three rounds, from 52 applications in Round 1</w:t>
      </w:r>
      <w:r w:rsidR="00E12B40">
        <w:t>,</w:t>
      </w:r>
      <w:r w:rsidR="000B3F8F">
        <w:t xml:space="preserve"> to 16 applications in Roun</w:t>
      </w:r>
      <w:r w:rsidR="00A27ED1">
        <w:t>d 3</w:t>
      </w:r>
      <w:r w:rsidR="000B3F8F">
        <w:t xml:space="preserve">  </w:t>
      </w:r>
    </w:p>
    <w:p w14:paraId="745A22DF" w14:textId="77777777" w:rsidR="00F53021" w:rsidRDefault="00DF5440" w:rsidP="00565949">
      <w:pPr>
        <w:pStyle w:val="ListBullet"/>
      </w:pPr>
      <w:r>
        <w:t xml:space="preserve">reduction in </w:t>
      </w:r>
      <w:r w:rsidR="009C607F">
        <w:t>in</w:t>
      </w:r>
      <w:r>
        <w:t xml:space="preserve">eligible applications from a high number in Round 1 (19 out of 52 or </w:t>
      </w:r>
      <w:r w:rsidR="00ED10A6">
        <w:t>37</w:t>
      </w:r>
      <w:r>
        <w:t>%)</w:t>
      </w:r>
      <w:r w:rsidR="00A27ED1">
        <w:t xml:space="preserve"> to none by Round 3</w:t>
      </w:r>
    </w:p>
    <w:p w14:paraId="40F8C224" w14:textId="77777777" w:rsidR="00BD3F3D" w:rsidRDefault="00BD3F3D" w:rsidP="00565949">
      <w:pPr>
        <w:pStyle w:val="ListBullet"/>
      </w:pPr>
      <w:r>
        <w:t xml:space="preserve">a higher </w:t>
      </w:r>
      <w:r w:rsidR="009F16BE">
        <w:t>success</w:t>
      </w:r>
      <w:r>
        <w:t xml:space="preserve"> rate of proposals in the later rounds, as a proportion of total applications received:</w:t>
      </w:r>
    </w:p>
    <w:p w14:paraId="223CC61B" w14:textId="77777777" w:rsidR="00BD3F3D" w:rsidRDefault="00BD3F3D" w:rsidP="00565949">
      <w:pPr>
        <w:pStyle w:val="ListBullet"/>
      </w:pPr>
      <w:r>
        <w:t>Round 1 – 23% success rate</w:t>
      </w:r>
    </w:p>
    <w:p w14:paraId="1088CA49" w14:textId="77777777" w:rsidR="00BD3F3D" w:rsidRDefault="00BD3F3D" w:rsidP="00565949">
      <w:pPr>
        <w:pStyle w:val="ListBullet"/>
      </w:pPr>
      <w:r>
        <w:t>Round 2 – 45% success rate</w:t>
      </w:r>
    </w:p>
    <w:p w14:paraId="6AC50924" w14:textId="77777777" w:rsidR="00BD3F3D" w:rsidRDefault="00BD3F3D" w:rsidP="00565949">
      <w:pPr>
        <w:pStyle w:val="ListBullet"/>
      </w:pPr>
      <w:r>
        <w:t>Round 3 – 44% success rate</w:t>
      </w:r>
    </w:p>
    <w:p w14:paraId="23FC93E1" w14:textId="77777777" w:rsidR="009E2B09" w:rsidRDefault="00EB2934" w:rsidP="00943487">
      <w:pPr>
        <w:rPr>
          <w:lang w:val="en-US"/>
        </w:rPr>
      </w:pPr>
      <w:r>
        <w:rPr>
          <w:lang w:val="en-US"/>
        </w:rPr>
        <w:t>N</w:t>
      </w:r>
      <w:r w:rsidR="001D6131">
        <w:rPr>
          <w:lang w:val="en-US"/>
        </w:rPr>
        <w:t xml:space="preserve">ational </w:t>
      </w:r>
      <w:r w:rsidR="00484E2C" w:rsidRPr="00943487">
        <w:rPr>
          <w:lang w:val="en-US"/>
        </w:rPr>
        <w:t>geographic distribution of partner organi</w:t>
      </w:r>
      <w:r w:rsidR="00943487" w:rsidRPr="00943487">
        <w:rPr>
          <w:lang w:val="en-US"/>
        </w:rPr>
        <w:t>s</w:t>
      </w:r>
      <w:r w:rsidR="00484E2C" w:rsidRPr="00943487">
        <w:rPr>
          <w:lang w:val="en-US"/>
        </w:rPr>
        <w:t>ation</w:t>
      </w:r>
      <w:r w:rsidR="005D4AEF">
        <w:rPr>
          <w:lang w:val="en-US"/>
        </w:rPr>
        <w:t>s</w:t>
      </w:r>
      <w:r w:rsidR="006B6714">
        <w:rPr>
          <w:lang w:val="en-US"/>
        </w:rPr>
        <w:t>, and distribution of project study sites across urban, rural and remote areas</w:t>
      </w:r>
      <w:r w:rsidR="00943487" w:rsidRPr="00943487">
        <w:rPr>
          <w:lang w:val="en-US"/>
        </w:rPr>
        <w:t xml:space="preserve"> </w:t>
      </w:r>
      <w:r w:rsidR="006A78D5">
        <w:rPr>
          <w:lang w:val="en-US"/>
        </w:rPr>
        <w:t xml:space="preserve">was </w:t>
      </w:r>
      <w:r>
        <w:rPr>
          <w:lang w:val="en-US"/>
        </w:rPr>
        <w:t xml:space="preserve">evident in the </w:t>
      </w:r>
      <w:r w:rsidR="006A78D5">
        <w:rPr>
          <w:lang w:val="en-US"/>
        </w:rPr>
        <w:t>analysis</w:t>
      </w:r>
      <w:r w:rsidR="00943487" w:rsidRPr="00943487">
        <w:rPr>
          <w:lang w:val="en-US"/>
        </w:rPr>
        <w:t xml:space="preserve"> </w:t>
      </w:r>
      <w:r>
        <w:rPr>
          <w:lang w:val="en-US"/>
        </w:rPr>
        <w:t xml:space="preserve">of </w:t>
      </w:r>
      <w:r w:rsidR="00943487" w:rsidRPr="00943487">
        <w:rPr>
          <w:lang w:val="en-US"/>
        </w:rPr>
        <w:t>project documentation, interviews with RDCs and the partner organi</w:t>
      </w:r>
      <w:r>
        <w:rPr>
          <w:lang w:val="en-US"/>
        </w:rPr>
        <w:t>s</w:t>
      </w:r>
      <w:r w:rsidR="00943487" w:rsidRPr="00943487">
        <w:rPr>
          <w:lang w:val="en-US"/>
        </w:rPr>
        <w:t>ation survey</w:t>
      </w:r>
      <w:r w:rsidR="00484E2C" w:rsidRPr="00943487">
        <w:rPr>
          <w:lang w:val="en-US"/>
        </w:rPr>
        <w:t>.</w:t>
      </w:r>
      <w:r w:rsidR="00943487">
        <w:rPr>
          <w:rStyle w:val="FootnoteReference"/>
          <w:lang w:val="en-US"/>
        </w:rPr>
        <w:footnoteReference w:id="18"/>
      </w:r>
      <w:r>
        <w:rPr>
          <w:lang w:val="en-US"/>
        </w:rPr>
        <w:t xml:space="preserve">  </w:t>
      </w:r>
    </w:p>
    <w:p w14:paraId="2BC1E480" w14:textId="77777777" w:rsidR="009E2B09" w:rsidRPr="009E2B09" w:rsidRDefault="006B6714" w:rsidP="009E2B09">
      <w:pPr>
        <w:rPr>
          <w:highlight w:val="yellow"/>
        </w:rPr>
      </w:pPr>
      <w:r>
        <w:rPr>
          <w:lang w:val="en-US"/>
        </w:rPr>
        <w:t>C</w:t>
      </w:r>
      <w:r w:rsidR="00A90188">
        <w:rPr>
          <w:lang w:val="en-US"/>
        </w:rPr>
        <w:t xml:space="preserve">ase studies </w:t>
      </w:r>
      <w:r w:rsidR="009E2B09">
        <w:rPr>
          <w:lang w:val="en-US"/>
        </w:rPr>
        <w:t>also</w:t>
      </w:r>
      <w:r w:rsidR="00A90188">
        <w:rPr>
          <w:lang w:val="en-US"/>
        </w:rPr>
        <w:t xml:space="preserve"> evidenced the</w:t>
      </w:r>
      <w:r w:rsidR="005D4AEF">
        <w:rPr>
          <w:lang w:val="en-US"/>
        </w:rPr>
        <w:t xml:space="preserve"> national</w:t>
      </w:r>
      <w:r w:rsidR="00A90188">
        <w:rPr>
          <w:lang w:val="en-US"/>
        </w:rPr>
        <w:t xml:space="preserve"> </w:t>
      </w:r>
      <w:r w:rsidR="005D4AEF">
        <w:rPr>
          <w:lang w:val="en-US"/>
        </w:rPr>
        <w:t>spread</w:t>
      </w:r>
      <w:r w:rsidR="00A90188">
        <w:rPr>
          <w:lang w:val="en-US"/>
        </w:rPr>
        <w:t xml:space="preserve"> of projects, for example, </w:t>
      </w:r>
      <w:r w:rsidR="009E2B09">
        <w:rPr>
          <w:lang w:val="en-US"/>
        </w:rPr>
        <w:t xml:space="preserve">the </w:t>
      </w:r>
      <w:r w:rsidR="009A6362">
        <w:rPr>
          <w:lang w:val="en-US"/>
        </w:rPr>
        <w:t>S</w:t>
      </w:r>
      <w:r w:rsidR="009E2B09" w:rsidRPr="009E2B09">
        <w:t xml:space="preserve">marter </w:t>
      </w:r>
      <w:r w:rsidR="009A6362">
        <w:t>I</w:t>
      </w:r>
      <w:r w:rsidR="009E2B09" w:rsidRPr="009E2B09">
        <w:t xml:space="preserve">rrigation for </w:t>
      </w:r>
      <w:r w:rsidR="009A6362">
        <w:t>P</w:t>
      </w:r>
      <w:r w:rsidR="009E2B09" w:rsidRPr="009E2B09">
        <w:t>rofit</w:t>
      </w:r>
      <w:r w:rsidR="009E2B09" w:rsidRPr="009E2B09">
        <w:rPr>
          <w:lang w:val="en-US"/>
        </w:rPr>
        <w:t xml:space="preserve"> </w:t>
      </w:r>
      <w:r w:rsidR="009E2B09">
        <w:rPr>
          <w:lang w:val="en-US"/>
        </w:rPr>
        <w:t xml:space="preserve">project </w:t>
      </w:r>
      <w:r w:rsidR="009E2B09" w:rsidRPr="009E2B09">
        <w:rPr>
          <w:lang w:val="en-US"/>
        </w:rPr>
        <w:t xml:space="preserve">involves 19 sites in </w:t>
      </w:r>
      <w:r w:rsidR="009E2B09" w:rsidRPr="009E2B09">
        <w:t>Ayr, Emerald, Warwick, Dalby, Toowoomba, St George, Moree, Narrabri, Wee Waa, Tamworth, Whitton, Jerilderie, Numurkah, Shepparton, Macalister, Goulburn, Murray Irrigation District, Rocky Creek, Sisters Creek, South Riana, Montana, Cressy, Allendale, Eight Mile Creek, Mt Schank, and Harvey.</w:t>
      </w:r>
    </w:p>
    <w:p w14:paraId="4867BA19" w14:textId="77777777" w:rsidR="004C70E7" w:rsidRDefault="001F02D7" w:rsidP="00421A84">
      <w:pPr>
        <w:pStyle w:val="Heading4"/>
      </w:pPr>
      <w:r>
        <w:t>Eligibility and assessment criteria</w:t>
      </w:r>
    </w:p>
    <w:p w14:paraId="4E5B2261" w14:textId="23884476" w:rsidR="00604B9A" w:rsidRDefault="004C70E7" w:rsidP="00421A84">
      <w:pPr>
        <w:spacing w:before="200"/>
      </w:pPr>
      <w:r>
        <w:t xml:space="preserve">Interviews with RDCs and non-participants </w:t>
      </w:r>
      <w:r w:rsidR="00BD3F3D">
        <w:t xml:space="preserve">(those </w:t>
      </w:r>
      <w:r w:rsidR="004810FC">
        <w:t xml:space="preserve">partner organisations </w:t>
      </w:r>
      <w:r w:rsidR="00BD3F3D">
        <w:t xml:space="preserve">that had been unsuccessful </w:t>
      </w:r>
      <w:r w:rsidR="004810FC">
        <w:t xml:space="preserve">in project bids) </w:t>
      </w:r>
      <w:r w:rsidR="00256C4D">
        <w:t>showed</w:t>
      </w:r>
      <w:r w:rsidR="00A64F28">
        <w:t xml:space="preserve"> </w:t>
      </w:r>
      <w:r w:rsidR="006D105D">
        <w:t>a perceived lack of clarity</w:t>
      </w:r>
      <w:r w:rsidR="00A64F28">
        <w:t xml:space="preserve"> regarding eligibility and assessment criteria</w:t>
      </w:r>
      <w:r w:rsidR="00B25C0E">
        <w:t xml:space="preserve">. </w:t>
      </w:r>
      <w:r w:rsidR="005B3943">
        <w:t>Comments from partner organisations in the survey response also highlighted similar themes</w:t>
      </w:r>
      <w:r w:rsidR="00B25C0E">
        <w:t xml:space="preserve">. </w:t>
      </w:r>
      <w:r w:rsidR="005B3943">
        <w:t>W</w:t>
      </w:r>
      <w:r w:rsidR="00311297">
        <w:t xml:space="preserve">hile this was </w:t>
      </w:r>
      <w:r w:rsidR="00604B9A">
        <w:t>particularly apparent</w:t>
      </w:r>
      <w:r w:rsidR="00A64F28">
        <w:t xml:space="preserve"> in Round 1</w:t>
      </w:r>
      <w:r w:rsidR="00BF113E">
        <w:t>, there was evidence that</w:t>
      </w:r>
      <w:r w:rsidR="00311297">
        <w:t xml:space="preserve"> </w:t>
      </w:r>
      <w:r w:rsidR="00BF113E">
        <w:t xml:space="preserve">this </w:t>
      </w:r>
      <w:r w:rsidR="007B7232">
        <w:t>confusion persisted</w:t>
      </w:r>
      <w:r w:rsidR="00311297">
        <w:t xml:space="preserve"> </w:t>
      </w:r>
      <w:r w:rsidR="00F118EA">
        <w:t>into</w:t>
      </w:r>
      <w:r w:rsidR="00AF0A3E">
        <w:t xml:space="preserve"> </w:t>
      </w:r>
      <w:r w:rsidR="00311297">
        <w:t>Round 3</w:t>
      </w:r>
      <w:r w:rsidR="00B25C0E">
        <w:t xml:space="preserve">. </w:t>
      </w:r>
    </w:p>
    <w:p w14:paraId="1942C027" w14:textId="77777777" w:rsidR="00311297" w:rsidRDefault="00BF113E" w:rsidP="000922F9">
      <w:pPr>
        <w:spacing w:after="240"/>
      </w:pPr>
      <w:r>
        <w:t xml:space="preserve">The </w:t>
      </w:r>
      <w:r w:rsidR="00A82A5F">
        <w:t xml:space="preserve">perceived </w:t>
      </w:r>
      <w:r>
        <w:t xml:space="preserve">lack of detail </w:t>
      </w:r>
      <w:r w:rsidR="00AF0A3E">
        <w:t xml:space="preserve">and </w:t>
      </w:r>
      <w:r>
        <w:t>clarity around as</w:t>
      </w:r>
      <w:r w:rsidR="00AE43D5">
        <w:t>sessment and selection criteria</w:t>
      </w:r>
      <w:r w:rsidR="006D105D">
        <w:t xml:space="preserve"> </w:t>
      </w:r>
      <w:r w:rsidR="00AE43D5">
        <w:t>has resulted in the following</w:t>
      </w:r>
      <w:r w:rsidR="0036122D">
        <w:t xml:space="preserve"> among some RDCs and </w:t>
      </w:r>
      <w:r w:rsidR="0051066A">
        <w:t xml:space="preserve">potential </w:t>
      </w:r>
      <w:r w:rsidR="0036122D">
        <w:t>partner organisations</w:t>
      </w:r>
      <w:r w:rsidR="00AE43D5">
        <w:t>:</w:t>
      </w:r>
    </w:p>
    <w:tbl>
      <w:tblPr>
        <w:tblStyle w:val="TableGrid"/>
        <w:tblW w:w="7655" w:type="dxa"/>
        <w:tblInd w:w="709" w:type="dxa"/>
        <w:tblBorders>
          <w:top w:val="none" w:sz="0" w:space="0" w:color="auto"/>
          <w:left w:val="none" w:sz="0" w:space="0" w:color="auto"/>
          <w:bottom w:val="none" w:sz="0" w:space="0" w:color="auto"/>
          <w:right w:val="none" w:sz="0" w:space="0" w:color="auto"/>
          <w:insideH w:val="single" w:sz="4" w:space="0" w:color="0092CF"/>
          <w:insideV w:val="single" w:sz="4" w:space="0" w:color="0092CF"/>
        </w:tblBorders>
        <w:tblLook w:val="04A0" w:firstRow="1" w:lastRow="0" w:firstColumn="1" w:lastColumn="0" w:noHBand="0" w:noVBand="1"/>
        <w:tblCaption w:val="List of impacts resulting from lack of clarity around assessment and selection criteria"/>
        <w:tblDescription w:val="This list describes impacts resulting from lack of clarity in the assessment and selection criteria.  These impacts included lack of understanding of what projects are preferred, applicants misinterpreting as to why their bid was unsuccessful and perceived bias towards particular RDCs"/>
      </w:tblPr>
      <w:tblGrid>
        <w:gridCol w:w="2268"/>
        <w:gridCol w:w="5387"/>
      </w:tblGrid>
      <w:tr w:rsidR="000922F9" w14:paraId="72F867AE" w14:textId="77777777" w:rsidTr="00987EE9">
        <w:tc>
          <w:tcPr>
            <w:tcW w:w="2268" w:type="dxa"/>
            <w:shd w:val="clear" w:color="auto" w:fill="FFFFFF" w:themeFill="background1"/>
          </w:tcPr>
          <w:p w14:paraId="30D254A3" w14:textId="77777777" w:rsidR="000922F9" w:rsidRPr="008D4CCF" w:rsidRDefault="005D0921" w:rsidP="000B2FC7">
            <w:pPr>
              <w:pStyle w:val="Subtableheading"/>
              <w:rPr>
                <w:szCs w:val="19"/>
              </w:rPr>
            </w:pPr>
            <w:r>
              <w:rPr>
                <w:b w:val="0"/>
                <w:caps w:val="0"/>
                <w:color w:val="auto"/>
                <w:szCs w:val="19"/>
              </w:rPr>
              <w:t>Lack of understanding of what projects are preferred</w:t>
            </w:r>
          </w:p>
        </w:tc>
        <w:tc>
          <w:tcPr>
            <w:tcW w:w="5387" w:type="dxa"/>
          </w:tcPr>
          <w:p w14:paraId="1005BB19" w14:textId="77777777" w:rsidR="000922F9" w:rsidRPr="008D4CCF" w:rsidRDefault="000922F9" w:rsidP="00E46D5D">
            <w:pPr>
              <w:pStyle w:val="Tablebodytext"/>
              <w:spacing w:before="0" w:after="0"/>
              <w:contextualSpacing/>
              <w:rPr>
                <w:szCs w:val="19"/>
              </w:rPr>
            </w:pPr>
            <w:r w:rsidRPr="008D4CCF">
              <w:rPr>
                <w:szCs w:val="19"/>
              </w:rPr>
              <w:t>For example</w:t>
            </w:r>
            <w:r w:rsidR="001D5CD4">
              <w:rPr>
                <w:szCs w:val="19"/>
              </w:rPr>
              <w:t>,</w:t>
            </w:r>
            <w:r w:rsidR="0051066A">
              <w:rPr>
                <w:szCs w:val="19"/>
              </w:rPr>
              <w:t xml:space="preserve"> evidenced in the following comments</w:t>
            </w:r>
            <w:r w:rsidR="00985BAD">
              <w:rPr>
                <w:szCs w:val="19"/>
              </w:rPr>
              <w:t xml:space="preserve"> from </w:t>
            </w:r>
            <w:r w:rsidR="00137687">
              <w:rPr>
                <w:szCs w:val="19"/>
              </w:rPr>
              <w:t>stakeholders interviewed</w:t>
            </w:r>
            <w:r w:rsidRPr="008D4CCF">
              <w:rPr>
                <w:szCs w:val="19"/>
              </w:rPr>
              <w:t>:</w:t>
            </w:r>
          </w:p>
          <w:p w14:paraId="46E7654E" w14:textId="77777777" w:rsidR="00E46D5D" w:rsidRDefault="000922F9" w:rsidP="000939B1">
            <w:pPr>
              <w:pStyle w:val="Highlight"/>
              <w:spacing w:beforeLines="60" w:before="144" w:after="60"/>
              <w:ind w:left="312"/>
              <w:contextualSpacing/>
              <w:rPr>
                <w:sz w:val="19"/>
                <w:szCs w:val="19"/>
              </w:rPr>
            </w:pPr>
            <w:r w:rsidRPr="008D4CCF">
              <w:rPr>
                <w:sz w:val="19"/>
                <w:szCs w:val="19"/>
              </w:rPr>
              <w:t>I just don’t understand why some projects get up and some don’t?</w:t>
            </w:r>
            <w:r w:rsidR="0016157B">
              <w:rPr>
                <w:sz w:val="19"/>
                <w:szCs w:val="19"/>
              </w:rPr>
              <w:t xml:space="preserve"> (</w:t>
            </w:r>
            <w:r w:rsidR="00EB5E6B">
              <w:rPr>
                <w:sz w:val="19"/>
                <w:szCs w:val="19"/>
              </w:rPr>
              <w:t>unsuccessful bidder, partner organisation)</w:t>
            </w:r>
          </w:p>
          <w:p w14:paraId="36263628" w14:textId="311BA40F" w:rsidR="000922F9" w:rsidRPr="008D4CCF" w:rsidRDefault="000922F9" w:rsidP="000939B1">
            <w:pPr>
              <w:pStyle w:val="Highlight"/>
              <w:spacing w:beforeLines="60" w:before="144" w:after="60"/>
              <w:ind w:left="312"/>
              <w:rPr>
                <w:sz w:val="19"/>
                <w:szCs w:val="19"/>
              </w:rPr>
            </w:pPr>
            <w:r w:rsidRPr="008D4CCF">
              <w:rPr>
                <w:sz w:val="19"/>
                <w:szCs w:val="19"/>
              </w:rPr>
              <w:t>Proposals which had a very high chance of success missed out while other proposals which were pie-in the sky, were funded</w:t>
            </w:r>
            <w:r w:rsidR="00B25C0E">
              <w:rPr>
                <w:sz w:val="19"/>
                <w:szCs w:val="19"/>
              </w:rPr>
              <w:t xml:space="preserve">. </w:t>
            </w:r>
            <w:r w:rsidRPr="008D4CCF">
              <w:rPr>
                <w:sz w:val="19"/>
                <w:szCs w:val="19"/>
              </w:rPr>
              <w:t>Clearly there are no links to probable success of proposals and funding success</w:t>
            </w:r>
            <w:r w:rsidR="00B25C0E">
              <w:rPr>
                <w:sz w:val="19"/>
                <w:szCs w:val="19"/>
              </w:rPr>
              <w:t xml:space="preserve">. </w:t>
            </w:r>
            <w:r w:rsidR="0016157B">
              <w:rPr>
                <w:sz w:val="19"/>
                <w:szCs w:val="19"/>
              </w:rPr>
              <w:t>(RDC)</w:t>
            </w:r>
          </w:p>
        </w:tc>
      </w:tr>
      <w:tr w:rsidR="000922F9" w14:paraId="21951AB7" w14:textId="77777777" w:rsidTr="00987EE9">
        <w:tc>
          <w:tcPr>
            <w:tcW w:w="2268" w:type="dxa"/>
            <w:shd w:val="clear" w:color="auto" w:fill="FFFFFF" w:themeFill="background1"/>
          </w:tcPr>
          <w:p w14:paraId="3EAE8588" w14:textId="77777777" w:rsidR="000922F9" w:rsidRPr="008D4CCF" w:rsidRDefault="000922F9" w:rsidP="000B2FC7">
            <w:pPr>
              <w:pStyle w:val="Subtableheading"/>
              <w:rPr>
                <w:szCs w:val="19"/>
              </w:rPr>
            </w:pPr>
            <w:r w:rsidRPr="008D4CCF">
              <w:rPr>
                <w:b w:val="0"/>
                <w:caps w:val="0"/>
                <w:color w:val="auto"/>
                <w:szCs w:val="19"/>
              </w:rPr>
              <w:t xml:space="preserve">Applicants </w:t>
            </w:r>
            <w:r w:rsidR="00987EE9">
              <w:rPr>
                <w:b w:val="0"/>
                <w:caps w:val="0"/>
                <w:color w:val="auto"/>
                <w:szCs w:val="19"/>
              </w:rPr>
              <w:t>mis</w:t>
            </w:r>
            <w:r w:rsidRPr="008D4CCF">
              <w:rPr>
                <w:b w:val="0"/>
                <w:caps w:val="0"/>
                <w:color w:val="auto"/>
                <w:szCs w:val="19"/>
              </w:rPr>
              <w:t xml:space="preserve">interpreting as to why their bid was unsuccessful </w:t>
            </w:r>
          </w:p>
        </w:tc>
        <w:tc>
          <w:tcPr>
            <w:tcW w:w="5387" w:type="dxa"/>
          </w:tcPr>
          <w:p w14:paraId="48458E0B" w14:textId="77777777" w:rsidR="008D4CCF" w:rsidRPr="008D4CCF" w:rsidRDefault="008D4CCF" w:rsidP="000939B1">
            <w:pPr>
              <w:pStyle w:val="Tablebodytext"/>
              <w:contextualSpacing/>
              <w:rPr>
                <w:szCs w:val="19"/>
              </w:rPr>
            </w:pPr>
            <w:r w:rsidRPr="008D4CCF">
              <w:rPr>
                <w:szCs w:val="19"/>
              </w:rPr>
              <w:t>For example:</w:t>
            </w:r>
          </w:p>
          <w:p w14:paraId="2F671B75" w14:textId="77777777" w:rsidR="000922F9" w:rsidRPr="008D4CCF" w:rsidRDefault="00FF53F4" w:rsidP="000939B1">
            <w:pPr>
              <w:pStyle w:val="Highlight"/>
              <w:spacing w:before="60" w:after="60"/>
              <w:ind w:left="34"/>
              <w:contextualSpacing/>
              <w:rPr>
                <w:sz w:val="19"/>
                <w:szCs w:val="19"/>
              </w:rPr>
            </w:pPr>
            <w:r>
              <w:rPr>
                <w:sz w:val="19"/>
                <w:szCs w:val="19"/>
              </w:rPr>
              <w:t>…</w:t>
            </w:r>
            <w:r w:rsidR="000922F9" w:rsidRPr="008D4CCF">
              <w:rPr>
                <w:sz w:val="19"/>
                <w:szCs w:val="19"/>
              </w:rPr>
              <w:t>when our proposal was unsuccessful, it sent the message that bigger projects were not wante</w:t>
            </w:r>
            <w:r>
              <w:rPr>
                <w:sz w:val="19"/>
                <w:szCs w:val="19"/>
              </w:rPr>
              <w:t>d</w:t>
            </w:r>
            <w:r w:rsidR="00AF0A3E">
              <w:rPr>
                <w:sz w:val="19"/>
                <w:szCs w:val="19"/>
              </w:rPr>
              <w:t>.</w:t>
            </w:r>
            <w:r w:rsidR="0016157B">
              <w:rPr>
                <w:sz w:val="19"/>
                <w:szCs w:val="19"/>
              </w:rPr>
              <w:t xml:space="preserve"> (RDC)</w:t>
            </w:r>
          </w:p>
        </w:tc>
      </w:tr>
      <w:tr w:rsidR="000922F9" w14:paraId="5740CDF9" w14:textId="77777777" w:rsidTr="00987EE9">
        <w:tc>
          <w:tcPr>
            <w:tcW w:w="2268" w:type="dxa"/>
            <w:shd w:val="clear" w:color="auto" w:fill="FFFFFF" w:themeFill="background1"/>
          </w:tcPr>
          <w:p w14:paraId="702EB5B2" w14:textId="77777777" w:rsidR="000922F9" w:rsidRPr="008D4CCF" w:rsidRDefault="000922F9" w:rsidP="000B2FC7">
            <w:pPr>
              <w:pStyle w:val="Subtableheading"/>
              <w:rPr>
                <w:b w:val="0"/>
                <w:caps w:val="0"/>
                <w:color w:val="auto"/>
                <w:szCs w:val="19"/>
              </w:rPr>
            </w:pPr>
            <w:r w:rsidRPr="008D4CCF">
              <w:rPr>
                <w:b w:val="0"/>
                <w:caps w:val="0"/>
                <w:color w:val="auto"/>
                <w:szCs w:val="19"/>
              </w:rPr>
              <w:t>Perceived bias towards particular RDCs</w:t>
            </w:r>
          </w:p>
        </w:tc>
        <w:tc>
          <w:tcPr>
            <w:tcW w:w="5387" w:type="dxa"/>
          </w:tcPr>
          <w:p w14:paraId="4AFD57FD" w14:textId="77777777" w:rsidR="008D4CCF" w:rsidRPr="008D4CCF" w:rsidRDefault="008D4CCF" w:rsidP="00922353">
            <w:pPr>
              <w:pStyle w:val="Tablebodytext"/>
              <w:contextualSpacing/>
              <w:rPr>
                <w:szCs w:val="19"/>
              </w:rPr>
            </w:pPr>
            <w:r w:rsidRPr="008D4CCF">
              <w:rPr>
                <w:szCs w:val="19"/>
              </w:rPr>
              <w:t>For example:</w:t>
            </w:r>
          </w:p>
          <w:p w14:paraId="74255528" w14:textId="77777777" w:rsidR="006E1674" w:rsidRPr="008D4CCF" w:rsidRDefault="000922F9" w:rsidP="00922353">
            <w:pPr>
              <w:pStyle w:val="Highlight"/>
              <w:spacing w:before="60" w:after="60"/>
              <w:ind w:left="34"/>
              <w:rPr>
                <w:sz w:val="19"/>
                <w:szCs w:val="19"/>
              </w:rPr>
            </w:pPr>
            <w:r w:rsidRPr="008D4CCF">
              <w:rPr>
                <w:sz w:val="19"/>
                <w:szCs w:val="19"/>
              </w:rPr>
              <w:t xml:space="preserve">There also appears to be a bias to some organisations. </w:t>
            </w:r>
            <w:r w:rsidR="00EB5E6B">
              <w:rPr>
                <w:sz w:val="19"/>
                <w:szCs w:val="19"/>
              </w:rPr>
              <w:t>(unsuccessful bidder, partner organisation)</w:t>
            </w:r>
          </w:p>
        </w:tc>
      </w:tr>
    </w:tbl>
    <w:p w14:paraId="6C2ABFC4" w14:textId="77777777" w:rsidR="00DD6EBE" w:rsidRDefault="00DD6EBE" w:rsidP="00421A84">
      <w:pPr>
        <w:pStyle w:val="Heading4"/>
      </w:pPr>
      <w:r>
        <w:t>Debriefing unsuccessful</w:t>
      </w:r>
      <w:r w:rsidR="009F16BE">
        <w:t xml:space="preserve"> applicants</w:t>
      </w:r>
    </w:p>
    <w:p w14:paraId="3F0BBB23" w14:textId="7CD0270E" w:rsidR="0093638C" w:rsidRDefault="00382368" w:rsidP="00421A84">
      <w:pPr>
        <w:spacing w:before="200"/>
      </w:pPr>
      <w:r>
        <w:t xml:space="preserve">In particular, </w:t>
      </w:r>
      <w:r w:rsidR="00426F5F">
        <w:t xml:space="preserve">the </w:t>
      </w:r>
      <w:r>
        <w:t>p</w:t>
      </w:r>
      <w:r w:rsidR="00685965">
        <w:t xml:space="preserve">artner </w:t>
      </w:r>
      <w:r w:rsidR="0093638C">
        <w:t xml:space="preserve">organisations associated with unsuccessful bids </w:t>
      </w:r>
      <w:r>
        <w:t>felt</w:t>
      </w:r>
      <w:r w:rsidR="007675E1">
        <w:t xml:space="preserve"> there was opportunity to improve the debriefing process</w:t>
      </w:r>
      <w:r w:rsidR="00B25C0E">
        <w:t xml:space="preserve">. </w:t>
      </w:r>
      <w:r w:rsidR="007675E1">
        <w:t>As d</w:t>
      </w:r>
      <w:r w:rsidR="0093638C">
        <w:t xml:space="preserve">emonstrated in the following </w:t>
      </w:r>
      <w:r w:rsidR="00CB60FE">
        <w:t>comments:</w:t>
      </w:r>
    </w:p>
    <w:p w14:paraId="40170E26" w14:textId="77777777" w:rsidR="0093638C" w:rsidRPr="004103AD" w:rsidRDefault="0093638C" w:rsidP="0067112F">
      <w:pPr>
        <w:pStyle w:val="Quote"/>
      </w:pPr>
      <w:r w:rsidRPr="004103AD">
        <w:t>… there were no protocols in pla</w:t>
      </w:r>
      <w:r w:rsidR="004103AD">
        <w:t>ce for a loss review process. (</w:t>
      </w:r>
      <w:r w:rsidR="00382368">
        <w:t>partner organisation</w:t>
      </w:r>
      <w:r w:rsidRPr="004103AD">
        <w:t>)</w:t>
      </w:r>
    </w:p>
    <w:p w14:paraId="4F8698E0" w14:textId="73529351" w:rsidR="0093638C" w:rsidRPr="004103AD" w:rsidRDefault="0093638C" w:rsidP="0067112F">
      <w:pPr>
        <w:pStyle w:val="Quote"/>
      </w:pPr>
      <w:r w:rsidRPr="004103AD">
        <w:t xml:space="preserve">I saw the </w:t>
      </w:r>
      <w:r w:rsidR="002A5D7D">
        <w:t>d</w:t>
      </w:r>
      <w:r w:rsidRPr="004103AD">
        <w:t>epartment’s letter, but the feedback was general – there was no detail for us to address for next time</w:t>
      </w:r>
      <w:r w:rsidR="00B25C0E">
        <w:t xml:space="preserve">. </w:t>
      </w:r>
      <w:r w:rsidRPr="004103AD">
        <w:t>(</w:t>
      </w:r>
      <w:r w:rsidR="00382368">
        <w:t>partner organisation</w:t>
      </w:r>
      <w:r w:rsidRPr="004103AD">
        <w:t>)</w:t>
      </w:r>
    </w:p>
    <w:p w14:paraId="79A3B7BE" w14:textId="0D8AAED6" w:rsidR="00E20B86" w:rsidRDefault="0093638C" w:rsidP="003D480C">
      <w:r>
        <w:t xml:space="preserve">The </w:t>
      </w:r>
      <w:r w:rsidR="002A5D7D">
        <w:t>d</w:t>
      </w:r>
      <w:r>
        <w:t xml:space="preserve">epartment identified </w:t>
      </w:r>
      <w:r w:rsidR="000D59D1">
        <w:t xml:space="preserve">and implemented </w:t>
      </w:r>
      <w:r>
        <w:t>improvements made to the debriefing process for unsuc</w:t>
      </w:r>
      <w:r w:rsidR="00C27166">
        <w:t xml:space="preserve">cessful applicants over Rounds </w:t>
      </w:r>
      <w:r w:rsidR="00BA65B9">
        <w:t xml:space="preserve">1, </w:t>
      </w:r>
      <w:r w:rsidR="00C27166">
        <w:t>2 and 3</w:t>
      </w:r>
      <w:r w:rsidR="00B25C0E">
        <w:t xml:space="preserve">. </w:t>
      </w:r>
      <w:r w:rsidR="004E3E5D">
        <w:t>Across all three rounds, if the RDC requested feedback,</w:t>
      </w:r>
      <w:r>
        <w:t xml:space="preserve"> the departmental program team personally call</w:t>
      </w:r>
      <w:r w:rsidR="00B40060">
        <w:t>ed</w:t>
      </w:r>
      <w:r>
        <w:t xml:space="preserve"> and provided detailed feedback to the lead RDCs as to why an application was unsuccessful</w:t>
      </w:r>
      <w:r w:rsidR="00B25C0E">
        <w:t xml:space="preserve">. </w:t>
      </w:r>
      <w:r w:rsidR="00BA65B9">
        <w:t xml:space="preserve">Partner organisations were </w:t>
      </w:r>
      <w:r w:rsidR="003A3B0E">
        <w:t xml:space="preserve">also </w:t>
      </w:r>
      <w:r w:rsidR="00E20B86">
        <w:t>p</w:t>
      </w:r>
      <w:r w:rsidR="00BA65B9">
        <w:t>ermitted to attend the debriefing if invited by the lead RDC</w:t>
      </w:r>
      <w:r w:rsidR="00B25C0E">
        <w:t xml:space="preserve">. </w:t>
      </w:r>
    </w:p>
    <w:p w14:paraId="18CCE338" w14:textId="75EC8524" w:rsidR="0093638C" w:rsidRDefault="0093638C" w:rsidP="003D480C">
      <w:r>
        <w:t xml:space="preserve">Further if an applicant is dissatisfied with the way an application has been handled, there is a complaints process set out in the </w:t>
      </w:r>
      <w:r w:rsidR="00767A8D">
        <w:t xml:space="preserve">program </w:t>
      </w:r>
      <w:r w:rsidR="00422E8D">
        <w:t>G</w:t>
      </w:r>
      <w:r>
        <w:t>uidelines</w:t>
      </w:r>
      <w:r w:rsidR="00B25C0E">
        <w:t xml:space="preserve">. </w:t>
      </w:r>
    </w:p>
    <w:p w14:paraId="0735A41A" w14:textId="1C36937E" w:rsidR="0093638C" w:rsidRDefault="003E4F50" w:rsidP="0093638C">
      <w:r>
        <w:t>Stakeholder c</w:t>
      </w:r>
      <w:r w:rsidR="0093638C">
        <w:t>omments suggest</w:t>
      </w:r>
      <w:r>
        <w:t>ed</w:t>
      </w:r>
      <w:r w:rsidR="0093638C">
        <w:t xml:space="preserve"> a requirement for greater clarity and </w:t>
      </w:r>
      <w:r w:rsidR="000D59D1">
        <w:t xml:space="preserve">improved </w:t>
      </w:r>
      <w:r w:rsidR="0093638C">
        <w:t>communication around the</w:t>
      </w:r>
      <w:r>
        <w:t xml:space="preserve"> feedback process for unsuccessful applications</w:t>
      </w:r>
      <w:r w:rsidR="007A4A16">
        <w:t>,</w:t>
      </w:r>
      <w:r>
        <w:t xml:space="preserve"> </w:t>
      </w:r>
      <w:r w:rsidR="008629C5">
        <w:t xml:space="preserve">to </w:t>
      </w:r>
      <w:r w:rsidR="0093638C">
        <w:t xml:space="preserve">ensure that RDCs are provided with adequate detail and that this </w:t>
      </w:r>
      <w:r w:rsidR="00E20B86">
        <w:t xml:space="preserve">feedback </w:t>
      </w:r>
      <w:r w:rsidR="0093638C">
        <w:t>is relayed to partner organisations involve</w:t>
      </w:r>
      <w:r>
        <w:t xml:space="preserve">d in the </w:t>
      </w:r>
      <w:r w:rsidR="0093638C">
        <w:t>bid</w:t>
      </w:r>
      <w:r w:rsidR="00B25C0E">
        <w:t xml:space="preserve">. </w:t>
      </w:r>
    </w:p>
    <w:p w14:paraId="2FE53B3C" w14:textId="77777777" w:rsidR="00DD6EBE" w:rsidRDefault="00DD6EBE" w:rsidP="00421A84">
      <w:pPr>
        <w:pStyle w:val="Heading4"/>
      </w:pPr>
      <w:r>
        <w:t>Timeframe</w:t>
      </w:r>
      <w:r w:rsidR="00467F46">
        <w:t>s for application,</w:t>
      </w:r>
      <w:r>
        <w:t xml:space="preserve"> selection</w:t>
      </w:r>
      <w:r w:rsidR="00467F46">
        <w:t xml:space="preserve"> and approval</w:t>
      </w:r>
    </w:p>
    <w:p w14:paraId="081E32B5" w14:textId="77777777" w:rsidR="00936DD1" w:rsidRPr="00565949" w:rsidRDefault="00936DD1" w:rsidP="00421A84">
      <w:pPr>
        <w:spacing w:before="200"/>
        <w:rPr>
          <w:rStyle w:val="Strong"/>
        </w:rPr>
      </w:pPr>
      <w:r w:rsidRPr="00565949">
        <w:rPr>
          <w:rStyle w:val="Strong"/>
        </w:rPr>
        <w:t>Application</w:t>
      </w:r>
    </w:p>
    <w:p w14:paraId="098C0F4A" w14:textId="337343F3" w:rsidR="00580576" w:rsidRDefault="00580576" w:rsidP="0079417D">
      <w:r>
        <w:t>Some RDCs and partner organisations suggested that the timeframes for putting an application to</w:t>
      </w:r>
      <w:r w:rsidR="00735C52">
        <w:t>get</w:t>
      </w:r>
      <w:r>
        <w:t xml:space="preserve">her </w:t>
      </w:r>
      <w:r w:rsidR="004B1443">
        <w:t>were</w:t>
      </w:r>
      <w:r>
        <w:t xml:space="preserve"> too short</w:t>
      </w:r>
      <w:r w:rsidR="00B25C0E">
        <w:t xml:space="preserve">. </w:t>
      </w:r>
      <w:r w:rsidR="009A5585">
        <w:t xml:space="preserve">This was </w:t>
      </w:r>
      <w:r>
        <w:t>particularl</w:t>
      </w:r>
      <w:r w:rsidR="009A5585">
        <w:t>y the case when the</w:t>
      </w:r>
      <w:r w:rsidR="009621B5">
        <w:t xml:space="preserve"> project bid</w:t>
      </w:r>
      <w:r w:rsidR="009A5585">
        <w:t xml:space="preserve"> involved </w:t>
      </w:r>
      <w:r w:rsidR="009621B5">
        <w:t>numerous partners</w:t>
      </w:r>
      <w:r w:rsidR="009A5585">
        <w:t>, as d</w:t>
      </w:r>
      <w:r w:rsidR="008753F9">
        <w:t xml:space="preserve">eveloping new collaborations was identified as </w:t>
      </w:r>
      <w:r w:rsidR="006B6003">
        <w:t xml:space="preserve">one of </w:t>
      </w:r>
      <w:r w:rsidR="00B13A8C">
        <w:t>the</w:t>
      </w:r>
      <w:r w:rsidR="008753F9">
        <w:t xml:space="preserve"> task</w:t>
      </w:r>
      <w:r w:rsidR="00B95CEC">
        <w:t>s</w:t>
      </w:r>
      <w:r w:rsidR="008753F9">
        <w:t xml:space="preserve"> that </w:t>
      </w:r>
      <w:r w:rsidR="001D7CDB">
        <w:t>took</w:t>
      </w:r>
      <w:r w:rsidR="008753F9">
        <w:t xml:space="preserve"> up </w:t>
      </w:r>
      <w:r w:rsidR="00B13A8C">
        <w:t>most of the</w:t>
      </w:r>
      <w:r w:rsidR="008753F9">
        <w:t xml:space="preserve"> time</w:t>
      </w:r>
      <w:r w:rsidR="00B25C0E">
        <w:t xml:space="preserve">. </w:t>
      </w:r>
    </w:p>
    <w:p w14:paraId="5D3352F0" w14:textId="77777777" w:rsidR="00CD578D" w:rsidRDefault="00493264" w:rsidP="00074EF1">
      <w:r>
        <w:t>In Round</w:t>
      </w:r>
      <w:r w:rsidR="00074EF1">
        <w:t>s 2 and</w:t>
      </w:r>
      <w:r>
        <w:t xml:space="preserve"> 3, key program dates were as follows:</w:t>
      </w:r>
    </w:p>
    <w:tbl>
      <w:tblPr>
        <w:tblStyle w:val="TableGrid"/>
        <w:tblW w:w="7795" w:type="dxa"/>
        <w:tblInd w:w="709" w:type="dxa"/>
        <w:tblBorders>
          <w:top w:val="none" w:sz="0" w:space="0" w:color="auto"/>
          <w:left w:val="none" w:sz="0" w:space="0" w:color="auto"/>
          <w:bottom w:val="none" w:sz="0" w:space="0" w:color="auto"/>
          <w:right w:val="none" w:sz="0" w:space="0" w:color="auto"/>
          <w:insideH w:val="single" w:sz="4" w:space="0" w:color="0092CF"/>
          <w:insideV w:val="single" w:sz="4" w:space="0" w:color="0092CF"/>
        </w:tblBorders>
        <w:tblLook w:val="04A0" w:firstRow="1" w:lastRow="0" w:firstColumn="1" w:lastColumn="0" w:noHBand="0" w:noVBand="1"/>
        <w:tblCaption w:val="Key program dates for steps in the application and selection process for Rounds 2 and 3"/>
        <w:tblDescription w:val="This table describes the key dates for steps, or milestones in the application and selection process for Rounds 1 and 2.  In Round 1 applications opened 23 September 2015 and grant agreements were signed in May - June 2016.  In Round 3 applications opened 6 October 2016 and Grant agreements were signed in May - June 2017.  "/>
      </w:tblPr>
      <w:tblGrid>
        <w:gridCol w:w="2693"/>
        <w:gridCol w:w="2268"/>
        <w:gridCol w:w="2834"/>
      </w:tblGrid>
      <w:tr w:rsidR="00136141" w:rsidRPr="00D46B6F" w14:paraId="434BB514" w14:textId="77777777" w:rsidTr="00D95FD9">
        <w:tc>
          <w:tcPr>
            <w:tcW w:w="2693" w:type="dxa"/>
            <w:shd w:val="clear" w:color="auto" w:fill="FFFFFF" w:themeFill="background1"/>
          </w:tcPr>
          <w:p w14:paraId="15019EDA" w14:textId="77777777" w:rsidR="00136141" w:rsidRPr="00D46B6F" w:rsidRDefault="00136141" w:rsidP="000B2FC7">
            <w:pPr>
              <w:pStyle w:val="Subtableheading"/>
              <w:rPr>
                <w:b w:val="0"/>
                <w:caps w:val="0"/>
                <w:color w:val="auto"/>
                <w:szCs w:val="19"/>
                <w:u w:val="single"/>
              </w:rPr>
            </w:pPr>
            <w:r w:rsidRPr="00D46B6F">
              <w:rPr>
                <w:b w:val="0"/>
                <w:caps w:val="0"/>
                <w:color w:val="auto"/>
                <w:szCs w:val="19"/>
                <w:u w:val="single"/>
              </w:rPr>
              <w:t>Milestone</w:t>
            </w:r>
          </w:p>
        </w:tc>
        <w:tc>
          <w:tcPr>
            <w:tcW w:w="2268" w:type="dxa"/>
          </w:tcPr>
          <w:p w14:paraId="7A37C69E" w14:textId="77777777" w:rsidR="00136141" w:rsidRPr="00D46B6F" w:rsidRDefault="00136141" w:rsidP="000B2FC7">
            <w:pPr>
              <w:pStyle w:val="Tablebodytext"/>
              <w:spacing w:before="0" w:after="0"/>
              <w:contextualSpacing/>
              <w:rPr>
                <w:szCs w:val="19"/>
                <w:u w:val="single"/>
              </w:rPr>
            </w:pPr>
            <w:r>
              <w:rPr>
                <w:szCs w:val="19"/>
                <w:u w:val="single"/>
              </w:rPr>
              <w:t>Round 2</w:t>
            </w:r>
          </w:p>
        </w:tc>
        <w:tc>
          <w:tcPr>
            <w:tcW w:w="2834" w:type="dxa"/>
          </w:tcPr>
          <w:p w14:paraId="48CB88CB" w14:textId="77777777" w:rsidR="00136141" w:rsidRPr="00D46B6F" w:rsidRDefault="00136141" w:rsidP="000B2FC7">
            <w:pPr>
              <w:pStyle w:val="Tablebodytext"/>
              <w:spacing w:before="0" w:after="0"/>
              <w:contextualSpacing/>
              <w:rPr>
                <w:szCs w:val="19"/>
                <w:u w:val="single"/>
              </w:rPr>
            </w:pPr>
            <w:r>
              <w:rPr>
                <w:szCs w:val="19"/>
                <w:u w:val="single"/>
              </w:rPr>
              <w:t>Round 3</w:t>
            </w:r>
          </w:p>
        </w:tc>
      </w:tr>
      <w:tr w:rsidR="00136141" w:rsidRPr="008D4CCF" w14:paraId="17CBF385" w14:textId="77777777" w:rsidTr="00D95FD9">
        <w:tc>
          <w:tcPr>
            <w:tcW w:w="2693" w:type="dxa"/>
            <w:shd w:val="clear" w:color="auto" w:fill="FFFFFF" w:themeFill="background1"/>
          </w:tcPr>
          <w:p w14:paraId="4A6E983B" w14:textId="77777777" w:rsidR="00136141" w:rsidRPr="008D4CCF" w:rsidRDefault="00136141" w:rsidP="00443F10">
            <w:pPr>
              <w:pStyle w:val="Tablebullet"/>
            </w:pPr>
            <w:r>
              <w:t>Applications open and guidelines released</w:t>
            </w:r>
          </w:p>
        </w:tc>
        <w:tc>
          <w:tcPr>
            <w:tcW w:w="2268" w:type="dxa"/>
          </w:tcPr>
          <w:p w14:paraId="0FD2F2B8" w14:textId="77777777" w:rsidR="00136141" w:rsidRPr="008D4CCF" w:rsidRDefault="00136141" w:rsidP="00074EF1">
            <w:pPr>
              <w:pStyle w:val="Tablebodytext"/>
              <w:spacing w:before="0" w:after="0"/>
              <w:contextualSpacing/>
              <w:rPr>
                <w:szCs w:val="19"/>
              </w:rPr>
            </w:pPr>
            <w:r>
              <w:rPr>
                <w:szCs w:val="19"/>
              </w:rPr>
              <w:t>23 September 2015</w:t>
            </w:r>
          </w:p>
        </w:tc>
        <w:tc>
          <w:tcPr>
            <w:tcW w:w="2834" w:type="dxa"/>
          </w:tcPr>
          <w:p w14:paraId="2AB623CF" w14:textId="77777777" w:rsidR="00136141" w:rsidRDefault="00136141" w:rsidP="00074EF1">
            <w:pPr>
              <w:pStyle w:val="Tablebodytext"/>
              <w:spacing w:before="0" w:after="0"/>
              <w:contextualSpacing/>
              <w:rPr>
                <w:szCs w:val="19"/>
              </w:rPr>
            </w:pPr>
            <w:r>
              <w:rPr>
                <w:szCs w:val="19"/>
              </w:rPr>
              <w:t>28 September 2016 (Guidelines released)</w:t>
            </w:r>
          </w:p>
          <w:p w14:paraId="2888810F" w14:textId="77777777" w:rsidR="00136141" w:rsidRDefault="00136141" w:rsidP="00074EF1">
            <w:pPr>
              <w:pStyle w:val="Tablebodytext"/>
              <w:spacing w:before="0" w:after="0"/>
              <w:contextualSpacing/>
              <w:rPr>
                <w:szCs w:val="19"/>
              </w:rPr>
            </w:pPr>
            <w:r>
              <w:rPr>
                <w:szCs w:val="19"/>
              </w:rPr>
              <w:t>Applications opened 6 October 2016</w:t>
            </w:r>
          </w:p>
        </w:tc>
      </w:tr>
      <w:tr w:rsidR="00136141" w:rsidRPr="008D4CCF" w14:paraId="06F10676" w14:textId="77777777" w:rsidTr="00D95FD9">
        <w:tc>
          <w:tcPr>
            <w:tcW w:w="2693" w:type="dxa"/>
            <w:shd w:val="clear" w:color="auto" w:fill="FFFFFF" w:themeFill="background1"/>
          </w:tcPr>
          <w:p w14:paraId="0649EB58" w14:textId="77777777" w:rsidR="00136141" w:rsidRPr="008D4CCF" w:rsidRDefault="00136141" w:rsidP="00443F10">
            <w:pPr>
              <w:pStyle w:val="Tablebullet"/>
            </w:pPr>
            <w:r>
              <w:t>Applications close</w:t>
            </w:r>
            <w:r w:rsidRPr="008D4CCF">
              <w:t xml:space="preserve"> </w:t>
            </w:r>
          </w:p>
        </w:tc>
        <w:tc>
          <w:tcPr>
            <w:tcW w:w="2268" w:type="dxa"/>
          </w:tcPr>
          <w:p w14:paraId="5CD64105" w14:textId="77777777" w:rsidR="00136141" w:rsidRPr="000C0013" w:rsidRDefault="00136141" w:rsidP="000B2FC7">
            <w:pPr>
              <w:pStyle w:val="Highlight"/>
              <w:spacing w:after="0"/>
              <w:ind w:left="34"/>
              <w:contextualSpacing/>
              <w:rPr>
                <w:rFonts w:asciiTheme="minorHAnsi" w:hAnsiTheme="minorHAnsi"/>
                <w:i w:val="0"/>
                <w:color w:val="auto"/>
                <w:sz w:val="19"/>
                <w:szCs w:val="19"/>
                <w:lang w:eastAsia="en-US"/>
              </w:rPr>
            </w:pPr>
            <w:r>
              <w:rPr>
                <w:rFonts w:asciiTheme="minorHAnsi" w:hAnsiTheme="minorHAnsi"/>
                <w:i w:val="0"/>
                <w:color w:val="auto"/>
                <w:sz w:val="19"/>
                <w:szCs w:val="19"/>
                <w:lang w:eastAsia="en-US"/>
              </w:rPr>
              <w:t xml:space="preserve">1 </w:t>
            </w:r>
            <w:r w:rsidRPr="000C0013">
              <w:rPr>
                <w:rFonts w:asciiTheme="minorHAnsi" w:hAnsiTheme="minorHAnsi"/>
                <w:i w:val="0"/>
                <w:color w:val="auto"/>
                <w:sz w:val="19"/>
                <w:szCs w:val="19"/>
                <w:lang w:eastAsia="en-US"/>
              </w:rPr>
              <w:t>D</w:t>
            </w:r>
            <w:r>
              <w:rPr>
                <w:rFonts w:asciiTheme="minorHAnsi" w:hAnsiTheme="minorHAnsi"/>
                <w:i w:val="0"/>
                <w:color w:val="auto"/>
                <w:sz w:val="19"/>
                <w:szCs w:val="19"/>
                <w:lang w:eastAsia="en-US"/>
              </w:rPr>
              <w:t>ecember 2015</w:t>
            </w:r>
          </w:p>
        </w:tc>
        <w:tc>
          <w:tcPr>
            <w:tcW w:w="2834" w:type="dxa"/>
          </w:tcPr>
          <w:p w14:paraId="2289438C" w14:textId="77777777" w:rsidR="00136141" w:rsidRPr="000C0013" w:rsidRDefault="00136141" w:rsidP="000B2FC7">
            <w:pPr>
              <w:pStyle w:val="Highlight"/>
              <w:spacing w:after="0"/>
              <w:ind w:left="34"/>
              <w:contextualSpacing/>
              <w:rPr>
                <w:rFonts w:asciiTheme="minorHAnsi" w:hAnsiTheme="minorHAnsi"/>
                <w:i w:val="0"/>
                <w:color w:val="auto"/>
                <w:sz w:val="19"/>
                <w:szCs w:val="19"/>
                <w:lang w:eastAsia="en-US"/>
              </w:rPr>
            </w:pPr>
            <w:r>
              <w:rPr>
                <w:rFonts w:asciiTheme="minorHAnsi" w:hAnsiTheme="minorHAnsi"/>
                <w:i w:val="0"/>
                <w:color w:val="auto"/>
                <w:sz w:val="19"/>
                <w:szCs w:val="19"/>
                <w:lang w:eastAsia="en-US"/>
              </w:rPr>
              <w:t>6 December 2016</w:t>
            </w:r>
          </w:p>
        </w:tc>
      </w:tr>
      <w:tr w:rsidR="00136141" w:rsidRPr="008D4CCF" w14:paraId="0D6BE272" w14:textId="77777777" w:rsidTr="00D95FD9">
        <w:tc>
          <w:tcPr>
            <w:tcW w:w="2693" w:type="dxa"/>
            <w:shd w:val="clear" w:color="auto" w:fill="FFFFFF" w:themeFill="background1"/>
          </w:tcPr>
          <w:p w14:paraId="6791A3F9" w14:textId="77777777" w:rsidR="00136141" w:rsidRPr="008D4CCF" w:rsidRDefault="00136141" w:rsidP="000B2FC7">
            <w:pPr>
              <w:pStyle w:val="Subtableheading"/>
              <w:rPr>
                <w:b w:val="0"/>
                <w:caps w:val="0"/>
                <w:color w:val="auto"/>
                <w:szCs w:val="19"/>
              </w:rPr>
            </w:pPr>
            <w:r>
              <w:rPr>
                <w:b w:val="0"/>
                <w:caps w:val="0"/>
                <w:color w:val="auto"/>
                <w:szCs w:val="19"/>
              </w:rPr>
              <w:t>Assessment period</w:t>
            </w:r>
          </w:p>
        </w:tc>
        <w:tc>
          <w:tcPr>
            <w:tcW w:w="2268" w:type="dxa"/>
          </w:tcPr>
          <w:p w14:paraId="594C6FC2" w14:textId="77777777" w:rsidR="00136141" w:rsidRPr="000C0013" w:rsidRDefault="00136141" w:rsidP="000B2FC7">
            <w:pPr>
              <w:pStyle w:val="Highlight"/>
              <w:spacing w:after="0"/>
              <w:ind w:left="34"/>
              <w:rPr>
                <w:rFonts w:asciiTheme="minorHAnsi" w:hAnsiTheme="minorHAnsi"/>
                <w:i w:val="0"/>
                <w:color w:val="auto"/>
                <w:sz w:val="19"/>
                <w:szCs w:val="19"/>
                <w:lang w:eastAsia="en-US"/>
              </w:rPr>
            </w:pPr>
            <w:r>
              <w:rPr>
                <w:rFonts w:asciiTheme="minorHAnsi" w:hAnsiTheme="minorHAnsi"/>
                <w:i w:val="0"/>
                <w:color w:val="auto"/>
                <w:sz w:val="19"/>
                <w:szCs w:val="19"/>
                <w:lang w:eastAsia="en-US"/>
              </w:rPr>
              <w:t>December 2015 – February 2016</w:t>
            </w:r>
          </w:p>
        </w:tc>
        <w:tc>
          <w:tcPr>
            <w:tcW w:w="2834" w:type="dxa"/>
          </w:tcPr>
          <w:p w14:paraId="64683952" w14:textId="77777777" w:rsidR="00136141" w:rsidRDefault="00136141" w:rsidP="000B2FC7">
            <w:pPr>
              <w:pStyle w:val="Highlight"/>
              <w:spacing w:after="0"/>
              <w:ind w:left="34"/>
              <w:rPr>
                <w:rFonts w:asciiTheme="minorHAnsi" w:hAnsiTheme="minorHAnsi"/>
                <w:i w:val="0"/>
                <w:color w:val="auto"/>
                <w:sz w:val="19"/>
                <w:szCs w:val="19"/>
                <w:lang w:eastAsia="en-US"/>
              </w:rPr>
            </w:pPr>
            <w:r>
              <w:rPr>
                <w:rFonts w:asciiTheme="minorHAnsi" w:hAnsiTheme="minorHAnsi"/>
                <w:i w:val="0"/>
                <w:color w:val="auto"/>
                <w:sz w:val="19"/>
                <w:szCs w:val="19"/>
                <w:lang w:eastAsia="en-US"/>
              </w:rPr>
              <w:t>December 2016 – February 2017</w:t>
            </w:r>
          </w:p>
        </w:tc>
      </w:tr>
      <w:tr w:rsidR="00136141" w:rsidRPr="008D4CCF" w14:paraId="5A77267A" w14:textId="77777777" w:rsidTr="00D95FD9">
        <w:tc>
          <w:tcPr>
            <w:tcW w:w="2693" w:type="dxa"/>
            <w:shd w:val="clear" w:color="auto" w:fill="FFFFFF" w:themeFill="background1"/>
          </w:tcPr>
          <w:p w14:paraId="7EDAF937" w14:textId="77777777" w:rsidR="00136141" w:rsidRDefault="00136141" w:rsidP="000B2FC7">
            <w:pPr>
              <w:pStyle w:val="Subtableheading"/>
              <w:rPr>
                <w:b w:val="0"/>
                <w:caps w:val="0"/>
                <w:color w:val="auto"/>
                <w:szCs w:val="19"/>
              </w:rPr>
            </w:pPr>
            <w:r>
              <w:rPr>
                <w:b w:val="0"/>
                <w:caps w:val="0"/>
                <w:color w:val="auto"/>
                <w:szCs w:val="19"/>
              </w:rPr>
              <w:t>Announcement of successful projects</w:t>
            </w:r>
          </w:p>
        </w:tc>
        <w:tc>
          <w:tcPr>
            <w:tcW w:w="2268" w:type="dxa"/>
          </w:tcPr>
          <w:p w14:paraId="3197AFF6" w14:textId="77777777" w:rsidR="00136141" w:rsidRPr="000C0013" w:rsidRDefault="00136141" w:rsidP="000B2FC7">
            <w:pPr>
              <w:pStyle w:val="Highlight"/>
              <w:spacing w:after="0"/>
              <w:ind w:left="34"/>
              <w:rPr>
                <w:rFonts w:asciiTheme="minorHAnsi" w:hAnsiTheme="minorHAnsi"/>
                <w:i w:val="0"/>
                <w:color w:val="auto"/>
                <w:sz w:val="19"/>
                <w:szCs w:val="19"/>
                <w:lang w:eastAsia="en-US"/>
              </w:rPr>
            </w:pPr>
            <w:r>
              <w:rPr>
                <w:rFonts w:asciiTheme="minorHAnsi" w:hAnsiTheme="minorHAnsi"/>
                <w:i w:val="0"/>
                <w:color w:val="auto"/>
                <w:sz w:val="19"/>
                <w:szCs w:val="19"/>
                <w:lang w:eastAsia="en-US"/>
              </w:rPr>
              <w:t>April 2016</w:t>
            </w:r>
          </w:p>
        </w:tc>
        <w:tc>
          <w:tcPr>
            <w:tcW w:w="2834" w:type="dxa"/>
          </w:tcPr>
          <w:p w14:paraId="2346494F" w14:textId="77777777" w:rsidR="00136141" w:rsidRDefault="00136141" w:rsidP="000B2FC7">
            <w:pPr>
              <w:pStyle w:val="Highlight"/>
              <w:spacing w:after="0"/>
              <w:ind w:left="34"/>
              <w:rPr>
                <w:rFonts w:asciiTheme="minorHAnsi" w:hAnsiTheme="minorHAnsi"/>
                <w:i w:val="0"/>
                <w:color w:val="auto"/>
                <w:sz w:val="19"/>
                <w:szCs w:val="19"/>
                <w:lang w:eastAsia="en-US"/>
              </w:rPr>
            </w:pPr>
            <w:r>
              <w:rPr>
                <w:rFonts w:asciiTheme="minorHAnsi" w:hAnsiTheme="minorHAnsi"/>
                <w:i w:val="0"/>
                <w:color w:val="auto"/>
                <w:sz w:val="19"/>
                <w:szCs w:val="19"/>
                <w:lang w:eastAsia="en-US"/>
              </w:rPr>
              <w:t>2017</w:t>
            </w:r>
          </w:p>
        </w:tc>
      </w:tr>
      <w:tr w:rsidR="00136141" w:rsidRPr="008D4CCF" w14:paraId="24287145" w14:textId="77777777" w:rsidTr="00D95FD9">
        <w:tc>
          <w:tcPr>
            <w:tcW w:w="2693" w:type="dxa"/>
            <w:shd w:val="clear" w:color="auto" w:fill="FFFFFF" w:themeFill="background1"/>
          </w:tcPr>
          <w:p w14:paraId="280BFACD" w14:textId="77777777" w:rsidR="00136141" w:rsidRDefault="00136141" w:rsidP="000B2FC7">
            <w:pPr>
              <w:pStyle w:val="Subtableheading"/>
              <w:rPr>
                <w:b w:val="0"/>
                <w:caps w:val="0"/>
                <w:color w:val="auto"/>
                <w:szCs w:val="19"/>
              </w:rPr>
            </w:pPr>
            <w:r>
              <w:rPr>
                <w:b w:val="0"/>
                <w:caps w:val="0"/>
                <w:color w:val="auto"/>
                <w:szCs w:val="19"/>
              </w:rPr>
              <w:t>Grant agreements signed and commencement of successful projects</w:t>
            </w:r>
          </w:p>
        </w:tc>
        <w:tc>
          <w:tcPr>
            <w:tcW w:w="2268" w:type="dxa"/>
          </w:tcPr>
          <w:p w14:paraId="6EA15433" w14:textId="77777777" w:rsidR="00136141" w:rsidRPr="000C0013" w:rsidRDefault="00136141" w:rsidP="000B2FC7">
            <w:pPr>
              <w:pStyle w:val="Highlight"/>
              <w:spacing w:after="0"/>
              <w:ind w:left="34"/>
              <w:rPr>
                <w:rFonts w:asciiTheme="minorHAnsi" w:hAnsiTheme="minorHAnsi"/>
                <w:i w:val="0"/>
                <w:color w:val="auto"/>
                <w:sz w:val="19"/>
                <w:szCs w:val="19"/>
                <w:lang w:eastAsia="en-US"/>
              </w:rPr>
            </w:pPr>
            <w:r>
              <w:rPr>
                <w:rFonts w:asciiTheme="minorHAnsi" w:hAnsiTheme="minorHAnsi"/>
                <w:i w:val="0"/>
                <w:color w:val="auto"/>
                <w:sz w:val="19"/>
                <w:szCs w:val="19"/>
                <w:lang w:eastAsia="en-US"/>
              </w:rPr>
              <w:t>May – June 2016</w:t>
            </w:r>
          </w:p>
        </w:tc>
        <w:tc>
          <w:tcPr>
            <w:tcW w:w="2834" w:type="dxa"/>
          </w:tcPr>
          <w:p w14:paraId="3E281E8A" w14:textId="77777777" w:rsidR="00136141" w:rsidRDefault="00136141" w:rsidP="000B2FC7">
            <w:pPr>
              <w:pStyle w:val="Highlight"/>
              <w:spacing w:after="0"/>
              <w:ind w:left="34"/>
              <w:rPr>
                <w:rFonts w:asciiTheme="minorHAnsi" w:hAnsiTheme="minorHAnsi"/>
                <w:i w:val="0"/>
                <w:color w:val="auto"/>
                <w:sz w:val="19"/>
                <w:szCs w:val="19"/>
                <w:lang w:eastAsia="en-US"/>
              </w:rPr>
            </w:pPr>
            <w:r>
              <w:rPr>
                <w:rFonts w:asciiTheme="minorHAnsi" w:hAnsiTheme="minorHAnsi"/>
                <w:i w:val="0"/>
                <w:color w:val="auto"/>
                <w:sz w:val="19"/>
                <w:szCs w:val="19"/>
                <w:lang w:eastAsia="en-US"/>
              </w:rPr>
              <w:t>May – June 2017</w:t>
            </w:r>
          </w:p>
        </w:tc>
      </w:tr>
    </w:tbl>
    <w:p w14:paraId="3E8E3570" w14:textId="43F7C2BF" w:rsidR="00493264" w:rsidRDefault="006A7807" w:rsidP="00421A84">
      <w:pPr>
        <w:spacing w:before="200"/>
      </w:pPr>
      <w:r>
        <w:t xml:space="preserve">In sum, </w:t>
      </w:r>
      <w:r w:rsidR="002E0E36">
        <w:t xml:space="preserve">the application </w:t>
      </w:r>
      <w:r w:rsidR="00B95CEC">
        <w:t>period</w:t>
      </w:r>
      <w:r w:rsidR="002E0E36">
        <w:t xml:space="preserve"> </w:t>
      </w:r>
      <w:r w:rsidR="005D2DBB">
        <w:t>for Round 1 allowed approximately 8 weeks, and Round 2 allowed 10 weeks</w:t>
      </w:r>
      <w:r w:rsidR="00B25C0E">
        <w:t xml:space="preserve">. </w:t>
      </w:r>
    </w:p>
    <w:p w14:paraId="70A4ED90" w14:textId="280E7C09" w:rsidR="00BA3134" w:rsidRDefault="00BA3134" w:rsidP="00BA3134">
      <w:r w:rsidRPr="00BA3134">
        <w:t xml:space="preserve">The </w:t>
      </w:r>
      <w:r w:rsidRPr="00BA3134">
        <w:rPr>
          <w:i/>
        </w:rPr>
        <w:t>Commonwealth Grants Rules and Guidelines</w:t>
      </w:r>
      <w:r w:rsidRPr="00BA3134">
        <w:t xml:space="preserve"> are not prescriptive regarding timeframes for the application stage, suffice applying the principle of proportionality.</w:t>
      </w:r>
      <w:r w:rsidRPr="00BA3134">
        <w:rPr>
          <w:rStyle w:val="FootnoteReference"/>
          <w:rFonts w:ascii="Arial" w:hAnsi="Arial" w:cs="Arial"/>
          <w:color w:val="000000"/>
          <w:szCs w:val="22"/>
        </w:rPr>
        <w:footnoteReference w:id="19"/>
      </w:r>
      <w:r>
        <w:t xml:space="preserve">  </w:t>
      </w:r>
      <w:r w:rsidR="005C0B6A">
        <w:t>That is</w:t>
      </w:r>
      <w:r>
        <w:t xml:space="preserve">, the timeframe allowed should </w:t>
      </w:r>
      <w:r w:rsidR="00E1781C">
        <w:t xml:space="preserve">be proportionate to the </w:t>
      </w:r>
      <w:r>
        <w:t>bid writing requirement</w:t>
      </w:r>
      <w:r w:rsidR="005C0B6A">
        <w:t xml:space="preserve"> </w:t>
      </w:r>
      <w:r>
        <w:t xml:space="preserve">and </w:t>
      </w:r>
      <w:r w:rsidR="00E1781C">
        <w:t xml:space="preserve">reflect the </w:t>
      </w:r>
      <w:r>
        <w:t xml:space="preserve">complexity of </w:t>
      </w:r>
      <w:r w:rsidR="005E0037">
        <w:t>proposals</w:t>
      </w:r>
      <w:r w:rsidR="00B25C0E">
        <w:t xml:space="preserve">. </w:t>
      </w:r>
    </w:p>
    <w:p w14:paraId="023AB264" w14:textId="4C5D6DC8" w:rsidR="00BA3134" w:rsidRDefault="00BA3134" w:rsidP="00BA3134">
      <w:r>
        <w:t xml:space="preserve">Analysis of other </w:t>
      </w:r>
      <w:r w:rsidR="00093456">
        <w:t xml:space="preserve">external and </w:t>
      </w:r>
      <w:r>
        <w:t>comparable research grants identified variance in timeframes allowed for the application period</w:t>
      </w:r>
      <w:r w:rsidR="00B25C0E">
        <w:t xml:space="preserve">. </w:t>
      </w:r>
      <w:r>
        <w:t>For example, some grant programs allowed nearly five months between release of guidance and closing date for proposals. Others allowed approximately 12 weeks (three months).</w:t>
      </w:r>
      <w:r>
        <w:rPr>
          <w:rStyle w:val="FootnoteReference"/>
        </w:rPr>
        <w:footnoteReference w:id="20"/>
      </w:r>
      <w:r>
        <w:t xml:space="preserve">  By comparison with some other external grant programs, Rural R&amp;D for Profit’s application period, particularly in Round 1, was shorter</w:t>
      </w:r>
      <w:r w:rsidR="00B25C0E">
        <w:t xml:space="preserve">. </w:t>
      </w:r>
    </w:p>
    <w:p w14:paraId="20DA4A39" w14:textId="77777777" w:rsidR="00BA3134" w:rsidRDefault="00BA3134" w:rsidP="00BA3134">
      <w:r>
        <w:t>A shorter timeframe for applications can result in the following:</w:t>
      </w:r>
    </w:p>
    <w:p w14:paraId="715E2068" w14:textId="77777777" w:rsidR="00BA3134" w:rsidRDefault="00BA3134" w:rsidP="00565949">
      <w:pPr>
        <w:pStyle w:val="ListBullet"/>
      </w:pPr>
      <w:r>
        <w:t>lower quality bids being submitted (applicants do not have the time to develop a quality bid)</w:t>
      </w:r>
    </w:p>
    <w:p w14:paraId="430E335C" w14:textId="77777777" w:rsidR="00BA3134" w:rsidRDefault="00BA3134" w:rsidP="00565949">
      <w:pPr>
        <w:pStyle w:val="ListBullet"/>
      </w:pPr>
      <w:r>
        <w:t xml:space="preserve">fewer bids being submitted (applicants choose not to apply because they do not have the time to put a bid together in a concentrated period, as opposed to a more measured approach to bid writing over a longer period) </w:t>
      </w:r>
    </w:p>
    <w:p w14:paraId="12D53AC0" w14:textId="18BEA104" w:rsidR="00BA3134" w:rsidRPr="00BA3134" w:rsidRDefault="00BA3134" w:rsidP="00565949">
      <w:pPr>
        <w:pStyle w:val="ListBullet"/>
      </w:pPr>
      <w:r>
        <w:t>to save on time, applicants may choose to go to a limited number of partners, as developing the relationships for collaborations was noted to take considerable time</w:t>
      </w:r>
      <w:r w:rsidR="00B25C0E">
        <w:t xml:space="preserve">. </w:t>
      </w:r>
    </w:p>
    <w:p w14:paraId="193B8190" w14:textId="77777777" w:rsidR="00936DD1" w:rsidRPr="00565949" w:rsidRDefault="00936DD1" w:rsidP="00565949">
      <w:pPr>
        <w:rPr>
          <w:rStyle w:val="Strong"/>
        </w:rPr>
      </w:pPr>
      <w:r w:rsidRPr="00565949">
        <w:rPr>
          <w:rStyle w:val="Strong"/>
        </w:rPr>
        <w:t>Assessment, selection and notification</w:t>
      </w:r>
    </w:p>
    <w:p w14:paraId="1AE6326E" w14:textId="5017D45D" w:rsidR="009A5585" w:rsidRDefault="009A5585" w:rsidP="00936DD1">
      <w:r>
        <w:t xml:space="preserve">There was lapsed time between submission and announcement of successful /unsuccessful projects </w:t>
      </w:r>
      <w:r w:rsidR="009A1B25">
        <w:t xml:space="preserve">Rural R&amp;D for Profit projects </w:t>
      </w:r>
      <w:r>
        <w:t>of approximately 5-6 months</w:t>
      </w:r>
      <w:r w:rsidR="00B25C0E">
        <w:t xml:space="preserve">. </w:t>
      </w:r>
      <w:r w:rsidR="00EC7D98">
        <w:t>RDCs</w:t>
      </w:r>
      <w:r w:rsidR="00E53E31">
        <w:t xml:space="preserve"> and non-participants</w:t>
      </w:r>
      <w:r w:rsidR="00EC7D98">
        <w:t xml:space="preserve"> </w:t>
      </w:r>
      <w:r>
        <w:t xml:space="preserve">regarded </w:t>
      </w:r>
      <w:r w:rsidR="002B6F64">
        <w:t>this as</w:t>
      </w:r>
      <w:r>
        <w:t xml:space="preserve"> too long, particularly if a project had been unsuccessful</w:t>
      </w:r>
      <w:r w:rsidR="00B25C0E">
        <w:t xml:space="preserve">. </w:t>
      </w:r>
    </w:p>
    <w:p w14:paraId="0C295385" w14:textId="14E679AE" w:rsidR="009A5585" w:rsidRPr="00DC607D" w:rsidRDefault="00DC607D" w:rsidP="009A5585">
      <w:r w:rsidRPr="00DC607D">
        <w:t xml:space="preserve">The main implication of a lengthy selection and notification process is that </w:t>
      </w:r>
      <w:r>
        <w:t xml:space="preserve">over that time, </w:t>
      </w:r>
      <w:r w:rsidRPr="00DC607D">
        <w:t xml:space="preserve">unsuccessful bidders </w:t>
      </w:r>
      <w:r>
        <w:t xml:space="preserve">have </w:t>
      </w:r>
      <w:r w:rsidRPr="00DC607D">
        <w:t>miss</w:t>
      </w:r>
      <w:r>
        <w:t>ed</w:t>
      </w:r>
      <w:r w:rsidRPr="00DC607D">
        <w:t xml:space="preserve"> out on opportunities to pursue other research options</w:t>
      </w:r>
      <w:r w:rsidR="00B25C0E">
        <w:t xml:space="preserve">. </w:t>
      </w:r>
      <w:r>
        <w:t>(A</w:t>
      </w:r>
      <w:r w:rsidR="00D71AB8" w:rsidRPr="00DC607D">
        <w:t xml:space="preserve">pplicants </w:t>
      </w:r>
      <w:r w:rsidR="009A5585" w:rsidRPr="00DC607D">
        <w:t xml:space="preserve">allocate </w:t>
      </w:r>
      <w:r w:rsidR="00D71AB8" w:rsidRPr="00DC607D">
        <w:t xml:space="preserve">funding </w:t>
      </w:r>
      <w:r>
        <w:t>to the</w:t>
      </w:r>
      <w:r w:rsidR="00D71AB8" w:rsidRPr="00DC607D">
        <w:t xml:space="preserve"> proposed </w:t>
      </w:r>
      <w:r w:rsidR="00575668">
        <w:t xml:space="preserve">Rural R&amp;D for Profit </w:t>
      </w:r>
      <w:r w:rsidR="00D71AB8" w:rsidRPr="00DC607D">
        <w:t>project</w:t>
      </w:r>
      <w:r>
        <w:t xml:space="preserve"> </w:t>
      </w:r>
      <w:r w:rsidR="00575668">
        <w:t xml:space="preserve">and this funding is </w:t>
      </w:r>
      <w:r w:rsidR="00D71AB8" w:rsidRPr="00DC607D">
        <w:t>held in reserve during</w:t>
      </w:r>
      <w:r w:rsidR="00EE5A8A" w:rsidRPr="00DC607D">
        <w:t xml:space="preserve"> the assessment and selection process</w:t>
      </w:r>
      <w:r w:rsidR="00070BB7">
        <w:t xml:space="preserve"> </w:t>
      </w:r>
      <w:r w:rsidR="00D71AB8" w:rsidRPr="00DC607D">
        <w:t>in the anticipation of a positive result</w:t>
      </w:r>
      <w:r w:rsidR="00EE5A8A" w:rsidRPr="00DC607D">
        <w:t>.</w:t>
      </w:r>
      <w:r w:rsidR="00052548">
        <w:t>)</w:t>
      </w:r>
      <w:r w:rsidR="00EE5A8A" w:rsidRPr="00DC607D">
        <w:t xml:space="preserve">  </w:t>
      </w:r>
      <w:r w:rsidR="009A5585" w:rsidRPr="00DC607D">
        <w:t xml:space="preserve">As one RDC commented: </w:t>
      </w:r>
    </w:p>
    <w:p w14:paraId="2875D994" w14:textId="0F7B312B" w:rsidR="009A5585" w:rsidRPr="006245CA" w:rsidRDefault="009A5585" w:rsidP="0067112F">
      <w:pPr>
        <w:pStyle w:val="Quote"/>
      </w:pPr>
      <w:r w:rsidRPr="006245CA">
        <w:t>‘if its dead, just tell us</w:t>
      </w:r>
      <w:r w:rsidR="00B25C0E">
        <w:t xml:space="preserve">. </w:t>
      </w:r>
      <w:r w:rsidRPr="006245CA">
        <w:t xml:space="preserve">We need to get on with our business.’  </w:t>
      </w:r>
    </w:p>
    <w:p w14:paraId="4C28C873" w14:textId="70E84C15" w:rsidR="009A5585" w:rsidRDefault="005E0E91" w:rsidP="00936DD1">
      <w:r>
        <w:t>Even successful bidders commented on delays in the notification process,</w:t>
      </w:r>
      <w:r w:rsidR="009A5585">
        <w:t xml:space="preserve"> </w:t>
      </w:r>
      <w:r>
        <w:t xml:space="preserve">whereby the start of </w:t>
      </w:r>
      <w:r w:rsidR="009A5585">
        <w:t>projects</w:t>
      </w:r>
      <w:r>
        <w:t xml:space="preserve"> </w:t>
      </w:r>
      <w:r w:rsidR="009A5585">
        <w:t>were delayed due to having to wait for public announcement of project approvals</w:t>
      </w:r>
      <w:r w:rsidR="00B25C0E">
        <w:t xml:space="preserve">. </w:t>
      </w:r>
    </w:p>
    <w:p w14:paraId="539EBAC5" w14:textId="77777777" w:rsidR="002C1ACF" w:rsidRDefault="002C1ACF" w:rsidP="00421A84">
      <w:pPr>
        <w:pStyle w:val="Heading4"/>
      </w:pPr>
      <w:r>
        <w:t>Project administration and management</w:t>
      </w:r>
    </w:p>
    <w:p w14:paraId="0B6FECFD" w14:textId="77777777" w:rsidR="00191EB9" w:rsidRDefault="006A2786" w:rsidP="00421A84">
      <w:pPr>
        <w:spacing w:before="200"/>
      </w:pPr>
      <w:r>
        <w:t xml:space="preserve">Administration and management of projects by the department </w:t>
      </w:r>
      <w:r w:rsidR="00F5095F" w:rsidRPr="00BC2907">
        <w:t xml:space="preserve">showed alignment with the </w:t>
      </w:r>
      <w:r w:rsidR="00F5095F" w:rsidRPr="00447C5B">
        <w:rPr>
          <w:i/>
        </w:rPr>
        <w:t>Commonwealth Grant</w:t>
      </w:r>
      <w:r w:rsidR="00447C5B" w:rsidRPr="00447C5B">
        <w:rPr>
          <w:i/>
        </w:rPr>
        <w:t xml:space="preserve">s Rules and </w:t>
      </w:r>
      <w:r w:rsidR="00F5095F" w:rsidRPr="00447C5B">
        <w:rPr>
          <w:i/>
        </w:rPr>
        <w:t>Guidelines</w:t>
      </w:r>
      <w:r w:rsidR="00300705">
        <w:t xml:space="preserve"> in that a</w:t>
      </w:r>
      <w:r w:rsidR="00410E26">
        <w:t xml:space="preserve">nalysis </w:t>
      </w:r>
      <w:r w:rsidR="00CD38B4">
        <w:t>of reporting sho</w:t>
      </w:r>
      <w:r w:rsidR="000F137A">
        <w:t>wed</w:t>
      </w:r>
      <w:r w:rsidR="00C613D6">
        <w:t xml:space="preserve"> projects were being</w:t>
      </w:r>
      <w:r w:rsidR="00410E26">
        <w:t xml:space="preserve"> managed against the establishe</w:t>
      </w:r>
      <w:r w:rsidR="00405AE6">
        <w:t>d</w:t>
      </w:r>
      <w:r w:rsidR="00191EB9">
        <w:t xml:space="preserve"> funding agreements:</w:t>
      </w:r>
    </w:p>
    <w:p w14:paraId="5FE35C15" w14:textId="77777777" w:rsidR="0071299D" w:rsidRDefault="00191EB9" w:rsidP="00565949">
      <w:pPr>
        <w:pStyle w:val="ListBullet"/>
      </w:pPr>
      <w:r>
        <w:t>g</w:t>
      </w:r>
      <w:r w:rsidR="00410E26">
        <w:t xml:space="preserve">rantees </w:t>
      </w:r>
      <w:r>
        <w:t xml:space="preserve">have provided regular milestone and final reports to the </w:t>
      </w:r>
      <w:r w:rsidR="002A5D7D">
        <w:t>d</w:t>
      </w:r>
      <w:r>
        <w:t>epartment as per agreements.</w:t>
      </w:r>
      <w:r w:rsidR="00136971" w:rsidDel="00136971">
        <w:t xml:space="preserve"> </w:t>
      </w:r>
    </w:p>
    <w:p w14:paraId="305077FB" w14:textId="2C7B82FF" w:rsidR="00F945F6" w:rsidRPr="00F945F6" w:rsidRDefault="00F945F6" w:rsidP="00D94B91">
      <w:pPr>
        <w:pStyle w:val="ListBullet"/>
        <w:spacing w:before="120"/>
        <w:ind w:left="1276" w:hanging="284"/>
      </w:pPr>
      <w:r w:rsidRPr="00F945F6">
        <w:t>six variations (mainly due to requirements for extension of timeframes) were undertaken for Round 1 projects</w:t>
      </w:r>
      <w:r w:rsidR="00B25C0E">
        <w:t xml:space="preserve">. </w:t>
      </w:r>
    </w:p>
    <w:p w14:paraId="1A17B6AC" w14:textId="77777777" w:rsidR="00191EB9" w:rsidRDefault="00191EB9" w:rsidP="00565949">
      <w:pPr>
        <w:pStyle w:val="ListBullet"/>
      </w:pPr>
      <w:r>
        <w:t>each</w:t>
      </w:r>
      <w:r w:rsidR="00065858">
        <w:t xml:space="preserve"> project had</w:t>
      </w:r>
      <w:r>
        <w:t xml:space="preserve"> a dedicated departmental program team member with responsibility for oversight of the project by the </w:t>
      </w:r>
      <w:r w:rsidR="002A5D7D">
        <w:t>d</w:t>
      </w:r>
      <w:r>
        <w:t>epartment</w:t>
      </w:r>
    </w:p>
    <w:p w14:paraId="1AC799D6" w14:textId="77777777" w:rsidR="00BC6218" w:rsidRDefault="002A5D7D" w:rsidP="00565949">
      <w:pPr>
        <w:pStyle w:val="ListBullet"/>
      </w:pPr>
      <w:r>
        <w:t>d</w:t>
      </w:r>
      <w:r w:rsidR="00191EB9">
        <w:t>epartment project managers also participate</w:t>
      </w:r>
      <w:r w:rsidR="00065858">
        <w:t>d</w:t>
      </w:r>
      <w:r w:rsidR="00191EB9">
        <w:t xml:space="preserve"> in key project meetings and forums </w:t>
      </w:r>
      <w:r w:rsidR="00065858">
        <w:t xml:space="preserve">as appropriate </w:t>
      </w:r>
      <w:r w:rsidR="00191EB9">
        <w:t>to keep abreast of project developments</w:t>
      </w:r>
      <w:r w:rsidR="00803765">
        <w:t>.</w:t>
      </w:r>
      <w:r w:rsidR="00BC6218">
        <w:t xml:space="preserve"> </w:t>
      </w:r>
    </w:p>
    <w:p w14:paraId="766566CE" w14:textId="77777777" w:rsidR="00011D48" w:rsidRPr="00565949" w:rsidRDefault="00011D48" w:rsidP="00565949">
      <w:pPr>
        <w:rPr>
          <w:rStyle w:val="Strong"/>
        </w:rPr>
      </w:pPr>
      <w:r w:rsidRPr="00565949">
        <w:rPr>
          <w:rStyle w:val="Strong"/>
        </w:rPr>
        <w:t>Stakeholder feedback</w:t>
      </w:r>
    </w:p>
    <w:p w14:paraId="2B25D24A" w14:textId="77777777" w:rsidR="0064032F" w:rsidRDefault="00D31E7C" w:rsidP="0064032F">
      <w:r>
        <w:t>F</w:t>
      </w:r>
      <w:r w:rsidR="0064032F">
        <w:t xml:space="preserve">eedback from </w:t>
      </w:r>
      <w:r>
        <w:t xml:space="preserve">the majority </w:t>
      </w:r>
      <w:r w:rsidR="00DF5898">
        <w:t xml:space="preserve">of </w:t>
      </w:r>
      <w:r w:rsidR="0064032F">
        <w:t>RDCs</w:t>
      </w:r>
      <w:r w:rsidR="00A71FA6">
        <w:t xml:space="preserve"> and partner</w:t>
      </w:r>
      <w:r w:rsidR="00F75862">
        <w:t xml:space="preserve"> organisations was</w:t>
      </w:r>
      <w:r w:rsidR="0064032F">
        <w:t xml:space="preserve"> positive</w:t>
      </w:r>
      <w:r w:rsidR="007B6504">
        <w:rPr>
          <w:rStyle w:val="FootnoteReference"/>
        </w:rPr>
        <w:footnoteReference w:id="21"/>
      </w:r>
      <w:r w:rsidR="0064032F">
        <w:t xml:space="preserve"> in relation to administration and management of </w:t>
      </w:r>
      <w:r w:rsidR="002D0537">
        <w:t xml:space="preserve">projects </w:t>
      </w:r>
      <w:r w:rsidR="001C0190">
        <w:t xml:space="preserve">by the </w:t>
      </w:r>
      <w:r w:rsidR="002A5D7D">
        <w:t>d</w:t>
      </w:r>
      <w:r w:rsidR="001C0190">
        <w:t>epartment:</w:t>
      </w:r>
      <w:r w:rsidR="00CF6A19">
        <w:t xml:space="preserve">  </w:t>
      </w:r>
    </w:p>
    <w:p w14:paraId="6501389F" w14:textId="25E8D694" w:rsidR="0064032F" w:rsidRDefault="00DF5898" w:rsidP="00565949">
      <w:pPr>
        <w:pStyle w:val="ListBullet"/>
      </w:pPr>
      <w:r>
        <w:t>t</w:t>
      </w:r>
      <w:r w:rsidR="00A57108">
        <w:t>he majority of</w:t>
      </w:r>
      <w:r w:rsidR="002844D1">
        <w:t xml:space="preserve"> RDCs </w:t>
      </w:r>
      <w:r w:rsidR="007C71F5">
        <w:t xml:space="preserve">were </w:t>
      </w:r>
      <w:r w:rsidR="00CF6A19">
        <w:t>satisfied with admin</w:t>
      </w:r>
      <w:r w:rsidR="00071F7E">
        <w:t xml:space="preserve">istration and management of projects and </w:t>
      </w:r>
      <w:r w:rsidR="002844D1">
        <w:t xml:space="preserve">were complementary </w:t>
      </w:r>
      <w:r w:rsidR="000C0FA7">
        <w:t xml:space="preserve">and enthusiastic about the rapport built up with the </w:t>
      </w:r>
      <w:r w:rsidR="002A5D7D">
        <w:t>d</w:t>
      </w:r>
      <w:r w:rsidR="000C0FA7">
        <w:t>epartment program team</w:t>
      </w:r>
      <w:r w:rsidR="00B25C0E">
        <w:t xml:space="preserve">. </w:t>
      </w:r>
      <w:r w:rsidR="007C71F5">
        <w:t xml:space="preserve">They </w:t>
      </w:r>
      <w:r w:rsidR="002844D1">
        <w:t xml:space="preserve">welcomed the </w:t>
      </w:r>
      <w:r w:rsidR="002A5D7D">
        <w:t>d</w:t>
      </w:r>
      <w:r w:rsidR="002844D1">
        <w:t xml:space="preserve">epartment’s responsiveness in </w:t>
      </w:r>
      <w:r w:rsidR="00153DB6">
        <w:t>actioning</w:t>
      </w:r>
      <w:r w:rsidR="004B35D9">
        <w:t xml:space="preserve"> stakeholder feedback to </w:t>
      </w:r>
      <w:r w:rsidR="002844D1">
        <w:t xml:space="preserve">make </w:t>
      </w:r>
      <w:r w:rsidR="004B35D9">
        <w:t>improve</w:t>
      </w:r>
      <w:r w:rsidR="002844D1">
        <w:t>ments to</w:t>
      </w:r>
      <w:r w:rsidR="004B35D9">
        <w:t xml:space="preserve"> the program over successive rounds. </w:t>
      </w:r>
    </w:p>
    <w:p w14:paraId="7AE6207F" w14:textId="7BB31420" w:rsidR="001C0190" w:rsidRDefault="001C0190" w:rsidP="00565949">
      <w:pPr>
        <w:pStyle w:val="ListBullet"/>
      </w:pPr>
      <w:r>
        <w:t xml:space="preserve">80% of </w:t>
      </w:r>
      <w:r w:rsidR="00C809C0">
        <w:t xml:space="preserve">partner organisation survey </w:t>
      </w:r>
      <w:r>
        <w:t xml:space="preserve">respondents were satisfied with the </w:t>
      </w:r>
      <w:r w:rsidR="002A5D7D">
        <w:t>d</w:t>
      </w:r>
      <w:r>
        <w:t>epartment’s administration of the program</w:t>
      </w:r>
      <w:r w:rsidR="00B25C0E">
        <w:t xml:space="preserve">. </w:t>
      </w:r>
    </w:p>
    <w:p w14:paraId="6979A830" w14:textId="1E68AB58" w:rsidR="00AF547A" w:rsidRDefault="00AF547A" w:rsidP="00D55A93">
      <w:r w:rsidRPr="00AF547A">
        <w:t xml:space="preserve">Interviews with a sample of departmental </w:t>
      </w:r>
      <w:r w:rsidR="00EB3CD1">
        <w:t xml:space="preserve">Sustainable Agriculture Facilitators </w:t>
      </w:r>
      <w:r w:rsidRPr="00AF547A">
        <w:t xml:space="preserve">indicated that some saw benefit in the departmental </w:t>
      </w:r>
      <w:r w:rsidR="007727E8">
        <w:t xml:space="preserve">program </w:t>
      </w:r>
      <w:r w:rsidRPr="00AF547A">
        <w:t xml:space="preserve">team undertaking more information sharing activities throughout the </w:t>
      </w:r>
      <w:r w:rsidR="002A5D7D">
        <w:t>d</w:t>
      </w:r>
      <w:r w:rsidRPr="00AF547A">
        <w:t>epartment</w:t>
      </w:r>
      <w:r w:rsidR="00B25C0E">
        <w:t xml:space="preserve">. </w:t>
      </w:r>
      <w:r w:rsidRPr="00AF547A">
        <w:t xml:space="preserve">For example, so that </w:t>
      </w:r>
      <w:r w:rsidR="00AF0A3E">
        <w:t>facilitators</w:t>
      </w:r>
      <w:r w:rsidR="00AF0A3E" w:rsidRPr="00AF547A">
        <w:t xml:space="preserve"> </w:t>
      </w:r>
      <w:r w:rsidRPr="00AF547A">
        <w:t>could ‘advertise’ the program in their local networks and were aware of projects in their local area in order to be of assistance to that project group</w:t>
      </w:r>
      <w:r w:rsidR="00B25C0E">
        <w:t xml:space="preserve">. </w:t>
      </w:r>
    </w:p>
    <w:p w14:paraId="7B36239C" w14:textId="77777777" w:rsidR="006531FA" w:rsidRDefault="00724D8A" w:rsidP="00421A84">
      <w:pPr>
        <w:pStyle w:val="Heading4"/>
      </w:pPr>
      <w:r>
        <w:t>Project</w:t>
      </w:r>
      <w:r w:rsidR="006531FA">
        <w:t xml:space="preserve"> </w:t>
      </w:r>
      <w:r w:rsidR="00852B8A">
        <w:t xml:space="preserve">monitoring and </w:t>
      </w:r>
      <w:r w:rsidR="006531FA">
        <w:t>reporting</w:t>
      </w:r>
    </w:p>
    <w:p w14:paraId="67010045" w14:textId="1C089D8B" w:rsidR="004E253E" w:rsidRDefault="00BE4845" w:rsidP="00BB0B25">
      <w:pPr>
        <w:spacing w:before="200"/>
      </w:pPr>
      <w:r>
        <w:t>Grantees are responsible for p</w:t>
      </w:r>
      <w:r w:rsidRPr="00672FA4">
        <w:t>roject planning</w:t>
      </w:r>
      <w:r>
        <w:t xml:space="preserve"> and</w:t>
      </w:r>
      <w:r w:rsidRPr="00672FA4">
        <w:t xml:space="preserve"> </w:t>
      </w:r>
      <w:r>
        <w:t>developing</w:t>
      </w:r>
      <w:r w:rsidRPr="00672FA4">
        <w:t xml:space="preserve"> </w:t>
      </w:r>
      <w:r>
        <w:t>project M&amp;E strategies</w:t>
      </w:r>
      <w:r w:rsidRPr="00672FA4">
        <w:t xml:space="preserve">, milestones, </w:t>
      </w:r>
      <w:r w:rsidR="00A40B4D">
        <w:t>key performance indicators (K</w:t>
      </w:r>
      <w:r w:rsidRPr="00672FA4">
        <w:t>PIs</w:t>
      </w:r>
      <w:r w:rsidR="00A40B4D">
        <w:t>)</w:t>
      </w:r>
      <w:r w:rsidRPr="00672FA4">
        <w:t xml:space="preserve"> and </w:t>
      </w:r>
      <w:r>
        <w:t xml:space="preserve">the </w:t>
      </w:r>
      <w:r w:rsidRPr="00672FA4">
        <w:t>reporting schedule</w:t>
      </w:r>
      <w:r w:rsidR="00B25C0E">
        <w:t xml:space="preserve">. </w:t>
      </w:r>
      <w:r w:rsidR="00850F79">
        <w:t xml:space="preserve">Each project is required to develop a </w:t>
      </w:r>
      <w:r w:rsidR="00FB2C1C">
        <w:t>M</w:t>
      </w:r>
      <w:r w:rsidR="009D38C9">
        <w:t>&amp;E</w:t>
      </w:r>
      <w:r w:rsidR="00850F79">
        <w:t xml:space="preserve"> plan at inception and provide both mid-term</w:t>
      </w:r>
      <w:r w:rsidR="00850F79">
        <w:rPr>
          <w:rStyle w:val="FootnoteReference"/>
        </w:rPr>
        <w:footnoteReference w:id="22"/>
      </w:r>
      <w:r w:rsidR="00850F79">
        <w:t xml:space="preserve"> and a final evaluation reports</w:t>
      </w:r>
      <w:r w:rsidR="00B25C0E">
        <w:t xml:space="preserve">. </w:t>
      </w:r>
    </w:p>
    <w:p w14:paraId="2C7446C9" w14:textId="754C8D24" w:rsidR="00651556" w:rsidRDefault="00651556" w:rsidP="00C05FB8">
      <w:pPr>
        <w:spacing w:before="200"/>
      </w:pPr>
      <w:r>
        <w:t>Some RDCs and partner organisations accepted the monitoring and reporting requirement ‘as a government requirement’ whereas a number of others viewed the requirement as ‘arduous’ and a case of ‘over management’ that ‘lacked understanding of the research space we are working in’</w:t>
      </w:r>
      <w:r w:rsidR="00B25C0E">
        <w:t xml:space="preserve">. </w:t>
      </w:r>
    </w:p>
    <w:p w14:paraId="03CC6032" w14:textId="77BF3287" w:rsidR="00071F7E" w:rsidRDefault="006C4ACE" w:rsidP="004D60DD">
      <w:r>
        <w:t xml:space="preserve">Feedback from </w:t>
      </w:r>
      <w:r w:rsidR="00651556">
        <w:t xml:space="preserve">many </w:t>
      </w:r>
      <w:r w:rsidR="00806244">
        <w:t xml:space="preserve">RDCs </w:t>
      </w:r>
      <w:r w:rsidR="000B31F4">
        <w:t xml:space="preserve">and </w:t>
      </w:r>
      <w:r w:rsidR="00651556">
        <w:t xml:space="preserve">the majority of </w:t>
      </w:r>
      <w:r w:rsidR="000B31F4">
        <w:t xml:space="preserve">partner organisations </w:t>
      </w:r>
      <w:r>
        <w:t xml:space="preserve">showed there is an opportunity </w:t>
      </w:r>
      <w:r w:rsidR="00793E2D">
        <w:t xml:space="preserve">for the department </w:t>
      </w:r>
      <w:r>
        <w:t xml:space="preserve">to reduce and streamline </w:t>
      </w:r>
      <w:r w:rsidR="001C3B24">
        <w:t xml:space="preserve">project </w:t>
      </w:r>
      <w:r w:rsidR="00D04C1A">
        <w:t xml:space="preserve">monitoring and </w:t>
      </w:r>
      <w:r w:rsidR="001C3B24">
        <w:t>reporting</w:t>
      </w:r>
      <w:r w:rsidR="00B25C0E">
        <w:t xml:space="preserve">. </w:t>
      </w:r>
      <w:r w:rsidR="00651556">
        <w:t>Whereby these stakeholders viewed t</w:t>
      </w:r>
      <w:r w:rsidR="00B83FDF">
        <w:t>h</w:t>
      </w:r>
      <w:r w:rsidR="003A1CA1">
        <w:t>e</w:t>
      </w:r>
      <w:r w:rsidR="00B83FDF">
        <w:t xml:space="preserve"> requirement </w:t>
      </w:r>
      <w:r w:rsidR="000B31F4">
        <w:t>as</w:t>
      </w:r>
      <w:r w:rsidR="00071F7E">
        <w:t>:</w:t>
      </w:r>
    </w:p>
    <w:p w14:paraId="5293031A" w14:textId="77777777" w:rsidR="00071F7E" w:rsidRDefault="00071F7E" w:rsidP="00565949">
      <w:pPr>
        <w:pStyle w:val="ListBullet"/>
      </w:pPr>
      <w:r>
        <w:t>excessive and</w:t>
      </w:r>
      <w:r w:rsidR="00000FF6">
        <w:t xml:space="preserve"> time consuming </w:t>
      </w:r>
    </w:p>
    <w:p w14:paraId="6CEAEB56" w14:textId="77777777" w:rsidR="00BE141E" w:rsidRDefault="003516BD" w:rsidP="00565949">
      <w:pPr>
        <w:pStyle w:val="ListBullet"/>
      </w:pPr>
      <w:r>
        <w:t xml:space="preserve">disproportionately </w:t>
      </w:r>
      <w:r w:rsidR="00624B52">
        <w:t>detailed,</w:t>
      </w:r>
      <w:r w:rsidR="00071F7E">
        <w:t xml:space="preserve"> relative to the size and risk of the project</w:t>
      </w:r>
      <w:r w:rsidR="00345491">
        <w:t>s</w:t>
      </w:r>
      <w:r w:rsidR="00071F7E">
        <w:t xml:space="preserve">, and </w:t>
      </w:r>
      <w:r w:rsidR="008F6298">
        <w:t xml:space="preserve">compared to </w:t>
      </w:r>
      <w:r w:rsidR="00071F7E">
        <w:t>reporting requirement</w:t>
      </w:r>
      <w:r w:rsidR="00345491">
        <w:t>s</w:t>
      </w:r>
      <w:r w:rsidR="00071F7E">
        <w:t xml:space="preserve"> </w:t>
      </w:r>
      <w:r w:rsidR="00345491">
        <w:t>for</w:t>
      </w:r>
      <w:r w:rsidR="00071F7E">
        <w:t xml:space="preserve"> other </w:t>
      </w:r>
      <w:r w:rsidR="00BE141E">
        <w:t xml:space="preserve">major </w:t>
      </w:r>
      <w:r w:rsidR="00856012">
        <w:t>research project</w:t>
      </w:r>
      <w:r w:rsidR="00BE141E">
        <w:t>s</w:t>
      </w:r>
      <w:r w:rsidR="00071F7E">
        <w:t xml:space="preserve"> they participated in</w:t>
      </w:r>
      <w:r w:rsidR="00BE141E">
        <w:t xml:space="preserve"> outside the program</w:t>
      </w:r>
    </w:p>
    <w:p w14:paraId="0B533BDB" w14:textId="5D6C30CE" w:rsidR="004E253E" w:rsidRDefault="00D63446" w:rsidP="00C05FB8">
      <w:pPr>
        <w:spacing w:before="200"/>
      </w:pPr>
      <w:r>
        <w:t>S</w:t>
      </w:r>
      <w:r w:rsidR="004E253E">
        <w:t xml:space="preserve">ome </w:t>
      </w:r>
      <w:r>
        <w:t xml:space="preserve">also </w:t>
      </w:r>
      <w:r w:rsidR="004E253E">
        <w:t>queried whether the evaluation requisite added value (particularly the mid-point evaluation) and if it was appropriate for all projects</w:t>
      </w:r>
      <w:r w:rsidR="00B25C0E">
        <w:t xml:space="preserve">. </w:t>
      </w:r>
    </w:p>
    <w:p w14:paraId="132BEC8B" w14:textId="77777777" w:rsidR="00597725" w:rsidRDefault="004D60DD" w:rsidP="00C05FB8">
      <w:pPr>
        <w:spacing w:before="200"/>
        <w:ind w:left="720"/>
      </w:pPr>
      <w:r>
        <w:t xml:space="preserve">Key pain points </w:t>
      </w:r>
      <w:r w:rsidR="00EB0CA3">
        <w:t>r</w:t>
      </w:r>
      <w:r>
        <w:t xml:space="preserve">elated to the level of detail required in milestone reports and the specific nature and volume of </w:t>
      </w:r>
      <w:r w:rsidR="00BD58C7">
        <w:t>KPIs</w:t>
      </w:r>
      <w:r w:rsidR="00DF42F5">
        <w:t>.</w:t>
      </w:r>
      <w:r>
        <w:t xml:space="preserve"> Most RDCs </w:t>
      </w:r>
      <w:r w:rsidR="0081353E">
        <w:t>a</w:t>
      </w:r>
      <w:r w:rsidR="008E1EA7">
        <w:t>nd a</w:t>
      </w:r>
      <w:r w:rsidR="0081353E">
        <w:t xml:space="preserve"> number of partner organisations </w:t>
      </w:r>
      <w:r>
        <w:t>felt there was a need for a reduced number of KPIs</w:t>
      </w:r>
      <w:r w:rsidR="005D26CA">
        <w:t xml:space="preserve"> and more flexibility in reporting</w:t>
      </w:r>
      <w:r w:rsidR="0081353E">
        <w:t>.</w:t>
      </w:r>
    </w:p>
    <w:p w14:paraId="171E5BE0" w14:textId="77777777" w:rsidR="0081353E" w:rsidRDefault="0081353E" w:rsidP="00C05FB8">
      <w:pPr>
        <w:spacing w:before="200"/>
        <w:ind w:left="720"/>
      </w:pPr>
      <w:r>
        <w:t>As highlighted by one partner organisation:</w:t>
      </w:r>
    </w:p>
    <w:p w14:paraId="02B76FE1" w14:textId="03BCA3DD" w:rsidR="004D60DD" w:rsidRDefault="0081353E" w:rsidP="0067112F">
      <w:pPr>
        <w:pStyle w:val="Quote"/>
      </w:pPr>
      <w:r w:rsidRPr="00A40FB5">
        <w:t>…</w:t>
      </w:r>
      <w:r w:rsidR="00E91A30" w:rsidRPr="00A40FB5">
        <w:t>the department should consider the level of effort required when establishing performance reporting requirements</w:t>
      </w:r>
      <w:r w:rsidR="00B25C0E">
        <w:t xml:space="preserve">. </w:t>
      </w:r>
    </w:p>
    <w:p w14:paraId="524BB380" w14:textId="77777777" w:rsidR="005A3FC8" w:rsidRDefault="005A3FC8" w:rsidP="005A3FC8">
      <w:r>
        <w:t xml:space="preserve">The </w:t>
      </w:r>
      <w:r w:rsidRPr="004D60DD">
        <w:rPr>
          <w:i/>
        </w:rPr>
        <w:t xml:space="preserve">Commonwealth Grants </w:t>
      </w:r>
      <w:r>
        <w:rPr>
          <w:i/>
        </w:rPr>
        <w:t xml:space="preserve">Rules and </w:t>
      </w:r>
      <w:r w:rsidRPr="004D60DD">
        <w:rPr>
          <w:i/>
        </w:rPr>
        <w:t>Guideline</w:t>
      </w:r>
      <w:r w:rsidRPr="00D62B03">
        <w:rPr>
          <w:i/>
        </w:rPr>
        <w:t>s</w:t>
      </w:r>
      <w:r w:rsidR="00D62B03" w:rsidRPr="00D62B03">
        <w:rPr>
          <w:i/>
        </w:rPr>
        <w:t xml:space="preserve"> </w:t>
      </w:r>
      <w:r>
        <w:t xml:space="preserve">are not prescriptive regarding the extent of reporting of grants; suffice, the principle of proportionality should be applied that strikes a balance of reporting and acquittal with the level of complexity, risk, outcomes and transparency: </w:t>
      </w:r>
    </w:p>
    <w:p w14:paraId="3D320826" w14:textId="77777777" w:rsidR="005A3FC8" w:rsidRPr="002A5B3E" w:rsidRDefault="005A3FC8" w:rsidP="0067112F">
      <w:pPr>
        <w:pStyle w:val="Quote"/>
        <w:rPr>
          <w:highlight w:val="green"/>
        </w:rPr>
      </w:pPr>
      <w:r w:rsidRPr="0078114F">
        <w:t xml:space="preserve">Officials should use the proportionality principle to inform the choice of the application and selection process, the grant agreement to be used and the reporting and acquittal </w:t>
      </w:r>
      <w:r w:rsidRPr="005A3FC8">
        <w:t>requirements.</w:t>
      </w:r>
      <w:r w:rsidR="000F417A">
        <w:rPr>
          <w:rStyle w:val="FootnoteReference"/>
        </w:rPr>
        <w:footnoteReference w:id="23"/>
      </w:r>
    </w:p>
    <w:p w14:paraId="436F71B2" w14:textId="6BF6EDFD" w:rsidR="004E253E" w:rsidRPr="004E253E" w:rsidRDefault="005A3FC8" w:rsidP="005A3FC8">
      <w:pPr>
        <w:ind w:left="720"/>
      </w:pPr>
      <w:r w:rsidRPr="005A3FC8">
        <w:t>Despite the department making refinements over rounds to reduce reporting (for example in relation to financial and technical reporting), feedback from a number of RDCs and partner organisations, indicated the amount of reporting was still viewed as excessive</w:t>
      </w:r>
      <w:r w:rsidR="00E957A7">
        <w:t xml:space="preserve"> and disproportionate</w:t>
      </w:r>
      <w:r w:rsidR="00B25C0E">
        <w:t xml:space="preserve">. </w:t>
      </w:r>
      <w:r w:rsidR="004E253E" w:rsidRPr="005A3FC8">
        <w:t>This</w:t>
      </w:r>
      <w:r w:rsidR="004E253E">
        <w:t xml:space="preserve"> was identified as an area the department could </w:t>
      </w:r>
      <w:r w:rsidR="001A6E62">
        <w:t xml:space="preserve">simplify and </w:t>
      </w:r>
      <w:r w:rsidR="004E253E">
        <w:t>provide greater clarity and guidance</w:t>
      </w:r>
      <w:r w:rsidR="00B25C0E">
        <w:t xml:space="preserve">. </w:t>
      </w:r>
      <w:r w:rsidR="001A6E62">
        <w:t>This</w:t>
      </w:r>
      <w:r w:rsidR="004E253E">
        <w:t xml:space="preserve"> is discussed further in </w:t>
      </w:r>
      <w:r w:rsidR="004E253E" w:rsidRPr="006F3ECC">
        <w:t xml:space="preserve">section </w:t>
      </w:r>
      <w:r w:rsidR="00B45664">
        <w:t>4</w:t>
      </w:r>
      <w:r w:rsidR="004E253E" w:rsidRPr="006F3ECC">
        <w:t>.3</w:t>
      </w:r>
      <w:r w:rsidR="00B25C0E">
        <w:t xml:space="preserve">. </w:t>
      </w:r>
    </w:p>
    <w:p w14:paraId="256995FA" w14:textId="32696E2C" w:rsidR="004554E5" w:rsidRDefault="004554E5" w:rsidP="00BB0B25">
      <w:pPr>
        <w:pStyle w:val="Heading3"/>
      </w:pPr>
      <w:bookmarkStart w:id="62" w:name="_Toc500934706"/>
      <w:bookmarkEnd w:id="61"/>
      <w:r>
        <w:t>Monitoring, evaluation and KPIs</w:t>
      </w:r>
      <w:bookmarkEnd w:id="62"/>
    </w:p>
    <w:p w14:paraId="5EAB6944" w14:textId="77777777" w:rsidR="008E35F4" w:rsidRDefault="003B57CE" w:rsidP="00BB0B25">
      <w:pPr>
        <w:pStyle w:val="Heading4"/>
      </w:pPr>
      <w:r>
        <w:t xml:space="preserve">KPIs identified as area for improvement </w:t>
      </w:r>
    </w:p>
    <w:p w14:paraId="70F2408C" w14:textId="77777777" w:rsidR="00183992" w:rsidRPr="00565949" w:rsidRDefault="00183992" w:rsidP="00BB0B25">
      <w:pPr>
        <w:spacing w:before="200"/>
        <w:rPr>
          <w:rStyle w:val="Strong"/>
        </w:rPr>
      </w:pPr>
      <w:r w:rsidRPr="00565949">
        <w:rPr>
          <w:rStyle w:val="Strong"/>
        </w:rPr>
        <w:t>Program and project KPIs</w:t>
      </w:r>
    </w:p>
    <w:p w14:paraId="18A33BD0" w14:textId="77777777" w:rsidR="00A57EAA" w:rsidRDefault="00A57EAA" w:rsidP="00A57EAA">
      <w:r>
        <w:t>KPIs were highlighted as an area for improvement in the ANAO audit in September 2016, which recommended the department expand existing performance measures and/or develop additional measurement tools which better inform assessment of achievement of program objectives.</w:t>
      </w:r>
      <w:r>
        <w:rPr>
          <w:rStyle w:val="FootnoteReference"/>
        </w:rPr>
        <w:footnoteReference w:id="24"/>
      </w:r>
    </w:p>
    <w:p w14:paraId="493A6544" w14:textId="5CFE5CE6" w:rsidR="00066106" w:rsidRDefault="005A6C8D" w:rsidP="00E04834">
      <w:r>
        <w:t xml:space="preserve">Review of program level reporting showed an emphasis on reporting of inputs and output level information, </w:t>
      </w:r>
      <w:r w:rsidR="004428EC">
        <w:t>and</w:t>
      </w:r>
      <w:r>
        <w:t xml:space="preserve"> did not directly link to the extent to which the program contributes to the department’s outcome of: ‘</w:t>
      </w:r>
      <w:r w:rsidRPr="00A319DB">
        <w:rPr>
          <w:i/>
        </w:rPr>
        <w:t>More sustainable, productive internationally competitive and profitable Australian agriculture, food and fibre industries through policies and initiatives that promote better resource management practices, innovation, self-reliance and improved access to international markets.</w:t>
      </w:r>
      <w:r>
        <w:t xml:space="preserve">’ </w:t>
      </w:r>
    </w:p>
    <w:p w14:paraId="604BBF36" w14:textId="795D40BC" w:rsidR="00E04834" w:rsidRDefault="006325DA" w:rsidP="00E04834">
      <w:pPr>
        <w:rPr>
          <w:lang w:val="en"/>
        </w:rPr>
      </w:pPr>
      <w:r>
        <w:t>For example, i</w:t>
      </w:r>
      <w:r w:rsidR="006D5CE6">
        <w:t>n the department’s</w:t>
      </w:r>
      <w:r w:rsidR="002A03C0">
        <w:t xml:space="preserve"> most recent</w:t>
      </w:r>
      <w:r w:rsidR="006D5CE6">
        <w:t xml:space="preserve"> </w:t>
      </w:r>
      <w:r w:rsidR="0056186D">
        <w:rPr>
          <w:lang w:val="en"/>
        </w:rPr>
        <w:t xml:space="preserve">annual </w:t>
      </w:r>
      <w:r w:rsidR="006D5CE6">
        <w:rPr>
          <w:lang w:val="en"/>
        </w:rPr>
        <w:t xml:space="preserve">performance </w:t>
      </w:r>
      <w:r w:rsidR="0056186D">
        <w:rPr>
          <w:lang w:val="en"/>
        </w:rPr>
        <w:t>statement</w:t>
      </w:r>
      <w:r w:rsidR="0056186D">
        <w:rPr>
          <w:rStyle w:val="FootnoteReference"/>
          <w:lang w:val="en"/>
        </w:rPr>
        <w:footnoteReference w:id="25"/>
      </w:r>
      <w:r w:rsidR="0056186D">
        <w:rPr>
          <w:lang w:val="en"/>
        </w:rPr>
        <w:t xml:space="preserve"> </w:t>
      </w:r>
      <w:r w:rsidR="005A6C8D">
        <w:rPr>
          <w:lang w:val="en"/>
        </w:rPr>
        <w:t xml:space="preserve">program </w:t>
      </w:r>
      <w:r w:rsidR="00403C35">
        <w:rPr>
          <w:lang w:val="en"/>
        </w:rPr>
        <w:t xml:space="preserve">results </w:t>
      </w:r>
      <w:r w:rsidR="006D5CE6">
        <w:rPr>
          <w:lang w:val="en"/>
        </w:rPr>
        <w:t>w</w:t>
      </w:r>
      <w:r w:rsidR="005A6C8D">
        <w:rPr>
          <w:lang w:val="en"/>
        </w:rPr>
        <w:t>ere</w:t>
      </w:r>
      <w:r w:rsidR="006D5CE6">
        <w:rPr>
          <w:lang w:val="en"/>
        </w:rPr>
        <w:t xml:space="preserve"> reported </w:t>
      </w:r>
      <w:r w:rsidR="00576FA3">
        <w:rPr>
          <w:lang w:val="en"/>
        </w:rPr>
        <w:t>under the p</w:t>
      </w:r>
      <w:r w:rsidR="00DA29ED" w:rsidRPr="0056186D">
        <w:rPr>
          <w:lang w:val="en"/>
        </w:rPr>
        <w:t xml:space="preserve">erformance measure </w:t>
      </w:r>
      <w:r w:rsidR="00576FA3">
        <w:rPr>
          <w:lang w:val="en"/>
        </w:rPr>
        <w:t>‘</w:t>
      </w:r>
      <w:r w:rsidR="00DA29ED" w:rsidRPr="0056186D">
        <w:rPr>
          <w:lang w:val="en"/>
        </w:rPr>
        <w:t>Investment in rural research and development corporation programs demonstrates positive returns</w:t>
      </w:r>
      <w:r w:rsidR="00FF1160">
        <w:rPr>
          <w:lang w:val="en"/>
        </w:rPr>
        <w:t>’.</w:t>
      </w:r>
    </w:p>
    <w:tbl>
      <w:tblPr>
        <w:tblStyle w:val="TableGrid"/>
        <w:tblW w:w="7795" w:type="dxa"/>
        <w:tblInd w:w="709" w:type="dxa"/>
        <w:tblBorders>
          <w:top w:val="none" w:sz="0" w:space="0" w:color="auto"/>
          <w:left w:val="none" w:sz="0" w:space="0" w:color="auto"/>
          <w:bottom w:val="none" w:sz="0" w:space="0" w:color="auto"/>
          <w:right w:val="none" w:sz="0" w:space="0" w:color="auto"/>
          <w:insideH w:val="single" w:sz="4" w:space="0" w:color="0092CF"/>
          <w:insideV w:val="single" w:sz="4" w:space="0" w:color="0092CF"/>
        </w:tblBorders>
        <w:tblLook w:val="04A0" w:firstRow="1" w:lastRow="0" w:firstColumn="1" w:lastColumn="0" w:noHBand="0" w:noVBand="1"/>
        <w:tblCaption w:val="Program performance measure in the annual performance statement"/>
        <w:tblDescription w:val="This describes how the program is reported in the Department's annual report (2016-17).  "/>
      </w:tblPr>
      <w:tblGrid>
        <w:gridCol w:w="2693"/>
        <w:gridCol w:w="5102"/>
      </w:tblGrid>
      <w:tr w:rsidR="009A71E1" w:rsidRPr="00CF7DC4" w14:paraId="1B58D741" w14:textId="77777777" w:rsidTr="0091667A">
        <w:tc>
          <w:tcPr>
            <w:tcW w:w="2693" w:type="dxa"/>
            <w:shd w:val="clear" w:color="auto" w:fill="FFFFFF" w:themeFill="background1"/>
          </w:tcPr>
          <w:p w14:paraId="54F36ED4" w14:textId="77777777" w:rsidR="009A71E1" w:rsidRPr="00345269" w:rsidRDefault="009A71E1" w:rsidP="00345269">
            <w:pPr>
              <w:pStyle w:val="TableHeading"/>
            </w:pPr>
            <w:r w:rsidRPr="00345269">
              <w:t>Target</w:t>
            </w:r>
          </w:p>
        </w:tc>
        <w:tc>
          <w:tcPr>
            <w:tcW w:w="5102" w:type="dxa"/>
          </w:tcPr>
          <w:p w14:paraId="19EFB0A8" w14:textId="77777777" w:rsidR="009A71E1" w:rsidRPr="00345269" w:rsidRDefault="009A71E1" w:rsidP="00345269">
            <w:pPr>
              <w:pStyle w:val="TableHeading"/>
            </w:pPr>
            <w:r w:rsidRPr="00345269">
              <w:t>Result against performance</w:t>
            </w:r>
          </w:p>
        </w:tc>
      </w:tr>
      <w:tr w:rsidR="009A71E1" w:rsidRPr="000C0013" w14:paraId="77143125" w14:textId="77777777" w:rsidTr="0091667A">
        <w:tc>
          <w:tcPr>
            <w:tcW w:w="2693" w:type="dxa"/>
            <w:shd w:val="clear" w:color="auto" w:fill="FFFFFF" w:themeFill="background1"/>
          </w:tcPr>
          <w:p w14:paraId="3A469142" w14:textId="77777777" w:rsidR="009A71E1" w:rsidRPr="008D4CCF" w:rsidRDefault="009A71E1" w:rsidP="00443F10">
            <w:pPr>
              <w:pStyle w:val="Tablebullet"/>
            </w:pPr>
            <w:r w:rsidRPr="009A71E1">
              <w:t>100% of allocated funding under the Rural Research and Development for Profit program expended in accordance with the agreed timetable</w:t>
            </w:r>
          </w:p>
        </w:tc>
        <w:tc>
          <w:tcPr>
            <w:tcW w:w="5102" w:type="dxa"/>
          </w:tcPr>
          <w:p w14:paraId="403F771B" w14:textId="77777777" w:rsidR="00CF7DC4" w:rsidRDefault="009A71E1" w:rsidP="00443F10">
            <w:pPr>
              <w:pStyle w:val="Tablebullet"/>
            </w:pPr>
            <w:r w:rsidRPr="005C5BC1">
              <w:rPr>
                <w:b/>
                <w:bCs/>
              </w:rPr>
              <w:t>Met</w:t>
            </w:r>
            <w:r w:rsidRPr="009A71E1">
              <w:rPr>
                <w:bCs/>
              </w:rPr>
              <w:t>:</w:t>
            </w:r>
            <w:r w:rsidRPr="009A71E1">
              <w:t xml:space="preserve"> The Rural Research and Development for Profit program aims to improve farm-gate productivity and profitability and deliver real outcomes for Australian farmers. Total funding available for the program is $180.5 million over eight years, ending on 30 June 2022.</w:t>
            </w:r>
          </w:p>
          <w:p w14:paraId="5DC91063" w14:textId="77777777" w:rsidR="000B3008" w:rsidRDefault="009A71E1" w:rsidP="00443F10">
            <w:pPr>
              <w:pStyle w:val="Tablebullet"/>
            </w:pPr>
            <w:r w:rsidRPr="009A71E1">
              <w:t xml:space="preserve">Grant funding of $114.7 million has already been awarded to 36 projects over the first three rounds of the program, matched by almost $170 million in cash and in-kind contributions from successful applicants and their partners. </w:t>
            </w:r>
          </w:p>
          <w:p w14:paraId="05868E0B" w14:textId="77777777" w:rsidR="005C5BC1" w:rsidRDefault="009A71E1" w:rsidP="00443F10">
            <w:pPr>
              <w:pStyle w:val="Tablebullet"/>
            </w:pPr>
            <w:r w:rsidRPr="009A71E1">
              <w:t xml:space="preserve">Round three grant agreements were executed in June 2017. </w:t>
            </w:r>
          </w:p>
          <w:p w14:paraId="1603FAF0" w14:textId="77777777" w:rsidR="00CF7DC4" w:rsidRDefault="009A71E1" w:rsidP="00443F10">
            <w:pPr>
              <w:pStyle w:val="Tablebullet"/>
            </w:pPr>
            <w:r w:rsidRPr="009A71E1">
              <w:t>Seven projects, worth $35.8 million, were funded under round three.</w:t>
            </w:r>
          </w:p>
          <w:p w14:paraId="31BE92D8" w14:textId="77777777" w:rsidR="009A71E1" w:rsidRPr="000C0013" w:rsidRDefault="009A71E1" w:rsidP="00443F10">
            <w:pPr>
              <w:pStyle w:val="Tablebullet"/>
            </w:pPr>
            <w:r w:rsidRPr="009A71E1">
              <w:t>Grant agreements for all projects are in place and projects are progressing in accordance with agreed timeframes.</w:t>
            </w:r>
          </w:p>
        </w:tc>
      </w:tr>
    </w:tbl>
    <w:p w14:paraId="5CAE5FFC" w14:textId="606E48EB" w:rsidR="004108CB" w:rsidRPr="00853F03" w:rsidRDefault="00494C96" w:rsidP="000F36B9">
      <w:pPr>
        <w:spacing w:before="360"/>
      </w:pPr>
      <w:r>
        <w:t xml:space="preserve">A focus on </w:t>
      </w:r>
      <w:r w:rsidR="007B2011">
        <w:t>activities</w:t>
      </w:r>
      <w:r w:rsidR="001E6674">
        <w:t xml:space="preserve"> and </w:t>
      </w:r>
      <w:r>
        <w:t>input and output related performance data was also evident at the project level</w:t>
      </w:r>
      <w:r w:rsidR="00B25C0E">
        <w:t xml:space="preserve">. </w:t>
      </w:r>
      <w:r w:rsidR="005A6C8D">
        <w:t xml:space="preserve">A </w:t>
      </w:r>
      <w:r w:rsidR="004108CB">
        <w:t xml:space="preserve">review of project </w:t>
      </w:r>
      <w:r w:rsidR="004108CB" w:rsidRPr="00D70841">
        <w:t xml:space="preserve">KPIs </w:t>
      </w:r>
      <w:r w:rsidR="004108CB">
        <w:t>showed a</w:t>
      </w:r>
      <w:r w:rsidR="004108CB" w:rsidRPr="009B6FC0">
        <w:t xml:space="preserve"> focus on project </w:t>
      </w:r>
      <w:r w:rsidR="004108CB">
        <w:t>milestones (inputs and outputs)</w:t>
      </w:r>
      <w:r w:rsidR="004108CB" w:rsidRPr="009B6FC0">
        <w:t xml:space="preserve"> rather than </w:t>
      </w:r>
      <w:r w:rsidR="004108CB">
        <w:t>project outcomes</w:t>
      </w:r>
      <w:r w:rsidR="00B25C0E">
        <w:t xml:space="preserve">. </w:t>
      </w:r>
      <w:r w:rsidR="004108CB">
        <w:t>Further, as milestones and KPIs were developed by grantees, they were project specific, hence there were rarely two KPIs the same – making it difficult to aggregate project data to inform a picture of performance at the program level</w:t>
      </w:r>
      <w:r w:rsidR="00B25C0E">
        <w:t xml:space="preserve">. </w:t>
      </w:r>
    </w:p>
    <w:p w14:paraId="28A53704" w14:textId="637B2A6D" w:rsidR="005C5BC1" w:rsidRDefault="005C5BC1" w:rsidP="005C5BC1">
      <w:r>
        <w:t xml:space="preserve">Notwithstanding refinements made by the department </w:t>
      </w:r>
      <w:r w:rsidR="0092782C">
        <w:t xml:space="preserve">to address this </w:t>
      </w:r>
      <w:r>
        <w:t xml:space="preserve">over successive rounds, the program’s focus on measuring activities and progress against milestones did not align with better practice outlined in the </w:t>
      </w:r>
      <w:r w:rsidRPr="00A131DB">
        <w:rPr>
          <w:i/>
        </w:rPr>
        <w:t>Commonwealth Grant Rules and Guidelines</w:t>
      </w:r>
      <w:r>
        <w:rPr>
          <w:i/>
        </w:rPr>
        <w:t xml:space="preserve"> 2017</w:t>
      </w:r>
      <w:r w:rsidR="00B25C0E">
        <w:t xml:space="preserve">. </w:t>
      </w:r>
      <w:r>
        <w:t>The</w:t>
      </w:r>
      <w:r w:rsidR="00060265">
        <w:t xml:space="preserve"> Guidelines</w:t>
      </w:r>
      <w:r>
        <w:t xml:space="preserve"> emphasise the importance of an outcomes oriented performance framework that utilises input, output and outcome measures that link to an entity’s strategic direction (see extract from the Guidelines in Table 6)</w:t>
      </w:r>
      <w:r w:rsidR="00B25C0E">
        <w:t xml:space="preserve">. </w:t>
      </w:r>
    </w:p>
    <w:p w14:paraId="653C6094" w14:textId="77777777" w:rsidR="000F36B9" w:rsidRDefault="000F36B9">
      <w:pPr>
        <w:ind w:left="0"/>
        <w:rPr>
          <w:rFonts w:asciiTheme="majorHAnsi" w:hAnsiTheme="majorHAnsi"/>
          <w:bCs/>
          <w:i/>
          <w:sz w:val="19"/>
          <w:szCs w:val="18"/>
        </w:rPr>
      </w:pPr>
      <w:r>
        <w:br w:type="page"/>
      </w:r>
    </w:p>
    <w:p w14:paraId="5851FC95" w14:textId="77777777" w:rsidR="005C5BC1" w:rsidRDefault="005C5BC1" w:rsidP="005C5BC1">
      <w:pPr>
        <w:pStyle w:val="Caption"/>
        <w:keepNext/>
      </w:pPr>
      <w:r>
        <w:t>Table 6 An Outcomes Orientation</w:t>
      </w:r>
      <w:r>
        <w:rPr>
          <w:rStyle w:val="FootnoteReference"/>
        </w:rPr>
        <w:footnoteReference w:id="26"/>
      </w:r>
      <w:r>
        <w:t xml:space="preserve"> </w:t>
      </w:r>
    </w:p>
    <w:tbl>
      <w:tblPr>
        <w:tblStyle w:val="TableGrid"/>
        <w:tblW w:w="0" w:type="auto"/>
        <w:tblInd w:w="709" w:type="dxa"/>
        <w:tblBorders>
          <w:top w:val="single" w:sz="4" w:space="0" w:color="0092CF"/>
          <w:left w:val="single" w:sz="4" w:space="0" w:color="0092CF"/>
          <w:bottom w:val="single" w:sz="4" w:space="0" w:color="0092CF"/>
          <w:right w:val="single" w:sz="4" w:space="0" w:color="0092CF"/>
          <w:insideH w:val="none" w:sz="0" w:space="0" w:color="auto"/>
          <w:insideV w:val="none" w:sz="0" w:space="0" w:color="auto"/>
        </w:tblBorders>
        <w:tblLook w:val="04A0" w:firstRow="1" w:lastRow="0" w:firstColumn="1" w:lastColumn="0" w:noHBand="0" w:noVBand="1"/>
        <w:tblCaption w:val="Extract fom the Commonwealth Grant Rules and Guidelines"/>
        <w:tblDescription w:val="This is an extract from the Department of Finance's Commonwealth Grants Rules and Guidelines 2017 about the importance of adopting an outcomes orientation in developing measures to assess the extent of achievement of the grant activity."/>
      </w:tblPr>
      <w:tblGrid>
        <w:gridCol w:w="7785"/>
      </w:tblGrid>
      <w:tr w:rsidR="005C5BC1" w14:paraId="4E39C1A1" w14:textId="77777777" w:rsidTr="0002384A">
        <w:tc>
          <w:tcPr>
            <w:tcW w:w="7785" w:type="dxa"/>
          </w:tcPr>
          <w:p w14:paraId="5C53D2C5" w14:textId="77777777" w:rsidR="005C5BC1" w:rsidRPr="00A37950" w:rsidRDefault="005C5BC1" w:rsidP="0002384A">
            <w:pPr>
              <w:pStyle w:val="Subtableheading"/>
              <w:rPr>
                <w:lang w:val="en-US"/>
              </w:rPr>
            </w:pPr>
            <w:r>
              <w:rPr>
                <w:lang w:val="en-US"/>
              </w:rPr>
              <w:t>An outcomes orientation – COmmonwealth grant rules and guidelines</w:t>
            </w:r>
          </w:p>
          <w:p w14:paraId="16C9A5F6" w14:textId="77777777" w:rsidR="005C5BC1" w:rsidRPr="00404700" w:rsidRDefault="005C5BC1" w:rsidP="00443F10">
            <w:pPr>
              <w:pStyle w:val="Tablebullet"/>
            </w:pPr>
            <w:r w:rsidRPr="00404700">
              <w:t xml:space="preserve">In adopting an outcomes orientation, officials should ensure that outcome, output and input measures are clearly specified, as this will facilitate effective and efficient evaluation of granting activities and the services and activities funded by the grant. </w:t>
            </w:r>
          </w:p>
          <w:p w14:paraId="50F09267" w14:textId="77777777" w:rsidR="005C5BC1" w:rsidRPr="00404700" w:rsidRDefault="005C5BC1" w:rsidP="00443F10">
            <w:pPr>
              <w:pStyle w:val="Tablebullet"/>
            </w:pPr>
            <w:r w:rsidRPr="00404700">
              <w:t>Outcome measures assess the extent to which the granting activity is meeting both the strategic directions and operational objectives of the entity. Outcome measures relate to changes effected in the community and may include: the level of usage of facilities built with the grant; the level of community involvement resulting from projects; and levels of service delivery.</w:t>
            </w:r>
          </w:p>
          <w:p w14:paraId="382D508F" w14:textId="77777777" w:rsidR="005C5BC1" w:rsidRPr="00404700" w:rsidRDefault="005C5BC1" w:rsidP="00443F10">
            <w:pPr>
              <w:pStyle w:val="Tablebullet"/>
            </w:pPr>
            <w:r w:rsidRPr="00404700">
              <w:t>Output measures show the extent to which the granting activity’s operational targets or milestones have been achieved. Output measures may include: the numbers of completed projects; the numbers of new applicants; and the numbers and/or value of grants awarded.</w:t>
            </w:r>
          </w:p>
          <w:p w14:paraId="3D78614E" w14:textId="77777777" w:rsidR="005C5BC1" w:rsidRDefault="005C5BC1" w:rsidP="00443F10">
            <w:pPr>
              <w:pStyle w:val="Tablebullet"/>
            </w:pPr>
            <w:r w:rsidRPr="00404700">
              <w:t>Input measures show the inputs, such as cash and resources, consumed by grants administration and may include: the costs of administering a granting activity; the number of staff employed and the costs of processing applications.</w:t>
            </w:r>
            <w:r w:rsidRPr="002304C0">
              <w:t xml:space="preserve"> </w:t>
            </w:r>
          </w:p>
        </w:tc>
      </w:tr>
    </w:tbl>
    <w:p w14:paraId="18C62498" w14:textId="1AF54D66" w:rsidR="004108CB" w:rsidRDefault="00F20FBB" w:rsidP="00BB0B25">
      <w:pPr>
        <w:spacing w:before="200"/>
      </w:pPr>
      <w:r>
        <w:t>The evaluation found a</w:t>
      </w:r>
      <w:r w:rsidR="005C6698">
        <w:t xml:space="preserve"> number of performance related documents for the program</w:t>
      </w:r>
      <w:r w:rsidR="00F46864">
        <w:t xml:space="preserve">, including </w:t>
      </w:r>
      <w:r w:rsidR="005C6698">
        <w:t xml:space="preserve">a </w:t>
      </w:r>
      <w:r w:rsidR="00F46864">
        <w:t>program plan and program evaluation plan</w:t>
      </w:r>
      <w:r w:rsidR="00B25C0E">
        <w:t xml:space="preserve">. </w:t>
      </w:r>
      <w:r w:rsidR="005C6698">
        <w:t xml:space="preserve">These refer </w:t>
      </w:r>
      <w:r w:rsidR="00F46864">
        <w:t>to program outcomes, success measures and criteria for program success (extracts provided in Attachment B)</w:t>
      </w:r>
      <w:r w:rsidR="00B25C0E">
        <w:t xml:space="preserve">. </w:t>
      </w:r>
      <w:r w:rsidR="00F46864">
        <w:t xml:space="preserve">However, analysis showed </w:t>
      </w:r>
      <w:r w:rsidR="005B6A73">
        <w:t xml:space="preserve">a lack of alignment and </w:t>
      </w:r>
      <w:r w:rsidR="009D777D">
        <w:t>inconsistencies</w:t>
      </w:r>
      <w:r w:rsidR="00F46864">
        <w:t xml:space="preserve"> in how these were articulated, and there was no specificity relating to how performance data would be collected, analysed and reported</w:t>
      </w:r>
      <w:r w:rsidR="005C6698">
        <w:t xml:space="preserve"> at </w:t>
      </w:r>
      <w:r w:rsidR="008D1D88">
        <w:t xml:space="preserve">program and </w:t>
      </w:r>
      <w:r w:rsidR="005C6698">
        <w:t xml:space="preserve">project </w:t>
      </w:r>
      <w:r w:rsidR="008D1D88">
        <w:t>levels</w:t>
      </w:r>
      <w:r w:rsidR="00B25C0E">
        <w:t xml:space="preserve">. </w:t>
      </w:r>
    </w:p>
    <w:p w14:paraId="04768C4D" w14:textId="551D3D72" w:rsidR="004108CB" w:rsidRDefault="004108CB" w:rsidP="004108CB">
      <w:r w:rsidRPr="005A7A0D">
        <w:t xml:space="preserve">In sum, performance data and reporting </w:t>
      </w:r>
      <w:r w:rsidR="00E76670">
        <w:t>related to</w:t>
      </w:r>
      <w:r w:rsidRPr="005A7A0D">
        <w:t xml:space="preserve"> inputs and outputs</w:t>
      </w:r>
      <w:r w:rsidR="00E76670">
        <w:t xml:space="preserve"> and was not aligned to program objectives</w:t>
      </w:r>
      <w:r w:rsidR="00B25C0E">
        <w:t xml:space="preserve">. </w:t>
      </w:r>
      <w:r w:rsidR="00E76670">
        <w:t>T</w:t>
      </w:r>
      <w:r w:rsidRPr="005A7A0D">
        <w:t xml:space="preserve">here was not an agreed M&amp;E </w:t>
      </w:r>
      <w:r w:rsidR="00A40842">
        <w:t>f</w:t>
      </w:r>
      <w:r w:rsidRPr="005A7A0D">
        <w:t>ramework in place.</w:t>
      </w:r>
    </w:p>
    <w:p w14:paraId="52F11879" w14:textId="77777777" w:rsidR="004108CB" w:rsidRPr="00565949" w:rsidRDefault="00E153F1" w:rsidP="00565949">
      <w:pPr>
        <w:rPr>
          <w:rStyle w:val="Strong"/>
        </w:rPr>
      </w:pPr>
      <w:r w:rsidRPr="00565949">
        <w:rPr>
          <w:rStyle w:val="Strong"/>
        </w:rPr>
        <w:t>M&amp;E</w:t>
      </w:r>
      <w:r w:rsidR="004108CB" w:rsidRPr="00565949">
        <w:rPr>
          <w:rStyle w:val="Strong"/>
        </w:rPr>
        <w:t xml:space="preserve"> framework</w:t>
      </w:r>
    </w:p>
    <w:p w14:paraId="0644C422" w14:textId="1F94E08A" w:rsidR="001869D6" w:rsidRDefault="001869D6" w:rsidP="009F7FD1">
      <w:r>
        <w:t xml:space="preserve">A M&amp;E framework </w:t>
      </w:r>
      <w:r w:rsidR="004108CB">
        <w:t>articulates</w:t>
      </w:r>
      <w:r>
        <w:t xml:space="preserve"> program outcomes</w:t>
      </w:r>
      <w:r w:rsidR="0021070C">
        <w:t xml:space="preserve"> and the </w:t>
      </w:r>
      <w:r>
        <w:t>corresponding success measures and data sources</w:t>
      </w:r>
      <w:r w:rsidR="0021070C">
        <w:t>,</w:t>
      </w:r>
      <w:r>
        <w:t xml:space="preserve"> as well as </w:t>
      </w:r>
      <w:r w:rsidR="0021070C">
        <w:t>a</w:t>
      </w:r>
      <w:r>
        <w:t>n overview of the evaluations to be conducted</w:t>
      </w:r>
      <w:r w:rsidR="0021070C">
        <w:t xml:space="preserve"> over the life of the program</w:t>
      </w:r>
      <w:r w:rsidR="00B25C0E">
        <w:t xml:space="preserve">. </w:t>
      </w:r>
      <w:r w:rsidR="0021070C">
        <w:t>A M&amp;E framework would assist the department to</w:t>
      </w:r>
      <w:r>
        <w:t xml:space="preserve"> measure the success of </w:t>
      </w:r>
      <w:r w:rsidR="0021070C">
        <w:t xml:space="preserve">the program in achieving outcomes and </w:t>
      </w:r>
      <w:r w:rsidR="00E41FFA">
        <w:t>describe</w:t>
      </w:r>
      <w:r w:rsidR="00C7292D">
        <w:t xml:space="preserve"> </w:t>
      </w:r>
      <w:r>
        <w:t>what routine data needs to be gathered on a regular basis</w:t>
      </w:r>
      <w:r w:rsidR="00B25C0E">
        <w:t xml:space="preserve">. </w:t>
      </w:r>
      <w:r w:rsidR="00877409">
        <w:t xml:space="preserve">The framework would </w:t>
      </w:r>
      <w:r w:rsidR="00E41FFA">
        <w:t>identify</w:t>
      </w:r>
      <w:r w:rsidR="00877409">
        <w:t>:</w:t>
      </w:r>
    </w:p>
    <w:p w14:paraId="17250E97" w14:textId="77777777" w:rsidR="00287842" w:rsidRDefault="00287842" w:rsidP="00565949">
      <w:pPr>
        <w:pStyle w:val="ListBullet"/>
      </w:pPr>
      <w:r>
        <w:t>program outcomes and how these contribute to departmental outcomes</w:t>
      </w:r>
    </w:p>
    <w:p w14:paraId="03AD8037" w14:textId="77777777" w:rsidR="00C25907" w:rsidRDefault="00877409" w:rsidP="00565949">
      <w:pPr>
        <w:pStyle w:val="ListBullet"/>
      </w:pPr>
      <w:r>
        <w:t>m</w:t>
      </w:r>
      <w:r w:rsidR="00C25907">
        <w:t xml:space="preserve">easures of success </w:t>
      </w:r>
      <w:r>
        <w:t xml:space="preserve">or </w:t>
      </w:r>
      <w:r w:rsidR="00234085">
        <w:t>KPIs</w:t>
      </w:r>
      <w:r>
        <w:t xml:space="preserve"> </w:t>
      </w:r>
      <w:r w:rsidR="00C25907">
        <w:t xml:space="preserve">– the information that indicates whether the program is </w:t>
      </w:r>
      <w:r>
        <w:t>achieving</w:t>
      </w:r>
      <w:r w:rsidR="00C25907">
        <w:t xml:space="preserve"> the intended outcomes</w:t>
      </w:r>
    </w:p>
    <w:p w14:paraId="321C6ACA" w14:textId="77777777" w:rsidR="008D716F" w:rsidRDefault="00877409" w:rsidP="00565949">
      <w:pPr>
        <w:pStyle w:val="ListBullet"/>
      </w:pPr>
      <w:r>
        <w:t>corresponding d</w:t>
      </w:r>
      <w:r w:rsidR="00C25907">
        <w:t>ata sources that would provide the inf</w:t>
      </w:r>
      <w:r>
        <w:t>or</w:t>
      </w:r>
      <w:r w:rsidR="00C25907">
        <w:t xml:space="preserve">mation to support </w:t>
      </w:r>
      <w:r>
        <w:t xml:space="preserve">evidence or otherwise of </w:t>
      </w:r>
      <w:r w:rsidR="00C20D9C">
        <w:t>KPIs</w:t>
      </w:r>
    </w:p>
    <w:p w14:paraId="073992B1" w14:textId="77777777" w:rsidR="00C25907" w:rsidRDefault="00C65F06" w:rsidP="00565949">
      <w:pPr>
        <w:pStyle w:val="ListBullet"/>
      </w:pPr>
      <w:r>
        <w:t xml:space="preserve">a schedule detailing </w:t>
      </w:r>
      <w:r w:rsidR="00C25907">
        <w:t>when</w:t>
      </w:r>
      <w:r>
        <w:t xml:space="preserve"> and how</w:t>
      </w:r>
      <w:r w:rsidR="00C25907">
        <w:t xml:space="preserve"> the information </w:t>
      </w:r>
      <w:r>
        <w:t>should</w:t>
      </w:r>
      <w:r w:rsidR="00C25907">
        <w:t xml:space="preserve"> be collected (eg </w:t>
      </w:r>
      <w:r w:rsidR="008D716F">
        <w:t>via milestone reports)</w:t>
      </w:r>
      <w:r w:rsidR="00C7292D">
        <w:t xml:space="preserve"> </w:t>
      </w:r>
      <w:r w:rsidR="008D716F">
        <w:t>a</w:t>
      </w:r>
      <w:r w:rsidR="00C25907">
        <w:t xml:space="preserve">nd when </w:t>
      </w:r>
      <w:r>
        <w:t xml:space="preserve">and how </w:t>
      </w:r>
      <w:r w:rsidR="00C25907">
        <w:t>it will be reported,</w:t>
      </w:r>
      <w:r w:rsidR="00287842">
        <w:t xml:space="preserve"> </w:t>
      </w:r>
      <w:r w:rsidR="008D716F">
        <w:t>(eg</w:t>
      </w:r>
      <w:r w:rsidR="00C25907">
        <w:t xml:space="preserve"> monthly program reports, annual performance sta</w:t>
      </w:r>
      <w:r w:rsidR="008D716F">
        <w:t>t</w:t>
      </w:r>
      <w:r w:rsidR="00C25907">
        <w:t>ement</w:t>
      </w:r>
      <w:r w:rsidR="008D716F">
        <w:t>)</w:t>
      </w:r>
      <w:r w:rsidR="00287842">
        <w:t>.</w:t>
      </w:r>
    </w:p>
    <w:p w14:paraId="46BD3278" w14:textId="77777777" w:rsidR="001B2760" w:rsidRDefault="001E64EB" w:rsidP="00D17F8F">
      <w:r>
        <w:t>The program logic developed to in</w:t>
      </w:r>
      <w:r w:rsidR="00CB45A7">
        <w:t>form this evaluation articulated</w:t>
      </w:r>
      <w:r>
        <w:t xml:space="preserve"> program activities, outputs and short, medium and long</w:t>
      </w:r>
      <w:r w:rsidR="00A319DB">
        <w:t>-</w:t>
      </w:r>
      <w:r>
        <w:t>term outcomes</w:t>
      </w:r>
      <w:r w:rsidR="007D25B6">
        <w:t xml:space="preserve"> and how these contribute to the </w:t>
      </w:r>
      <w:r w:rsidR="00171CD5">
        <w:t xml:space="preserve">department’s </w:t>
      </w:r>
      <w:r w:rsidR="007D25B6">
        <w:t>portfolio outcome</w:t>
      </w:r>
      <w:r w:rsidR="00171CD5">
        <w:t xml:space="preserve">. </w:t>
      </w:r>
    </w:p>
    <w:p w14:paraId="6345F8D6" w14:textId="3285BF48" w:rsidR="00EF42BD" w:rsidRDefault="001B2760" w:rsidP="00D17F8F">
      <w:r>
        <w:t xml:space="preserve">This would </w:t>
      </w:r>
      <w:r w:rsidR="001E64EB">
        <w:t>serve as a useful starting point for developing a</w:t>
      </w:r>
      <w:r w:rsidR="0005113B">
        <w:t xml:space="preserve"> M&amp;E </w:t>
      </w:r>
      <w:r w:rsidR="001E64EB">
        <w:t xml:space="preserve">framework, and ensure an outcomes orientation for </w:t>
      </w:r>
      <w:r w:rsidR="009033BA">
        <w:t xml:space="preserve">project and program </w:t>
      </w:r>
      <w:r w:rsidR="001E64EB">
        <w:t>KPIs</w:t>
      </w:r>
      <w:r w:rsidR="00B25C0E">
        <w:t xml:space="preserve">. </w:t>
      </w:r>
      <w:r w:rsidR="001E64EB">
        <w:t xml:space="preserve">The </w:t>
      </w:r>
      <w:r w:rsidR="003D665F">
        <w:t>f</w:t>
      </w:r>
      <w:r w:rsidR="001E64EB">
        <w:t>ramework would provide the foundation</w:t>
      </w:r>
      <w:r w:rsidR="000C506D">
        <w:t>,</w:t>
      </w:r>
      <w:r w:rsidR="001E64EB">
        <w:t xml:space="preserve"> or road map to guide data collection, reporting and evaluation requirements at both project and program levels</w:t>
      </w:r>
      <w:r w:rsidR="00B25C0E">
        <w:t xml:space="preserve">. </w:t>
      </w:r>
    </w:p>
    <w:p w14:paraId="0E682261" w14:textId="5B833E87" w:rsidR="001E64EB" w:rsidRDefault="00707B10" w:rsidP="00707B10">
      <w:r>
        <w:t xml:space="preserve">Such </w:t>
      </w:r>
      <w:r w:rsidR="00EF5537">
        <w:t xml:space="preserve">a </w:t>
      </w:r>
      <w:r>
        <w:t xml:space="preserve">framework </w:t>
      </w:r>
      <w:r w:rsidR="00EF5537">
        <w:t>would also</w:t>
      </w:r>
      <w:r>
        <w:t xml:space="preserve"> assist in identifying options for simplifying and/or reducing</w:t>
      </w:r>
      <w:r w:rsidR="00DF3A7A">
        <w:t xml:space="preserve"> p</w:t>
      </w:r>
      <w:r w:rsidR="00D17F8F">
        <w:t xml:space="preserve">roject reporting </w:t>
      </w:r>
      <w:r>
        <w:t>(to address stakeholder feedback relating to the extent of reporting)</w:t>
      </w:r>
      <w:r w:rsidR="00B25C0E">
        <w:t xml:space="preserve">. </w:t>
      </w:r>
    </w:p>
    <w:p w14:paraId="4BFBA7A6" w14:textId="66046B2C" w:rsidR="00741D39" w:rsidRDefault="0035744B" w:rsidP="006D67FE">
      <w:r>
        <w:t>While</w:t>
      </w:r>
      <w:r w:rsidR="00B64DD2">
        <w:t xml:space="preserve"> d</w:t>
      </w:r>
      <w:r w:rsidR="00C81BB2">
        <w:t xml:space="preserve">eveloping a M&amp;E </w:t>
      </w:r>
      <w:r w:rsidR="00EF5537">
        <w:t>f</w:t>
      </w:r>
      <w:r w:rsidR="00C81BB2">
        <w:t>ramework was beyo</w:t>
      </w:r>
      <w:r w:rsidR="00B64DD2">
        <w:t>nd</w:t>
      </w:r>
      <w:r>
        <w:t xml:space="preserve"> the scope of this evaluation, an element of consultations with the </w:t>
      </w:r>
      <w:r w:rsidR="00BC020C">
        <w:t>d</w:t>
      </w:r>
      <w:r>
        <w:t xml:space="preserve">epartment </w:t>
      </w:r>
      <w:r w:rsidR="000867F7">
        <w:t xml:space="preserve">included </w:t>
      </w:r>
      <w:r>
        <w:t>how this might be developed and KPIs</w:t>
      </w:r>
      <w:r w:rsidR="00EF5537">
        <w:t xml:space="preserve"> </w:t>
      </w:r>
      <w:r>
        <w:t>derived</w:t>
      </w:r>
      <w:r w:rsidR="00B25C0E">
        <w:t xml:space="preserve">. </w:t>
      </w:r>
      <w:r w:rsidR="004771DA">
        <w:t xml:space="preserve">A draft starting point for the </w:t>
      </w:r>
      <w:r w:rsidR="00BC020C">
        <w:t>d</w:t>
      </w:r>
      <w:r w:rsidR="004771DA">
        <w:t xml:space="preserve">epartment’s consideration is at </w:t>
      </w:r>
      <w:bookmarkStart w:id="63" w:name="_Ref480971168"/>
      <w:bookmarkStart w:id="64" w:name="_Toc482970199"/>
      <w:r w:rsidR="008C7D1F">
        <w:t>Attachment C</w:t>
      </w:r>
      <w:r w:rsidR="00B25C0E">
        <w:t xml:space="preserve">. </w:t>
      </w:r>
      <w:bookmarkStart w:id="65" w:name="_Toc480538588"/>
      <w:bookmarkStart w:id="66" w:name="_Toc480543037"/>
      <w:bookmarkStart w:id="67" w:name="_Toc479086883"/>
      <w:bookmarkEnd w:id="63"/>
      <w:bookmarkEnd w:id="64"/>
      <w:bookmarkEnd w:id="65"/>
      <w:bookmarkEnd w:id="66"/>
    </w:p>
    <w:p w14:paraId="105B5EEE" w14:textId="1DCAA23C" w:rsidR="00422AA9" w:rsidRDefault="00F65E8A" w:rsidP="00BB0B25">
      <w:pPr>
        <w:pStyle w:val="Heading3"/>
      </w:pPr>
      <w:bookmarkStart w:id="68" w:name="_Toc480543040"/>
      <w:bookmarkStart w:id="69" w:name="_Toc480543042"/>
      <w:bookmarkStart w:id="70" w:name="_Toc500934707"/>
      <w:bookmarkEnd w:id="67"/>
      <w:bookmarkEnd w:id="68"/>
      <w:bookmarkEnd w:id="69"/>
      <w:r>
        <w:t>M</w:t>
      </w:r>
      <w:r w:rsidR="00422AA9">
        <w:t>eeting the needs of RDCs and government</w:t>
      </w:r>
      <w:bookmarkEnd w:id="70"/>
    </w:p>
    <w:p w14:paraId="1C5578DA" w14:textId="77777777" w:rsidR="00923D10" w:rsidRDefault="00F63122" w:rsidP="00BB0B25">
      <w:pPr>
        <w:pStyle w:val="Heading4"/>
      </w:pPr>
      <w:r>
        <w:t>Program</w:t>
      </w:r>
      <w:r w:rsidR="00923D10">
        <w:t xml:space="preserve"> design</w:t>
      </w:r>
    </w:p>
    <w:p w14:paraId="1609F301" w14:textId="77777777" w:rsidR="007D63DB" w:rsidRDefault="006D7B10" w:rsidP="00BB0B25">
      <w:pPr>
        <w:spacing w:before="200"/>
      </w:pPr>
      <w:r>
        <w:t xml:space="preserve">In assessing the appropriateness of the program’s operating model (a competitive grants program administered by the </w:t>
      </w:r>
      <w:r w:rsidR="00BC020C">
        <w:t>d</w:t>
      </w:r>
      <w:r>
        <w:t>epartment) the evaluation inves</w:t>
      </w:r>
      <w:r w:rsidR="00DC7B13">
        <w:t xml:space="preserve">tigated views </w:t>
      </w:r>
      <w:r w:rsidR="00F23BFC">
        <w:t xml:space="preserve">of the </w:t>
      </w:r>
      <w:r w:rsidR="00BC020C">
        <w:t>d</w:t>
      </w:r>
      <w:r w:rsidR="00F23BFC">
        <w:t xml:space="preserve">epartment and </w:t>
      </w:r>
      <w:r w:rsidR="00BE7768">
        <w:t xml:space="preserve">RDCs </w:t>
      </w:r>
      <w:r w:rsidR="00DC7B13">
        <w:t>relating to:</w:t>
      </w:r>
    </w:p>
    <w:p w14:paraId="16BC1C7F" w14:textId="77777777" w:rsidR="007D63DB" w:rsidRDefault="0060494C" w:rsidP="00565949">
      <w:pPr>
        <w:pStyle w:val="ListBullet"/>
      </w:pPr>
      <w:r>
        <w:t>a</w:t>
      </w:r>
      <w:r w:rsidR="00DC7B13">
        <w:t xml:space="preserve">ppropriateness of the </w:t>
      </w:r>
      <w:r w:rsidR="007D63DB">
        <w:t xml:space="preserve">competitive grants </w:t>
      </w:r>
      <w:r w:rsidR="00DC7B13">
        <w:t>approach as the best mechanism for realising outcomes</w:t>
      </w:r>
    </w:p>
    <w:p w14:paraId="499DF147" w14:textId="77777777" w:rsidR="00DC7B13" w:rsidRDefault="0060494C" w:rsidP="00565949">
      <w:pPr>
        <w:pStyle w:val="ListBullet"/>
      </w:pPr>
      <w:r>
        <w:t>r</w:t>
      </w:r>
      <w:r w:rsidR="00DC7B13">
        <w:t>elevance of program design including:</w:t>
      </w:r>
    </w:p>
    <w:p w14:paraId="4B3E1306" w14:textId="77777777" w:rsidR="007D63DB" w:rsidRDefault="007D63DB" w:rsidP="00565949">
      <w:pPr>
        <w:pStyle w:val="ListBullet2"/>
      </w:pPr>
      <w:r>
        <w:t>align</w:t>
      </w:r>
      <w:r w:rsidR="00DC7B13">
        <w:t>ment</w:t>
      </w:r>
      <w:r>
        <w:t xml:space="preserve"> with </w:t>
      </w:r>
      <w:r w:rsidR="00DC7B13">
        <w:t xml:space="preserve">the </w:t>
      </w:r>
      <w:r>
        <w:t>broad</w:t>
      </w:r>
      <w:r w:rsidR="00DC7B13">
        <w:t>er national rural R&amp;D agenda</w:t>
      </w:r>
    </w:p>
    <w:p w14:paraId="276CAC0A" w14:textId="77777777" w:rsidR="00DC7B13" w:rsidRDefault="00DC7B13" w:rsidP="00565949">
      <w:pPr>
        <w:pStyle w:val="ListBullet2"/>
      </w:pPr>
      <w:r>
        <w:t>emphasis on collaboration and cross-sectoral innovation</w:t>
      </w:r>
    </w:p>
    <w:p w14:paraId="0F10D3D4" w14:textId="77777777" w:rsidR="006D7B10" w:rsidRDefault="004959A0" w:rsidP="00565949">
      <w:pPr>
        <w:pStyle w:val="ListBullet2"/>
      </w:pPr>
      <w:r>
        <w:t>satis</w:t>
      </w:r>
      <w:r w:rsidR="00DC7B13">
        <w:t>faction with the operating model in meeting their needs.</w:t>
      </w:r>
    </w:p>
    <w:p w14:paraId="139B177A" w14:textId="77777777" w:rsidR="004B6F23" w:rsidRDefault="004B6F23" w:rsidP="00BB0B25">
      <w:pPr>
        <w:pStyle w:val="Heading4"/>
      </w:pPr>
      <w:r>
        <w:t>ANAO finding</w:t>
      </w:r>
    </w:p>
    <w:p w14:paraId="3FE06449" w14:textId="77777777" w:rsidR="004B6F23" w:rsidRDefault="004B6F23" w:rsidP="00BB0B25">
      <w:pPr>
        <w:spacing w:before="200"/>
      </w:pPr>
      <w:r>
        <w:t>The Grants Rules and Guidelines</w:t>
      </w:r>
      <w:r>
        <w:rPr>
          <w:rStyle w:val="FootnoteReference"/>
        </w:rPr>
        <w:footnoteReference w:id="27"/>
      </w:r>
      <w:r w:rsidR="00E5274C">
        <w:t>, state:</w:t>
      </w:r>
    </w:p>
    <w:p w14:paraId="1E740A81" w14:textId="7B919FB6" w:rsidR="004B6F23" w:rsidRPr="00565949" w:rsidRDefault="004B6F23" w:rsidP="00565949">
      <w:pPr>
        <w:pStyle w:val="Quote"/>
      </w:pPr>
      <w:r w:rsidRPr="00565949">
        <w:t>It is important that officials determine that a grant is the most appropriate mechanism</w:t>
      </w:r>
      <w:r w:rsidR="00B25C0E">
        <w:t xml:space="preserve">. </w:t>
      </w:r>
      <w:r w:rsidRPr="00565949">
        <w:t>There may be alternative means to realise a desired outcome, such as the use of statutory powers or the procuremen</w:t>
      </w:r>
      <w:r w:rsidR="00E5274C" w:rsidRPr="00565949">
        <w:t>t of goods or services.</w:t>
      </w:r>
    </w:p>
    <w:p w14:paraId="64C3C35D" w14:textId="77777777" w:rsidR="00B905FA" w:rsidRDefault="00803046" w:rsidP="00B905FA">
      <w:r>
        <w:t>The recent ANAO audit found that:</w:t>
      </w:r>
    </w:p>
    <w:p w14:paraId="452AB215" w14:textId="1BB4E217" w:rsidR="00021F77" w:rsidRPr="006D67FE" w:rsidRDefault="00021F77" w:rsidP="00565949">
      <w:pPr>
        <w:pStyle w:val="Quote"/>
      </w:pPr>
      <w:r w:rsidRPr="006D67FE">
        <w:t>Selection of a competitive grants delivery model for the Rural R&amp;D for Profit Program, in favour of existing mature funding arrangements was not informed by an appropriately structured and documented assessment of alternative delivery models</w:t>
      </w:r>
      <w:r w:rsidR="00B25C0E">
        <w:t xml:space="preserve">. </w:t>
      </w:r>
      <w:r w:rsidRPr="006D67FE">
        <w:t>The absence of such an assessment limited the department’s ability to demonstrate the most appropriate model was selected.</w:t>
      </w:r>
      <w:r w:rsidR="00C01D7B" w:rsidRPr="006D67FE">
        <w:rPr>
          <w:rStyle w:val="FootnoteReference"/>
        </w:rPr>
        <w:footnoteReference w:id="28"/>
      </w:r>
      <w:r w:rsidRPr="006D67FE">
        <w:t xml:space="preserve">  </w:t>
      </w:r>
    </w:p>
    <w:p w14:paraId="11FEADAB" w14:textId="77777777" w:rsidR="00FD16FE" w:rsidRDefault="00FD16FE" w:rsidP="00BB0B25">
      <w:pPr>
        <w:pStyle w:val="Heading4"/>
      </w:pPr>
      <w:r>
        <w:t>Stakeholder views</w:t>
      </w:r>
    </w:p>
    <w:p w14:paraId="72592B05" w14:textId="77777777" w:rsidR="00F67FF7" w:rsidRPr="00565949" w:rsidRDefault="00F67FF7" w:rsidP="00BB0B25">
      <w:pPr>
        <w:spacing w:before="200"/>
        <w:rPr>
          <w:rStyle w:val="Strong"/>
        </w:rPr>
      </w:pPr>
      <w:r w:rsidRPr="00565949">
        <w:rPr>
          <w:rStyle w:val="Strong"/>
        </w:rPr>
        <w:t>RDCs</w:t>
      </w:r>
    </w:p>
    <w:p w14:paraId="61D45DF8" w14:textId="77777777" w:rsidR="00FD16FE" w:rsidRDefault="00386453" w:rsidP="00386453">
      <w:r>
        <w:t>The majority of RDCs</w:t>
      </w:r>
      <w:r w:rsidR="00FD16FE">
        <w:t>:</w:t>
      </w:r>
    </w:p>
    <w:p w14:paraId="2B25D660" w14:textId="77777777" w:rsidR="00AA78DF" w:rsidRDefault="00AA78DF" w:rsidP="00565949">
      <w:pPr>
        <w:pStyle w:val="ListBullet"/>
      </w:pPr>
      <w:r>
        <w:t>o</w:t>
      </w:r>
      <w:r w:rsidR="00FD16FE">
        <w:t xml:space="preserve">bserved the focus of program outcomes and priorities was in keeping with contemporary national rural </w:t>
      </w:r>
      <w:r>
        <w:t>R&amp;D frameworks, such as th</w:t>
      </w:r>
      <w:r w:rsidRPr="000F710C">
        <w:t>e</w:t>
      </w:r>
      <w:r w:rsidR="000F710C" w:rsidRPr="000F710C">
        <w:t xml:space="preserve"> National Primary Industries Research Development and Extension Framework</w:t>
      </w:r>
      <w:r w:rsidR="000F710C">
        <w:rPr>
          <w:rStyle w:val="FootnoteReference"/>
        </w:rPr>
        <w:footnoteReference w:id="29"/>
      </w:r>
      <w:r w:rsidR="000F710C">
        <w:t xml:space="preserve">  </w:t>
      </w:r>
    </w:p>
    <w:p w14:paraId="659DEE33" w14:textId="420B21A9" w:rsidR="00FD16FE" w:rsidRDefault="00AA78DF" w:rsidP="00565949">
      <w:pPr>
        <w:pStyle w:val="ListBullet"/>
      </w:pPr>
      <w:r>
        <w:t xml:space="preserve">thought the </w:t>
      </w:r>
      <w:r w:rsidR="00FD16FE">
        <w:t>emphasis relating to collaboration and cross-sectoral research was also consistent with government policy</w:t>
      </w:r>
      <w:r w:rsidR="00B25C0E">
        <w:t xml:space="preserve">. </w:t>
      </w:r>
      <w:r w:rsidR="00FD16FE">
        <w:t xml:space="preserve">For example, evidenced in the </w:t>
      </w:r>
      <w:r w:rsidR="00FD16FE" w:rsidRPr="006D38A4">
        <w:t>White Paper</w:t>
      </w:r>
      <w:r w:rsidR="00CC4595" w:rsidRPr="006D38A4">
        <w:rPr>
          <w:rStyle w:val="FootnoteReference"/>
        </w:rPr>
        <w:footnoteReference w:id="30"/>
      </w:r>
      <w:r w:rsidR="00FD16FE">
        <w:t xml:space="preserve"> and the Productivity Commission report.</w:t>
      </w:r>
      <w:r w:rsidR="00415765">
        <w:rPr>
          <w:rStyle w:val="FootnoteReference"/>
        </w:rPr>
        <w:footnoteReference w:id="31"/>
      </w:r>
      <w:r w:rsidR="00FD16FE">
        <w:t xml:space="preserve">  </w:t>
      </w:r>
    </w:p>
    <w:p w14:paraId="76C805BF" w14:textId="52438269" w:rsidR="00040492" w:rsidRDefault="00AA78DF" w:rsidP="00565949">
      <w:pPr>
        <w:pStyle w:val="ListBullet"/>
      </w:pPr>
      <w:r>
        <w:t>w</w:t>
      </w:r>
      <w:r w:rsidR="009948D8">
        <w:t>ere</w:t>
      </w:r>
      <w:r w:rsidR="00386453">
        <w:t xml:space="preserve"> </w:t>
      </w:r>
      <w:r w:rsidR="009948D8">
        <w:t xml:space="preserve">broadly </w:t>
      </w:r>
      <w:r w:rsidR="00386453">
        <w:t xml:space="preserve">satisfied </w:t>
      </w:r>
      <w:r>
        <w:t xml:space="preserve">with </w:t>
      </w:r>
      <w:r w:rsidR="009948D8">
        <w:t xml:space="preserve">the </w:t>
      </w:r>
      <w:r w:rsidR="00386453">
        <w:t xml:space="preserve">competitive grants </w:t>
      </w:r>
      <w:r>
        <w:t>approach</w:t>
      </w:r>
      <w:r w:rsidR="009948D8">
        <w:t xml:space="preserve"> unde</w:t>
      </w:r>
      <w:r>
        <w:t xml:space="preserve">r the auspice of the </w:t>
      </w:r>
      <w:r w:rsidR="00BC020C">
        <w:t>d</w:t>
      </w:r>
      <w:r>
        <w:t>epartment, and that it was successfully enabling</w:t>
      </w:r>
      <w:r w:rsidR="009948D8">
        <w:t xml:space="preserve"> delivery (or </w:t>
      </w:r>
      <w:r>
        <w:t xml:space="preserve">was </w:t>
      </w:r>
      <w:r w:rsidR="009948D8">
        <w:t>on track to deliver) program outcomes</w:t>
      </w:r>
      <w:r w:rsidR="00B25C0E">
        <w:t xml:space="preserve">. </w:t>
      </w:r>
    </w:p>
    <w:p w14:paraId="72916DD0" w14:textId="1F06E436" w:rsidR="00EA592F" w:rsidRDefault="00CD06AF" w:rsidP="00386453">
      <w:r>
        <w:t>However,</w:t>
      </w:r>
      <w:r w:rsidR="00587564">
        <w:t xml:space="preserve"> </w:t>
      </w:r>
      <w:r w:rsidR="001F551A">
        <w:t>a small number of RDCs</w:t>
      </w:r>
      <w:r w:rsidR="00CC0E1F">
        <w:t xml:space="preserve"> indicated </w:t>
      </w:r>
      <w:r w:rsidR="003C3482">
        <w:t xml:space="preserve">the program would </w:t>
      </w:r>
      <w:r w:rsidR="00587564">
        <w:t>be better implemented via existi</w:t>
      </w:r>
      <w:r w:rsidR="006D51A5">
        <w:t>ng structures and institutions</w:t>
      </w:r>
      <w:r w:rsidR="008A7B0C">
        <w:t xml:space="preserve"> that are devoted to rural R&amp;D</w:t>
      </w:r>
      <w:r w:rsidR="00DA1196">
        <w:t xml:space="preserve">, </w:t>
      </w:r>
      <w:r w:rsidR="006D51A5">
        <w:t xml:space="preserve">such as individual </w:t>
      </w:r>
      <w:r w:rsidR="008A7B0C">
        <w:t xml:space="preserve">rural </w:t>
      </w:r>
      <w:r w:rsidR="006D51A5">
        <w:t>RDCs, or via the Council of Rural RDCs</w:t>
      </w:r>
      <w:r w:rsidR="00B25C0E">
        <w:t xml:space="preserve">. </w:t>
      </w:r>
      <w:r w:rsidR="008A7B0C">
        <w:t xml:space="preserve">As commented </w:t>
      </w:r>
      <w:r w:rsidR="006E2CA2">
        <w:t>some RDC representatives interviewed:</w:t>
      </w:r>
      <w:r w:rsidR="008A7B0C">
        <w:t xml:space="preserve"> </w:t>
      </w:r>
    </w:p>
    <w:p w14:paraId="502EC776" w14:textId="1A45F8D0" w:rsidR="002E1A13" w:rsidRPr="00872D17" w:rsidRDefault="00EA592F" w:rsidP="00872D17">
      <w:pPr>
        <w:pStyle w:val="Highlight"/>
        <w:ind w:left="1134"/>
        <w:rPr>
          <w:sz w:val="20"/>
          <w:szCs w:val="20"/>
        </w:rPr>
      </w:pPr>
      <w:r w:rsidRPr="00872D17">
        <w:rPr>
          <w:sz w:val="20"/>
          <w:szCs w:val="20"/>
        </w:rPr>
        <w:t>…</w:t>
      </w:r>
      <w:r w:rsidR="008A7B0C" w:rsidRPr="00872D17">
        <w:rPr>
          <w:sz w:val="20"/>
          <w:szCs w:val="20"/>
        </w:rPr>
        <w:t>we are in the business of managing rural RD&amp;E</w:t>
      </w:r>
      <w:r w:rsidR="00B25C0E">
        <w:rPr>
          <w:sz w:val="20"/>
          <w:szCs w:val="20"/>
        </w:rPr>
        <w:t xml:space="preserve">. </w:t>
      </w:r>
      <w:r w:rsidR="008A7B0C" w:rsidRPr="00872D17">
        <w:rPr>
          <w:sz w:val="20"/>
          <w:szCs w:val="20"/>
        </w:rPr>
        <w:t>It’s our bread and butter.</w:t>
      </w:r>
    </w:p>
    <w:p w14:paraId="2DA6E04C" w14:textId="2D7E37FA" w:rsidR="006E2CA2" w:rsidRPr="00872D17" w:rsidRDefault="006E2CA2" w:rsidP="00872D17">
      <w:pPr>
        <w:pStyle w:val="Highlight"/>
        <w:ind w:left="1134"/>
        <w:rPr>
          <w:sz w:val="20"/>
          <w:szCs w:val="20"/>
        </w:rPr>
      </w:pPr>
      <w:r w:rsidRPr="00872D17">
        <w:rPr>
          <w:sz w:val="20"/>
          <w:szCs w:val="20"/>
        </w:rPr>
        <w:t>…there are well tested project management and administration structures</w:t>
      </w:r>
      <w:r w:rsidR="00B25C0E">
        <w:rPr>
          <w:sz w:val="20"/>
          <w:szCs w:val="20"/>
        </w:rPr>
        <w:t xml:space="preserve">. </w:t>
      </w:r>
      <w:r w:rsidRPr="00872D17">
        <w:rPr>
          <w:sz w:val="20"/>
          <w:szCs w:val="20"/>
        </w:rPr>
        <w:t>There would be significant benefits in using these</w:t>
      </w:r>
      <w:r w:rsidR="00B25C0E">
        <w:rPr>
          <w:sz w:val="20"/>
          <w:szCs w:val="20"/>
        </w:rPr>
        <w:t xml:space="preserve">. </w:t>
      </w:r>
    </w:p>
    <w:p w14:paraId="75F782B2" w14:textId="77777777" w:rsidR="00F365CA" w:rsidRPr="00565949" w:rsidRDefault="00F365CA" w:rsidP="00565949">
      <w:pPr>
        <w:rPr>
          <w:rStyle w:val="Strong"/>
        </w:rPr>
      </w:pPr>
      <w:r w:rsidRPr="00565949">
        <w:rPr>
          <w:rStyle w:val="Strong"/>
        </w:rPr>
        <w:t>Non-participants</w:t>
      </w:r>
    </w:p>
    <w:p w14:paraId="335DE49F" w14:textId="33E3038B" w:rsidR="00CB00F3" w:rsidRDefault="00F365CA" w:rsidP="00EE5236">
      <w:r w:rsidRPr="00EE5236">
        <w:t>A small sample of interviews were conducted with individuals who had made attempts to participate i</w:t>
      </w:r>
      <w:r w:rsidR="00CB00F3">
        <w:t xml:space="preserve">n the program but were unsuccessful in gaining </w:t>
      </w:r>
      <w:r w:rsidR="00105516">
        <w:t xml:space="preserve">entry </w:t>
      </w:r>
      <w:r w:rsidR="008157B1">
        <w:t>even to the application stage</w:t>
      </w:r>
      <w:r w:rsidR="00B25C0E">
        <w:t xml:space="preserve">. </w:t>
      </w:r>
      <w:r w:rsidRPr="00EE5236">
        <w:t xml:space="preserve">In these instances, they </w:t>
      </w:r>
      <w:r w:rsidR="00CB00F3">
        <w:t xml:space="preserve">looked to </w:t>
      </w:r>
      <w:r w:rsidR="000E4515">
        <w:t>an</w:t>
      </w:r>
      <w:r w:rsidR="001F551A">
        <w:t xml:space="preserve"> RDC</w:t>
      </w:r>
      <w:r w:rsidR="00CB00F3">
        <w:t xml:space="preserve"> as a ‘post box’ to submit their application</w:t>
      </w:r>
      <w:r w:rsidR="000E4515">
        <w:t xml:space="preserve"> in the program and the RDC</w:t>
      </w:r>
      <w:r w:rsidRPr="00EE5236">
        <w:t xml:space="preserve"> had </w:t>
      </w:r>
      <w:r w:rsidR="000E4515">
        <w:t>‘</w:t>
      </w:r>
      <w:r w:rsidR="000E4515" w:rsidRPr="00EE5236">
        <w:t xml:space="preserve">knocked </w:t>
      </w:r>
      <w:r w:rsidR="000E4515">
        <w:t xml:space="preserve">them </w:t>
      </w:r>
      <w:r w:rsidR="000E4515" w:rsidRPr="00EE5236">
        <w:t>back</w:t>
      </w:r>
      <w:r w:rsidR="000E4515">
        <w:t xml:space="preserve">’ because </w:t>
      </w:r>
      <w:r w:rsidR="00CB00F3">
        <w:t xml:space="preserve">proposals </w:t>
      </w:r>
      <w:r w:rsidR="000E4515">
        <w:t>had not a</w:t>
      </w:r>
      <w:r w:rsidR="00CB00F3">
        <w:t>lign</w:t>
      </w:r>
      <w:r w:rsidR="000E4515">
        <w:t>ed</w:t>
      </w:r>
      <w:r w:rsidR="00CB00F3">
        <w:t xml:space="preserve"> with </w:t>
      </w:r>
      <w:r w:rsidR="000E4515">
        <w:t>their research priorities</w:t>
      </w:r>
      <w:r w:rsidR="00B25C0E">
        <w:t xml:space="preserve">. </w:t>
      </w:r>
    </w:p>
    <w:p w14:paraId="34186847" w14:textId="072022A1" w:rsidR="00F67FF7" w:rsidRDefault="00E57D64" w:rsidP="00CE0D8E">
      <w:r>
        <w:t>As the rural RDCs are the only organisations eligible for grant funding, these instances highlight</w:t>
      </w:r>
      <w:r w:rsidR="002B5AA8">
        <w:t>ed</w:t>
      </w:r>
      <w:r>
        <w:t xml:space="preserve"> that the RDCs can </w:t>
      </w:r>
      <w:r w:rsidR="00F365CA" w:rsidRPr="00EE5236">
        <w:t>essentially ‘block’ participation</w:t>
      </w:r>
      <w:r w:rsidR="00A76E9A">
        <w:t xml:space="preserve"> of what might be legitimate R&amp;D ideas</w:t>
      </w:r>
      <w:r w:rsidR="00B25C0E">
        <w:t xml:space="preserve">. </w:t>
      </w:r>
      <w:r w:rsidR="00F673AD">
        <w:t>This was also highlighted by some partner organisations in their survey response, for example</w:t>
      </w:r>
      <w:r w:rsidR="001F551A">
        <w:t>:</w:t>
      </w:r>
    </w:p>
    <w:p w14:paraId="27652E55" w14:textId="1D47B945" w:rsidR="00F673AD" w:rsidRPr="002B5AA8" w:rsidRDefault="00F673AD" w:rsidP="002B5AA8">
      <w:pPr>
        <w:pStyle w:val="Highlight"/>
        <w:ind w:left="1134"/>
        <w:rPr>
          <w:sz w:val="20"/>
          <w:szCs w:val="20"/>
        </w:rPr>
      </w:pPr>
      <w:r w:rsidRPr="002B5AA8">
        <w:rPr>
          <w:sz w:val="20"/>
          <w:szCs w:val="20"/>
        </w:rPr>
        <w:t>Rural R&amp;D for Profit is a good initiative,</w:t>
      </w:r>
      <w:r w:rsidR="000F6A1C" w:rsidRPr="002B5AA8">
        <w:rPr>
          <w:sz w:val="20"/>
          <w:szCs w:val="20"/>
        </w:rPr>
        <w:t xml:space="preserve"> but it is important</w:t>
      </w:r>
      <w:r w:rsidRPr="002B5AA8">
        <w:rPr>
          <w:sz w:val="20"/>
          <w:szCs w:val="20"/>
        </w:rPr>
        <w:t xml:space="preserve"> that the normal fu</w:t>
      </w:r>
      <w:r w:rsidR="000F6A1C" w:rsidRPr="002B5AA8">
        <w:rPr>
          <w:sz w:val="20"/>
          <w:szCs w:val="20"/>
        </w:rPr>
        <w:t>nding</w:t>
      </w:r>
      <w:r w:rsidRPr="002B5AA8">
        <w:rPr>
          <w:sz w:val="20"/>
          <w:szCs w:val="20"/>
        </w:rPr>
        <w:t xml:space="preserve"> given directly to industry R&amp;D organisations continues in order to deliver on research requirements which are diverse and on a smaller scale</w:t>
      </w:r>
      <w:r w:rsidR="00B25C0E">
        <w:rPr>
          <w:sz w:val="20"/>
          <w:szCs w:val="20"/>
        </w:rPr>
        <w:t xml:space="preserve">. </w:t>
      </w:r>
    </w:p>
    <w:p w14:paraId="6FAF31BE" w14:textId="77777777" w:rsidR="005E5CD7" w:rsidRDefault="005E5CD7" w:rsidP="00BB0B25">
      <w:pPr>
        <w:pStyle w:val="Heading4"/>
      </w:pPr>
      <w:r>
        <w:t>Community Grants Hub</w:t>
      </w:r>
    </w:p>
    <w:p w14:paraId="2F142F13" w14:textId="55F88822" w:rsidR="005E5CD7" w:rsidRPr="005E5CD7" w:rsidRDefault="005E5CD7" w:rsidP="00BB0B25">
      <w:pPr>
        <w:spacing w:before="200"/>
      </w:pPr>
      <w:r>
        <w:t xml:space="preserve">The </w:t>
      </w:r>
      <w:r w:rsidR="00BC020C">
        <w:t>d</w:t>
      </w:r>
      <w:r>
        <w:t xml:space="preserve">epartment highlighted the importance of the program in providing a </w:t>
      </w:r>
      <w:r w:rsidR="001F551A">
        <w:t>link between Government and RDCs</w:t>
      </w:r>
      <w:r w:rsidR="00DA1196">
        <w:t xml:space="preserve">, </w:t>
      </w:r>
      <w:r>
        <w:t>providing a mechanism that fosters communication and shared understanding</w:t>
      </w:r>
      <w:r w:rsidR="00B25C0E">
        <w:t xml:space="preserve">. </w:t>
      </w:r>
    </w:p>
    <w:p w14:paraId="345EB8DB" w14:textId="0FCD92F1" w:rsidR="005E5CD7" w:rsidRDefault="005E5CD7" w:rsidP="005E5CD7">
      <w:pPr>
        <w:rPr>
          <w:lang w:val="en"/>
        </w:rPr>
      </w:pPr>
      <w:r>
        <w:rPr>
          <w:lang w:val="en"/>
        </w:rPr>
        <w:t xml:space="preserve">As part of the Streamlining </w:t>
      </w:r>
      <w:r w:rsidR="00105516">
        <w:rPr>
          <w:lang w:val="en"/>
        </w:rPr>
        <w:t xml:space="preserve">Government </w:t>
      </w:r>
      <w:r>
        <w:rPr>
          <w:lang w:val="en"/>
        </w:rPr>
        <w:t xml:space="preserve">Grants Administration </w:t>
      </w:r>
      <w:r w:rsidR="003B5BC4">
        <w:rPr>
          <w:lang w:val="en"/>
        </w:rPr>
        <w:t>agenda</w:t>
      </w:r>
      <w:r>
        <w:rPr>
          <w:lang w:val="en"/>
        </w:rPr>
        <w:t xml:space="preserve">, </w:t>
      </w:r>
      <w:r w:rsidRPr="00F718AA">
        <w:rPr>
          <w:lang w:val="en"/>
        </w:rPr>
        <w:t xml:space="preserve">Australian Government agencies </w:t>
      </w:r>
      <w:r>
        <w:rPr>
          <w:lang w:val="en"/>
        </w:rPr>
        <w:t xml:space="preserve">have </w:t>
      </w:r>
      <w:r w:rsidR="00AF0A3E">
        <w:rPr>
          <w:lang w:val="en"/>
        </w:rPr>
        <w:t>been</w:t>
      </w:r>
      <w:r w:rsidR="00AF0A3E" w:rsidRPr="00F718AA">
        <w:rPr>
          <w:lang w:val="en"/>
        </w:rPr>
        <w:t xml:space="preserve"> </w:t>
      </w:r>
      <w:r w:rsidRPr="00F718AA">
        <w:rPr>
          <w:lang w:val="en"/>
        </w:rPr>
        <w:t>centralising administration of their grants</w:t>
      </w:r>
      <w:r>
        <w:rPr>
          <w:lang w:val="en"/>
        </w:rPr>
        <w:t xml:space="preserve"> since July 2016</w:t>
      </w:r>
      <w:r w:rsidR="00B25C0E">
        <w:rPr>
          <w:lang w:val="en"/>
        </w:rPr>
        <w:t xml:space="preserve">. </w:t>
      </w:r>
    </w:p>
    <w:p w14:paraId="30E671F1" w14:textId="77777777" w:rsidR="005E5CD7" w:rsidRDefault="005E5CD7" w:rsidP="005E5CD7">
      <w:pPr>
        <w:rPr>
          <w:lang w:val="en"/>
        </w:rPr>
      </w:pPr>
      <w:r>
        <w:rPr>
          <w:lang w:val="en"/>
        </w:rPr>
        <w:t>There are two grants administration Hubs for government, serviced by two systems:</w:t>
      </w:r>
    </w:p>
    <w:p w14:paraId="13ADEFDD" w14:textId="77777777" w:rsidR="005E5CD7" w:rsidRPr="00AA338F" w:rsidRDefault="005E5CD7" w:rsidP="00565949">
      <w:pPr>
        <w:pStyle w:val="ListBullet"/>
        <w:rPr>
          <w:lang w:val="en"/>
        </w:rPr>
      </w:pPr>
      <w:r>
        <w:rPr>
          <w:lang w:val="en"/>
        </w:rPr>
        <w:t>the C</w:t>
      </w:r>
      <w:r w:rsidRPr="00AA338F">
        <w:rPr>
          <w:lang w:val="en"/>
        </w:rPr>
        <w:t>ommunity Grants Hub (Department of Social Services</w:t>
      </w:r>
      <w:r w:rsidR="000C4DEC">
        <w:rPr>
          <w:lang w:val="en"/>
        </w:rPr>
        <w:t xml:space="preserve"> or DSS</w:t>
      </w:r>
      <w:r w:rsidRPr="00AA338F">
        <w:rPr>
          <w:lang w:val="en"/>
        </w:rPr>
        <w:t>) for individuals, the community and /or health sectors</w:t>
      </w:r>
    </w:p>
    <w:p w14:paraId="12D7A570" w14:textId="556BF3F0" w:rsidR="005E5CD7" w:rsidRPr="00AA338F" w:rsidRDefault="005E5CD7" w:rsidP="00565949">
      <w:pPr>
        <w:pStyle w:val="ListBullet"/>
        <w:rPr>
          <w:lang w:val="en"/>
        </w:rPr>
      </w:pPr>
      <w:r>
        <w:rPr>
          <w:lang w:val="en"/>
        </w:rPr>
        <w:t>t</w:t>
      </w:r>
      <w:r w:rsidRPr="00AA338F">
        <w:rPr>
          <w:lang w:val="en"/>
        </w:rPr>
        <w:t>he Business Grants Hub (Department of Industry, Innovation and Science) for the business sector</w:t>
      </w:r>
      <w:r w:rsidR="00B25C0E">
        <w:rPr>
          <w:lang w:val="en"/>
        </w:rPr>
        <w:t xml:space="preserve">. </w:t>
      </w:r>
    </w:p>
    <w:p w14:paraId="75F27D58" w14:textId="4F45B031" w:rsidR="005E5CD7" w:rsidRPr="00F718AA" w:rsidRDefault="005E5CD7" w:rsidP="005E5CD7">
      <w:pPr>
        <w:rPr>
          <w:lang w:val="en"/>
        </w:rPr>
      </w:pPr>
      <w:r>
        <w:rPr>
          <w:lang w:val="en"/>
        </w:rPr>
        <w:t xml:space="preserve">The </w:t>
      </w:r>
      <w:r w:rsidR="00BC020C">
        <w:rPr>
          <w:lang w:val="en"/>
        </w:rPr>
        <w:t>d</w:t>
      </w:r>
      <w:r>
        <w:rPr>
          <w:lang w:val="en"/>
        </w:rPr>
        <w:t>epartment is currently transitioning grants programs to the Community Grants Hub</w:t>
      </w:r>
      <w:r w:rsidR="00AF0A3E">
        <w:rPr>
          <w:lang w:val="en"/>
        </w:rPr>
        <w:t xml:space="preserve">, </w:t>
      </w:r>
      <w:r>
        <w:rPr>
          <w:lang w:val="en"/>
        </w:rPr>
        <w:t>including Rural R&amp;D for Profit</w:t>
      </w:r>
      <w:r w:rsidR="00AF0A3E">
        <w:rPr>
          <w:lang w:val="en"/>
        </w:rPr>
        <w:t xml:space="preserve">, </w:t>
      </w:r>
      <w:r>
        <w:rPr>
          <w:lang w:val="en"/>
        </w:rPr>
        <w:t xml:space="preserve">scheduled to transition in </w:t>
      </w:r>
      <w:r w:rsidR="00F97074">
        <w:rPr>
          <w:lang w:val="en"/>
        </w:rPr>
        <w:t xml:space="preserve">June </w:t>
      </w:r>
      <w:r>
        <w:rPr>
          <w:lang w:val="en"/>
        </w:rPr>
        <w:t>2018</w:t>
      </w:r>
      <w:r w:rsidR="00B25C0E">
        <w:rPr>
          <w:lang w:val="en"/>
        </w:rPr>
        <w:t xml:space="preserve">. </w:t>
      </w:r>
      <w:r w:rsidRPr="00F718AA">
        <w:rPr>
          <w:lang w:val="en"/>
        </w:rPr>
        <w:t>DSS has responsibility for the Hub and coordinates and supports client agencies by administering community grants to support their policy outcomes.</w:t>
      </w:r>
    </w:p>
    <w:p w14:paraId="72BF99FE" w14:textId="73BE4759" w:rsidR="005E5CD7" w:rsidRPr="00F718AA" w:rsidRDefault="005E5CD7" w:rsidP="005E5CD7">
      <w:pPr>
        <w:rPr>
          <w:lang w:val="en"/>
        </w:rPr>
      </w:pPr>
      <w:r>
        <w:rPr>
          <w:lang w:val="en"/>
        </w:rPr>
        <w:t>T</w:t>
      </w:r>
      <w:r w:rsidRPr="00F718AA">
        <w:rPr>
          <w:lang w:val="en"/>
        </w:rPr>
        <w:t xml:space="preserve">he </w:t>
      </w:r>
      <w:r>
        <w:rPr>
          <w:lang w:val="en"/>
        </w:rPr>
        <w:t xml:space="preserve">Community Grants </w:t>
      </w:r>
      <w:r w:rsidRPr="00F718AA">
        <w:rPr>
          <w:lang w:val="en"/>
        </w:rPr>
        <w:t>Hub</w:t>
      </w:r>
      <w:r>
        <w:rPr>
          <w:lang w:val="en"/>
        </w:rPr>
        <w:t xml:space="preserve"> is a relatively new development</w:t>
      </w:r>
      <w:r w:rsidR="00105516">
        <w:rPr>
          <w:lang w:val="en"/>
        </w:rPr>
        <w:t>,</w:t>
      </w:r>
      <w:r>
        <w:rPr>
          <w:lang w:val="en"/>
        </w:rPr>
        <w:t xml:space="preserve"> which</w:t>
      </w:r>
      <w:r w:rsidRPr="00F718AA">
        <w:rPr>
          <w:lang w:val="en"/>
        </w:rPr>
        <w:t xml:space="preserve"> has been progressively working towards providing end-to-end grants administration services</w:t>
      </w:r>
      <w:r w:rsidR="00B25C0E">
        <w:rPr>
          <w:lang w:val="en"/>
        </w:rPr>
        <w:t xml:space="preserve">. </w:t>
      </w:r>
      <w:r>
        <w:rPr>
          <w:lang w:val="en"/>
        </w:rPr>
        <w:t>Currently there is not a full suite of services available</w:t>
      </w:r>
      <w:r w:rsidR="00EB3CD1">
        <w:rPr>
          <w:lang w:val="en"/>
        </w:rPr>
        <w:t>.</w:t>
      </w:r>
    </w:p>
    <w:p w14:paraId="3B839D62" w14:textId="2E3C2E0E" w:rsidR="005E5CD7" w:rsidRDefault="005E5CD7" w:rsidP="005E5CD7">
      <w:r>
        <w:t xml:space="preserve">Interviews with the </w:t>
      </w:r>
      <w:r w:rsidR="00BC020C">
        <w:t>d</w:t>
      </w:r>
      <w:r>
        <w:t xml:space="preserve">epartment program team highlighted the importance </w:t>
      </w:r>
      <w:r w:rsidRPr="008411E4">
        <w:t>o</w:t>
      </w:r>
      <w:r>
        <w:t>f the program in assisting the</w:t>
      </w:r>
      <w:r w:rsidRPr="008411E4">
        <w:t xml:space="preserve"> </w:t>
      </w:r>
      <w:r w:rsidR="00BC020C">
        <w:t>d</w:t>
      </w:r>
      <w:r w:rsidRPr="008411E4">
        <w:t xml:space="preserve">epartment </w:t>
      </w:r>
      <w:r>
        <w:t xml:space="preserve">to </w:t>
      </w:r>
      <w:r w:rsidRPr="008411E4">
        <w:t>better understand the rural R&amp;</w:t>
      </w:r>
      <w:r>
        <w:t>D agenda and strengthening</w:t>
      </w:r>
      <w:r w:rsidRPr="008411E4">
        <w:t xml:space="preserve"> linkages with the RDCs</w:t>
      </w:r>
      <w:r w:rsidR="00B25C0E">
        <w:t xml:space="preserve">. </w:t>
      </w:r>
      <w:r>
        <w:t>It was observed that if the program wer</w:t>
      </w:r>
      <w:r w:rsidR="00895C69">
        <w:t>e to be housed wholly with the H</w:t>
      </w:r>
      <w:r>
        <w:t>ub it runs a number of risks:</w:t>
      </w:r>
    </w:p>
    <w:p w14:paraId="43399909" w14:textId="77777777" w:rsidR="005E5CD7" w:rsidRPr="005B12E0" w:rsidRDefault="00BC020C" w:rsidP="00565949">
      <w:pPr>
        <w:pStyle w:val="ListBullet"/>
        <w:rPr>
          <w:lang w:val="en"/>
        </w:rPr>
      </w:pPr>
      <w:r>
        <w:rPr>
          <w:lang w:val="en"/>
        </w:rPr>
        <w:t>d</w:t>
      </w:r>
      <w:r w:rsidR="005E5CD7" w:rsidRPr="005B12E0">
        <w:rPr>
          <w:lang w:val="en"/>
        </w:rPr>
        <w:t>epartment stakeholder relationships and interaction with the RDCs would be lost</w:t>
      </w:r>
      <w:r w:rsidR="001F551A">
        <w:rPr>
          <w:lang w:val="en"/>
        </w:rPr>
        <w:t xml:space="preserve"> or reduced</w:t>
      </w:r>
    </w:p>
    <w:p w14:paraId="13B0BF58" w14:textId="77777777" w:rsidR="005E5CD7" w:rsidRDefault="000C4DEC" w:rsidP="00565949">
      <w:pPr>
        <w:pStyle w:val="ListBullet"/>
      </w:pPr>
      <w:r>
        <w:t>k</w:t>
      </w:r>
      <w:r w:rsidR="005E5CD7">
        <w:t xml:space="preserve">ey information used to inform </w:t>
      </w:r>
      <w:r w:rsidR="00BC020C">
        <w:t>d</w:t>
      </w:r>
      <w:r w:rsidR="005E5CD7">
        <w:t xml:space="preserve">epartmental policy decisions </w:t>
      </w:r>
      <w:r w:rsidR="00105516">
        <w:t>c</w:t>
      </w:r>
      <w:r w:rsidR="005E5CD7">
        <w:t>ould be diluted</w:t>
      </w:r>
      <w:r w:rsidR="00105516">
        <w:t>.</w:t>
      </w:r>
    </w:p>
    <w:p w14:paraId="7EA95AF9" w14:textId="33255044" w:rsidR="00FE4CDF" w:rsidRDefault="005E5CD7" w:rsidP="005E5CD7">
      <w:r w:rsidRPr="00333255">
        <w:rPr>
          <w:lang w:val="en"/>
        </w:rPr>
        <w:t>As the Community Grants Hub primarily provides grant administration services to client agencies that deliver grant programs to individuals and the community sector</w:t>
      </w:r>
      <w:r>
        <w:t xml:space="preserve"> challenges are likely to present with respect to managing the </w:t>
      </w:r>
      <w:r w:rsidR="00EB3CD1">
        <w:t>different</w:t>
      </w:r>
      <w:r>
        <w:t xml:space="preserve"> nature of R&amp;D projects</w:t>
      </w:r>
      <w:r w:rsidR="00B25C0E">
        <w:t xml:space="preserve">. </w:t>
      </w:r>
    </w:p>
    <w:p w14:paraId="4213F1A7" w14:textId="0CD004CC" w:rsidR="005E5CD7" w:rsidRDefault="005E5CD7" w:rsidP="005E5CD7">
      <w:r>
        <w:t xml:space="preserve">It was also observed that there are more synergies between Rural R&amp;D for Profit </w:t>
      </w:r>
      <w:r w:rsidR="00105516">
        <w:t xml:space="preserve">and </w:t>
      </w:r>
      <w:r>
        <w:t xml:space="preserve">the Business Grants Hub, housed in the </w:t>
      </w:r>
      <w:r w:rsidRPr="00AA338F">
        <w:rPr>
          <w:lang w:val="en"/>
        </w:rPr>
        <w:t>Department of Industry, Innovation and Science</w:t>
      </w:r>
      <w:r>
        <w:t xml:space="preserve"> and where </w:t>
      </w:r>
      <w:r w:rsidR="00BC020C">
        <w:t>d</w:t>
      </w:r>
      <w:r>
        <w:t>epartment portfo</w:t>
      </w:r>
      <w:r w:rsidR="00FE4CDF">
        <w:t>lios are more closely aligned</w:t>
      </w:r>
      <w:r w:rsidR="00B25C0E">
        <w:t xml:space="preserve">. </w:t>
      </w:r>
      <w:r w:rsidR="00572CA1">
        <w:t xml:space="preserve">Transition to the Business Grants Hub should be tested by the </w:t>
      </w:r>
      <w:r w:rsidR="00BC020C">
        <w:t>d</w:t>
      </w:r>
      <w:r w:rsidR="00572CA1">
        <w:t>epartment as an option</w:t>
      </w:r>
      <w:r w:rsidR="00B25C0E">
        <w:t xml:space="preserve">. </w:t>
      </w:r>
    </w:p>
    <w:p w14:paraId="122A5C6D" w14:textId="77777777" w:rsidR="00D91235" w:rsidRDefault="00D91235">
      <w:pPr>
        <w:ind w:left="0"/>
      </w:pPr>
      <w:r>
        <w:br w:type="page"/>
      </w:r>
    </w:p>
    <w:p w14:paraId="7E288362" w14:textId="77777777" w:rsidR="005E5CD7" w:rsidRDefault="005E5CD7" w:rsidP="005E5CD7">
      <w:r>
        <w:t xml:space="preserve">In the context of: </w:t>
      </w:r>
    </w:p>
    <w:p w14:paraId="734532DF" w14:textId="77777777" w:rsidR="005E5CD7" w:rsidRDefault="005E5CD7" w:rsidP="00565949">
      <w:pPr>
        <w:pStyle w:val="ListBullet"/>
      </w:pPr>
      <w:r>
        <w:t xml:space="preserve">the relative immaturity of the </w:t>
      </w:r>
      <w:r w:rsidR="00CB517B">
        <w:t xml:space="preserve">Community Grants </w:t>
      </w:r>
      <w:r>
        <w:t xml:space="preserve">Hub, </w:t>
      </w:r>
    </w:p>
    <w:p w14:paraId="40BD80FC" w14:textId="77777777" w:rsidR="005E5CD7" w:rsidRDefault="005E5CD7" w:rsidP="00565949">
      <w:pPr>
        <w:pStyle w:val="ListBullet"/>
      </w:pPr>
      <w:r>
        <w:t>the fact that it typically deals with community oriented grants, as opposed to research and development stakeholders and projects</w:t>
      </w:r>
    </w:p>
    <w:p w14:paraId="410A13A5" w14:textId="77777777" w:rsidR="005E5CD7" w:rsidRDefault="005E5CD7" w:rsidP="00565949">
      <w:pPr>
        <w:pStyle w:val="ListBullet"/>
      </w:pPr>
      <w:r>
        <w:t>Round 4 applications open</w:t>
      </w:r>
      <w:r w:rsidR="004F2AB4">
        <w:t>ing</w:t>
      </w:r>
      <w:r>
        <w:t xml:space="preserve"> in March 2018</w:t>
      </w:r>
      <w:r w:rsidR="00105516">
        <w:t>.</w:t>
      </w:r>
    </w:p>
    <w:p w14:paraId="3AA08173" w14:textId="0A28506B" w:rsidR="005E5CD7" w:rsidRPr="00D91235" w:rsidRDefault="005E5CD7" w:rsidP="001D67E2">
      <w:r w:rsidRPr="00D91235">
        <w:t>It would be appropriate to adopt a cautious and staged approach to transitioning across the program’s remaining funding rounds</w:t>
      </w:r>
      <w:r w:rsidR="00B25C0E">
        <w:t xml:space="preserve">. </w:t>
      </w:r>
      <w:r w:rsidRPr="00D91235">
        <w:t xml:space="preserve">Key policy and stakeholder management components of the program should always be retained by the </w:t>
      </w:r>
      <w:r w:rsidR="00BC020C" w:rsidRPr="00D91235">
        <w:t>d</w:t>
      </w:r>
      <w:r w:rsidRPr="00D91235">
        <w:t>epartment</w:t>
      </w:r>
      <w:r w:rsidR="00B25C0E">
        <w:t xml:space="preserve">. </w:t>
      </w:r>
    </w:p>
    <w:p w14:paraId="3A92F0D2" w14:textId="77777777" w:rsidR="00790B83" w:rsidRPr="00D91235" w:rsidRDefault="006762C9" w:rsidP="00BB0B25">
      <w:pPr>
        <w:pStyle w:val="Heading4"/>
      </w:pPr>
      <w:r w:rsidRPr="00D91235">
        <w:t>Program legacy</w:t>
      </w:r>
      <w:r w:rsidR="00105516" w:rsidRPr="00D91235">
        <w:t xml:space="preserve">: </w:t>
      </w:r>
      <w:r w:rsidRPr="00D91235">
        <w:t>what next?</w:t>
      </w:r>
    </w:p>
    <w:p w14:paraId="322D6C2D" w14:textId="77777777" w:rsidR="00BD192A" w:rsidRPr="00D91235" w:rsidRDefault="00B60547" w:rsidP="00BB0B25">
      <w:pPr>
        <w:spacing w:before="200"/>
      </w:pPr>
      <w:r w:rsidRPr="00D91235">
        <w:t>A key question raised by both RDCs and partner organisations r</w:t>
      </w:r>
      <w:r w:rsidR="008C21C1" w:rsidRPr="00D91235">
        <w:t xml:space="preserve">elated to the legacy of the program: what happens </w:t>
      </w:r>
      <w:r w:rsidR="000D7848" w:rsidRPr="00D91235">
        <w:t xml:space="preserve">in four years </w:t>
      </w:r>
      <w:r w:rsidR="008C21C1" w:rsidRPr="00D91235">
        <w:t xml:space="preserve">when the program ends?  </w:t>
      </w:r>
    </w:p>
    <w:p w14:paraId="139BC38E" w14:textId="77777777" w:rsidR="008B4E6F" w:rsidRDefault="00413814" w:rsidP="00ED1410">
      <w:pPr>
        <w:spacing w:before="120"/>
      </w:pPr>
      <w:r w:rsidRPr="00D91235">
        <w:t>As summed</w:t>
      </w:r>
      <w:r>
        <w:t xml:space="preserve"> up by partner organisation</w:t>
      </w:r>
      <w:r w:rsidR="00B40D44">
        <w:t xml:space="preserve"> respondents</w:t>
      </w:r>
      <w:r>
        <w:t>:</w:t>
      </w:r>
    </w:p>
    <w:p w14:paraId="59A9E3D2" w14:textId="262ED83D" w:rsidR="0032132D" w:rsidRDefault="00CC239F" w:rsidP="0067112F">
      <w:pPr>
        <w:pStyle w:val="Quote"/>
      </w:pPr>
      <w:r w:rsidRPr="00E17775">
        <w:t xml:space="preserve">The main concern is the consequences of the program finishing in </w:t>
      </w:r>
      <w:r w:rsidR="004D411F" w:rsidRPr="00E17775">
        <w:t>four</w:t>
      </w:r>
      <w:r w:rsidRPr="00E17775">
        <w:t xml:space="preserve"> years</w:t>
      </w:r>
      <w:r w:rsidR="00175B8F" w:rsidRPr="00E17775">
        <w:t>’</w:t>
      </w:r>
      <w:r w:rsidRPr="00E17775">
        <w:t xml:space="preserve"> time and the </w:t>
      </w:r>
      <w:r w:rsidR="004D411F" w:rsidRPr="00E17775">
        <w:t>scale of the impacts i</w:t>
      </w:r>
      <w:r w:rsidR="001C0479">
        <w:t>t is,</w:t>
      </w:r>
      <w:r w:rsidRPr="00E17775">
        <w:t xml:space="preserve"> and wil</w:t>
      </w:r>
      <w:r w:rsidR="004D411F" w:rsidRPr="00E17775">
        <w:t>l</w:t>
      </w:r>
      <w:r w:rsidRPr="00E17775">
        <w:t xml:space="preserve"> provide</w:t>
      </w:r>
      <w:r w:rsidR="001C0479">
        <w:t xml:space="preserve"> </w:t>
      </w:r>
      <w:r w:rsidRPr="00E17775">
        <w:t>in R&amp;D delivery coming to an abrupt end</w:t>
      </w:r>
      <w:r w:rsidR="00061144">
        <w:t>,</w:t>
      </w:r>
      <w:r w:rsidRPr="00E17775">
        <w:t xml:space="preserve"> and t</w:t>
      </w:r>
      <w:r w:rsidR="004D411F" w:rsidRPr="00E17775">
        <w:t>h</w:t>
      </w:r>
      <w:r w:rsidRPr="00E17775">
        <w:t>e new capability and knowledge will not be sustainably managed</w:t>
      </w:r>
      <w:r w:rsidR="00B25C0E">
        <w:t xml:space="preserve">. </w:t>
      </w:r>
    </w:p>
    <w:p w14:paraId="6595C2D5" w14:textId="697743CA" w:rsidR="00B40D44" w:rsidRPr="00E17775" w:rsidRDefault="007E2539" w:rsidP="0067112F">
      <w:pPr>
        <w:pStyle w:val="Quote"/>
      </w:pPr>
      <w:r>
        <w:t>…</w:t>
      </w:r>
      <w:r w:rsidR="00B40D44" w:rsidRPr="00B40D44">
        <w:t>Adoption beyond the life of RRnD4P will need attention to ensure implementation of the R&amp;D deliverables</w:t>
      </w:r>
      <w:r w:rsidR="00B25C0E">
        <w:t xml:space="preserve">. </w:t>
      </w:r>
    </w:p>
    <w:p w14:paraId="3D605386" w14:textId="77777777" w:rsidR="00BB5A64" w:rsidRDefault="00BB5A64" w:rsidP="00D354FE">
      <w:r>
        <w:t xml:space="preserve">As the program moves into the latter half of its </w:t>
      </w:r>
      <w:r w:rsidR="00914F41">
        <w:t>life cycle</w:t>
      </w:r>
      <w:r>
        <w:t xml:space="preserve">, </w:t>
      </w:r>
      <w:r w:rsidR="008328E7">
        <w:t xml:space="preserve">the </w:t>
      </w:r>
      <w:r w:rsidR="00BC020C">
        <w:t>d</w:t>
      </w:r>
      <w:r w:rsidR="008328E7">
        <w:t xml:space="preserve">epartment will need to plan so that momentum built up is leveraged and </w:t>
      </w:r>
      <w:r>
        <w:t>outputs and achievements are not stymied or lost with the cessation of Rural R&amp;D for Profit.</w:t>
      </w:r>
    </w:p>
    <w:p w14:paraId="337115F8" w14:textId="47A42FE9" w:rsidR="00D354FE" w:rsidRDefault="00D354FE" w:rsidP="00D354FE">
      <w:r>
        <w:t>As identified in sectio</w:t>
      </w:r>
      <w:r w:rsidRPr="00AA5941">
        <w:t xml:space="preserve">n </w:t>
      </w:r>
      <w:r w:rsidR="00AA5941" w:rsidRPr="00AA5941">
        <w:t>3</w:t>
      </w:r>
      <w:r w:rsidRPr="00AA5941">
        <w:t>,</w:t>
      </w:r>
      <w:r>
        <w:t xml:space="preserve"> </w:t>
      </w:r>
      <w:r w:rsidR="00CD3050">
        <w:t>networks and organisations</w:t>
      </w:r>
      <w:r w:rsidRPr="00403C80">
        <w:t xml:space="preserve"> external to the program </w:t>
      </w:r>
      <w:r w:rsidR="00BB5A64">
        <w:t>were identified as</w:t>
      </w:r>
      <w:r w:rsidRPr="00403C80">
        <w:t xml:space="preserve"> fostering rural R&amp;D collaboration </w:t>
      </w:r>
      <w:r w:rsidR="00BB5A64">
        <w:t xml:space="preserve">and research </w:t>
      </w:r>
      <w:r w:rsidR="00CD3050">
        <w:t>(eg</w:t>
      </w:r>
      <w:r w:rsidRPr="00403C80">
        <w:t xml:space="preserve"> Council</w:t>
      </w:r>
      <w:r>
        <w:t xml:space="preserve"> of Rural RDCs and </w:t>
      </w:r>
      <w:r w:rsidRPr="00403C80">
        <w:t>CRC</w:t>
      </w:r>
      <w:r w:rsidR="00BB5A64">
        <w:t>s)</w:t>
      </w:r>
      <w:r w:rsidR="00B25C0E">
        <w:t xml:space="preserve">. </w:t>
      </w:r>
      <w:r w:rsidR="00BB5A64">
        <w:t>T</w:t>
      </w:r>
      <w:r>
        <w:t xml:space="preserve">hese </w:t>
      </w:r>
      <w:r w:rsidR="00BB5A64">
        <w:t xml:space="preserve">were identified </w:t>
      </w:r>
      <w:r w:rsidR="00A45600">
        <w:t xml:space="preserve">in RDC interviews </w:t>
      </w:r>
      <w:r w:rsidR="00BB5A64">
        <w:t xml:space="preserve">as potential </w:t>
      </w:r>
      <w:r w:rsidRPr="00403C80">
        <w:t xml:space="preserve">mechanisms </w:t>
      </w:r>
      <w:r>
        <w:t>for supporting</w:t>
      </w:r>
      <w:r w:rsidRPr="00403C80">
        <w:t xml:space="preserve"> future collaborations</w:t>
      </w:r>
      <w:r w:rsidR="00BB5A64">
        <w:t xml:space="preserve"> and research associated with the program</w:t>
      </w:r>
      <w:r w:rsidR="00B25C0E">
        <w:t xml:space="preserve">. </w:t>
      </w:r>
    </w:p>
    <w:p w14:paraId="1464A037" w14:textId="1C8EE64E" w:rsidR="00BA344E" w:rsidRDefault="00984DAF" w:rsidP="001C1FD8">
      <w:r>
        <w:t>Further, i</w:t>
      </w:r>
      <w:r w:rsidR="00BA344E">
        <w:t xml:space="preserve">n building on the success of the program, </w:t>
      </w:r>
      <w:r w:rsidR="00CE0BDF">
        <w:t xml:space="preserve">the </w:t>
      </w:r>
      <w:r w:rsidR="00BC020C">
        <w:t>d</w:t>
      </w:r>
      <w:r w:rsidR="00CE0BDF">
        <w:t xml:space="preserve">epartment </w:t>
      </w:r>
      <w:r w:rsidR="00E317D5">
        <w:t>should</w:t>
      </w:r>
      <w:r w:rsidR="00991F86">
        <w:t xml:space="preserve"> also consider </w:t>
      </w:r>
      <w:r w:rsidR="000E5CE4">
        <w:t xml:space="preserve">in moving forward, </w:t>
      </w:r>
      <w:r w:rsidR="00B40D44">
        <w:t xml:space="preserve">how </w:t>
      </w:r>
      <w:r w:rsidR="00C916AB">
        <w:t>sharing of research outcomes</w:t>
      </w:r>
      <w:r w:rsidR="00BA344E">
        <w:t xml:space="preserve"> </w:t>
      </w:r>
      <w:r w:rsidR="00B40D44">
        <w:t xml:space="preserve">might be done </w:t>
      </w:r>
      <w:r w:rsidR="00990137">
        <w:t xml:space="preserve">and </w:t>
      </w:r>
      <w:r w:rsidR="00FE0C62">
        <w:t>communicated</w:t>
      </w:r>
      <w:r w:rsidR="00B40D44">
        <w:t xml:space="preserve"> </w:t>
      </w:r>
      <w:r w:rsidR="000E5CE4">
        <w:t>more broadly</w:t>
      </w:r>
      <w:r w:rsidR="00B25C0E">
        <w:t xml:space="preserve">. </w:t>
      </w:r>
    </w:p>
    <w:p w14:paraId="73631EA4" w14:textId="77777777" w:rsidR="00422AA9" w:rsidRPr="00422AA9" w:rsidRDefault="00422AA9" w:rsidP="00422AA9">
      <w:pPr>
        <w:sectPr w:rsidR="00422AA9" w:rsidRPr="00422AA9">
          <w:footerReference w:type="default" r:id="rId32"/>
          <w:pgSz w:w="11906" w:h="16838"/>
          <w:pgMar w:top="1701" w:right="1701" w:bottom="1701" w:left="1701" w:header="709" w:footer="709" w:gutter="0"/>
          <w:cols w:space="720"/>
        </w:sectPr>
      </w:pPr>
    </w:p>
    <w:p w14:paraId="3C9B706A" w14:textId="50F36B53" w:rsidR="0089594A" w:rsidRDefault="006D4B7E" w:rsidP="00BB0B25">
      <w:pPr>
        <w:pStyle w:val="Heading2"/>
      </w:pPr>
      <w:bookmarkStart w:id="71" w:name="_Toc482970206"/>
      <w:bookmarkStart w:id="72" w:name="_Toc500934708"/>
      <w:r>
        <w:t xml:space="preserve">Conclusions and </w:t>
      </w:r>
      <w:r w:rsidR="0089594A">
        <w:t>recommendations</w:t>
      </w:r>
      <w:bookmarkEnd w:id="71"/>
      <w:bookmarkEnd w:id="72"/>
    </w:p>
    <w:p w14:paraId="32346FA5" w14:textId="44AF7AC8" w:rsidR="00CE18C8" w:rsidRDefault="00CE18C8" w:rsidP="00BB0B25">
      <w:pPr>
        <w:pStyle w:val="Heading3"/>
      </w:pPr>
      <w:bookmarkStart w:id="73" w:name="_Toc500934709"/>
      <w:r>
        <w:t>Achievement of outcomes</w:t>
      </w:r>
      <w:bookmarkEnd w:id="73"/>
    </w:p>
    <w:p w14:paraId="20ABDE51" w14:textId="77777777" w:rsidR="00ED3443" w:rsidRDefault="00ED3443" w:rsidP="00BB0B25">
      <w:pPr>
        <w:pStyle w:val="Heading4"/>
      </w:pPr>
      <w:r>
        <w:t>Collaboration</w:t>
      </w:r>
    </w:p>
    <w:p w14:paraId="7C7C86F0" w14:textId="77777777" w:rsidR="00824703" w:rsidRPr="00403C80" w:rsidRDefault="00824703" w:rsidP="00BB0B25">
      <w:pPr>
        <w:spacing w:before="200"/>
      </w:pPr>
      <w:r w:rsidRPr="00403C80">
        <w:t>Notwithstanding the absence of a</w:t>
      </w:r>
      <w:r w:rsidR="0013644A">
        <w:t xml:space="preserve"> documented</w:t>
      </w:r>
      <w:r w:rsidRPr="00403C80">
        <w:t xml:space="preserve"> baseline</w:t>
      </w:r>
      <w:r w:rsidR="00DA1196">
        <w:t>,</w:t>
      </w:r>
      <w:r w:rsidR="00DA1196" w:rsidRPr="00403C80">
        <w:t xml:space="preserve"> </w:t>
      </w:r>
      <w:r w:rsidRPr="00403C80">
        <w:t>the program has contributed to fostering new and innovative collaborations, evidenced by:</w:t>
      </w:r>
    </w:p>
    <w:p w14:paraId="5051AA42" w14:textId="77777777" w:rsidR="00824703" w:rsidRPr="00403C80" w:rsidRDefault="00824703" w:rsidP="00565949">
      <w:pPr>
        <w:pStyle w:val="ListBullet"/>
      </w:pPr>
      <w:r w:rsidRPr="00403C80">
        <w:t>successful leveraging of funding</w:t>
      </w:r>
      <w:r>
        <w:t xml:space="preserve"> across projects undertaken to date</w:t>
      </w:r>
    </w:p>
    <w:p w14:paraId="67FD9697" w14:textId="77777777" w:rsidR="00824703" w:rsidRPr="00403C80" w:rsidRDefault="00824703" w:rsidP="00565949">
      <w:pPr>
        <w:pStyle w:val="ListBullet"/>
      </w:pPr>
      <w:r>
        <w:t xml:space="preserve">a prevailing view across stakeholder groups that that it </w:t>
      </w:r>
      <w:r w:rsidRPr="00403C80">
        <w:t>has fostered pursuance of innovative collaborations between RDCs and universities, research organisations and private companies</w:t>
      </w:r>
    </w:p>
    <w:p w14:paraId="06871F49" w14:textId="77777777" w:rsidR="00824703" w:rsidRPr="00403C80" w:rsidRDefault="00824703" w:rsidP="00565949">
      <w:pPr>
        <w:pStyle w:val="ListBullet"/>
      </w:pPr>
      <w:r w:rsidRPr="00403C80">
        <w:t>the projects undertaken to date</w:t>
      </w:r>
      <w:r>
        <w:t>,</w:t>
      </w:r>
      <w:r w:rsidRPr="00403C80">
        <w:t xml:space="preserve"> which demonstrate </w:t>
      </w:r>
      <w:r>
        <w:t xml:space="preserve">a </w:t>
      </w:r>
      <w:r w:rsidRPr="00403C80">
        <w:t xml:space="preserve">breadth and variety of collaborations resulting from participation in the program. </w:t>
      </w:r>
    </w:p>
    <w:p w14:paraId="08C7F3BD" w14:textId="77777777" w:rsidR="00824703" w:rsidRDefault="00824703" w:rsidP="00824703">
      <w:r>
        <w:t xml:space="preserve">The nature of collaboration and extent of involvement in the program varies considerably among RDCs, and a minority of RDCs are represented very strongly. The </w:t>
      </w:r>
      <w:r w:rsidR="00BC020C">
        <w:t>d</w:t>
      </w:r>
      <w:r>
        <w:t>epartment may need to consider strategies to better understand why some RDCs have limited or no involvement</w:t>
      </w:r>
      <w:r w:rsidR="001C2121">
        <w:t>,</w:t>
      </w:r>
      <w:r>
        <w:t xml:space="preserve"> </w:t>
      </w:r>
      <w:r w:rsidR="00B83E17">
        <w:t>and how they might</w:t>
      </w:r>
      <w:r>
        <w:t xml:space="preserve"> participate more fully. </w:t>
      </w:r>
    </w:p>
    <w:p w14:paraId="79DE4052" w14:textId="77777777" w:rsidR="00824703" w:rsidRPr="00403C80" w:rsidRDefault="00191415" w:rsidP="00824703">
      <w:r>
        <w:t>The e</w:t>
      </w:r>
      <w:r w:rsidR="00824703" w:rsidRPr="00403C80">
        <w:t>xtent of new</w:t>
      </w:r>
      <w:r w:rsidR="00824703">
        <w:t xml:space="preserve"> collaborations, particularly inter-RDC</w:t>
      </w:r>
      <w:r w:rsidR="004E7503">
        <w:t xml:space="preserve">, </w:t>
      </w:r>
      <w:r w:rsidR="00824703">
        <w:t xml:space="preserve">and therefore </w:t>
      </w:r>
      <w:r w:rsidR="000C2A49">
        <w:t xml:space="preserve">new </w:t>
      </w:r>
      <w:r w:rsidR="00824703">
        <w:t xml:space="preserve">cross sectoral collaborations, </w:t>
      </w:r>
      <w:r w:rsidR="00824703" w:rsidRPr="00403C80">
        <w:t xml:space="preserve">appears to </w:t>
      </w:r>
      <w:r>
        <w:t xml:space="preserve">be </w:t>
      </w:r>
      <w:r w:rsidR="00824703" w:rsidRPr="00403C80">
        <w:t xml:space="preserve">dwindling over successive rounds and there is evidence of repeated </w:t>
      </w:r>
      <w:r w:rsidR="00955C20">
        <w:t xml:space="preserve">inter-RDC </w:t>
      </w:r>
      <w:r w:rsidR="00824703" w:rsidRPr="00403C80">
        <w:t xml:space="preserve">collaborations across projects. </w:t>
      </w:r>
    </w:p>
    <w:p w14:paraId="5E567F80" w14:textId="77777777" w:rsidR="00BD085F" w:rsidRPr="0067112F" w:rsidRDefault="0043139C" w:rsidP="0067112F">
      <w:pPr>
        <w:rPr>
          <w:rStyle w:val="Strong"/>
        </w:rPr>
      </w:pPr>
      <w:r w:rsidRPr="0067112F">
        <w:rPr>
          <w:rStyle w:val="Strong"/>
        </w:rPr>
        <w:t>Recommendation 1</w:t>
      </w:r>
    </w:p>
    <w:p w14:paraId="37663920" w14:textId="77777777" w:rsidR="00BD085F" w:rsidRDefault="00BD085F" w:rsidP="00857158">
      <w:pPr>
        <w:spacing w:before="120"/>
      </w:pPr>
      <w:r w:rsidRPr="00DA6F97">
        <w:t xml:space="preserve">Revise the program’s </w:t>
      </w:r>
      <w:r w:rsidR="00847261">
        <w:t>current</w:t>
      </w:r>
      <w:r w:rsidRPr="00DA6F97">
        <w:t xml:space="preserve"> emphasis on establishing ‘new’ collaborations such that there is broader application towards supporting collaboration more generally. This would include fostering of new collaborations as well as sustaining collaborations already developed. </w:t>
      </w:r>
    </w:p>
    <w:p w14:paraId="67AA627B" w14:textId="77777777" w:rsidR="007A6F68" w:rsidRPr="0067112F" w:rsidRDefault="0043139C" w:rsidP="0067112F">
      <w:pPr>
        <w:rPr>
          <w:rStyle w:val="Strong"/>
        </w:rPr>
      </w:pPr>
      <w:r w:rsidRPr="0067112F">
        <w:rPr>
          <w:rStyle w:val="Strong"/>
        </w:rPr>
        <w:t>Recommendation 2</w:t>
      </w:r>
    </w:p>
    <w:p w14:paraId="0E90EB11" w14:textId="77777777" w:rsidR="007A6F68" w:rsidRPr="00DA6F97" w:rsidRDefault="007A6F68" w:rsidP="00857158">
      <w:pPr>
        <w:spacing w:before="120"/>
      </w:pPr>
      <w:r w:rsidRPr="00403C80">
        <w:t xml:space="preserve">The </w:t>
      </w:r>
      <w:r w:rsidR="00BC020C">
        <w:t>d</w:t>
      </w:r>
      <w:r w:rsidRPr="00403C80">
        <w:t xml:space="preserve">epartment </w:t>
      </w:r>
      <w:r w:rsidRPr="002B4411">
        <w:t>may</w:t>
      </w:r>
      <w:r w:rsidRPr="00403C80">
        <w:t xml:space="preserve"> need to consider strategies to </w:t>
      </w:r>
      <w:r w:rsidR="00355C9A">
        <w:t>better understand why some</w:t>
      </w:r>
      <w:r w:rsidRPr="00403C80">
        <w:t xml:space="preserve"> RDCs </w:t>
      </w:r>
      <w:r w:rsidR="00A56A49">
        <w:t>have</w:t>
      </w:r>
      <w:r w:rsidRPr="00403C80">
        <w:t xml:space="preserve"> only limited</w:t>
      </w:r>
      <w:r w:rsidR="00857158">
        <w:t xml:space="preserve"> involv</w:t>
      </w:r>
      <w:r w:rsidR="00E03AC4">
        <w:t>e</w:t>
      </w:r>
      <w:r w:rsidR="00857158">
        <w:t>ment</w:t>
      </w:r>
      <w:r w:rsidR="00E03AC4">
        <w:t>,</w:t>
      </w:r>
      <w:r w:rsidR="00A56A49">
        <w:t xml:space="preserve"> and how they might</w:t>
      </w:r>
      <w:r w:rsidRPr="00403C80">
        <w:t xml:space="preserve"> participate more fully. </w:t>
      </w:r>
    </w:p>
    <w:p w14:paraId="6896B19B" w14:textId="77777777" w:rsidR="005105A5" w:rsidRPr="00BB0B25" w:rsidRDefault="005105A5" w:rsidP="00BB0B25">
      <w:pPr>
        <w:spacing w:before="200"/>
      </w:pPr>
      <w:r>
        <w:br w:type="page"/>
      </w:r>
    </w:p>
    <w:p w14:paraId="78287D9E" w14:textId="77777777" w:rsidR="00824703" w:rsidRDefault="0003463C" w:rsidP="00BB0B25">
      <w:pPr>
        <w:pStyle w:val="Heading4"/>
      </w:pPr>
      <w:r>
        <w:t>Generation of knowledge, technologies, products or processes</w:t>
      </w:r>
    </w:p>
    <w:p w14:paraId="44680F55" w14:textId="18F6C783" w:rsidR="009D2B9F" w:rsidRPr="00403C80" w:rsidRDefault="009D2B9F" w:rsidP="00BB0B25">
      <w:pPr>
        <w:spacing w:before="200"/>
      </w:pPr>
      <w:r w:rsidRPr="00403C80">
        <w:t xml:space="preserve">Early indicators are positive that the program is on track to achieve </w:t>
      </w:r>
      <w:r w:rsidR="00EE0FFB">
        <w:t>outcomes</w:t>
      </w:r>
      <w:r w:rsidRPr="00403C80">
        <w:t xml:space="preserve"> relating to generation of knowledge, techn</w:t>
      </w:r>
      <w:r>
        <w:t>ologies, products or processes</w:t>
      </w:r>
      <w:r w:rsidR="00C44F88">
        <w:t xml:space="preserve"> that benefit primary producers</w:t>
      </w:r>
      <w:r w:rsidR="00B25C0E">
        <w:t xml:space="preserve">. </w:t>
      </w:r>
      <w:r w:rsidR="004B1443">
        <w:t>This is e</w:t>
      </w:r>
      <w:r w:rsidRPr="00403C80">
        <w:t>videnced by:</w:t>
      </w:r>
    </w:p>
    <w:p w14:paraId="6721104F" w14:textId="77777777" w:rsidR="009D2B9F" w:rsidRPr="00403C80" w:rsidRDefault="009D2B9F" w:rsidP="00565949">
      <w:pPr>
        <w:pStyle w:val="ListBullet"/>
      </w:pPr>
      <w:r w:rsidRPr="00403C80">
        <w:t>the 36 projects resulting from the program (including one completed project)</w:t>
      </w:r>
      <w:r w:rsidR="00C44F88">
        <w:t xml:space="preserve"> that aim to benefit primary producers</w:t>
      </w:r>
      <w:r w:rsidR="00FF290F">
        <w:t xml:space="preserve"> and</w:t>
      </w:r>
    </w:p>
    <w:p w14:paraId="7A7B9E22" w14:textId="77777777" w:rsidR="009D2B9F" w:rsidRPr="00403C80" w:rsidRDefault="009D2B9F" w:rsidP="00565949">
      <w:pPr>
        <w:pStyle w:val="ListBullet"/>
      </w:pPr>
      <w:r w:rsidRPr="00403C80">
        <w:t>relative distribution of projects across priority areas</w:t>
      </w:r>
      <w:r w:rsidR="00FF290F">
        <w:t>.</w:t>
      </w:r>
    </w:p>
    <w:p w14:paraId="736E6CB8" w14:textId="09486930" w:rsidR="009D2B9F" w:rsidRDefault="009D2B9F" w:rsidP="009D2B9F">
      <w:r w:rsidRPr="00403C80">
        <w:t>However, due to the inher</w:t>
      </w:r>
      <w:r w:rsidR="00757FE4">
        <w:t>ent complex nature of research</w:t>
      </w:r>
      <w:r w:rsidR="00DA1196">
        <w:t xml:space="preserve">, </w:t>
      </w:r>
      <w:r w:rsidR="00757FE4">
        <w:t xml:space="preserve">realisation of project </w:t>
      </w:r>
      <w:r w:rsidRPr="00403C80">
        <w:t xml:space="preserve">outcomes may not </w:t>
      </w:r>
      <w:r w:rsidR="00631700">
        <w:t>eventuate</w:t>
      </w:r>
      <w:r w:rsidR="00857158">
        <w:t>,</w:t>
      </w:r>
      <w:r w:rsidR="00631700">
        <w:t xml:space="preserve"> or </w:t>
      </w:r>
      <w:r w:rsidRPr="00403C80">
        <w:t>be evident for some time</w:t>
      </w:r>
      <w:r w:rsidR="00B25C0E">
        <w:t xml:space="preserve">. </w:t>
      </w:r>
    </w:p>
    <w:p w14:paraId="6E4DBE1C" w14:textId="77777777" w:rsidR="00A5599A" w:rsidRPr="0067112F" w:rsidRDefault="00B8700E" w:rsidP="0067112F">
      <w:pPr>
        <w:rPr>
          <w:rStyle w:val="Strong"/>
        </w:rPr>
      </w:pPr>
      <w:r w:rsidRPr="0067112F">
        <w:rPr>
          <w:rStyle w:val="Strong"/>
        </w:rPr>
        <w:t>Recommendation 3</w:t>
      </w:r>
    </w:p>
    <w:p w14:paraId="37832E56" w14:textId="7BD2057A" w:rsidR="00A5599A" w:rsidRDefault="001D1AE5" w:rsidP="004A20C1">
      <w:pPr>
        <w:spacing w:before="120"/>
      </w:pPr>
      <w:r>
        <w:t>The department should c</w:t>
      </w:r>
      <w:r w:rsidR="00A5599A" w:rsidRPr="00403C80">
        <w:t>ontinue to monitor distribution of projects across program priorities in future rounds to assess adequacy of representation and if action is requir</w:t>
      </w:r>
      <w:r w:rsidR="00A5599A">
        <w:t>ed to address any imbalance</w:t>
      </w:r>
      <w:r w:rsidR="00B25C0E">
        <w:t xml:space="preserve">. </w:t>
      </w:r>
    </w:p>
    <w:p w14:paraId="3E955DF4" w14:textId="77777777" w:rsidR="0003463C" w:rsidRDefault="0003463C" w:rsidP="00BB0B25">
      <w:pPr>
        <w:pStyle w:val="Heading4"/>
      </w:pPr>
      <w:r>
        <w:t>Extension pathways and barriers to adoption</w:t>
      </w:r>
    </w:p>
    <w:p w14:paraId="034222C6" w14:textId="4A5104E5" w:rsidR="00200D36" w:rsidRPr="00403C80" w:rsidRDefault="00200D36" w:rsidP="00BB0B25">
      <w:pPr>
        <w:spacing w:before="200"/>
      </w:pPr>
      <w:r w:rsidRPr="00403C80">
        <w:t xml:space="preserve">Early indicators suggest that the program is on track to achieve outcomes relating to strengthening of extension pathways and understanding barriers to adoption. </w:t>
      </w:r>
      <w:r w:rsidR="004B1443">
        <w:t>This is e</w:t>
      </w:r>
      <w:r w:rsidRPr="00403C80">
        <w:t>videnced by:</w:t>
      </w:r>
    </w:p>
    <w:p w14:paraId="1B3CC433" w14:textId="77777777" w:rsidR="00200D36" w:rsidRPr="00403C80" w:rsidRDefault="00A24DB5" w:rsidP="00565949">
      <w:pPr>
        <w:pStyle w:val="ListBullet"/>
      </w:pPr>
      <w:r>
        <w:t>the requirement for e</w:t>
      </w:r>
      <w:r w:rsidR="00200D36" w:rsidRPr="00403C80">
        <w:t xml:space="preserve">ach project to </w:t>
      </w:r>
      <w:r>
        <w:t xml:space="preserve">develop a plan to </w:t>
      </w:r>
      <w:r w:rsidR="00200D36" w:rsidRPr="00403C80">
        <w:t>undertake extension and communication activities</w:t>
      </w:r>
      <w:r>
        <w:t xml:space="preserve"> </w:t>
      </w:r>
    </w:p>
    <w:p w14:paraId="053F89D6" w14:textId="77777777" w:rsidR="00200D36" w:rsidRPr="00403C80" w:rsidRDefault="00A24DB5" w:rsidP="00565949">
      <w:pPr>
        <w:pStyle w:val="ListBullet"/>
      </w:pPr>
      <w:r>
        <w:t xml:space="preserve">20 projects </w:t>
      </w:r>
      <w:r w:rsidR="00695F19">
        <w:t xml:space="preserve">that </w:t>
      </w:r>
      <w:r>
        <w:t>address</w:t>
      </w:r>
      <w:r w:rsidR="00200D36" w:rsidRPr="00403C80">
        <w:t xml:space="preserve"> the priority of adoption </w:t>
      </w:r>
      <w:r w:rsidR="009F13AB">
        <w:t>and</w:t>
      </w:r>
    </w:p>
    <w:p w14:paraId="71978EC9" w14:textId="77777777" w:rsidR="00200D36" w:rsidRPr="00660F61" w:rsidRDefault="00A24DB5" w:rsidP="00565949">
      <w:pPr>
        <w:pStyle w:val="ListBullet"/>
      </w:pPr>
      <w:r>
        <w:t>p</w:t>
      </w:r>
      <w:r w:rsidR="00200D36" w:rsidRPr="00660F61">
        <w:t>ositive views expressed by RDCs and partner organisations that their projects were on track to meet extension and adoption objectives</w:t>
      </w:r>
      <w:r w:rsidR="00DA1196">
        <w:t>,</w:t>
      </w:r>
      <w:r w:rsidR="00DA1196" w:rsidRPr="00660F61">
        <w:t xml:space="preserve"> </w:t>
      </w:r>
      <w:r w:rsidR="00200D36" w:rsidRPr="00660F61">
        <w:t xml:space="preserve">with the caveat that results against this outcome are likely to be evident in the longer term. </w:t>
      </w:r>
    </w:p>
    <w:p w14:paraId="5E4DB020" w14:textId="77777777" w:rsidR="009F13AB" w:rsidRDefault="002C6973" w:rsidP="00BB0B25">
      <w:pPr>
        <w:pStyle w:val="Heading4"/>
      </w:pPr>
      <w:r>
        <w:t>Lessons learned</w:t>
      </w:r>
    </w:p>
    <w:p w14:paraId="656AA63F" w14:textId="1BB390C5" w:rsidR="0081157D" w:rsidRPr="00403C80" w:rsidRDefault="0081157D" w:rsidP="00BB0B25">
      <w:pPr>
        <w:spacing w:before="200"/>
      </w:pPr>
      <w:r w:rsidRPr="00403C80">
        <w:t xml:space="preserve">Lessons learned about successful collaboration </w:t>
      </w:r>
      <w:r>
        <w:t>are</w:t>
      </w:r>
      <w:r w:rsidRPr="00403C80">
        <w:t xml:space="preserve"> being collected via project reporting</w:t>
      </w:r>
      <w:r w:rsidR="00B25C0E">
        <w:t xml:space="preserve">. </w:t>
      </w:r>
      <w:r>
        <w:t>For example, the evaluation found that f</w:t>
      </w:r>
      <w:r w:rsidRPr="00403C80">
        <w:t xml:space="preserve">actors for successful collaboration include trust, shared vision and benefits. Barriers identified primarily referred to the costs associated with collaboration. </w:t>
      </w:r>
    </w:p>
    <w:p w14:paraId="4778AAEF" w14:textId="01A83FD5" w:rsidR="00200D36" w:rsidRPr="00403C80" w:rsidRDefault="00AB306F" w:rsidP="00200D36">
      <w:r>
        <w:t>Via project reporting, t</w:t>
      </w:r>
      <w:r w:rsidR="00200D36" w:rsidRPr="00AB306F">
        <w:t xml:space="preserve">he </w:t>
      </w:r>
      <w:r w:rsidR="00BC020C" w:rsidRPr="00AB306F">
        <w:t>d</w:t>
      </w:r>
      <w:r w:rsidR="00200D36" w:rsidRPr="00AB306F">
        <w:t xml:space="preserve">epartment is </w:t>
      </w:r>
      <w:r>
        <w:t xml:space="preserve">also </w:t>
      </w:r>
      <w:r w:rsidR="00200D36" w:rsidRPr="00AB306F">
        <w:t>collecting information regarding factors for success</w:t>
      </w:r>
      <w:r w:rsidR="004E31E7" w:rsidRPr="00AB306F">
        <w:t>,</w:t>
      </w:r>
      <w:r w:rsidR="00200D36" w:rsidRPr="00AB306F">
        <w:t xml:space="preserve"> or barriers to</w:t>
      </w:r>
      <w:r w:rsidR="004E31E7" w:rsidRPr="00AB306F">
        <w:t>,</w:t>
      </w:r>
      <w:r w:rsidR="00200D36" w:rsidRPr="00AB306F">
        <w:t xml:space="preserve"> extension and adoption from project participant</w:t>
      </w:r>
      <w:r w:rsidR="00DA1196" w:rsidRPr="00AB306F">
        <w:t xml:space="preserve"> </w:t>
      </w:r>
      <w:r>
        <w:t>(</w:t>
      </w:r>
      <w:r w:rsidR="00200D36" w:rsidRPr="00AB306F">
        <w:t>either in relation to specific extension projects or more generally</w:t>
      </w:r>
      <w:r>
        <w:t>)</w:t>
      </w:r>
      <w:r w:rsidR="00200D36" w:rsidRPr="00AB306F">
        <w:t>. As more projects mature and finish</w:t>
      </w:r>
      <w:r w:rsidR="00191415" w:rsidRPr="00AB306F">
        <w:t xml:space="preserve">, </w:t>
      </w:r>
      <w:r w:rsidR="00200D36" w:rsidRPr="00AB306F">
        <w:t xml:space="preserve">the </w:t>
      </w:r>
      <w:r w:rsidR="00BC020C" w:rsidRPr="00AB306F">
        <w:t>d</w:t>
      </w:r>
      <w:r w:rsidR="00200D36" w:rsidRPr="00AB306F">
        <w:t>epartment will have a rich source of data for analysis</w:t>
      </w:r>
      <w:r>
        <w:t xml:space="preserve"> which could be used to inform future policy</w:t>
      </w:r>
      <w:r w:rsidR="00200D36" w:rsidRPr="00AB306F">
        <w:t xml:space="preserve"> and </w:t>
      </w:r>
      <w:r w:rsidR="00352E7C">
        <w:t xml:space="preserve">be </w:t>
      </w:r>
      <w:r w:rsidR="00200D36" w:rsidRPr="00AB306F">
        <w:t>shar</w:t>
      </w:r>
      <w:r>
        <w:t>ed</w:t>
      </w:r>
      <w:r w:rsidR="00200D36" w:rsidRPr="00AB306F">
        <w:t xml:space="preserve"> more broadly</w:t>
      </w:r>
      <w:r>
        <w:t xml:space="preserve"> with stakeholders</w:t>
      </w:r>
      <w:r w:rsidR="00B25C0E">
        <w:t xml:space="preserve">. </w:t>
      </w:r>
    </w:p>
    <w:p w14:paraId="7B4269D0" w14:textId="77777777" w:rsidR="0087401B" w:rsidRDefault="0087401B">
      <w:pPr>
        <w:ind w:left="0"/>
      </w:pPr>
      <w:r>
        <w:br w:type="page"/>
      </w:r>
    </w:p>
    <w:p w14:paraId="3DE24C58" w14:textId="12276C7A" w:rsidR="00200D36" w:rsidRDefault="00200D36" w:rsidP="00200D36">
      <w:r w:rsidRPr="00403C80">
        <w:t xml:space="preserve">Other areas of the </w:t>
      </w:r>
      <w:r w:rsidR="00BC020C">
        <w:t>d</w:t>
      </w:r>
      <w:r w:rsidRPr="00403C80">
        <w:t>epartment, specifically dealing with extension activities in the rural R&amp;D context</w:t>
      </w:r>
      <w:r w:rsidR="00191415">
        <w:t>,</w:t>
      </w:r>
      <w:r w:rsidRPr="00403C80">
        <w:t xml:space="preserve"> </w:t>
      </w:r>
      <w:r w:rsidR="003E4302">
        <w:t xml:space="preserve">identified </w:t>
      </w:r>
      <w:r w:rsidRPr="00403C80">
        <w:t>a need for greater engagement</w:t>
      </w:r>
      <w:r w:rsidR="00077672">
        <w:t xml:space="preserve"> with the program</w:t>
      </w:r>
      <w:r w:rsidR="00B25C0E">
        <w:t xml:space="preserve">. </w:t>
      </w:r>
      <w:r w:rsidR="00077672">
        <w:t>This was with a view</w:t>
      </w:r>
      <w:r w:rsidRPr="00403C80">
        <w:t xml:space="preserve"> to further</w:t>
      </w:r>
      <w:r w:rsidR="00077672">
        <w:t>ing</w:t>
      </w:r>
      <w:r w:rsidRPr="00403C80">
        <w:t xml:space="preserve"> their understanding </w:t>
      </w:r>
      <w:r w:rsidR="00077672">
        <w:t>of the program and individual projects</w:t>
      </w:r>
      <w:r w:rsidR="00191415">
        <w:t>,</w:t>
      </w:r>
      <w:r w:rsidR="00191415" w:rsidRPr="00403C80">
        <w:t xml:space="preserve"> </w:t>
      </w:r>
      <w:r w:rsidR="00077672">
        <w:t>to</w:t>
      </w:r>
      <w:r w:rsidRPr="00403C80">
        <w:t xml:space="preserve"> assist them promulgate program information and learnings in their broader networks</w:t>
      </w:r>
      <w:r w:rsidR="00B25C0E">
        <w:t xml:space="preserve">. </w:t>
      </w:r>
    </w:p>
    <w:p w14:paraId="2D97A882" w14:textId="77777777" w:rsidR="00BD085F" w:rsidRPr="0067112F" w:rsidRDefault="00B8700E" w:rsidP="0067112F">
      <w:pPr>
        <w:rPr>
          <w:rStyle w:val="Strong"/>
        </w:rPr>
      </w:pPr>
      <w:r w:rsidRPr="0067112F">
        <w:rPr>
          <w:rStyle w:val="Strong"/>
        </w:rPr>
        <w:t>Recommendation 4</w:t>
      </w:r>
    </w:p>
    <w:p w14:paraId="2E284337" w14:textId="7ED88948" w:rsidR="00BD085F" w:rsidRDefault="00BD085F" w:rsidP="006541AD">
      <w:pPr>
        <w:spacing w:before="120"/>
      </w:pPr>
      <w:r w:rsidRPr="00403C80">
        <w:t>Undertake meta-analysis of project final reporting and evaluations to build up a knowledge base of success factors</w:t>
      </w:r>
      <w:r w:rsidR="00191415">
        <w:t xml:space="preserve"> for</w:t>
      </w:r>
      <w:r>
        <w:t>,</w:t>
      </w:r>
      <w:r w:rsidRPr="00403C80">
        <w:t xml:space="preserve"> and better understanding of barriers to</w:t>
      </w:r>
      <w:r>
        <w:t>,</w:t>
      </w:r>
      <w:r w:rsidRPr="00403C80">
        <w:t xml:space="preserve"> collaboration, extension and adoption</w:t>
      </w:r>
      <w:r w:rsidR="00B25C0E">
        <w:t xml:space="preserve">. </w:t>
      </w:r>
      <w:r w:rsidRPr="00403C80">
        <w:t xml:space="preserve">Share learnings with </w:t>
      </w:r>
      <w:r w:rsidR="00DC2DDB">
        <w:t xml:space="preserve">other areas of the department, </w:t>
      </w:r>
      <w:r w:rsidRPr="00403C80">
        <w:t xml:space="preserve">program participants and the broader </w:t>
      </w:r>
      <w:r w:rsidR="00A14658">
        <w:t>r</w:t>
      </w:r>
      <w:r w:rsidRPr="00403C80">
        <w:t xml:space="preserve">ural R&amp;D community. </w:t>
      </w:r>
    </w:p>
    <w:p w14:paraId="59A77377" w14:textId="77777777" w:rsidR="004C36E1" w:rsidRDefault="00A22193" w:rsidP="00BB0B25">
      <w:pPr>
        <w:pStyle w:val="Heading4"/>
      </w:pPr>
      <w:r>
        <w:t xml:space="preserve">Appropriateness of program approach and </w:t>
      </w:r>
      <w:r w:rsidR="00352E7C">
        <w:t>o</w:t>
      </w:r>
      <w:r w:rsidR="004C36E1">
        <w:t>perating model</w:t>
      </w:r>
    </w:p>
    <w:p w14:paraId="080577F2" w14:textId="77777777" w:rsidR="00A22193" w:rsidRDefault="00A22193" w:rsidP="00BB0B25">
      <w:pPr>
        <w:spacing w:before="200"/>
      </w:pPr>
      <w:r w:rsidRPr="00403C80">
        <w:t xml:space="preserve">The majority of RDCs were supportive of the competitive grants operating model, however a minority did think </w:t>
      </w:r>
      <w:r w:rsidR="00EA5364">
        <w:t xml:space="preserve">the grants program </w:t>
      </w:r>
      <w:r w:rsidRPr="00403C80">
        <w:t>would be better placed with other existing structures such as the Council</w:t>
      </w:r>
      <w:r w:rsidR="00394381">
        <w:t xml:space="preserve"> of Rural RDCs</w:t>
      </w:r>
      <w:r w:rsidRPr="00403C80">
        <w:t xml:space="preserve">. </w:t>
      </w:r>
    </w:p>
    <w:p w14:paraId="54D73EFA" w14:textId="77777777" w:rsidR="00EE3FAC" w:rsidRDefault="00EE3FAC" w:rsidP="00EE3FAC">
      <w:r w:rsidRPr="00403C80">
        <w:t xml:space="preserve">The program helps the </w:t>
      </w:r>
      <w:r w:rsidR="00BC020C">
        <w:t>d</w:t>
      </w:r>
      <w:r w:rsidRPr="00403C80">
        <w:t>epartment better understand the rural R&amp;D agenda and strengthens linkages with the RDCs. In the broader context of the Government’s streamlining grants agenda</w:t>
      </w:r>
      <w:r w:rsidR="00191415">
        <w:t>,</w:t>
      </w:r>
      <w:r w:rsidR="00191415" w:rsidRPr="00403C80">
        <w:t xml:space="preserve"> </w:t>
      </w:r>
      <w:r w:rsidRPr="00403C80">
        <w:t xml:space="preserve">key policy and management responsibilities should be retained by the </w:t>
      </w:r>
      <w:r w:rsidR="00BC020C">
        <w:t>d</w:t>
      </w:r>
      <w:r w:rsidRPr="00403C80">
        <w:t>epartment and a staged approach be adopted in transitioning to the Community Grants Hub.</w:t>
      </w:r>
    </w:p>
    <w:p w14:paraId="6097E246" w14:textId="77777777" w:rsidR="004C07A5" w:rsidRPr="0067112F" w:rsidRDefault="004C07A5" w:rsidP="0067112F">
      <w:pPr>
        <w:rPr>
          <w:rStyle w:val="Strong"/>
        </w:rPr>
      </w:pPr>
      <w:r w:rsidRPr="0067112F">
        <w:rPr>
          <w:rStyle w:val="Strong"/>
        </w:rPr>
        <w:t xml:space="preserve">Recommendation </w:t>
      </w:r>
      <w:r w:rsidR="008E10CC" w:rsidRPr="0067112F">
        <w:rPr>
          <w:rStyle w:val="Strong"/>
        </w:rPr>
        <w:t>5</w:t>
      </w:r>
    </w:p>
    <w:p w14:paraId="3DD06F05" w14:textId="71F1A073" w:rsidR="004C07A5" w:rsidRPr="00403C80" w:rsidRDefault="004C07A5" w:rsidP="008E10CC">
      <w:pPr>
        <w:spacing w:before="120"/>
      </w:pPr>
      <w:r>
        <w:t xml:space="preserve">As part of the Streamlining Government Grants Administration program, a </w:t>
      </w:r>
      <w:r w:rsidRPr="00403C80">
        <w:t xml:space="preserve">staged approach to transitioning </w:t>
      </w:r>
      <w:r>
        <w:t xml:space="preserve">to the Community Grants Hub </w:t>
      </w:r>
      <w:r w:rsidRPr="00403C80">
        <w:t xml:space="preserve">should be adopted with key policy and management responsibilities to be retained by the </w:t>
      </w:r>
      <w:r>
        <w:t>d</w:t>
      </w:r>
      <w:r w:rsidRPr="00403C80">
        <w:t xml:space="preserve">epartment. </w:t>
      </w:r>
    </w:p>
    <w:p w14:paraId="003FF99F" w14:textId="7DA35099" w:rsidR="009A794B" w:rsidRDefault="009A794B" w:rsidP="009F013C">
      <w:pPr>
        <w:pStyle w:val="Heading3"/>
      </w:pPr>
      <w:bookmarkStart w:id="74" w:name="_Toc500934710"/>
      <w:r>
        <w:t>Efficiency and effectiveness of program management by the department</w:t>
      </w:r>
      <w:bookmarkEnd w:id="74"/>
    </w:p>
    <w:p w14:paraId="31580455" w14:textId="2672033E" w:rsidR="00CC18FB" w:rsidRDefault="00344131" w:rsidP="00BB0B25">
      <w:pPr>
        <w:spacing w:before="200"/>
      </w:pPr>
      <w:r>
        <w:t xml:space="preserve">Administration and management of projects by the department </w:t>
      </w:r>
      <w:r w:rsidRPr="00BC2907">
        <w:t xml:space="preserve">showed alignment with the </w:t>
      </w:r>
      <w:r w:rsidRPr="00447C5B">
        <w:rPr>
          <w:i/>
        </w:rPr>
        <w:t>Commonwealth Grants Rules and Guidelines</w:t>
      </w:r>
      <w:r>
        <w:t xml:space="preserve"> in that analysis of reporting showed projects were being managed against the established funding agreements</w:t>
      </w:r>
      <w:r w:rsidR="00B25C0E">
        <w:t xml:space="preserve">. </w:t>
      </w:r>
    </w:p>
    <w:p w14:paraId="18AAF3DE" w14:textId="5053BD55" w:rsidR="00D14737" w:rsidRDefault="00CC18FB" w:rsidP="00344131">
      <w:r>
        <w:t>F</w:t>
      </w:r>
      <w:r w:rsidR="00344131">
        <w:t>eedback from the majority of RDCs and partner organisations was positive in relation to administration and management of projects by the department</w:t>
      </w:r>
      <w:r w:rsidR="00B25C0E">
        <w:t xml:space="preserve">. </w:t>
      </w:r>
    </w:p>
    <w:p w14:paraId="715A5C58" w14:textId="288735EE" w:rsidR="00344131" w:rsidRDefault="00CA59D9" w:rsidP="00344131">
      <w:r>
        <w:t>Notwithstanding there were opportunities for improvement identified</w:t>
      </w:r>
      <w:r w:rsidR="009F1C6B">
        <w:t>,</w:t>
      </w:r>
      <w:r>
        <w:t xml:space="preserve"> </w:t>
      </w:r>
      <w:r w:rsidR="00634A27">
        <w:t xml:space="preserve">particularly in relation to application and selection processes and </w:t>
      </w:r>
      <w:r w:rsidR="00F33C93">
        <w:t xml:space="preserve">program and project monitoring and </w:t>
      </w:r>
      <w:r w:rsidR="00634A27">
        <w:t>reporting</w:t>
      </w:r>
      <w:r w:rsidR="00B25C0E">
        <w:t xml:space="preserve">. </w:t>
      </w:r>
    </w:p>
    <w:p w14:paraId="32958DDC" w14:textId="77777777" w:rsidR="00FD7155" w:rsidRDefault="00FD7155">
      <w:pPr>
        <w:ind w:left="0"/>
        <w:rPr>
          <w:rFonts w:eastAsia="Times New Roman"/>
          <w:bCs/>
          <w:color w:val="595959"/>
          <w:sz w:val="28"/>
          <w:szCs w:val="24"/>
        </w:rPr>
      </w:pPr>
      <w:r>
        <w:br w:type="page"/>
      </w:r>
    </w:p>
    <w:p w14:paraId="2E700E5C" w14:textId="77777777" w:rsidR="004C36E1" w:rsidRPr="009F013C" w:rsidRDefault="004C36E1" w:rsidP="009F013C">
      <w:pPr>
        <w:pStyle w:val="Heading4"/>
      </w:pPr>
      <w:r w:rsidRPr="009F013C">
        <w:t>Application and selection</w:t>
      </w:r>
    </w:p>
    <w:p w14:paraId="1BE3A64E" w14:textId="5B07D5C5" w:rsidR="006C7B4D" w:rsidRDefault="0096605C" w:rsidP="00BB0B25">
      <w:pPr>
        <w:spacing w:before="200"/>
      </w:pPr>
      <w:r>
        <w:t>There is</w:t>
      </w:r>
      <w:r w:rsidR="00705D9C">
        <w:t xml:space="preserve"> a downward trend in numbers of applications being submitted over rounds</w:t>
      </w:r>
      <w:r w:rsidR="00B25C0E">
        <w:t xml:space="preserve">. </w:t>
      </w:r>
    </w:p>
    <w:p w14:paraId="076FD1BC" w14:textId="70DC9D9F" w:rsidR="007D676D" w:rsidRPr="00403C80" w:rsidRDefault="006C7B4D" w:rsidP="007D676D">
      <w:r>
        <w:t>T</w:t>
      </w:r>
      <w:r w:rsidR="007D676D" w:rsidRPr="00403C80">
        <w:t xml:space="preserve">here is a degree of confusion </w:t>
      </w:r>
      <w:r w:rsidR="00DA5D97">
        <w:t xml:space="preserve">evident </w:t>
      </w:r>
      <w:r w:rsidR="007D676D" w:rsidRPr="00403C80">
        <w:t xml:space="preserve">among RDCs </w:t>
      </w:r>
      <w:r w:rsidR="001E7784">
        <w:t xml:space="preserve">and partner organisations </w:t>
      </w:r>
      <w:r w:rsidR="007D676D" w:rsidRPr="00403C80">
        <w:t>regarding the selection criteria and why projects are successful or unsuccessful</w:t>
      </w:r>
      <w:r w:rsidR="00B25C0E">
        <w:t xml:space="preserve">. </w:t>
      </w:r>
    </w:p>
    <w:p w14:paraId="67CDD324" w14:textId="0E020D1F" w:rsidR="007D676D" w:rsidRPr="00403C80" w:rsidRDefault="004C36E1" w:rsidP="007D676D">
      <w:r>
        <w:t>C</w:t>
      </w:r>
      <w:r w:rsidR="007D676D" w:rsidRPr="00403C80">
        <w:t xml:space="preserve">ommunication around options for debriefing unsuccessful bidders was </w:t>
      </w:r>
      <w:r w:rsidR="003C259B">
        <w:t>identified as an area to address</w:t>
      </w:r>
      <w:r w:rsidR="007D2524">
        <w:t xml:space="preserve"> -</w:t>
      </w:r>
      <w:r w:rsidR="00191415" w:rsidRPr="00403C80">
        <w:t xml:space="preserve"> </w:t>
      </w:r>
      <w:r w:rsidR="007D676D" w:rsidRPr="00403C80">
        <w:t xml:space="preserve">to assist RDCs and partner organisations to </w:t>
      </w:r>
      <w:r w:rsidR="004C07A5">
        <w:t xml:space="preserve">better understand assessment and selection criteria and to </w:t>
      </w:r>
      <w:r w:rsidR="007D676D" w:rsidRPr="00403C80">
        <w:t>improve their future proposals</w:t>
      </w:r>
      <w:r w:rsidR="00B25C0E">
        <w:t xml:space="preserve">. </w:t>
      </w:r>
    </w:p>
    <w:p w14:paraId="5E29EE9B" w14:textId="3BCB1B55" w:rsidR="00901CBE" w:rsidRDefault="00ED2E6C" w:rsidP="007D676D">
      <w:r>
        <w:t>The application timeframe was regarded as too short by some RDCs and partner organisations</w:t>
      </w:r>
      <w:r w:rsidR="00811B5A">
        <w:t>, particularly because of the</w:t>
      </w:r>
      <w:r w:rsidR="00DA5D97">
        <w:t xml:space="preserve"> lead time</w:t>
      </w:r>
      <w:r w:rsidR="00811B5A">
        <w:t xml:space="preserve"> required</w:t>
      </w:r>
      <w:r w:rsidR="00615943">
        <w:t xml:space="preserve"> </w:t>
      </w:r>
      <w:r w:rsidR="00847261">
        <w:t>to organise collaborations</w:t>
      </w:r>
      <w:r w:rsidR="00B25C0E">
        <w:t xml:space="preserve">. </w:t>
      </w:r>
      <w:r w:rsidR="00901CBE">
        <w:t>Comparison with other research grants programs showed Rural R&amp;D for Profit has one of the shortest application periods</w:t>
      </w:r>
      <w:r w:rsidR="00B25C0E">
        <w:t xml:space="preserve">. </w:t>
      </w:r>
    </w:p>
    <w:p w14:paraId="09B3AB0B" w14:textId="11D22734" w:rsidR="0010006E" w:rsidRDefault="001023D8" w:rsidP="0010006E">
      <w:r>
        <w:t>The length of time taken to select and publicly announce projects was identified as an opportunity for improvement by RDCs and partner organisations</w:t>
      </w:r>
      <w:r w:rsidR="00B25C0E">
        <w:t xml:space="preserve">. </w:t>
      </w:r>
      <w:r w:rsidR="007003C5">
        <w:t>The length of t</w:t>
      </w:r>
      <w:r w:rsidR="00615943">
        <w:t xml:space="preserve">ime taken to notify unsuccessful bidders was also </w:t>
      </w:r>
      <w:r>
        <w:t>regarded as too long</w:t>
      </w:r>
      <w:r w:rsidR="00B25C0E">
        <w:t xml:space="preserve">. </w:t>
      </w:r>
      <w:r>
        <w:t>Implications of a lengthy</w:t>
      </w:r>
      <w:r w:rsidR="0086645F">
        <w:t xml:space="preserve"> selection </w:t>
      </w:r>
      <w:r>
        <w:t>process included:</w:t>
      </w:r>
    </w:p>
    <w:p w14:paraId="4CB58CB4" w14:textId="77777777" w:rsidR="00C94BDD" w:rsidRDefault="003E6EDA" w:rsidP="00565949">
      <w:pPr>
        <w:pStyle w:val="ListBullet"/>
      </w:pPr>
      <w:r>
        <w:t>s</w:t>
      </w:r>
      <w:r w:rsidR="00C94BDD">
        <w:t xml:space="preserve">uccessful bidders </w:t>
      </w:r>
      <w:r w:rsidR="001023D8">
        <w:t xml:space="preserve">experiencing </w:t>
      </w:r>
      <w:r w:rsidR="00C94BDD">
        <w:t>delays in getting projects started</w:t>
      </w:r>
    </w:p>
    <w:p w14:paraId="6BE3A8B5" w14:textId="3920976D" w:rsidR="00C94BDD" w:rsidRDefault="00CD105B" w:rsidP="00565949">
      <w:pPr>
        <w:pStyle w:val="ListBullet"/>
      </w:pPr>
      <w:r>
        <w:t>u</w:t>
      </w:r>
      <w:r w:rsidR="00901CBE">
        <w:t xml:space="preserve">nsuccessful bidders </w:t>
      </w:r>
      <w:r w:rsidR="003E6EDA">
        <w:t xml:space="preserve">missing out on </w:t>
      </w:r>
      <w:r w:rsidR="00615943">
        <w:t>opportunities to pu</w:t>
      </w:r>
      <w:r w:rsidR="00901CBE">
        <w:t>rsue other research proposals</w:t>
      </w:r>
      <w:r w:rsidR="00227F12">
        <w:t xml:space="preserve">, as funding allocated to </w:t>
      </w:r>
      <w:r w:rsidR="00AC7254">
        <w:t>their</w:t>
      </w:r>
      <w:r w:rsidR="00227F12">
        <w:t xml:space="preserve"> Rural R&amp;D for Profit bid was held in reserve while awaiting notification of the</w:t>
      </w:r>
      <w:r w:rsidR="00AC7254">
        <w:t xml:space="preserve">ir </w:t>
      </w:r>
      <w:r w:rsidR="00086C46">
        <w:t>proposal’s</w:t>
      </w:r>
      <w:r w:rsidR="00AC7254">
        <w:t xml:space="preserve"> </w:t>
      </w:r>
      <w:r w:rsidR="00227F12">
        <w:t>outcome</w:t>
      </w:r>
      <w:r w:rsidR="00B25C0E">
        <w:t xml:space="preserve">. </w:t>
      </w:r>
    </w:p>
    <w:p w14:paraId="17CC275C" w14:textId="77777777" w:rsidR="007B3D61" w:rsidRPr="0067112F" w:rsidRDefault="007B3D61" w:rsidP="0067112F">
      <w:pPr>
        <w:rPr>
          <w:rStyle w:val="Strong"/>
        </w:rPr>
      </w:pPr>
      <w:r w:rsidRPr="0067112F">
        <w:rPr>
          <w:rStyle w:val="Strong"/>
        </w:rPr>
        <w:t xml:space="preserve">Recommendation </w:t>
      </w:r>
      <w:r w:rsidR="00EB2910" w:rsidRPr="0067112F">
        <w:rPr>
          <w:rStyle w:val="Strong"/>
        </w:rPr>
        <w:t>6</w:t>
      </w:r>
    </w:p>
    <w:p w14:paraId="0E0EB4CA" w14:textId="77777777" w:rsidR="002E7B0A" w:rsidRDefault="00795106" w:rsidP="00EB2910">
      <w:pPr>
        <w:spacing w:before="120"/>
      </w:pPr>
      <w:r>
        <w:t>The department c</w:t>
      </w:r>
      <w:r w:rsidR="002E7B0A" w:rsidRPr="007D612D">
        <w:t>ontinue to monitor numbers of applications and successful projects selected to assess if criteria need further refinement.</w:t>
      </w:r>
    </w:p>
    <w:p w14:paraId="653A5DFB" w14:textId="77777777" w:rsidR="009F5AF1" w:rsidRPr="0067112F" w:rsidRDefault="009F5AF1" w:rsidP="0067112F">
      <w:pPr>
        <w:rPr>
          <w:rStyle w:val="Strong"/>
        </w:rPr>
      </w:pPr>
      <w:r w:rsidRPr="0067112F">
        <w:rPr>
          <w:rStyle w:val="Strong"/>
        </w:rPr>
        <w:t xml:space="preserve">Recommendation </w:t>
      </w:r>
      <w:r w:rsidR="00EB2910" w:rsidRPr="0067112F">
        <w:rPr>
          <w:rStyle w:val="Strong"/>
        </w:rPr>
        <w:t>7</w:t>
      </w:r>
    </w:p>
    <w:p w14:paraId="0B3453A8" w14:textId="4D7A5AB3" w:rsidR="009F5AF1" w:rsidRDefault="00795106" w:rsidP="00EB2910">
      <w:pPr>
        <w:spacing w:before="120"/>
      </w:pPr>
      <w:r>
        <w:t>The department i</w:t>
      </w:r>
      <w:r w:rsidR="009F5AF1" w:rsidRPr="00403C80">
        <w:t>ncrease publicity regarding the debriefing process for unsuccessful bidders to assist RDCs and associated partner organisations to access this feedback</w:t>
      </w:r>
      <w:r w:rsidR="00B25C0E">
        <w:t xml:space="preserve">. </w:t>
      </w:r>
      <w:r w:rsidR="009F5AF1">
        <w:t>This is with a view to</w:t>
      </w:r>
      <w:r w:rsidR="009F5AF1" w:rsidRPr="00403C80">
        <w:t xml:space="preserve"> </w:t>
      </w:r>
      <w:r w:rsidR="009F5AF1">
        <w:t>increasing their understanding of the assessment and selection criteria</w:t>
      </w:r>
      <w:r w:rsidR="001770CD">
        <w:t xml:space="preserve">, </w:t>
      </w:r>
      <w:r w:rsidR="009F5AF1" w:rsidRPr="00403C80">
        <w:t xml:space="preserve">improving </w:t>
      </w:r>
      <w:r w:rsidR="001770CD">
        <w:t>their bids</w:t>
      </w:r>
      <w:r w:rsidR="00DD76C6">
        <w:t>,</w:t>
      </w:r>
      <w:r w:rsidR="001770CD">
        <w:t xml:space="preserve"> and increasing </w:t>
      </w:r>
      <w:r w:rsidR="009F5AF1" w:rsidRPr="00403C80">
        <w:t xml:space="preserve">their chances for successful </w:t>
      </w:r>
      <w:r w:rsidR="00DD76C6">
        <w:t>applications</w:t>
      </w:r>
      <w:r w:rsidR="009F5AF1" w:rsidRPr="00403C80">
        <w:t xml:space="preserve"> in future rounds</w:t>
      </w:r>
      <w:r w:rsidR="00B25C0E">
        <w:t xml:space="preserve">. </w:t>
      </w:r>
    </w:p>
    <w:p w14:paraId="717A15F7" w14:textId="77777777" w:rsidR="009F5AF1" w:rsidRPr="0067112F" w:rsidRDefault="009F5AF1" w:rsidP="0067112F">
      <w:pPr>
        <w:rPr>
          <w:rStyle w:val="Strong"/>
        </w:rPr>
      </w:pPr>
      <w:r w:rsidRPr="0067112F">
        <w:rPr>
          <w:rStyle w:val="Strong"/>
        </w:rPr>
        <w:t xml:space="preserve">Recommendation </w:t>
      </w:r>
      <w:r w:rsidR="00EB2910" w:rsidRPr="0067112F">
        <w:rPr>
          <w:rStyle w:val="Strong"/>
        </w:rPr>
        <w:t>8</w:t>
      </w:r>
    </w:p>
    <w:p w14:paraId="73A99EF0" w14:textId="2CAAB06C" w:rsidR="009F5AF1" w:rsidRDefault="00624E3B" w:rsidP="00624E3B">
      <w:pPr>
        <w:spacing w:before="120"/>
      </w:pPr>
      <w:r>
        <w:t xml:space="preserve">The department </w:t>
      </w:r>
      <w:r w:rsidR="001E3D13">
        <w:t>explore</w:t>
      </w:r>
      <w:r w:rsidR="009F5AF1" w:rsidRPr="008B1955">
        <w:t xml:space="preserve"> options for extending the timeframe for the application stage</w:t>
      </w:r>
      <w:r w:rsidR="00B25C0E">
        <w:t xml:space="preserve">. </w:t>
      </w:r>
    </w:p>
    <w:p w14:paraId="4D4340EB" w14:textId="77777777" w:rsidR="009F5AF1" w:rsidRPr="0067112F" w:rsidRDefault="009F5AF1" w:rsidP="0067112F">
      <w:pPr>
        <w:rPr>
          <w:rStyle w:val="Strong"/>
        </w:rPr>
      </w:pPr>
      <w:r w:rsidRPr="0067112F">
        <w:rPr>
          <w:rStyle w:val="Strong"/>
        </w:rPr>
        <w:t xml:space="preserve">Recommendation </w:t>
      </w:r>
      <w:r w:rsidR="005C7602" w:rsidRPr="0067112F">
        <w:rPr>
          <w:rStyle w:val="Strong"/>
        </w:rPr>
        <w:t>9</w:t>
      </w:r>
    </w:p>
    <w:p w14:paraId="281E4838" w14:textId="77777777" w:rsidR="009F5AF1" w:rsidRPr="00403C80" w:rsidRDefault="001E3D13" w:rsidP="00624E3B">
      <w:pPr>
        <w:spacing w:before="120"/>
      </w:pPr>
      <w:r>
        <w:t>The department e</w:t>
      </w:r>
      <w:r w:rsidR="009F5AF1">
        <w:t>xplore options to r</w:t>
      </w:r>
      <w:r w:rsidR="009F5AF1" w:rsidRPr="008B1955">
        <w:t xml:space="preserve">educe timeframes in the assessment and selection process, including time lags associated </w:t>
      </w:r>
      <w:r w:rsidR="007D2524">
        <w:t xml:space="preserve">with </w:t>
      </w:r>
      <w:r w:rsidR="009F5AF1">
        <w:t xml:space="preserve">notification of unsuccessful applicants and </w:t>
      </w:r>
      <w:r w:rsidR="009F5AF1" w:rsidRPr="008B1955">
        <w:t>public announcement of successful projects.</w:t>
      </w:r>
      <w:r w:rsidR="009F5AF1" w:rsidRPr="00403C80">
        <w:t xml:space="preserve"> </w:t>
      </w:r>
    </w:p>
    <w:p w14:paraId="2CC565CF" w14:textId="77777777" w:rsidR="007D2524" w:rsidRPr="00A1154D" w:rsidRDefault="00A1154D" w:rsidP="00BB0B25">
      <w:pPr>
        <w:pStyle w:val="Heading4"/>
      </w:pPr>
      <w:r w:rsidRPr="00A1154D">
        <w:t>Monitoring</w:t>
      </w:r>
      <w:r w:rsidR="00344131">
        <w:t xml:space="preserve"> </w:t>
      </w:r>
      <w:r w:rsidRPr="00A1154D">
        <w:t>and reporting</w:t>
      </w:r>
    </w:p>
    <w:p w14:paraId="2BDF8B65" w14:textId="77777777" w:rsidR="00246BF3" w:rsidRDefault="00246BF3" w:rsidP="00BB0B25">
      <w:pPr>
        <w:spacing w:before="200"/>
      </w:pPr>
      <w:r w:rsidRPr="00403C80">
        <w:t xml:space="preserve">Milestone reporting and monitoring has been complicated, perhaps ‘overcomplicated’. While the </w:t>
      </w:r>
      <w:r w:rsidR="00BC020C">
        <w:t>d</w:t>
      </w:r>
      <w:r w:rsidRPr="00403C80">
        <w:t xml:space="preserve">epartment has simplified </w:t>
      </w:r>
      <w:r w:rsidR="0052036E">
        <w:t xml:space="preserve">reporting of </w:t>
      </w:r>
      <w:r w:rsidR="009F5AF1">
        <w:t xml:space="preserve">project </w:t>
      </w:r>
      <w:r w:rsidRPr="00403C80">
        <w:t xml:space="preserve">KPIs over successive rounds, there is still opportunity to </w:t>
      </w:r>
      <w:r w:rsidR="0052036E">
        <w:t xml:space="preserve">simplify monitoring and reporting requirements </w:t>
      </w:r>
      <w:r w:rsidR="00574D60">
        <w:t>through the development of an M&amp;E Framework that will</w:t>
      </w:r>
      <w:r w:rsidR="009F5AF1">
        <w:t xml:space="preserve"> link data collection to program outcomes and</w:t>
      </w:r>
      <w:r w:rsidR="0052036E">
        <w:t xml:space="preserve"> </w:t>
      </w:r>
      <w:r w:rsidRPr="00403C80">
        <w:t xml:space="preserve">enhance the visibility of achievement </w:t>
      </w:r>
      <w:r w:rsidR="009F5AF1">
        <w:t xml:space="preserve">at </w:t>
      </w:r>
      <w:r w:rsidR="00415096">
        <w:t xml:space="preserve">project and </w:t>
      </w:r>
      <w:r w:rsidR="00A94723">
        <w:t>p</w:t>
      </w:r>
      <w:r>
        <w:t>rogram level</w:t>
      </w:r>
      <w:r w:rsidR="00A94723">
        <w:t>s</w:t>
      </w:r>
      <w:r>
        <w:t xml:space="preserve">. </w:t>
      </w:r>
    </w:p>
    <w:p w14:paraId="39F36953" w14:textId="77777777" w:rsidR="00CE3F69" w:rsidRPr="0067112F" w:rsidRDefault="00CE3F69" w:rsidP="0067112F">
      <w:pPr>
        <w:rPr>
          <w:rStyle w:val="Strong"/>
        </w:rPr>
      </w:pPr>
      <w:r w:rsidRPr="0067112F">
        <w:rPr>
          <w:rStyle w:val="Strong"/>
        </w:rPr>
        <w:t xml:space="preserve">Recommendation </w:t>
      </w:r>
      <w:r w:rsidR="00024AED" w:rsidRPr="0067112F">
        <w:rPr>
          <w:rStyle w:val="Strong"/>
        </w:rPr>
        <w:t>10</w:t>
      </w:r>
    </w:p>
    <w:p w14:paraId="4A1C6181" w14:textId="2A815898" w:rsidR="00CE3F69" w:rsidRDefault="003B02B6" w:rsidP="003B02B6">
      <w:pPr>
        <w:spacing w:before="120"/>
      </w:pPr>
      <w:r>
        <w:t>The department d</w:t>
      </w:r>
      <w:r w:rsidR="00CE3F69" w:rsidRPr="00403C80">
        <w:t xml:space="preserve">evelop </w:t>
      </w:r>
      <w:r w:rsidR="00D65B17">
        <w:t>a M&amp;E</w:t>
      </w:r>
      <w:r w:rsidR="00CE3F69" w:rsidRPr="00403C80">
        <w:t xml:space="preserve"> framework</w:t>
      </w:r>
      <w:r w:rsidR="00CE3F69">
        <w:t>,</w:t>
      </w:r>
      <w:r w:rsidR="00CE3F69" w:rsidRPr="00403C80">
        <w:t xml:space="preserve"> using the program logic diagram as a starting point</w:t>
      </w:r>
      <w:r w:rsidR="00CE3F69">
        <w:t>,</w:t>
      </w:r>
      <w:r w:rsidR="00CE3F69" w:rsidRPr="00403C80">
        <w:t xml:space="preserve"> to drive </w:t>
      </w:r>
      <w:r w:rsidR="0077693C">
        <w:t xml:space="preserve">the </w:t>
      </w:r>
      <w:r w:rsidR="00CE3F69" w:rsidRPr="00403C80">
        <w:t xml:space="preserve">development of </w:t>
      </w:r>
      <w:r w:rsidR="00FC4736">
        <w:t xml:space="preserve">outcomes oriented </w:t>
      </w:r>
      <w:r w:rsidR="00CE3F69" w:rsidRPr="00403C80">
        <w:t>KPIs</w:t>
      </w:r>
      <w:r w:rsidR="0077693C">
        <w:t>,</w:t>
      </w:r>
      <w:r w:rsidR="00FC4736">
        <w:t xml:space="preserve"> and associated </w:t>
      </w:r>
      <w:r w:rsidR="00CE3F69" w:rsidRPr="00403C80">
        <w:t>data and data sources</w:t>
      </w:r>
      <w:r w:rsidR="00B25C0E">
        <w:t xml:space="preserve">. </w:t>
      </w:r>
    </w:p>
    <w:p w14:paraId="3DD56F39" w14:textId="77777777" w:rsidR="00CE3F69" w:rsidRPr="0067112F" w:rsidRDefault="00CE3F69" w:rsidP="0067112F">
      <w:pPr>
        <w:rPr>
          <w:rStyle w:val="Strong"/>
        </w:rPr>
      </w:pPr>
      <w:r w:rsidRPr="0067112F">
        <w:rPr>
          <w:rStyle w:val="Strong"/>
        </w:rPr>
        <w:t>Recommendation 1</w:t>
      </w:r>
      <w:r w:rsidR="00024AED" w:rsidRPr="0067112F">
        <w:rPr>
          <w:rStyle w:val="Strong"/>
        </w:rPr>
        <w:t>1</w:t>
      </w:r>
    </w:p>
    <w:p w14:paraId="4018C3FC" w14:textId="77777777" w:rsidR="00CE3F69" w:rsidRDefault="00CE3F69" w:rsidP="003B02B6">
      <w:pPr>
        <w:spacing w:before="120"/>
      </w:pPr>
      <w:r w:rsidRPr="00403C80">
        <w:t xml:space="preserve">Based on the </w:t>
      </w:r>
      <w:r w:rsidR="00146D66">
        <w:t>M&amp;E</w:t>
      </w:r>
      <w:r w:rsidRPr="00403C80">
        <w:t xml:space="preserve"> framework developed, revise project reporting, including consideration of </w:t>
      </w:r>
      <w:r>
        <w:t xml:space="preserve">reduced and </w:t>
      </w:r>
      <w:r w:rsidRPr="00403C80">
        <w:t>more flexible reporting</w:t>
      </w:r>
      <w:r>
        <w:t xml:space="preserve"> options</w:t>
      </w:r>
      <w:r w:rsidRPr="00403C80">
        <w:t xml:space="preserve">. </w:t>
      </w:r>
    </w:p>
    <w:p w14:paraId="11237211" w14:textId="77777777" w:rsidR="00CE3F69" w:rsidRDefault="00A1154D" w:rsidP="00BB0B25">
      <w:pPr>
        <w:pStyle w:val="Heading4"/>
      </w:pPr>
      <w:r>
        <w:t>Program legacy</w:t>
      </w:r>
    </w:p>
    <w:p w14:paraId="17DBAFA6" w14:textId="77777777" w:rsidR="003E2C57" w:rsidRDefault="003E2C57" w:rsidP="00BB0B25">
      <w:pPr>
        <w:spacing w:before="200"/>
      </w:pPr>
      <w:r>
        <w:t xml:space="preserve">As the program moves into the latter half of its life cycle, the </w:t>
      </w:r>
      <w:r w:rsidR="00BC020C">
        <w:t>d</w:t>
      </w:r>
      <w:r>
        <w:t xml:space="preserve">epartment will need to plan so that momentum built up is leveraged and outputs and achievements are not stymied or lost with the cessation of </w:t>
      </w:r>
      <w:r w:rsidR="00191415">
        <w:t>the program</w:t>
      </w:r>
      <w:r>
        <w:t>.</w:t>
      </w:r>
    </w:p>
    <w:p w14:paraId="61EE32FE" w14:textId="77777777" w:rsidR="003E2C57" w:rsidRPr="00386D62" w:rsidRDefault="003E2C57" w:rsidP="003E2C57">
      <w:r w:rsidRPr="00386D62">
        <w:t>There are networks and organisations, external to the program</w:t>
      </w:r>
      <w:r w:rsidR="00191415">
        <w:t>,</w:t>
      </w:r>
      <w:r w:rsidRPr="00386D62">
        <w:t xml:space="preserve"> which are fostering rural R&amp;D collaboration (eg Council of RDCs and CRCs). These could provide ongoing mechanisms and infrastructure to support future </w:t>
      </w:r>
      <w:r w:rsidR="006A280A">
        <w:t xml:space="preserve">rural R&amp;D </w:t>
      </w:r>
      <w:r w:rsidRPr="00386D62">
        <w:t>collaborations.</w:t>
      </w:r>
    </w:p>
    <w:p w14:paraId="0A272340" w14:textId="41C0DBEC" w:rsidR="00E566B2" w:rsidRDefault="003E2C57" w:rsidP="00246BF3">
      <w:r w:rsidRPr="00386D62">
        <w:t xml:space="preserve">Further, in building on the success of the program, the </w:t>
      </w:r>
      <w:r w:rsidR="00BC020C">
        <w:t>d</w:t>
      </w:r>
      <w:r w:rsidRPr="00386D62">
        <w:t>epartment should</w:t>
      </w:r>
      <w:r>
        <w:t xml:space="preserve"> also consider how sharing of research outcomes might be </w:t>
      </w:r>
      <w:r w:rsidR="00CE3F69">
        <w:t>undertaken</w:t>
      </w:r>
      <w:r w:rsidR="009138E5">
        <w:t xml:space="preserve"> and communicated more broadly</w:t>
      </w:r>
      <w:r w:rsidR="00B25C0E">
        <w:t xml:space="preserve">. </w:t>
      </w:r>
    </w:p>
    <w:p w14:paraId="1A801416" w14:textId="77777777" w:rsidR="000714AC" w:rsidRPr="0067112F" w:rsidRDefault="00B8700E" w:rsidP="0067112F">
      <w:pPr>
        <w:rPr>
          <w:rStyle w:val="Strong"/>
        </w:rPr>
      </w:pPr>
      <w:r w:rsidRPr="0067112F">
        <w:rPr>
          <w:rStyle w:val="Strong"/>
        </w:rPr>
        <w:t>Recommendation 12</w:t>
      </w:r>
    </w:p>
    <w:p w14:paraId="3E8F4E8F" w14:textId="77777777" w:rsidR="00403C80" w:rsidRDefault="003E40AF" w:rsidP="00F82F4C">
      <w:pPr>
        <w:spacing w:before="120"/>
      </w:pPr>
      <w:r>
        <w:t>The department c</w:t>
      </w:r>
      <w:r w:rsidR="00097C47">
        <w:t xml:space="preserve">onsider options </w:t>
      </w:r>
      <w:r w:rsidR="00403C80" w:rsidRPr="00403C80">
        <w:t xml:space="preserve">to build on current success </w:t>
      </w:r>
      <w:r w:rsidR="00097C47">
        <w:t>into</w:t>
      </w:r>
      <w:r w:rsidR="00403C80" w:rsidRPr="00403C80">
        <w:t xml:space="preserve"> the future. This would include consultation with the RDC community regarding suggested approaches. </w:t>
      </w:r>
    </w:p>
    <w:p w14:paraId="1AC59121" w14:textId="7E3400FA" w:rsidR="006D4B7E" w:rsidRDefault="006D4B7E">
      <w:pPr>
        <w:ind w:left="0"/>
        <w:rPr>
          <w:rFonts w:eastAsia="Times New Roman"/>
          <w:bCs/>
          <w:color w:val="595959"/>
          <w:sz w:val="33"/>
          <w:szCs w:val="33"/>
        </w:rPr>
      </w:pPr>
      <w:bookmarkStart w:id="75" w:name="_Toc482970210"/>
    </w:p>
    <w:bookmarkEnd w:id="75"/>
    <w:p w14:paraId="176C2E48" w14:textId="77777777" w:rsidR="00A53FB2" w:rsidRDefault="00A53FB2" w:rsidP="00746267">
      <w:pPr>
        <w:sectPr w:rsidR="00A53FB2" w:rsidSect="00A03190">
          <w:footerReference w:type="default" r:id="rId33"/>
          <w:pgSz w:w="11906" w:h="16838"/>
          <w:pgMar w:top="1701" w:right="1701" w:bottom="1701" w:left="1701" w:header="709" w:footer="709" w:gutter="0"/>
          <w:cols w:space="708"/>
          <w:docGrid w:linePitch="360"/>
        </w:sectPr>
      </w:pPr>
    </w:p>
    <w:p w14:paraId="2C383941" w14:textId="5A4F1EB3" w:rsidR="00736625" w:rsidRDefault="00197F8C" w:rsidP="00BA1CAB">
      <w:pPr>
        <w:pStyle w:val="Heading2"/>
        <w:numPr>
          <w:ilvl w:val="0"/>
          <w:numId w:val="0"/>
        </w:numPr>
        <w:ind w:left="851" w:hanging="851"/>
        <w:rPr>
          <w:lang w:val="en"/>
        </w:rPr>
      </w:pPr>
      <w:bookmarkStart w:id="76" w:name="_Toc500934712"/>
      <w:r>
        <w:rPr>
          <w:lang w:val="en"/>
        </w:rPr>
        <w:t>Attachment A</w:t>
      </w:r>
      <w:r w:rsidR="009737B7">
        <w:rPr>
          <w:lang w:val="en"/>
        </w:rPr>
        <w:t>:</w:t>
      </w:r>
      <w:r w:rsidR="009902C9">
        <w:rPr>
          <w:lang w:val="en"/>
        </w:rPr>
        <w:t xml:space="preserve"> </w:t>
      </w:r>
      <w:r w:rsidR="00736625">
        <w:rPr>
          <w:lang w:val="en"/>
        </w:rPr>
        <w:t xml:space="preserve">List of projects </w:t>
      </w:r>
      <w:r w:rsidR="00770BB8">
        <w:rPr>
          <w:lang w:val="en"/>
        </w:rPr>
        <w:t>(taken from Rural R&amp;D for Profit website</w:t>
      </w:r>
      <w:r w:rsidR="00EB3CD1">
        <w:rPr>
          <w:rStyle w:val="FootnoteReference"/>
          <w:lang w:val="en"/>
        </w:rPr>
        <w:footnoteReference w:id="32"/>
      </w:r>
      <w:r w:rsidR="00770BB8">
        <w:rPr>
          <w:lang w:val="en"/>
        </w:rPr>
        <w:t>)</w:t>
      </w:r>
      <w:bookmarkEnd w:id="76"/>
      <w:r w:rsidR="00770BB8">
        <w:rPr>
          <w:lang w:val="en"/>
        </w:rPr>
        <w:t xml:space="preserve"> </w:t>
      </w:r>
    </w:p>
    <w:p w14:paraId="03F935D4" w14:textId="77777777" w:rsidR="00D965C6" w:rsidRPr="00D965C6" w:rsidRDefault="00D965C6" w:rsidP="000F0253">
      <w:pPr>
        <w:pStyle w:val="Heading3"/>
        <w:numPr>
          <w:ilvl w:val="0"/>
          <w:numId w:val="0"/>
        </w:numPr>
        <w:ind w:left="851"/>
        <w:rPr>
          <w:lang w:val="en"/>
        </w:rPr>
      </w:pPr>
      <w:r>
        <w:rPr>
          <w:lang w:val="en"/>
        </w:rPr>
        <w:t>Round 1</w:t>
      </w:r>
    </w:p>
    <w:tbl>
      <w:tblPr>
        <w:tblW w:w="0" w:type="auto"/>
        <w:tblBorders>
          <w:top w:val="single" w:sz="6" w:space="0" w:color="CDE8EA"/>
          <w:left w:val="single" w:sz="6" w:space="0" w:color="CDE8EA"/>
          <w:bottom w:val="single" w:sz="6" w:space="0" w:color="CDE8EA"/>
          <w:right w:val="single" w:sz="6" w:space="0" w:color="CDE8EA"/>
        </w:tblBorders>
        <w:tblCellMar>
          <w:left w:w="0" w:type="dxa"/>
          <w:right w:w="0" w:type="dxa"/>
        </w:tblCellMar>
        <w:tblLook w:val="04A0" w:firstRow="1" w:lastRow="0" w:firstColumn="1" w:lastColumn="0" w:noHBand="0" w:noVBand="1"/>
        <w:tblCaption w:val="Round 1 - list of projects"/>
        <w:tblDescription w:val="This lists all projects in Round 1.  Information has been taken directly from the department's website.  "/>
      </w:tblPr>
      <w:tblGrid>
        <w:gridCol w:w="1987"/>
        <w:gridCol w:w="1286"/>
        <w:gridCol w:w="1079"/>
        <w:gridCol w:w="1786"/>
        <w:gridCol w:w="3494"/>
        <w:gridCol w:w="3788"/>
      </w:tblGrid>
      <w:tr w:rsidR="00736625" w14:paraId="5D7D4025" w14:textId="77777777" w:rsidTr="00736625">
        <w:trPr>
          <w:tblHeader/>
        </w:trPr>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14:paraId="0A92B6DF" w14:textId="77777777" w:rsidR="00736625" w:rsidRDefault="00736625" w:rsidP="00565949">
            <w:pPr>
              <w:pStyle w:val="Tablebodytext"/>
            </w:pPr>
            <w:r>
              <w:t>Project title</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14:paraId="397E4CF9" w14:textId="77777777" w:rsidR="00736625" w:rsidRDefault="00736625" w:rsidP="00565949">
            <w:pPr>
              <w:pStyle w:val="Tablebodytext"/>
            </w:pPr>
            <w:r>
              <w:t>Applicant</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14:paraId="3D5BBCA1" w14:textId="77777777" w:rsidR="00736625" w:rsidRDefault="00736625" w:rsidP="00565949">
            <w:pPr>
              <w:pStyle w:val="Tablebodytext"/>
            </w:pPr>
            <w:r>
              <w:t>Grant funding (GST excl)</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14:paraId="036053F8" w14:textId="77777777" w:rsidR="00736625" w:rsidRDefault="00736625" w:rsidP="00565949">
            <w:pPr>
              <w:pStyle w:val="Tablebodytext"/>
            </w:pPr>
            <w:r>
              <w:t xml:space="preserve">Applicant/partner contributions (GST excl.) </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14:paraId="2181FEA7" w14:textId="77777777" w:rsidR="00736625" w:rsidRDefault="00736625" w:rsidP="00565949">
            <w:pPr>
              <w:pStyle w:val="Tablebodytext"/>
            </w:pPr>
            <w:r>
              <w:t>Partners</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hideMark/>
          </w:tcPr>
          <w:p w14:paraId="131310EE" w14:textId="77777777" w:rsidR="00736625" w:rsidRDefault="00736625" w:rsidP="00565949">
            <w:pPr>
              <w:pStyle w:val="Tablebodytext"/>
            </w:pPr>
            <w:r>
              <w:t>Summary</w:t>
            </w:r>
          </w:p>
        </w:tc>
      </w:tr>
      <w:tr w:rsidR="00736625" w14:paraId="4E432668" w14:textId="77777777" w:rsidTr="00736625">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912A26F" w14:textId="77777777" w:rsidR="00736625" w:rsidRDefault="00736625" w:rsidP="00565949">
            <w:pPr>
              <w:pStyle w:val="Tablebodytext"/>
            </w:pPr>
            <w:r>
              <w:t>Smarter irrigation for profit</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AEE51BE" w14:textId="77777777" w:rsidR="00736625" w:rsidRDefault="00736625" w:rsidP="00565949">
            <w:pPr>
              <w:pStyle w:val="Tablebodytext"/>
            </w:pPr>
            <w:r>
              <w:t>Cotton R&amp;D Corporation (CRDC)</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3C2C290" w14:textId="77777777" w:rsidR="00736625" w:rsidRDefault="00736625" w:rsidP="00565949">
            <w:pPr>
              <w:pStyle w:val="Tablebodytext"/>
            </w:pPr>
            <w:r>
              <w:t>$4,000,000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1AECE4D" w14:textId="77777777" w:rsidR="00736625" w:rsidRDefault="00736625" w:rsidP="00565949">
            <w:pPr>
              <w:pStyle w:val="Tablebodytext"/>
            </w:pPr>
            <w:r>
              <w:t>$3,435,000 cash $2,906,949</w:t>
            </w:r>
            <w:r w:rsidR="00057B24">
              <w:t xml:space="preserve"> </w:t>
            </w:r>
            <w:r>
              <w:t>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A2D3E75" w14:textId="77777777" w:rsidR="00736625" w:rsidRDefault="00736625" w:rsidP="00565949">
            <w:pPr>
              <w:pStyle w:val="Tablebodytext"/>
            </w:pPr>
            <w:r>
              <w:t xml:space="preserve">Dairy Australia (DA); </w:t>
            </w:r>
            <w:r w:rsidR="007A4E59">
              <w:t>AgriFutures</w:t>
            </w:r>
            <w:r>
              <w:t>; University of Southern Queensland (USQ); Tasmanian Institute for Agriculture (TIA); Gwydir Valley Irrigators Association; VicDEPI; NSW DPI; SARDI; CSIRO; DairyTas Board; Cotton Australia; Dairy SA; Sugar Research Australia (SRA); Sundown Pastoral Company; Auscott; Irrigated Cropping Council; Irrigation R&amp;D Committee; Southern Growers Inc.</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4C1EA37" w14:textId="77777777" w:rsidR="00736625" w:rsidRDefault="00736625" w:rsidP="00565949">
            <w:pPr>
              <w:pStyle w:val="Tablebodytext"/>
            </w:pPr>
            <w:r>
              <w:t>The project will lead to improved irrigation practices on cotton, rice, sugar and dairy farms. It will help approximately 3000 farmers to optimise their water-use decisions, leading to yield increases and reduced input costs and water use.</w:t>
            </w:r>
          </w:p>
        </w:tc>
      </w:tr>
      <w:tr w:rsidR="00736625" w14:paraId="007BE44C" w14:textId="77777777" w:rsidTr="00736625">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1254950" w14:textId="77777777" w:rsidR="00736625" w:rsidRDefault="00736625" w:rsidP="00565949">
            <w:pPr>
              <w:pStyle w:val="Tablebodytext"/>
            </w:pPr>
            <w:r>
              <w:t>Stimulating private sector extension in Australian agriculture to increase returns from R&amp;D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E7A3A43" w14:textId="77777777" w:rsidR="00736625" w:rsidRDefault="00736625" w:rsidP="00565949">
            <w:pPr>
              <w:pStyle w:val="Tablebodytext"/>
            </w:pPr>
            <w:r>
              <w:t>Dairy Australia Limited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219D8AA" w14:textId="77777777" w:rsidR="00736625" w:rsidRDefault="00736625" w:rsidP="00565949">
            <w:pPr>
              <w:pStyle w:val="Tablebodytext"/>
            </w:pPr>
            <w:r>
              <w:t>$1,595,000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49992D7" w14:textId="77777777" w:rsidR="00736625" w:rsidRDefault="00736625" w:rsidP="00565949">
            <w:pPr>
              <w:pStyle w:val="Tablebodytext"/>
            </w:pPr>
            <w:r>
              <w:t xml:space="preserve">$810,000 cash </w:t>
            </w:r>
            <w:r>
              <w:br/>
              <w:t>$785 000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2A3103A" w14:textId="77777777" w:rsidR="00736625" w:rsidRDefault="00736625" w:rsidP="00565949">
            <w:pPr>
              <w:pStyle w:val="Tablebodytext"/>
            </w:pPr>
            <w:r>
              <w:t>MLA; University of Melbourne; CRDC; APL; SRA; HIAL; VicDEPI; NSW DPI</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4B21FD4" w14:textId="77777777" w:rsidR="00736625" w:rsidRDefault="00736625" w:rsidP="00565949">
            <w:pPr>
              <w:pStyle w:val="Tablebodytext"/>
            </w:pPr>
            <w:r>
              <w:t>The project will research methods of increasing private extension services to primary producers in order to increase producer uptake of new technology and profitability. The project will identify user needs, demand for services and barriers to using these services. Tools and an online portal will be developed to support extension and make sure R&amp;D results are available. The project will build professional extension capacity in the private sector.</w:t>
            </w:r>
          </w:p>
        </w:tc>
      </w:tr>
      <w:tr w:rsidR="00736625" w14:paraId="01856829" w14:textId="77777777" w:rsidTr="00736625">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BF1E2FF" w14:textId="77777777" w:rsidR="00736625" w:rsidRDefault="00736625" w:rsidP="00565949">
            <w:pPr>
              <w:pStyle w:val="Tablebodytext"/>
            </w:pPr>
            <w:r>
              <w:t xml:space="preserve">Improved use of seasonal forecasting to increase farmer profitability </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99E0AA1" w14:textId="77777777" w:rsidR="00736625" w:rsidRDefault="00736625" w:rsidP="00565949">
            <w:pPr>
              <w:pStyle w:val="Tablebodytext"/>
            </w:pPr>
            <w:r>
              <w:t>Rural Industries R&amp;D Corporation</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F0ABE75" w14:textId="77777777" w:rsidR="00736625" w:rsidRDefault="00736625" w:rsidP="00565949">
            <w:pPr>
              <w:pStyle w:val="Tablebodytext"/>
            </w:pPr>
            <w:r>
              <w:t>$1,829,249</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A396965" w14:textId="77777777" w:rsidR="00736625" w:rsidRDefault="00736625" w:rsidP="00565949">
            <w:pPr>
              <w:pStyle w:val="Tablebodytext"/>
            </w:pPr>
            <w:r>
              <w:t>$900,973 cash</w:t>
            </w:r>
            <w:r>
              <w:br/>
              <w:t>$829,226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78D07D5" w14:textId="77777777" w:rsidR="00736625" w:rsidRDefault="00736625" w:rsidP="00565949">
            <w:pPr>
              <w:pStyle w:val="Tablebodytext"/>
            </w:pPr>
            <w:r>
              <w:t>CRDC; GRDC; MLA; SRA; HIAL; SARDI; DAFWA; BoM; USQ; Birchip Cropping Group; VicDEPI; NSW DPI; Monash University</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8723C6F" w14:textId="77777777" w:rsidR="00736625" w:rsidRDefault="00736625" w:rsidP="00565949">
            <w:pPr>
              <w:pStyle w:val="Tablebodytext"/>
            </w:pPr>
            <w:r>
              <w:t>The project will help farmers make the best of seasonal climate forecasts to maximise their productivity.</w:t>
            </w:r>
          </w:p>
        </w:tc>
      </w:tr>
      <w:tr w:rsidR="00736625" w14:paraId="1A0B0BFE" w14:textId="77777777" w:rsidTr="00736625">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5F9ADB4" w14:textId="77777777" w:rsidR="00736625" w:rsidRDefault="00736625" w:rsidP="00565949">
            <w:pPr>
              <w:pStyle w:val="Tablebodytext"/>
            </w:pPr>
            <w:r>
              <w:t>Adaptive area-wide management of QFly using SIT: Guidelines for efficient and effective  pest suppression and stakeholder adoption</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689D72B" w14:textId="77777777" w:rsidR="00736625" w:rsidRDefault="00736625" w:rsidP="00565949">
            <w:pPr>
              <w:pStyle w:val="Tablebodytext"/>
            </w:pPr>
            <w:r>
              <w:t>Horticulture Innovation Australia Limited (HIAL)</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110468A" w14:textId="77777777" w:rsidR="00736625" w:rsidRDefault="00736625" w:rsidP="00565949">
            <w:pPr>
              <w:pStyle w:val="Tablebodytext"/>
            </w:pPr>
            <w:r>
              <w:t>$2,350,000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86F05A2" w14:textId="77777777" w:rsidR="00736625" w:rsidRDefault="00736625" w:rsidP="00565949">
            <w:pPr>
              <w:pStyle w:val="Tablebodytext"/>
            </w:pPr>
            <w:r>
              <w:t>$1,175,000 cash</w:t>
            </w:r>
            <w:r>
              <w:br/>
              <w:t>$1,175,000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637E819" w14:textId="77777777" w:rsidR="00736625" w:rsidRDefault="00736625" w:rsidP="00565949">
            <w:pPr>
              <w:pStyle w:val="Tablebodytext"/>
            </w:pPr>
            <w:r>
              <w:t>Australian Grape &amp; Wine Authority; Biobee; CSIRO; Queensland University of Technology (QUT); NSW Department of Primary Industries (DPI); Primary Industries South Australia (PIRSA); VIC Department of Primary Industries &amp; Environment (DEPI)</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9CFF586" w14:textId="77777777" w:rsidR="00736625" w:rsidRDefault="00736625" w:rsidP="00565949">
            <w:pPr>
              <w:pStyle w:val="Tablebodytext"/>
            </w:pPr>
            <w:r>
              <w:t>The project will help to control the Queensland Fruit Fly, a major pest of Australian horticulture. It will integrate the release of sterile male flies into area-wide integrated pest management programs. This will reduce crop losses caused by Queensland fruit fly damage, and will help Australian horticulture industries to access new markets for their products.</w:t>
            </w:r>
          </w:p>
        </w:tc>
      </w:tr>
      <w:tr w:rsidR="00736625" w14:paraId="45CAF6FC" w14:textId="77777777" w:rsidTr="00736625">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4D7E1D8" w14:textId="77777777" w:rsidR="00736625" w:rsidRDefault="00736625" w:rsidP="00565949">
            <w:pPr>
              <w:pStyle w:val="Tablebodytext"/>
            </w:pPr>
            <w:r>
              <w:t>A profitable future for Australian agriculture: Biorefineries for higher-value animal feeds, chemicals, and fuels</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8FFFBC0" w14:textId="77777777" w:rsidR="00736625" w:rsidRDefault="00736625" w:rsidP="00565949">
            <w:pPr>
              <w:pStyle w:val="Tablebodytext"/>
            </w:pPr>
            <w:r>
              <w:t>Sugar Research Australia (SRA)</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F69DE3F" w14:textId="77777777" w:rsidR="00736625" w:rsidRDefault="00736625" w:rsidP="00565949">
            <w:pPr>
              <w:pStyle w:val="Tablebodytext"/>
            </w:pPr>
            <w:r>
              <w:t>$3,090,564</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B800D7F" w14:textId="77777777" w:rsidR="00736625" w:rsidRDefault="00736625" w:rsidP="00565949">
            <w:pPr>
              <w:pStyle w:val="Tablebodytext"/>
            </w:pPr>
            <w:r>
              <w:t>$1,545,282 cash</w:t>
            </w:r>
            <w:r>
              <w:br/>
              <w:t>$1,544,030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A92AFA9" w14:textId="77777777" w:rsidR="00736625" w:rsidRDefault="00736625" w:rsidP="00565949">
            <w:pPr>
              <w:pStyle w:val="Tablebodytext"/>
            </w:pPr>
            <w:r>
              <w:t>Forest and Wood Products Australia; CRDC; Australian Pork Limited; QUT; Southern Oil; NSW DPI; Agrifuels Ltd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86996CD" w14:textId="77777777" w:rsidR="00736625" w:rsidRDefault="00736625" w:rsidP="00565949">
            <w:pPr>
              <w:pStyle w:val="Tablebodytext"/>
            </w:pPr>
            <w:r>
              <w:t>The project will develop and demonstrate a range of innovative biorefinery technologies that will add value to primary products and by-products. It will develop animal feeds from biomass residues, create chemicals from crops and crop by-products, advanced fuels from agricultural feedstocks, and assess pathways to biorefinery developments in Australia. The project is expected to provide pathways to new markets and reduce input costs for primary producers.</w:t>
            </w:r>
          </w:p>
        </w:tc>
      </w:tr>
      <w:tr w:rsidR="00736625" w14:paraId="1AEEE3F6" w14:textId="77777777" w:rsidTr="00736625">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6720A73" w14:textId="77777777" w:rsidR="00736625" w:rsidRDefault="00736625" w:rsidP="00565949">
            <w:pPr>
              <w:pStyle w:val="Tablebodytext"/>
            </w:pPr>
            <w:r>
              <w:t>Multi-scale monitoring tools for managing Australian tree crops – Industry meets innovation</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0079CA5" w14:textId="77777777" w:rsidR="00736625" w:rsidRDefault="00736625" w:rsidP="00565949">
            <w:pPr>
              <w:pStyle w:val="Tablebodytext"/>
            </w:pPr>
            <w:r>
              <w:t>Horticulture Innovation Australia Limited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F1128A1" w14:textId="77777777" w:rsidR="00736625" w:rsidRDefault="00736625" w:rsidP="00565949">
            <w:pPr>
              <w:pStyle w:val="Tablebodytext"/>
            </w:pPr>
            <w:r>
              <w:t>$3,428,248</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050754A" w14:textId="77777777" w:rsidR="00736625" w:rsidRDefault="00736625" w:rsidP="00565949">
            <w:pPr>
              <w:pStyle w:val="Tablebodytext"/>
            </w:pPr>
            <w:r>
              <w:t>$1,890,000 cash</w:t>
            </w:r>
            <w:r>
              <w:br/>
              <w:t>$1,538,248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9B078B0" w14:textId="77777777" w:rsidR="00736625" w:rsidRDefault="00736625" w:rsidP="00565949">
            <w:pPr>
              <w:pStyle w:val="Tablebodytext"/>
            </w:pPr>
            <w:r>
              <w:t>University of Queensland (UQ); University of Central Queensland; University of New England; University of Sydney; Avocados Australia; Simpson Farms; Australian Mango Industry Association; Australian Macadamia Society; QDAF; Agtrix Ltd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212EBDA" w14:textId="77777777" w:rsidR="00736625" w:rsidRDefault="00736625" w:rsidP="00565949">
            <w:pPr>
              <w:pStyle w:val="Tablebodytext"/>
            </w:pPr>
            <w:r>
              <w:t xml:space="preserve">The project will integrate the latest imaging and robotics technologies to provide mango, avocado and macadamia farmers with decision-support tools to help improve production and profit. The data collected through this project, and the tools it develops, will help farmers to predict fruit quality and yield, and to monitor tree health including early detection of pests and disease outbreaks. </w:t>
            </w:r>
          </w:p>
        </w:tc>
      </w:tr>
      <w:tr w:rsidR="00736625" w14:paraId="7257FC38" w14:textId="77777777" w:rsidTr="00736625">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9AC1F12" w14:textId="77777777" w:rsidR="00736625" w:rsidRDefault="00736625" w:rsidP="00565949">
            <w:pPr>
              <w:pStyle w:val="Tablebodytext"/>
            </w:pPr>
            <w:r>
              <w:t>Fast-tracking and maximising the long-lasting benefits of weed biological control for farm productivity</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B30D30D" w14:textId="77777777" w:rsidR="00736625" w:rsidRDefault="00736625" w:rsidP="00565949">
            <w:pPr>
              <w:pStyle w:val="Tablebodytext"/>
            </w:pPr>
            <w:r>
              <w:t xml:space="preserve">Meat and Livestock Australia Limited </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B1D6792" w14:textId="77777777" w:rsidR="00736625" w:rsidRDefault="00736625" w:rsidP="00565949">
            <w:pPr>
              <w:pStyle w:val="Tablebodytext"/>
            </w:pPr>
            <w:r>
              <w:t>$1,897,918</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21B41AE" w14:textId="77777777" w:rsidR="00736625" w:rsidRDefault="00736625" w:rsidP="00565949">
            <w:pPr>
              <w:pStyle w:val="Tablebodytext"/>
            </w:pPr>
            <w:r>
              <w:t>$948,959 cash</w:t>
            </w:r>
            <w:r>
              <w:br/>
              <w:t>$948,959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AB36A6E" w14:textId="77777777" w:rsidR="00736625" w:rsidRDefault="00736625" w:rsidP="00565949">
            <w:pPr>
              <w:pStyle w:val="Tablebodytext"/>
            </w:pPr>
            <w:r>
              <w:t>CSIRO; NSW DPI; PIRSA; Queensland Department of Agriculture, Forestry and Fisheries; VIC DEPI; TasWeed Biocontrol; Murdoch University; NSW Local Land Services; Victoria Gorse Taskforce and Landcare Groups; Pilbara Mesquite Management Committee; SA Grains Industry Trust; SA Government.</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006DCF9" w14:textId="77777777" w:rsidR="00736625" w:rsidRDefault="00736625" w:rsidP="00565949">
            <w:pPr>
              <w:pStyle w:val="Tablebodytext"/>
            </w:pPr>
            <w:r>
              <w:t>The project will improve the control of six national priority agricultural weeds (parkinsonia, parthenium, blackberry, silverleaf nightshade, cylindropuntia, gorse). Success will be achieved by fast-tracking delivery of eight biocontrol agents to producers and is expected to reduce weed competition and herbicide use.</w:t>
            </w:r>
          </w:p>
        </w:tc>
      </w:tr>
      <w:tr w:rsidR="00736625" w14:paraId="4388EA4A" w14:textId="77777777" w:rsidTr="00736625">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473E04A" w14:textId="77777777" w:rsidR="00736625" w:rsidRDefault="00736625" w:rsidP="00565949">
            <w:pPr>
              <w:pStyle w:val="Tablebodytext"/>
            </w:pPr>
            <w:r>
              <w:t>Growing a profitable, innovative and collaborative Australian Yellowtail Kingfish aquaculture industry: bringing 'white' fish to the market</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C7038BE" w14:textId="77777777" w:rsidR="00736625" w:rsidRDefault="00736625" w:rsidP="00565949">
            <w:pPr>
              <w:pStyle w:val="Tablebodytext"/>
            </w:pPr>
            <w:r>
              <w:t>Fisheries R&amp;D Corporation</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83DC443" w14:textId="77777777" w:rsidR="00736625" w:rsidRDefault="00736625" w:rsidP="00565949">
            <w:pPr>
              <w:pStyle w:val="Tablebodytext"/>
            </w:pPr>
            <w:r>
              <w:t>$3,000,000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49F261D" w14:textId="77777777" w:rsidR="00736625" w:rsidRDefault="00736625" w:rsidP="00565949">
            <w:pPr>
              <w:pStyle w:val="Tablebodytext"/>
            </w:pPr>
            <w:r>
              <w:t>$1,650,000 cash</w:t>
            </w:r>
            <w:r>
              <w:br/>
              <w:t>$1,400,000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8861653" w14:textId="77777777" w:rsidR="00736625" w:rsidRDefault="00736625" w:rsidP="00565949">
            <w:pPr>
              <w:pStyle w:val="Tablebodytext"/>
            </w:pPr>
            <w:r>
              <w:t>South Australian Research and Development Institute; Clean Seas Tuna Ltd; NSW DPI</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B136EA7" w14:textId="77777777" w:rsidR="00736625" w:rsidRDefault="00736625" w:rsidP="00565949">
            <w:pPr>
              <w:pStyle w:val="Tablebodytext"/>
            </w:pPr>
            <w:r>
              <w:t>The project aims to develop more cost effective Yellowtail Kingfish feeds and feeding strategies. This will drive immediate production gains for Yellowtail Kingfish aquaculture. An additional focus is to build a Yellowtail Kingfish aquaculture R&amp;D network to strengthen adoption of research outcomes.</w:t>
            </w:r>
          </w:p>
        </w:tc>
      </w:tr>
      <w:tr w:rsidR="00736625" w14:paraId="20270F24" w14:textId="77777777" w:rsidTr="00736625">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690E8C1" w14:textId="77777777" w:rsidR="00736625" w:rsidRDefault="00736625" w:rsidP="00565949">
            <w:pPr>
              <w:pStyle w:val="Tablebodytext"/>
            </w:pPr>
            <w:r>
              <w:t>Waste to revenue: novel fertilisers and feeds</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03E2615" w14:textId="77777777" w:rsidR="00736625" w:rsidRDefault="00736625" w:rsidP="00565949">
            <w:pPr>
              <w:pStyle w:val="Tablebodytext"/>
            </w:pPr>
            <w:r>
              <w:t>Australian Pork Limited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B47B1BE" w14:textId="77777777" w:rsidR="00736625" w:rsidRDefault="00736625" w:rsidP="00565949">
            <w:pPr>
              <w:pStyle w:val="Tablebodytext"/>
            </w:pPr>
            <w:r>
              <w:t>$862,693</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87AB61D" w14:textId="77777777" w:rsidR="00736625" w:rsidRDefault="00736625" w:rsidP="00565949">
            <w:pPr>
              <w:pStyle w:val="Tablebodytext"/>
            </w:pPr>
            <w:r>
              <w:t>$569,376 cash</w:t>
            </w:r>
            <w:r>
              <w:br/>
              <w:t>$569,000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6A96C8C" w14:textId="77777777" w:rsidR="00736625" w:rsidRDefault="00736625" w:rsidP="00565949">
            <w:pPr>
              <w:pStyle w:val="Tablebodytext"/>
            </w:pPr>
            <w:r>
              <w:t xml:space="preserve">DA; SRA; </w:t>
            </w:r>
            <w:r w:rsidR="007A4E59">
              <w:t>AgriFutures</w:t>
            </w:r>
            <w:r>
              <w:t>; MLA; UQ; UWA</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CB613EB" w14:textId="77777777" w:rsidR="00736625" w:rsidRDefault="00736625" w:rsidP="00565949">
            <w:pPr>
              <w:pStyle w:val="Tablebodytext"/>
            </w:pPr>
            <w:r>
              <w:t>The project will find ways to turn agricultural waste into feed, fertilisers and soil conditioners. This recycling can reduce on-farm input costs, enhance sustainability and provide producers with new opportunities to generate income from waste.</w:t>
            </w:r>
          </w:p>
        </w:tc>
      </w:tr>
      <w:tr w:rsidR="00736625" w14:paraId="788CA675" w14:textId="77777777" w:rsidTr="00736625">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57C99CB" w14:textId="77777777" w:rsidR="00736625" w:rsidRDefault="00736625" w:rsidP="00565949">
            <w:pPr>
              <w:pStyle w:val="Tablebodytext"/>
            </w:pPr>
            <w:r>
              <w:t>Market and Consumer Insights to Drive Food Value Chain Innovation and Growth</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824BFAF" w14:textId="77777777" w:rsidR="00736625" w:rsidRDefault="00736625" w:rsidP="00565949">
            <w:pPr>
              <w:pStyle w:val="Tablebodytext"/>
            </w:pPr>
            <w:r>
              <w:t xml:space="preserve">Meat and Livestock Australia Limited </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4DA8C97" w14:textId="77777777" w:rsidR="00736625" w:rsidRDefault="00736625" w:rsidP="00565949">
            <w:pPr>
              <w:pStyle w:val="Tablebodytext"/>
            </w:pPr>
            <w:r>
              <w:t>$2,873,500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F506BE7" w14:textId="77777777" w:rsidR="00736625" w:rsidRDefault="00736625" w:rsidP="00565949">
            <w:pPr>
              <w:pStyle w:val="Tablebodytext"/>
            </w:pPr>
            <w:r>
              <w:t>$3,440,000 cash $2,237,000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B4837BD" w14:textId="77777777" w:rsidR="00736625" w:rsidRDefault="00736625" w:rsidP="00565949">
            <w:pPr>
              <w:pStyle w:val="Tablebodytext"/>
            </w:pPr>
            <w:r>
              <w:t>Victorian DEPI; HIAL; CSIRO; Australian Seafood Cooperative Research Centre; FRDC</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C8F17B0" w14:textId="090E9C8C" w:rsidR="00736625" w:rsidRDefault="00736625" w:rsidP="00565949">
            <w:pPr>
              <w:pStyle w:val="Tablebodytext"/>
            </w:pPr>
            <w:r>
              <w:t>The project will identify opportunities in export markets and help producers and their supply chain partners respond effectively to those opportunities to grow their businesses. It aims to build the capacity of agri-food supply chains to innovate and collaborate for market advantage by creating easy-to-access tools and strategies, including online resources and face-to-face workshops</w:t>
            </w:r>
            <w:r w:rsidR="00B25C0E">
              <w:t xml:space="preserve">. </w:t>
            </w:r>
          </w:p>
        </w:tc>
      </w:tr>
      <w:tr w:rsidR="00736625" w14:paraId="2521BA66" w14:textId="77777777" w:rsidTr="00736625">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6DAC972" w14:textId="77777777" w:rsidR="00736625" w:rsidRDefault="00736625" w:rsidP="00565949">
            <w:pPr>
              <w:pStyle w:val="Tablebodytext"/>
            </w:pPr>
            <w:r>
              <w:t>MIR for profit: integrating very large genomic and milk mid-infrared data to improve profitability of dairy cows</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26EE677" w14:textId="77777777" w:rsidR="00736625" w:rsidRDefault="00736625" w:rsidP="00565949">
            <w:pPr>
              <w:pStyle w:val="Tablebodytext"/>
            </w:pPr>
            <w:r>
              <w:t>Dairy Australia Limited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38C4B16" w14:textId="77777777" w:rsidR="00736625" w:rsidRDefault="00736625" w:rsidP="00565949">
            <w:pPr>
              <w:pStyle w:val="Tablebodytext"/>
            </w:pPr>
            <w:r>
              <w:t>$927,273</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8293507" w14:textId="77777777" w:rsidR="00736625" w:rsidRDefault="00736625" w:rsidP="00565949">
            <w:pPr>
              <w:pStyle w:val="Tablebodytext"/>
            </w:pPr>
            <w:r>
              <w:t>$518,182 cash</w:t>
            </w:r>
            <w:r>
              <w:br/>
              <w:t>$510,000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FE42390" w14:textId="77777777" w:rsidR="00736625" w:rsidRDefault="00736625" w:rsidP="00565949">
            <w:pPr>
              <w:pStyle w:val="Tablebodytext"/>
            </w:pPr>
            <w:r>
              <w:t>Victorian DEPI; National Herd Improvement Association; Australian Dairy Herd Improvement Scheme; Teagasc; University of Liege; Walloon Agricultural Research Centre</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E3512DF" w14:textId="77777777" w:rsidR="00736625" w:rsidRDefault="00736625" w:rsidP="00565949">
            <w:pPr>
              <w:pStyle w:val="Tablebodytext"/>
            </w:pPr>
            <w:r>
              <w:t>The project will develop new tools to help dairy farmers manage and select the most profitable cows by using technology to scan milk samples for genetic, health and production information. The outcomes would then inform breeding decisions to improve the genetics gain of the national herd.</w:t>
            </w:r>
          </w:p>
        </w:tc>
      </w:tr>
      <w:tr w:rsidR="00736625" w14:paraId="2320537C" w14:textId="77777777" w:rsidTr="00736625">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9F8962D" w14:textId="77777777" w:rsidR="00736625" w:rsidRDefault="00736625" w:rsidP="00565949">
            <w:pPr>
              <w:pStyle w:val="Tablebodytext"/>
            </w:pPr>
            <w:r>
              <w:t xml:space="preserve">Consolidating targeted and practical extension services for Australian Farmers and Fishers (The foundation to address Priority 4a) </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0A5FBE2" w14:textId="77777777" w:rsidR="00736625" w:rsidRDefault="00736625" w:rsidP="00565949">
            <w:pPr>
              <w:pStyle w:val="Tablebodytext"/>
            </w:pPr>
            <w:r>
              <w:t>Rural Industries R&amp;D Corporation</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ABD0E81" w14:textId="77777777" w:rsidR="00736625" w:rsidRDefault="00736625" w:rsidP="00565949">
            <w:pPr>
              <w:pStyle w:val="Tablebodytext"/>
            </w:pPr>
            <w:r>
              <w:t>$815,000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1E23904" w14:textId="77777777" w:rsidR="00736625" w:rsidRDefault="00736625" w:rsidP="00565949">
            <w:pPr>
              <w:pStyle w:val="Tablebodytext"/>
            </w:pPr>
            <w:r>
              <w:t>$600,000 cash</w:t>
            </w:r>
            <w:r>
              <w:br/>
              <w:t>$300,000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EB2133D" w14:textId="77777777" w:rsidR="00736625" w:rsidRDefault="00736625" w:rsidP="00565949">
            <w:pPr>
              <w:pStyle w:val="Tablebodytext"/>
            </w:pPr>
            <w:r>
              <w:t>VIC DEPI; TIA; NT Department of Primary Industries and Fisheries; NSW Local Land Services</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098DB43" w14:textId="77777777" w:rsidR="00736625" w:rsidRDefault="00736625" w:rsidP="00565949">
            <w:pPr>
              <w:pStyle w:val="Tablebodytext"/>
            </w:pPr>
            <w:r>
              <w:t>The project will provide Australian agricultural extension services with greater national coordination and leadership. Fragmentation of extension activities may be one of the causal factors for recent declines in productivity and profitability growth in Australian agriculture. By addressing this problem, greater productivity gains can be realised.</w:t>
            </w:r>
            <w:r w:rsidR="0043139C">
              <w:t xml:space="preserve"> </w:t>
            </w:r>
            <w:r>
              <w:t xml:space="preserve">This project was completed in December 2016. The </w:t>
            </w:r>
            <w:hyperlink r:id="rId34" w:history="1">
              <w:r>
                <w:rPr>
                  <w:rStyle w:val="Hyperlink"/>
                  <w:rFonts w:ascii="Calibri" w:hAnsi="Calibri" w:cs="Calibri"/>
                  <w:sz w:val="20"/>
                  <w:szCs w:val="20"/>
                </w:rPr>
                <w:t>final report is now available</w:t>
              </w:r>
            </w:hyperlink>
          </w:p>
        </w:tc>
      </w:tr>
    </w:tbl>
    <w:p w14:paraId="2A2F9417" w14:textId="77777777" w:rsidR="00736625" w:rsidRDefault="00D965C6" w:rsidP="00BB0B25">
      <w:pPr>
        <w:pStyle w:val="Heading3"/>
        <w:numPr>
          <w:ilvl w:val="0"/>
          <w:numId w:val="0"/>
        </w:numPr>
        <w:ind w:left="851"/>
      </w:pPr>
      <w:r>
        <w:t>Round 2</w:t>
      </w:r>
    </w:p>
    <w:tbl>
      <w:tblPr>
        <w:tblW w:w="5000" w:type="pct"/>
        <w:tblBorders>
          <w:top w:val="single" w:sz="6" w:space="0" w:color="CDE8EA"/>
          <w:left w:val="single" w:sz="6" w:space="0" w:color="CDE8EA"/>
          <w:bottom w:val="single" w:sz="6" w:space="0" w:color="CDE8EA"/>
          <w:right w:val="single" w:sz="6" w:space="0" w:color="CDE8EA"/>
        </w:tblBorders>
        <w:tblCellMar>
          <w:left w:w="0" w:type="dxa"/>
          <w:right w:w="0" w:type="dxa"/>
        </w:tblCellMar>
        <w:tblLook w:val="04A0" w:firstRow="1" w:lastRow="0" w:firstColumn="1" w:lastColumn="0" w:noHBand="0" w:noVBand="1"/>
        <w:tblCaption w:val="Round 2 - list of projects"/>
        <w:tblDescription w:val="This lists all projects in Round 2.  Information has been taken directly from the department's website. "/>
      </w:tblPr>
      <w:tblGrid>
        <w:gridCol w:w="2143"/>
        <w:gridCol w:w="1349"/>
        <w:gridCol w:w="1103"/>
        <w:gridCol w:w="1824"/>
        <w:gridCol w:w="3656"/>
        <w:gridCol w:w="3345"/>
      </w:tblGrid>
      <w:tr w:rsidR="007579D2" w:rsidRPr="007579D2" w14:paraId="48C1273E" w14:textId="77777777" w:rsidTr="007579D2">
        <w:trPr>
          <w:tblHeader/>
        </w:trPr>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center"/>
            <w:hideMark/>
          </w:tcPr>
          <w:p w14:paraId="7E50FA3D" w14:textId="77777777" w:rsidR="007579D2" w:rsidRPr="007579D2" w:rsidRDefault="007579D2" w:rsidP="007579D2">
            <w:pPr>
              <w:spacing w:after="225"/>
              <w:ind w:left="0"/>
              <w:jc w:val="center"/>
              <w:rPr>
                <w:rFonts w:ascii="Calibri" w:eastAsia="Times New Roman" w:hAnsi="Calibri" w:cs="Calibri"/>
                <w:color w:val="284E36"/>
                <w:sz w:val="20"/>
                <w:szCs w:val="20"/>
              </w:rPr>
            </w:pPr>
            <w:r w:rsidRPr="007579D2">
              <w:rPr>
                <w:rFonts w:ascii="Calibri" w:eastAsia="Times New Roman" w:hAnsi="Calibri" w:cs="Calibri"/>
                <w:color w:val="284E36"/>
                <w:sz w:val="20"/>
                <w:szCs w:val="20"/>
              </w:rPr>
              <w:t>Project title</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center"/>
            <w:hideMark/>
          </w:tcPr>
          <w:p w14:paraId="039CE5BB" w14:textId="77777777" w:rsidR="007579D2" w:rsidRPr="007579D2" w:rsidRDefault="007579D2" w:rsidP="007579D2">
            <w:pPr>
              <w:spacing w:after="225"/>
              <w:ind w:left="0"/>
              <w:jc w:val="center"/>
              <w:rPr>
                <w:rFonts w:ascii="Calibri" w:eastAsia="Times New Roman" w:hAnsi="Calibri" w:cs="Calibri"/>
                <w:color w:val="284E36"/>
                <w:sz w:val="20"/>
                <w:szCs w:val="20"/>
              </w:rPr>
            </w:pPr>
            <w:r w:rsidRPr="007579D2">
              <w:rPr>
                <w:rFonts w:ascii="Calibri" w:eastAsia="Times New Roman" w:hAnsi="Calibri" w:cs="Calibri"/>
                <w:color w:val="284E36"/>
                <w:sz w:val="20"/>
                <w:szCs w:val="20"/>
              </w:rPr>
              <w:t>Applicant</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center"/>
            <w:hideMark/>
          </w:tcPr>
          <w:p w14:paraId="3525FC3E" w14:textId="77777777" w:rsidR="007579D2" w:rsidRPr="007579D2" w:rsidRDefault="007579D2" w:rsidP="007579D2">
            <w:pPr>
              <w:spacing w:after="225"/>
              <w:ind w:left="0"/>
              <w:jc w:val="center"/>
              <w:rPr>
                <w:rFonts w:ascii="Calibri" w:eastAsia="Times New Roman" w:hAnsi="Calibri" w:cs="Calibri"/>
                <w:color w:val="284E36"/>
                <w:sz w:val="20"/>
                <w:szCs w:val="20"/>
              </w:rPr>
            </w:pPr>
            <w:r w:rsidRPr="007579D2">
              <w:rPr>
                <w:rFonts w:ascii="Calibri" w:eastAsia="Times New Roman" w:hAnsi="Calibri" w:cs="Calibri"/>
                <w:color w:val="284E36"/>
                <w:sz w:val="20"/>
                <w:szCs w:val="20"/>
              </w:rPr>
              <w:t>Grant funding (GST excl)</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center"/>
            <w:hideMark/>
          </w:tcPr>
          <w:p w14:paraId="0D4AB10A" w14:textId="77777777" w:rsidR="007579D2" w:rsidRPr="007579D2" w:rsidRDefault="007579D2" w:rsidP="007579D2">
            <w:pPr>
              <w:spacing w:after="225"/>
              <w:ind w:left="0"/>
              <w:jc w:val="center"/>
              <w:rPr>
                <w:rFonts w:ascii="Calibri" w:eastAsia="Times New Roman" w:hAnsi="Calibri" w:cs="Calibri"/>
                <w:color w:val="284E36"/>
                <w:sz w:val="20"/>
                <w:szCs w:val="20"/>
              </w:rPr>
            </w:pPr>
            <w:r w:rsidRPr="007579D2">
              <w:rPr>
                <w:rFonts w:ascii="Calibri" w:eastAsia="Times New Roman" w:hAnsi="Calibri" w:cs="Calibri"/>
                <w:color w:val="284E36"/>
                <w:sz w:val="20"/>
                <w:szCs w:val="20"/>
              </w:rPr>
              <w:t>Applicant/partner contributions (GST excl.)</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center"/>
            <w:hideMark/>
          </w:tcPr>
          <w:p w14:paraId="0576904C" w14:textId="77777777" w:rsidR="007579D2" w:rsidRPr="007579D2" w:rsidRDefault="007579D2" w:rsidP="007579D2">
            <w:pPr>
              <w:spacing w:after="225"/>
              <w:ind w:left="0"/>
              <w:jc w:val="center"/>
              <w:rPr>
                <w:rFonts w:ascii="Calibri" w:eastAsia="Times New Roman" w:hAnsi="Calibri" w:cs="Calibri"/>
                <w:color w:val="284E36"/>
                <w:sz w:val="20"/>
                <w:szCs w:val="20"/>
              </w:rPr>
            </w:pPr>
            <w:r w:rsidRPr="007579D2">
              <w:rPr>
                <w:rFonts w:ascii="Calibri" w:eastAsia="Times New Roman" w:hAnsi="Calibri" w:cs="Calibri"/>
                <w:color w:val="284E36"/>
                <w:sz w:val="20"/>
                <w:szCs w:val="20"/>
              </w:rPr>
              <w:t>Contributors</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center"/>
            <w:hideMark/>
          </w:tcPr>
          <w:p w14:paraId="308A67E9" w14:textId="77777777" w:rsidR="007579D2" w:rsidRPr="007579D2" w:rsidRDefault="007579D2" w:rsidP="007579D2">
            <w:pPr>
              <w:spacing w:after="225"/>
              <w:ind w:left="0"/>
              <w:jc w:val="center"/>
              <w:rPr>
                <w:rFonts w:ascii="Calibri" w:eastAsia="Times New Roman" w:hAnsi="Calibri" w:cs="Calibri"/>
                <w:color w:val="284E36"/>
                <w:sz w:val="20"/>
                <w:szCs w:val="20"/>
              </w:rPr>
            </w:pPr>
            <w:r w:rsidRPr="007579D2">
              <w:rPr>
                <w:rFonts w:ascii="Calibri" w:eastAsia="Times New Roman" w:hAnsi="Calibri" w:cs="Calibri"/>
                <w:color w:val="284E36"/>
                <w:sz w:val="20"/>
                <w:szCs w:val="20"/>
              </w:rPr>
              <w:t>Summary</w:t>
            </w:r>
          </w:p>
        </w:tc>
      </w:tr>
      <w:tr w:rsidR="007579D2" w:rsidRPr="007579D2" w14:paraId="48B40909" w14:textId="77777777" w:rsidTr="007579D2">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50B47F2"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Securing Pollination for More Productive Agriculture: Guidelines for effective pollinator management and stakeholder adoption</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CD3E144"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Rural Industries R&amp;D Corporation (</w:t>
            </w:r>
            <w:r w:rsidR="007A4E59">
              <w:rPr>
                <w:rFonts w:ascii="Calibri" w:eastAsia="Times New Roman" w:hAnsi="Calibri" w:cs="Calibri"/>
                <w:color w:val="444444"/>
                <w:sz w:val="20"/>
                <w:szCs w:val="20"/>
              </w:rPr>
              <w:t>now AgriFutures</w:t>
            </w:r>
            <w:r w:rsidRPr="007579D2">
              <w:rPr>
                <w:rFonts w:ascii="Calibri" w:eastAsia="Times New Roman" w:hAnsi="Calibri" w:cs="Calibri"/>
                <w:color w:val="444444"/>
                <w:sz w:val="20"/>
                <w:szCs w:val="20"/>
              </w:rPr>
              <w:t>)</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77592B8"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$5,255,000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48A6C58"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$2,627,714 cash</w:t>
            </w:r>
            <w:r w:rsidRPr="007579D2">
              <w:rPr>
                <w:rFonts w:ascii="Calibri" w:eastAsia="Times New Roman" w:hAnsi="Calibri" w:cs="Calibri"/>
                <w:color w:val="444444"/>
                <w:sz w:val="20"/>
                <w:szCs w:val="20"/>
              </w:rPr>
              <w:br/>
              <w:t>$5,227,563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D6B3B18"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Horticulture Innovation  Australia (HIAL); University of Sydney; University of Adelaide; University of New England (UNE); Primary Industry and Resources South Australia (PIRSA); Department Environment, Water and Natural Resources South Australia (DEWNRSA); O’Connor NRM; Native Vegetation Council (NVC); Trees for Life (TFL); CSIRO; Lucerne Australia; South Australia Apiarist Association; Northern and York NRM Board; Apple &amp; Pear; Costa Group; Australian Melon Association (AMA); Australian Mango Industry Association (AMIA); Terrestrial Ecosystems Research Network (TERN); Greening Australia (GA); Almond Board of Australia</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5C6DA5D"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The project will realise significant productivity and profitability gains for farmers by improving yield and rates of pollination. The project will assess the contribution of pollinators to nine crops, re-establish native vegetation to support pollinator food and nesting resources, and use new technologies to communicate the findings to crop farmers.</w:t>
            </w:r>
          </w:p>
        </w:tc>
      </w:tr>
      <w:tr w:rsidR="007579D2" w:rsidRPr="007579D2" w14:paraId="47501AC4" w14:textId="77777777" w:rsidTr="007579D2">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DCB83A6"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Taking the Q (query) out of Q fever: developing a better understanding of the drivers of Q fever spread in farmed ruminants</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38647ED"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 xml:space="preserve">Rural Industries R&amp;D Corporation </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1823A06"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$514,500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BF8B35F"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$735,000 cash $367,800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F063063"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University of Melbourne; Meredith Dairy; Australian Rickettsial Research Laboratory; University of Sydney; University of Queensland; University of Adelaide; Charles Sturt University; Goat Veterinary Consultancies; Victorian Department of Economic Development, Jobs, Transport and Resources (DEDJTR), QDAF</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B7AF685"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The project will develop a better understanding of factors influencing the risk of Q fever spread within and between Australian ruminant livestock enterprises, and develop national guidelines for an emergency response plan to be used in the event of Q fever outbreak in humans.</w:t>
            </w:r>
          </w:p>
        </w:tc>
      </w:tr>
      <w:tr w:rsidR="007579D2" w:rsidRPr="007579D2" w14:paraId="59FAFA60" w14:textId="77777777" w:rsidTr="007579D2">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71FB1DC"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New biocontrol solutions for sustainable management of weed impacts on agricultural profitability</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5F72AE6"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 xml:space="preserve">Rural Industries R&amp;D Corporation </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6359B90"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$6,230,437</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19DAD44"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$3,179,818 cash</w:t>
            </w:r>
            <w:r w:rsidRPr="007579D2">
              <w:rPr>
                <w:rFonts w:ascii="Calibri" w:eastAsia="Times New Roman" w:hAnsi="Calibri" w:cs="Calibri"/>
                <w:color w:val="444444"/>
                <w:sz w:val="20"/>
                <w:szCs w:val="20"/>
              </w:rPr>
              <w:br/>
              <w:t>$3,603,635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90CEE41"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Grains Research and Development Corporation  (GRDC); CSIRO; NSW DPI; QDAF; Victorian DEDJTR; PIRSA; Queensland Bulk Water Supply Authority (SEQWater); Shire of Ravensthorpe; NSW Weed Biocontrol Taskforce; North West Local Land Services; NSW Office of Environment &amp; Heritage; Bundaberg Regional Council; Gladstone Regional Council; HQ Plantations; Goulburn Murray Water Corporation; Murrumbidgee Irrigation Ltd; Coleambally Irrigation Cooperative Limited; Goulburn Broken Catchment Management Authority; Murray Local Land Services; and the United States Department of Agriculture Agricultural Research Service (USDA-ARS) Australian Biological Control Laboratory, Wyong Shire Council, NSW National Parks Service, Central Murray County Council, Murrumbidgee Landcare Inc</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01D2AAC"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The project will improve the profitability of farmers by developing new biocontrol solutions for ten priority weed species across multiple agriculture sectors. Experts from Australia and international research agencies will work together to develop new biocontrol agents to target weed species of national significance, weeds that are difficult to control with current methods and weeds that have substantial impacts on agriculture productivity.</w:t>
            </w:r>
          </w:p>
        </w:tc>
      </w:tr>
      <w:tr w:rsidR="007579D2" w:rsidRPr="007579D2" w14:paraId="3DD07FBC" w14:textId="77777777" w:rsidTr="007579D2">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C641250"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Phosphorus Efficient Pastures: delivering high nitrogen and water use efficiency, and reducing costs of production across Southern Australia</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61F4DF1"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Meat and Livestock Australia Limited (MLA)</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9FE1050"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$3,460,000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2C486FC"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$1,730,000 cash</w:t>
            </w:r>
            <w:r w:rsidRPr="007579D2">
              <w:rPr>
                <w:rFonts w:ascii="Calibri" w:eastAsia="Times New Roman" w:hAnsi="Calibri" w:cs="Calibri"/>
                <w:color w:val="444444"/>
                <w:sz w:val="20"/>
                <w:szCs w:val="20"/>
              </w:rPr>
              <w:br/>
              <w:t>$3,247,829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87B34AF"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Dairy Australia; Australian Wool Innovation; CSIRO; DPI &amp; Office of the NSW Department of Trade &amp; Investment in Regional Infrastructure &amp; Services; University of Western Australia; Murdoch University; Bookham Agricultural Bureau; Tablelands Farming Systems; Central Ranges Grassland Society; Monaro Farming Systems; Association for Sheep Husbandry, Excellence, Evaluation and Production (ASHEEP); Southern Dirt; Boggabri grazing group; Purlewaugh NSW Farmers</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9A0EDD2"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The project will reduce the phosphorus dependence of Australian farmers by delivering pasture systems that require less phosphorus fertiliser. This will achieve multiple benefits including nitrogen use efficiency, water efficiency and improved productivity for Australia’s pasture systems. The project will also develop the knowledge and necessary protocols to equip and inform farmers about how to improve their phosphorus efficiency.</w:t>
            </w:r>
          </w:p>
        </w:tc>
      </w:tr>
      <w:tr w:rsidR="007579D2" w:rsidRPr="007579D2" w14:paraId="2CF31638" w14:textId="77777777" w:rsidTr="007579D2">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2C11F19"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Improved surveillance, preparedness and return to trade for emergency animal disease incursions using FMD as a model</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5D2C6B7"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Meat and Livestock Australia Limited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21E4302"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$5,869,968</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DFD7D1E"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$2,934,984 cash</w:t>
            </w:r>
            <w:r w:rsidRPr="007579D2">
              <w:rPr>
                <w:rFonts w:ascii="Calibri" w:eastAsia="Times New Roman" w:hAnsi="Calibri" w:cs="Calibri"/>
                <w:color w:val="444444"/>
                <w:sz w:val="20"/>
                <w:szCs w:val="20"/>
              </w:rPr>
              <w:br/>
              <w:t>$2,934,984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0B5B620"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CSIRO; Animal Health Australia; Charles Sturt University; Bureau of Meteorology; Australian Bureau of Agricultural and Resource Economics and Sciences (ABARES); Australian Government Department of Agriculture and Water Resources – Animal Health Policy Branch.</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618B560"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The project will strengthen preparedness and facilitate a return to trade for Australia in the event of an emergency animal disease (EAD) incursion, using Foot and Mouth Disease as a model. The project will take a strong multi-disciplinary approach, working closely with animal industries to deliver a systems based approach to optimise EAD management systems in Australia.</w:t>
            </w:r>
          </w:p>
        </w:tc>
      </w:tr>
      <w:tr w:rsidR="007579D2" w:rsidRPr="007579D2" w14:paraId="07D9D896" w14:textId="77777777" w:rsidTr="007579D2">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4A81D04"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Advanced measurement technologies for globally competitive Australian meat</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06DDE8C"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Meat and Livestock Australia Limited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1FF6E42"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$4,850,000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F35CC2B"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$4,255,000 cash</w:t>
            </w:r>
            <w:r w:rsidRPr="007579D2">
              <w:rPr>
                <w:rFonts w:ascii="Calibri" w:eastAsia="Times New Roman" w:hAnsi="Calibri" w:cs="Calibri"/>
                <w:color w:val="444444"/>
                <w:sz w:val="20"/>
                <w:szCs w:val="20"/>
              </w:rPr>
              <w:br/>
              <w:t>$2,842,000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DE66091"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APL; Scott Technology Ltd; Murdoch University; University of Technology Sydney; Department of Agriculture and Food Western Australia; Victorian Department of Economic Development, Jobs, Transport and Resources; NSW DPI; South Australian Research and Development Institute; JBS Australia; Australian Cattle and Beef Holdings; Australian Country Choice Pty Ltd; Teys Australia Management Pty Ltd; Harvey Beed; Carometec; PorkScan Private; University of Melbourne</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A13776F"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The project will enable beef, sheep and pig farmers to have access to more accurate measurements of meat produce to inform and improve decisions on breeding and animal husbandry. The project will deliver advances measurement technologies and enhanced feedback systems to provide producers with new information to improve competitiveness, and profitability in the meat value chain. The project will also capitalise on the cooperation of industry stakeholders to maximise effective decision making, reduce risk and optimise profits.</w:t>
            </w:r>
          </w:p>
        </w:tc>
      </w:tr>
      <w:tr w:rsidR="007579D2" w:rsidRPr="007579D2" w14:paraId="42A16D8E" w14:textId="77777777" w:rsidTr="007579D2">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B569E40"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Enhancing the profitability and productivity of livestock farming through virtual herding technology</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501DA16"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Dairy Australia Limited (DA)</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31859DB"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$2,600,000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83BF490"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$1,365,000 cash</w:t>
            </w:r>
            <w:r w:rsidRPr="007579D2">
              <w:rPr>
                <w:rFonts w:ascii="Calibri" w:eastAsia="Times New Roman" w:hAnsi="Calibri" w:cs="Calibri"/>
                <w:color w:val="444444"/>
                <w:sz w:val="20"/>
                <w:szCs w:val="20"/>
              </w:rPr>
              <w:br/>
              <w:t>$1,871,805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F21EF29"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MLA; AWI; APL; CSIRO; Tasmanian Institute of Agriculture at University of Tasmania; University of Sydney; University of New England; University of Melbourne; Agersens Pty Ltd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3E0D03C"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The project will evaluate the on-farm application of virtual fencing and herding technology, demonstrate its implementation and extend its benefits across the major livestock industries. Specifically, the project will develop an understanding of the learning, management and ethical challenges associated with the adoption of virtual fencing on farms. The introduction of a change in both pasture management, and the way that livestock are herded and managed, will enable significant productivity and profitability gains for Australia’s pastoral farmers.</w:t>
            </w:r>
          </w:p>
        </w:tc>
      </w:tr>
      <w:tr w:rsidR="007579D2" w:rsidRPr="007579D2" w14:paraId="367F57B4" w14:textId="77777777" w:rsidTr="007579D2">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5F4BFAB"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Easy-Open Oysters</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969F037"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Fisheries R&amp;D Corporation (FRDC)</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03159CD"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$236,275</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04EF5ED"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$193,325 cash</w:t>
            </w:r>
            <w:r w:rsidRPr="007579D2">
              <w:rPr>
                <w:rFonts w:ascii="Calibri" w:eastAsia="Times New Roman" w:hAnsi="Calibri" w:cs="Calibri"/>
                <w:color w:val="444444"/>
                <w:sz w:val="20"/>
                <w:szCs w:val="20"/>
              </w:rPr>
              <w:br/>
              <w:t>$57,950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03D4084"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Seafood CRC Company Ltd; Scott Technology Pty Ltd; Oyster Bob Pty Ltd; Angelakis Bros Pty Ltd; Tassal Operations Pty Ltd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8E0E35F"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The project will investigate the use of technology such as robotics and improve the way oysters can be delivered to customers. The project will develop innovative systems to open and reseal oysters making them easily opened and extending the shelf life by allowing the oyster to be kept alive for a longer time between opening and consumption.</w:t>
            </w:r>
          </w:p>
        </w:tc>
      </w:tr>
      <w:tr w:rsidR="007579D2" w:rsidRPr="007579D2" w14:paraId="562DE6EC" w14:textId="77777777" w:rsidTr="007579D2">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E5463F7"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Accelerating precision agriculture to decision agriculture</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68BD0D3"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Cotton R&amp;D Corporation (CRDC)</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CD6FD2E"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$1,397,561</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EBB8EFA"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$750,000 cash</w:t>
            </w:r>
            <w:r w:rsidRPr="007579D2">
              <w:rPr>
                <w:rFonts w:ascii="Calibri" w:eastAsia="Times New Roman" w:hAnsi="Calibri" w:cs="Calibri"/>
                <w:color w:val="444444"/>
                <w:sz w:val="20"/>
                <w:szCs w:val="20"/>
              </w:rPr>
              <w:br/>
              <w:t>$1,410,415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C68C850"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Meat and Livestock Australia; Dairy Australia Limited; Grains Research &amp; Development Corporation; Sugar Research Australia; Rural Industries Research &amp; Development Corporation; Australian Wool Innovation; Horticulture Innovation Australia; Australian Pork Limited; Wine Australia; Forest &amp; Wood Products Australia; Fisheries Research and Development Corporation; Australian Farm Institute; Data to Decisions CRC; University of New England; Griffith University; University of the Sunshine Coast; CSIRO</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AD98772"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The project will design a solution for the use of big data in agriculture in order to increase the profitability of producers and improve farming strategies. The project will help producers understand data ownership and access rights and will increase the adoption of new technologies to improve farm profits.</w:t>
            </w:r>
          </w:p>
        </w:tc>
      </w:tr>
      <w:tr w:rsidR="007579D2" w:rsidRPr="007579D2" w14:paraId="6DE9E777" w14:textId="77777777" w:rsidTr="007579D2">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A00C2A7"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More profit from nitrogen: enhancing the nutrient use efficiency of intensive cropping and pasture systems</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A384F1E"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Cotton R&amp;D Corporation (CRDC)</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D40128E"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$5,889,286</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E14B790"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$4,170,652 cash</w:t>
            </w:r>
            <w:r w:rsidRPr="007579D2">
              <w:rPr>
                <w:rFonts w:ascii="Calibri" w:eastAsia="Times New Roman" w:hAnsi="Calibri" w:cs="Calibri"/>
                <w:color w:val="444444"/>
                <w:sz w:val="20"/>
                <w:szCs w:val="20"/>
              </w:rPr>
              <w:br/>
              <w:t>$5,626,295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BD2F166"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Dairy Australia; Sugar Research Australia; Horticulture Innovation Australia; NSW Department of Primary Industries; Queensland University of Technology; University of Melbourne; Tasmanian Institute of Agriculture; Queensland Department of Science, Information, Technology and Innovation; Herbert Cane Productivity Services Limited; Farmacist Pty Ltd; Southern Cross University; Queensland Department of Agriculture and Fisheries; Sunshine Sugar; University of Queensland; University of Southern Queensland; Northern Territory Department of Primary Industry and Fisheries; Cherry Growers Australia; Australian Mango Industry Association</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683809D"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 xml:space="preserve">The project will improve the nitrogen use efficiency for the cotton, dairy, sugar and horticulture industries. Farmers will gain a better understanding of the various influences on nitrogen use efficiency, and improved confidence to adopt fertiliser management practices tailored to specific crop requirements allowing greater farm productivity and profitability. </w:t>
            </w:r>
            <w:r w:rsidRPr="007579D2">
              <w:rPr>
                <w:rFonts w:ascii="Calibri" w:eastAsia="Times New Roman" w:hAnsi="Calibri" w:cs="Calibri"/>
                <w:color w:val="444444"/>
                <w:sz w:val="20"/>
                <w:szCs w:val="20"/>
              </w:rPr>
              <w:br/>
              <w:t>More efficient use and management of nitrogen by primary producers will also result in significant natural resource benefits, with improved soil health, reduced leaching and run</w:t>
            </w:r>
            <w:r w:rsidRPr="007579D2">
              <w:rPr>
                <w:rFonts w:ascii="Calibri" w:eastAsia="Times New Roman" w:hAnsi="Calibri" w:cs="Calibri"/>
                <w:color w:val="444444"/>
                <w:sz w:val="20"/>
                <w:szCs w:val="20"/>
              </w:rPr>
              <w:noBreakHyphen/>
              <w:t>off to creeks and rivers, and lower greenhouse gas emissions.</w:t>
            </w:r>
          </w:p>
        </w:tc>
      </w:tr>
      <w:tr w:rsidR="007579D2" w:rsidRPr="007579D2" w14:paraId="38B4B6D4" w14:textId="77777777" w:rsidTr="007579D2">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161B7AB"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Lifting farm gate profit through high value modular agroforestry</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CCFE347"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Forest and  Wood Products Australia (FWPA)</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E4EF190"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$520,000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595E1D4"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$260,000 cash</w:t>
            </w:r>
            <w:r w:rsidRPr="007579D2">
              <w:rPr>
                <w:rFonts w:ascii="Calibri" w:eastAsia="Times New Roman" w:hAnsi="Calibri" w:cs="Calibri"/>
                <w:color w:val="444444"/>
                <w:sz w:val="20"/>
                <w:szCs w:val="20"/>
              </w:rPr>
              <w:br/>
              <w:t>$638,674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205448E"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 xml:space="preserve">CSIRO; Private Forests Tasmania; DA; </w:t>
            </w:r>
            <w:r w:rsidR="007A4E59">
              <w:rPr>
                <w:rFonts w:ascii="Calibri" w:eastAsia="Times New Roman" w:hAnsi="Calibri" w:cs="Calibri"/>
                <w:color w:val="444444"/>
                <w:sz w:val="20"/>
                <w:szCs w:val="20"/>
              </w:rPr>
              <w:t>AgriFutures</w:t>
            </w:r>
            <w:r w:rsidRPr="007579D2">
              <w:rPr>
                <w:rFonts w:ascii="Calibri" w:eastAsia="Times New Roman" w:hAnsi="Calibri" w:cs="Calibri"/>
                <w:color w:val="444444"/>
                <w:sz w:val="20"/>
                <w:szCs w:val="20"/>
              </w:rPr>
              <w:t>; University of Tasmania; GA; Forico; Tasmanian Farmers and Graziers Association</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F23BA74"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The project will develop new approaches for the introduction of trees in agricultural lands to increase farm profitability. Outcomes will include direct benefits to farmers including shelter for livestock, higher animal productivity, resilience to weather events, establishment of floral resources for honeybees, sequestration of carbon, and production of timber resources for sale.</w:t>
            </w:r>
          </w:p>
        </w:tc>
      </w:tr>
      <w:tr w:rsidR="007579D2" w:rsidRPr="007579D2" w14:paraId="6B12A810" w14:textId="77777777" w:rsidTr="007579D2">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7D6C6D3"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Advanced production systems for the temperate nut crop industries</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5963E07"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Horticulture Innovation Australia Limited (HIAL)</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FD68747"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$5,000,000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410AED8"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$4,450,000 cash</w:t>
            </w:r>
            <w:r w:rsidRPr="007579D2">
              <w:rPr>
                <w:rFonts w:ascii="Calibri" w:eastAsia="Times New Roman" w:hAnsi="Calibri" w:cs="Calibri"/>
                <w:color w:val="444444"/>
                <w:sz w:val="20"/>
                <w:szCs w:val="20"/>
              </w:rPr>
              <w:br/>
              <w:t>$808,470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F107EA4"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Almond Board of Australia; Victorian Department of Economic Development, Jobs, Transport and Resources; South Australian Research and Development Institute; and NSW DPI</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6D7422D"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The project will develop advanced production systems for nut industries using almonds and walnuts as model crops. Plantings of superior varieties of almond and walnut trees will be established and cultivated using optimal water and soil management strategies.</w:t>
            </w:r>
            <w:r w:rsidRPr="007579D2">
              <w:rPr>
                <w:rFonts w:ascii="Calibri" w:eastAsia="Times New Roman" w:hAnsi="Calibri" w:cs="Calibri"/>
                <w:color w:val="444444"/>
                <w:sz w:val="20"/>
                <w:szCs w:val="20"/>
              </w:rPr>
              <w:br/>
              <w:t>The project will measure the impact of temperate nut production on orchard soils, and develop alternative techniques to enhance overall soil quality, reducing inputs and negative impacts. The project will demonstrate how multiple industries can collaborate to form an integrated research program that is capable of delivering advanced change to production systems.</w:t>
            </w:r>
          </w:p>
        </w:tc>
      </w:tr>
      <w:tr w:rsidR="007579D2" w:rsidRPr="007579D2" w14:paraId="42872898" w14:textId="77777777" w:rsidTr="007579D2">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5C66759"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National Centre for Post-harvest Disinfestation Research on Mediterranean Fruit Fly (Australian Medfly R&amp;D Centre)</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7778CC8"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Horticulture Innovation Australia Limited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060D17C"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$1,647,636</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D51736A"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$1,655,746 cash $1,763,455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8C57C9A"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Murdoch University; Western Australia Department of Agriculture and Food; Queensland Department of Agriculture and Fisheries; Kalang Consultancy Services Pty Ltd; DAWR</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B4A0AA4" w14:textId="77777777" w:rsidR="007579D2" w:rsidRPr="007579D2" w:rsidRDefault="007579D2" w:rsidP="0043139C">
            <w:pPr>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The project will establish a new Mediterranean Fruit Fly (MedFly) facility and undertake research to develop endpoint treatments for killing medfly in horticulture produce. The project will also assist in maintaining and expanding market access to other countries by providing evidence that Australian horticulture exports are not infected by Medfly.</w:t>
            </w:r>
          </w:p>
        </w:tc>
      </w:tr>
      <w:tr w:rsidR="007579D2" w:rsidRPr="007579D2" w14:paraId="59D96C58" w14:textId="77777777" w:rsidTr="007579D2">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62D2217"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Digital technologies for more dynamic management of disease, stress and yield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C81A227"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Australian Grape and Wine Authority (</w:t>
            </w:r>
            <w:r w:rsidR="007A4E59">
              <w:rPr>
                <w:rFonts w:ascii="Calibri" w:eastAsia="Times New Roman" w:hAnsi="Calibri" w:cs="Calibri"/>
                <w:color w:val="444444"/>
                <w:sz w:val="20"/>
                <w:szCs w:val="20"/>
              </w:rPr>
              <w:t>now Wine Australia</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43664D2"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$2,987,635</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5C69E0A"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$4,804,082 cash</w:t>
            </w:r>
            <w:r w:rsidRPr="007579D2">
              <w:rPr>
                <w:rFonts w:ascii="Calibri" w:eastAsia="Times New Roman" w:hAnsi="Calibri" w:cs="Calibri"/>
                <w:color w:val="444444"/>
                <w:sz w:val="20"/>
                <w:szCs w:val="20"/>
              </w:rPr>
              <w:br/>
              <w:t>$5,721,593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FA99FA0"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CRDC; HIAL; CSIRO; Fraunhofer Institute; Tasmanian Institute of Agriculture (TIA); Tolpuddle Vineyard; Lastek Pty Ltd; University of Queensland (UQ); Australian Wine Research Institute (AWRI); Accolade Wines; University of South Australia; Barton Vale Technologies; Pernod Ricard Winemakers: Treasury Wine Estates;</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95DAD98" w14:textId="77777777" w:rsidR="007579D2" w:rsidRPr="007579D2" w:rsidRDefault="007579D2" w:rsidP="0043139C">
            <w:pPr>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 xml:space="preserve">The project will develop innovative processes and precision technologies for the cotton and grape growing industries. The introduction of new digital technologies will provide for more accurate yield forecasts, earlier disease detection in grapes and cotton and better management decisions about crop condition and nutrient levels. The project will extend the use of the technology by trialling equipment on properties and demonstrating the benefits through the use of extension networks </w:t>
            </w:r>
          </w:p>
        </w:tc>
      </w:tr>
      <w:tr w:rsidR="007579D2" w:rsidRPr="007579D2" w14:paraId="0D52CEAD" w14:textId="77777777" w:rsidTr="0043139C">
        <w:trPr>
          <w:trHeight w:val="540"/>
        </w:trPr>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51E5ACB"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Mitigation of Climate Change Impacts on the National Wine Industry by Reduction in Losses from Controlled Burns and Wildfires and Improvement in Public Land Management</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88DC3A8"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Australian Grape and Wine Authority</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19800C9"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$1,466,000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F63097D"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$1,466,000 cash</w:t>
            </w:r>
            <w:r w:rsidRPr="007579D2">
              <w:rPr>
                <w:rFonts w:ascii="Calibri" w:eastAsia="Times New Roman" w:hAnsi="Calibri" w:cs="Calibri"/>
                <w:color w:val="444444"/>
                <w:sz w:val="20"/>
                <w:szCs w:val="20"/>
              </w:rPr>
              <w:br/>
              <w:t>$723,156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57004F5"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AWRI; Victorian Department of Economic Development, Jobs, Transport and Resources; La Trobe University; Cooperative Research Centre for Polymers; Wine Victoria</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57B1147" w14:textId="77777777" w:rsidR="007579D2" w:rsidRPr="007579D2" w:rsidRDefault="007579D2" w:rsidP="0043139C">
            <w:pPr>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The project will generate knowledge and new technologies to inform the development of bushfire risk management activities that are less likely to damage grape and wine production. For example, critical distances which reduce the risk of controlled burns to vineyards will be determined and early warning systems for smoke exposure will be developed to enable the targeted application of protective sprays in vineyards at risk of smoke damage. This project will also assist industry by providing a range of effective tools and techniques to remediate affected grapes and wine to promote the viability of affected business.</w:t>
            </w:r>
          </w:p>
        </w:tc>
      </w:tr>
      <w:tr w:rsidR="007579D2" w:rsidRPr="007579D2" w14:paraId="432062E9" w14:textId="77777777" w:rsidTr="007579D2">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CCF7C51"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Enhancing supply chain profitability through reporting and utilisation of peri-mortem information by livestock producers</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EE11579"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Australian Pork Limited (APL)</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C01D24C"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$711,668</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CED7385"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$754,905 cash $259,021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C757ADA"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South Australian Research and Development Institute; Victorian Department of Economic Development, Jobs, Transport and Resources</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1F6C641" w14:textId="3EC5F2D0" w:rsidR="007579D2" w:rsidRPr="007579D2" w:rsidRDefault="007579D2" w:rsidP="0043139C">
            <w:pPr>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This project aims to develop standards for the consistent reporting, recording and analysis of peri-mortem information for beef, sheep meat and pork. This will assist in developing a national approach to reporting peri-mortem information for use by producers, processors, regulators and other key stakeholders and will contribute to streamlining and investments in systems that are commonly used in these livestock sectors</w:t>
            </w:r>
            <w:r w:rsidR="00B25C0E">
              <w:rPr>
                <w:rFonts w:ascii="Calibri" w:eastAsia="Times New Roman" w:hAnsi="Calibri" w:cs="Calibri"/>
                <w:color w:val="444444"/>
                <w:sz w:val="20"/>
                <w:szCs w:val="20"/>
              </w:rPr>
              <w:t xml:space="preserve">. </w:t>
            </w:r>
            <w:r w:rsidRPr="007579D2">
              <w:rPr>
                <w:rFonts w:ascii="Calibri" w:eastAsia="Times New Roman" w:hAnsi="Calibri" w:cs="Calibri"/>
                <w:color w:val="444444"/>
                <w:sz w:val="20"/>
                <w:szCs w:val="20"/>
              </w:rPr>
              <w:t>This project will improve productivity by providing consistent data to producers for the monitoring of health incidences and enable informed production decisions to be made to maximise yield outcomes.</w:t>
            </w:r>
          </w:p>
        </w:tc>
      </w:tr>
      <w:tr w:rsidR="007579D2" w:rsidRPr="007579D2" w14:paraId="078F8660" w14:textId="77777777" w:rsidTr="007579D2">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C7F606E"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Enhancing the Sugar Industry value chain by addressing mechanical harvest losses through research, technology and adoption</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DA3495B"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Sugar Research Australia (SRA)</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C420965"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$3,551,000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C6F194B"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$1,925,000 cash $2,649,643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D2A3587" w14:textId="77777777" w:rsidR="007579D2" w:rsidRPr="007579D2" w:rsidRDefault="007579D2" w:rsidP="007579D2">
            <w:pPr>
              <w:spacing w:after="225"/>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Norris Energy Crop Technology; QUT; Sugar Research Institute; MSF Sugar; AGTRIX Pty Ltd; QDAF</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754495E" w14:textId="77777777" w:rsidR="007579D2" w:rsidRPr="007579D2" w:rsidRDefault="007579D2" w:rsidP="0043139C">
            <w:pPr>
              <w:ind w:left="0"/>
              <w:rPr>
                <w:rFonts w:ascii="Calibri" w:eastAsia="Times New Roman" w:hAnsi="Calibri" w:cs="Calibri"/>
                <w:color w:val="444444"/>
                <w:sz w:val="20"/>
                <w:szCs w:val="20"/>
              </w:rPr>
            </w:pPr>
            <w:r w:rsidRPr="007579D2">
              <w:rPr>
                <w:rFonts w:ascii="Calibri" w:eastAsia="Times New Roman" w:hAnsi="Calibri" w:cs="Calibri"/>
                <w:color w:val="444444"/>
                <w:sz w:val="20"/>
                <w:szCs w:val="20"/>
              </w:rPr>
              <w:t xml:space="preserve">The project aims to increase sugar industry profitability by introducing new harvesting technologies and information to deliver higher yields and lower milling and transport costs. </w:t>
            </w:r>
            <w:r w:rsidRPr="007579D2">
              <w:rPr>
                <w:rFonts w:ascii="Calibri" w:eastAsia="Times New Roman" w:hAnsi="Calibri" w:cs="Calibri"/>
                <w:color w:val="444444"/>
                <w:sz w:val="20"/>
                <w:szCs w:val="20"/>
              </w:rPr>
              <w:br/>
              <w:t>The project will deliver new software and harvesting information in real time to improve the harvest management and minimise damage to plants.</w:t>
            </w:r>
          </w:p>
        </w:tc>
      </w:tr>
    </w:tbl>
    <w:p w14:paraId="2822C195" w14:textId="77777777" w:rsidR="00193F7F" w:rsidRDefault="00193F7F" w:rsidP="00736625"/>
    <w:p w14:paraId="58692727" w14:textId="77777777" w:rsidR="00D965C6" w:rsidRDefault="007579D2" w:rsidP="00BB0B25">
      <w:pPr>
        <w:pStyle w:val="Heading3"/>
        <w:numPr>
          <w:ilvl w:val="0"/>
          <w:numId w:val="0"/>
        </w:numPr>
        <w:ind w:left="851"/>
      </w:pPr>
      <w:r>
        <w:t>Round 3</w:t>
      </w:r>
    </w:p>
    <w:tbl>
      <w:tblPr>
        <w:tblW w:w="5000" w:type="pct"/>
        <w:tblBorders>
          <w:top w:val="single" w:sz="6" w:space="0" w:color="CDE8EA"/>
          <w:left w:val="single" w:sz="6" w:space="0" w:color="CDE8EA"/>
          <w:bottom w:val="single" w:sz="6" w:space="0" w:color="CDE8EA"/>
          <w:right w:val="single" w:sz="6" w:space="0" w:color="CDE8EA"/>
        </w:tblBorders>
        <w:tblCellMar>
          <w:left w:w="0" w:type="dxa"/>
          <w:right w:w="0" w:type="dxa"/>
        </w:tblCellMar>
        <w:tblLook w:val="04A0" w:firstRow="1" w:lastRow="0" w:firstColumn="1" w:lastColumn="0" w:noHBand="0" w:noVBand="1"/>
        <w:tblCaption w:val="Round 3 - list of projects"/>
        <w:tblDescription w:val="This lists all projects in Round 3.  Information has been taken directly from the department's website.  "/>
      </w:tblPr>
      <w:tblGrid>
        <w:gridCol w:w="1968"/>
        <w:gridCol w:w="1422"/>
        <w:gridCol w:w="1102"/>
        <w:gridCol w:w="1821"/>
        <w:gridCol w:w="3617"/>
        <w:gridCol w:w="3490"/>
      </w:tblGrid>
      <w:tr w:rsidR="000F4B9E" w:rsidRPr="007642AC" w14:paraId="2570FA82" w14:textId="77777777" w:rsidTr="007642AC">
        <w:trPr>
          <w:tblHeader/>
        </w:trPr>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center"/>
            <w:hideMark/>
          </w:tcPr>
          <w:p w14:paraId="550FDB95" w14:textId="77777777" w:rsidR="007642AC" w:rsidRPr="007642AC" w:rsidRDefault="007642AC" w:rsidP="007642AC">
            <w:pPr>
              <w:spacing w:after="225"/>
              <w:ind w:left="0"/>
              <w:jc w:val="center"/>
              <w:rPr>
                <w:rFonts w:ascii="Calibri" w:eastAsia="Times New Roman" w:hAnsi="Calibri" w:cs="Calibri"/>
                <w:color w:val="284E36"/>
                <w:sz w:val="20"/>
                <w:szCs w:val="20"/>
              </w:rPr>
            </w:pPr>
            <w:r w:rsidRPr="007642AC">
              <w:rPr>
                <w:rFonts w:ascii="Calibri" w:eastAsia="Times New Roman" w:hAnsi="Calibri" w:cs="Calibri"/>
                <w:color w:val="284E36"/>
                <w:sz w:val="20"/>
                <w:szCs w:val="20"/>
              </w:rPr>
              <w:t>Project title</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center"/>
            <w:hideMark/>
          </w:tcPr>
          <w:p w14:paraId="5C67C9DB" w14:textId="77777777" w:rsidR="007642AC" w:rsidRPr="007642AC" w:rsidRDefault="007642AC" w:rsidP="007642AC">
            <w:pPr>
              <w:spacing w:after="225"/>
              <w:ind w:left="0"/>
              <w:jc w:val="center"/>
              <w:rPr>
                <w:rFonts w:ascii="Calibri" w:eastAsia="Times New Roman" w:hAnsi="Calibri" w:cs="Calibri"/>
                <w:color w:val="284E36"/>
                <w:sz w:val="20"/>
                <w:szCs w:val="20"/>
              </w:rPr>
            </w:pPr>
            <w:r w:rsidRPr="007642AC">
              <w:rPr>
                <w:rFonts w:ascii="Calibri" w:eastAsia="Times New Roman" w:hAnsi="Calibri" w:cs="Calibri"/>
                <w:color w:val="284E36"/>
                <w:sz w:val="20"/>
                <w:szCs w:val="20"/>
              </w:rPr>
              <w:t>Applicant</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center"/>
            <w:hideMark/>
          </w:tcPr>
          <w:p w14:paraId="14B7B186" w14:textId="77777777" w:rsidR="007642AC" w:rsidRPr="007642AC" w:rsidRDefault="007642AC" w:rsidP="007642AC">
            <w:pPr>
              <w:spacing w:after="225"/>
              <w:ind w:left="0"/>
              <w:jc w:val="center"/>
              <w:rPr>
                <w:rFonts w:ascii="Calibri" w:eastAsia="Times New Roman" w:hAnsi="Calibri" w:cs="Calibri"/>
                <w:color w:val="284E36"/>
                <w:sz w:val="20"/>
                <w:szCs w:val="20"/>
              </w:rPr>
            </w:pPr>
            <w:r w:rsidRPr="007642AC">
              <w:rPr>
                <w:rFonts w:ascii="Calibri" w:eastAsia="Times New Roman" w:hAnsi="Calibri" w:cs="Calibri"/>
                <w:color w:val="284E36"/>
                <w:sz w:val="20"/>
                <w:szCs w:val="20"/>
              </w:rPr>
              <w:t>Grant funding (GST excl)</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center"/>
            <w:hideMark/>
          </w:tcPr>
          <w:p w14:paraId="662228C9" w14:textId="77777777" w:rsidR="007642AC" w:rsidRPr="007642AC" w:rsidRDefault="007642AC" w:rsidP="007642AC">
            <w:pPr>
              <w:spacing w:after="225"/>
              <w:ind w:left="0"/>
              <w:jc w:val="center"/>
              <w:rPr>
                <w:rFonts w:ascii="Calibri" w:eastAsia="Times New Roman" w:hAnsi="Calibri" w:cs="Calibri"/>
                <w:color w:val="284E36"/>
                <w:sz w:val="20"/>
                <w:szCs w:val="20"/>
              </w:rPr>
            </w:pPr>
            <w:r w:rsidRPr="007642AC">
              <w:rPr>
                <w:rFonts w:ascii="Calibri" w:eastAsia="Times New Roman" w:hAnsi="Calibri" w:cs="Calibri"/>
                <w:color w:val="284E36"/>
                <w:sz w:val="20"/>
                <w:szCs w:val="20"/>
              </w:rPr>
              <w:t>Applicant/partner contributions (GST excl.)</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center"/>
            <w:hideMark/>
          </w:tcPr>
          <w:p w14:paraId="47838F52" w14:textId="77777777" w:rsidR="007642AC" w:rsidRPr="007642AC" w:rsidRDefault="007642AC" w:rsidP="007642AC">
            <w:pPr>
              <w:spacing w:after="225"/>
              <w:ind w:left="0"/>
              <w:jc w:val="center"/>
              <w:rPr>
                <w:rFonts w:ascii="Calibri" w:eastAsia="Times New Roman" w:hAnsi="Calibri" w:cs="Calibri"/>
                <w:color w:val="284E36"/>
                <w:sz w:val="20"/>
                <w:szCs w:val="20"/>
              </w:rPr>
            </w:pPr>
            <w:r w:rsidRPr="007642AC">
              <w:rPr>
                <w:rFonts w:ascii="Calibri" w:eastAsia="Times New Roman" w:hAnsi="Calibri" w:cs="Calibri"/>
                <w:color w:val="284E36"/>
                <w:sz w:val="20"/>
                <w:szCs w:val="20"/>
              </w:rPr>
              <w:t>Contributors</w:t>
            </w:r>
          </w:p>
        </w:tc>
        <w:tc>
          <w:tcPr>
            <w:tcW w:w="0" w:type="auto"/>
            <w:tcBorders>
              <w:top w:val="outset" w:sz="6" w:space="0" w:color="auto"/>
              <w:left w:val="outset" w:sz="6" w:space="0" w:color="auto"/>
              <w:bottom w:val="outset" w:sz="6" w:space="0" w:color="auto"/>
              <w:right w:val="outset" w:sz="6" w:space="0" w:color="FFFFFF"/>
            </w:tcBorders>
            <w:shd w:val="clear" w:color="auto" w:fill="CDE8EA"/>
            <w:tcMar>
              <w:top w:w="60" w:type="dxa"/>
              <w:left w:w="120" w:type="dxa"/>
              <w:bottom w:w="60" w:type="dxa"/>
              <w:right w:w="120" w:type="dxa"/>
            </w:tcMar>
            <w:vAlign w:val="center"/>
            <w:hideMark/>
          </w:tcPr>
          <w:p w14:paraId="1D1E10A3" w14:textId="77777777" w:rsidR="007642AC" w:rsidRPr="007642AC" w:rsidRDefault="007642AC" w:rsidP="007642AC">
            <w:pPr>
              <w:spacing w:after="225"/>
              <w:ind w:left="0"/>
              <w:jc w:val="center"/>
              <w:rPr>
                <w:rFonts w:ascii="Calibri" w:eastAsia="Times New Roman" w:hAnsi="Calibri" w:cs="Calibri"/>
                <w:color w:val="284E36"/>
                <w:sz w:val="20"/>
                <w:szCs w:val="20"/>
              </w:rPr>
            </w:pPr>
            <w:r w:rsidRPr="007642AC">
              <w:rPr>
                <w:rFonts w:ascii="Calibri" w:eastAsia="Times New Roman" w:hAnsi="Calibri" w:cs="Calibri"/>
                <w:color w:val="284E36"/>
                <w:sz w:val="20"/>
                <w:szCs w:val="20"/>
              </w:rPr>
              <w:t>Summary</w:t>
            </w:r>
          </w:p>
        </w:tc>
      </w:tr>
      <w:tr w:rsidR="000F4B9E" w:rsidRPr="007642AC" w14:paraId="610007DA" w14:textId="77777777" w:rsidTr="007642A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A471707" w14:textId="77777777" w:rsidR="007642AC" w:rsidRPr="007642AC" w:rsidRDefault="007642AC" w:rsidP="007642AC">
            <w:pPr>
              <w:spacing w:after="225"/>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Wastes to profits: Technologies and business models for the management of wastes in the animal industries</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44B6487" w14:textId="77777777" w:rsidR="007642AC" w:rsidRPr="007642AC" w:rsidRDefault="007642AC" w:rsidP="007642AC">
            <w:pPr>
              <w:spacing w:after="225"/>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Meat and Livestock Australia (MLA)</w:t>
            </w:r>
            <w:r w:rsidRPr="007642AC">
              <w:rPr>
                <w:rFonts w:ascii="Calibri" w:eastAsia="Times New Roman" w:hAnsi="Calibri" w:cs="Calibri"/>
                <w:b/>
                <w:bCs/>
                <w:color w:val="444444"/>
                <w:sz w:val="20"/>
                <w:szCs w:val="20"/>
              </w:rPr>
              <w:t xml:space="preserve"> </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B5C419F" w14:textId="77777777" w:rsidR="007642AC" w:rsidRPr="007642AC" w:rsidRDefault="007642AC" w:rsidP="007642AC">
            <w:pPr>
              <w:spacing w:after="225"/>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 xml:space="preserve">$6,000,000 </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D4E3B8B" w14:textId="77777777" w:rsidR="007642AC" w:rsidRPr="007642AC" w:rsidRDefault="007642AC" w:rsidP="007642AC">
            <w:pPr>
              <w:spacing w:after="225"/>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4,651,826 cash</w:t>
            </w:r>
            <w:r w:rsidRPr="007642AC">
              <w:rPr>
                <w:rFonts w:ascii="Calibri" w:eastAsia="Times New Roman" w:hAnsi="Calibri" w:cs="Calibri"/>
                <w:color w:val="444444"/>
                <w:sz w:val="20"/>
                <w:szCs w:val="20"/>
              </w:rPr>
              <w:br/>
              <w:t xml:space="preserve">$3,721,903 in-kind </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D4F019D" w14:textId="77777777" w:rsidR="007642AC" w:rsidRPr="007642AC" w:rsidRDefault="007642AC" w:rsidP="007642AC">
            <w:pPr>
              <w:spacing w:after="225"/>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 xml:space="preserve">Australian Meat Processor Corporation; Dairy Australia Ltd; Australian Pork Ltd; Queensland University of Technology; University of Queensland; University of Southern Queensland; Murdoch University; Pacific Northwest National Laboratory; JBS Australia; Teys Australia; Australia Country Choice; Australian Lamb Company; Harvey Beef; Ridley Corporation Ltd; Aduro Biopolymers;  Zeolite Australia Pty Ltd; Barwon Water; Queensland Urban Utilities </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AFDADC4" w14:textId="77777777" w:rsidR="007642AC" w:rsidRPr="007642AC" w:rsidRDefault="007642AC" w:rsidP="007642AC">
            <w:pPr>
              <w:spacing w:after="225"/>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 xml:space="preserve">Australia’s red meat, dairy, and pork industries produce significant quantities of wastes during on-farm production, intensive feeding and processing of animals. Waste management costs these industries more than $200 million per year. This project will research and develop technologies and business models to reduce this cost as well as capture a market opportunity in excess of $100 million per year by converting wastes into valuable products such as fertilisers, feeds, chemicals and energy products for use in agriculture. </w:t>
            </w:r>
          </w:p>
        </w:tc>
      </w:tr>
      <w:tr w:rsidR="000F4B9E" w:rsidRPr="007642AC" w14:paraId="2DB88650" w14:textId="77777777" w:rsidTr="007642A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93A1341" w14:textId="77777777" w:rsidR="007642AC" w:rsidRPr="007642AC" w:rsidRDefault="007642AC" w:rsidP="007642AC">
            <w:pPr>
              <w:spacing w:after="225"/>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Increasing farm gate profits, the role of natural capital accounts</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4019562" w14:textId="77777777" w:rsidR="007642AC" w:rsidRPr="007642AC" w:rsidRDefault="007642AC" w:rsidP="007642AC">
            <w:pPr>
              <w:spacing w:after="225"/>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Forest and Wood Products Australia (FWPA)</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BCC923D" w14:textId="77777777" w:rsidR="007642AC" w:rsidRPr="007642AC" w:rsidRDefault="007642AC" w:rsidP="007642AC">
            <w:pPr>
              <w:spacing w:after="225"/>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$900,000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2130C7F" w14:textId="77777777" w:rsidR="007642AC" w:rsidRPr="007642AC" w:rsidRDefault="007642AC" w:rsidP="007642AC">
            <w:pPr>
              <w:spacing w:after="225"/>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$450,000 cash</w:t>
            </w:r>
            <w:r w:rsidRPr="007642AC">
              <w:rPr>
                <w:rFonts w:ascii="Calibri" w:eastAsia="Times New Roman" w:hAnsi="Calibri" w:cs="Calibri"/>
                <w:color w:val="444444"/>
                <w:sz w:val="20"/>
                <w:szCs w:val="20"/>
              </w:rPr>
              <w:br/>
              <w:t>$801,018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FD331FD" w14:textId="77777777" w:rsidR="007642AC" w:rsidRPr="007642AC" w:rsidRDefault="007642AC" w:rsidP="007642AC">
            <w:pPr>
              <w:spacing w:after="225"/>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CSIRO; Cotton Research and Development Corporation; Fisheries Research and Development Corporation; Ecological Australia; HVP Plantations; Vic Forests; Australian Bureau of Statistics;</w:t>
            </w:r>
            <w:r w:rsidRPr="007642AC">
              <w:rPr>
                <w:rFonts w:ascii="Calibri" w:eastAsia="Times New Roman" w:hAnsi="Calibri" w:cs="Calibri"/>
                <w:color w:val="444444"/>
                <w:sz w:val="20"/>
                <w:szCs w:val="20"/>
              </w:rPr>
              <w:br/>
              <w:t>Australian Bureau of Meteorology; OneFortyOne Plantations</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431862E" w14:textId="77777777" w:rsidR="007642AC" w:rsidRPr="007642AC" w:rsidRDefault="007642AC" w:rsidP="007642AC">
            <w:pPr>
              <w:spacing w:after="225"/>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 xml:space="preserve">Natural capital is the soil, air, water and biodiversity – the natural resources used for food and fibre production. This project will apply Natural Capital Accounting to the forestry, cotton and fisheries industries allowing producers to: </w:t>
            </w:r>
          </w:p>
          <w:p w14:paraId="2AF599A9" w14:textId="77777777" w:rsidR="007642AC" w:rsidRPr="00443F10" w:rsidRDefault="007642AC" w:rsidP="00443F10">
            <w:pPr>
              <w:pStyle w:val="Tablebullet"/>
            </w:pPr>
            <w:r w:rsidRPr="00443F10">
              <w:t>incorporate natural assets into farm business systems to help identify risks and costs associated with depleting these assets and manage accordingly</w:t>
            </w:r>
          </w:p>
          <w:p w14:paraId="2B14A11E" w14:textId="77777777" w:rsidR="007642AC" w:rsidRPr="00443F10" w:rsidRDefault="007642AC" w:rsidP="00443F10">
            <w:pPr>
              <w:pStyle w:val="Tablebullet"/>
            </w:pPr>
            <w:r w:rsidRPr="00443F10">
              <w:t>access cheaper finance, drawing on opportunities from finance organisations who explicitly incorporate natural capital in the credit risk calculations and offer lower interest rates for landholders who manage these assets</w:t>
            </w:r>
          </w:p>
          <w:p w14:paraId="5175C2A1" w14:textId="77777777" w:rsidR="007642AC" w:rsidRPr="00565949" w:rsidRDefault="007642AC" w:rsidP="00443F10">
            <w:pPr>
              <w:pStyle w:val="Tablebullet"/>
            </w:pPr>
            <w:r w:rsidRPr="00443F10">
              <w:t>demonstrate best practice management of natural assets and increase profitability by accessing premium markets.</w:t>
            </w:r>
          </w:p>
        </w:tc>
      </w:tr>
      <w:tr w:rsidR="000F4B9E" w:rsidRPr="007642AC" w14:paraId="69178BCF" w14:textId="77777777" w:rsidTr="007642A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B056D27"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Improving plant pest management through cross industry deployment of smart sensor, diagnostics and forecasting</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A392C96"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Horticulture Innovation Australia (HIA)</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E7051E8"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$6,758,797</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602FBD5"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$6,494,284 cash</w:t>
            </w:r>
            <w:r w:rsidRPr="007642AC">
              <w:rPr>
                <w:rFonts w:ascii="Calibri" w:eastAsia="Times New Roman" w:hAnsi="Calibri" w:cs="Calibri"/>
                <w:color w:val="444444"/>
                <w:sz w:val="20"/>
                <w:szCs w:val="20"/>
              </w:rPr>
              <w:br/>
              <w:t>$8,404,311in-kind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B841050"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Cotton Research and Development Corporation; Grains Research and Development Corporation; Australian Grape and Wine Authority; Forest and Woods Products Australia; Rural Industries Research and Development Corporation; Plant Health Australia; South Australian Research and Development Institute; Victorian Department of Economic, Development, Jobs, Transport and Resources; CSIRO;WA Depart of Agriculture and Food; Rothamsted Research; Nursery &amp; Garden Industry Australia;B3Co\Plant &amp; Food Research New Zealand; Sugar Research Australia; AusVeg</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472C9AB"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 xml:space="preserve">This project will develop a mobile, cross‐industry plant pest surveillance network to monitor and report the presence of pests that threaten major agricultural sectors across Australia, including grains, cotton, sugar, horticulture, wine and forestry industries. The surveillance network will cover: </w:t>
            </w:r>
          </w:p>
          <w:p w14:paraId="02AF81A9" w14:textId="77777777" w:rsidR="007642AC" w:rsidRPr="00443F10" w:rsidRDefault="007642AC" w:rsidP="00443F10">
            <w:pPr>
              <w:pStyle w:val="Tablebullet"/>
            </w:pPr>
            <w:r w:rsidRPr="00443F10">
              <w:t>Advanced surveillance technologies, such as automated trapping and sampling, for detecting and monitoring a wide range of endemic and exotic plant pests. The project will also produce a number of flexible surveillance hubs with trapping technologies that can be mobilised in response to industry needs, such as in response to incursions.</w:t>
            </w:r>
          </w:p>
          <w:p w14:paraId="220DF063" w14:textId="77777777" w:rsidR="007642AC" w:rsidRPr="00443F10" w:rsidRDefault="007642AC" w:rsidP="00443F10">
            <w:pPr>
              <w:pStyle w:val="Tablebullet"/>
            </w:pPr>
            <w:r w:rsidRPr="00443F10">
              <w:t>Improved pest forecasting through linking pest detection with weather forecasting and modelling systems.</w:t>
            </w:r>
          </w:p>
          <w:p w14:paraId="0BCBBE18" w14:textId="77777777" w:rsidR="007642AC" w:rsidRPr="00443F10" w:rsidRDefault="007642AC" w:rsidP="00443F10">
            <w:pPr>
              <w:pStyle w:val="Tablebullet"/>
            </w:pPr>
            <w:r w:rsidRPr="00443F10">
              <w:t>Fast, reliable and cost-effective means to identify pests, such as high volume data collation and distribution, and advanced molecular diagnostics for pest identification.</w:t>
            </w:r>
          </w:p>
          <w:p w14:paraId="224844B6" w14:textId="77777777" w:rsidR="000F4B9E" w:rsidRPr="00443F10" w:rsidRDefault="007642AC" w:rsidP="00443F10">
            <w:pPr>
              <w:pStyle w:val="Tablebullet"/>
            </w:pPr>
            <w:r w:rsidRPr="00443F10">
              <w:t>A cloud based virtual coordination centre (AUSPestCheck) to improve information exchange on pests to producers, industry and government.</w:t>
            </w:r>
          </w:p>
          <w:p w14:paraId="4980B11D" w14:textId="77777777" w:rsidR="007642AC" w:rsidRPr="007642AC" w:rsidRDefault="007642AC" w:rsidP="000F4B9E">
            <w:pPr>
              <w:ind w:left="68"/>
              <w:rPr>
                <w:rFonts w:ascii="Calibri" w:eastAsia="Times New Roman" w:hAnsi="Calibri" w:cs="Calibri"/>
                <w:color w:val="444444"/>
                <w:sz w:val="20"/>
                <w:szCs w:val="20"/>
              </w:rPr>
            </w:pPr>
            <w:r w:rsidRPr="007642AC">
              <w:rPr>
                <w:rFonts w:ascii="Calibri" w:eastAsia="Times New Roman" w:hAnsi="Calibri" w:cs="Calibri"/>
                <w:color w:val="444444"/>
                <w:sz w:val="20"/>
                <w:szCs w:val="20"/>
              </w:rPr>
              <w:t>Producers will receive timely and accurate information about pests in their region, helping with management decisions, reduce pest resistance and demonstrate pest-free status to export markets.</w:t>
            </w:r>
          </w:p>
        </w:tc>
      </w:tr>
      <w:tr w:rsidR="000F4B9E" w:rsidRPr="007642AC" w14:paraId="75566183" w14:textId="77777777" w:rsidTr="007642A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75B8214"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Forewarned is forearmed: equipping farmers and agricultural value chains to proactively manage the impacts of extreme climate events</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C9A191A"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Meat and Livestock Australia (MLA)</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5EC1BA22"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$6,198,942</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90E9353"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$3,660,370 cash</w:t>
            </w:r>
            <w:r w:rsidRPr="007642AC">
              <w:rPr>
                <w:rFonts w:ascii="Calibri" w:eastAsia="Times New Roman" w:hAnsi="Calibri" w:cs="Calibri"/>
                <w:color w:val="444444"/>
                <w:sz w:val="20"/>
                <w:szCs w:val="20"/>
              </w:rPr>
              <w:br/>
              <w:t>$4,803,123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F36C359"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Grains Research and Development Corporation; Rural Industries Research and Development Corporation; Cotton Research and Development Corporation; Sugar Research Australia; Australian Grape and Wine Authority; Dairy Australia Ltd; Australian Pork Ltd; Bureau of Meteorology; University of Melbourne; University of Southern Queensland; Queensland Department of Agriculture and Fisheries; Suncorp, Monash University; South Australian Research and Development Institute</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2F11244"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Australian farmers and agribusiness operate in one of the most variable climates of any country in the world, with extreme events and climate variability the largest drivers of fluctuations in annual agricultural income and production. This project will deliver direct value to farmers through improving the seasonal forecast of extreme climate events, including low and high rainfall, heat, cold and frost. It will equip farmers with the information and tools to be forewarned and change their management practices so they are proactively prepared. The project outputs will decrease the impacts of extreme climate events on farm and industry profit.</w:t>
            </w:r>
          </w:p>
        </w:tc>
      </w:tr>
      <w:tr w:rsidR="000F4B9E" w:rsidRPr="007642AC" w14:paraId="4E96E758" w14:textId="77777777" w:rsidTr="007642A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DE7E23F"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Boosting profit and reducing risk of mixed farms in low and medium rainfall areas with newly discovered legume pastures enabled by innovative management methods</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3DF347A"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Grains Research and Development Corporation (GRDC)</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4ECD886"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$5,516,075</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D3B9354"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$4,995,503 cash</w:t>
            </w:r>
            <w:r w:rsidRPr="007642AC">
              <w:rPr>
                <w:rFonts w:ascii="Calibri" w:eastAsia="Times New Roman" w:hAnsi="Calibri" w:cs="Calibri"/>
                <w:color w:val="444444"/>
                <w:sz w:val="20"/>
                <w:szCs w:val="20"/>
              </w:rPr>
              <w:br/>
              <w:t>$5,841,475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18FC0BA"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Australian Wool Innovation; Meat and Livestock Australia; Murdoch University; South Australian Research and Development Institute; Western Australia Department Agriculture and Food; Charles Sturt University; CSIRO; Birchip Cropping Group; Eyre Peninsula Ag Research Foundation; Mallee Sustainable Farming; SA Sheep Advisory Group; Upper North Farming Systems; Corrigin Farm Improvement Group; Grower Group Alliance; Northern Agri Group; Farmlink; Ravensthorpe Agricultural Initiative Network; Pasture Producers Association WA; Ag Excellence Alliance; Asheep</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2E176C9"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This project will develop recently discovered pasture legumes together with innovative management techniques to improve profitability for mixed farms (cropping and livestock) in the low and medium rainfall areas of WA, SA, Victoria and southern NSW. The new legume varieties will reduce nitrogen requirements, increase soil fertility, reduce weeds and diseases for following crops and be a source of quality feed for livestock. The project will also develop whole farm economic modelling to equip farmers with tools to adopt new pasture varieties and management practices, improving productivity and profits for grain, meat and wool producers. The project is expected to boost average farm profit by 10 per cent and halve economic risk.</w:t>
            </w:r>
          </w:p>
        </w:tc>
      </w:tr>
      <w:tr w:rsidR="000F4B9E" w:rsidRPr="007642AC" w14:paraId="7F2B0CB0" w14:textId="77777777" w:rsidTr="007642A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E35EB38"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High throughput technology for defining antimicrobial resistance status of pork and chicken meat enterprises leading to a competitive advantage in the global market place</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58D8B6D"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Australian Pork Limited (APL)</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22AA465"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$1,274,000</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18F1A1B1"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$648,286 cash</w:t>
            </w:r>
            <w:r w:rsidRPr="007642AC">
              <w:rPr>
                <w:rFonts w:ascii="Calibri" w:eastAsia="Times New Roman" w:hAnsi="Calibri" w:cs="Calibri"/>
                <w:color w:val="444444"/>
                <w:sz w:val="20"/>
                <w:szCs w:val="20"/>
              </w:rPr>
              <w:br/>
              <w:t>$999,157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08D4C577"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Rural Industries Research and Development Corporation; Murdoch University; University of Adelaide; Tecan Australia; Thermo Fisher Scientific; NSW Department of Primary Industries; Illumina</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5A8289D"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This project aims to provide Australian pig and chicken meat producers with a competitive advantage in the international marketplace by developing a world’s best practice for objective description of the occurrence of antimicrobial resistance (AMR) at the herd/flock level. Using laboratory robots that can work extremely quickly, precisely and cost-effectively, the project will develop an industry-wide scheme where herds and flocks can be accurately described to define their level of AMR risk. This information will help producers demonstrate their AMR status, to not only improve market access but also provide a mechanism for monitoring progress of the on-farm control measures which will be based on antimicrobial stewardship principles.</w:t>
            </w:r>
          </w:p>
        </w:tc>
      </w:tr>
      <w:tr w:rsidR="000F4B9E" w:rsidRPr="007642AC" w14:paraId="4A800551" w14:textId="77777777" w:rsidTr="007642A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3192AD3B"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Dung beetle ecosystem engineers – enduring benefits for livestock producers via science and a new community partnership model</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630C7C7C"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Meat and Livestock Australia (MLA)</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11088E5"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$9,174,174</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2260AFF4"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$4,587,087 cash</w:t>
            </w:r>
            <w:r w:rsidRPr="007642AC">
              <w:rPr>
                <w:rFonts w:ascii="Calibri" w:eastAsia="Times New Roman" w:hAnsi="Calibri" w:cs="Calibri"/>
                <w:color w:val="444444"/>
                <w:sz w:val="20"/>
                <w:szCs w:val="20"/>
              </w:rPr>
              <w:br/>
              <w:t>$8,929,774 in-kind</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724AF9BB" w14:textId="77777777" w:rsidR="007642AC" w:rsidRPr="007642AC" w:rsidRDefault="007642AC" w:rsidP="007642AC">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CSIRO; Invetus Pty Ltd; University of Western Australia; Landcare Research New Zealand; Mingenew Irwin Group; University of New England; Charles Sturt University; Western Australia Department of Agriculture and Food; Dung Beetles for Landcare Farming; Dung Beetle Solutions Australia; Warren Catchment Council; Leschenault Catchment Council</w:t>
            </w:r>
          </w:p>
        </w:tc>
        <w:tc>
          <w:tcPr>
            <w:tcW w:w="0" w:type="auto"/>
            <w:tcBorders>
              <w:top w:val="single" w:sz="6" w:space="0" w:color="CDE8EA"/>
              <w:left w:val="single" w:sz="6" w:space="0" w:color="CDE8EA"/>
              <w:bottom w:val="single" w:sz="6" w:space="0" w:color="CDE8EA"/>
              <w:right w:val="single" w:sz="6" w:space="0" w:color="CDE8EA"/>
            </w:tcBorders>
            <w:tcMar>
              <w:top w:w="60" w:type="dxa"/>
              <w:left w:w="60" w:type="dxa"/>
              <w:bottom w:w="60" w:type="dxa"/>
              <w:right w:w="60" w:type="dxa"/>
            </w:tcMar>
            <w:hideMark/>
          </w:tcPr>
          <w:p w14:paraId="415B6FD2" w14:textId="7D2F5C9F" w:rsidR="000F4B9E" w:rsidRDefault="007642AC" w:rsidP="000F4B9E">
            <w:pPr>
              <w:ind w:left="0"/>
              <w:rPr>
                <w:rFonts w:ascii="Calibri" w:eastAsia="Times New Roman" w:hAnsi="Calibri" w:cs="Calibri"/>
                <w:color w:val="444444"/>
                <w:sz w:val="20"/>
                <w:szCs w:val="20"/>
              </w:rPr>
            </w:pPr>
            <w:r w:rsidRPr="007642AC">
              <w:rPr>
                <w:rFonts w:ascii="Calibri" w:eastAsia="Times New Roman" w:hAnsi="Calibri" w:cs="Calibri"/>
                <w:color w:val="444444"/>
                <w:sz w:val="20"/>
                <w:szCs w:val="20"/>
              </w:rPr>
              <w:t>Dung beetles can improve the soil, reduce the spread of flies, pests and diseases, increase pasture health and reduce nutrient run off into waterways</w:t>
            </w:r>
            <w:r w:rsidR="00B25C0E">
              <w:rPr>
                <w:rFonts w:ascii="Calibri" w:eastAsia="Times New Roman" w:hAnsi="Calibri" w:cs="Calibri"/>
                <w:color w:val="444444"/>
                <w:sz w:val="20"/>
                <w:szCs w:val="20"/>
              </w:rPr>
              <w:t xml:space="preserve">. </w:t>
            </w:r>
            <w:r w:rsidRPr="007642AC">
              <w:rPr>
                <w:rFonts w:ascii="Calibri" w:eastAsia="Times New Roman" w:hAnsi="Calibri" w:cs="Calibri"/>
                <w:color w:val="444444"/>
                <w:sz w:val="20"/>
                <w:szCs w:val="20"/>
              </w:rPr>
              <w:t xml:space="preserve">This project will investigate how dung beetles can improve profitability and productivity for primary producers by: </w:t>
            </w:r>
          </w:p>
          <w:p w14:paraId="6BDDB2EA" w14:textId="77777777" w:rsidR="007642AC" w:rsidRPr="000F4B9E" w:rsidRDefault="007642AC" w:rsidP="00443F10">
            <w:pPr>
              <w:pStyle w:val="Tablebullet"/>
            </w:pPr>
            <w:r w:rsidRPr="000F4B9E">
              <w:t>rolling out national and regionally-specific dung beetle</w:t>
            </w:r>
            <w:r w:rsidRPr="007642AC">
              <w:t xml:space="preserve"> </w:t>
            </w:r>
            <w:r w:rsidRPr="000F4B9E">
              <w:t>services to a network of over 1000 producers and producer groups</w:t>
            </w:r>
          </w:p>
          <w:p w14:paraId="33259CDE" w14:textId="77777777" w:rsidR="007642AC" w:rsidRPr="000F4B9E" w:rsidRDefault="007642AC" w:rsidP="00443F10">
            <w:pPr>
              <w:pStyle w:val="Tablebullet"/>
            </w:pPr>
            <w:r w:rsidRPr="000F4B9E">
              <w:t>improving access to information such as a dung beetle database, infield training and online educational packages to improve delivery of the best adapted dung beetle species</w:t>
            </w:r>
          </w:p>
          <w:p w14:paraId="44FFACD1" w14:textId="77777777" w:rsidR="007642AC" w:rsidRPr="000F4B9E" w:rsidRDefault="007642AC" w:rsidP="00443F10">
            <w:pPr>
              <w:pStyle w:val="Tablebullet"/>
            </w:pPr>
            <w:r w:rsidRPr="000F4B9E">
              <w:t>quantifying the benefits of dung beetles to encourage changes in farming practices to improve production and land management</w:t>
            </w:r>
          </w:p>
          <w:p w14:paraId="1F95A24C" w14:textId="77777777" w:rsidR="007642AC" w:rsidRPr="007642AC" w:rsidRDefault="007642AC" w:rsidP="00443F10">
            <w:pPr>
              <w:pStyle w:val="Tablebullet"/>
            </w:pPr>
            <w:r w:rsidRPr="000F4B9E">
              <w:t>importing four new species of dung beetles to manage sheep and cattle dung, and encouraging producer-led rearing and distribution of two recently imported dung beetle species.</w:t>
            </w:r>
          </w:p>
        </w:tc>
      </w:tr>
    </w:tbl>
    <w:p w14:paraId="2C58C7BF" w14:textId="77777777" w:rsidR="00D965C6" w:rsidRDefault="00D965C6" w:rsidP="00736625"/>
    <w:p w14:paraId="64F3C3A0" w14:textId="77777777" w:rsidR="00D965C6" w:rsidRPr="00736625" w:rsidRDefault="00D965C6" w:rsidP="00736625">
      <w:pPr>
        <w:sectPr w:rsidR="00D965C6" w:rsidRPr="00736625" w:rsidSect="001C3DE4">
          <w:footerReference w:type="default" r:id="rId35"/>
          <w:pgSz w:w="16838" w:h="11906" w:orient="landscape"/>
          <w:pgMar w:top="1701" w:right="1701" w:bottom="1701" w:left="1701" w:header="709" w:footer="709" w:gutter="0"/>
          <w:cols w:space="708"/>
          <w:docGrid w:linePitch="360"/>
        </w:sectPr>
      </w:pPr>
    </w:p>
    <w:p w14:paraId="76A4B7C6" w14:textId="77777777" w:rsidR="0091707D" w:rsidRDefault="0091707D" w:rsidP="00CA5CDC">
      <w:pPr>
        <w:pStyle w:val="Heading2"/>
        <w:numPr>
          <w:ilvl w:val="0"/>
          <w:numId w:val="0"/>
        </w:numPr>
        <w:ind w:left="709"/>
      </w:pPr>
      <w:bookmarkStart w:id="77" w:name="_Toc500934713"/>
      <w:r>
        <w:t xml:space="preserve">Attachment B: </w:t>
      </w:r>
      <w:bookmarkStart w:id="78" w:name="_Ref478993205"/>
      <w:bookmarkStart w:id="79" w:name="_Toc482970211"/>
      <w:r>
        <w:t>Extracts from program and evaluation plans</w:t>
      </w:r>
      <w:bookmarkEnd w:id="77"/>
    </w:p>
    <w:p w14:paraId="282B214A" w14:textId="77777777" w:rsidR="0091707D" w:rsidRPr="00B73295" w:rsidRDefault="0091707D" w:rsidP="0091707D">
      <w:pPr>
        <w:pStyle w:val="Caption"/>
      </w:pPr>
      <w:r>
        <w:t>Benefits and measures identified in the program plan</w:t>
      </w:r>
    </w:p>
    <w:tbl>
      <w:tblPr>
        <w:tblStyle w:val="TableGrid"/>
        <w:tblW w:w="7796" w:type="dxa"/>
        <w:tblInd w:w="851" w:type="dxa"/>
        <w:tblBorders>
          <w:top w:val="none" w:sz="0" w:space="0" w:color="auto"/>
          <w:left w:val="none" w:sz="0" w:space="0" w:color="auto"/>
          <w:bottom w:val="none" w:sz="0" w:space="0" w:color="auto"/>
          <w:right w:val="none" w:sz="0" w:space="0" w:color="auto"/>
          <w:insideH w:val="single" w:sz="4" w:space="0" w:color="0092CF"/>
          <w:insideV w:val="single" w:sz="4" w:space="0" w:color="0092CF"/>
        </w:tblBorders>
        <w:tblLook w:val="04A0" w:firstRow="1" w:lastRow="0" w:firstColumn="1" w:lastColumn="0" w:noHBand="0" w:noVBand="1"/>
        <w:tblCaption w:val="Benefits and measures identified in the program plan"/>
        <w:tblDescription w:val="This table lists the benefits from the program plan.  These included potential for agricultural productivity gains, potential for increased profitabilty of farm businesses, new networks and research collaborations established, new products, technologies, more efficient production processes, more effective and sustainable natural resource management, new extension materials and evaluations.  "/>
      </w:tblPr>
      <w:tblGrid>
        <w:gridCol w:w="2693"/>
        <w:gridCol w:w="5103"/>
      </w:tblGrid>
      <w:tr w:rsidR="0091707D" w:rsidRPr="00B15A99" w14:paraId="1BA38957" w14:textId="77777777" w:rsidTr="00096211">
        <w:tc>
          <w:tcPr>
            <w:tcW w:w="2693" w:type="dxa"/>
            <w:shd w:val="clear" w:color="auto" w:fill="E0F0FC"/>
          </w:tcPr>
          <w:bookmarkEnd w:id="78"/>
          <w:bookmarkEnd w:id="79"/>
          <w:p w14:paraId="19A8DF30" w14:textId="77777777" w:rsidR="0091707D" w:rsidRPr="00B15A99" w:rsidRDefault="0091707D" w:rsidP="0027028F">
            <w:pPr>
              <w:pStyle w:val="TableHeading"/>
            </w:pPr>
            <w:r>
              <w:t>Benefit</w:t>
            </w:r>
          </w:p>
        </w:tc>
        <w:tc>
          <w:tcPr>
            <w:tcW w:w="5103" w:type="dxa"/>
            <w:shd w:val="clear" w:color="auto" w:fill="E0F0FC"/>
          </w:tcPr>
          <w:p w14:paraId="7E86FCF7" w14:textId="77777777" w:rsidR="0091707D" w:rsidRPr="00B15A99" w:rsidRDefault="0091707D" w:rsidP="0027028F">
            <w:pPr>
              <w:pStyle w:val="TableHeading"/>
            </w:pPr>
            <w:r>
              <w:t>Measure</w:t>
            </w:r>
          </w:p>
        </w:tc>
      </w:tr>
      <w:tr w:rsidR="0091707D" w14:paraId="4AD99B77" w14:textId="77777777" w:rsidTr="0027028F">
        <w:tc>
          <w:tcPr>
            <w:tcW w:w="2693" w:type="dxa"/>
            <w:shd w:val="clear" w:color="auto" w:fill="auto"/>
          </w:tcPr>
          <w:p w14:paraId="6BD8A0F3" w14:textId="77777777" w:rsidR="0091707D" w:rsidRPr="00C93324" w:rsidRDefault="0091707D" w:rsidP="0027028F">
            <w:pPr>
              <w:pStyle w:val="Subtableheading"/>
              <w:rPr>
                <w:b w:val="0"/>
                <w:caps w:val="0"/>
                <w:color w:val="auto"/>
                <w:szCs w:val="21"/>
                <w:lang w:eastAsia="en-US"/>
              </w:rPr>
            </w:pPr>
            <w:r w:rsidRPr="00C93324">
              <w:rPr>
                <w:b w:val="0"/>
                <w:caps w:val="0"/>
                <w:color w:val="auto"/>
                <w:szCs w:val="21"/>
                <w:lang w:eastAsia="en-US"/>
              </w:rPr>
              <w:t>Potential for agricultural productivity gains</w:t>
            </w:r>
          </w:p>
        </w:tc>
        <w:tc>
          <w:tcPr>
            <w:tcW w:w="5103" w:type="dxa"/>
          </w:tcPr>
          <w:p w14:paraId="70A37C04" w14:textId="77777777" w:rsidR="0091707D" w:rsidRDefault="0091707D" w:rsidP="0027028F">
            <w:pPr>
              <w:pStyle w:val="Tablebodytext"/>
            </w:pPr>
            <w:r>
              <w:t>Projects that deliver research outcomes that have the potential to increase agricultural productivity, and an estimation (based on project reports of impact.</w:t>
            </w:r>
          </w:p>
        </w:tc>
      </w:tr>
      <w:tr w:rsidR="0091707D" w14:paraId="6D0C8632" w14:textId="77777777" w:rsidTr="0027028F">
        <w:tc>
          <w:tcPr>
            <w:tcW w:w="2693" w:type="dxa"/>
            <w:shd w:val="clear" w:color="auto" w:fill="auto"/>
          </w:tcPr>
          <w:p w14:paraId="192E015E" w14:textId="77777777" w:rsidR="0091707D" w:rsidRPr="00C93324" w:rsidRDefault="0091707D" w:rsidP="0027028F">
            <w:pPr>
              <w:pStyle w:val="Subtableheading"/>
              <w:rPr>
                <w:b w:val="0"/>
                <w:caps w:val="0"/>
                <w:color w:val="auto"/>
                <w:szCs w:val="21"/>
                <w:lang w:eastAsia="en-US"/>
              </w:rPr>
            </w:pPr>
            <w:r>
              <w:rPr>
                <w:b w:val="0"/>
                <w:caps w:val="0"/>
                <w:color w:val="auto"/>
                <w:szCs w:val="21"/>
                <w:lang w:eastAsia="en-US"/>
              </w:rPr>
              <w:t>P</w:t>
            </w:r>
            <w:r w:rsidRPr="00C93324">
              <w:rPr>
                <w:b w:val="0"/>
                <w:caps w:val="0"/>
                <w:color w:val="auto"/>
                <w:szCs w:val="21"/>
                <w:lang w:eastAsia="en-US"/>
              </w:rPr>
              <w:t>otential for increased profitability of farm businesses</w:t>
            </w:r>
          </w:p>
        </w:tc>
        <w:tc>
          <w:tcPr>
            <w:tcW w:w="5103" w:type="dxa"/>
          </w:tcPr>
          <w:p w14:paraId="14F74486" w14:textId="77777777" w:rsidR="0091707D" w:rsidRDefault="0091707D" w:rsidP="0027028F">
            <w:pPr>
              <w:pStyle w:val="Tablebodytext"/>
            </w:pPr>
            <w:r>
              <w:t>Projects that deliver research outcomes that have the potential to increase farm profitability and an estimation (based on project reports of impact).</w:t>
            </w:r>
          </w:p>
        </w:tc>
      </w:tr>
      <w:tr w:rsidR="0091707D" w14:paraId="2754E38E" w14:textId="77777777" w:rsidTr="0027028F">
        <w:tc>
          <w:tcPr>
            <w:tcW w:w="2693" w:type="dxa"/>
            <w:shd w:val="clear" w:color="auto" w:fill="auto"/>
          </w:tcPr>
          <w:p w14:paraId="14850AE0" w14:textId="77777777" w:rsidR="0091707D" w:rsidRPr="00C93324" w:rsidRDefault="0091707D" w:rsidP="0027028F">
            <w:pPr>
              <w:pStyle w:val="Subtableheading"/>
              <w:rPr>
                <w:b w:val="0"/>
                <w:caps w:val="0"/>
                <w:color w:val="auto"/>
                <w:szCs w:val="21"/>
                <w:lang w:eastAsia="en-US"/>
              </w:rPr>
            </w:pPr>
            <w:r w:rsidRPr="00C93324">
              <w:rPr>
                <w:b w:val="0"/>
                <w:caps w:val="0"/>
                <w:color w:val="auto"/>
                <w:szCs w:val="21"/>
                <w:lang w:eastAsia="en-US"/>
              </w:rPr>
              <w:t>New networks and research collaborations established</w:t>
            </w:r>
          </w:p>
        </w:tc>
        <w:tc>
          <w:tcPr>
            <w:tcW w:w="5103" w:type="dxa"/>
          </w:tcPr>
          <w:p w14:paraId="4EFEFDA1" w14:textId="77777777" w:rsidR="0091707D" w:rsidRDefault="0091707D" w:rsidP="0027028F">
            <w:pPr>
              <w:pStyle w:val="Tablebodytext"/>
            </w:pPr>
            <w:r>
              <w:t>New research partnerships established (based on information provided by applicants during application phase and project reporting).</w:t>
            </w:r>
          </w:p>
        </w:tc>
      </w:tr>
      <w:tr w:rsidR="0091707D" w14:paraId="44903CD9" w14:textId="77777777" w:rsidTr="0027028F">
        <w:tc>
          <w:tcPr>
            <w:tcW w:w="2693" w:type="dxa"/>
            <w:shd w:val="clear" w:color="auto" w:fill="auto"/>
          </w:tcPr>
          <w:p w14:paraId="7EAA7ECC" w14:textId="77777777" w:rsidR="0091707D" w:rsidRPr="00C93324" w:rsidRDefault="0091707D" w:rsidP="0027028F">
            <w:pPr>
              <w:pStyle w:val="Subtableheading"/>
              <w:rPr>
                <w:b w:val="0"/>
                <w:caps w:val="0"/>
                <w:color w:val="auto"/>
                <w:szCs w:val="21"/>
                <w:lang w:eastAsia="en-US"/>
              </w:rPr>
            </w:pPr>
            <w:r w:rsidRPr="00C93324">
              <w:rPr>
                <w:b w:val="0"/>
                <w:caps w:val="0"/>
                <w:color w:val="auto"/>
                <w:szCs w:val="21"/>
                <w:lang w:eastAsia="en-US"/>
              </w:rPr>
              <w:t>New products, technologies</w:t>
            </w:r>
          </w:p>
        </w:tc>
        <w:tc>
          <w:tcPr>
            <w:tcW w:w="5103" w:type="dxa"/>
          </w:tcPr>
          <w:p w14:paraId="6DCF4B7F" w14:textId="5472B34E" w:rsidR="0091707D" w:rsidRDefault="0091707D" w:rsidP="0027028F">
            <w:pPr>
              <w:pStyle w:val="Tablebodytext"/>
            </w:pPr>
            <w:r>
              <w:t>New products and technologies (including number of existing technologies adapted for use in the agriculture sector), range of industries that are likely to benefit from the new products or technologies</w:t>
            </w:r>
            <w:r w:rsidR="00B25C0E">
              <w:t xml:space="preserve">. </w:t>
            </w:r>
          </w:p>
        </w:tc>
      </w:tr>
      <w:tr w:rsidR="0091707D" w14:paraId="65FA25F3" w14:textId="77777777" w:rsidTr="0027028F">
        <w:tc>
          <w:tcPr>
            <w:tcW w:w="2693" w:type="dxa"/>
            <w:shd w:val="clear" w:color="auto" w:fill="auto"/>
          </w:tcPr>
          <w:p w14:paraId="6C7B3875" w14:textId="77777777" w:rsidR="0091707D" w:rsidRPr="00C93324" w:rsidRDefault="0091707D" w:rsidP="0027028F">
            <w:pPr>
              <w:pStyle w:val="Subtableheading"/>
              <w:rPr>
                <w:b w:val="0"/>
                <w:caps w:val="0"/>
                <w:color w:val="auto"/>
                <w:szCs w:val="21"/>
                <w:lang w:eastAsia="en-US"/>
              </w:rPr>
            </w:pPr>
            <w:r w:rsidRPr="00C93324">
              <w:rPr>
                <w:b w:val="0"/>
                <w:caps w:val="0"/>
                <w:color w:val="auto"/>
                <w:szCs w:val="21"/>
                <w:lang w:eastAsia="en-US"/>
              </w:rPr>
              <w:t>More efficient production processes</w:t>
            </w:r>
          </w:p>
        </w:tc>
        <w:tc>
          <w:tcPr>
            <w:tcW w:w="5103" w:type="dxa"/>
          </w:tcPr>
          <w:p w14:paraId="4E31C25C" w14:textId="77777777" w:rsidR="0091707D" w:rsidRDefault="0091707D" w:rsidP="0027028F">
            <w:pPr>
              <w:pStyle w:val="Tablebodytext"/>
            </w:pPr>
            <w:r>
              <w:t>Research results that lead to more efficient production processes being available for use by producers.</w:t>
            </w:r>
          </w:p>
        </w:tc>
      </w:tr>
      <w:tr w:rsidR="0091707D" w14:paraId="7BB97D6D" w14:textId="77777777" w:rsidTr="0027028F">
        <w:tc>
          <w:tcPr>
            <w:tcW w:w="2693" w:type="dxa"/>
            <w:shd w:val="clear" w:color="auto" w:fill="auto"/>
          </w:tcPr>
          <w:p w14:paraId="488ED602" w14:textId="77777777" w:rsidR="0091707D" w:rsidRPr="00C93324" w:rsidRDefault="0091707D" w:rsidP="0027028F">
            <w:pPr>
              <w:pStyle w:val="Subtableheading"/>
              <w:rPr>
                <w:b w:val="0"/>
                <w:caps w:val="0"/>
                <w:color w:val="auto"/>
                <w:szCs w:val="21"/>
                <w:lang w:eastAsia="en-US"/>
              </w:rPr>
            </w:pPr>
            <w:r w:rsidRPr="00C93324">
              <w:rPr>
                <w:b w:val="0"/>
                <w:caps w:val="0"/>
                <w:color w:val="auto"/>
                <w:szCs w:val="21"/>
                <w:lang w:eastAsia="en-US"/>
              </w:rPr>
              <w:t>More effective and sustainable natural resource management</w:t>
            </w:r>
          </w:p>
        </w:tc>
        <w:tc>
          <w:tcPr>
            <w:tcW w:w="5103" w:type="dxa"/>
          </w:tcPr>
          <w:p w14:paraId="2AB4F8CC" w14:textId="77777777" w:rsidR="0091707D" w:rsidRDefault="0091707D" w:rsidP="0027028F">
            <w:pPr>
              <w:pStyle w:val="Tablebodytext"/>
            </w:pPr>
            <w:r>
              <w:t>Tools or processes available to producers to assist with more effective and sustainable natural resource management.</w:t>
            </w:r>
          </w:p>
        </w:tc>
      </w:tr>
      <w:tr w:rsidR="0091707D" w14:paraId="363F4594" w14:textId="77777777" w:rsidTr="0027028F">
        <w:tc>
          <w:tcPr>
            <w:tcW w:w="2693" w:type="dxa"/>
            <w:shd w:val="clear" w:color="auto" w:fill="auto"/>
          </w:tcPr>
          <w:p w14:paraId="160DBE34" w14:textId="77777777" w:rsidR="0091707D" w:rsidRPr="00C93324" w:rsidRDefault="0091707D" w:rsidP="0027028F">
            <w:pPr>
              <w:pStyle w:val="Subtableheading"/>
              <w:rPr>
                <w:b w:val="0"/>
                <w:caps w:val="0"/>
                <w:color w:val="auto"/>
                <w:szCs w:val="21"/>
                <w:lang w:eastAsia="en-US"/>
              </w:rPr>
            </w:pPr>
            <w:r w:rsidRPr="00C93324">
              <w:rPr>
                <w:b w:val="0"/>
                <w:caps w:val="0"/>
                <w:color w:val="auto"/>
                <w:szCs w:val="21"/>
                <w:lang w:eastAsia="en-US"/>
              </w:rPr>
              <w:t>New extension materials developed</w:t>
            </w:r>
          </w:p>
        </w:tc>
        <w:tc>
          <w:tcPr>
            <w:tcW w:w="5103" w:type="dxa"/>
          </w:tcPr>
          <w:p w14:paraId="28469141" w14:textId="77777777" w:rsidR="0091707D" w:rsidRDefault="0091707D" w:rsidP="0027028F">
            <w:pPr>
              <w:pStyle w:val="Tablebodytext"/>
            </w:pPr>
            <w:r>
              <w:t>New communication materials developed, and extension activities carried out because of the funded projects.</w:t>
            </w:r>
          </w:p>
        </w:tc>
      </w:tr>
      <w:tr w:rsidR="0091707D" w14:paraId="5FF8E4E8" w14:textId="77777777" w:rsidTr="0027028F">
        <w:tc>
          <w:tcPr>
            <w:tcW w:w="2693" w:type="dxa"/>
            <w:shd w:val="clear" w:color="auto" w:fill="auto"/>
          </w:tcPr>
          <w:p w14:paraId="345D05E0" w14:textId="77777777" w:rsidR="0091707D" w:rsidRPr="00C93324" w:rsidRDefault="0091707D" w:rsidP="0027028F">
            <w:pPr>
              <w:pStyle w:val="Subtableheading"/>
              <w:rPr>
                <w:b w:val="0"/>
                <w:caps w:val="0"/>
                <w:color w:val="auto"/>
                <w:szCs w:val="21"/>
                <w:lang w:eastAsia="en-US"/>
              </w:rPr>
            </w:pPr>
            <w:r w:rsidRPr="00C93324">
              <w:rPr>
                <w:b w:val="0"/>
                <w:caps w:val="0"/>
                <w:color w:val="auto"/>
                <w:szCs w:val="21"/>
                <w:lang w:eastAsia="en-US"/>
              </w:rPr>
              <w:t>Evaluations</w:t>
            </w:r>
          </w:p>
        </w:tc>
        <w:tc>
          <w:tcPr>
            <w:tcW w:w="5103" w:type="dxa"/>
          </w:tcPr>
          <w:p w14:paraId="6FB7244F" w14:textId="1FF4656E" w:rsidR="0091707D" w:rsidRDefault="0091707D" w:rsidP="0027028F">
            <w:pPr>
              <w:pStyle w:val="Tablebodytext"/>
            </w:pPr>
            <w:r>
              <w:t>Both internal and external evaluations will lead to better processes; possible new funding priorities; and more streamlined documentation</w:t>
            </w:r>
            <w:r w:rsidR="00B25C0E">
              <w:t xml:space="preserve">. </w:t>
            </w:r>
          </w:p>
        </w:tc>
      </w:tr>
    </w:tbl>
    <w:p w14:paraId="6A727C02" w14:textId="77777777" w:rsidR="0091707D" w:rsidRDefault="0091707D" w:rsidP="0091707D">
      <w:pPr>
        <w:pStyle w:val="Caption"/>
        <w:spacing w:before="360"/>
      </w:pPr>
      <w:r>
        <w:t>Critical Success Factors identified in the program plan</w:t>
      </w:r>
    </w:p>
    <w:tbl>
      <w:tblPr>
        <w:tblStyle w:val="TableGrid"/>
        <w:tblW w:w="7938" w:type="dxa"/>
        <w:tblInd w:w="851" w:type="dxa"/>
        <w:tblBorders>
          <w:top w:val="none" w:sz="0" w:space="0" w:color="auto"/>
          <w:left w:val="none" w:sz="0" w:space="0" w:color="auto"/>
          <w:bottom w:val="none" w:sz="0" w:space="0" w:color="auto"/>
          <w:right w:val="none" w:sz="0" w:space="0" w:color="auto"/>
          <w:insideH w:val="single" w:sz="4" w:space="0" w:color="0092CF"/>
          <w:insideV w:val="single" w:sz="4" w:space="0" w:color="0092CF"/>
        </w:tblBorders>
        <w:tblLook w:val="04A0" w:firstRow="1" w:lastRow="0" w:firstColumn="1" w:lastColumn="0" w:noHBand="0" w:noVBand="1"/>
        <w:tblCaption w:val="Critical success factors in the program plan"/>
        <w:tblDescription w:val="This table lists the critical success factors identified in the program plan.  These included completion of research projects on time and budget, spread of funded projects and collaborations.  "/>
      </w:tblPr>
      <w:tblGrid>
        <w:gridCol w:w="2126"/>
        <w:gridCol w:w="3260"/>
        <w:gridCol w:w="2552"/>
      </w:tblGrid>
      <w:tr w:rsidR="0091707D" w:rsidRPr="00B15A99" w14:paraId="39FCFFB7" w14:textId="77777777" w:rsidTr="00096211">
        <w:tc>
          <w:tcPr>
            <w:tcW w:w="2126" w:type="dxa"/>
            <w:shd w:val="clear" w:color="auto" w:fill="E0F0FC"/>
          </w:tcPr>
          <w:p w14:paraId="450C4FDD" w14:textId="77777777" w:rsidR="0091707D" w:rsidRPr="00B15A99" w:rsidRDefault="0091707D" w:rsidP="0027028F">
            <w:pPr>
              <w:pStyle w:val="TableHeading"/>
            </w:pPr>
            <w:r>
              <w:t>CSF Title</w:t>
            </w:r>
          </w:p>
        </w:tc>
        <w:tc>
          <w:tcPr>
            <w:tcW w:w="3260" w:type="dxa"/>
            <w:shd w:val="clear" w:color="auto" w:fill="E0F0FC"/>
          </w:tcPr>
          <w:p w14:paraId="0460A3C9" w14:textId="77777777" w:rsidR="0091707D" w:rsidRPr="00B15A99" w:rsidRDefault="0091707D" w:rsidP="0027028F">
            <w:pPr>
              <w:pStyle w:val="TableHeading"/>
            </w:pPr>
            <w:r>
              <w:t>description</w:t>
            </w:r>
          </w:p>
        </w:tc>
        <w:tc>
          <w:tcPr>
            <w:tcW w:w="2552" w:type="dxa"/>
            <w:shd w:val="clear" w:color="auto" w:fill="E0F0FC"/>
          </w:tcPr>
          <w:p w14:paraId="0A7808F9" w14:textId="77777777" w:rsidR="0091707D" w:rsidRPr="00B15A99" w:rsidRDefault="0091707D" w:rsidP="0027028F">
            <w:pPr>
              <w:pStyle w:val="TableHeading"/>
            </w:pPr>
            <w:r>
              <w:t>Indicator</w:t>
            </w:r>
          </w:p>
        </w:tc>
      </w:tr>
      <w:tr w:rsidR="0091707D" w14:paraId="6DFC2F3C" w14:textId="77777777" w:rsidTr="0027028F">
        <w:tc>
          <w:tcPr>
            <w:tcW w:w="2126" w:type="dxa"/>
          </w:tcPr>
          <w:p w14:paraId="39EADF5B" w14:textId="1C408C91" w:rsidR="0091707D" w:rsidRPr="00CC2606" w:rsidRDefault="00CC2606" w:rsidP="00CC2606">
            <w:pPr>
              <w:pStyle w:val="Tablebodytext"/>
            </w:pPr>
            <w:r>
              <w:t xml:space="preserve">1. </w:t>
            </w:r>
            <w:r w:rsidR="0091707D" w:rsidRPr="00CC2606">
              <w:t>Completion of research projects on time and budget</w:t>
            </w:r>
          </w:p>
        </w:tc>
        <w:tc>
          <w:tcPr>
            <w:tcW w:w="3260" w:type="dxa"/>
          </w:tcPr>
          <w:p w14:paraId="028771AA" w14:textId="77777777" w:rsidR="0091707D" w:rsidRDefault="0091707D" w:rsidP="0027028F">
            <w:pPr>
              <w:pStyle w:val="Tablebodytext"/>
            </w:pPr>
            <w:r>
              <w:t>Research projects that receive funding need to be completed within the time frames specified in the grant agreement.</w:t>
            </w:r>
          </w:p>
        </w:tc>
        <w:tc>
          <w:tcPr>
            <w:tcW w:w="2552" w:type="dxa"/>
          </w:tcPr>
          <w:p w14:paraId="212044CD" w14:textId="77777777" w:rsidR="0091707D" w:rsidRDefault="0091707D" w:rsidP="0027028F">
            <w:pPr>
              <w:pStyle w:val="Tablebodytext"/>
            </w:pPr>
            <w:r>
              <w:t>100% of projects meet the conditions of the original or varied grant agreement</w:t>
            </w:r>
          </w:p>
        </w:tc>
      </w:tr>
      <w:tr w:rsidR="0091707D" w14:paraId="46DE405F" w14:textId="77777777" w:rsidTr="0027028F">
        <w:tc>
          <w:tcPr>
            <w:tcW w:w="2126" w:type="dxa"/>
          </w:tcPr>
          <w:p w14:paraId="7EACFB91" w14:textId="447FD6C6" w:rsidR="0091707D" w:rsidRPr="00CC2606" w:rsidRDefault="00CC2606" w:rsidP="00CC2606">
            <w:pPr>
              <w:pStyle w:val="Tablebodytext"/>
            </w:pPr>
            <w:r>
              <w:t xml:space="preserve">2. </w:t>
            </w:r>
            <w:r w:rsidR="0091707D" w:rsidRPr="00CC2606">
              <w:t>Spread of funded projects</w:t>
            </w:r>
          </w:p>
        </w:tc>
        <w:tc>
          <w:tcPr>
            <w:tcW w:w="3260" w:type="dxa"/>
          </w:tcPr>
          <w:p w14:paraId="4D3BE3BC" w14:textId="77777777" w:rsidR="0091707D" w:rsidRDefault="0091707D" w:rsidP="0027028F">
            <w:pPr>
              <w:pStyle w:val="Tablebodytext"/>
            </w:pPr>
            <w:r>
              <w:t>Funded projects are spread across the found program priorities</w:t>
            </w:r>
          </w:p>
        </w:tc>
        <w:tc>
          <w:tcPr>
            <w:tcW w:w="2552" w:type="dxa"/>
          </w:tcPr>
          <w:p w14:paraId="0D9C7918" w14:textId="77777777" w:rsidR="0091707D" w:rsidRDefault="0091707D" w:rsidP="0027028F">
            <w:pPr>
              <w:pStyle w:val="Tablebodytext"/>
            </w:pPr>
            <w:r>
              <w:t>Project profiling shows a spread of projects across the program priorities.</w:t>
            </w:r>
          </w:p>
        </w:tc>
      </w:tr>
      <w:tr w:rsidR="0091707D" w14:paraId="0E59658A" w14:textId="77777777" w:rsidTr="0027028F">
        <w:tc>
          <w:tcPr>
            <w:tcW w:w="2126" w:type="dxa"/>
          </w:tcPr>
          <w:p w14:paraId="57584E42" w14:textId="446A8739" w:rsidR="0091707D" w:rsidRPr="00CC2606" w:rsidRDefault="00CC2606" w:rsidP="00CC2606">
            <w:pPr>
              <w:pStyle w:val="Tablebodytext"/>
            </w:pPr>
            <w:r>
              <w:t xml:space="preserve">3. </w:t>
            </w:r>
            <w:r w:rsidR="0091707D" w:rsidRPr="00CC2606">
              <w:t>Collaboration</w:t>
            </w:r>
          </w:p>
        </w:tc>
        <w:tc>
          <w:tcPr>
            <w:tcW w:w="3260" w:type="dxa"/>
          </w:tcPr>
          <w:p w14:paraId="71BF1A55" w14:textId="77777777" w:rsidR="0091707D" w:rsidRDefault="0091707D" w:rsidP="0027028F">
            <w:pPr>
              <w:pStyle w:val="Tablebodytext"/>
            </w:pPr>
            <w:r>
              <w:t>New networks and research collaborations are established</w:t>
            </w:r>
          </w:p>
        </w:tc>
        <w:tc>
          <w:tcPr>
            <w:tcW w:w="2552" w:type="dxa"/>
          </w:tcPr>
          <w:p w14:paraId="4B621F59" w14:textId="77777777" w:rsidR="0091707D" w:rsidRDefault="0091707D" w:rsidP="0027028F">
            <w:pPr>
              <w:pStyle w:val="Tablebodytext"/>
            </w:pPr>
            <w:r>
              <w:t>Project profiling shows that new networks and research collaborations are established through the program</w:t>
            </w:r>
          </w:p>
        </w:tc>
      </w:tr>
    </w:tbl>
    <w:p w14:paraId="16990832" w14:textId="77777777" w:rsidR="0091707D" w:rsidRDefault="0091707D" w:rsidP="0091707D">
      <w:pPr>
        <w:sectPr w:rsidR="0091707D" w:rsidSect="00A31113">
          <w:footerReference w:type="default" r:id="rId36"/>
          <w:pgSz w:w="11906" w:h="16838"/>
          <w:pgMar w:top="1701" w:right="1701" w:bottom="1701" w:left="1701" w:header="709" w:footer="709" w:gutter="0"/>
          <w:cols w:space="708"/>
          <w:docGrid w:linePitch="360"/>
        </w:sectPr>
      </w:pPr>
    </w:p>
    <w:p w14:paraId="07DC2E53" w14:textId="609B4631" w:rsidR="000550E9" w:rsidRDefault="000F1023" w:rsidP="00CA5CDC">
      <w:pPr>
        <w:pStyle w:val="Heading2"/>
        <w:numPr>
          <w:ilvl w:val="0"/>
          <w:numId w:val="0"/>
        </w:numPr>
        <w:ind w:left="709"/>
      </w:pPr>
      <w:bookmarkStart w:id="80" w:name="_Toc500934714"/>
      <w:r>
        <w:t>Attachment C</w:t>
      </w:r>
      <w:r w:rsidR="00AF611E">
        <w:t xml:space="preserve">: </w:t>
      </w:r>
      <w:r w:rsidR="00197F8C">
        <w:t xml:space="preserve">Draft </w:t>
      </w:r>
      <w:r w:rsidR="00C27C9D">
        <w:t>o</w:t>
      </w:r>
      <w:r w:rsidR="000550E9">
        <w:t>utcomes hierarchy and KPIs</w:t>
      </w:r>
      <w:bookmarkEnd w:id="80"/>
    </w:p>
    <w:p w14:paraId="24E9D68F" w14:textId="0393614D" w:rsidR="0050521B" w:rsidRDefault="00E32C2B" w:rsidP="002B4D49">
      <w:r>
        <w:t xml:space="preserve">The </w:t>
      </w:r>
      <w:r w:rsidR="003241A8">
        <w:t>follow</w:t>
      </w:r>
      <w:r w:rsidR="002B4D49">
        <w:t>ing is a draft example of how the outcomes hierarchy detailed in the program logic would form the starting point for developing measures of success, or KPIs</w:t>
      </w:r>
      <w:r w:rsidR="00B25C0E">
        <w:t xml:space="preserve">. </w:t>
      </w:r>
      <w:r w:rsidR="002B4D49">
        <w:t xml:space="preserve">It is provided by way of demonstration, to illustrate how the </w:t>
      </w:r>
      <w:r w:rsidR="00BC020C">
        <w:t>d</w:t>
      </w:r>
      <w:r w:rsidR="002B4D49">
        <w:t xml:space="preserve">epartment could </w:t>
      </w:r>
      <w:r w:rsidR="007E7654">
        <w:t>develop a</w:t>
      </w:r>
      <w:r w:rsidR="003241A8">
        <w:t xml:space="preserve"> M&amp;E framework </w:t>
      </w:r>
      <w:r w:rsidR="002B4D49">
        <w:t>for the program</w:t>
      </w:r>
      <w:r w:rsidR="00B25C0E">
        <w:t xml:space="preserve">. </w:t>
      </w:r>
      <w:r w:rsidR="003B0BAE">
        <w:t>The following does not consider associated data sources, baselines, targets and frequency for data collection and reporting</w:t>
      </w:r>
      <w:r w:rsidR="00057B24">
        <w:t xml:space="preserve">, nor </w:t>
      </w:r>
      <w:r w:rsidR="00937361">
        <w:t xml:space="preserve">does it </w:t>
      </w:r>
      <w:r w:rsidR="00057B24">
        <w:t>drill down to performance reporting at the project level</w:t>
      </w:r>
      <w:r w:rsidR="00B25C0E">
        <w:t xml:space="preserve">. </w:t>
      </w:r>
    </w:p>
    <w:p w14:paraId="39D8EC77" w14:textId="0A5F47A8" w:rsidR="000867F7" w:rsidRDefault="000867F7" w:rsidP="000867F7">
      <w:r>
        <w:t>In brief the purpose of KPIs is to highlight the most important aspect for regular measurement and reporting</w:t>
      </w:r>
      <w:r w:rsidR="00B25C0E">
        <w:t xml:space="preserve">. </w:t>
      </w:r>
      <w:r>
        <w:t>KPIs</w:t>
      </w:r>
      <w:r w:rsidR="0010133D">
        <w:t>:</w:t>
      </w:r>
    </w:p>
    <w:p w14:paraId="51F453C4" w14:textId="77777777" w:rsidR="000867F7" w:rsidRDefault="000867F7" w:rsidP="00565949">
      <w:pPr>
        <w:pStyle w:val="ListBullet"/>
      </w:pPr>
      <w:r>
        <w:t>provide a snapshot of the ‘health’ of the program</w:t>
      </w:r>
    </w:p>
    <w:p w14:paraId="253E6B6F" w14:textId="77777777" w:rsidR="000867F7" w:rsidRDefault="000867F7" w:rsidP="00565949">
      <w:pPr>
        <w:pStyle w:val="ListBullet"/>
      </w:pPr>
      <w:r>
        <w:t>drive desired behaviours which will contribute to the program achieving objectives.</w:t>
      </w:r>
    </w:p>
    <w:p w14:paraId="66AC4402" w14:textId="77777777" w:rsidR="000867F7" w:rsidRDefault="000867F7" w:rsidP="000867F7">
      <w:r>
        <w:t>KPIs should be:</w:t>
      </w:r>
    </w:p>
    <w:p w14:paraId="79B9F3E3" w14:textId="77777777" w:rsidR="000867F7" w:rsidRDefault="000867F7" w:rsidP="00565949">
      <w:pPr>
        <w:pStyle w:val="ListBullet"/>
      </w:pPr>
      <w:r>
        <w:t>reviewed regularly</w:t>
      </w:r>
    </w:p>
    <w:p w14:paraId="6DCE52A2" w14:textId="77777777" w:rsidR="000867F7" w:rsidRPr="000867F7" w:rsidRDefault="000867F7" w:rsidP="00565949">
      <w:pPr>
        <w:pStyle w:val="ListBullet"/>
      </w:pPr>
      <w:r w:rsidRPr="000867F7">
        <w:t>not be used in isolation to determine success of the program, rather they are one element of performance</w:t>
      </w:r>
    </w:p>
    <w:p w14:paraId="1F4504C5" w14:textId="77777777" w:rsidR="000867F7" w:rsidRPr="000867F7" w:rsidRDefault="000867F7" w:rsidP="00565949">
      <w:pPr>
        <w:pStyle w:val="ListBullet"/>
        <w:rPr>
          <w:lang w:eastAsia="en-US"/>
        </w:rPr>
      </w:pPr>
      <w:r w:rsidRPr="000867F7">
        <w:rPr>
          <w:lang w:eastAsia="en-US"/>
        </w:rPr>
        <w:t xml:space="preserve">Derived from program outcomes </w:t>
      </w:r>
    </w:p>
    <w:p w14:paraId="35D4AD0B" w14:textId="77777777" w:rsidR="000867F7" w:rsidRPr="000867F7" w:rsidRDefault="000867F7" w:rsidP="00565949">
      <w:pPr>
        <w:pStyle w:val="ListBullet"/>
        <w:rPr>
          <w:lang w:eastAsia="en-US"/>
        </w:rPr>
      </w:pPr>
      <w:r w:rsidRPr="000867F7">
        <w:rPr>
          <w:lang w:eastAsia="en-US"/>
        </w:rPr>
        <w:t>Well-defined, relevant and informative</w:t>
      </w:r>
    </w:p>
    <w:p w14:paraId="3AFF50AB" w14:textId="77777777" w:rsidR="000867F7" w:rsidRPr="000867F7" w:rsidRDefault="000867F7" w:rsidP="00565949">
      <w:pPr>
        <w:pStyle w:val="ListBullet"/>
        <w:rPr>
          <w:lang w:val="en"/>
        </w:rPr>
      </w:pPr>
      <w:r w:rsidRPr="000867F7">
        <w:rPr>
          <w:lang w:eastAsia="en-US"/>
        </w:rPr>
        <w:t>Based on data that is available and cost-effective.</w:t>
      </w:r>
    </w:p>
    <w:p w14:paraId="6FC68982" w14:textId="77777777" w:rsidR="000867F7" w:rsidRPr="000867F7" w:rsidRDefault="000867F7" w:rsidP="00565949">
      <w:pPr>
        <w:pStyle w:val="ListBullet"/>
      </w:pPr>
      <w:r w:rsidRPr="000867F7">
        <w:rPr>
          <w:lang w:eastAsia="en-US"/>
        </w:rPr>
        <w:t>Comparable with a benchmark or previous results</w:t>
      </w:r>
    </w:p>
    <w:p w14:paraId="2E9634D1" w14:textId="3DCBDC41" w:rsidR="00A46EB4" w:rsidRDefault="0050521B" w:rsidP="002B4D49">
      <w:r>
        <w:t>KPIs alluded to in the table are merely to provide t</w:t>
      </w:r>
      <w:r w:rsidR="002B4D49">
        <w:t xml:space="preserve">he </w:t>
      </w:r>
      <w:r w:rsidR="00BC020C">
        <w:t>d</w:t>
      </w:r>
      <w:r w:rsidR="002B4D49">
        <w:t>epartment with a starting point for consideratio</w:t>
      </w:r>
      <w:r>
        <w:t>n</w:t>
      </w:r>
      <w:r w:rsidR="00B25C0E">
        <w:t xml:space="preserve">. </w:t>
      </w:r>
      <w:r w:rsidR="00A46EB4">
        <w:t>For example, the following would be onerous for individual project reporting</w:t>
      </w:r>
      <w:r w:rsidR="00B25C0E">
        <w:t xml:space="preserve">. </w:t>
      </w:r>
      <w:r w:rsidR="00A46EB4">
        <w:t>Project reporting could consider use of descriptors across a standard set of objectives, which could then be aggregated at a program level</w:t>
      </w:r>
      <w:r w:rsidR="003B0BAE">
        <w:t>.</w:t>
      </w:r>
    </w:p>
    <w:p w14:paraId="537501AD" w14:textId="7835BF6E" w:rsidR="002B4D49" w:rsidRPr="008C01B4" w:rsidRDefault="0050521B" w:rsidP="002B4D49">
      <w:r>
        <w:t>Developing a</w:t>
      </w:r>
      <w:r w:rsidR="002B4D49">
        <w:t xml:space="preserve"> M&amp;E Framework </w:t>
      </w:r>
      <w:r>
        <w:t xml:space="preserve">is </w:t>
      </w:r>
      <w:r w:rsidR="00F131C6">
        <w:t>an iterative process</w:t>
      </w:r>
      <w:r>
        <w:t xml:space="preserve"> and </w:t>
      </w:r>
      <w:r w:rsidR="002B4D49">
        <w:t>should be done in consultation with stakeholders</w:t>
      </w:r>
      <w:r w:rsidR="00B25C0E">
        <w:t xml:space="preserve">. </w:t>
      </w:r>
    </w:p>
    <w:p w14:paraId="4ACE3C30" w14:textId="63BAFEC8" w:rsidR="00A370F9" w:rsidRDefault="00397B95" w:rsidP="00D364D8">
      <w:r>
        <w:t xml:space="preserve">Performance against the </w:t>
      </w:r>
      <w:r w:rsidR="00A370F9" w:rsidRPr="00D83069">
        <w:t xml:space="preserve">KPIs should not be used in isolation to determine </w:t>
      </w:r>
      <w:r>
        <w:t xml:space="preserve">success. Rather </w:t>
      </w:r>
      <w:r w:rsidR="00A370F9" w:rsidRPr="00D83069">
        <w:t>KPI results are one element of performance and should be used in conjunction with b</w:t>
      </w:r>
      <w:r w:rsidR="00A370F9">
        <w:t>r</w:t>
      </w:r>
      <w:r w:rsidR="00A370F9" w:rsidRPr="00D83069">
        <w:t xml:space="preserve">oader evaluation methods to </w:t>
      </w:r>
      <w:r>
        <w:t xml:space="preserve">assess success or otherwise of </w:t>
      </w:r>
      <w:r w:rsidR="00A370F9">
        <w:t>the program</w:t>
      </w:r>
      <w:r w:rsidR="00B25C0E">
        <w:t xml:space="preserve">. </w:t>
      </w:r>
    </w:p>
    <w:p w14:paraId="64E7DE51" w14:textId="77777777" w:rsidR="00EF20E7" w:rsidRDefault="00EF20E7">
      <w:pPr>
        <w:ind w:left="0"/>
        <w:rPr>
          <w:rFonts w:asciiTheme="majorHAnsi" w:hAnsiTheme="majorHAnsi"/>
          <w:bCs/>
          <w:i/>
          <w:sz w:val="19"/>
          <w:szCs w:val="18"/>
        </w:rPr>
      </w:pPr>
      <w:r>
        <w:br w:type="page"/>
      </w:r>
    </w:p>
    <w:p w14:paraId="2E48C44F" w14:textId="77777777" w:rsidR="000D5E5A" w:rsidRDefault="000D5E5A" w:rsidP="00905B83">
      <w:pPr>
        <w:pStyle w:val="Caption"/>
        <w:spacing w:after="0"/>
      </w:pPr>
      <w:r>
        <w:t>Outcomes hierarchy and KPIs</w:t>
      </w:r>
    </w:p>
    <w:tbl>
      <w:tblPr>
        <w:tblStyle w:val="TableGrid"/>
        <w:tblW w:w="13436" w:type="dxa"/>
        <w:tblBorders>
          <w:top w:val="none" w:sz="0" w:space="0" w:color="auto"/>
          <w:left w:val="none" w:sz="0" w:space="0" w:color="auto"/>
          <w:bottom w:val="none" w:sz="0" w:space="0" w:color="auto"/>
          <w:right w:val="none" w:sz="0" w:space="0" w:color="auto"/>
          <w:insideH w:val="single" w:sz="4" w:space="0" w:color="0092CF"/>
          <w:insideV w:val="single" w:sz="4" w:space="0" w:color="0092CF"/>
        </w:tblBorders>
        <w:tblLook w:val="04A0" w:firstRow="1" w:lastRow="0" w:firstColumn="1" w:lastColumn="0" w:noHBand="0" w:noVBand="1"/>
        <w:tblCaption w:val="Outcoms hierarchy and KPIs"/>
        <w:tblDescription w:val="This table provides an indicative approach to how the Department could commence development of an M&amp;E Framework.  It lists program outcomes, and oututs with possible corresponding KPIs.  Data sources and collection and reporting columns have not been completed.  "/>
      </w:tblPr>
      <w:tblGrid>
        <w:gridCol w:w="3709"/>
        <w:gridCol w:w="5222"/>
        <w:gridCol w:w="2693"/>
        <w:gridCol w:w="1812"/>
      </w:tblGrid>
      <w:tr w:rsidR="008B5C2D" w:rsidRPr="00B15A99" w14:paraId="02E24CB4" w14:textId="77777777" w:rsidTr="00096211">
        <w:tc>
          <w:tcPr>
            <w:tcW w:w="3709" w:type="dxa"/>
            <w:shd w:val="clear" w:color="auto" w:fill="E0F0FC"/>
          </w:tcPr>
          <w:p w14:paraId="389FE058" w14:textId="77777777" w:rsidR="008B5C2D" w:rsidRPr="00B15A99" w:rsidRDefault="008B5C2D" w:rsidP="00A370F9">
            <w:pPr>
              <w:pStyle w:val="TableHeading"/>
            </w:pPr>
            <w:r>
              <w:t>long term outcome</w:t>
            </w:r>
          </w:p>
        </w:tc>
        <w:tc>
          <w:tcPr>
            <w:tcW w:w="5222" w:type="dxa"/>
            <w:shd w:val="clear" w:color="auto" w:fill="E0F0FC"/>
          </w:tcPr>
          <w:p w14:paraId="686E5B0B" w14:textId="77777777" w:rsidR="008B5C2D" w:rsidRPr="00B15A99" w:rsidRDefault="008B5C2D" w:rsidP="00A370F9">
            <w:pPr>
              <w:pStyle w:val="TableHeading"/>
            </w:pPr>
            <w:r>
              <w:t>KPI</w:t>
            </w:r>
          </w:p>
        </w:tc>
        <w:tc>
          <w:tcPr>
            <w:tcW w:w="2693" w:type="dxa"/>
            <w:shd w:val="clear" w:color="auto" w:fill="E0F0FC"/>
          </w:tcPr>
          <w:p w14:paraId="6CA7B559" w14:textId="77777777" w:rsidR="008B5C2D" w:rsidRDefault="008B5C2D" w:rsidP="00A370F9">
            <w:pPr>
              <w:pStyle w:val="TableHeading"/>
            </w:pPr>
            <w:r>
              <w:t>Data sources</w:t>
            </w:r>
          </w:p>
        </w:tc>
        <w:tc>
          <w:tcPr>
            <w:tcW w:w="1812" w:type="dxa"/>
            <w:shd w:val="clear" w:color="auto" w:fill="E0F0FC"/>
          </w:tcPr>
          <w:p w14:paraId="78E4F6F0" w14:textId="77777777" w:rsidR="008B5C2D" w:rsidRDefault="008B5C2D" w:rsidP="00A370F9">
            <w:pPr>
              <w:pStyle w:val="TableHeading"/>
            </w:pPr>
            <w:r>
              <w:t>collection and reporting requirement</w:t>
            </w:r>
          </w:p>
        </w:tc>
      </w:tr>
      <w:tr w:rsidR="008B5C2D" w14:paraId="15CCA0F8" w14:textId="77777777" w:rsidTr="00571361">
        <w:tc>
          <w:tcPr>
            <w:tcW w:w="3709" w:type="dxa"/>
            <w:shd w:val="clear" w:color="auto" w:fill="F2F2F2" w:themeFill="background1" w:themeFillShade="F2"/>
          </w:tcPr>
          <w:p w14:paraId="3EA53E14" w14:textId="77777777" w:rsidR="008B5C2D" w:rsidRDefault="008B5C2D" w:rsidP="00443F10">
            <w:pPr>
              <w:pStyle w:val="Tablebullet"/>
            </w:pPr>
            <w:r>
              <w:t>Significant productivity and profitability improvements for primary producers</w:t>
            </w:r>
          </w:p>
        </w:tc>
        <w:tc>
          <w:tcPr>
            <w:tcW w:w="5222" w:type="dxa"/>
          </w:tcPr>
          <w:p w14:paraId="644B50F2" w14:textId="77777777" w:rsidR="008B5C2D" w:rsidRDefault="008B5C2D" w:rsidP="00443F10">
            <w:pPr>
              <w:pStyle w:val="Tablebullet"/>
            </w:pPr>
            <w:r>
              <w:t>Extent to which producers consider inputs costs have reduced and outputs increased since adoption (eg though reduced labour costs, reduced energy costs)</w:t>
            </w:r>
          </w:p>
          <w:p w14:paraId="386D2FED" w14:textId="77777777" w:rsidR="008B5C2D" w:rsidRDefault="008B5C2D" w:rsidP="00443F10">
            <w:pPr>
              <w:pStyle w:val="Tablebullet"/>
            </w:pPr>
            <w:r>
              <w:t>Extent of return on investment (derived from an aggregate of project impact assessments).</w:t>
            </w:r>
            <w:r>
              <w:rPr>
                <w:rStyle w:val="FootnoteReference"/>
              </w:rPr>
              <w:footnoteReference w:id="33"/>
            </w:r>
          </w:p>
          <w:p w14:paraId="4FD47309" w14:textId="77777777" w:rsidR="008B5C2D" w:rsidRDefault="008B5C2D" w:rsidP="00443F10">
            <w:pPr>
              <w:pStyle w:val="Tablebullet"/>
            </w:pPr>
            <w:r>
              <w:t>Degree of stakeholder satisfaction</w:t>
            </w:r>
          </w:p>
          <w:p w14:paraId="244DF53D" w14:textId="77777777" w:rsidR="008B5C2D" w:rsidRDefault="008B5C2D" w:rsidP="00443F10">
            <w:pPr>
              <w:pStyle w:val="Tablebullet"/>
            </w:pPr>
            <w:r>
              <w:t>Degree to which program objectives are achieved</w:t>
            </w:r>
          </w:p>
        </w:tc>
        <w:tc>
          <w:tcPr>
            <w:tcW w:w="2693" w:type="dxa"/>
          </w:tcPr>
          <w:p w14:paraId="5DC5FE40" w14:textId="77777777" w:rsidR="008B5C2D" w:rsidRDefault="008B5C2D" w:rsidP="00443F10">
            <w:pPr>
              <w:pStyle w:val="Tablebullet"/>
            </w:pPr>
          </w:p>
        </w:tc>
        <w:tc>
          <w:tcPr>
            <w:tcW w:w="1812" w:type="dxa"/>
          </w:tcPr>
          <w:p w14:paraId="0FB7B5F8" w14:textId="77777777" w:rsidR="008B5C2D" w:rsidRDefault="008B5C2D" w:rsidP="00443F10">
            <w:pPr>
              <w:pStyle w:val="Tablebullet"/>
            </w:pPr>
          </w:p>
        </w:tc>
      </w:tr>
      <w:tr w:rsidR="008B5C2D" w14:paraId="559DDAEC" w14:textId="77777777" w:rsidTr="00571361">
        <w:tc>
          <w:tcPr>
            <w:tcW w:w="3709" w:type="dxa"/>
            <w:shd w:val="clear" w:color="auto" w:fill="F2F2F2" w:themeFill="background1" w:themeFillShade="F2"/>
          </w:tcPr>
          <w:p w14:paraId="66481492" w14:textId="77777777" w:rsidR="008B5C2D" w:rsidRDefault="008B5C2D" w:rsidP="00443F10">
            <w:pPr>
              <w:pStyle w:val="Tablebullet"/>
            </w:pPr>
            <w:r>
              <w:t>Seamless extension of the results of rural R&amp;D</w:t>
            </w:r>
          </w:p>
        </w:tc>
        <w:tc>
          <w:tcPr>
            <w:tcW w:w="5222" w:type="dxa"/>
          </w:tcPr>
          <w:p w14:paraId="764A1401" w14:textId="77777777" w:rsidR="008B5C2D" w:rsidRDefault="008B5C2D" w:rsidP="00443F10">
            <w:pPr>
              <w:pStyle w:val="Tablebullet"/>
            </w:pPr>
            <w:r>
              <w:t>Extent of primary producer satisfaction with access to and quality of extension services</w:t>
            </w:r>
          </w:p>
          <w:p w14:paraId="12EE6AF1" w14:textId="77777777" w:rsidR="008B5C2D" w:rsidRDefault="008B5C2D" w:rsidP="00443F10">
            <w:pPr>
              <w:pStyle w:val="Tablebullet"/>
            </w:pPr>
            <w:r>
              <w:t>Extent of extension provider satisfaction</w:t>
            </w:r>
          </w:p>
          <w:p w14:paraId="5F896DB3" w14:textId="77777777" w:rsidR="008B5C2D" w:rsidRDefault="008B5C2D" w:rsidP="00443F10">
            <w:pPr>
              <w:pStyle w:val="Tablebullet"/>
            </w:pPr>
            <w:r>
              <w:t>Extent of timeframes towards commercialisation of research and adoption</w:t>
            </w:r>
          </w:p>
        </w:tc>
        <w:tc>
          <w:tcPr>
            <w:tcW w:w="2693" w:type="dxa"/>
          </w:tcPr>
          <w:p w14:paraId="3642572D" w14:textId="77777777" w:rsidR="008B5C2D" w:rsidRDefault="008B5C2D" w:rsidP="00443F10">
            <w:pPr>
              <w:pStyle w:val="Tablebullet"/>
            </w:pPr>
          </w:p>
        </w:tc>
        <w:tc>
          <w:tcPr>
            <w:tcW w:w="1812" w:type="dxa"/>
          </w:tcPr>
          <w:p w14:paraId="2A172973" w14:textId="77777777" w:rsidR="008B5C2D" w:rsidRDefault="008B5C2D" w:rsidP="00443F10">
            <w:pPr>
              <w:pStyle w:val="Tablebullet"/>
            </w:pPr>
          </w:p>
        </w:tc>
      </w:tr>
      <w:tr w:rsidR="008B5C2D" w14:paraId="3655C40B" w14:textId="77777777" w:rsidTr="00571361">
        <w:tc>
          <w:tcPr>
            <w:tcW w:w="3709" w:type="dxa"/>
            <w:shd w:val="clear" w:color="auto" w:fill="F2F2F2" w:themeFill="background1" w:themeFillShade="F2"/>
          </w:tcPr>
          <w:p w14:paraId="23E467C7" w14:textId="77777777" w:rsidR="008B5C2D" w:rsidRDefault="008B5C2D" w:rsidP="00443F10">
            <w:pPr>
              <w:pStyle w:val="Tablebullet"/>
            </w:pPr>
            <w:r>
              <w:t>Industry and research collaborations form the basis for the ongoing innovation and growth of Australian agriculture</w:t>
            </w:r>
          </w:p>
        </w:tc>
        <w:tc>
          <w:tcPr>
            <w:tcW w:w="5222" w:type="dxa"/>
          </w:tcPr>
          <w:p w14:paraId="0C6E012E" w14:textId="77777777" w:rsidR="008B5C2D" w:rsidRDefault="008B5C2D" w:rsidP="00443F10">
            <w:pPr>
              <w:pStyle w:val="Tablebullet"/>
            </w:pPr>
            <w:r>
              <w:t>Extent of incidence of new collaborations by RDCs</w:t>
            </w:r>
          </w:p>
          <w:p w14:paraId="73300AEA" w14:textId="77777777" w:rsidR="008B5C2D" w:rsidRDefault="008B5C2D" w:rsidP="00443F10">
            <w:pPr>
              <w:pStyle w:val="Tablebullet"/>
            </w:pPr>
            <w:r>
              <w:t>Extent of sustainment of collaborations developed</w:t>
            </w:r>
          </w:p>
          <w:p w14:paraId="151F9E9C" w14:textId="77777777" w:rsidR="008B5C2D" w:rsidRDefault="008B5C2D" w:rsidP="00443F10">
            <w:pPr>
              <w:pStyle w:val="Tablebullet"/>
            </w:pPr>
            <w:r>
              <w:t>Extent to which collaborations demonstrate factors associated with success</w:t>
            </w:r>
          </w:p>
        </w:tc>
        <w:tc>
          <w:tcPr>
            <w:tcW w:w="2693" w:type="dxa"/>
          </w:tcPr>
          <w:p w14:paraId="791473DA" w14:textId="77777777" w:rsidR="008B5C2D" w:rsidRDefault="008B5C2D" w:rsidP="00443F10">
            <w:pPr>
              <w:pStyle w:val="Tablebullet"/>
            </w:pPr>
          </w:p>
        </w:tc>
        <w:tc>
          <w:tcPr>
            <w:tcW w:w="1812" w:type="dxa"/>
          </w:tcPr>
          <w:p w14:paraId="20AD6058" w14:textId="77777777" w:rsidR="008B5C2D" w:rsidRDefault="008B5C2D" w:rsidP="00443F10">
            <w:pPr>
              <w:pStyle w:val="Tablebullet"/>
            </w:pPr>
          </w:p>
        </w:tc>
      </w:tr>
      <w:tr w:rsidR="008B5C2D" w:rsidRPr="00B15A99" w14:paraId="32F7B4DF" w14:textId="77777777" w:rsidTr="00096211">
        <w:tc>
          <w:tcPr>
            <w:tcW w:w="3709" w:type="dxa"/>
            <w:shd w:val="clear" w:color="auto" w:fill="E0F0FC"/>
          </w:tcPr>
          <w:p w14:paraId="134EBD0E" w14:textId="77777777" w:rsidR="008B5C2D" w:rsidRPr="00B15A99" w:rsidRDefault="008B5C2D" w:rsidP="00164EB0">
            <w:pPr>
              <w:pStyle w:val="TableHeading"/>
            </w:pPr>
            <w:r>
              <w:t>Medium term outcome</w:t>
            </w:r>
          </w:p>
        </w:tc>
        <w:tc>
          <w:tcPr>
            <w:tcW w:w="5222" w:type="dxa"/>
            <w:shd w:val="clear" w:color="auto" w:fill="E0F0FC"/>
          </w:tcPr>
          <w:p w14:paraId="4EB77A82" w14:textId="77777777" w:rsidR="008B5C2D" w:rsidRPr="00B15A99" w:rsidRDefault="008B5C2D" w:rsidP="00905B83">
            <w:pPr>
              <w:pStyle w:val="TableHeading"/>
              <w:ind w:left="317" w:hanging="4"/>
            </w:pPr>
            <w:r>
              <w:t>measure</w:t>
            </w:r>
          </w:p>
        </w:tc>
        <w:tc>
          <w:tcPr>
            <w:tcW w:w="2693" w:type="dxa"/>
            <w:shd w:val="clear" w:color="auto" w:fill="E0F0FC"/>
          </w:tcPr>
          <w:p w14:paraId="6FE39E72" w14:textId="77777777" w:rsidR="008B5C2D" w:rsidRDefault="008B5C2D" w:rsidP="00905B83">
            <w:pPr>
              <w:pStyle w:val="TableHeading"/>
              <w:ind w:left="317" w:hanging="4"/>
            </w:pPr>
          </w:p>
        </w:tc>
        <w:tc>
          <w:tcPr>
            <w:tcW w:w="1812" w:type="dxa"/>
            <w:shd w:val="clear" w:color="auto" w:fill="E0F0FC"/>
          </w:tcPr>
          <w:p w14:paraId="0A4277B9" w14:textId="77777777" w:rsidR="008B5C2D" w:rsidRDefault="008B5C2D" w:rsidP="00905B83">
            <w:pPr>
              <w:pStyle w:val="TableHeading"/>
              <w:ind w:left="317" w:hanging="4"/>
            </w:pPr>
          </w:p>
        </w:tc>
      </w:tr>
      <w:tr w:rsidR="008B5C2D" w14:paraId="1A06B5A1" w14:textId="77777777" w:rsidTr="00571361">
        <w:tc>
          <w:tcPr>
            <w:tcW w:w="3709" w:type="dxa"/>
            <w:shd w:val="clear" w:color="auto" w:fill="F2F2F2" w:themeFill="background1" w:themeFillShade="F2"/>
          </w:tcPr>
          <w:p w14:paraId="63E29F7C" w14:textId="77777777" w:rsidR="008B5C2D" w:rsidRDefault="008B5C2D" w:rsidP="00443F10">
            <w:pPr>
              <w:pStyle w:val="Tablebullet"/>
            </w:pPr>
            <w:r>
              <w:t>Reduced input costs for producers</w:t>
            </w:r>
          </w:p>
        </w:tc>
        <w:tc>
          <w:tcPr>
            <w:tcW w:w="5222" w:type="dxa"/>
          </w:tcPr>
          <w:p w14:paraId="080D3509" w14:textId="77777777" w:rsidR="008B5C2D" w:rsidRDefault="008B5C2D" w:rsidP="00443F10">
            <w:pPr>
              <w:pStyle w:val="Tablebullet"/>
            </w:pPr>
            <w:r>
              <w:t>Extent to which producers consider inputs costs have reduced since adoption</w:t>
            </w:r>
          </w:p>
        </w:tc>
        <w:tc>
          <w:tcPr>
            <w:tcW w:w="2693" w:type="dxa"/>
          </w:tcPr>
          <w:p w14:paraId="7DB85DB4" w14:textId="77777777" w:rsidR="008B5C2D" w:rsidRDefault="008B5C2D" w:rsidP="00443F10">
            <w:pPr>
              <w:pStyle w:val="Tablebullet"/>
            </w:pPr>
          </w:p>
        </w:tc>
        <w:tc>
          <w:tcPr>
            <w:tcW w:w="1812" w:type="dxa"/>
          </w:tcPr>
          <w:p w14:paraId="24EFAE84" w14:textId="77777777" w:rsidR="008B5C2D" w:rsidRDefault="008B5C2D" w:rsidP="00443F10">
            <w:pPr>
              <w:pStyle w:val="Tablebullet"/>
            </w:pPr>
          </w:p>
        </w:tc>
      </w:tr>
      <w:tr w:rsidR="008B5C2D" w14:paraId="4DAB811F" w14:textId="77777777" w:rsidTr="00571361">
        <w:tc>
          <w:tcPr>
            <w:tcW w:w="3709" w:type="dxa"/>
            <w:shd w:val="clear" w:color="auto" w:fill="F2F2F2" w:themeFill="background1" w:themeFillShade="F2"/>
          </w:tcPr>
          <w:p w14:paraId="0E729365" w14:textId="77777777" w:rsidR="008B5C2D" w:rsidRDefault="008B5C2D" w:rsidP="00443F10">
            <w:pPr>
              <w:pStyle w:val="Tablebullet"/>
            </w:pPr>
            <w:r>
              <w:t>Enhanced production value or quality of Australian agriculture, fisheries or forestry products</w:t>
            </w:r>
          </w:p>
        </w:tc>
        <w:tc>
          <w:tcPr>
            <w:tcW w:w="5222" w:type="dxa"/>
          </w:tcPr>
          <w:p w14:paraId="5C8D3C1E" w14:textId="77777777" w:rsidR="008B5C2D" w:rsidRDefault="008B5C2D" w:rsidP="00443F10">
            <w:pPr>
              <w:pStyle w:val="Tablebullet"/>
            </w:pPr>
            <w:r>
              <w:t>Extent to which producers consider production value or quality has been enhanced</w:t>
            </w:r>
          </w:p>
          <w:p w14:paraId="31482E1B" w14:textId="77777777" w:rsidR="008B5C2D" w:rsidRDefault="008B5C2D" w:rsidP="00443F10">
            <w:pPr>
              <w:pStyle w:val="Tablebullet"/>
            </w:pPr>
            <w:r>
              <w:t xml:space="preserve">Extent of return on investment (derived from an aggregate of project impact assessments) </w:t>
            </w:r>
          </w:p>
          <w:p w14:paraId="391D882B" w14:textId="77777777" w:rsidR="008B5C2D" w:rsidRDefault="008B5C2D" w:rsidP="00443F10">
            <w:pPr>
              <w:pStyle w:val="Tablebullet"/>
            </w:pPr>
            <w:r>
              <w:t>Extent to which investments address government and industry priorities, and optimise partnerships with other research agencies</w:t>
            </w:r>
          </w:p>
        </w:tc>
        <w:tc>
          <w:tcPr>
            <w:tcW w:w="2693" w:type="dxa"/>
          </w:tcPr>
          <w:p w14:paraId="3CFDA29A" w14:textId="77777777" w:rsidR="008B5C2D" w:rsidRDefault="008B5C2D" w:rsidP="00443F10">
            <w:pPr>
              <w:pStyle w:val="Tablebullet"/>
            </w:pPr>
          </w:p>
        </w:tc>
        <w:tc>
          <w:tcPr>
            <w:tcW w:w="1812" w:type="dxa"/>
          </w:tcPr>
          <w:p w14:paraId="6953C4A3" w14:textId="77777777" w:rsidR="008B5C2D" w:rsidRDefault="008B5C2D" w:rsidP="00443F10">
            <w:pPr>
              <w:pStyle w:val="Tablebullet"/>
            </w:pPr>
          </w:p>
        </w:tc>
      </w:tr>
      <w:tr w:rsidR="008B5C2D" w14:paraId="1D643920" w14:textId="77777777" w:rsidTr="00571361">
        <w:tc>
          <w:tcPr>
            <w:tcW w:w="3709" w:type="dxa"/>
            <w:shd w:val="clear" w:color="auto" w:fill="F2F2F2" w:themeFill="background1" w:themeFillShade="F2"/>
          </w:tcPr>
          <w:p w14:paraId="47856F48" w14:textId="77777777" w:rsidR="008B5C2D" w:rsidRDefault="008B5C2D" w:rsidP="00443F10">
            <w:pPr>
              <w:pStyle w:val="Tablebullet"/>
            </w:pPr>
            <w:r>
              <w:t>Improve sustainability of Australia’s natural resources and or/agricultural industries</w:t>
            </w:r>
          </w:p>
        </w:tc>
        <w:tc>
          <w:tcPr>
            <w:tcW w:w="5222" w:type="dxa"/>
          </w:tcPr>
          <w:p w14:paraId="650B0202" w14:textId="77777777" w:rsidR="008B5C2D" w:rsidRDefault="008B5C2D" w:rsidP="00443F10">
            <w:pPr>
              <w:pStyle w:val="Tablebullet"/>
            </w:pPr>
            <w:r>
              <w:t>Extent to which stakeholders consider there have been sustainability improvements</w:t>
            </w:r>
          </w:p>
          <w:p w14:paraId="7258F34B" w14:textId="77777777" w:rsidR="008B5C2D" w:rsidRDefault="008B5C2D" w:rsidP="00443F10">
            <w:pPr>
              <w:pStyle w:val="Tablebullet"/>
            </w:pPr>
            <w:r>
              <w:t>Extent to which tools or processes have increased that assist producers to undertake more effective and sustainable natural resource management.</w:t>
            </w:r>
          </w:p>
        </w:tc>
        <w:tc>
          <w:tcPr>
            <w:tcW w:w="2693" w:type="dxa"/>
          </w:tcPr>
          <w:p w14:paraId="597A8C04" w14:textId="77777777" w:rsidR="008B5C2D" w:rsidRDefault="008B5C2D" w:rsidP="00443F10">
            <w:pPr>
              <w:pStyle w:val="Tablebullet"/>
            </w:pPr>
          </w:p>
        </w:tc>
        <w:tc>
          <w:tcPr>
            <w:tcW w:w="1812" w:type="dxa"/>
          </w:tcPr>
          <w:p w14:paraId="4D5A5463" w14:textId="77777777" w:rsidR="008B5C2D" w:rsidRDefault="008B5C2D" w:rsidP="00443F10">
            <w:pPr>
              <w:pStyle w:val="Tablebullet"/>
            </w:pPr>
          </w:p>
        </w:tc>
      </w:tr>
      <w:tr w:rsidR="008B5C2D" w14:paraId="420DA87F" w14:textId="77777777" w:rsidTr="00571361">
        <w:tc>
          <w:tcPr>
            <w:tcW w:w="3709" w:type="dxa"/>
            <w:shd w:val="clear" w:color="auto" w:fill="F2F2F2" w:themeFill="background1" w:themeFillShade="F2"/>
          </w:tcPr>
          <w:p w14:paraId="28F04E54" w14:textId="77777777" w:rsidR="008B5C2D" w:rsidRDefault="008B5C2D" w:rsidP="00443F10">
            <w:pPr>
              <w:pStyle w:val="Tablebullet"/>
            </w:pPr>
            <w:r>
              <w:t>Extension pathways are strengthened</w:t>
            </w:r>
          </w:p>
        </w:tc>
        <w:tc>
          <w:tcPr>
            <w:tcW w:w="5222" w:type="dxa"/>
          </w:tcPr>
          <w:p w14:paraId="25F9ADDB" w14:textId="77777777" w:rsidR="008B5C2D" w:rsidRDefault="008B5C2D" w:rsidP="00443F10">
            <w:pPr>
              <w:pStyle w:val="Tablebullet"/>
            </w:pPr>
            <w:r>
              <w:t>Extent of use and adoption of outcomes from extension projects</w:t>
            </w:r>
          </w:p>
          <w:p w14:paraId="768F6D04" w14:textId="77777777" w:rsidR="008B5C2D" w:rsidRDefault="008B5C2D" w:rsidP="00443F10">
            <w:pPr>
              <w:pStyle w:val="Tablebullet"/>
            </w:pPr>
            <w:r>
              <w:t>Extent of primary producer satisfaction with access to and quality of extension services</w:t>
            </w:r>
          </w:p>
          <w:p w14:paraId="77563713" w14:textId="77777777" w:rsidR="008B5C2D" w:rsidRDefault="008B5C2D" w:rsidP="00443F10">
            <w:pPr>
              <w:pStyle w:val="Tablebullet"/>
            </w:pPr>
            <w:r>
              <w:t>Extent of extension provider satisfaction</w:t>
            </w:r>
          </w:p>
        </w:tc>
        <w:tc>
          <w:tcPr>
            <w:tcW w:w="2693" w:type="dxa"/>
          </w:tcPr>
          <w:p w14:paraId="418BC139" w14:textId="77777777" w:rsidR="008B5C2D" w:rsidRDefault="008B5C2D" w:rsidP="00443F10">
            <w:pPr>
              <w:pStyle w:val="Tablebullet"/>
            </w:pPr>
          </w:p>
        </w:tc>
        <w:tc>
          <w:tcPr>
            <w:tcW w:w="1812" w:type="dxa"/>
          </w:tcPr>
          <w:p w14:paraId="29808226" w14:textId="77777777" w:rsidR="008B5C2D" w:rsidRDefault="008B5C2D" w:rsidP="00443F10">
            <w:pPr>
              <w:pStyle w:val="Tablebullet"/>
            </w:pPr>
          </w:p>
        </w:tc>
      </w:tr>
      <w:tr w:rsidR="008B5C2D" w14:paraId="7AF30C73" w14:textId="77777777" w:rsidTr="00571361">
        <w:tc>
          <w:tcPr>
            <w:tcW w:w="3709" w:type="dxa"/>
            <w:shd w:val="clear" w:color="auto" w:fill="F2F2F2" w:themeFill="background1" w:themeFillShade="F2"/>
          </w:tcPr>
          <w:p w14:paraId="2105EEEC" w14:textId="77777777" w:rsidR="008B5C2D" w:rsidRDefault="008B5C2D" w:rsidP="00443F10">
            <w:pPr>
              <w:pStyle w:val="Tablebullet"/>
            </w:pPr>
            <w:r>
              <w:t>Innovation research collaborations are established and sustained</w:t>
            </w:r>
          </w:p>
        </w:tc>
        <w:tc>
          <w:tcPr>
            <w:tcW w:w="5222" w:type="dxa"/>
          </w:tcPr>
          <w:p w14:paraId="7BABA4F4" w14:textId="77777777" w:rsidR="008B5C2D" w:rsidRDefault="008B5C2D" w:rsidP="00443F10">
            <w:pPr>
              <w:pStyle w:val="Tablebullet"/>
            </w:pPr>
            <w:r>
              <w:t>Extent of initiation of new collaborations by RDCs</w:t>
            </w:r>
          </w:p>
          <w:p w14:paraId="02E420F3" w14:textId="77777777" w:rsidR="008B5C2D" w:rsidRDefault="008B5C2D" w:rsidP="00443F10">
            <w:pPr>
              <w:pStyle w:val="Tablebullet"/>
            </w:pPr>
            <w:r>
              <w:t>Extent of sustained collaborations</w:t>
            </w:r>
          </w:p>
          <w:p w14:paraId="04D0CAF2" w14:textId="77777777" w:rsidR="008B5C2D" w:rsidRDefault="008B5C2D" w:rsidP="00443F10">
            <w:pPr>
              <w:pStyle w:val="Tablebullet"/>
            </w:pPr>
            <w:r>
              <w:t>Extent of industry involvement</w:t>
            </w:r>
          </w:p>
          <w:p w14:paraId="59065006" w14:textId="77777777" w:rsidR="008B5C2D" w:rsidRDefault="008B5C2D" w:rsidP="00443F10">
            <w:pPr>
              <w:pStyle w:val="Tablebullet"/>
            </w:pPr>
            <w:r>
              <w:t>Extent to which collaborations demonstrate factors associated with success</w:t>
            </w:r>
          </w:p>
        </w:tc>
        <w:tc>
          <w:tcPr>
            <w:tcW w:w="2693" w:type="dxa"/>
          </w:tcPr>
          <w:p w14:paraId="6238EA28" w14:textId="77777777" w:rsidR="008B5C2D" w:rsidRDefault="008B5C2D" w:rsidP="00443F10">
            <w:pPr>
              <w:pStyle w:val="Tablebullet"/>
            </w:pPr>
          </w:p>
        </w:tc>
        <w:tc>
          <w:tcPr>
            <w:tcW w:w="1812" w:type="dxa"/>
          </w:tcPr>
          <w:p w14:paraId="3C7BF858" w14:textId="77777777" w:rsidR="008B5C2D" w:rsidRDefault="008B5C2D" w:rsidP="00443F10">
            <w:pPr>
              <w:pStyle w:val="Tablebullet"/>
            </w:pPr>
          </w:p>
        </w:tc>
      </w:tr>
      <w:tr w:rsidR="008B5C2D" w:rsidRPr="00B15A99" w14:paraId="306C1983" w14:textId="77777777" w:rsidTr="00096211">
        <w:tc>
          <w:tcPr>
            <w:tcW w:w="3709" w:type="dxa"/>
            <w:shd w:val="clear" w:color="auto" w:fill="E0F0FC"/>
          </w:tcPr>
          <w:p w14:paraId="593198BA" w14:textId="77777777" w:rsidR="008B5C2D" w:rsidRPr="00B15A99" w:rsidRDefault="008B5C2D" w:rsidP="00164EB0">
            <w:pPr>
              <w:pStyle w:val="TableHeading"/>
            </w:pPr>
            <w:r>
              <w:t>short term outcome</w:t>
            </w:r>
          </w:p>
        </w:tc>
        <w:tc>
          <w:tcPr>
            <w:tcW w:w="5222" w:type="dxa"/>
            <w:shd w:val="clear" w:color="auto" w:fill="E0F0FC"/>
          </w:tcPr>
          <w:p w14:paraId="5EBD08A3" w14:textId="77777777" w:rsidR="008B5C2D" w:rsidRPr="00B15A99" w:rsidRDefault="008B5C2D" w:rsidP="00C815E9">
            <w:pPr>
              <w:pStyle w:val="TableHeading"/>
              <w:ind w:left="317" w:hanging="283"/>
            </w:pPr>
            <w:r>
              <w:t>measure</w:t>
            </w:r>
          </w:p>
        </w:tc>
        <w:tc>
          <w:tcPr>
            <w:tcW w:w="2693" w:type="dxa"/>
            <w:shd w:val="clear" w:color="auto" w:fill="E0F0FC"/>
          </w:tcPr>
          <w:p w14:paraId="150132BA" w14:textId="77777777" w:rsidR="008B5C2D" w:rsidRDefault="008B5C2D" w:rsidP="00C815E9">
            <w:pPr>
              <w:pStyle w:val="TableHeading"/>
              <w:ind w:left="317" w:hanging="283"/>
            </w:pPr>
          </w:p>
        </w:tc>
        <w:tc>
          <w:tcPr>
            <w:tcW w:w="1812" w:type="dxa"/>
            <w:shd w:val="clear" w:color="auto" w:fill="E0F0FC"/>
          </w:tcPr>
          <w:p w14:paraId="6A03D76B" w14:textId="77777777" w:rsidR="008B5C2D" w:rsidRDefault="008B5C2D" w:rsidP="00C815E9">
            <w:pPr>
              <w:pStyle w:val="TableHeading"/>
              <w:ind w:left="317" w:hanging="283"/>
            </w:pPr>
          </w:p>
        </w:tc>
      </w:tr>
      <w:tr w:rsidR="008B5C2D" w14:paraId="5B232852" w14:textId="77777777" w:rsidTr="00571361">
        <w:tc>
          <w:tcPr>
            <w:tcW w:w="3709" w:type="dxa"/>
            <w:shd w:val="clear" w:color="auto" w:fill="F2F2F2" w:themeFill="background1" w:themeFillShade="F2"/>
          </w:tcPr>
          <w:p w14:paraId="3E1B70CF" w14:textId="77777777" w:rsidR="008B5C2D" w:rsidRDefault="008B5C2D" w:rsidP="00443F10">
            <w:pPr>
              <w:pStyle w:val="Tablebullet"/>
            </w:pPr>
            <w:r>
              <w:t>Knowledge, technologies, products or processes are adopted by primary producers</w:t>
            </w:r>
          </w:p>
        </w:tc>
        <w:tc>
          <w:tcPr>
            <w:tcW w:w="5222" w:type="dxa"/>
          </w:tcPr>
          <w:p w14:paraId="3DC39435" w14:textId="77777777" w:rsidR="008B5C2D" w:rsidRDefault="008B5C2D" w:rsidP="00443F10">
            <w:pPr>
              <w:pStyle w:val="Tablebullet"/>
            </w:pPr>
            <w:r>
              <w:t>No. patents, inventions, trademarks, registered designs</w:t>
            </w:r>
          </w:p>
          <w:p w14:paraId="13199B62" w14:textId="77777777" w:rsidR="008B5C2D" w:rsidRDefault="008B5C2D" w:rsidP="00443F10">
            <w:pPr>
              <w:pStyle w:val="Tablebullet"/>
            </w:pPr>
            <w:r>
              <w:t xml:space="preserve">Extent of uptake and adoption by primary producers </w:t>
            </w:r>
          </w:p>
        </w:tc>
        <w:tc>
          <w:tcPr>
            <w:tcW w:w="2693" w:type="dxa"/>
          </w:tcPr>
          <w:p w14:paraId="586AC82E" w14:textId="77777777" w:rsidR="008B5C2D" w:rsidRDefault="008B5C2D" w:rsidP="00443F10">
            <w:pPr>
              <w:pStyle w:val="Tablebullet"/>
            </w:pPr>
          </w:p>
        </w:tc>
        <w:tc>
          <w:tcPr>
            <w:tcW w:w="1812" w:type="dxa"/>
          </w:tcPr>
          <w:p w14:paraId="138E74CA" w14:textId="77777777" w:rsidR="008B5C2D" w:rsidRDefault="008B5C2D" w:rsidP="00443F10">
            <w:pPr>
              <w:pStyle w:val="Tablebullet"/>
            </w:pPr>
          </w:p>
        </w:tc>
      </w:tr>
      <w:tr w:rsidR="008B5C2D" w14:paraId="7DFF11C4" w14:textId="77777777" w:rsidTr="00571361">
        <w:tc>
          <w:tcPr>
            <w:tcW w:w="3709" w:type="dxa"/>
            <w:shd w:val="clear" w:color="auto" w:fill="F2F2F2" w:themeFill="background1" w:themeFillShade="F2"/>
          </w:tcPr>
          <w:p w14:paraId="6ECEC1CE" w14:textId="77777777" w:rsidR="008B5C2D" w:rsidRDefault="008B5C2D" w:rsidP="00443F10">
            <w:pPr>
              <w:pStyle w:val="Tablebullet"/>
            </w:pPr>
            <w:r>
              <w:t>Barrier to adoption are understood</w:t>
            </w:r>
          </w:p>
        </w:tc>
        <w:tc>
          <w:tcPr>
            <w:tcW w:w="5222" w:type="dxa"/>
          </w:tcPr>
          <w:p w14:paraId="0CEDEAE2" w14:textId="77777777" w:rsidR="008B5C2D" w:rsidRDefault="008B5C2D" w:rsidP="00443F10">
            <w:pPr>
              <w:pStyle w:val="Tablebullet"/>
            </w:pPr>
            <w:r>
              <w:t xml:space="preserve">No. and program% of adoption priority projects </w:t>
            </w:r>
          </w:p>
          <w:p w14:paraId="1E589B13" w14:textId="77777777" w:rsidR="008B5C2D" w:rsidRDefault="008B5C2D" w:rsidP="00443F10">
            <w:pPr>
              <w:pStyle w:val="Tablebullet"/>
            </w:pPr>
            <w:r>
              <w:t>Program $ allocated and % funding allocated to adoption priority projects</w:t>
            </w:r>
          </w:p>
        </w:tc>
        <w:tc>
          <w:tcPr>
            <w:tcW w:w="2693" w:type="dxa"/>
          </w:tcPr>
          <w:p w14:paraId="4841D981" w14:textId="77777777" w:rsidR="008B5C2D" w:rsidRDefault="008B5C2D" w:rsidP="00443F10">
            <w:pPr>
              <w:pStyle w:val="Tablebullet"/>
            </w:pPr>
          </w:p>
        </w:tc>
        <w:tc>
          <w:tcPr>
            <w:tcW w:w="1812" w:type="dxa"/>
          </w:tcPr>
          <w:p w14:paraId="21420D25" w14:textId="77777777" w:rsidR="008B5C2D" w:rsidRDefault="008B5C2D" w:rsidP="00443F10">
            <w:pPr>
              <w:pStyle w:val="Tablebullet"/>
            </w:pPr>
          </w:p>
        </w:tc>
      </w:tr>
      <w:tr w:rsidR="008B5C2D" w14:paraId="6762560F" w14:textId="77777777" w:rsidTr="00571361">
        <w:tc>
          <w:tcPr>
            <w:tcW w:w="3709" w:type="dxa"/>
            <w:shd w:val="clear" w:color="auto" w:fill="F2F2F2" w:themeFill="background1" w:themeFillShade="F2"/>
          </w:tcPr>
          <w:p w14:paraId="3D59776D" w14:textId="77777777" w:rsidR="008B5C2D" w:rsidRDefault="008B5C2D" w:rsidP="00443F10">
            <w:pPr>
              <w:pStyle w:val="Tablebullet"/>
            </w:pPr>
            <w:r>
              <w:t>Research collaborations are sustained</w:t>
            </w:r>
          </w:p>
        </w:tc>
        <w:tc>
          <w:tcPr>
            <w:tcW w:w="5222" w:type="dxa"/>
          </w:tcPr>
          <w:p w14:paraId="2C4767BE" w14:textId="77777777" w:rsidR="008B5C2D" w:rsidRDefault="008B5C2D" w:rsidP="00443F10">
            <w:pPr>
              <w:pStyle w:val="Tablebullet"/>
            </w:pPr>
            <w:r>
              <w:t>Extent of ongoing collaborations</w:t>
            </w:r>
          </w:p>
          <w:p w14:paraId="4A63A104" w14:textId="77777777" w:rsidR="008B5C2D" w:rsidRDefault="008B5C2D" w:rsidP="00443F10">
            <w:pPr>
              <w:pStyle w:val="Tablebullet"/>
            </w:pPr>
            <w:r>
              <w:t>Extent of new projects undertaken by collaborations</w:t>
            </w:r>
          </w:p>
          <w:p w14:paraId="6B24EABF" w14:textId="77777777" w:rsidR="008B5C2D" w:rsidRDefault="008B5C2D" w:rsidP="00443F10">
            <w:pPr>
              <w:pStyle w:val="Tablebullet"/>
            </w:pPr>
            <w:r>
              <w:t>Extent of ongoing industry involvement</w:t>
            </w:r>
          </w:p>
        </w:tc>
        <w:tc>
          <w:tcPr>
            <w:tcW w:w="2693" w:type="dxa"/>
          </w:tcPr>
          <w:p w14:paraId="024E887E" w14:textId="77777777" w:rsidR="008B5C2D" w:rsidRDefault="008B5C2D" w:rsidP="00443F10">
            <w:pPr>
              <w:pStyle w:val="Tablebullet"/>
            </w:pPr>
          </w:p>
        </w:tc>
        <w:tc>
          <w:tcPr>
            <w:tcW w:w="1812" w:type="dxa"/>
          </w:tcPr>
          <w:p w14:paraId="19D6FADB" w14:textId="77777777" w:rsidR="008B5C2D" w:rsidRDefault="008B5C2D" w:rsidP="00443F10">
            <w:pPr>
              <w:pStyle w:val="Tablebullet"/>
            </w:pPr>
          </w:p>
        </w:tc>
      </w:tr>
    </w:tbl>
    <w:p w14:paraId="428C7EA0" w14:textId="77777777" w:rsidR="00B15BA7" w:rsidRDefault="00B15BA7">
      <w:r>
        <w:rPr>
          <w:b/>
          <w:caps/>
        </w:rPr>
        <w:br w:type="page"/>
      </w:r>
    </w:p>
    <w:tbl>
      <w:tblPr>
        <w:tblStyle w:val="TableGrid"/>
        <w:tblW w:w="13436" w:type="dxa"/>
        <w:tblBorders>
          <w:top w:val="none" w:sz="0" w:space="0" w:color="auto"/>
          <w:left w:val="none" w:sz="0" w:space="0" w:color="auto"/>
          <w:bottom w:val="none" w:sz="0" w:space="0" w:color="auto"/>
          <w:right w:val="none" w:sz="0" w:space="0" w:color="auto"/>
          <w:insideH w:val="single" w:sz="4" w:space="0" w:color="0092CF"/>
          <w:insideV w:val="single" w:sz="4" w:space="0" w:color="0092CF"/>
        </w:tblBorders>
        <w:tblLook w:val="04A0" w:firstRow="1" w:lastRow="0" w:firstColumn="1" w:lastColumn="0" w:noHBand="0" w:noVBand="1"/>
      </w:tblPr>
      <w:tblGrid>
        <w:gridCol w:w="3709"/>
        <w:gridCol w:w="5222"/>
        <w:gridCol w:w="2693"/>
        <w:gridCol w:w="1812"/>
      </w:tblGrid>
      <w:tr w:rsidR="008B5C2D" w:rsidRPr="00B15A99" w14:paraId="21693257" w14:textId="77777777" w:rsidTr="00096211">
        <w:tc>
          <w:tcPr>
            <w:tcW w:w="3709" w:type="dxa"/>
            <w:shd w:val="clear" w:color="auto" w:fill="E0F0FC"/>
          </w:tcPr>
          <w:p w14:paraId="22E29FA9" w14:textId="77777777" w:rsidR="008B5C2D" w:rsidRPr="00B15A99" w:rsidRDefault="008B5C2D" w:rsidP="00164EB0">
            <w:pPr>
              <w:pStyle w:val="TableHeading"/>
            </w:pPr>
            <w:r>
              <w:t>outputs</w:t>
            </w:r>
          </w:p>
        </w:tc>
        <w:tc>
          <w:tcPr>
            <w:tcW w:w="5222" w:type="dxa"/>
            <w:shd w:val="clear" w:color="auto" w:fill="E0F0FC"/>
          </w:tcPr>
          <w:p w14:paraId="6B13E092" w14:textId="77777777" w:rsidR="008B5C2D" w:rsidRPr="00B15A99" w:rsidRDefault="008B5C2D" w:rsidP="00C815E9">
            <w:pPr>
              <w:pStyle w:val="TableHeading"/>
              <w:ind w:left="317" w:hanging="283"/>
            </w:pPr>
            <w:r>
              <w:t>measure</w:t>
            </w:r>
          </w:p>
        </w:tc>
        <w:tc>
          <w:tcPr>
            <w:tcW w:w="2693" w:type="dxa"/>
            <w:shd w:val="clear" w:color="auto" w:fill="E0F0FC"/>
          </w:tcPr>
          <w:p w14:paraId="749B3A7F" w14:textId="77777777" w:rsidR="008B5C2D" w:rsidRDefault="008B5C2D" w:rsidP="00C815E9">
            <w:pPr>
              <w:pStyle w:val="TableHeading"/>
              <w:ind w:left="317" w:hanging="283"/>
            </w:pPr>
          </w:p>
        </w:tc>
        <w:tc>
          <w:tcPr>
            <w:tcW w:w="1812" w:type="dxa"/>
            <w:shd w:val="clear" w:color="auto" w:fill="E0F0FC"/>
          </w:tcPr>
          <w:p w14:paraId="022004EA" w14:textId="77777777" w:rsidR="008B5C2D" w:rsidRDefault="008B5C2D" w:rsidP="00C815E9">
            <w:pPr>
              <w:pStyle w:val="TableHeading"/>
              <w:ind w:left="317" w:hanging="283"/>
            </w:pPr>
          </w:p>
        </w:tc>
      </w:tr>
      <w:tr w:rsidR="008B5C2D" w14:paraId="09ED6FDE" w14:textId="77777777" w:rsidTr="00571361">
        <w:tc>
          <w:tcPr>
            <w:tcW w:w="3709" w:type="dxa"/>
            <w:shd w:val="clear" w:color="auto" w:fill="F2F2F2" w:themeFill="background1" w:themeFillShade="F2"/>
          </w:tcPr>
          <w:p w14:paraId="5BBD0953" w14:textId="77777777" w:rsidR="008B5C2D" w:rsidRDefault="008B5C2D" w:rsidP="00443F10">
            <w:pPr>
              <w:pStyle w:val="Tablebullet"/>
            </w:pPr>
            <w:r>
              <w:t>New innovative knowledge, technologies, products or processes are produced to enhance profitability and productivity of primary producers</w:t>
            </w:r>
          </w:p>
        </w:tc>
        <w:tc>
          <w:tcPr>
            <w:tcW w:w="5222" w:type="dxa"/>
          </w:tcPr>
          <w:p w14:paraId="7E1B9E33" w14:textId="77777777" w:rsidR="008B5C2D" w:rsidRPr="00F43875" w:rsidRDefault="008B5C2D" w:rsidP="00443F10">
            <w:pPr>
              <w:pStyle w:val="Tablebullet"/>
            </w:pPr>
            <w:r w:rsidRPr="00F43875">
              <w:t>Extent of research projects completed on time and budget</w:t>
            </w:r>
          </w:p>
          <w:p w14:paraId="0490FDB2" w14:textId="77777777" w:rsidR="008B5C2D" w:rsidRDefault="008B5C2D" w:rsidP="00443F10">
            <w:pPr>
              <w:pStyle w:val="Tablebullet"/>
            </w:pPr>
            <w:r w:rsidRPr="00F43875">
              <w:t>Extent of distribution of projects and funding across priorities</w:t>
            </w:r>
          </w:p>
        </w:tc>
        <w:tc>
          <w:tcPr>
            <w:tcW w:w="2693" w:type="dxa"/>
          </w:tcPr>
          <w:p w14:paraId="4961502F" w14:textId="77777777" w:rsidR="008B5C2D" w:rsidRPr="00F43875" w:rsidRDefault="008B5C2D" w:rsidP="00443F10">
            <w:pPr>
              <w:pStyle w:val="Tablebullet"/>
            </w:pPr>
          </w:p>
        </w:tc>
        <w:tc>
          <w:tcPr>
            <w:tcW w:w="1812" w:type="dxa"/>
          </w:tcPr>
          <w:p w14:paraId="354DEF98" w14:textId="77777777" w:rsidR="008B5C2D" w:rsidRPr="00F43875" w:rsidRDefault="008B5C2D" w:rsidP="00443F10">
            <w:pPr>
              <w:pStyle w:val="Tablebullet"/>
            </w:pPr>
          </w:p>
        </w:tc>
      </w:tr>
      <w:tr w:rsidR="008B5C2D" w14:paraId="68DCD543" w14:textId="77777777" w:rsidTr="00571361">
        <w:tc>
          <w:tcPr>
            <w:tcW w:w="3709" w:type="dxa"/>
            <w:shd w:val="clear" w:color="auto" w:fill="F2F2F2" w:themeFill="background1" w:themeFillShade="F2"/>
          </w:tcPr>
          <w:p w14:paraId="74E93C5C" w14:textId="77777777" w:rsidR="008B5C2D" w:rsidRDefault="008B5C2D" w:rsidP="00443F10">
            <w:pPr>
              <w:pStyle w:val="Tablebullet"/>
            </w:pPr>
            <w:r>
              <w:t>Published research reports, other reports and articles</w:t>
            </w:r>
          </w:p>
        </w:tc>
        <w:tc>
          <w:tcPr>
            <w:tcW w:w="5222" w:type="dxa"/>
          </w:tcPr>
          <w:p w14:paraId="32BD95C6" w14:textId="77777777" w:rsidR="008B5C2D" w:rsidRDefault="008B5C2D" w:rsidP="00443F10">
            <w:pPr>
              <w:pStyle w:val="Tablebullet"/>
            </w:pPr>
            <w:r>
              <w:t>No. of research publications</w:t>
            </w:r>
          </w:p>
          <w:p w14:paraId="2E27AC9D" w14:textId="77777777" w:rsidR="008B5C2D" w:rsidRDefault="008B5C2D" w:rsidP="00443F10">
            <w:pPr>
              <w:pStyle w:val="Tablebullet"/>
            </w:pPr>
            <w:r>
              <w:t>% cited research publications cited</w:t>
            </w:r>
          </w:p>
        </w:tc>
        <w:tc>
          <w:tcPr>
            <w:tcW w:w="2693" w:type="dxa"/>
          </w:tcPr>
          <w:p w14:paraId="4315DB27" w14:textId="77777777" w:rsidR="008B5C2D" w:rsidRDefault="008B5C2D" w:rsidP="00443F10">
            <w:pPr>
              <w:pStyle w:val="Tablebullet"/>
            </w:pPr>
          </w:p>
        </w:tc>
        <w:tc>
          <w:tcPr>
            <w:tcW w:w="1812" w:type="dxa"/>
          </w:tcPr>
          <w:p w14:paraId="38853206" w14:textId="77777777" w:rsidR="008B5C2D" w:rsidRDefault="008B5C2D" w:rsidP="00443F10">
            <w:pPr>
              <w:pStyle w:val="Tablebullet"/>
            </w:pPr>
          </w:p>
        </w:tc>
      </w:tr>
      <w:tr w:rsidR="008B5C2D" w14:paraId="2B7BE28D" w14:textId="77777777" w:rsidTr="00571361">
        <w:tc>
          <w:tcPr>
            <w:tcW w:w="3709" w:type="dxa"/>
            <w:shd w:val="clear" w:color="auto" w:fill="F2F2F2" w:themeFill="background1" w:themeFillShade="F2"/>
          </w:tcPr>
          <w:p w14:paraId="7AEE574F" w14:textId="77777777" w:rsidR="008B5C2D" w:rsidRDefault="008B5C2D" w:rsidP="00443F10">
            <w:pPr>
              <w:pStyle w:val="Tablebullet"/>
            </w:pPr>
            <w:r>
              <w:t>Communication and extension activities and materials</w:t>
            </w:r>
          </w:p>
        </w:tc>
        <w:tc>
          <w:tcPr>
            <w:tcW w:w="5222" w:type="dxa"/>
          </w:tcPr>
          <w:p w14:paraId="24986817" w14:textId="77777777" w:rsidR="008B5C2D" w:rsidRDefault="008B5C2D" w:rsidP="00443F10">
            <w:pPr>
              <w:pStyle w:val="Tablebullet"/>
            </w:pPr>
            <w:r>
              <w:t>No. of new communication materials developed, and extension activities carried out because of the funded projects</w:t>
            </w:r>
          </w:p>
        </w:tc>
        <w:tc>
          <w:tcPr>
            <w:tcW w:w="2693" w:type="dxa"/>
          </w:tcPr>
          <w:p w14:paraId="05DDED89" w14:textId="77777777" w:rsidR="008B5C2D" w:rsidRDefault="008B5C2D" w:rsidP="00443F10">
            <w:pPr>
              <w:pStyle w:val="Tablebullet"/>
            </w:pPr>
          </w:p>
        </w:tc>
        <w:tc>
          <w:tcPr>
            <w:tcW w:w="1812" w:type="dxa"/>
          </w:tcPr>
          <w:p w14:paraId="2DEE5692" w14:textId="77777777" w:rsidR="008B5C2D" w:rsidRDefault="008B5C2D" w:rsidP="00443F10">
            <w:pPr>
              <w:pStyle w:val="Tablebullet"/>
            </w:pPr>
          </w:p>
        </w:tc>
      </w:tr>
      <w:tr w:rsidR="008B5C2D" w14:paraId="37192A13" w14:textId="77777777" w:rsidTr="00571361">
        <w:tc>
          <w:tcPr>
            <w:tcW w:w="3709" w:type="dxa"/>
            <w:shd w:val="clear" w:color="auto" w:fill="F2F2F2" w:themeFill="background1" w:themeFillShade="F2"/>
          </w:tcPr>
          <w:p w14:paraId="4AAF07F3" w14:textId="77777777" w:rsidR="008B5C2D" w:rsidRDefault="008B5C2D" w:rsidP="00443F10">
            <w:pPr>
              <w:pStyle w:val="Tablebullet"/>
            </w:pPr>
            <w:r>
              <w:t>RDCs deliver projects with new and innovative research collaborations</w:t>
            </w:r>
          </w:p>
        </w:tc>
        <w:tc>
          <w:tcPr>
            <w:tcW w:w="5222" w:type="dxa"/>
          </w:tcPr>
          <w:p w14:paraId="37D0CF1E" w14:textId="77777777" w:rsidR="008B5C2D" w:rsidRDefault="008B5C2D" w:rsidP="00443F10">
            <w:pPr>
              <w:pStyle w:val="Tablebullet"/>
            </w:pPr>
            <w:r>
              <w:t>No. of new networks and research collaborations established resulting from funded projects</w:t>
            </w:r>
          </w:p>
          <w:p w14:paraId="60A68392" w14:textId="77777777" w:rsidR="008B5C2D" w:rsidRDefault="008B5C2D" w:rsidP="00443F10">
            <w:pPr>
              <w:pStyle w:val="Tablebullet"/>
            </w:pPr>
            <w:r>
              <w:t xml:space="preserve">Extent of participation by RDCs/industries in the program </w:t>
            </w:r>
          </w:p>
          <w:p w14:paraId="6F12516D" w14:textId="77777777" w:rsidR="008B5C2D" w:rsidRDefault="008B5C2D" w:rsidP="00443F10">
            <w:pPr>
              <w:pStyle w:val="Tablebullet"/>
            </w:pPr>
            <w:r>
              <w:t>Extent of distribution of collaborations by industry sector and cross-industry</w:t>
            </w:r>
          </w:p>
          <w:p w14:paraId="2CCAB730" w14:textId="77777777" w:rsidR="008B5C2D" w:rsidRDefault="008B5C2D" w:rsidP="00443F10">
            <w:pPr>
              <w:pStyle w:val="Tablebullet"/>
            </w:pPr>
            <w:r>
              <w:t>Extent of primary industry involvement</w:t>
            </w:r>
          </w:p>
          <w:p w14:paraId="77E27830" w14:textId="77777777" w:rsidR="008B5C2D" w:rsidRDefault="008B5C2D" w:rsidP="00443F10">
            <w:pPr>
              <w:pStyle w:val="Tablebullet"/>
            </w:pPr>
            <w:r>
              <w:t>Extent of geographic distribution of projects and collaborators</w:t>
            </w:r>
          </w:p>
          <w:p w14:paraId="4629BBC7" w14:textId="77777777" w:rsidR="008B5C2D" w:rsidRDefault="008B5C2D" w:rsidP="00443F10">
            <w:pPr>
              <w:pStyle w:val="Tablebullet"/>
            </w:pPr>
            <w:r>
              <w:t>Number researchers, extension professionals and industry reps employed due to project funding</w:t>
            </w:r>
          </w:p>
        </w:tc>
        <w:tc>
          <w:tcPr>
            <w:tcW w:w="2693" w:type="dxa"/>
          </w:tcPr>
          <w:p w14:paraId="4A15A253" w14:textId="77777777" w:rsidR="008B5C2D" w:rsidRDefault="008B5C2D" w:rsidP="00443F10">
            <w:pPr>
              <w:pStyle w:val="Tablebullet"/>
            </w:pPr>
          </w:p>
        </w:tc>
        <w:tc>
          <w:tcPr>
            <w:tcW w:w="1812" w:type="dxa"/>
          </w:tcPr>
          <w:p w14:paraId="3B012C9C" w14:textId="77777777" w:rsidR="008B5C2D" w:rsidRDefault="008B5C2D" w:rsidP="00443F10">
            <w:pPr>
              <w:pStyle w:val="Tablebullet"/>
            </w:pPr>
          </w:p>
        </w:tc>
      </w:tr>
    </w:tbl>
    <w:p w14:paraId="5B6FE6BA" w14:textId="77777777" w:rsidR="00F73C75" w:rsidRDefault="00F73C75" w:rsidP="00F73C75"/>
    <w:p w14:paraId="6EF366E0" w14:textId="77777777" w:rsidR="00A31113" w:rsidRDefault="00A31113" w:rsidP="00905B83">
      <w:pPr>
        <w:ind w:left="0"/>
        <w:sectPr w:rsidR="00A31113" w:rsidSect="001C3DE4">
          <w:footerReference w:type="default" r:id="rId37"/>
          <w:pgSz w:w="16838" w:h="11906" w:orient="landscape"/>
          <w:pgMar w:top="1701" w:right="1701" w:bottom="1701" w:left="1701" w:header="709" w:footer="709" w:gutter="0"/>
          <w:cols w:space="708"/>
          <w:docGrid w:linePitch="360"/>
        </w:sectPr>
      </w:pPr>
    </w:p>
    <w:p w14:paraId="0ABEA281" w14:textId="77777777" w:rsidR="001C3DE4" w:rsidRDefault="001C3DE4" w:rsidP="00443F10">
      <w:pPr>
        <w:pStyle w:val="Heading1"/>
      </w:pPr>
      <w:bookmarkStart w:id="81" w:name="_Toc482970214"/>
      <w:bookmarkStart w:id="82" w:name="_Toc500934715"/>
      <w:r>
        <w:t>Contact us</w:t>
      </w:r>
      <w:bookmarkEnd w:id="81"/>
      <w:bookmarkEnd w:id="82"/>
    </w:p>
    <w:p w14:paraId="4CBB052E" w14:textId="0DAF319B" w:rsidR="001C3DE4" w:rsidRPr="00565949" w:rsidRDefault="00BB0B25" w:rsidP="0092594A">
      <w:pPr>
        <w:jc w:val="center"/>
        <w:rPr>
          <w:rStyle w:val="Strong"/>
        </w:rPr>
      </w:pPr>
      <w:r>
        <w:rPr>
          <w:rStyle w:val="Strong"/>
        </w:rPr>
        <w:t>Evie C</w:t>
      </w:r>
      <w:r w:rsidR="00175E39" w:rsidRPr="00565949">
        <w:rPr>
          <w:rStyle w:val="Strong"/>
        </w:rPr>
        <w:t>uthbertson</w:t>
      </w:r>
    </w:p>
    <w:p w14:paraId="3DC29253" w14:textId="77777777" w:rsidR="001C3DE4" w:rsidRPr="0092594A" w:rsidRDefault="001C3DE4" w:rsidP="0092594A">
      <w:pPr>
        <w:jc w:val="center"/>
        <w:rPr>
          <w:color w:val="595959"/>
        </w:rPr>
      </w:pPr>
      <w:r w:rsidRPr="0092594A">
        <w:rPr>
          <w:color w:val="595959"/>
        </w:rPr>
        <w:t>t (</w:t>
      </w:r>
      <w:r w:rsidR="00BD0E4B" w:rsidRPr="0092594A">
        <w:rPr>
          <w:color w:val="595959"/>
        </w:rPr>
        <w:t>02</w:t>
      </w:r>
      <w:r w:rsidRPr="0092594A">
        <w:rPr>
          <w:color w:val="595959"/>
        </w:rPr>
        <w:t xml:space="preserve">) </w:t>
      </w:r>
      <w:r w:rsidR="00BD0E4B" w:rsidRPr="0092594A">
        <w:rPr>
          <w:color w:val="595959"/>
        </w:rPr>
        <w:t>6274 9200</w:t>
      </w:r>
      <w:r w:rsidRPr="0092594A">
        <w:rPr>
          <w:color w:val="595959"/>
        </w:rPr>
        <w:t xml:space="preserve"> m </w:t>
      </w:r>
      <w:r w:rsidR="00175E39" w:rsidRPr="0092594A">
        <w:rPr>
          <w:color w:val="595959"/>
        </w:rPr>
        <w:t>0438 628 442</w:t>
      </w:r>
    </w:p>
    <w:p w14:paraId="6C74411B" w14:textId="77777777" w:rsidR="001C3DE4" w:rsidRDefault="001C3DE4" w:rsidP="007D7926">
      <w:pPr>
        <w:jc w:val="center"/>
      </w:pPr>
      <w:r w:rsidRPr="00A42C0E">
        <w:rPr>
          <w:color w:val="0092CF"/>
        </w:rPr>
        <w:t xml:space="preserve">e </w:t>
      </w:r>
      <w:r w:rsidR="00175E39">
        <w:rPr>
          <w:color w:val="595959"/>
        </w:rPr>
        <w:t>eviecuthbertson</w:t>
      </w:r>
      <w:r w:rsidRPr="00116AEA">
        <w:rPr>
          <w:color w:val="595959"/>
        </w:rPr>
        <w:t>@grosvenor.com.au</w:t>
      </w:r>
    </w:p>
    <w:p w14:paraId="42F2A989" w14:textId="77777777" w:rsidR="001C3DE4" w:rsidRDefault="001C3DE4" w:rsidP="007D7926">
      <w:pPr>
        <w:jc w:val="center"/>
      </w:pPr>
    </w:p>
    <w:p w14:paraId="725EC901" w14:textId="77777777" w:rsidR="001C3DE4" w:rsidRDefault="001C3DE4" w:rsidP="007D7926">
      <w:pPr>
        <w:jc w:val="center"/>
      </w:pPr>
      <w:r w:rsidRPr="00A42C0E">
        <w:rPr>
          <w:color w:val="0092CF"/>
        </w:rPr>
        <w:t>abn</w:t>
      </w:r>
      <w:r>
        <w:t xml:space="preserve"> </w:t>
      </w:r>
      <w:r w:rsidRPr="00116AEA">
        <w:rPr>
          <w:color w:val="595959"/>
        </w:rPr>
        <w:t>47 105 237 590 acn 105 237 590</w:t>
      </w:r>
    </w:p>
    <w:p w14:paraId="39521C35" w14:textId="77777777" w:rsidR="001C3DE4" w:rsidRPr="00116AEA" w:rsidRDefault="001C3DE4" w:rsidP="007D7926">
      <w:pPr>
        <w:jc w:val="center"/>
        <w:rPr>
          <w:color w:val="595959"/>
        </w:rPr>
      </w:pPr>
      <w:r w:rsidRPr="00A42C0E">
        <w:rPr>
          <w:color w:val="0092CF"/>
        </w:rPr>
        <w:t>e</w:t>
      </w:r>
      <w:r>
        <w:t xml:space="preserve"> </w:t>
      </w:r>
      <w:r w:rsidRPr="00116AEA">
        <w:rPr>
          <w:color w:val="595959"/>
        </w:rPr>
        <w:t>grosvenor@grosvenor.com.au</w:t>
      </w:r>
    </w:p>
    <w:p w14:paraId="1E10E603" w14:textId="77777777" w:rsidR="001C3DE4" w:rsidRDefault="001C3DE4" w:rsidP="007D7926">
      <w:pPr>
        <w:jc w:val="center"/>
      </w:pPr>
      <w:r w:rsidRPr="00A42C0E">
        <w:rPr>
          <w:color w:val="0092CF"/>
        </w:rPr>
        <w:t>w</w:t>
      </w:r>
      <w:r>
        <w:t xml:space="preserve"> </w:t>
      </w:r>
      <w:r w:rsidRPr="00116AEA">
        <w:rPr>
          <w:color w:val="595959"/>
        </w:rPr>
        <w:t>grosvenor.com.au</w:t>
      </w:r>
    </w:p>
    <w:p w14:paraId="0954C2E1" w14:textId="77777777" w:rsidR="001C3DE4" w:rsidRPr="00A42C0E" w:rsidRDefault="001C3DE4" w:rsidP="007D7926">
      <w:pPr>
        <w:jc w:val="center"/>
      </w:pPr>
    </w:p>
    <w:p w14:paraId="13C4F7A6" w14:textId="77777777" w:rsidR="001C3DE4" w:rsidRPr="00116AEA" w:rsidRDefault="001C3DE4" w:rsidP="007D7926">
      <w:pPr>
        <w:jc w:val="center"/>
        <w:rPr>
          <w:color w:val="595959"/>
        </w:rPr>
      </w:pPr>
      <w:r w:rsidRPr="00116AEA">
        <w:rPr>
          <w:color w:val="595959"/>
        </w:rPr>
        <w:t xml:space="preserve">level 15 379 collins street melbourne vic 3000 </w:t>
      </w:r>
      <w:r w:rsidRPr="00226875">
        <w:rPr>
          <w:color w:val="0092CF"/>
        </w:rPr>
        <w:t>t</w:t>
      </w:r>
      <w:r w:rsidRPr="00116AEA">
        <w:rPr>
          <w:color w:val="595959"/>
        </w:rPr>
        <w:t xml:space="preserve"> (03) 9616 2700</w:t>
      </w:r>
    </w:p>
    <w:p w14:paraId="065D60D8" w14:textId="77777777" w:rsidR="001C3DE4" w:rsidRPr="00116AEA" w:rsidRDefault="001C3DE4" w:rsidP="007D7926">
      <w:pPr>
        <w:jc w:val="center"/>
        <w:rPr>
          <w:color w:val="595959"/>
        </w:rPr>
      </w:pPr>
      <w:r w:rsidRPr="00116AEA">
        <w:rPr>
          <w:color w:val="595959"/>
        </w:rPr>
        <w:t xml:space="preserve">level 7 15 london circuit canberra act 2601 </w:t>
      </w:r>
      <w:r w:rsidRPr="00226875">
        <w:rPr>
          <w:color w:val="0092CF"/>
        </w:rPr>
        <w:t>t</w:t>
      </w:r>
      <w:r w:rsidRPr="00116AEA">
        <w:rPr>
          <w:color w:val="595959"/>
        </w:rPr>
        <w:t xml:space="preserve"> (02) 6274 9200</w:t>
      </w:r>
    </w:p>
    <w:p w14:paraId="4758E129" w14:textId="77777777" w:rsidR="001C3DE4" w:rsidRPr="00116AEA" w:rsidRDefault="001C3DE4" w:rsidP="007D7926">
      <w:pPr>
        <w:jc w:val="center"/>
        <w:rPr>
          <w:color w:val="595959"/>
        </w:rPr>
      </w:pPr>
      <w:r w:rsidRPr="00116AEA">
        <w:rPr>
          <w:color w:val="595959"/>
        </w:rPr>
        <w:t>level 1</w:t>
      </w:r>
      <w:r w:rsidR="008E6CF9">
        <w:rPr>
          <w:color w:val="595959"/>
        </w:rPr>
        <w:t>4 56 pitt</w:t>
      </w:r>
      <w:r w:rsidRPr="00116AEA">
        <w:rPr>
          <w:color w:val="595959"/>
        </w:rPr>
        <w:t xml:space="preserve"> street sydney nsw 2000 </w:t>
      </w:r>
      <w:r w:rsidRPr="00226875">
        <w:rPr>
          <w:color w:val="0092CF"/>
        </w:rPr>
        <w:t>t</w:t>
      </w:r>
      <w:r w:rsidRPr="00116AEA">
        <w:rPr>
          <w:color w:val="595959"/>
        </w:rPr>
        <w:t xml:space="preserve"> (02) 8274 9200</w:t>
      </w:r>
    </w:p>
    <w:p w14:paraId="37C2BF8E" w14:textId="77777777" w:rsidR="00811078" w:rsidRPr="00A42C0E" w:rsidRDefault="00811078" w:rsidP="007D7926">
      <w:pPr>
        <w:jc w:val="center"/>
      </w:pPr>
    </w:p>
    <w:p w14:paraId="453B8660" w14:textId="77777777" w:rsidR="00811078" w:rsidRDefault="00D26043" w:rsidP="007D7926">
      <w:pPr>
        <w:jc w:val="center"/>
      </w:pPr>
      <w:r w:rsidRPr="00DF07F8">
        <w:rPr>
          <w:rFonts w:ascii="Calibri" w:hAnsi="Calibri"/>
          <w:noProof/>
          <w:sz w:val="20"/>
          <w:szCs w:val="20"/>
        </w:rPr>
        <w:drawing>
          <wp:inline distT="0" distB="0" distL="0" distR="0" wp14:anchorId="6A43048C" wp14:editId="281253CA">
            <wp:extent cx="152400" cy="152400"/>
            <wp:effectExtent l="0" t="0" r="0" b="0"/>
            <wp:docPr id="8" name="Picture 8" title="An image of a book symbol">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16AEA">
        <w:t xml:space="preserve"> </w:t>
      </w:r>
      <w:r w:rsidR="00811078" w:rsidRPr="00116AEA">
        <w:rPr>
          <w:color w:val="595959"/>
        </w:rPr>
        <w:t>subscribe to our news</w:t>
      </w:r>
    </w:p>
    <w:p w14:paraId="179ED7E9" w14:textId="77777777" w:rsidR="00811078" w:rsidRDefault="00D26043" w:rsidP="007D7926">
      <w:pPr>
        <w:jc w:val="center"/>
      </w:pPr>
      <w:r w:rsidRPr="00DF07F8">
        <w:rPr>
          <w:rFonts w:ascii="Calibri" w:hAnsi="Calibri"/>
          <w:noProof/>
          <w:sz w:val="20"/>
          <w:szCs w:val="20"/>
        </w:rPr>
        <w:drawing>
          <wp:inline distT="0" distB="0" distL="0" distR="0" wp14:anchorId="6225398F" wp14:editId="491E003C">
            <wp:extent cx="193675" cy="152400"/>
            <wp:effectExtent l="0" t="0" r="0" b="0"/>
            <wp:docPr id="9" name="Picture 9" title="An image of the twitter log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3675" cy="152400"/>
                    </a:xfrm>
                    <a:prstGeom prst="rect">
                      <a:avLst/>
                    </a:prstGeom>
                    <a:noFill/>
                    <a:ln>
                      <a:noFill/>
                    </a:ln>
                  </pic:spPr>
                </pic:pic>
              </a:graphicData>
            </a:graphic>
          </wp:inline>
        </w:drawing>
      </w:r>
      <w:r w:rsidR="00116AEA">
        <w:rPr>
          <w:color w:val="595959"/>
        </w:rPr>
        <w:t xml:space="preserve"> </w:t>
      </w:r>
      <w:r w:rsidR="00811078" w:rsidRPr="00116AEA">
        <w:rPr>
          <w:color w:val="595959"/>
        </w:rPr>
        <w:t>follow us @GrosvenorMC</w:t>
      </w:r>
    </w:p>
    <w:p w14:paraId="43CDC09D" w14:textId="77777777" w:rsidR="00811078" w:rsidRDefault="00D26043" w:rsidP="007D7926">
      <w:pPr>
        <w:jc w:val="center"/>
      </w:pPr>
      <w:r w:rsidRPr="00DF07F8">
        <w:rPr>
          <w:rFonts w:ascii="Calibri" w:hAnsi="Calibri"/>
          <w:noProof/>
          <w:sz w:val="20"/>
          <w:szCs w:val="20"/>
        </w:rPr>
        <w:drawing>
          <wp:inline distT="0" distB="0" distL="0" distR="0" wp14:anchorId="1EFBDD1C" wp14:editId="3F5E3072">
            <wp:extent cx="166370" cy="166370"/>
            <wp:effectExtent l="0" t="0" r="5080" b="5080"/>
            <wp:docPr id="10" name="Picture 10" title="An image of the linkedIn log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116AEA">
        <w:rPr>
          <w:color w:val="595959"/>
        </w:rPr>
        <w:t xml:space="preserve"> </w:t>
      </w:r>
      <w:r w:rsidR="00811078" w:rsidRPr="00116AEA">
        <w:rPr>
          <w:color w:val="595959"/>
        </w:rPr>
        <w:t>connect with us</w:t>
      </w:r>
    </w:p>
    <w:sectPr w:rsidR="00811078" w:rsidSect="001C3DE4">
      <w:footerReference w:type="default" r:id="rId44"/>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92AA0" w14:textId="77777777" w:rsidR="00BD6A9E" w:rsidRPr="004027B1" w:rsidRDefault="00BD6A9E" w:rsidP="00746267">
      <w:r>
        <w:separator/>
      </w:r>
    </w:p>
    <w:p w14:paraId="6D35015B" w14:textId="77777777" w:rsidR="00BD6A9E" w:rsidRDefault="00BD6A9E" w:rsidP="00746267"/>
    <w:p w14:paraId="2581F9F8" w14:textId="77777777" w:rsidR="00BD6A9E" w:rsidRDefault="00BD6A9E" w:rsidP="00746267"/>
    <w:p w14:paraId="065F66F4" w14:textId="77777777" w:rsidR="00BD6A9E" w:rsidRDefault="00BD6A9E" w:rsidP="00746267"/>
    <w:p w14:paraId="6351090E" w14:textId="77777777" w:rsidR="00BD6A9E" w:rsidRDefault="00BD6A9E"/>
  </w:endnote>
  <w:endnote w:type="continuationSeparator" w:id="0">
    <w:p w14:paraId="5660ADC4" w14:textId="77777777" w:rsidR="00BD6A9E" w:rsidRPr="004027B1" w:rsidRDefault="00BD6A9E" w:rsidP="00746267">
      <w:r>
        <w:continuationSeparator/>
      </w:r>
    </w:p>
    <w:p w14:paraId="55F71F9A" w14:textId="77777777" w:rsidR="00BD6A9E" w:rsidRDefault="00BD6A9E" w:rsidP="00746267"/>
    <w:p w14:paraId="04844A44" w14:textId="77777777" w:rsidR="00BD6A9E" w:rsidRDefault="00BD6A9E" w:rsidP="00746267"/>
    <w:p w14:paraId="6221B4B8" w14:textId="77777777" w:rsidR="00BD6A9E" w:rsidRDefault="00BD6A9E" w:rsidP="00746267"/>
    <w:p w14:paraId="35950147" w14:textId="77777777" w:rsidR="00BD6A9E" w:rsidRDefault="00BD6A9E"/>
  </w:endnote>
  <w:endnote w:type="continuationNotice" w:id="1">
    <w:p w14:paraId="35E4BC78" w14:textId="77777777" w:rsidR="00BD6A9E" w:rsidRDefault="00BD6A9E"/>
    <w:p w14:paraId="3AF02F0A" w14:textId="77777777" w:rsidR="00BD6A9E" w:rsidRDefault="00BD6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ato">
    <w:altName w:val="Calibri"/>
    <w:charset w:val="00"/>
    <w:family w:val="swiss"/>
    <w:pitch w:val="variable"/>
    <w:sig w:usb0="E10002FF" w:usb1="5000ECFF" w:usb2="0000002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7DED3" w14:textId="77777777" w:rsidR="00BD6A9E" w:rsidRPr="00135F22" w:rsidRDefault="00BD6A9E" w:rsidP="00746267">
    <w:pPr>
      <w:pStyle w:val="Footer-TitlePage"/>
      <w:rPr>
        <w:b/>
      </w:rPr>
    </w:pPr>
    <w:r w:rsidRPr="00135F22">
      <w:t>grosvenor management consulting</w:t>
    </w:r>
  </w:p>
  <w:p w14:paraId="769C1DF7" w14:textId="77777777" w:rsidR="00BD6A9E" w:rsidRPr="00135F22" w:rsidRDefault="00BD6A9E" w:rsidP="00746267">
    <w:pPr>
      <w:pStyle w:val="Footer-TitlePage"/>
      <w:rPr>
        <w:b/>
      </w:rPr>
    </w:pPr>
    <w:r w:rsidRPr="00135F22">
      <w:t>canberra   sydney   melbourne</w:t>
    </w:r>
  </w:p>
  <w:p w14:paraId="5E3688BC" w14:textId="77777777" w:rsidR="00BD6A9E" w:rsidRPr="00EA6CF7" w:rsidRDefault="00BD6A9E" w:rsidP="00746267">
    <w:pPr>
      <w:pStyle w:val="Footer-TitlePage"/>
    </w:pPr>
    <w:r w:rsidRPr="00135F22">
      <w:t>grosvenor.com.au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28" w:type="dxa"/>
      <w:tblCellMar>
        <w:left w:w="28" w:type="dxa"/>
        <w:right w:w="0" w:type="dxa"/>
      </w:tblCellMar>
      <w:tblLook w:val="04A0" w:firstRow="1" w:lastRow="0" w:firstColumn="1" w:lastColumn="0" w:noHBand="0" w:noVBand="1"/>
    </w:tblPr>
    <w:tblGrid>
      <w:gridCol w:w="4390"/>
      <w:gridCol w:w="3476"/>
      <w:gridCol w:w="117"/>
      <w:gridCol w:w="521"/>
    </w:tblGrid>
    <w:tr w:rsidR="00BD6A9E" w:rsidRPr="00AD1872" w14:paraId="2CE3FCCB" w14:textId="77777777" w:rsidTr="00D35122">
      <w:trPr>
        <w:trHeight w:val="426"/>
      </w:trPr>
      <w:tc>
        <w:tcPr>
          <w:tcW w:w="4111" w:type="dxa"/>
          <w:tcBorders>
            <w:bottom w:val="single" w:sz="4" w:space="0" w:color="115E95"/>
          </w:tcBorders>
          <w:shd w:val="clear" w:color="auto" w:fill="FFFFFF"/>
          <w:vAlign w:val="center"/>
        </w:tcPr>
        <w:p w14:paraId="0B147A1A" w14:textId="4868651F" w:rsidR="00BD6A9E" w:rsidRPr="00B56650" w:rsidRDefault="00BD6A9E" w:rsidP="00E07872">
          <w:pPr>
            <w:pStyle w:val="Footer"/>
          </w:pPr>
          <w:r>
            <w:t>Evaluation of the Rural R&amp;D for Profit program</w:t>
          </w:r>
        </w:p>
      </w:tc>
      <w:tc>
        <w:tcPr>
          <w:tcW w:w="3256" w:type="dxa"/>
          <w:tcBorders>
            <w:bottom w:val="single" w:sz="4" w:space="0" w:color="115E95"/>
          </w:tcBorders>
          <w:shd w:val="clear" w:color="auto" w:fill="115E95"/>
          <w:vAlign w:val="center"/>
        </w:tcPr>
        <w:p w14:paraId="2B9CFAA8" w14:textId="77777777" w:rsidR="00BD6A9E" w:rsidRPr="00F73308" w:rsidRDefault="00BD6A9E" w:rsidP="00E07872">
          <w:pPr>
            <w:pStyle w:val="Footer"/>
            <w:jc w:val="center"/>
            <w:rPr>
              <w:color w:val="FFFFFF" w:themeColor="background1"/>
            </w:rPr>
          </w:pPr>
          <w:r w:rsidRPr="00F73308">
            <w:rPr>
              <w:color w:val="FFFFFF" w:themeColor="background1"/>
            </w:rPr>
            <w:t>grosvenor management consulting</w:t>
          </w:r>
        </w:p>
      </w:tc>
      <w:tc>
        <w:tcPr>
          <w:tcW w:w="110" w:type="dxa"/>
          <w:shd w:val="clear" w:color="auto" w:fill="FFFFFF"/>
        </w:tcPr>
        <w:p w14:paraId="4048D640" w14:textId="77777777" w:rsidR="00BD6A9E" w:rsidRPr="00F73308" w:rsidRDefault="00BD6A9E" w:rsidP="00E07872">
          <w:pPr>
            <w:pStyle w:val="Footer"/>
            <w:jc w:val="center"/>
            <w:rPr>
              <w:color w:val="FFFFFF" w:themeColor="background1"/>
            </w:rPr>
          </w:pPr>
        </w:p>
      </w:tc>
      <w:tc>
        <w:tcPr>
          <w:tcW w:w="488" w:type="dxa"/>
          <w:shd w:val="clear" w:color="auto" w:fill="0092CF"/>
          <w:vAlign w:val="center"/>
        </w:tcPr>
        <w:p w14:paraId="45501936" w14:textId="5F396A4D" w:rsidR="00BD6A9E" w:rsidRPr="00F73308" w:rsidRDefault="00BD6A9E" w:rsidP="00E07872">
          <w:pPr>
            <w:pStyle w:val="Footer"/>
            <w:jc w:val="center"/>
            <w:rPr>
              <w:color w:val="FFFFFF" w:themeColor="background1"/>
            </w:rPr>
          </w:pPr>
          <w:r w:rsidRPr="00F73308">
            <w:rPr>
              <w:color w:val="FFFFFF" w:themeColor="background1"/>
            </w:rPr>
            <w:fldChar w:fldCharType="begin"/>
          </w:r>
          <w:r w:rsidRPr="00F73308">
            <w:rPr>
              <w:color w:val="FFFFFF" w:themeColor="background1"/>
            </w:rPr>
            <w:instrText xml:space="preserve"> PAGE    \* MERGEFORMAT </w:instrText>
          </w:r>
          <w:r w:rsidRPr="00F73308">
            <w:rPr>
              <w:color w:val="FFFFFF" w:themeColor="background1"/>
            </w:rPr>
            <w:fldChar w:fldCharType="separate"/>
          </w:r>
          <w:r w:rsidR="00ED71A7">
            <w:rPr>
              <w:noProof/>
              <w:color w:val="FFFFFF" w:themeColor="background1"/>
            </w:rPr>
            <w:t>15</w:t>
          </w:r>
          <w:r w:rsidRPr="00F73308">
            <w:rPr>
              <w:color w:val="FFFFFF" w:themeColor="background1"/>
            </w:rPr>
            <w:fldChar w:fldCharType="end"/>
          </w:r>
        </w:p>
      </w:tc>
    </w:tr>
  </w:tbl>
  <w:p w14:paraId="2F21C8FF" w14:textId="77777777" w:rsidR="00BD6A9E" w:rsidRPr="002477B1" w:rsidRDefault="00BD6A9E" w:rsidP="00D13C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28" w:type="dxa"/>
      <w:tblCellMar>
        <w:left w:w="28" w:type="dxa"/>
        <w:right w:w="0" w:type="dxa"/>
      </w:tblCellMar>
      <w:tblLook w:val="04A0" w:firstRow="1" w:lastRow="0" w:firstColumn="1" w:lastColumn="0" w:noHBand="0" w:noVBand="1"/>
    </w:tblPr>
    <w:tblGrid>
      <w:gridCol w:w="6935"/>
      <w:gridCol w:w="5492"/>
      <w:gridCol w:w="186"/>
      <w:gridCol w:w="823"/>
    </w:tblGrid>
    <w:tr w:rsidR="00BD6A9E" w:rsidRPr="00AD1872" w14:paraId="159A08B8" w14:textId="77777777" w:rsidTr="00D35122">
      <w:trPr>
        <w:trHeight w:val="426"/>
      </w:trPr>
      <w:tc>
        <w:tcPr>
          <w:tcW w:w="4111" w:type="dxa"/>
          <w:tcBorders>
            <w:bottom w:val="single" w:sz="4" w:space="0" w:color="115E95"/>
          </w:tcBorders>
          <w:shd w:val="clear" w:color="auto" w:fill="FFFFFF"/>
          <w:vAlign w:val="center"/>
        </w:tcPr>
        <w:p w14:paraId="737AD09D" w14:textId="77777777" w:rsidR="00BD6A9E" w:rsidRPr="00B56650" w:rsidRDefault="00BD6A9E" w:rsidP="00E07872">
          <w:pPr>
            <w:pStyle w:val="Footer"/>
          </w:pPr>
          <w:r>
            <w:t>Evaluation of the Rural R&amp;D for Profit program</w:t>
          </w:r>
        </w:p>
      </w:tc>
      <w:tc>
        <w:tcPr>
          <w:tcW w:w="3256" w:type="dxa"/>
          <w:tcBorders>
            <w:bottom w:val="single" w:sz="4" w:space="0" w:color="115E95"/>
          </w:tcBorders>
          <w:shd w:val="clear" w:color="auto" w:fill="115E95"/>
          <w:vAlign w:val="center"/>
        </w:tcPr>
        <w:p w14:paraId="49A21045" w14:textId="77777777" w:rsidR="00BD6A9E" w:rsidRPr="00F73308" w:rsidRDefault="00BD6A9E" w:rsidP="00E07872">
          <w:pPr>
            <w:pStyle w:val="Footer"/>
            <w:jc w:val="center"/>
            <w:rPr>
              <w:color w:val="FFFFFF" w:themeColor="background1"/>
            </w:rPr>
          </w:pPr>
          <w:r w:rsidRPr="00F73308">
            <w:rPr>
              <w:color w:val="FFFFFF" w:themeColor="background1"/>
            </w:rPr>
            <w:t>grosvenor management consulting</w:t>
          </w:r>
        </w:p>
      </w:tc>
      <w:tc>
        <w:tcPr>
          <w:tcW w:w="110" w:type="dxa"/>
          <w:shd w:val="clear" w:color="auto" w:fill="FFFFFF"/>
        </w:tcPr>
        <w:p w14:paraId="6956FD02" w14:textId="77777777" w:rsidR="00BD6A9E" w:rsidRPr="00F73308" w:rsidRDefault="00BD6A9E" w:rsidP="00E07872">
          <w:pPr>
            <w:pStyle w:val="Footer"/>
            <w:jc w:val="center"/>
            <w:rPr>
              <w:color w:val="FFFFFF" w:themeColor="background1"/>
            </w:rPr>
          </w:pPr>
        </w:p>
      </w:tc>
      <w:tc>
        <w:tcPr>
          <w:tcW w:w="488" w:type="dxa"/>
          <w:shd w:val="clear" w:color="auto" w:fill="0092CF"/>
          <w:vAlign w:val="center"/>
        </w:tcPr>
        <w:p w14:paraId="49351CAE" w14:textId="5001A35F" w:rsidR="00BD6A9E" w:rsidRPr="00F73308" w:rsidRDefault="00BD6A9E" w:rsidP="00E07872">
          <w:pPr>
            <w:pStyle w:val="Footer"/>
            <w:jc w:val="center"/>
            <w:rPr>
              <w:color w:val="FFFFFF" w:themeColor="background1"/>
            </w:rPr>
          </w:pPr>
          <w:r w:rsidRPr="00F73308">
            <w:rPr>
              <w:color w:val="FFFFFF" w:themeColor="background1"/>
            </w:rPr>
            <w:fldChar w:fldCharType="begin"/>
          </w:r>
          <w:r w:rsidRPr="00F73308">
            <w:rPr>
              <w:color w:val="FFFFFF" w:themeColor="background1"/>
            </w:rPr>
            <w:instrText xml:space="preserve"> PAGE    \* MERGEFORMAT </w:instrText>
          </w:r>
          <w:r w:rsidRPr="00F73308">
            <w:rPr>
              <w:color w:val="FFFFFF" w:themeColor="background1"/>
            </w:rPr>
            <w:fldChar w:fldCharType="separate"/>
          </w:r>
          <w:r w:rsidR="00ED71A7">
            <w:rPr>
              <w:noProof/>
              <w:color w:val="FFFFFF" w:themeColor="background1"/>
            </w:rPr>
            <w:t>16</w:t>
          </w:r>
          <w:r w:rsidRPr="00F73308">
            <w:rPr>
              <w:color w:val="FFFFFF" w:themeColor="background1"/>
            </w:rPr>
            <w:fldChar w:fldCharType="end"/>
          </w:r>
        </w:p>
      </w:tc>
    </w:tr>
  </w:tbl>
  <w:p w14:paraId="514D3596" w14:textId="77777777" w:rsidR="00BD6A9E" w:rsidRDefault="00BD6A9E" w:rsidP="002477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28" w:type="dxa"/>
      <w:tblCellMar>
        <w:left w:w="28" w:type="dxa"/>
        <w:right w:w="0" w:type="dxa"/>
      </w:tblCellMar>
      <w:tblLook w:val="04A0" w:firstRow="1" w:lastRow="0" w:firstColumn="1" w:lastColumn="0" w:noHBand="0" w:noVBand="1"/>
    </w:tblPr>
    <w:tblGrid>
      <w:gridCol w:w="4390"/>
      <w:gridCol w:w="3476"/>
      <w:gridCol w:w="117"/>
      <w:gridCol w:w="521"/>
    </w:tblGrid>
    <w:tr w:rsidR="00BD6A9E" w:rsidRPr="00AD1872" w14:paraId="49937128" w14:textId="77777777" w:rsidTr="00D35122">
      <w:trPr>
        <w:trHeight w:val="426"/>
      </w:trPr>
      <w:tc>
        <w:tcPr>
          <w:tcW w:w="4111" w:type="dxa"/>
          <w:tcBorders>
            <w:bottom w:val="single" w:sz="4" w:space="0" w:color="115E95"/>
          </w:tcBorders>
          <w:shd w:val="clear" w:color="auto" w:fill="FFFFFF"/>
          <w:vAlign w:val="center"/>
        </w:tcPr>
        <w:p w14:paraId="463813F1" w14:textId="77777777" w:rsidR="00BD6A9E" w:rsidRPr="00B56650" w:rsidRDefault="00BD6A9E" w:rsidP="00E07872">
          <w:pPr>
            <w:pStyle w:val="Footer"/>
          </w:pPr>
          <w:r>
            <w:t>Evaluation of the Rural R&amp;D for Profit program</w:t>
          </w:r>
        </w:p>
      </w:tc>
      <w:tc>
        <w:tcPr>
          <w:tcW w:w="3256" w:type="dxa"/>
          <w:tcBorders>
            <w:bottom w:val="single" w:sz="4" w:space="0" w:color="115E95"/>
          </w:tcBorders>
          <w:shd w:val="clear" w:color="auto" w:fill="115E95"/>
          <w:vAlign w:val="center"/>
        </w:tcPr>
        <w:p w14:paraId="7061D1A6" w14:textId="77777777" w:rsidR="00BD6A9E" w:rsidRPr="00F73308" w:rsidRDefault="00BD6A9E" w:rsidP="00E07872">
          <w:pPr>
            <w:pStyle w:val="Footer"/>
            <w:jc w:val="center"/>
            <w:rPr>
              <w:color w:val="FFFFFF" w:themeColor="background1"/>
            </w:rPr>
          </w:pPr>
          <w:r w:rsidRPr="00F73308">
            <w:rPr>
              <w:color w:val="FFFFFF" w:themeColor="background1"/>
            </w:rPr>
            <w:t>grosvenor management consulting</w:t>
          </w:r>
        </w:p>
      </w:tc>
      <w:tc>
        <w:tcPr>
          <w:tcW w:w="110" w:type="dxa"/>
          <w:shd w:val="clear" w:color="auto" w:fill="FFFFFF"/>
        </w:tcPr>
        <w:p w14:paraId="73B4C9FC" w14:textId="77777777" w:rsidR="00BD6A9E" w:rsidRPr="00F73308" w:rsidRDefault="00BD6A9E" w:rsidP="00E07872">
          <w:pPr>
            <w:pStyle w:val="Footer"/>
            <w:jc w:val="center"/>
            <w:rPr>
              <w:color w:val="FFFFFF" w:themeColor="background1"/>
            </w:rPr>
          </w:pPr>
        </w:p>
      </w:tc>
      <w:tc>
        <w:tcPr>
          <w:tcW w:w="488" w:type="dxa"/>
          <w:shd w:val="clear" w:color="auto" w:fill="0092CF"/>
          <w:vAlign w:val="center"/>
        </w:tcPr>
        <w:p w14:paraId="79B5ABF9" w14:textId="231CC395" w:rsidR="00BD6A9E" w:rsidRPr="00F73308" w:rsidRDefault="00BD6A9E" w:rsidP="00E07872">
          <w:pPr>
            <w:pStyle w:val="Footer"/>
            <w:jc w:val="center"/>
            <w:rPr>
              <w:color w:val="FFFFFF" w:themeColor="background1"/>
            </w:rPr>
          </w:pPr>
          <w:r w:rsidRPr="00F73308">
            <w:rPr>
              <w:color w:val="FFFFFF" w:themeColor="background1"/>
            </w:rPr>
            <w:fldChar w:fldCharType="begin"/>
          </w:r>
          <w:r w:rsidRPr="00F73308">
            <w:rPr>
              <w:color w:val="FFFFFF" w:themeColor="background1"/>
            </w:rPr>
            <w:instrText xml:space="preserve"> PAGE    \* MERGEFORMAT </w:instrText>
          </w:r>
          <w:r w:rsidRPr="00F73308">
            <w:rPr>
              <w:color w:val="FFFFFF" w:themeColor="background1"/>
            </w:rPr>
            <w:fldChar w:fldCharType="separate"/>
          </w:r>
          <w:r w:rsidR="00ED71A7">
            <w:rPr>
              <w:noProof/>
              <w:color w:val="FFFFFF" w:themeColor="background1"/>
            </w:rPr>
            <w:t>32</w:t>
          </w:r>
          <w:r w:rsidRPr="00F73308">
            <w:rPr>
              <w:color w:val="FFFFFF" w:themeColor="background1"/>
            </w:rPr>
            <w:fldChar w:fldCharType="end"/>
          </w:r>
        </w:p>
      </w:tc>
    </w:tr>
  </w:tbl>
  <w:p w14:paraId="3868F58E" w14:textId="77777777" w:rsidR="00BD6A9E" w:rsidRDefault="00BD6A9E" w:rsidP="002477B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9" w:type="pct"/>
      <w:tblInd w:w="28" w:type="dxa"/>
      <w:tblCellMar>
        <w:left w:w="28" w:type="dxa"/>
        <w:right w:w="0" w:type="dxa"/>
      </w:tblCellMar>
      <w:tblLook w:val="04A0" w:firstRow="1" w:lastRow="0" w:firstColumn="1" w:lastColumn="0" w:noHBand="0" w:noVBand="1"/>
    </w:tblPr>
    <w:tblGrid>
      <w:gridCol w:w="4388"/>
      <w:gridCol w:w="3476"/>
      <w:gridCol w:w="117"/>
      <w:gridCol w:w="521"/>
    </w:tblGrid>
    <w:tr w:rsidR="00BD6A9E" w:rsidRPr="00AD1872" w14:paraId="10423964" w14:textId="41924064" w:rsidTr="002477B1">
      <w:trPr>
        <w:trHeight w:val="426"/>
      </w:trPr>
      <w:tc>
        <w:tcPr>
          <w:tcW w:w="4389" w:type="dxa"/>
          <w:tcBorders>
            <w:bottom w:val="single" w:sz="4" w:space="0" w:color="115E95"/>
          </w:tcBorders>
          <w:shd w:val="clear" w:color="auto" w:fill="FFFFFF"/>
          <w:vAlign w:val="center"/>
        </w:tcPr>
        <w:p w14:paraId="00A759BC" w14:textId="6A3EFC3D" w:rsidR="00BD6A9E" w:rsidRPr="00B56650" w:rsidRDefault="00BD6A9E" w:rsidP="005F694B">
          <w:pPr>
            <w:pStyle w:val="Footer"/>
          </w:pPr>
          <w:r>
            <w:t>Evaluation of the Rural R&amp;D for Profit program</w:t>
          </w:r>
        </w:p>
      </w:tc>
      <w:tc>
        <w:tcPr>
          <w:tcW w:w="3476" w:type="dxa"/>
          <w:tcBorders>
            <w:bottom w:val="single" w:sz="4" w:space="0" w:color="115E95"/>
          </w:tcBorders>
          <w:shd w:val="clear" w:color="auto" w:fill="115E95"/>
          <w:vAlign w:val="center"/>
        </w:tcPr>
        <w:p w14:paraId="2F2A20B1" w14:textId="77777777" w:rsidR="00BD6A9E" w:rsidRPr="00F73308" w:rsidRDefault="00BD6A9E" w:rsidP="00E07872">
          <w:pPr>
            <w:pStyle w:val="Footer"/>
            <w:jc w:val="center"/>
            <w:rPr>
              <w:color w:val="FFFFFF" w:themeColor="background1"/>
            </w:rPr>
          </w:pPr>
          <w:r w:rsidRPr="00F73308">
            <w:rPr>
              <w:color w:val="FFFFFF" w:themeColor="background1"/>
            </w:rPr>
            <w:t>grosvenor management consulting</w:t>
          </w:r>
        </w:p>
      </w:tc>
      <w:tc>
        <w:tcPr>
          <w:tcW w:w="117" w:type="dxa"/>
          <w:shd w:val="clear" w:color="auto" w:fill="FFFFFF"/>
        </w:tcPr>
        <w:p w14:paraId="7E350442" w14:textId="77777777" w:rsidR="00BD6A9E" w:rsidRPr="00F73308" w:rsidRDefault="00BD6A9E" w:rsidP="00E07872">
          <w:pPr>
            <w:pStyle w:val="Footer"/>
            <w:jc w:val="center"/>
            <w:rPr>
              <w:color w:val="FFFFFF" w:themeColor="background1"/>
            </w:rPr>
          </w:pPr>
        </w:p>
      </w:tc>
      <w:tc>
        <w:tcPr>
          <w:tcW w:w="521" w:type="dxa"/>
          <w:shd w:val="clear" w:color="auto" w:fill="0092CF"/>
          <w:vAlign w:val="center"/>
        </w:tcPr>
        <w:p w14:paraId="52F15B23" w14:textId="2BE29C7E" w:rsidR="00BD6A9E" w:rsidRPr="00F73308" w:rsidRDefault="00BD6A9E" w:rsidP="00E07872">
          <w:pPr>
            <w:pStyle w:val="Footer"/>
            <w:jc w:val="center"/>
            <w:rPr>
              <w:color w:val="FFFFFF" w:themeColor="background1"/>
            </w:rPr>
          </w:pPr>
          <w:r w:rsidRPr="00F73308">
            <w:rPr>
              <w:color w:val="FFFFFF" w:themeColor="background1"/>
            </w:rPr>
            <w:fldChar w:fldCharType="begin"/>
          </w:r>
          <w:r w:rsidRPr="00F73308">
            <w:rPr>
              <w:color w:val="FFFFFF" w:themeColor="background1"/>
            </w:rPr>
            <w:instrText xml:space="preserve"> PAGE    \* MERGEFORMAT </w:instrText>
          </w:r>
          <w:r w:rsidRPr="00F73308">
            <w:rPr>
              <w:color w:val="FFFFFF" w:themeColor="background1"/>
            </w:rPr>
            <w:fldChar w:fldCharType="separate"/>
          </w:r>
          <w:r w:rsidR="00ED71A7">
            <w:rPr>
              <w:noProof/>
              <w:color w:val="FFFFFF" w:themeColor="background1"/>
            </w:rPr>
            <w:t>53</w:t>
          </w:r>
          <w:r w:rsidRPr="00F73308">
            <w:rPr>
              <w:color w:val="FFFFFF" w:themeColor="background1"/>
            </w:rPr>
            <w:fldChar w:fldCharType="end"/>
          </w:r>
        </w:p>
      </w:tc>
    </w:tr>
  </w:tbl>
  <w:p w14:paraId="57A0657A" w14:textId="77777777" w:rsidR="00BD6A9E" w:rsidRPr="00EA6CF7" w:rsidRDefault="00BD6A9E" w:rsidP="0074626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9" w:type="pct"/>
      <w:tblInd w:w="28" w:type="dxa"/>
      <w:tblCellMar>
        <w:left w:w="28" w:type="dxa"/>
        <w:right w:w="0" w:type="dxa"/>
      </w:tblCellMar>
      <w:tblLook w:val="04A0" w:firstRow="1" w:lastRow="0" w:firstColumn="1" w:lastColumn="0" w:noHBand="0" w:noVBand="1"/>
    </w:tblPr>
    <w:tblGrid>
      <w:gridCol w:w="6934"/>
      <w:gridCol w:w="5491"/>
      <w:gridCol w:w="185"/>
      <w:gridCol w:w="823"/>
    </w:tblGrid>
    <w:tr w:rsidR="00BD6A9E" w:rsidRPr="00AD1872" w14:paraId="67F831E2" w14:textId="77777777" w:rsidTr="002477B1">
      <w:trPr>
        <w:trHeight w:val="426"/>
      </w:trPr>
      <w:tc>
        <w:tcPr>
          <w:tcW w:w="4389" w:type="dxa"/>
          <w:tcBorders>
            <w:bottom w:val="single" w:sz="4" w:space="0" w:color="115E95"/>
          </w:tcBorders>
          <w:shd w:val="clear" w:color="auto" w:fill="FFFFFF"/>
          <w:vAlign w:val="center"/>
        </w:tcPr>
        <w:p w14:paraId="625437CC" w14:textId="77777777" w:rsidR="00BD6A9E" w:rsidRPr="00B56650" w:rsidRDefault="00BD6A9E" w:rsidP="005F694B">
          <w:pPr>
            <w:pStyle w:val="Footer"/>
          </w:pPr>
          <w:r>
            <w:t>Evaluation of the Rural R&amp;D for Profit program</w:t>
          </w:r>
        </w:p>
      </w:tc>
      <w:tc>
        <w:tcPr>
          <w:tcW w:w="3476" w:type="dxa"/>
          <w:tcBorders>
            <w:bottom w:val="single" w:sz="4" w:space="0" w:color="115E95"/>
          </w:tcBorders>
          <w:shd w:val="clear" w:color="auto" w:fill="115E95"/>
          <w:vAlign w:val="center"/>
        </w:tcPr>
        <w:p w14:paraId="53ED654D" w14:textId="77777777" w:rsidR="00BD6A9E" w:rsidRPr="00F73308" w:rsidRDefault="00BD6A9E" w:rsidP="00E07872">
          <w:pPr>
            <w:pStyle w:val="Footer"/>
            <w:jc w:val="center"/>
            <w:rPr>
              <w:color w:val="FFFFFF" w:themeColor="background1"/>
            </w:rPr>
          </w:pPr>
          <w:r w:rsidRPr="00F73308">
            <w:rPr>
              <w:color w:val="FFFFFF" w:themeColor="background1"/>
            </w:rPr>
            <w:t>grosvenor management consulting</w:t>
          </w:r>
        </w:p>
      </w:tc>
      <w:tc>
        <w:tcPr>
          <w:tcW w:w="117" w:type="dxa"/>
          <w:shd w:val="clear" w:color="auto" w:fill="FFFFFF"/>
        </w:tcPr>
        <w:p w14:paraId="55540CCB" w14:textId="77777777" w:rsidR="00BD6A9E" w:rsidRPr="00F73308" w:rsidRDefault="00BD6A9E" w:rsidP="00E07872">
          <w:pPr>
            <w:pStyle w:val="Footer"/>
            <w:jc w:val="center"/>
            <w:rPr>
              <w:color w:val="FFFFFF" w:themeColor="background1"/>
            </w:rPr>
          </w:pPr>
        </w:p>
      </w:tc>
      <w:tc>
        <w:tcPr>
          <w:tcW w:w="521" w:type="dxa"/>
          <w:shd w:val="clear" w:color="auto" w:fill="0092CF"/>
          <w:vAlign w:val="center"/>
        </w:tcPr>
        <w:p w14:paraId="147BAF13" w14:textId="66A97DE7" w:rsidR="00BD6A9E" w:rsidRPr="00F73308" w:rsidRDefault="00BD6A9E" w:rsidP="00E07872">
          <w:pPr>
            <w:pStyle w:val="Footer"/>
            <w:jc w:val="center"/>
            <w:rPr>
              <w:color w:val="FFFFFF" w:themeColor="background1"/>
            </w:rPr>
          </w:pPr>
          <w:r w:rsidRPr="00F73308">
            <w:rPr>
              <w:color w:val="FFFFFF" w:themeColor="background1"/>
            </w:rPr>
            <w:fldChar w:fldCharType="begin"/>
          </w:r>
          <w:r w:rsidRPr="00F73308">
            <w:rPr>
              <w:color w:val="FFFFFF" w:themeColor="background1"/>
            </w:rPr>
            <w:instrText xml:space="preserve"> PAGE    \* MERGEFORMAT </w:instrText>
          </w:r>
          <w:r w:rsidRPr="00F73308">
            <w:rPr>
              <w:color w:val="FFFFFF" w:themeColor="background1"/>
            </w:rPr>
            <w:fldChar w:fldCharType="separate"/>
          </w:r>
          <w:r w:rsidR="00ED71A7">
            <w:rPr>
              <w:noProof/>
              <w:color w:val="FFFFFF" w:themeColor="background1"/>
            </w:rPr>
            <w:t>55</w:t>
          </w:r>
          <w:r w:rsidRPr="00F73308">
            <w:rPr>
              <w:color w:val="FFFFFF" w:themeColor="background1"/>
            </w:rPr>
            <w:fldChar w:fldCharType="end"/>
          </w:r>
        </w:p>
      </w:tc>
    </w:tr>
  </w:tbl>
  <w:p w14:paraId="379E9DF8" w14:textId="77777777" w:rsidR="00BD6A9E" w:rsidRPr="00EA6CF7" w:rsidRDefault="00BD6A9E" w:rsidP="0074626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9" w:type="pct"/>
      <w:tblInd w:w="28" w:type="dxa"/>
      <w:tblCellMar>
        <w:left w:w="28" w:type="dxa"/>
        <w:right w:w="0" w:type="dxa"/>
      </w:tblCellMar>
      <w:tblLook w:val="04A0" w:firstRow="1" w:lastRow="0" w:firstColumn="1" w:lastColumn="0" w:noHBand="0" w:noVBand="1"/>
    </w:tblPr>
    <w:tblGrid>
      <w:gridCol w:w="4388"/>
      <w:gridCol w:w="3476"/>
      <w:gridCol w:w="117"/>
      <w:gridCol w:w="521"/>
    </w:tblGrid>
    <w:tr w:rsidR="00BD6A9E" w:rsidRPr="00AD1872" w14:paraId="664C2373" w14:textId="77777777" w:rsidTr="002477B1">
      <w:trPr>
        <w:trHeight w:val="426"/>
      </w:trPr>
      <w:tc>
        <w:tcPr>
          <w:tcW w:w="4389" w:type="dxa"/>
          <w:tcBorders>
            <w:bottom w:val="single" w:sz="4" w:space="0" w:color="115E95"/>
          </w:tcBorders>
          <w:shd w:val="clear" w:color="auto" w:fill="FFFFFF"/>
          <w:vAlign w:val="center"/>
        </w:tcPr>
        <w:p w14:paraId="14A12B96" w14:textId="77777777" w:rsidR="00BD6A9E" w:rsidRPr="00B56650" w:rsidRDefault="00BD6A9E" w:rsidP="005F694B">
          <w:pPr>
            <w:pStyle w:val="Footer"/>
          </w:pPr>
          <w:r>
            <w:t>Evaluation of the Rural R&amp;D for Profit program</w:t>
          </w:r>
        </w:p>
      </w:tc>
      <w:tc>
        <w:tcPr>
          <w:tcW w:w="3476" w:type="dxa"/>
          <w:tcBorders>
            <w:bottom w:val="single" w:sz="4" w:space="0" w:color="115E95"/>
          </w:tcBorders>
          <w:shd w:val="clear" w:color="auto" w:fill="115E95"/>
          <w:vAlign w:val="center"/>
        </w:tcPr>
        <w:p w14:paraId="0611DB5C" w14:textId="77777777" w:rsidR="00BD6A9E" w:rsidRPr="00F73308" w:rsidRDefault="00BD6A9E" w:rsidP="00E07872">
          <w:pPr>
            <w:pStyle w:val="Footer"/>
            <w:jc w:val="center"/>
            <w:rPr>
              <w:color w:val="FFFFFF" w:themeColor="background1"/>
            </w:rPr>
          </w:pPr>
          <w:r w:rsidRPr="00F73308">
            <w:rPr>
              <w:color w:val="FFFFFF" w:themeColor="background1"/>
            </w:rPr>
            <w:t>grosvenor management consulting</w:t>
          </w:r>
        </w:p>
      </w:tc>
      <w:tc>
        <w:tcPr>
          <w:tcW w:w="117" w:type="dxa"/>
          <w:shd w:val="clear" w:color="auto" w:fill="FFFFFF"/>
        </w:tcPr>
        <w:p w14:paraId="7618FEEF" w14:textId="77777777" w:rsidR="00BD6A9E" w:rsidRPr="00F73308" w:rsidRDefault="00BD6A9E" w:rsidP="00E07872">
          <w:pPr>
            <w:pStyle w:val="Footer"/>
            <w:jc w:val="center"/>
            <w:rPr>
              <w:color w:val="FFFFFF" w:themeColor="background1"/>
            </w:rPr>
          </w:pPr>
        </w:p>
      </w:tc>
      <w:tc>
        <w:tcPr>
          <w:tcW w:w="521" w:type="dxa"/>
          <w:shd w:val="clear" w:color="auto" w:fill="0092CF"/>
          <w:vAlign w:val="center"/>
        </w:tcPr>
        <w:p w14:paraId="37F8FE9A" w14:textId="0770F883" w:rsidR="00BD6A9E" w:rsidRPr="00F73308" w:rsidRDefault="00BD6A9E" w:rsidP="00E07872">
          <w:pPr>
            <w:pStyle w:val="Footer"/>
            <w:jc w:val="center"/>
            <w:rPr>
              <w:color w:val="FFFFFF" w:themeColor="background1"/>
            </w:rPr>
          </w:pPr>
          <w:r w:rsidRPr="00F73308">
            <w:rPr>
              <w:color w:val="FFFFFF" w:themeColor="background1"/>
            </w:rPr>
            <w:fldChar w:fldCharType="begin"/>
          </w:r>
          <w:r w:rsidRPr="00F73308">
            <w:rPr>
              <w:color w:val="FFFFFF" w:themeColor="background1"/>
            </w:rPr>
            <w:instrText xml:space="preserve"> PAGE    \* MERGEFORMAT </w:instrText>
          </w:r>
          <w:r w:rsidRPr="00F73308">
            <w:rPr>
              <w:color w:val="FFFFFF" w:themeColor="background1"/>
            </w:rPr>
            <w:fldChar w:fldCharType="separate"/>
          </w:r>
          <w:r w:rsidR="00ED71A7">
            <w:rPr>
              <w:noProof/>
              <w:color w:val="FFFFFF" w:themeColor="background1"/>
            </w:rPr>
            <w:t>74</w:t>
          </w:r>
          <w:r w:rsidRPr="00F73308">
            <w:rPr>
              <w:color w:val="FFFFFF" w:themeColor="background1"/>
            </w:rPr>
            <w:fldChar w:fldCharType="end"/>
          </w:r>
        </w:p>
      </w:tc>
    </w:tr>
  </w:tbl>
  <w:p w14:paraId="11F8D3E3" w14:textId="77777777" w:rsidR="00BD6A9E" w:rsidRPr="00EA6CF7" w:rsidRDefault="00BD6A9E" w:rsidP="0074626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9" w:type="pct"/>
      <w:tblInd w:w="28" w:type="dxa"/>
      <w:tblCellMar>
        <w:left w:w="28" w:type="dxa"/>
        <w:right w:w="0" w:type="dxa"/>
      </w:tblCellMar>
      <w:tblLook w:val="04A0" w:firstRow="1" w:lastRow="0" w:firstColumn="1" w:lastColumn="0" w:noHBand="0" w:noVBand="1"/>
    </w:tblPr>
    <w:tblGrid>
      <w:gridCol w:w="6934"/>
      <w:gridCol w:w="5491"/>
      <w:gridCol w:w="185"/>
      <w:gridCol w:w="823"/>
    </w:tblGrid>
    <w:tr w:rsidR="00BD6A9E" w:rsidRPr="00AD1872" w14:paraId="7ABA4F8D" w14:textId="77777777" w:rsidTr="002477B1">
      <w:trPr>
        <w:trHeight w:val="426"/>
      </w:trPr>
      <w:tc>
        <w:tcPr>
          <w:tcW w:w="4389" w:type="dxa"/>
          <w:tcBorders>
            <w:bottom w:val="single" w:sz="4" w:space="0" w:color="115E95"/>
          </w:tcBorders>
          <w:shd w:val="clear" w:color="auto" w:fill="FFFFFF"/>
          <w:vAlign w:val="center"/>
        </w:tcPr>
        <w:p w14:paraId="5731E998" w14:textId="77777777" w:rsidR="00BD6A9E" w:rsidRPr="00B56650" w:rsidRDefault="00BD6A9E" w:rsidP="005F694B">
          <w:pPr>
            <w:pStyle w:val="Footer"/>
          </w:pPr>
          <w:r>
            <w:t>Evaluation of the Rural R&amp;D for Profit program</w:t>
          </w:r>
        </w:p>
      </w:tc>
      <w:tc>
        <w:tcPr>
          <w:tcW w:w="3476" w:type="dxa"/>
          <w:tcBorders>
            <w:bottom w:val="single" w:sz="4" w:space="0" w:color="115E95"/>
          </w:tcBorders>
          <w:shd w:val="clear" w:color="auto" w:fill="115E95"/>
          <w:vAlign w:val="center"/>
        </w:tcPr>
        <w:p w14:paraId="30DB62C2" w14:textId="77777777" w:rsidR="00BD6A9E" w:rsidRPr="00F73308" w:rsidRDefault="00BD6A9E" w:rsidP="00E07872">
          <w:pPr>
            <w:pStyle w:val="Footer"/>
            <w:jc w:val="center"/>
            <w:rPr>
              <w:color w:val="FFFFFF" w:themeColor="background1"/>
            </w:rPr>
          </w:pPr>
          <w:r w:rsidRPr="00F73308">
            <w:rPr>
              <w:color w:val="FFFFFF" w:themeColor="background1"/>
            </w:rPr>
            <w:t>grosvenor management consulting</w:t>
          </w:r>
        </w:p>
      </w:tc>
      <w:tc>
        <w:tcPr>
          <w:tcW w:w="117" w:type="dxa"/>
          <w:shd w:val="clear" w:color="auto" w:fill="FFFFFF"/>
        </w:tcPr>
        <w:p w14:paraId="6B686D96" w14:textId="77777777" w:rsidR="00BD6A9E" w:rsidRPr="00F73308" w:rsidRDefault="00BD6A9E" w:rsidP="00E07872">
          <w:pPr>
            <w:pStyle w:val="Footer"/>
            <w:jc w:val="center"/>
            <w:rPr>
              <w:color w:val="FFFFFF" w:themeColor="background1"/>
            </w:rPr>
          </w:pPr>
        </w:p>
      </w:tc>
      <w:tc>
        <w:tcPr>
          <w:tcW w:w="521" w:type="dxa"/>
          <w:shd w:val="clear" w:color="auto" w:fill="0092CF"/>
          <w:vAlign w:val="center"/>
        </w:tcPr>
        <w:p w14:paraId="20410DC7" w14:textId="4721C6A4" w:rsidR="00BD6A9E" w:rsidRPr="00F73308" w:rsidRDefault="00BD6A9E" w:rsidP="00E07872">
          <w:pPr>
            <w:pStyle w:val="Footer"/>
            <w:jc w:val="center"/>
            <w:rPr>
              <w:color w:val="FFFFFF" w:themeColor="background1"/>
            </w:rPr>
          </w:pPr>
          <w:r w:rsidRPr="00F73308">
            <w:rPr>
              <w:color w:val="FFFFFF" w:themeColor="background1"/>
            </w:rPr>
            <w:fldChar w:fldCharType="begin"/>
          </w:r>
          <w:r w:rsidRPr="00F73308">
            <w:rPr>
              <w:color w:val="FFFFFF" w:themeColor="background1"/>
            </w:rPr>
            <w:instrText xml:space="preserve"> PAGE    \* MERGEFORMAT </w:instrText>
          </w:r>
          <w:r w:rsidRPr="00F73308">
            <w:rPr>
              <w:color w:val="FFFFFF" w:themeColor="background1"/>
            </w:rPr>
            <w:fldChar w:fldCharType="separate"/>
          </w:r>
          <w:r w:rsidR="00ED71A7">
            <w:rPr>
              <w:noProof/>
              <w:color w:val="FFFFFF" w:themeColor="background1"/>
            </w:rPr>
            <w:t>78</w:t>
          </w:r>
          <w:r w:rsidRPr="00F73308">
            <w:rPr>
              <w:color w:val="FFFFFF" w:themeColor="background1"/>
            </w:rPr>
            <w:fldChar w:fldCharType="end"/>
          </w:r>
        </w:p>
      </w:tc>
    </w:tr>
  </w:tbl>
  <w:p w14:paraId="588AC045" w14:textId="77777777" w:rsidR="00BD6A9E" w:rsidRPr="00EA6CF7" w:rsidRDefault="00BD6A9E" w:rsidP="0074626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9" w:type="pct"/>
      <w:tblInd w:w="28" w:type="dxa"/>
      <w:tblCellMar>
        <w:left w:w="28" w:type="dxa"/>
        <w:right w:w="0" w:type="dxa"/>
      </w:tblCellMar>
      <w:tblLook w:val="04A0" w:firstRow="1" w:lastRow="0" w:firstColumn="1" w:lastColumn="0" w:noHBand="0" w:noVBand="1"/>
    </w:tblPr>
    <w:tblGrid>
      <w:gridCol w:w="4388"/>
      <w:gridCol w:w="3476"/>
      <w:gridCol w:w="117"/>
      <w:gridCol w:w="521"/>
    </w:tblGrid>
    <w:tr w:rsidR="00BD6A9E" w:rsidRPr="00AD1872" w14:paraId="363129CF" w14:textId="77777777" w:rsidTr="002477B1">
      <w:trPr>
        <w:trHeight w:val="426"/>
      </w:trPr>
      <w:tc>
        <w:tcPr>
          <w:tcW w:w="4389" w:type="dxa"/>
          <w:tcBorders>
            <w:bottom w:val="single" w:sz="4" w:space="0" w:color="115E95"/>
          </w:tcBorders>
          <w:shd w:val="clear" w:color="auto" w:fill="FFFFFF"/>
          <w:vAlign w:val="center"/>
        </w:tcPr>
        <w:p w14:paraId="790446CA" w14:textId="77777777" w:rsidR="00BD6A9E" w:rsidRPr="00B56650" w:rsidRDefault="00BD6A9E" w:rsidP="005F694B">
          <w:pPr>
            <w:pStyle w:val="Footer"/>
          </w:pPr>
          <w:r>
            <w:t>Evaluation of the Rural R&amp;D for Profit program</w:t>
          </w:r>
        </w:p>
      </w:tc>
      <w:tc>
        <w:tcPr>
          <w:tcW w:w="3476" w:type="dxa"/>
          <w:tcBorders>
            <w:bottom w:val="single" w:sz="4" w:space="0" w:color="115E95"/>
          </w:tcBorders>
          <w:shd w:val="clear" w:color="auto" w:fill="115E95"/>
          <w:vAlign w:val="center"/>
        </w:tcPr>
        <w:p w14:paraId="341CB0D0" w14:textId="77777777" w:rsidR="00BD6A9E" w:rsidRPr="00F73308" w:rsidRDefault="00BD6A9E" w:rsidP="00E07872">
          <w:pPr>
            <w:pStyle w:val="Footer"/>
            <w:jc w:val="center"/>
            <w:rPr>
              <w:color w:val="FFFFFF" w:themeColor="background1"/>
            </w:rPr>
          </w:pPr>
          <w:r w:rsidRPr="00F73308">
            <w:rPr>
              <w:color w:val="FFFFFF" w:themeColor="background1"/>
            </w:rPr>
            <w:t>grosvenor management consulting</w:t>
          </w:r>
        </w:p>
      </w:tc>
      <w:tc>
        <w:tcPr>
          <w:tcW w:w="117" w:type="dxa"/>
          <w:shd w:val="clear" w:color="auto" w:fill="FFFFFF"/>
        </w:tcPr>
        <w:p w14:paraId="4BB7F819" w14:textId="77777777" w:rsidR="00BD6A9E" w:rsidRPr="00F73308" w:rsidRDefault="00BD6A9E" w:rsidP="00E07872">
          <w:pPr>
            <w:pStyle w:val="Footer"/>
            <w:jc w:val="center"/>
            <w:rPr>
              <w:color w:val="FFFFFF" w:themeColor="background1"/>
            </w:rPr>
          </w:pPr>
        </w:p>
      </w:tc>
      <w:tc>
        <w:tcPr>
          <w:tcW w:w="521" w:type="dxa"/>
          <w:shd w:val="clear" w:color="auto" w:fill="0092CF"/>
          <w:vAlign w:val="center"/>
        </w:tcPr>
        <w:p w14:paraId="6BB5BD6F" w14:textId="6BB6E1D6" w:rsidR="00BD6A9E" w:rsidRPr="00F73308" w:rsidRDefault="00BD6A9E" w:rsidP="00E07872">
          <w:pPr>
            <w:pStyle w:val="Footer"/>
            <w:jc w:val="center"/>
            <w:rPr>
              <w:color w:val="FFFFFF" w:themeColor="background1"/>
            </w:rPr>
          </w:pPr>
          <w:r w:rsidRPr="00F73308">
            <w:rPr>
              <w:color w:val="FFFFFF" w:themeColor="background1"/>
            </w:rPr>
            <w:fldChar w:fldCharType="begin"/>
          </w:r>
          <w:r w:rsidRPr="00F73308">
            <w:rPr>
              <w:color w:val="FFFFFF" w:themeColor="background1"/>
            </w:rPr>
            <w:instrText xml:space="preserve"> PAGE    \* MERGEFORMAT </w:instrText>
          </w:r>
          <w:r w:rsidRPr="00F73308">
            <w:rPr>
              <w:color w:val="FFFFFF" w:themeColor="background1"/>
            </w:rPr>
            <w:fldChar w:fldCharType="separate"/>
          </w:r>
          <w:r w:rsidR="00ED71A7">
            <w:rPr>
              <w:noProof/>
              <w:color w:val="FFFFFF" w:themeColor="background1"/>
            </w:rPr>
            <w:t>79</w:t>
          </w:r>
          <w:r w:rsidRPr="00F73308">
            <w:rPr>
              <w:color w:val="FFFFFF" w:themeColor="background1"/>
            </w:rPr>
            <w:fldChar w:fldCharType="end"/>
          </w:r>
        </w:p>
      </w:tc>
    </w:tr>
  </w:tbl>
  <w:p w14:paraId="171DC5FD" w14:textId="77777777" w:rsidR="00BD6A9E" w:rsidRPr="00EA6CF7" w:rsidRDefault="00BD6A9E" w:rsidP="00746267">
    <w:pPr>
      <w:pStyle w:val="Footer"/>
    </w:pPr>
  </w:p>
  <w:p w14:paraId="74C91B67" w14:textId="77777777" w:rsidR="00BD6A9E" w:rsidRDefault="00BD6A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9CF1B" w14:textId="77777777" w:rsidR="00BD6A9E" w:rsidRPr="004027B1" w:rsidRDefault="00BD6A9E" w:rsidP="00746267">
      <w:r>
        <w:separator/>
      </w:r>
    </w:p>
    <w:p w14:paraId="5562DF85" w14:textId="77777777" w:rsidR="00BD6A9E" w:rsidRDefault="00BD6A9E"/>
  </w:footnote>
  <w:footnote w:type="continuationSeparator" w:id="0">
    <w:p w14:paraId="2B2EEB6B" w14:textId="77777777" w:rsidR="00BD6A9E" w:rsidRPr="004027B1" w:rsidRDefault="00BD6A9E" w:rsidP="00746267">
      <w:r>
        <w:continuationSeparator/>
      </w:r>
    </w:p>
    <w:p w14:paraId="420A2889" w14:textId="77777777" w:rsidR="00BD6A9E" w:rsidRDefault="00BD6A9E" w:rsidP="00746267"/>
    <w:p w14:paraId="1AC1E03F" w14:textId="77777777" w:rsidR="00BD6A9E" w:rsidRDefault="00BD6A9E" w:rsidP="00746267"/>
    <w:p w14:paraId="1AC48783" w14:textId="77777777" w:rsidR="00BD6A9E" w:rsidRDefault="00BD6A9E" w:rsidP="00746267"/>
    <w:p w14:paraId="55ABC63F" w14:textId="77777777" w:rsidR="00BD6A9E" w:rsidRDefault="00BD6A9E"/>
  </w:footnote>
  <w:footnote w:type="continuationNotice" w:id="1">
    <w:p w14:paraId="19C9824E" w14:textId="77777777" w:rsidR="00BD6A9E" w:rsidRDefault="00BD6A9E"/>
    <w:p w14:paraId="31606ED9" w14:textId="77777777" w:rsidR="00BD6A9E" w:rsidRDefault="00BD6A9E"/>
  </w:footnote>
  <w:footnote w:id="2">
    <w:p w14:paraId="01164A5E" w14:textId="1A2F6DA8" w:rsidR="00BD6A9E" w:rsidRDefault="00BD6A9E">
      <w:pPr>
        <w:pStyle w:val="FootnoteText"/>
      </w:pPr>
      <w:r>
        <w:rPr>
          <w:rStyle w:val="FootnoteReference"/>
        </w:rPr>
        <w:footnoteRef/>
      </w:r>
      <w:r>
        <w:t xml:space="preserve"> A final evaluation will be conducted in the eighth and final year of the program to measure performance against outcomes and impacts on primary producers. </w:t>
      </w:r>
    </w:p>
  </w:footnote>
  <w:footnote w:id="3">
    <w:p w14:paraId="4F2FAEFF" w14:textId="1B9651EE" w:rsidR="00BD6A9E" w:rsidRDefault="00BD6A9E" w:rsidP="00647F57">
      <w:pPr>
        <w:pStyle w:val="FootnoteText"/>
      </w:pPr>
      <w:r>
        <w:rPr>
          <w:rStyle w:val="FootnoteReference"/>
        </w:rPr>
        <w:footnoteRef/>
      </w:r>
      <w:r>
        <w:t xml:space="preserve"> Included program design and approach.</w:t>
      </w:r>
    </w:p>
  </w:footnote>
  <w:footnote w:id="4">
    <w:p w14:paraId="735944FA" w14:textId="77777777" w:rsidR="00BD6A9E" w:rsidRDefault="00BD6A9E">
      <w:pPr>
        <w:pStyle w:val="FootnoteText"/>
      </w:pPr>
      <w:r>
        <w:rPr>
          <w:rStyle w:val="FootnoteReference"/>
        </w:rPr>
        <w:footnoteRef/>
      </w:r>
      <w:r>
        <w:t xml:space="preserve"> </w:t>
      </w:r>
      <w:r w:rsidRPr="00C271EE">
        <w:t>Department</w:t>
      </w:r>
      <w:r>
        <w:t xml:space="preserve"> of the Prime Minister and Cabinet, </w:t>
      </w:r>
      <w:r w:rsidRPr="00C271EE">
        <w:rPr>
          <w:i/>
        </w:rPr>
        <w:t>Agricultural Competitiveness White Paper</w:t>
      </w:r>
      <w:r>
        <w:t>, July 2015.</w:t>
      </w:r>
    </w:p>
  </w:footnote>
  <w:footnote w:id="5">
    <w:p w14:paraId="42B8160B" w14:textId="0186EBF9" w:rsidR="00BD6A9E" w:rsidRDefault="00BD6A9E" w:rsidP="004D4B1F">
      <w:pPr>
        <w:pStyle w:val="FootnoteText"/>
      </w:pPr>
      <w:r>
        <w:rPr>
          <w:rStyle w:val="FootnoteReference"/>
        </w:rPr>
        <w:footnoteRef/>
      </w:r>
      <w:r>
        <w:t xml:space="preserve"> The Coalition’s </w:t>
      </w:r>
      <w:r w:rsidRPr="006729A6">
        <w:rPr>
          <w:i/>
        </w:rPr>
        <w:t>Policy for a Competitive Agriculture</w:t>
      </w:r>
      <w:r>
        <w:t xml:space="preserve">, August 2013. </w:t>
      </w:r>
    </w:p>
  </w:footnote>
  <w:footnote w:id="6">
    <w:p w14:paraId="2B327B24" w14:textId="0D57CFB3" w:rsidR="00BD6A9E" w:rsidRDefault="00BD6A9E">
      <w:pPr>
        <w:pStyle w:val="FootnoteText"/>
      </w:pPr>
      <w:r>
        <w:rPr>
          <w:rStyle w:val="FootnoteReference"/>
        </w:rPr>
        <w:footnoteRef/>
      </w:r>
      <w:r>
        <w:t xml:space="preserve"> Established in the 1980s; these corporations were set up to commission and manage R&amp;D activities aimed at improving productivity, profitability and sustainability of Australia’s primary industries. </w:t>
      </w:r>
    </w:p>
  </w:footnote>
  <w:footnote w:id="7">
    <w:p w14:paraId="4AAAD112" w14:textId="1326227E" w:rsidR="00BD6A9E" w:rsidRDefault="00BD6A9E" w:rsidP="00BF3B6C">
      <w:pPr>
        <w:pStyle w:val="FootnoteText"/>
      </w:pPr>
      <w:r>
        <w:rPr>
          <w:rStyle w:val="FootnoteReference"/>
        </w:rPr>
        <w:footnoteRef/>
      </w:r>
      <w:r>
        <w:t xml:space="preserve"> As per program Guidelines Round 3, 2016. </w:t>
      </w:r>
    </w:p>
  </w:footnote>
  <w:footnote w:id="8">
    <w:p w14:paraId="162373D6" w14:textId="77777777" w:rsidR="00BD6A9E" w:rsidRDefault="00BD6A9E">
      <w:pPr>
        <w:pStyle w:val="FootnoteText"/>
      </w:pPr>
      <w:r w:rsidRPr="00C271EE">
        <w:rPr>
          <w:rStyle w:val="FootnoteReference"/>
        </w:rPr>
        <w:footnoteRef/>
      </w:r>
      <w:r w:rsidRPr="00C271EE">
        <w:t xml:space="preserve"> Department</w:t>
      </w:r>
      <w:r>
        <w:t xml:space="preserve"> of the Prime Minister and Cabinet, </w:t>
      </w:r>
      <w:r w:rsidRPr="00C271EE">
        <w:rPr>
          <w:i/>
        </w:rPr>
        <w:t>Agricultural Competitiveness White Paper</w:t>
      </w:r>
      <w:r>
        <w:t xml:space="preserve">, July 2015. </w:t>
      </w:r>
    </w:p>
  </w:footnote>
  <w:footnote w:id="9">
    <w:p w14:paraId="691F997A" w14:textId="77777777" w:rsidR="00BD6A9E" w:rsidRDefault="00BD6A9E" w:rsidP="008F1D3E">
      <w:pPr>
        <w:pStyle w:val="FootnoteText"/>
      </w:pPr>
      <w:r>
        <w:rPr>
          <w:rStyle w:val="FootnoteReference"/>
        </w:rPr>
        <w:footnoteRef/>
      </w:r>
      <w:r>
        <w:t xml:space="preserve"> Taken from Round 3 Guidelines.</w:t>
      </w:r>
    </w:p>
  </w:footnote>
  <w:footnote w:id="10">
    <w:p w14:paraId="7C4FDB1F" w14:textId="36EE56EF" w:rsidR="00BD6A9E" w:rsidRDefault="00BD6A9E">
      <w:pPr>
        <w:pStyle w:val="FootnoteText"/>
      </w:pPr>
      <w:r>
        <w:rPr>
          <w:rStyle w:val="FootnoteReference"/>
        </w:rPr>
        <w:footnoteRef/>
      </w:r>
      <w:r>
        <w:t xml:space="preserve"> Note, Guidelines have been refined over the three funding rounds. </w:t>
      </w:r>
    </w:p>
  </w:footnote>
  <w:footnote w:id="11">
    <w:p w14:paraId="1E96337E" w14:textId="77777777" w:rsidR="00BD6A9E" w:rsidRDefault="00BD6A9E" w:rsidP="00E5408D">
      <w:pPr>
        <w:pStyle w:val="FootnoteText"/>
      </w:pPr>
      <w:r>
        <w:rPr>
          <w:rStyle w:val="FootnoteReference"/>
        </w:rPr>
        <w:footnoteRef/>
      </w:r>
      <w:r>
        <w:t xml:space="preserve"> Leecia Angus Consulting, </w:t>
      </w:r>
      <w:r w:rsidRPr="00CC55F7">
        <w:rPr>
          <w:i/>
        </w:rPr>
        <w:t>Current cross-RDC collaborative investments, Status Report to the Council of Rural Research and Development Corporations (CRRCD)</w:t>
      </w:r>
      <w:r>
        <w:t>, April 2017.</w:t>
      </w:r>
    </w:p>
  </w:footnote>
  <w:footnote w:id="12">
    <w:p w14:paraId="03422CBD" w14:textId="77777777" w:rsidR="00BD6A9E" w:rsidRDefault="00BD6A9E" w:rsidP="00E5408D">
      <w:pPr>
        <w:pStyle w:val="FootnoteText"/>
      </w:pPr>
      <w:r>
        <w:rPr>
          <w:rStyle w:val="FootnoteReference"/>
        </w:rPr>
        <w:footnoteRef/>
      </w:r>
      <w:r>
        <w:t xml:space="preserve"> CRRDC’s </w:t>
      </w:r>
      <w:r w:rsidRPr="00E56D90">
        <w:rPr>
          <w:i/>
        </w:rPr>
        <w:t>Strategic Approach 2016</w:t>
      </w:r>
      <w:r>
        <w:rPr>
          <w:i/>
        </w:rPr>
        <w:t>.</w:t>
      </w:r>
    </w:p>
  </w:footnote>
  <w:footnote w:id="13">
    <w:p w14:paraId="1CBAF879" w14:textId="773681D7" w:rsidR="00BD6A9E" w:rsidRDefault="00BD6A9E" w:rsidP="00E5408D">
      <w:pPr>
        <w:pStyle w:val="FootnoteText"/>
      </w:pPr>
      <w:r>
        <w:rPr>
          <w:rStyle w:val="FootnoteReference"/>
        </w:rPr>
        <w:footnoteRef/>
      </w:r>
      <w:r>
        <w:t xml:space="preserve"> Leecia Angus Consulting, </w:t>
      </w:r>
      <w:r w:rsidRPr="007272BC">
        <w:rPr>
          <w:i/>
        </w:rPr>
        <w:t>Current cross-RDC collaborative investments, Status Report to the Council of Rural Research and Development Corporations (CRRCD)</w:t>
      </w:r>
      <w:r>
        <w:t xml:space="preserve">, April 2017. </w:t>
      </w:r>
    </w:p>
  </w:footnote>
  <w:footnote w:id="14">
    <w:p w14:paraId="4BDAFB12" w14:textId="4351F250" w:rsidR="00BD6A9E" w:rsidRDefault="00BD6A9E" w:rsidP="006E3607">
      <w:pPr>
        <w:pStyle w:val="FootnoteText"/>
      </w:pPr>
      <w:r>
        <w:rPr>
          <w:rStyle w:val="FootnoteReference"/>
        </w:rPr>
        <w:footnoteRef/>
      </w:r>
      <w:r>
        <w:t xml:space="preserve"> ANAO Report No. 17 2016 – 17, </w:t>
      </w:r>
      <w:r w:rsidRPr="00AD3676">
        <w:rPr>
          <w:i/>
        </w:rPr>
        <w:t>Design and Monitoring of the Rural Research and Development for Profit Programme</w:t>
      </w:r>
      <w:r>
        <w:t xml:space="preserve">. </w:t>
      </w:r>
    </w:p>
  </w:footnote>
  <w:footnote w:id="15">
    <w:p w14:paraId="2ADECC77" w14:textId="77777777" w:rsidR="00BD6A9E" w:rsidRDefault="00BD6A9E">
      <w:pPr>
        <w:pStyle w:val="FootnoteText"/>
      </w:pPr>
      <w:r>
        <w:rPr>
          <w:rStyle w:val="FootnoteReference"/>
        </w:rPr>
        <w:footnoteRef/>
      </w:r>
      <w:r>
        <w:t xml:space="preserve"> 11</w:t>
      </w:r>
      <w:r w:rsidRPr="001E7D12">
        <w:rPr>
          <w:vertAlign w:val="superscript"/>
        </w:rPr>
        <w:t>th</w:t>
      </w:r>
      <w:r>
        <w:t xml:space="preserve"> European Conference on Precision Agriculture, July 2017.</w:t>
      </w:r>
    </w:p>
  </w:footnote>
  <w:footnote w:id="16">
    <w:p w14:paraId="4056AC6D" w14:textId="0CA3D36D" w:rsidR="00BD6A9E" w:rsidRDefault="00BD6A9E">
      <w:pPr>
        <w:pStyle w:val="FootnoteText"/>
      </w:pPr>
      <w:r>
        <w:rPr>
          <w:rStyle w:val="FootnoteReference"/>
        </w:rPr>
        <w:footnoteRef/>
      </w:r>
      <w:r>
        <w:t xml:space="preserve"> Figures as at April 2017. </w:t>
      </w:r>
    </w:p>
  </w:footnote>
  <w:footnote w:id="17">
    <w:p w14:paraId="5821981B" w14:textId="77777777" w:rsidR="00BD6A9E" w:rsidRDefault="00BD6A9E">
      <w:pPr>
        <w:pStyle w:val="FootnoteText"/>
      </w:pPr>
      <w:r>
        <w:rPr>
          <w:rStyle w:val="FootnoteReference"/>
        </w:rPr>
        <w:footnoteRef/>
      </w:r>
      <w:r>
        <w:t xml:space="preserve"> 11</w:t>
      </w:r>
      <w:r w:rsidRPr="001E7D12">
        <w:rPr>
          <w:vertAlign w:val="superscript"/>
        </w:rPr>
        <w:t>th</w:t>
      </w:r>
      <w:r>
        <w:t xml:space="preserve"> European Conference on Precision Agriculture, July 2017.</w:t>
      </w:r>
    </w:p>
  </w:footnote>
  <w:footnote w:id="18">
    <w:p w14:paraId="1BD51ABA" w14:textId="77777777" w:rsidR="00BD6A9E" w:rsidRDefault="00BD6A9E">
      <w:pPr>
        <w:pStyle w:val="FootnoteText"/>
      </w:pPr>
      <w:r>
        <w:rPr>
          <w:rStyle w:val="FootnoteReference"/>
        </w:rPr>
        <w:footnoteRef/>
      </w:r>
      <w:r>
        <w:t xml:space="preserve"> Department of Finance, </w:t>
      </w:r>
      <w:r w:rsidRPr="005A1C4A">
        <w:rPr>
          <w:i/>
        </w:rPr>
        <w:t>Commonwealth Grant Rules and Guidelines 2017</w:t>
      </w:r>
      <w:r>
        <w:rPr>
          <w:i/>
        </w:rPr>
        <w:t xml:space="preserve"> </w:t>
      </w:r>
      <w:r w:rsidRPr="005A1C4A">
        <w:t>-</w:t>
      </w:r>
      <w:r>
        <w:t xml:space="preserve"> </w:t>
      </w:r>
      <w:r w:rsidRPr="00943487">
        <w:rPr>
          <w:lang w:val="en-US"/>
        </w:rPr>
        <w:t xml:space="preserve">The ANAO has put an emphasis on geographic distribution of grant activities as a measure of equitable distribution </w:t>
      </w:r>
      <w:r>
        <w:rPr>
          <w:lang w:val="en-US"/>
        </w:rPr>
        <w:t xml:space="preserve">and </w:t>
      </w:r>
      <w:r w:rsidRPr="00943487">
        <w:rPr>
          <w:lang w:val="en-US"/>
        </w:rPr>
        <w:t>indicator of general eq</w:t>
      </w:r>
      <w:r>
        <w:rPr>
          <w:lang w:val="en-US"/>
        </w:rPr>
        <w:t>uity of grant opportunity.</w:t>
      </w:r>
    </w:p>
  </w:footnote>
  <w:footnote w:id="19">
    <w:p w14:paraId="596F2005" w14:textId="77777777" w:rsidR="00BD6A9E" w:rsidRDefault="00BD6A9E" w:rsidP="00BA3134">
      <w:pPr>
        <w:pStyle w:val="FootnoteText"/>
      </w:pPr>
      <w:r>
        <w:rPr>
          <w:rStyle w:val="FootnoteReference"/>
        </w:rPr>
        <w:footnoteRef/>
      </w:r>
      <w:r>
        <w:t xml:space="preserve"> Department of Finance, </w:t>
      </w:r>
      <w:r w:rsidRPr="00235806">
        <w:rPr>
          <w:i/>
        </w:rPr>
        <w:t>Commonwealth Grants Rules and Guidelines</w:t>
      </w:r>
      <w:r w:rsidRPr="00F533B8">
        <w:rPr>
          <w:i/>
        </w:rPr>
        <w:t xml:space="preserve"> 2017</w:t>
      </w:r>
      <w:r>
        <w:t>.</w:t>
      </w:r>
    </w:p>
  </w:footnote>
  <w:footnote w:id="20">
    <w:p w14:paraId="172C407A" w14:textId="12E33D5A" w:rsidR="00BD6A9E" w:rsidRDefault="00BD6A9E" w:rsidP="00BA3134">
      <w:pPr>
        <w:pStyle w:val="FootnoteText"/>
      </w:pPr>
      <w:r>
        <w:rPr>
          <w:rStyle w:val="FootnoteReference"/>
        </w:rPr>
        <w:footnoteRef/>
      </w:r>
      <w:r>
        <w:t xml:space="preserve"> Included analysis of Australian Research Council (ARC) grants programs. </w:t>
      </w:r>
    </w:p>
  </w:footnote>
  <w:footnote w:id="21">
    <w:p w14:paraId="17B247F0" w14:textId="708151CB" w:rsidR="00BD6A9E" w:rsidRDefault="00BD6A9E">
      <w:pPr>
        <w:pStyle w:val="FootnoteText"/>
      </w:pPr>
      <w:r>
        <w:rPr>
          <w:rStyle w:val="FootnoteReference"/>
        </w:rPr>
        <w:footnoteRef/>
      </w:r>
      <w:r>
        <w:t xml:space="preserve"> Notwithstanding, suggestions for improvement were identified. </w:t>
      </w:r>
      <w:r w:rsidRPr="00AA5941">
        <w:t>Discussed in sections 4.2.6 and 4.3</w:t>
      </w:r>
    </w:p>
  </w:footnote>
  <w:footnote w:id="22">
    <w:p w14:paraId="2D7E7DD5" w14:textId="77777777" w:rsidR="00BD6A9E" w:rsidRDefault="00BD6A9E" w:rsidP="00850F79">
      <w:pPr>
        <w:pStyle w:val="FootnoteText"/>
      </w:pPr>
      <w:r>
        <w:rPr>
          <w:rStyle w:val="FootnoteReference"/>
        </w:rPr>
        <w:footnoteRef/>
      </w:r>
      <w:r>
        <w:t xml:space="preserve"> (Not all Round 1 projects have this requirement.)  </w:t>
      </w:r>
    </w:p>
  </w:footnote>
  <w:footnote w:id="23">
    <w:p w14:paraId="68AE1E55" w14:textId="77777777" w:rsidR="00BD6A9E" w:rsidRDefault="00BD6A9E">
      <w:pPr>
        <w:pStyle w:val="FootnoteText"/>
      </w:pPr>
      <w:r>
        <w:rPr>
          <w:rStyle w:val="FootnoteReference"/>
        </w:rPr>
        <w:footnoteRef/>
      </w:r>
      <w:r>
        <w:t xml:space="preserve"> Department of Finance, </w:t>
      </w:r>
      <w:r w:rsidRPr="00235806">
        <w:rPr>
          <w:i/>
        </w:rPr>
        <w:t>Commonwealth Grants Rules and Guidelines</w:t>
      </w:r>
      <w:r w:rsidRPr="00F533B8">
        <w:rPr>
          <w:i/>
        </w:rPr>
        <w:t xml:space="preserve"> 2017</w:t>
      </w:r>
      <w:r>
        <w:t>.</w:t>
      </w:r>
    </w:p>
  </w:footnote>
  <w:footnote w:id="24">
    <w:p w14:paraId="7ACE876E" w14:textId="2887FB87" w:rsidR="00BD6A9E" w:rsidRDefault="00BD6A9E" w:rsidP="00A57EAA">
      <w:pPr>
        <w:pStyle w:val="FootnoteText"/>
      </w:pPr>
      <w:r>
        <w:rPr>
          <w:rStyle w:val="FootnoteReference"/>
        </w:rPr>
        <w:footnoteRef/>
      </w:r>
      <w:r>
        <w:t xml:space="preserve"> ANAO Report no. 17 2016-17, </w:t>
      </w:r>
      <w:r w:rsidRPr="00571ABA">
        <w:rPr>
          <w:i/>
        </w:rPr>
        <w:t>Design and Monitoring of the Rural Research and Development for Profit Programme</w:t>
      </w:r>
      <w:r>
        <w:t xml:space="preserve">. </w:t>
      </w:r>
    </w:p>
  </w:footnote>
  <w:footnote w:id="25">
    <w:p w14:paraId="602E7E05" w14:textId="77777777" w:rsidR="00BD6A9E" w:rsidRDefault="00BD6A9E">
      <w:pPr>
        <w:pStyle w:val="FootnoteText"/>
      </w:pPr>
      <w:r>
        <w:rPr>
          <w:rStyle w:val="FootnoteReference"/>
        </w:rPr>
        <w:footnoteRef/>
      </w:r>
      <w:r>
        <w:t xml:space="preserve"> </w:t>
      </w:r>
      <w:r w:rsidRPr="0056186D">
        <w:rPr>
          <w:i/>
        </w:rPr>
        <w:t xml:space="preserve">Department of Agriculture and Water Resources, </w:t>
      </w:r>
      <w:r w:rsidRPr="0056186D">
        <w:rPr>
          <w:i/>
          <w:lang w:val="en"/>
        </w:rPr>
        <w:t>Annual Report 2016-17</w:t>
      </w:r>
      <w:r w:rsidRPr="0056186D">
        <w:rPr>
          <w:lang w:val="en"/>
        </w:rPr>
        <w:t>.</w:t>
      </w:r>
    </w:p>
  </w:footnote>
  <w:footnote w:id="26">
    <w:p w14:paraId="72A577C8" w14:textId="77777777" w:rsidR="00BD6A9E" w:rsidRDefault="00BD6A9E" w:rsidP="005C5BC1">
      <w:pPr>
        <w:pStyle w:val="FootnoteText"/>
      </w:pPr>
      <w:r>
        <w:rPr>
          <w:rStyle w:val="FootnoteReference"/>
        </w:rPr>
        <w:footnoteRef/>
      </w:r>
      <w:r>
        <w:t xml:space="preserve"> Department of Finance, </w:t>
      </w:r>
      <w:r w:rsidRPr="00317FC6">
        <w:rPr>
          <w:i/>
        </w:rPr>
        <w:t>Commonwealth Grant Rules and Guidelines</w:t>
      </w:r>
      <w:r>
        <w:t>, extract, p. 25</w:t>
      </w:r>
    </w:p>
  </w:footnote>
  <w:footnote w:id="27">
    <w:p w14:paraId="50F1180F" w14:textId="77777777" w:rsidR="00BD6A9E" w:rsidRDefault="00BD6A9E" w:rsidP="004B6F23">
      <w:pPr>
        <w:pStyle w:val="FootnoteText"/>
      </w:pPr>
      <w:r>
        <w:rPr>
          <w:rStyle w:val="FootnoteReference"/>
        </w:rPr>
        <w:footnoteRef/>
      </w:r>
      <w:r>
        <w:t xml:space="preserve"> Department of Finance, </w:t>
      </w:r>
      <w:r w:rsidRPr="00944548">
        <w:rPr>
          <w:i/>
        </w:rPr>
        <w:t>Commonwealth Grants Rules and Guidelines</w:t>
      </w:r>
      <w:r>
        <w:t>, 2017</w:t>
      </w:r>
    </w:p>
  </w:footnote>
  <w:footnote w:id="28">
    <w:p w14:paraId="4C34E093" w14:textId="77777777" w:rsidR="00BD6A9E" w:rsidRDefault="00BD6A9E">
      <w:pPr>
        <w:pStyle w:val="FootnoteText"/>
      </w:pPr>
      <w:r>
        <w:rPr>
          <w:rStyle w:val="FootnoteReference"/>
        </w:rPr>
        <w:footnoteRef/>
      </w:r>
      <w:r>
        <w:t xml:space="preserve"> ANAO Report No. 17 2016-17, Design and Monitoring of the Rural R&amp;D for profit programme, p. 23.</w:t>
      </w:r>
    </w:p>
  </w:footnote>
  <w:footnote w:id="29">
    <w:p w14:paraId="23983B2D" w14:textId="77777777" w:rsidR="00BD6A9E" w:rsidRDefault="00BD6A9E" w:rsidP="00415765">
      <w:pPr>
        <w:pStyle w:val="FootnoteText"/>
      </w:pPr>
      <w:r>
        <w:rPr>
          <w:rStyle w:val="FootnoteReference"/>
        </w:rPr>
        <w:footnoteRef/>
      </w:r>
      <w:r>
        <w:t xml:space="preserve"> Jointly developed in 2009 by Primary Industries Ministerial Council (PIMC), state and NT governments, Rural RDCs, CSIRO and universities to: encourage greater collaboration and promote continues improvement in the investment of RD&amp;E resources nationally.</w:t>
      </w:r>
    </w:p>
  </w:footnote>
  <w:footnote w:id="30">
    <w:p w14:paraId="2222E3AC" w14:textId="77777777" w:rsidR="00BD6A9E" w:rsidRDefault="00BD6A9E">
      <w:pPr>
        <w:pStyle w:val="FootnoteText"/>
      </w:pPr>
      <w:r>
        <w:rPr>
          <w:rStyle w:val="FootnoteReference"/>
        </w:rPr>
        <w:footnoteRef/>
      </w:r>
      <w:r>
        <w:t xml:space="preserve"> </w:t>
      </w:r>
      <w:r w:rsidRPr="00C271EE">
        <w:t>Department</w:t>
      </w:r>
      <w:r>
        <w:t xml:space="preserve"> of the Prime Minister and Cabinet, </w:t>
      </w:r>
      <w:r w:rsidRPr="00C271EE">
        <w:rPr>
          <w:i/>
        </w:rPr>
        <w:t>Agricultural Competitiveness White Paper</w:t>
      </w:r>
      <w:r>
        <w:t>, July 2015.</w:t>
      </w:r>
    </w:p>
  </w:footnote>
  <w:footnote w:id="31">
    <w:p w14:paraId="2F850B69" w14:textId="77777777" w:rsidR="00BD6A9E" w:rsidRPr="00415765" w:rsidRDefault="00BD6A9E" w:rsidP="00415765">
      <w:pPr>
        <w:rPr>
          <w:sz w:val="18"/>
          <w:szCs w:val="20"/>
        </w:rPr>
      </w:pPr>
      <w:r>
        <w:rPr>
          <w:rStyle w:val="FootnoteReference"/>
        </w:rPr>
        <w:footnoteRef/>
      </w:r>
      <w:r>
        <w:t xml:space="preserve"> </w:t>
      </w:r>
      <w:r w:rsidRPr="00415765">
        <w:rPr>
          <w:sz w:val="18"/>
          <w:szCs w:val="20"/>
        </w:rPr>
        <w:t xml:space="preserve">Productivity Commission, </w:t>
      </w:r>
      <w:r w:rsidRPr="007314BC">
        <w:rPr>
          <w:i/>
          <w:sz w:val="18"/>
          <w:szCs w:val="20"/>
        </w:rPr>
        <w:t>Rural Research and Development Corporations</w:t>
      </w:r>
      <w:r w:rsidRPr="00415765">
        <w:rPr>
          <w:sz w:val="18"/>
          <w:szCs w:val="20"/>
        </w:rPr>
        <w:t xml:space="preserve">, February 2011. </w:t>
      </w:r>
    </w:p>
    <w:p w14:paraId="1E139164" w14:textId="77777777" w:rsidR="00BD6A9E" w:rsidRDefault="00BD6A9E" w:rsidP="00415765">
      <w:pPr>
        <w:pStyle w:val="FootnoteText"/>
        <w:ind w:left="0"/>
      </w:pPr>
    </w:p>
  </w:footnote>
  <w:footnote w:id="32">
    <w:p w14:paraId="6FBD5F6C" w14:textId="77777777" w:rsidR="00BD6A9E" w:rsidRPr="001E7D12" w:rsidRDefault="00BD6A9E">
      <w:pPr>
        <w:pStyle w:val="FootnoteText"/>
        <w:rPr>
          <w:b/>
        </w:rPr>
      </w:pPr>
      <w:r>
        <w:rPr>
          <w:rStyle w:val="FootnoteReference"/>
        </w:rPr>
        <w:footnoteRef/>
      </w:r>
      <w:r>
        <w:t xml:space="preserve"> As at October 2017 (contribution amounts and partners occasionally change through variations to grant agreements).</w:t>
      </w:r>
    </w:p>
  </w:footnote>
  <w:footnote w:id="33">
    <w:p w14:paraId="4F02B7FB" w14:textId="77777777" w:rsidR="00BD6A9E" w:rsidRDefault="00BD6A9E" w:rsidP="006032C8">
      <w:pPr>
        <w:pStyle w:val="FootnoteText"/>
      </w:pPr>
      <w:r>
        <w:rPr>
          <w:rStyle w:val="FootnoteReference"/>
        </w:rPr>
        <w:footnoteRef/>
      </w:r>
      <w:r>
        <w:t xml:space="preserve"> The Council of Rural RDCs’ Impact Assessment Guidelines which set out a standard methodology for assessing impacts of RDC R&amp;D projects, </w:t>
      </w:r>
      <w:r w:rsidRPr="000D060F">
        <w:rPr>
          <w:i/>
        </w:rPr>
        <w:t>Impact Assessment Guidelines</w:t>
      </w:r>
      <w:r>
        <w:t>, May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F9746" w14:textId="77777777" w:rsidR="00BD6A9E" w:rsidRPr="004027B1" w:rsidRDefault="00BD6A9E" w:rsidP="00746267">
    <w:r w:rsidRPr="00B54496">
      <w:rPr>
        <w:noProof/>
      </w:rPr>
      <w:drawing>
        <wp:anchor distT="0" distB="0" distL="114300" distR="114300" simplePos="0" relativeHeight="251657216" behindDoc="1" locked="0" layoutInCell="1" allowOverlap="1" wp14:anchorId="043A5075" wp14:editId="4C2D4E01">
          <wp:simplePos x="0" y="0"/>
          <wp:positionH relativeFrom="column">
            <wp:posOffset>4103370</wp:posOffset>
          </wp:positionH>
          <wp:positionV relativeFrom="paragraph">
            <wp:posOffset>73660</wp:posOffset>
          </wp:positionV>
          <wp:extent cx="1454785" cy="1621155"/>
          <wp:effectExtent l="0" t="0" r="0" b="0"/>
          <wp:wrapTight wrapText="bothSides">
            <wp:wrapPolygon edited="0">
              <wp:start x="0" y="0"/>
              <wp:lineTo x="0" y="21321"/>
              <wp:lineTo x="4243" y="21321"/>
              <wp:lineTo x="21213" y="21321"/>
              <wp:lineTo x="21213" y="0"/>
              <wp:lineTo x="0" y="0"/>
            </wp:wrapPolygon>
          </wp:wrapTight>
          <wp:docPr id="17" name="Picture 2" title="Grosvenor Management Consul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4785" cy="1621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5D85" w14:textId="7A48CA2D" w:rsidR="00BD6A9E" w:rsidRDefault="00BD6A9E" w:rsidP="00D13C42">
    <w:pPr>
      <w:ind w:left="0"/>
    </w:pPr>
    <w:r w:rsidRPr="00D13C42">
      <w:t>EVALUATION OF THE RURAL RESEARCH AND &amp; DEVELOPMENT (R&amp;D) FOR PROFIT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A6E8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1461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4A2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C7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9A09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AAE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5889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F222BD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D1B233D4"/>
    <w:lvl w:ilvl="0">
      <w:start w:val="1"/>
      <w:numFmt w:val="bullet"/>
      <w:pStyle w:val="ListBullet"/>
      <w:lvlText w:val=""/>
      <w:lvlJc w:val="left"/>
      <w:pPr>
        <w:ind w:left="1352" w:hanging="360"/>
      </w:pPr>
      <w:rPr>
        <w:rFonts w:ascii="Symbol" w:hAnsi="Symbol" w:hint="default"/>
        <w:color w:val="auto"/>
      </w:rPr>
    </w:lvl>
  </w:abstractNum>
  <w:abstractNum w:abstractNumId="9" w15:restartNumberingAfterBreak="0">
    <w:nsid w:val="018747AA"/>
    <w:multiLevelType w:val="hybridMultilevel"/>
    <w:tmpl w:val="F93C23A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07A50540"/>
    <w:multiLevelType w:val="hybridMultilevel"/>
    <w:tmpl w:val="154C54FA"/>
    <w:lvl w:ilvl="0" w:tplc="67B860BC">
      <w:start w:val="1"/>
      <w:numFmt w:val="decimal"/>
      <w:pStyle w:val="ListNumb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0ADF3D22"/>
    <w:multiLevelType w:val="hybridMultilevel"/>
    <w:tmpl w:val="E7BCD69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15:restartNumberingAfterBreak="0">
    <w:nsid w:val="0DC9090E"/>
    <w:multiLevelType w:val="hybridMultilevel"/>
    <w:tmpl w:val="16041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A329F7"/>
    <w:multiLevelType w:val="multilevel"/>
    <w:tmpl w:val="162CF47E"/>
    <w:numStyleLink w:val="headings"/>
  </w:abstractNum>
  <w:abstractNum w:abstractNumId="14" w15:restartNumberingAfterBreak="0">
    <w:nsid w:val="15AD4F47"/>
    <w:multiLevelType w:val="multilevel"/>
    <w:tmpl w:val="162CF47E"/>
    <w:numStyleLink w:val="headings"/>
  </w:abstractNum>
  <w:abstractNum w:abstractNumId="15" w15:restartNumberingAfterBreak="0">
    <w:nsid w:val="1A3932AC"/>
    <w:multiLevelType w:val="hybridMultilevel"/>
    <w:tmpl w:val="11CE618A"/>
    <w:lvl w:ilvl="0" w:tplc="51E07708">
      <w:start w:val="1"/>
      <w:numFmt w:val="bullet"/>
      <w:pStyle w:val="Tablebullet2"/>
      <w:lvlText w:val="-"/>
      <w:lvlJc w:val="left"/>
      <w:pPr>
        <w:ind w:left="765" w:hanging="360"/>
      </w:pPr>
      <w:rPr>
        <w:rFonts w:ascii="Verdana" w:hAnsi="Verdana" w:hint="default"/>
        <w:color w:val="auto"/>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6" w15:restartNumberingAfterBreak="0">
    <w:nsid w:val="201A37FA"/>
    <w:multiLevelType w:val="hybridMultilevel"/>
    <w:tmpl w:val="52EE09F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15:restartNumberingAfterBreak="0">
    <w:nsid w:val="210316BA"/>
    <w:multiLevelType w:val="hybridMultilevel"/>
    <w:tmpl w:val="469E95C8"/>
    <w:lvl w:ilvl="0" w:tplc="E86AAB3A">
      <w:start w:val="1"/>
      <w:numFmt w:val="bullet"/>
      <w:lvlText w:val="o"/>
      <w:lvlJc w:val="left"/>
      <w:pPr>
        <w:ind w:left="1636" w:hanging="360"/>
      </w:pPr>
      <w:rPr>
        <w:rFonts w:ascii="Courier New" w:hAnsi="Courier New"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8" w15:restartNumberingAfterBreak="0">
    <w:nsid w:val="24A17747"/>
    <w:multiLevelType w:val="multilevel"/>
    <w:tmpl w:val="61126F3A"/>
    <w:lvl w:ilvl="0">
      <w:start w:val="1"/>
      <w:numFmt w:val="bullet"/>
      <w:pStyle w:val="Table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8A37E7"/>
    <w:multiLevelType w:val="multilevel"/>
    <w:tmpl w:val="162CF47E"/>
    <w:numStyleLink w:val="headings"/>
  </w:abstractNum>
  <w:abstractNum w:abstractNumId="20" w15:restartNumberingAfterBreak="0">
    <w:nsid w:val="285A4C83"/>
    <w:multiLevelType w:val="multilevel"/>
    <w:tmpl w:val="162CF47E"/>
    <w:numStyleLink w:val="headings"/>
  </w:abstractNum>
  <w:abstractNum w:abstractNumId="21" w15:restartNumberingAfterBreak="0">
    <w:nsid w:val="305900E1"/>
    <w:multiLevelType w:val="hybridMultilevel"/>
    <w:tmpl w:val="E9EEDBD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31D61014"/>
    <w:multiLevelType w:val="hybridMultilevel"/>
    <w:tmpl w:val="E0A2231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3F142EA2"/>
    <w:multiLevelType w:val="hybridMultilevel"/>
    <w:tmpl w:val="81DC672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3F8A5473"/>
    <w:multiLevelType w:val="hybridMultilevel"/>
    <w:tmpl w:val="25FCB95E"/>
    <w:lvl w:ilvl="0" w:tplc="0C090001">
      <w:start w:val="1"/>
      <w:numFmt w:val="bullet"/>
      <w:lvlText w:val=""/>
      <w:lvlJc w:val="left"/>
      <w:pPr>
        <w:ind w:left="1712" w:hanging="360"/>
      </w:pPr>
      <w:rPr>
        <w:rFonts w:ascii="Symbol" w:hAnsi="Symbol" w:hint="default"/>
      </w:rPr>
    </w:lvl>
    <w:lvl w:ilvl="1" w:tplc="0C090003" w:tentative="1">
      <w:start w:val="1"/>
      <w:numFmt w:val="bullet"/>
      <w:lvlText w:val="o"/>
      <w:lvlJc w:val="left"/>
      <w:pPr>
        <w:ind w:left="2432" w:hanging="360"/>
      </w:pPr>
      <w:rPr>
        <w:rFonts w:ascii="Courier New" w:hAnsi="Courier New" w:cs="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cs="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cs="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25" w15:restartNumberingAfterBreak="0">
    <w:nsid w:val="421A1B90"/>
    <w:multiLevelType w:val="multilevel"/>
    <w:tmpl w:val="F6EECAD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950" w:hanging="720"/>
      </w:pPr>
      <w:rPr>
        <w:rFonts w:hint="default"/>
        <w:color w:val="595959"/>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4ACC3380"/>
    <w:multiLevelType w:val="hybridMultilevel"/>
    <w:tmpl w:val="DA6ABEC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15:restartNumberingAfterBreak="0">
    <w:nsid w:val="4C8005F0"/>
    <w:multiLevelType w:val="hybridMultilevel"/>
    <w:tmpl w:val="D26AE840"/>
    <w:lvl w:ilvl="0" w:tplc="E86AAB3A">
      <w:start w:val="1"/>
      <w:numFmt w:val="bullet"/>
      <w:lvlText w:val="o"/>
      <w:lvlJc w:val="left"/>
      <w:pPr>
        <w:ind w:left="1636" w:hanging="360"/>
      </w:pPr>
      <w:rPr>
        <w:rFonts w:ascii="Courier New" w:hAnsi="Courier New"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28" w15:restartNumberingAfterBreak="0">
    <w:nsid w:val="4E850257"/>
    <w:multiLevelType w:val="multilevel"/>
    <w:tmpl w:val="C772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703DCC"/>
    <w:multiLevelType w:val="hybridMultilevel"/>
    <w:tmpl w:val="B0705B36"/>
    <w:lvl w:ilvl="0" w:tplc="BA9469F6">
      <w:start w:val="1"/>
      <w:numFmt w:val="decimal"/>
      <w:pStyle w:val="ListParagraph"/>
      <w:lvlText w:val="%1."/>
      <w:lvlJc w:val="left"/>
      <w:pPr>
        <w:ind w:left="1429" w:hanging="360"/>
      </w:pPr>
      <w:rPr>
        <w:rFont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15:restartNumberingAfterBreak="0">
    <w:nsid w:val="59084B6C"/>
    <w:multiLevelType w:val="hybridMultilevel"/>
    <w:tmpl w:val="ED32577E"/>
    <w:lvl w:ilvl="0" w:tplc="F13ABD4C">
      <w:start w:val="1"/>
      <w:numFmt w:val="bullet"/>
      <w:lvlText w:val="-"/>
      <w:lvlJc w:val="left"/>
      <w:pPr>
        <w:ind w:left="643" w:hanging="360"/>
      </w:pPr>
      <w:rPr>
        <w:rFonts w:ascii="Verdana" w:hAnsi="Verdana" w:hint="default"/>
        <w:color w:val="115E95"/>
      </w:rPr>
    </w:lvl>
    <w:lvl w:ilvl="1" w:tplc="0C1609E8">
      <w:start w:val="1"/>
      <w:numFmt w:val="bullet"/>
      <w:pStyle w:val="ListBullet2"/>
      <w:lvlText w:val="-"/>
      <w:lvlJc w:val="left"/>
      <w:pPr>
        <w:ind w:left="1363" w:hanging="360"/>
      </w:pPr>
      <w:rPr>
        <w:rFonts w:ascii="Verdana" w:hAnsi="Verdana" w:hint="default"/>
        <w:color w:val="auto"/>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1" w15:restartNumberingAfterBreak="0">
    <w:nsid w:val="595554D9"/>
    <w:multiLevelType w:val="multilevel"/>
    <w:tmpl w:val="162CF47E"/>
    <w:styleLink w:val="headings"/>
    <w:lvl w:ilvl="0">
      <w:start w:val="1"/>
      <w:numFmt w:val="decimal"/>
      <w:pStyle w:val="Heading2"/>
      <w:lvlText w:val="%1"/>
      <w:lvlJc w:val="left"/>
      <w:pPr>
        <w:tabs>
          <w:tab w:val="num" w:pos="851"/>
        </w:tabs>
        <w:ind w:left="851" w:hanging="851"/>
      </w:pPr>
      <w:rPr>
        <w:rFonts w:hint="default"/>
      </w:rPr>
    </w:lvl>
    <w:lvl w:ilvl="1">
      <w:start w:val="1"/>
      <w:numFmt w:val="decimal"/>
      <w:pStyle w:val="Heading3"/>
      <w:lvlText w:val="%1.%2"/>
      <w:lvlJc w:val="left"/>
      <w:pPr>
        <w:tabs>
          <w:tab w:val="num" w:pos="851"/>
        </w:tabs>
        <w:ind w:left="851" w:hanging="851"/>
      </w:pPr>
      <w:rPr>
        <w:rFonts w:hint="default"/>
      </w:rPr>
    </w:lvl>
    <w:lvl w:ilvl="2">
      <w:start w:val="1"/>
      <w:numFmt w:val="decimal"/>
      <w:pStyle w:val="Heading4"/>
      <w:lvlText w:val="%1.%2.%3"/>
      <w:lvlJc w:val="left"/>
      <w:pPr>
        <w:tabs>
          <w:tab w:val="num" w:pos="851"/>
        </w:tabs>
        <w:ind w:left="851" w:hanging="851"/>
      </w:pPr>
      <w:rPr>
        <w:rFonts w:hint="default"/>
        <w:color w:val="595959"/>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60F14BAD"/>
    <w:multiLevelType w:val="multilevel"/>
    <w:tmpl w:val="BA94660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color w:val="595959"/>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61764796"/>
    <w:multiLevelType w:val="multilevel"/>
    <w:tmpl w:val="91FA86B0"/>
    <w:lvl w:ilvl="0">
      <w:start w:val="1"/>
      <w:numFmt w:val="none"/>
      <w:suff w:val="nothing"/>
      <w:lvlText w:val=""/>
      <w:lvlJc w:val="left"/>
      <w:pPr>
        <w:ind w:left="0" w:firstLine="0"/>
      </w:pPr>
      <w:rPr>
        <w:rFonts w:cs="Times New Roman"/>
      </w:rPr>
    </w:lvl>
    <w:lvl w:ilvl="1">
      <w:start w:val="1"/>
      <w:numFmt w:val="decimal"/>
      <w:lvlText w:val="%2."/>
      <w:lvlJc w:val="left"/>
      <w:pPr>
        <w:tabs>
          <w:tab w:val="num" w:pos="720"/>
        </w:tabs>
        <w:ind w:left="720" w:hanging="720"/>
      </w:pPr>
      <w:rPr>
        <w:rFonts w:cs="Times New Roman"/>
      </w:rPr>
    </w:lvl>
    <w:lvl w:ilvl="2">
      <w:start w:val="1"/>
      <w:numFmt w:val="decimal"/>
      <w:lvlText w:val="%2.%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2160"/>
        </w:tabs>
        <w:ind w:left="2160" w:hanging="720"/>
      </w:pPr>
      <w:rPr>
        <w:rFonts w:cs="Times New Roman"/>
      </w:rPr>
    </w:lvl>
    <w:lvl w:ilvl="5">
      <w:start w:val="1"/>
      <w:numFmt w:val="upperLetter"/>
      <w:lvlText w:val="(%6)"/>
      <w:lvlJc w:val="left"/>
      <w:pPr>
        <w:tabs>
          <w:tab w:val="num" w:pos="2880"/>
        </w:tabs>
        <w:ind w:left="2880" w:hanging="720"/>
      </w:pPr>
      <w:rPr>
        <w:rFonts w:cs="Times New Roman"/>
      </w:rPr>
    </w:lvl>
    <w:lvl w:ilvl="6">
      <w:start w:val="1"/>
      <w:numFmt w:val="upperRoman"/>
      <w:lvlText w:val="(%7)"/>
      <w:lvlJc w:val="left"/>
      <w:pPr>
        <w:tabs>
          <w:tab w:val="num" w:pos="3600"/>
        </w:tabs>
        <w:ind w:left="3600" w:hanging="72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4" w15:restartNumberingAfterBreak="0">
    <w:nsid w:val="64B2412E"/>
    <w:multiLevelType w:val="hybridMultilevel"/>
    <w:tmpl w:val="9C40E28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6E933D46"/>
    <w:multiLevelType w:val="multilevel"/>
    <w:tmpl w:val="162CF47E"/>
    <w:numStyleLink w:val="headings"/>
  </w:abstractNum>
  <w:abstractNum w:abstractNumId="36" w15:restartNumberingAfterBreak="0">
    <w:nsid w:val="7169167C"/>
    <w:multiLevelType w:val="hybridMultilevel"/>
    <w:tmpl w:val="CDFA96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1C17C2"/>
    <w:multiLevelType w:val="hybridMultilevel"/>
    <w:tmpl w:val="5234F75E"/>
    <w:lvl w:ilvl="0" w:tplc="E86AAB3A">
      <w:start w:val="1"/>
      <w:numFmt w:val="bullet"/>
      <w:lvlText w:val="o"/>
      <w:lvlJc w:val="left"/>
      <w:pPr>
        <w:ind w:left="1636" w:hanging="360"/>
      </w:pPr>
      <w:rPr>
        <w:rFonts w:ascii="Courier New" w:hAnsi="Courier New"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38" w15:restartNumberingAfterBreak="0">
    <w:nsid w:val="77D45FD5"/>
    <w:multiLevelType w:val="multilevel"/>
    <w:tmpl w:val="162CF47E"/>
    <w:numStyleLink w:val="headings"/>
  </w:abstractNum>
  <w:abstractNum w:abstractNumId="39" w15:restartNumberingAfterBreak="0">
    <w:nsid w:val="78331623"/>
    <w:multiLevelType w:val="hybridMultilevel"/>
    <w:tmpl w:val="E548BE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25"/>
  </w:num>
  <w:num w:numId="2">
    <w:abstractNumId w:val="8"/>
  </w:num>
  <w:num w:numId="3">
    <w:abstractNumId w:val="30"/>
  </w:num>
  <w:num w:numId="4">
    <w:abstractNumId w:val="29"/>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6"/>
  </w:num>
  <w:num w:numId="8">
    <w:abstractNumId w:val="24"/>
  </w:num>
  <w:num w:numId="9">
    <w:abstractNumId w:val="9"/>
  </w:num>
  <w:num w:numId="10">
    <w:abstractNumId w:val="23"/>
  </w:num>
  <w:num w:numId="11">
    <w:abstractNumId w:val="39"/>
  </w:num>
  <w:num w:numId="12">
    <w:abstractNumId w:val="16"/>
  </w:num>
  <w:num w:numId="13">
    <w:abstractNumId w:val="27"/>
  </w:num>
  <w:num w:numId="14">
    <w:abstractNumId w:val="37"/>
  </w:num>
  <w:num w:numId="15">
    <w:abstractNumId w:val="22"/>
  </w:num>
  <w:num w:numId="16">
    <w:abstractNumId w:val="36"/>
  </w:num>
  <w:num w:numId="17">
    <w:abstractNumId w:val="17"/>
  </w:num>
  <w:num w:numId="18">
    <w:abstractNumId w:val="12"/>
  </w:num>
  <w:num w:numId="19">
    <w:abstractNumId w:val="18"/>
  </w:num>
  <w:num w:numId="20">
    <w:abstractNumId w:val="28"/>
  </w:num>
  <w:num w:numId="21">
    <w:abstractNumId w:val="10"/>
  </w:num>
  <w:num w:numId="22">
    <w:abstractNumId w:val="34"/>
  </w:num>
  <w:num w:numId="23">
    <w:abstractNumId w:val="21"/>
  </w:num>
  <w:num w:numId="24">
    <w:abstractNumId w:val="11"/>
  </w:num>
  <w:num w:numId="25">
    <w:abstractNumId w:val="25"/>
  </w:num>
  <w:num w:numId="26">
    <w:abstractNumId w:val="25"/>
  </w:num>
  <w:num w:numId="27">
    <w:abstractNumId w:val="25"/>
  </w:num>
  <w:num w:numId="28">
    <w:abstractNumId w:val="31"/>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14"/>
  </w:num>
  <w:num w:numId="39">
    <w:abstractNumId w:val="13"/>
  </w:num>
  <w:num w:numId="40">
    <w:abstractNumId w:val="19"/>
  </w:num>
  <w:num w:numId="41">
    <w:abstractNumId w:val="35"/>
  </w:num>
  <w:num w:numId="42">
    <w:abstractNumId w:val="38"/>
  </w:num>
  <w:num w:numId="43">
    <w:abstractNumId w:val="32"/>
  </w:num>
  <w:num w:numId="44">
    <w:abstractNumId w:val="20"/>
  </w:num>
  <w:num w:numId="45">
    <w:abstractNumId w:val="20"/>
  </w:num>
  <w:num w:numId="46">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0"/>
  <w:revisionView w:inkAnnotations="0"/>
  <w:defaultTabStop w:val="720"/>
  <w:drawingGridHorizontalSpacing w:val="10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3DA"/>
    <w:rsid w:val="00000489"/>
    <w:rsid w:val="00000FF6"/>
    <w:rsid w:val="000017C5"/>
    <w:rsid w:val="0000186E"/>
    <w:rsid w:val="00001E25"/>
    <w:rsid w:val="00002533"/>
    <w:rsid w:val="00003410"/>
    <w:rsid w:val="00003555"/>
    <w:rsid w:val="00003698"/>
    <w:rsid w:val="00003F60"/>
    <w:rsid w:val="0000438E"/>
    <w:rsid w:val="00005C1C"/>
    <w:rsid w:val="00006519"/>
    <w:rsid w:val="0000653B"/>
    <w:rsid w:val="000066C6"/>
    <w:rsid w:val="0000795F"/>
    <w:rsid w:val="00007BBE"/>
    <w:rsid w:val="00010066"/>
    <w:rsid w:val="0001063F"/>
    <w:rsid w:val="000116E8"/>
    <w:rsid w:val="00011D48"/>
    <w:rsid w:val="00012971"/>
    <w:rsid w:val="00012E05"/>
    <w:rsid w:val="00013B9C"/>
    <w:rsid w:val="00013FC4"/>
    <w:rsid w:val="00014166"/>
    <w:rsid w:val="000147A5"/>
    <w:rsid w:val="00014809"/>
    <w:rsid w:val="00014979"/>
    <w:rsid w:val="000150B9"/>
    <w:rsid w:val="00015196"/>
    <w:rsid w:val="00015372"/>
    <w:rsid w:val="000154D1"/>
    <w:rsid w:val="00015C28"/>
    <w:rsid w:val="000162C5"/>
    <w:rsid w:val="000165AA"/>
    <w:rsid w:val="0001764D"/>
    <w:rsid w:val="0002031B"/>
    <w:rsid w:val="000203C7"/>
    <w:rsid w:val="00021907"/>
    <w:rsid w:val="00021F77"/>
    <w:rsid w:val="00022F9E"/>
    <w:rsid w:val="0002315D"/>
    <w:rsid w:val="0002384A"/>
    <w:rsid w:val="00024203"/>
    <w:rsid w:val="000246C1"/>
    <w:rsid w:val="00024AED"/>
    <w:rsid w:val="00024BB6"/>
    <w:rsid w:val="00025237"/>
    <w:rsid w:val="000265D6"/>
    <w:rsid w:val="000278B2"/>
    <w:rsid w:val="00027911"/>
    <w:rsid w:val="000279AC"/>
    <w:rsid w:val="00027AD7"/>
    <w:rsid w:val="00027F58"/>
    <w:rsid w:val="000300C8"/>
    <w:rsid w:val="0003063F"/>
    <w:rsid w:val="00030669"/>
    <w:rsid w:val="000308B8"/>
    <w:rsid w:val="00030D23"/>
    <w:rsid w:val="000316BC"/>
    <w:rsid w:val="00031749"/>
    <w:rsid w:val="00031CA1"/>
    <w:rsid w:val="00032C63"/>
    <w:rsid w:val="00032C8C"/>
    <w:rsid w:val="0003300C"/>
    <w:rsid w:val="0003302C"/>
    <w:rsid w:val="00033887"/>
    <w:rsid w:val="0003463C"/>
    <w:rsid w:val="00034F2D"/>
    <w:rsid w:val="00035042"/>
    <w:rsid w:val="00035541"/>
    <w:rsid w:val="0003555B"/>
    <w:rsid w:val="00035D79"/>
    <w:rsid w:val="0003605E"/>
    <w:rsid w:val="00036383"/>
    <w:rsid w:val="000367D5"/>
    <w:rsid w:val="0003738C"/>
    <w:rsid w:val="00040492"/>
    <w:rsid w:val="00040E8F"/>
    <w:rsid w:val="00041D13"/>
    <w:rsid w:val="00041EB7"/>
    <w:rsid w:val="00042112"/>
    <w:rsid w:val="0004327D"/>
    <w:rsid w:val="00043CFF"/>
    <w:rsid w:val="0004412A"/>
    <w:rsid w:val="000442B9"/>
    <w:rsid w:val="00044ED7"/>
    <w:rsid w:val="000454E8"/>
    <w:rsid w:val="00046D07"/>
    <w:rsid w:val="000471BE"/>
    <w:rsid w:val="00047511"/>
    <w:rsid w:val="00050041"/>
    <w:rsid w:val="00050419"/>
    <w:rsid w:val="00050B38"/>
    <w:rsid w:val="000510AB"/>
    <w:rsid w:val="0005113B"/>
    <w:rsid w:val="00051B1E"/>
    <w:rsid w:val="00051B2D"/>
    <w:rsid w:val="00051E07"/>
    <w:rsid w:val="000523BD"/>
    <w:rsid w:val="000524DA"/>
    <w:rsid w:val="00052548"/>
    <w:rsid w:val="00052B95"/>
    <w:rsid w:val="0005333A"/>
    <w:rsid w:val="0005370A"/>
    <w:rsid w:val="00053FCC"/>
    <w:rsid w:val="00054282"/>
    <w:rsid w:val="000549FB"/>
    <w:rsid w:val="000550E9"/>
    <w:rsid w:val="00055492"/>
    <w:rsid w:val="00057226"/>
    <w:rsid w:val="00057B24"/>
    <w:rsid w:val="00060265"/>
    <w:rsid w:val="000607AD"/>
    <w:rsid w:val="000607FE"/>
    <w:rsid w:val="00061144"/>
    <w:rsid w:val="0006138F"/>
    <w:rsid w:val="000619AE"/>
    <w:rsid w:val="0006217C"/>
    <w:rsid w:val="000621A9"/>
    <w:rsid w:val="00063296"/>
    <w:rsid w:val="00063506"/>
    <w:rsid w:val="00063BC4"/>
    <w:rsid w:val="00064241"/>
    <w:rsid w:val="000642E9"/>
    <w:rsid w:val="0006458D"/>
    <w:rsid w:val="00064B6A"/>
    <w:rsid w:val="000653A4"/>
    <w:rsid w:val="00065858"/>
    <w:rsid w:val="00066097"/>
    <w:rsid w:val="00066106"/>
    <w:rsid w:val="00066128"/>
    <w:rsid w:val="00066171"/>
    <w:rsid w:val="00066747"/>
    <w:rsid w:val="00066DDB"/>
    <w:rsid w:val="000671E0"/>
    <w:rsid w:val="000672A1"/>
    <w:rsid w:val="00067978"/>
    <w:rsid w:val="00070BB7"/>
    <w:rsid w:val="00071080"/>
    <w:rsid w:val="00071253"/>
    <w:rsid w:val="000714AC"/>
    <w:rsid w:val="00071615"/>
    <w:rsid w:val="00071F7E"/>
    <w:rsid w:val="00072DE1"/>
    <w:rsid w:val="00072F2D"/>
    <w:rsid w:val="000735C2"/>
    <w:rsid w:val="0007376D"/>
    <w:rsid w:val="00073894"/>
    <w:rsid w:val="00073F42"/>
    <w:rsid w:val="00074EF1"/>
    <w:rsid w:val="0007509E"/>
    <w:rsid w:val="000758FE"/>
    <w:rsid w:val="00075932"/>
    <w:rsid w:val="0007663E"/>
    <w:rsid w:val="000766D3"/>
    <w:rsid w:val="000767C1"/>
    <w:rsid w:val="00076871"/>
    <w:rsid w:val="00077036"/>
    <w:rsid w:val="00077672"/>
    <w:rsid w:val="000779B9"/>
    <w:rsid w:val="00077B48"/>
    <w:rsid w:val="00077C1E"/>
    <w:rsid w:val="00077E32"/>
    <w:rsid w:val="000803D7"/>
    <w:rsid w:val="00080B4A"/>
    <w:rsid w:val="000814CE"/>
    <w:rsid w:val="000815E6"/>
    <w:rsid w:val="00081A7E"/>
    <w:rsid w:val="00081BFB"/>
    <w:rsid w:val="0008230D"/>
    <w:rsid w:val="00082648"/>
    <w:rsid w:val="000832D1"/>
    <w:rsid w:val="0008360B"/>
    <w:rsid w:val="000837B1"/>
    <w:rsid w:val="00083A67"/>
    <w:rsid w:val="00083AAE"/>
    <w:rsid w:val="000846BE"/>
    <w:rsid w:val="0008493E"/>
    <w:rsid w:val="00085389"/>
    <w:rsid w:val="000864C8"/>
    <w:rsid w:val="0008666A"/>
    <w:rsid w:val="000867F7"/>
    <w:rsid w:val="00086AEF"/>
    <w:rsid w:val="00086C46"/>
    <w:rsid w:val="00086DAA"/>
    <w:rsid w:val="00086FEE"/>
    <w:rsid w:val="000873DA"/>
    <w:rsid w:val="0008742D"/>
    <w:rsid w:val="00087931"/>
    <w:rsid w:val="00087C8E"/>
    <w:rsid w:val="00087D35"/>
    <w:rsid w:val="00090422"/>
    <w:rsid w:val="00090A51"/>
    <w:rsid w:val="00090BF2"/>
    <w:rsid w:val="000911AA"/>
    <w:rsid w:val="00091833"/>
    <w:rsid w:val="00091E40"/>
    <w:rsid w:val="000922F9"/>
    <w:rsid w:val="00092A5F"/>
    <w:rsid w:val="00092B5D"/>
    <w:rsid w:val="00092C8A"/>
    <w:rsid w:val="00092CFC"/>
    <w:rsid w:val="00093282"/>
    <w:rsid w:val="00093456"/>
    <w:rsid w:val="000939B1"/>
    <w:rsid w:val="00093BDB"/>
    <w:rsid w:val="00093C9B"/>
    <w:rsid w:val="000948BE"/>
    <w:rsid w:val="00094AB7"/>
    <w:rsid w:val="00094D67"/>
    <w:rsid w:val="00096211"/>
    <w:rsid w:val="00096366"/>
    <w:rsid w:val="000968B0"/>
    <w:rsid w:val="00096F9D"/>
    <w:rsid w:val="00097057"/>
    <w:rsid w:val="00097224"/>
    <w:rsid w:val="0009724B"/>
    <w:rsid w:val="000978E1"/>
    <w:rsid w:val="00097C47"/>
    <w:rsid w:val="000A1778"/>
    <w:rsid w:val="000A1FF7"/>
    <w:rsid w:val="000A29DE"/>
    <w:rsid w:val="000A2D4C"/>
    <w:rsid w:val="000A31A5"/>
    <w:rsid w:val="000A3423"/>
    <w:rsid w:val="000A37E6"/>
    <w:rsid w:val="000A38B9"/>
    <w:rsid w:val="000A3BAC"/>
    <w:rsid w:val="000A4552"/>
    <w:rsid w:val="000A4923"/>
    <w:rsid w:val="000A5EF8"/>
    <w:rsid w:val="000A6C8C"/>
    <w:rsid w:val="000A6F4E"/>
    <w:rsid w:val="000A783B"/>
    <w:rsid w:val="000B0B8B"/>
    <w:rsid w:val="000B0EE8"/>
    <w:rsid w:val="000B15E4"/>
    <w:rsid w:val="000B2794"/>
    <w:rsid w:val="000B27F0"/>
    <w:rsid w:val="000B28C2"/>
    <w:rsid w:val="000B2959"/>
    <w:rsid w:val="000B2AEC"/>
    <w:rsid w:val="000B2B77"/>
    <w:rsid w:val="000B2FC7"/>
    <w:rsid w:val="000B3008"/>
    <w:rsid w:val="000B31F4"/>
    <w:rsid w:val="000B3F8F"/>
    <w:rsid w:val="000B43D5"/>
    <w:rsid w:val="000B47B6"/>
    <w:rsid w:val="000B481B"/>
    <w:rsid w:val="000B53A2"/>
    <w:rsid w:val="000B5E3F"/>
    <w:rsid w:val="000B5EB6"/>
    <w:rsid w:val="000B6F5C"/>
    <w:rsid w:val="000B729F"/>
    <w:rsid w:val="000B73F4"/>
    <w:rsid w:val="000B78F8"/>
    <w:rsid w:val="000C0013"/>
    <w:rsid w:val="000C050B"/>
    <w:rsid w:val="000C0822"/>
    <w:rsid w:val="000C0FA7"/>
    <w:rsid w:val="000C1224"/>
    <w:rsid w:val="000C128C"/>
    <w:rsid w:val="000C1443"/>
    <w:rsid w:val="000C14CB"/>
    <w:rsid w:val="000C208B"/>
    <w:rsid w:val="000C2A49"/>
    <w:rsid w:val="000C2D33"/>
    <w:rsid w:val="000C2D77"/>
    <w:rsid w:val="000C39C6"/>
    <w:rsid w:val="000C3D8E"/>
    <w:rsid w:val="000C4160"/>
    <w:rsid w:val="000C4CAF"/>
    <w:rsid w:val="000C4DEC"/>
    <w:rsid w:val="000C4E96"/>
    <w:rsid w:val="000C4FFA"/>
    <w:rsid w:val="000C506D"/>
    <w:rsid w:val="000C5E64"/>
    <w:rsid w:val="000C5E6A"/>
    <w:rsid w:val="000C6716"/>
    <w:rsid w:val="000C67CA"/>
    <w:rsid w:val="000C71A1"/>
    <w:rsid w:val="000C7745"/>
    <w:rsid w:val="000D060F"/>
    <w:rsid w:val="000D06DD"/>
    <w:rsid w:val="000D0B8C"/>
    <w:rsid w:val="000D0C1A"/>
    <w:rsid w:val="000D0CDE"/>
    <w:rsid w:val="000D2846"/>
    <w:rsid w:val="000D2E6D"/>
    <w:rsid w:val="000D32AA"/>
    <w:rsid w:val="000D36D7"/>
    <w:rsid w:val="000D41AD"/>
    <w:rsid w:val="000D562C"/>
    <w:rsid w:val="000D5747"/>
    <w:rsid w:val="000D5764"/>
    <w:rsid w:val="000D59D1"/>
    <w:rsid w:val="000D5E5A"/>
    <w:rsid w:val="000D6A4E"/>
    <w:rsid w:val="000D6A72"/>
    <w:rsid w:val="000D71BC"/>
    <w:rsid w:val="000D7692"/>
    <w:rsid w:val="000D7848"/>
    <w:rsid w:val="000D79D6"/>
    <w:rsid w:val="000E09AE"/>
    <w:rsid w:val="000E1461"/>
    <w:rsid w:val="000E2084"/>
    <w:rsid w:val="000E2B01"/>
    <w:rsid w:val="000E2D5E"/>
    <w:rsid w:val="000E37AE"/>
    <w:rsid w:val="000E4515"/>
    <w:rsid w:val="000E46B7"/>
    <w:rsid w:val="000E4B8C"/>
    <w:rsid w:val="000E545C"/>
    <w:rsid w:val="000E5CE4"/>
    <w:rsid w:val="000E61AE"/>
    <w:rsid w:val="000E6652"/>
    <w:rsid w:val="000E6950"/>
    <w:rsid w:val="000E6DE2"/>
    <w:rsid w:val="000E6EAA"/>
    <w:rsid w:val="000E71D0"/>
    <w:rsid w:val="000E73F9"/>
    <w:rsid w:val="000E7F89"/>
    <w:rsid w:val="000F0253"/>
    <w:rsid w:val="000F0372"/>
    <w:rsid w:val="000F0686"/>
    <w:rsid w:val="000F0713"/>
    <w:rsid w:val="000F098D"/>
    <w:rsid w:val="000F0BC8"/>
    <w:rsid w:val="000F1023"/>
    <w:rsid w:val="000F137A"/>
    <w:rsid w:val="000F1D3D"/>
    <w:rsid w:val="000F2170"/>
    <w:rsid w:val="000F22AF"/>
    <w:rsid w:val="000F24CD"/>
    <w:rsid w:val="000F29C2"/>
    <w:rsid w:val="000F336D"/>
    <w:rsid w:val="000F36B9"/>
    <w:rsid w:val="000F417A"/>
    <w:rsid w:val="000F459B"/>
    <w:rsid w:val="000F4B9E"/>
    <w:rsid w:val="000F559F"/>
    <w:rsid w:val="000F6A1C"/>
    <w:rsid w:val="000F6EA3"/>
    <w:rsid w:val="000F710C"/>
    <w:rsid w:val="000F71EE"/>
    <w:rsid w:val="000F7369"/>
    <w:rsid w:val="000F73F9"/>
    <w:rsid w:val="0010006E"/>
    <w:rsid w:val="00100290"/>
    <w:rsid w:val="00100E50"/>
    <w:rsid w:val="00100F48"/>
    <w:rsid w:val="00101258"/>
    <w:rsid w:val="0010133D"/>
    <w:rsid w:val="0010168D"/>
    <w:rsid w:val="00101A39"/>
    <w:rsid w:val="00101D81"/>
    <w:rsid w:val="001021E9"/>
    <w:rsid w:val="001023D8"/>
    <w:rsid w:val="00102FCF"/>
    <w:rsid w:val="00103F92"/>
    <w:rsid w:val="00104162"/>
    <w:rsid w:val="00104970"/>
    <w:rsid w:val="00105516"/>
    <w:rsid w:val="00105B63"/>
    <w:rsid w:val="00105BAD"/>
    <w:rsid w:val="0010635F"/>
    <w:rsid w:val="00106AFF"/>
    <w:rsid w:val="00107436"/>
    <w:rsid w:val="00110410"/>
    <w:rsid w:val="00110491"/>
    <w:rsid w:val="001106C0"/>
    <w:rsid w:val="001116D8"/>
    <w:rsid w:val="00112069"/>
    <w:rsid w:val="00112141"/>
    <w:rsid w:val="00112211"/>
    <w:rsid w:val="001137F7"/>
    <w:rsid w:val="00113839"/>
    <w:rsid w:val="00113FB9"/>
    <w:rsid w:val="00114298"/>
    <w:rsid w:val="001157F8"/>
    <w:rsid w:val="001167A3"/>
    <w:rsid w:val="00116AEA"/>
    <w:rsid w:val="00117800"/>
    <w:rsid w:val="00120927"/>
    <w:rsid w:val="00121097"/>
    <w:rsid w:val="001213EB"/>
    <w:rsid w:val="00121576"/>
    <w:rsid w:val="00121A7B"/>
    <w:rsid w:val="00121CEC"/>
    <w:rsid w:val="00122A3D"/>
    <w:rsid w:val="00123286"/>
    <w:rsid w:val="001240F9"/>
    <w:rsid w:val="0012416D"/>
    <w:rsid w:val="00124982"/>
    <w:rsid w:val="00124F19"/>
    <w:rsid w:val="00125AD5"/>
    <w:rsid w:val="00125D0C"/>
    <w:rsid w:val="00126593"/>
    <w:rsid w:val="00126BDC"/>
    <w:rsid w:val="00126C00"/>
    <w:rsid w:val="00127249"/>
    <w:rsid w:val="00127707"/>
    <w:rsid w:val="00127A85"/>
    <w:rsid w:val="0013039F"/>
    <w:rsid w:val="0013076B"/>
    <w:rsid w:val="00132A6D"/>
    <w:rsid w:val="00132F9E"/>
    <w:rsid w:val="00133250"/>
    <w:rsid w:val="001335C9"/>
    <w:rsid w:val="00133D37"/>
    <w:rsid w:val="00133F8A"/>
    <w:rsid w:val="00134288"/>
    <w:rsid w:val="00134FCC"/>
    <w:rsid w:val="0013509B"/>
    <w:rsid w:val="00135F22"/>
    <w:rsid w:val="00136141"/>
    <w:rsid w:val="0013644A"/>
    <w:rsid w:val="00136971"/>
    <w:rsid w:val="00136BB6"/>
    <w:rsid w:val="00136D70"/>
    <w:rsid w:val="00137550"/>
    <w:rsid w:val="00137687"/>
    <w:rsid w:val="00141A5D"/>
    <w:rsid w:val="00141ED0"/>
    <w:rsid w:val="00141FB5"/>
    <w:rsid w:val="00142786"/>
    <w:rsid w:val="00142DBC"/>
    <w:rsid w:val="00142E04"/>
    <w:rsid w:val="001437A9"/>
    <w:rsid w:val="00144FF1"/>
    <w:rsid w:val="00145AA0"/>
    <w:rsid w:val="00145AB7"/>
    <w:rsid w:val="001466F5"/>
    <w:rsid w:val="0014698B"/>
    <w:rsid w:val="00146D66"/>
    <w:rsid w:val="00146E48"/>
    <w:rsid w:val="0014716A"/>
    <w:rsid w:val="00147893"/>
    <w:rsid w:val="001501B9"/>
    <w:rsid w:val="00151C09"/>
    <w:rsid w:val="00151C1B"/>
    <w:rsid w:val="00152350"/>
    <w:rsid w:val="001531FA"/>
    <w:rsid w:val="00153DB6"/>
    <w:rsid w:val="0015426A"/>
    <w:rsid w:val="00154FFD"/>
    <w:rsid w:val="00155A88"/>
    <w:rsid w:val="00155F43"/>
    <w:rsid w:val="001568F5"/>
    <w:rsid w:val="00156A61"/>
    <w:rsid w:val="00156BB7"/>
    <w:rsid w:val="0015715B"/>
    <w:rsid w:val="0015730E"/>
    <w:rsid w:val="001576F5"/>
    <w:rsid w:val="00157EEE"/>
    <w:rsid w:val="001601B9"/>
    <w:rsid w:val="001601E2"/>
    <w:rsid w:val="0016157B"/>
    <w:rsid w:val="00161A80"/>
    <w:rsid w:val="001629FD"/>
    <w:rsid w:val="001642A1"/>
    <w:rsid w:val="0016442F"/>
    <w:rsid w:val="00164DB0"/>
    <w:rsid w:val="00164EB0"/>
    <w:rsid w:val="001650D8"/>
    <w:rsid w:val="001658C3"/>
    <w:rsid w:val="00165991"/>
    <w:rsid w:val="00166154"/>
    <w:rsid w:val="00166759"/>
    <w:rsid w:val="00167451"/>
    <w:rsid w:val="0016764C"/>
    <w:rsid w:val="0016798E"/>
    <w:rsid w:val="0017084F"/>
    <w:rsid w:val="00170E78"/>
    <w:rsid w:val="001717D9"/>
    <w:rsid w:val="001717F8"/>
    <w:rsid w:val="00171CD5"/>
    <w:rsid w:val="00173632"/>
    <w:rsid w:val="001738E2"/>
    <w:rsid w:val="00173F35"/>
    <w:rsid w:val="00174055"/>
    <w:rsid w:val="001742BE"/>
    <w:rsid w:val="001743C6"/>
    <w:rsid w:val="00174536"/>
    <w:rsid w:val="00174802"/>
    <w:rsid w:val="00174EF1"/>
    <w:rsid w:val="001754B2"/>
    <w:rsid w:val="00175B8F"/>
    <w:rsid w:val="00175E39"/>
    <w:rsid w:val="00176293"/>
    <w:rsid w:val="00176821"/>
    <w:rsid w:val="0017690E"/>
    <w:rsid w:val="00176A66"/>
    <w:rsid w:val="001770CD"/>
    <w:rsid w:val="00177AD9"/>
    <w:rsid w:val="00177FB4"/>
    <w:rsid w:val="00180129"/>
    <w:rsid w:val="00180455"/>
    <w:rsid w:val="001805E3"/>
    <w:rsid w:val="001807BC"/>
    <w:rsid w:val="00181150"/>
    <w:rsid w:val="0018134A"/>
    <w:rsid w:val="0018159B"/>
    <w:rsid w:val="001820A7"/>
    <w:rsid w:val="0018241F"/>
    <w:rsid w:val="001826DD"/>
    <w:rsid w:val="00182AB9"/>
    <w:rsid w:val="00183992"/>
    <w:rsid w:val="00183C83"/>
    <w:rsid w:val="0018445C"/>
    <w:rsid w:val="001847B4"/>
    <w:rsid w:val="00184E26"/>
    <w:rsid w:val="00185631"/>
    <w:rsid w:val="00185D0F"/>
    <w:rsid w:val="00185E2B"/>
    <w:rsid w:val="00186129"/>
    <w:rsid w:val="001869D6"/>
    <w:rsid w:val="00186FFC"/>
    <w:rsid w:val="001875C4"/>
    <w:rsid w:val="001900A4"/>
    <w:rsid w:val="00190652"/>
    <w:rsid w:val="00190DA1"/>
    <w:rsid w:val="0019117B"/>
    <w:rsid w:val="00191415"/>
    <w:rsid w:val="00191C71"/>
    <w:rsid w:val="00191EB9"/>
    <w:rsid w:val="001921E6"/>
    <w:rsid w:val="00192245"/>
    <w:rsid w:val="001936FF"/>
    <w:rsid w:val="00193A1D"/>
    <w:rsid w:val="00193D31"/>
    <w:rsid w:val="00193E35"/>
    <w:rsid w:val="00193F7F"/>
    <w:rsid w:val="00194C4F"/>
    <w:rsid w:val="0019535F"/>
    <w:rsid w:val="00195563"/>
    <w:rsid w:val="00195D66"/>
    <w:rsid w:val="00196397"/>
    <w:rsid w:val="00196EF2"/>
    <w:rsid w:val="00197C26"/>
    <w:rsid w:val="00197DFB"/>
    <w:rsid w:val="00197F8C"/>
    <w:rsid w:val="001A0997"/>
    <w:rsid w:val="001A1C21"/>
    <w:rsid w:val="001A1DD2"/>
    <w:rsid w:val="001A2163"/>
    <w:rsid w:val="001A2795"/>
    <w:rsid w:val="001A3010"/>
    <w:rsid w:val="001A3080"/>
    <w:rsid w:val="001A37A0"/>
    <w:rsid w:val="001A47BA"/>
    <w:rsid w:val="001A4FE2"/>
    <w:rsid w:val="001A5F59"/>
    <w:rsid w:val="001A5F61"/>
    <w:rsid w:val="001A62E7"/>
    <w:rsid w:val="001A66B7"/>
    <w:rsid w:val="001A688B"/>
    <w:rsid w:val="001A6D8A"/>
    <w:rsid w:val="001A6E62"/>
    <w:rsid w:val="001A7149"/>
    <w:rsid w:val="001A73B1"/>
    <w:rsid w:val="001A7823"/>
    <w:rsid w:val="001A7EBE"/>
    <w:rsid w:val="001B010A"/>
    <w:rsid w:val="001B0980"/>
    <w:rsid w:val="001B2760"/>
    <w:rsid w:val="001B2FC6"/>
    <w:rsid w:val="001B354A"/>
    <w:rsid w:val="001B3ADF"/>
    <w:rsid w:val="001B3C80"/>
    <w:rsid w:val="001B4423"/>
    <w:rsid w:val="001B4786"/>
    <w:rsid w:val="001B6783"/>
    <w:rsid w:val="001B6A5B"/>
    <w:rsid w:val="001B6DCB"/>
    <w:rsid w:val="001B75B5"/>
    <w:rsid w:val="001B7636"/>
    <w:rsid w:val="001C0190"/>
    <w:rsid w:val="001C0479"/>
    <w:rsid w:val="001C067A"/>
    <w:rsid w:val="001C085C"/>
    <w:rsid w:val="001C08FD"/>
    <w:rsid w:val="001C0CD2"/>
    <w:rsid w:val="001C100B"/>
    <w:rsid w:val="001C1FD8"/>
    <w:rsid w:val="001C2121"/>
    <w:rsid w:val="001C2231"/>
    <w:rsid w:val="001C243C"/>
    <w:rsid w:val="001C295E"/>
    <w:rsid w:val="001C2BF2"/>
    <w:rsid w:val="001C3661"/>
    <w:rsid w:val="001C37AA"/>
    <w:rsid w:val="001C3B24"/>
    <w:rsid w:val="001C3C28"/>
    <w:rsid w:val="001C3DE4"/>
    <w:rsid w:val="001C4025"/>
    <w:rsid w:val="001C48D1"/>
    <w:rsid w:val="001C4913"/>
    <w:rsid w:val="001C5C9B"/>
    <w:rsid w:val="001C5D79"/>
    <w:rsid w:val="001C61E1"/>
    <w:rsid w:val="001C6225"/>
    <w:rsid w:val="001C623E"/>
    <w:rsid w:val="001C68A8"/>
    <w:rsid w:val="001C756C"/>
    <w:rsid w:val="001C7831"/>
    <w:rsid w:val="001D0C4F"/>
    <w:rsid w:val="001D0D83"/>
    <w:rsid w:val="001D10C8"/>
    <w:rsid w:val="001D165A"/>
    <w:rsid w:val="001D1AE5"/>
    <w:rsid w:val="001D256F"/>
    <w:rsid w:val="001D2C4C"/>
    <w:rsid w:val="001D2E9C"/>
    <w:rsid w:val="001D32EA"/>
    <w:rsid w:val="001D3771"/>
    <w:rsid w:val="001D3DA9"/>
    <w:rsid w:val="001D4F3E"/>
    <w:rsid w:val="001D5CD4"/>
    <w:rsid w:val="001D6131"/>
    <w:rsid w:val="001D67AA"/>
    <w:rsid w:val="001D67E2"/>
    <w:rsid w:val="001D6FC8"/>
    <w:rsid w:val="001D7617"/>
    <w:rsid w:val="001D797E"/>
    <w:rsid w:val="001D7AE8"/>
    <w:rsid w:val="001D7AEC"/>
    <w:rsid w:val="001D7CDB"/>
    <w:rsid w:val="001D7D5B"/>
    <w:rsid w:val="001E0EC9"/>
    <w:rsid w:val="001E15A4"/>
    <w:rsid w:val="001E18D2"/>
    <w:rsid w:val="001E1B10"/>
    <w:rsid w:val="001E2CEB"/>
    <w:rsid w:val="001E39B1"/>
    <w:rsid w:val="001E3D13"/>
    <w:rsid w:val="001E4CE0"/>
    <w:rsid w:val="001E64EB"/>
    <w:rsid w:val="001E6549"/>
    <w:rsid w:val="001E6674"/>
    <w:rsid w:val="001E689F"/>
    <w:rsid w:val="001E7725"/>
    <w:rsid w:val="001E7784"/>
    <w:rsid w:val="001E7D12"/>
    <w:rsid w:val="001F02D7"/>
    <w:rsid w:val="001F0685"/>
    <w:rsid w:val="001F146C"/>
    <w:rsid w:val="001F1810"/>
    <w:rsid w:val="001F188D"/>
    <w:rsid w:val="001F3343"/>
    <w:rsid w:val="001F3423"/>
    <w:rsid w:val="001F36AE"/>
    <w:rsid w:val="001F3E5B"/>
    <w:rsid w:val="001F551A"/>
    <w:rsid w:val="001F6685"/>
    <w:rsid w:val="001F6F0D"/>
    <w:rsid w:val="001F70AB"/>
    <w:rsid w:val="001F7617"/>
    <w:rsid w:val="001F7BC1"/>
    <w:rsid w:val="0020019C"/>
    <w:rsid w:val="002002F5"/>
    <w:rsid w:val="00200575"/>
    <w:rsid w:val="002008CE"/>
    <w:rsid w:val="00200AE2"/>
    <w:rsid w:val="00200C91"/>
    <w:rsid w:val="00200D36"/>
    <w:rsid w:val="00200E34"/>
    <w:rsid w:val="00200E49"/>
    <w:rsid w:val="00201CD1"/>
    <w:rsid w:val="00201E91"/>
    <w:rsid w:val="00203221"/>
    <w:rsid w:val="00203898"/>
    <w:rsid w:val="00203CA6"/>
    <w:rsid w:val="00203CE5"/>
    <w:rsid w:val="00204145"/>
    <w:rsid w:val="0020475F"/>
    <w:rsid w:val="0020511B"/>
    <w:rsid w:val="002052C6"/>
    <w:rsid w:val="00205540"/>
    <w:rsid w:val="00206AD5"/>
    <w:rsid w:val="0021070C"/>
    <w:rsid w:val="00210F36"/>
    <w:rsid w:val="00211B2D"/>
    <w:rsid w:val="00212EA2"/>
    <w:rsid w:val="00213C6F"/>
    <w:rsid w:val="0021413E"/>
    <w:rsid w:val="00214D4C"/>
    <w:rsid w:val="002154D9"/>
    <w:rsid w:val="00215609"/>
    <w:rsid w:val="00215AA8"/>
    <w:rsid w:val="00215EC8"/>
    <w:rsid w:val="00215F5A"/>
    <w:rsid w:val="00216E85"/>
    <w:rsid w:val="002175CF"/>
    <w:rsid w:val="00217744"/>
    <w:rsid w:val="00217EAE"/>
    <w:rsid w:val="00217FB6"/>
    <w:rsid w:val="00220679"/>
    <w:rsid w:val="002208EA"/>
    <w:rsid w:val="00220AE1"/>
    <w:rsid w:val="0022150B"/>
    <w:rsid w:val="00221BC6"/>
    <w:rsid w:val="002225E0"/>
    <w:rsid w:val="00222BA8"/>
    <w:rsid w:val="00222FFD"/>
    <w:rsid w:val="002234C6"/>
    <w:rsid w:val="0022352F"/>
    <w:rsid w:val="002237E6"/>
    <w:rsid w:val="00224513"/>
    <w:rsid w:val="00224C5B"/>
    <w:rsid w:val="00224CFF"/>
    <w:rsid w:val="00224FB1"/>
    <w:rsid w:val="002257D6"/>
    <w:rsid w:val="0022591F"/>
    <w:rsid w:val="00225A56"/>
    <w:rsid w:val="00225E4A"/>
    <w:rsid w:val="00225F3B"/>
    <w:rsid w:val="00226062"/>
    <w:rsid w:val="00226784"/>
    <w:rsid w:val="00226875"/>
    <w:rsid w:val="00226C66"/>
    <w:rsid w:val="00226D0D"/>
    <w:rsid w:val="002274BB"/>
    <w:rsid w:val="00227F12"/>
    <w:rsid w:val="0023051F"/>
    <w:rsid w:val="00230894"/>
    <w:rsid w:val="002315E4"/>
    <w:rsid w:val="00231821"/>
    <w:rsid w:val="00231E7A"/>
    <w:rsid w:val="0023209E"/>
    <w:rsid w:val="00232282"/>
    <w:rsid w:val="00232E1C"/>
    <w:rsid w:val="0023311C"/>
    <w:rsid w:val="00233BC6"/>
    <w:rsid w:val="00234085"/>
    <w:rsid w:val="002340B8"/>
    <w:rsid w:val="0023416F"/>
    <w:rsid w:val="0023470B"/>
    <w:rsid w:val="0023522F"/>
    <w:rsid w:val="00235806"/>
    <w:rsid w:val="00235974"/>
    <w:rsid w:val="00235CD4"/>
    <w:rsid w:val="00236784"/>
    <w:rsid w:val="002375A1"/>
    <w:rsid w:val="0023786E"/>
    <w:rsid w:val="00240959"/>
    <w:rsid w:val="00240CED"/>
    <w:rsid w:val="00241D75"/>
    <w:rsid w:val="0024207C"/>
    <w:rsid w:val="00242139"/>
    <w:rsid w:val="00242BA9"/>
    <w:rsid w:val="00244B69"/>
    <w:rsid w:val="00245276"/>
    <w:rsid w:val="002455BB"/>
    <w:rsid w:val="002456E5"/>
    <w:rsid w:val="00246BF3"/>
    <w:rsid w:val="00246C73"/>
    <w:rsid w:val="00246D20"/>
    <w:rsid w:val="0024753F"/>
    <w:rsid w:val="002477B1"/>
    <w:rsid w:val="00250501"/>
    <w:rsid w:val="00250B69"/>
    <w:rsid w:val="0025143D"/>
    <w:rsid w:val="00251D2E"/>
    <w:rsid w:val="002522C1"/>
    <w:rsid w:val="00252506"/>
    <w:rsid w:val="0025332F"/>
    <w:rsid w:val="00254A77"/>
    <w:rsid w:val="002550B7"/>
    <w:rsid w:val="00255373"/>
    <w:rsid w:val="0025553D"/>
    <w:rsid w:val="00256C4D"/>
    <w:rsid w:val="00257A89"/>
    <w:rsid w:val="00257BA4"/>
    <w:rsid w:val="0026034F"/>
    <w:rsid w:val="00260B44"/>
    <w:rsid w:val="00261B3D"/>
    <w:rsid w:val="00261D6B"/>
    <w:rsid w:val="002626A5"/>
    <w:rsid w:val="00262C11"/>
    <w:rsid w:val="00262CFD"/>
    <w:rsid w:val="00263064"/>
    <w:rsid w:val="002630C6"/>
    <w:rsid w:val="00263849"/>
    <w:rsid w:val="00264BBC"/>
    <w:rsid w:val="002653D3"/>
    <w:rsid w:val="0026548F"/>
    <w:rsid w:val="0027028F"/>
    <w:rsid w:val="00270478"/>
    <w:rsid w:val="00270846"/>
    <w:rsid w:val="00270932"/>
    <w:rsid w:val="0027142F"/>
    <w:rsid w:val="002724B5"/>
    <w:rsid w:val="00272D59"/>
    <w:rsid w:val="00272FD9"/>
    <w:rsid w:val="002733CB"/>
    <w:rsid w:val="002735FC"/>
    <w:rsid w:val="0027428D"/>
    <w:rsid w:val="00274503"/>
    <w:rsid w:val="002746EB"/>
    <w:rsid w:val="002752D7"/>
    <w:rsid w:val="002757F4"/>
    <w:rsid w:val="002762F2"/>
    <w:rsid w:val="00276388"/>
    <w:rsid w:val="00276888"/>
    <w:rsid w:val="00276925"/>
    <w:rsid w:val="0027735B"/>
    <w:rsid w:val="00277378"/>
    <w:rsid w:val="002773AC"/>
    <w:rsid w:val="00277538"/>
    <w:rsid w:val="00277DF0"/>
    <w:rsid w:val="00277FD7"/>
    <w:rsid w:val="00280866"/>
    <w:rsid w:val="00281566"/>
    <w:rsid w:val="0028367A"/>
    <w:rsid w:val="002836A4"/>
    <w:rsid w:val="00283A41"/>
    <w:rsid w:val="00283A5A"/>
    <w:rsid w:val="00283FE9"/>
    <w:rsid w:val="00284310"/>
    <w:rsid w:val="002844D1"/>
    <w:rsid w:val="00284DA7"/>
    <w:rsid w:val="00285008"/>
    <w:rsid w:val="00285875"/>
    <w:rsid w:val="00286529"/>
    <w:rsid w:val="00286902"/>
    <w:rsid w:val="00286B68"/>
    <w:rsid w:val="00286C43"/>
    <w:rsid w:val="0028741F"/>
    <w:rsid w:val="00287842"/>
    <w:rsid w:val="00287EA2"/>
    <w:rsid w:val="00290887"/>
    <w:rsid w:val="00290A55"/>
    <w:rsid w:val="0029100F"/>
    <w:rsid w:val="002915E9"/>
    <w:rsid w:val="00292018"/>
    <w:rsid w:val="00292505"/>
    <w:rsid w:val="002929B2"/>
    <w:rsid w:val="00292A15"/>
    <w:rsid w:val="00293078"/>
    <w:rsid w:val="002934B3"/>
    <w:rsid w:val="0029355A"/>
    <w:rsid w:val="00293591"/>
    <w:rsid w:val="00293972"/>
    <w:rsid w:val="00294051"/>
    <w:rsid w:val="00294078"/>
    <w:rsid w:val="002945B3"/>
    <w:rsid w:val="00295060"/>
    <w:rsid w:val="00295381"/>
    <w:rsid w:val="00295495"/>
    <w:rsid w:val="00295A7E"/>
    <w:rsid w:val="00295E0E"/>
    <w:rsid w:val="00295F50"/>
    <w:rsid w:val="002964A5"/>
    <w:rsid w:val="0029660B"/>
    <w:rsid w:val="002968D3"/>
    <w:rsid w:val="002A03C0"/>
    <w:rsid w:val="002A0405"/>
    <w:rsid w:val="002A06DB"/>
    <w:rsid w:val="002A122A"/>
    <w:rsid w:val="002A1518"/>
    <w:rsid w:val="002A1BFD"/>
    <w:rsid w:val="002A2A4D"/>
    <w:rsid w:val="002A2B66"/>
    <w:rsid w:val="002A2E41"/>
    <w:rsid w:val="002A373B"/>
    <w:rsid w:val="002A3E7B"/>
    <w:rsid w:val="002A4277"/>
    <w:rsid w:val="002A4DC7"/>
    <w:rsid w:val="002A5099"/>
    <w:rsid w:val="002A50F7"/>
    <w:rsid w:val="002A5990"/>
    <w:rsid w:val="002A5B2B"/>
    <w:rsid w:val="002A5B3E"/>
    <w:rsid w:val="002A5D7D"/>
    <w:rsid w:val="002A5DDE"/>
    <w:rsid w:val="002A5FDE"/>
    <w:rsid w:val="002A640A"/>
    <w:rsid w:val="002A7275"/>
    <w:rsid w:val="002A7D5F"/>
    <w:rsid w:val="002A7E77"/>
    <w:rsid w:val="002B0265"/>
    <w:rsid w:val="002B0E1E"/>
    <w:rsid w:val="002B16B7"/>
    <w:rsid w:val="002B194A"/>
    <w:rsid w:val="002B1CCF"/>
    <w:rsid w:val="002B236A"/>
    <w:rsid w:val="002B2C6D"/>
    <w:rsid w:val="002B2E33"/>
    <w:rsid w:val="002B36E9"/>
    <w:rsid w:val="002B4411"/>
    <w:rsid w:val="002B48C1"/>
    <w:rsid w:val="002B4CA3"/>
    <w:rsid w:val="002B4D49"/>
    <w:rsid w:val="002B4D77"/>
    <w:rsid w:val="002B5AA8"/>
    <w:rsid w:val="002B5BA2"/>
    <w:rsid w:val="002B5EB5"/>
    <w:rsid w:val="002B6046"/>
    <w:rsid w:val="002B6135"/>
    <w:rsid w:val="002B6F64"/>
    <w:rsid w:val="002B762D"/>
    <w:rsid w:val="002C051C"/>
    <w:rsid w:val="002C0F9F"/>
    <w:rsid w:val="002C0FB2"/>
    <w:rsid w:val="002C19EA"/>
    <w:rsid w:val="002C1ACF"/>
    <w:rsid w:val="002C1B23"/>
    <w:rsid w:val="002C1B38"/>
    <w:rsid w:val="002C2970"/>
    <w:rsid w:val="002C2E27"/>
    <w:rsid w:val="002C2EF0"/>
    <w:rsid w:val="002C38CE"/>
    <w:rsid w:val="002C3CCA"/>
    <w:rsid w:val="002C42F7"/>
    <w:rsid w:val="002C47A0"/>
    <w:rsid w:val="002C536B"/>
    <w:rsid w:val="002C53D7"/>
    <w:rsid w:val="002C56CC"/>
    <w:rsid w:val="002C58F3"/>
    <w:rsid w:val="002C67C6"/>
    <w:rsid w:val="002C6973"/>
    <w:rsid w:val="002C6AD1"/>
    <w:rsid w:val="002C6D10"/>
    <w:rsid w:val="002C7103"/>
    <w:rsid w:val="002C7776"/>
    <w:rsid w:val="002D0533"/>
    <w:rsid w:val="002D0537"/>
    <w:rsid w:val="002D0ECC"/>
    <w:rsid w:val="002D17A7"/>
    <w:rsid w:val="002D1A2F"/>
    <w:rsid w:val="002D1CF0"/>
    <w:rsid w:val="002D1DD6"/>
    <w:rsid w:val="002D2920"/>
    <w:rsid w:val="002D2B12"/>
    <w:rsid w:val="002D3063"/>
    <w:rsid w:val="002D3E35"/>
    <w:rsid w:val="002D4492"/>
    <w:rsid w:val="002D451B"/>
    <w:rsid w:val="002D4741"/>
    <w:rsid w:val="002D5FA6"/>
    <w:rsid w:val="002D60B4"/>
    <w:rsid w:val="002D6199"/>
    <w:rsid w:val="002D6B01"/>
    <w:rsid w:val="002D6BAA"/>
    <w:rsid w:val="002D7037"/>
    <w:rsid w:val="002D7384"/>
    <w:rsid w:val="002D73EE"/>
    <w:rsid w:val="002D77AA"/>
    <w:rsid w:val="002D7C53"/>
    <w:rsid w:val="002E02BF"/>
    <w:rsid w:val="002E0A3E"/>
    <w:rsid w:val="002E0D20"/>
    <w:rsid w:val="002E0E36"/>
    <w:rsid w:val="002E1326"/>
    <w:rsid w:val="002E13D7"/>
    <w:rsid w:val="002E1A13"/>
    <w:rsid w:val="002E2198"/>
    <w:rsid w:val="002E21DD"/>
    <w:rsid w:val="002E26E4"/>
    <w:rsid w:val="002E2CEA"/>
    <w:rsid w:val="002E3F2F"/>
    <w:rsid w:val="002E4C74"/>
    <w:rsid w:val="002E4CFA"/>
    <w:rsid w:val="002E50B7"/>
    <w:rsid w:val="002E62C9"/>
    <w:rsid w:val="002E6301"/>
    <w:rsid w:val="002E64E5"/>
    <w:rsid w:val="002E6AF4"/>
    <w:rsid w:val="002E7103"/>
    <w:rsid w:val="002E78B7"/>
    <w:rsid w:val="002E7B0A"/>
    <w:rsid w:val="002E7EDE"/>
    <w:rsid w:val="002E7FDB"/>
    <w:rsid w:val="002F0022"/>
    <w:rsid w:val="002F00E9"/>
    <w:rsid w:val="002F0842"/>
    <w:rsid w:val="002F095D"/>
    <w:rsid w:val="002F0CC0"/>
    <w:rsid w:val="002F0CF2"/>
    <w:rsid w:val="002F0D8D"/>
    <w:rsid w:val="002F108F"/>
    <w:rsid w:val="002F1765"/>
    <w:rsid w:val="002F1E03"/>
    <w:rsid w:val="002F1E77"/>
    <w:rsid w:val="002F24B8"/>
    <w:rsid w:val="002F3135"/>
    <w:rsid w:val="002F4077"/>
    <w:rsid w:val="002F442B"/>
    <w:rsid w:val="002F4673"/>
    <w:rsid w:val="002F4A4B"/>
    <w:rsid w:val="002F50C1"/>
    <w:rsid w:val="002F56B3"/>
    <w:rsid w:val="002F622E"/>
    <w:rsid w:val="002F66ED"/>
    <w:rsid w:val="002F704D"/>
    <w:rsid w:val="002F7D5F"/>
    <w:rsid w:val="002F7DE9"/>
    <w:rsid w:val="00300705"/>
    <w:rsid w:val="0030103B"/>
    <w:rsid w:val="00301E9A"/>
    <w:rsid w:val="003021E4"/>
    <w:rsid w:val="0030239F"/>
    <w:rsid w:val="003029C2"/>
    <w:rsid w:val="00304E7B"/>
    <w:rsid w:val="00304FA5"/>
    <w:rsid w:val="00305EED"/>
    <w:rsid w:val="00306243"/>
    <w:rsid w:val="00306D93"/>
    <w:rsid w:val="00307263"/>
    <w:rsid w:val="00307E31"/>
    <w:rsid w:val="003100E8"/>
    <w:rsid w:val="0031084A"/>
    <w:rsid w:val="00311297"/>
    <w:rsid w:val="00312151"/>
    <w:rsid w:val="00312679"/>
    <w:rsid w:val="00312CF1"/>
    <w:rsid w:val="00312D52"/>
    <w:rsid w:val="00313166"/>
    <w:rsid w:val="0031493B"/>
    <w:rsid w:val="0031508A"/>
    <w:rsid w:val="00315384"/>
    <w:rsid w:val="00315B9D"/>
    <w:rsid w:val="003160B1"/>
    <w:rsid w:val="003165AB"/>
    <w:rsid w:val="00316660"/>
    <w:rsid w:val="00316B9E"/>
    <w:rsid w:val="00316D8C"/>
    <w:rsid w:val="003173CD"/>
    <w:rsid w:val="00317C3E"/>
    <w:rsid w:val="00317FC6"/>
    <w:rsid w:val="00320AE3"/>
    <w:rsid w:val="00320E22"/>
    <w:rsid w:val="0032132D"/>
    <w:rsid w:val="003219FC"/>
    <w:rsid w:val="00322927"/>
    <w:rsid w:val="00322A1F"/>
    <w:rsid w:val="00322C56"/>
    <w:rsid w:val="00323973"/>
    <w:rsid w:val="00323C7A"/>
    <w:rsid w:val="003241A8"/>
    <w:rsid w:val="003246FE"/>
    <w:rsid w:val="003248CB"/>
    <w:rsid w:val="00324A56"/>
    <w:rsid w:val="0032532F"/>
    <w:rsid w:val="00325CB2"/>
    <w:rsid w:val="00325E40"/>
    <w:rsid w:val="003267CA"/>
    <w:rsid w:val="00327162"/>
    <w:rsid w:val="003302D7"/>
    <w:rsid w:val="00330D48"/>
    <w:rsid w:val="00330D71"/>
    <w:rsid w:val="00330DF5"/>
    <w:rsid w:val="00330FDB"/>
    <w:rsid w:val="00331099"/>
    <w:rsid w:val="0033156B"/>
    <w:rsid w:val="00331B41"/>
    <w:rsid w:val="0033221F"/>
    <w:rsid w:val="00332945"/>
    <w:rsid w:val="00332B23"/>
    <w:rsid w:val="00333255"/>
    <w:rsid w:val="00334323"/>
    <w:rsid w:val="0033433C"/>
    <w:rsid w:val="0033452D"/>
    <w:rsid w:val="003346E1"/>
    <w:rsid w:val="00334F5F"/>
    <w:rsid w:val="003354A1"/>
    <w:rsid w:val="00335513"/>
    <w:rsid w:val="00335698"/>
    <w:rsid w:val="00336720"/>
    <w:rsid w:val="003370BB"/>
    <w:rsid w:val="00337152"/>
    <w:rsid w:val="003376E7"/>
    <w:rsid w:val="00337AE9"/>
    <w:rsid w:val="00337C96"/>
    <w:rsid w:val="003405C7"/>
    <w:rsid w:val="00340675"/>
    <w:rsid w:val="00340F39"/>
    <w:rsid w:val="00342027"/>
    <w:rsid w:val="00342C3F"/>
    <w:rsid w:val="00344131"/>
    <w:rsid w:val="00344631"/>
    <w:rsid w:val="00344D68"/>
    <w:rsid w:val="00344DE6"/>
    <w:rsid w:val="00345220"/>
    <w:rsid w:val="00345269"/>
    <w:rsid w:val="00345491"/>
    <w:rsid w:val="00345C03"/>
    <w:rsid w:val="00347167"/>
    <w:rsid w:val="0034774C"/>
    <w:rsid w:val="00350996"/>
    <w:rsid w:val="00350D4D"/>
    <w:rsid w:val="00350F80"/>
    <w:rsid w:val="003512A5"/>
    <w:rsid w:val="00351516"/>
    <w:rsid w:val="003515E0"/>
    <w:rsid w:val="003516BD"/>
    <w:rsid w:val="00351937"/>
    <w:rsid w:val="00351D7E"/>
    <w:rsid w:val="003520CD"/>
    <w:rsid w:val="00352E7C"/>
    <w:rsid w:val="00352F3A"/>
    <w:rsid w:val="003533C6"/>
    <w:rsid w:val="00353FDD"/>
    <w:rsid w:val="0035460D"/>
    <w:rsid w:val="003554CF"/>
    <w:rsid w:val="00355C9A"/>
    <w:rsid w:val="00355D87"/>
    <w:rsid w:val="00355DC5"/>
    <w:rsid w:val="00356C40"/>
    <w:rsid w:val="003571DC"/>
    <w:rsid w:val="0035744B"/>
    <w:rsid w:val="00357B04"/>
    <w:rsid w:val="0036122D"/>
    <w:rsid w:val="0036127F"/>
    <w:rsid w:val="00361C58"/>
    <w:rsid w:val="00361E0B"/>
    <w:rsid w:val="00362E31"/>
    <w:rsid w:val="00363359"/>
    <w:rsid w:val="00363C5D"/>
    <w:rsid w:val="003642C0"/>
    <w:rsid w:val="0036448E"/>
    <w:rsid w:val="003645B6"/>
    <w:rsid w:val="00364B82"/>
    <w:rsid w:val="00366A8E"/>
    <w:rsid w:val="0036766C"/>
    <w:rsid w:val="00367CDD"/>
    <w:rsid w:val="00367D6A"/>
    <w:rsid w:val="00370065"/>
    <w:rsid w:val="003706DD"/>
    <w:rsid w:val="00370DEA"/>
    <w:rsid w:val="0037222F"/>
    <w:rsid w:val="003727FB"/>
    <w:rsid w:val="00372ABB"/>
    <w:rsid w:val="003731E2"/>
    <w:rsid w:val="003733A5"/>
    <w:rsid w:val="003734CD"/>
    <w:rsid w:val="00373827"/>
    <w:rsid w:val="00373DC4"/>
    <w:rsid w:val="00374004"/>
    <w:rsid w:val="00375D26"/>
    <w:rsid w:val="00377757"/>
    <w:rsid w:val="00377E57"/>
    <w:rsid w:val="00380700"/>
    <w:rsid w:val="00380782"/>
    <w:rsid w:val="0038154A"/>
    <w:rsid w:val="00382368"/>
    <w:rsid w:val="00382644"/>
    <w:rsid w:val="00383294"/>
    <w:rsid w:val="00383BED"/>
    <w:rsid w:val="00384FB0"/>
    <w:rsid w:val="00385EA7"/>
    <w:rsid w:val="00386453"/>
    <w:rsid w:val="0038652A"/>
    <w:rsid w:val="00386809"/>
    <w:rsid w:val="00386D62"/>
    <w:rsid w:val="00386F47"/>
    <w:rsid w:val="0038721E"/>
    <w:rsid w:val="00387532"/>
    <w:rsid w:val="003900C4"/>
    <w:rsid w:val="00390B3F"/>
    <w:rsid w:val="003912F6"/>
    <w:rsid w:val="00391F35"/>
    <w:rsid w:val="0039214F"/>
    <w:rsid w:val="003932CF"/>
    <w:rsid w:val="0039378A"/>
    <w:rsid w:val="00394381"/>
    <w:rsid w:val="0039490B"/>
    <w:rsid w:val="00396143"/>
    <w:rsid w:val="003978DA"/>
    <w:rsid w:val="00397B95"/>
    <w:rsid w:val="003A00E3"/>
    <w:rsid w:val="003A0330"/>
    <w:rsid w:val="003A1A14"/>
    <w:rsid w:val="003A1CA1"/>
    <w:rsid w:val="003A22FD"/>
    <w:rsid w:val="003A2439"/>
    <w:rsid w:val="003A3105"/>
    <w:rsid w:val="003A3235"/>
    <w:rsid w:val="003A36D5"/>
    <w:rsid w:val="003A3B0E"/>
    <w:rsid w:val="003A4F9C"/>
    <w:rsid w:val="003A5244"/>
    <w:rsid w:val="003A6382"/>
    <w:rsid w:val="003A6E18"/>
    <w:rsid w:val="003A73E1"/>
    <w:rsid w:val="003B02B6"/>
    <w:rsid w:val="003B07D4"/>
    <w:rsid w:val="003B0864"/>
    <w:rsid w:val="003B0BAE"/>
    <w:rsid w:val="003B11B8"/>
    <w:rsid w:val="003B163C"/>
    <w:rsid w:val="003B1B89"/>
    <w:rsid w:val="003B242D"/>
    <w:rsid w:val="003B2A62"/>
    <w:rsid w:val="003B31A8"/>
    <w:rsid w:val="003B44D7"/>
    <w:rsid w:val="003B4637"/>
    <w:rsid w:val="003B4CD6"/>
    <w:rsid w:val="003B4CED"/>
    <w:rsid w:val="003B57CE"/>
    <w:rsid w:val="003B5BC4"/>
    <w:rsid w:val="003B5C6F"/>
    <w:rsid w:val="003B6217"/>
    <w:rsid w:val="003B7155"/>
    <w:rsid w:val="003B7F01"/>
    <w:rsid w:val="003C072A"/>
    <w:rsid w:val="003C1A51"/>
    <w:rsid w:val="003C1A71"/>
    <w:rsid w:val="003C2526"/>
    <w:rsid w:val="003C259B"/>
    <w:rsid w:val="003C2ED6"/>
    <w:rsid w:val="003C3482"/>
    <w:rsid w:val="003C3800"/>
    <w:rsid w:val="003C3EBD"/>
    <w:rsid w:val="003C4668"/>
    <w:rsid w:val="003C4725"/>
    <w:rsid w:val="003C5628"/>
    <w:rsid w:val="003C6056"/>
    <w:rsid w:val="003C606E"/>
    <w:rsid w:val="003C625D"/>
    <w:rsid w:val="003C6333"/>
    <w:rsid w:val="003C64B0"/>
    <w:rsid w:val="003C67A8"/>
    <w:rsid w:val="003C6C7D"/>
    <w:rsid w:val="003C6F78"/>
    <w:rsid w:val="003C7191"/>
    <w:rsid w:val="003D0175"/>
    <w:rsid w:val="003D09A0"/>
    <w:rsid w:val="003D0D1F"/>
    <w:rsid w:val="003D0DFA"/>
    <w:rsid w:val="003D1277"/>
    <w:rsid w:val="003D1EF4"/>
    <w:rsid w:val="003D1F25"/>
    <w:rsid w:val="003D222E"/>
    <w:rsid w:val="003D258A"/>
    <w:rsid w:val="003D31AE"/>
    <w:rsid w:val="003D4776"/>
    <w:rsid w:val="003D480C"/>
    <w:rsid w:val="003D4A88"/>
    <w:rsid w:val="003D659C"/>
    <w:rsid w:val="003D665F"/>
    <w:rsid w:val="003D69DC"/>
    <w:rsid w:val="003D6A01"/>
    <w:rsid w:val="003E0CA6"/>
    <w:rsid w:val="003E0F2A"/>
    <w:rsid w:val="003E118B"/>
    <w:rsid w:val="003E13F2"/>
    <w:rsid w:val="003E1E0B"/>
    <w:rsid w:val="003E2317"/>
    <w:rsid w:val="003E2601"/>
    <w:rsid w:val="003E2790"/>
    <w:rsid w:val="003E2C57"/>
    <w:rsid w:val="003E2CDE"/>
    <w:rsid w:val="003E2FA1"/>
    <w:rsid w:val="003E3518"/>
    <w:rsid w:val="003E40AF"/>
    <w:rsid w:val="003E4302"/>
    <w:rsid w:val="003E460C"/>
    <w:rsid w:val="003E4819"/>
    <w:rsid w:val="003E4D49"/>
    <w:rsid w:val="003E4F50"/>
    <w:rsid w:val="003E4F70"/>
    <w:rsid w:val="003E51D9"/>
    <w:rsid w:val="003E5A2C"/>
    <w:rsid w:val="003E5E86"/>
    <w:rsid w:val="003E64B1"/>
    <w:rsid w:val="003E666D"/>
    <w:rsid w:val="003E6EDA"/>
    <w:rsid w:val="003E6F30"/>
    <w:rsid w:val="003E7742"/>
    <w:rsid w:val="003E7BB4"/>
    <w:rsid w:val="003E7CFA"/>
    <w:rsid w:val="003F02DB"/>
    <w:rsid w:val="003F0353"/>
    <w:rsid w:val="003F10D3"/>
    <w:rsid w:val="003F14D2"/>
    <w:rsid w:val="003F1517"/>
    <w:rsid w:val="003F20A2"/>
    <w:rsid w:val="003F214E"/>
    <w:rsid w:val="003F277E"/>
    <w:rsid w:val="003F2A71"/>
    <w:rsid w:val="003F2D98"/>
    <w:rsid w:val="003F2E62"/>
    <w:rsid w:val="003F3E0F"/>
    <w:rsid w:val="003F423F"/>
    <w:rsid w:val="003F48FC"/>
    <w:rsid w:val="003F4B4C"/>
    <w:rsid w:val="003F51A0"/>
    <w:rsid w:val="003F5AB0"/>
    <w:rsid w:val="003F5BEE"/>
    <w:rsid w:val="003F5C4B"/>
    <w:rsid w:val="003F5DFA"/>
    <w:rsid w:val="003F7083"/>
    <w:rsid w:val="004002CF"/>
    <w:rsid w:val="0040186B"/>
    <w:rsid w:val="00401B5C"/>
    <w:rsid w:val="004027B1"/>
    <w:rsid w:val="004027B2"/>
    <w:rsid w:val="00402F2E"/>
    <w:rsid w:val="00402F8A"/>
    <w:rsid w:val="00403574"/>
    <w:rsid w:val="00403632"/>
    <w:rsid w:val="00403C35"/>
    <w:rsid w:val="00403C80"/>
    <w:rsid w:val="00403F09"/>
    <w:rsid w:val="0040400F"/>
    <w:rsid w:val="0040426A"/>
    <w:rsid w:val="00404700"/>
    <w:rsid w:val="004049C7"/>
    <w:rsid w:val="00404A57"/>
    <w:rsid w:val="00405759"/>
    <w:rsid w:val="0040578D"/>
    <w:rsid w:val="00405AE6"/>
    <w:rsid w:val="00405B39"/>
    <w:rsid w:val="00405EFF"/>
    <w:rsid w:val="004072F1"/>
    <w:rsid w:val="00407587"/>
    <w:rsid w:val="0040767B"/>
    <w:rsid w:val="00407709"/>
    <w:rsid w:val="00407AEE"/>
    <w:rsid w:val="004103AD"/>
    <w:rsid w:val="004108CB"/>
    <w:rsid w:val="00410E26"/>
    <w:rsid w:val="00410E4A"/>
    <w:rsid w:val="00411004"/>
    <w:rsid w:val="00411715"/>
    <w:rsid w:val="00412BA8"/>
    <w:rsid w:val="00413272"/>
    <w:rsid w:val="00413554"/>
    <w:rsid w:val="0041377A"/>
    <w:rsid w:val="00413814"/>
    <w:rsid w:val="00413941"/>
    <w:rsid w:val="004139DF"/>
    <w:rsid w:val="00414EEC"/>
    <w:rsid w:val="00415096"/>
    <w:rsid w:val="0041561C"/>
    <w:rsid w:val="00415765"/>
    <w:rsid w:val="00416356"/>
    <w:rsid w:val="004165F9"/>
    <w:rsid w:val="00416605"/>
    <w:rsid w:val="00416E31"/>
    <w:rsid w:val="00417359"/>
    <w:rsid w:val="004177CD"/>
    <w:rsid w:val="00421A84"/>
    <w:rsid w:val="004224DD"/>
    <w:rsid w:val="00422588"/>
    <w:rsid w:val="00422AA9"/>
    <w:rsid w:val="00422CD4"/>
    <w:rsid w:val="00422E8D"/>
    <w:rsid w:val="00424B62"/>
    <w:rsid w:val="00424BAB"/>
    <w:rsid w:val="00424C24"/>
    <w:rsid w:val="00424C38"/>
    <w:rsid w:val="00424CD2"/>
    <w:rsid w:val="00426BA8"/>
    <w:rsid w:val="00426EFB"/>
    <w:rsid w:val="00426F5F"/>
    <w:rsid w:val="0042786C"/>
    <w:rsid w:val="004303C4"/>
    <w:rsid w:val="0043062D"/>
    <w:rsid w:val="00430AFB"/>
    <w:rsid w:val="00430BD1"/>
    <w:rsid w:val="00430F0D"/>
    <w:rsid w:val="00430F3B"/>
    <w:rsid w:val="0043139C"/>
    <w:rsid w:val="00431C96"/>
    <w:rsid w:val="0043228B"/>
    <w:rsid w:val="00434338"/>
    <w:rsid w:val="00434386"/>
    <w:rsid w:val="004344F4"/>
    <w:rsid w:val="00434677"/>
    <w:rsid w:val="00434B01"/>
    <w:rsid w:val="004354EE"/>
    <w:rsid w:val="004355F5"/>
    <w:rsid w:val="00435BFE"/>
    <w:rsid w:val="00436FA0"/>
    <w:rsid w:val="004375C2"/>
    <w:rsid w:val="0043794B"/>
    <w:rsid w:val="0043795B"/>
    <w:rsid w:val="00440886"/>
    <w:rsid w:val="004420BF"/>
    <w:rsid w:val="0044212B"/>
    <w:rsid w:val="0044235A"/>
    <w:rsid w:val="00442561"/>
    <w:rsid w:val="004428EC"/>
    <w:rsid w:val="00442F6B"/>
    <w:rsid w:val="00443788"/>
    <w:rsid w:val="00443D1C"/>
    <w:rsid w:val="00443D52"/>
    <w:rsid w:val="00443ED1"/>
    <w:rsid w:val="00443F10"/>
    <w:rsid w:val="0044426A"/>
    <w:rsid w:val="00445C0F"/>
    <w:rsid w:val="00446032"/>
    <w:rsid w:val="00446085"/>
    <w:rsid w:val="0044622D"/>
    <w:rsid w:val="004468C5"/>
    <w:rsid w:val="00446BCA"/>
    <w:rsid w:val="00447378"/>
    <w:rsid w:val="004476B3"/>
    <w:rsid w:val="00447A5C"/>
    <w:rsid w:val="00447C5B"/>
    <w:rsid w:val="00451521"/>
    <w:rsid w:val="004519ED"/>
    <w:rsid w:val="004529B3"/>
    <w:rsid w:val="00452B8F"/>
    <w:rsid w:val="00452DE9"/>
    <w:rsid w:val="00453837"/>
    <w:rsid w:val="0045457B"/>
    <w:rsid w:val="004552EE"/>
    <w:rsid w:val="004554E5"/>
    <w:rsid w:val="00455629"/>
    <w:rsid w:val="004565AE"/>
    <w:rsid w:val="00456CBD"/>
    <w:rsid w:val="00456DDA"/>
    <w:rsid w:val="0045762B"/>
    <w:rsid w:val="0045767A"/>
    <w:rsid w:val="00457A11"/>
    <w:rsid w:val="004604C4"/>
    <w:rsid w:val="00460AE8"/>
    <w:rsid w:val="00461777"/>
    <w:rsid w:val="0046237D"/>
    <w:rsid w:val="00462531"/>
    <w:rsid w:val="0046291A"/>
    <w:rsid w:val="00462B9C"/>
    <w:rsid w:val="00462EB0"/>
    <w:rsid w:val="0046415C"/>
    <w:rsid w:val="004643DC"/>
    <w:rsid w:val="00464D71"/>
    <w:rsid w:val="0046530E"/>
    <w:rsid w:val="00465BD4"/>
    <w:rsid w:val="00465D2F"/>
    <w:rsid w:val="00466062"/>
    <w:rsid w:val="00466492"/>
    <w:rsid w:val="00466918"/>
    <w:rsid w:val="00466C47"/>
    <w:rsid w:val="0046700A"/>
    <w:rsid w:val="00467789"/>
    <w:rsid w:val="00467B3B"/>
    <w:rsid w:val="00467C07"/>
    <w:rsid w:val="00467D4E"/>
    <w:rsid w:val="00467F46"/>
    <w:rsid w:val="004701A3"/>
    <w:rsid w:val="0047085F"/>
    <w:rsid w:val="00470B4A"/>
    <w:rsid w:val="00470BD0"/>
    <w:rsid w:val="0047146A"/>
    <w:rsid w:val="00472EFD"/>
    <w:rsid w:val="00473088"/>
    <w:rsid w:val="00473685"/>
    <w:rsid w:val="0047385B"/>
    <w:rsid w:val="00473ADE"/>
    <w:rsid w:val="00473E01"/>
    <w:rsid w:val="00474337"/>
    <w:rsid w:val="004749B1"/>
    <w:rsid w:val="00475138"/>
    <w:rsid w:val="00475FAB"/>
    <w:rsid w:val="00475FB3"/>
    <w:rsid w:val="00476007"/>
    <w:rsid w:val="004761F5"/>
    <w:rsid w:val="004764DB"/>
    <w:rsid w:val="004766C7"/>
    <w:rsid w:val="00476810"/>
    <w:rsid w:val="00476B14"/>
    <w:rsid w:val="00476DDC"/>
    <w:rsid w:val="004771DA"/>
    <w:rsid w:val="0048019B"/>
    <w:rsid w:val="00480980"/>
    <w:rsid w:val="004810FC"/>
    <w:rsid w:val="00481480"/>
    <w:rsid w:val="00482000"/>
    <w:rsid w:val="0048207D"/>
    <w:rsid w:val="0048234D"/>
    <w:rsid w:val="00482D03"/>
    <w:rsid w:val="0048331C"/>
    <w:rsid w:val="004833C7"/>
    <w:rsid w:val="00483A3C"/>
    <w:rsid w:val="00484E2C"/>
    <w:rsid w:val="00485873"/>
    <w:rsid w:val="004860F8"/>
    <w:rsid w:val="004864F7"/>
    <w:rsid w:val="00486EC4"/>
    <w:rsid w:val="004872B1"/>
    <w:rsid w:val="0048734D"/>
    <w:rsid w:val="004879FA"/>
    <w:rsid w:val="004905BE"/>
    <w:rsid w:val="004908BE"/>
    <w:rsid w:val="00490972"/>
    <w:rsid w:val="0049184E"/>
    <w:rsid w:val="0049193D"/>
    <w:rsid w:val="004919EA"/>
    <w:rsid w:val="004927F0"/>
    <w:rsid w:val="00493264"/>
    <w:rsid w:val="0049389D"/>
    <w:rsid w:val="00494064"/>
    <w:rsid w:val="00494094"/>
    <w:rsid w:val="00494590"/>
    <w:rsid w:val="004945B5"/>
    <w:rsid w:val="004946F8"/>
    <w:rsid w:val="00494814"/>
    <w:rsid w:val="00494C96"/>
    <w:rsid w:val="004959A0"/>
    <w:rsid w:val="004967F2"/>
    <w:rsid w:val="00496BB5"/>
    <w:rsid w:val="00497637"/>
    <w:rsid w:val="0049790B"/>
    <w:rsid w:val="004A03CC"/>
    <w:rsid w:val="004A04E7"/>
    <w:rsid w:val="004A1636"/>
    <w:rsid w:val="004A1D35"/>
    <w:rsid w:val="004A1E2A"/>
    <w:rsid w:val="004A20C1"/>
    <w:rsid w:val="004A27CA"/>
    <w:rsid w:val="004A2830"/>
    <w:rsid w:val="004A37BB"/>
    <w:rsid w:val="004A3D6D"/>
    <w:rsid w:val="004A4AF2"/>
    <w:rsid w:val="004A5757"/>
    <w:rsid w:val="004A5F54"/>
    <w:rsid w:val="004A603C"/>
    <w:rsid w:val="004A6190"/>
    <w:rsid w:val="004A63A5"/>
    <w:rsid w:val="004A6C29"/>
    <w:rsid w:val="004A7612"/>
    <w:rsid w:val="004A7D86"/>
    <w:rsid w:val="004B00B9"/>
    <w:rsid w:val="004B0980"/>
    <w:rsid w:val="004B1443"/>
    <w:rsid w:val="004B1651"/>
    <w:rsid w:val="004B1AD9"/>
    <w:rsid w:val="004B2A31"/>
    <w:rsid w:val="004B2BEF"/>
    <w:rsid w:val="004B35D9"/>
    <w:rsid w:val="004B3BD6"/>
    <w:rsid w:val="004B3C22"/>
    <w:rsid w:val="004B4541"/>
    <w:rsid w:val="004B465D"/>
    <w:rsid w:val="004B47D1"/>
    <w:rsid w:val="004B49EF"/>
    <w:rsid w:val="004B55C2"/>
    <w:rsid w:val="004B61C2"/>
    <w:rsid w:val="004B6287"/>
    <w:rsid w:val="004B68CD"/>
    <w:rsid w:val="004B6F23"/>
    <w:rsid w:val="004B6F29"/>
    <w:rsid w:val="004B72C6"/>
    <w:rsid w:val="004B76B9"/>
    <w:rsid w:val="004C0403"/>
    <w:rsid w:val="004C07A5"/>
    <w:rsid w:val="004C0C83"/>
    <w:rsid w:val="004C112C"/>
    <w:rsid w:val="004C11D2"/>
    <w:rsid w:val="004C1438"/>
    <w:rsid w:val="004C1782"/>
    <w:rsid w:val="004C1A37"/>
    <w:rsid w:val="004C1BF5"/>
    <w:rsid w:val="004C2C3C"/>
    <w:rsid w:val="004C3446"/>
    <w:rsid w:val="004C3472"/>
    <w:rsid w:val="004C36E1"/>
    <w:rsid w:val="004C3E96"/>
    <w:rsid w:val="004C4008"/>
    <w:rsid w:val="004C5154"/>
    <w:rsid w:val="004C53EA"/>
    <w:rsid w:val="004C58E0"/>
    <w:rsid w:val="004C633F"/>
    <w:rsid w:val="004C6716"/>
    <w:rsid w:val="004C70E7"/>
    <w:rsid w:val="004D096B"/>
    <w:rsid w:val="004D0B8E"/>
    <w:rsid w:val="004D15ED"/>
    <w:rsid w:val="004D24F0"/>
    <w:rsid w:val="004D2546"/>
    <w:rsid w:val="004D2A06"/>
    <w:rsid w:val="004D2A42"/>
    <w:rsid w:val="004D2C22"/>
    <w:rsid w:val="004D2EBE"/>
    <w:rsid w:val="004D333B"/>
    <w:rsid w:val="004D3D66"/>
    <w:rsid w:val="004D411F"/>
    <w:rsid w:val="004D4B08"/>
    <w:rsid w:val="004D4B1F"/>
    <w:rsid w:val="004D5416"/>
    <w:rsid w:val="004D60DD"/>
    <w:rsid w:val="004D7073"/>
    <w:rsid w:val="004E053F"/>
    <w:rsid w:val="004E0A99"/>
    <w:rsid w:val="004E0EA8"/>
    <w:rsid w:val="004E18B3"/>
    <w:rsid w:val="004E1C9F"/>
    <w:rsid w:val="004E20B3"/>
    <w:rsid w:val="004E232D"/>
    <w:rsid w:val="004E253E"/>
    <w:rsid w:val="004E2A7B"/>
    <w:rsid w:val="004E31E7"/>
    <w:rsid w:val="004E3E5D"/>
    <w:rsid w:val="004E4070"/>
    <w:rsid w:val="004E4325"/>
    <w:rsid w:val="004E439D"/>
    <w:rsid w:val="004E494C"/>
    <w:rsid w:val="004E6302"/>
    <w:rsid w:val="004E6386"/>
    <w:rsid w:val="004E6A15"/>
    <w:rsid w:val="004E7216"/>
    <w:rsid w:val="004E742D"/>
    <w:rsid w:val="004E7503"/>
    <w:rsid w:val="004E76AE"/>
    <w:rsid w:val="004E7810"/>
    <w:rsid w:val="004E7880"/>
    <w:rsid w:val="004E7C81"/>
    <w:rsid w:val="004F0332"/>
    <w:rsid w:val="004F0BCC"/>
    <w:rsid w:val="004F0D06"/>
    <w:rsid w:val="004F0DE6"/>
    <w:rsid w:val="004F13A1"/>
    <w:rsid w:val="004F1838"/>
    <w:rsid w:val="004F20CE"/>
    <w:rsid w:val="004F2330"/>
    <w:rsid w:val="004F234B"/>
    <w:rsid w:val="004F2AB4"/>
    <w:rsid w:val="004F2C4C"/>
    <w:rsid w:val="004F2EAB"/>
    <w:rsid w:val="004F2EC7"/>
    <w:rsid w:val="004F3562"/>
    <w:rsid w:val="004F3BAE"/>
    <w:rsid w:val="004F4335"/>
    <w:rsid w:val="004F4C2A"/>
    <w:rsid w:val="004F4DA6"/>
    <w:rsid w:val="004F4DFB"/>
    <w:rsid w:val="004F4FA7"/>
    <w:rsid w:val="004F6C88"/>
    <w:rsid w:val="004F6FB3"/>
    <w:rsid w:val="004F723D"/>
    <w:rsid w:val="004F7583"/>
    <w:rsid w:val="004F77E6"/>
    <w:rsid w:val="004F7E9A"/>
    <w:rsid w:val="00500B2C"/>
    <w:rsid w:val="00500DA4"/>
    <w:rsid w:val="005011EB"/>
    <w:rsid w:val="005018D0"/>
    <w:rsid w:val="00501EE1"/>
    <w:rsid w:val="0050226B"/>
    <w:rsid w:val="00502859"/>
    <w:rsid w:val="00502AA1"/>
    <w:rsid w:val="00502F31"/>
    <w:rsid w:val="0050354D"/>
    <w:rsid w:val="005036DF"/>
    <w:rsid w:val="00504C1F"/>
    <w:rsid w:val="00504D7B"/>
    <w:rsid w:val="0050521B"/>
    <w:rsid w:val="005055D1"/>
    <w:rsid w:val="00505CFA"/>
    <w:rsid w:val="0050653F"/>
    <w:rsid w:val="00506E4D"/>
    <w:rsid w:val="00507404"/>
    <w:rsid w:val="00507C48"/>
    <w:rsid w:val="00507ECC"/>
    <w:rsid w:val="00510440"/>
    <w:rsid w:val="005105A5"/>
    <w:rsid w:val="0051066A"/>
    <w:rsid w:val="005109AE"/>
    <w:rsid w:val="00511047"/>
    <w:rsid w:val="0051177B"/>
    <w:rsid w:val="00512AE6"/>
    <w:rsid w:val="005133CD"/>
    <w:rsid w:val="00513478"/>
    <w:rsid w:val="00513BE2"/>
    <w:rsid w:val="005143EB"/>
    <w:rsid w:val="005145CC"/>
    <w:rsid w:val="00514DF7"/>
    <w:rsid w:val="0051502C"/>
    <w:rsid w:val="00515B48"/>
    <w:rsid w:val="005165F7"/>
    <w:rsid w:val="0051691C"/>
    <w:rsid w:val="00516CF1"/>
    <w:rsid w:val="005177AE"/>
    <w:rsid w:val="00517886"/>
    <w:rsid w:val="005201BB"/>
    <w:rsid w:val="0052036E"/>
    <w:rsid w:val="00520AE6"/>
    <w:rsid w:val="00520EBC"/>
    <w:rsid w:val="00520F77"/>
    <w:rsid w:val="005214D7"/>
    <w:rsid w:val="00521A26"/>
    <w:rsid w:val="00521A32"/>
    <w:rsid w:val="00522195"/>
    <w:rsid w:val="00522BD2"/>
    <w:rsid w:val="005233B7"/>
    <w:rsid w:val="005234C5"/>
    <w:rsid w:val="00523DC3"/>
    <w:rsid w:val="00524049"/>
    <w:rsid w:val="005251C3"/>
    <w:rsid w:val="00526937"/>
    <w:rsid w:val="00527757"/>
    <w:rsid w:val="0053029E"/>
    <w:rsid w:val="005306BD"/>
    <w:rsid w:val="00530DA0"/>
    <w:rsid w:val="0053193C"/>
    <w:rsid w:val="00531E6B"/>
    <w:rsid w:val="005328B3"/>
    <w:rsid w:val="005328DB"/>
    <w:rsid w:val="005331AA"/>
    <w:rsid w:val="005338E7"/>
    <w:rsid w:val="00535712"/>
    <w:rsid w:val="005364FC"/>
    <w:rsid w:val="00536EAF"/>
    <w:rsid w:val="00540536"/>
    <w:rsid w:val="005406EF"/>
    <w:rsid w:val="0054168D"/>
    <w:rsid w:val="00542AE9"/>
    <w:rsid w:val="00543384"/>
    <w:rsid w:val="005437F3"/>
    <w:rsid w:val="00543A7A"/>
    <w:rsid w:val="00544560"/>
    <w:rsid w:val="0054466B"/>
    <w:rsid w:val="005446B6"/>
    <w:rsid w:val="00544F98"/>
    <w:rsid w:val="0054521C"/>
    <w:rsid w:val="00545841"/>
    <w:rsid w:val="00545FF9"/>
    <w:rsid w:val="00546BB7"/>
    <w:rsid w:val="00547476"/>
    <w:rsid w:val="005475C8"/>
    <w:rsid w:val="00547A94"/>
    <w:rsid w:val="00550926"/>
    <w:rsid w:val="005513C5"/>
    <w:rsid w:val="0055185E"/>
    <w:rsid w:val="00551BB5"/>
    <w:rsid w:val="00551D0B"/>
    <w:rsid w:val="00551EE5"/>
    <w:rsid w:val="005521E4"/>
    <w:rsid w:val="005526BF"/>
    <w:rsid w:val="00553713"/>
    <w:rsid w:val="0055611E"/>
    <w:rsid w:val="005564BC"/>
    <w:rsid w:val="00556B2E"/>
    <w:rsid w:val="00556FBC"/>
    <w:rsid w:val="00556FF4"/>
    <w:rsid w:val="005577A8"/>
    <w:rsid w:val="00557C8A"/>
    <w:rsid w:val="00560601"/>
    <w:rsid w:val="00560C6D"/>
    <w:rsid w:val="00560FD9"/>
    <w:rsid w:val="00561016"/>
    <w:rsid w:val="00561115"/>
    <w:rsid w:val="0056142B"/>
    <w:rsid w:val="005614B5"/>
    <w:rsid w:val="0056186D"/>
    <w:rsid w:val="00562615"/>
    <w:rsid w:val="0056290F"/>
    <w:rsid w:val="00563097"/>
    <w:rsid w:val="0056424D"/>
    <w:rsid w:val="00565949"/>
    <w:rsid w:val="00567F8D"/>
    <w:rsid w:val="00567FA0"/>
    <w:rsid w:val="005701A3"/>
    <w:rsid w:val="00570B50"/>
    <w:rsid w:val="00571361"/>
    <w:rsid w:val="0057146C"/>
    <w:rsid w:val="0057188C"/>
    <w:rsid w:val="00571ABA"/>
    <w:rsid w:val="00571B0F"/>
    <w:rsid w:val="0057229D"/>
    <w:rsid w:val="00572454"/>
    <w:rsid w:val="00572BE7"/>
    <w:rsid w:val="00572CA1"/>
    <w:rsid w:val="00572D69"/>
    <w:rsid w:val="00572E96"/>
    <w:rsid w:val="0057315F"/>
    <w:rsid w:val="00574D60"/>
    <w:rsid w:val="00575668"/>
    <w:rsid w:val="005759A4"/>
    <w:rsid w:val="00575CF7"/>
    <w:rsid w:val="00575D77"/>
    <w:rsid w:val="005762DD"/>
    <w:rsid w:val="00576FA3"/>
    <w:rsid w:val="00577463"/>
    <w:rsid w:val="00577889"/>
    <w:rsid w:val="00580522"/>
    <w:rsid w:val="00580576"/>
    <w:rsid w:val="00581A41"/>
    <w:rsid w:val="00581E8A"/>
    <w:rsid w:val="005826FD"/>
    <w:rsid w:val="00582F89"/>
    <w:rsid w:val="00582FF7"/>
    <w:rsid w:val="00583328"/>
    <w:rsid w:val="00583430"/>
    <w:rsid w:val="00583B79"/>
    <w:rsid w:val="00584761"/>
    <w:rsid w:val="00584904"/>
    <w:rsid w:val="00585455"/>
    <w:rsid w:val="005859C1"/>
    <w:rsid w:val="00585C63"/>
    <w:rsid w:val="005871B3"/>
    <w:rsid w:val="00587225"/>
    <w:rsid w:val="00587564"/>
    <w:rsid w:val="005877BE"/>
    <w:rsid w:val="00590AF8"/>
    <w:rsid w:val="00590EE9"/>
    <w:rsid w:val="0059124B"/>
    <w:rsid w:val="00591605"/>
    <w:rsid w:val="00592C0F"/>
    <w:rsid w:val="005930EF"/>
    <w:rsid w:val="00593736"/>
    <w:rsid w:val="00593CAC"/>
    <w:rsid w:val="00594182"/>
    <w:rsid w:val="005942FF"/>
    <w:rsid w:val="00594309"/>
    <w:rsid w:val="00594E7B"/>
    <w:rsid w:val="00594E7D"/>
    <w:rsid w:val="00595073"/>
    <w:rsid w:val="005954B7"/>
    <w:rsid w:val="00595F87"/>
    <w:rsid w:val="0059638D"/>
    <w:rsid w:val="00596482"/>
    <w:rsid w:val="005970CF"/>
    <w:rsid w:val="0059762A"/>
    <w:rsid w:val="00597725"/>
    <w:rsid w:val="00597D1A"/>
    <w:rsid w:val="00597D8F"/>
    <w:rsid w:val="00597FC6"/>
    <w:rsid w:val="005A030A"/>
    <w:rsid w:val="005A0433"/>
    <w:rsid w:val="005A0769"/>
    <w:rsid w:val="005A0970"/>
    <w:rsid w:val="005A1C4A"/>
    <w:rsid w:val="005A3558"/>
    <w:rsid w:val="005A3C31"/>
    <w:rsid w:val="005A3FC8"/>
    <w:rsid w:val="005A54E1"/>
    <w:rsid w:val="005A5BEA"/>
    <w:rsid w:val="005A6C8D"/>
    <w:rsid w:val="005A7444"/>
    <w:rsid w:val="005A775C"/>
    <w:rsid w:val="005A7A0D"/>
    <w:rsid w:val="005A7FD9"/>
    <w:rsid w:val="005B0101"/>
    <w:rsid w:val="005B0929"/>
    <w:rsid w:val="005B0DB9"/>
    <w:rsid w:val="005B106D"/>
    <w:rsid w:val="005B12E0"/>
    <w:rsid w:val="005B273D"/>
    <w:rsid w:val="005B2A8F"/>
    <w:rsid w:val="005B2B02"/>
    <w:rsid w:val="005B2DAF"/>
    <w:rsid w:val="005B310D"/>
    <w:rsid w:val="005B3943"/>
    <w:rsid w:val="005B3C3B"/>
    <w:rsid w:val="005B3FAE"/>
    <w:rsid w:val="005B477E"/>
    <w:rsid w:val="005B47D8"/>
    <w:rsid w:val="005B5A60"/>
    <w:rsid w:val="005B5B7C"/>
    <w:rsid w:val="005B5CF9"/>
    <w:rsid w:val="005B5FE2"/>
    <w:rsid w:val="005B6A73"/>
    <w:rsid w:val="005B72CD"/>
    <w:rsid w:val="005B77BF"/>
    <w:rsid w:val="005B7DA4"/>
    <w:rsid w:val="005C00FF"/>
    <w:rsid w:val="005C030E"/>
    <w:rsid w:val="005C0B6A"/>
    <w:rsid w:val="005C1374"/>
    <w:rsid w:val="005C14F6"/>
    <w:rsid w:val="005C19A0"/>
    <w:rsid w:val="005C2E31"/>
    <w:rsid w:val="005C32F6"/>
    <w:rsid w:val="005C3757"/>
    <w:rsid w:val="005C3CB9"/>
    <w:rsid w:val="005C3E1D"/>
    <w:rsid w:val="005C4709"/>
    <w:rsid w:val="005C48C5"/>
    <w:rsid w:val="005C4A17"/>
    <w:rsid w:val="005C4B9E"/>
    <w:rsid w:val="005C5BC1"/>
    <w:rsid w:val="005C5FED"/>
    <w:rsid w:val="005C6622"/>
    <w:rsid w:val="005C6698"/>
    <w:rsid w:val="005C68F2"/>
    <w:rsid w:val="005C6F21"/>
    <w:rsid w:val="005C7259"/>
    <w:rsid w:val="005C7285"/>
    <w:rsid w:val="005C7602"/>
    <w:rsid w:val="005C7D26"/>
    <w:rsid w:val="005C7D64"/>
    <w:rsid w:val="005D02E7"/>
    <w:rsid w:val="005D0367"/>
    <w:rsid w:val="005D0921"/>
    <w:rsid w:val="005D17BE"/>
    <w:rsid w:val="005D1915"/>
    <w:rsid w:val="005D1CC3"/>
    <w:rsid w:val="005D26CA"/>
    <w:rsid w:val="005D29BE"/>
    <w:rsid w:val="005D2DBB"/>
    <w:rsid w:val="005D32DB"/>
    <w:rsid w:val="005D369D"/>
    <w:rsid w:val="005D3B17"/>
    <w:rsid w:val="005D3E55"/>
    <w:rsid w:val="005D40DA"/>
    <w:rsid w:val="005D4398"/>
    <w:rsid w:val="005D4AEF"/>
    <w:rsid w:val="005D4B1A"/>
    <w:rsid w:val="005D4D9F"/>
    <w:rsid w:val="005D544E"/>
    <w:rsid w:val="005D55D2"/>
    <w:rsid w:val="005D5E87"/>
    <w:rsid w:val="005D6033"/>
    <w:rsid w:val="005D67C4"/>
    <w:rsid w:val="005D73B7"/>
    <w:rsid w:val="005D7A9A"/>
    <w:rsid w:val="005E0037"/>
    <w:rsid w:val="005E0361"/>
    <w:rsid w:val="005E0AE9"/>
    <w:rsid w:val="005E0E91"/>
    <w:rsid w:val="005E1345"/>
    <w:rsid w:val="005E25C0"/>
    <w:rsid w:val="005E335E"/>
    <w:rsid w:val="005E37AB"/>
    <w:rsid w:val="005E3F13"/>
    <w:rsid w:val="005E56A7"/>
    <w:rsid w:val="005E5C8F"/>
    <w:rsid w:val="005E5CD7"/>
    <w:rsid w:val="005E5E20"/>
    <w:rsid w:val="005E5F62"/>
    <w:rsid w:val="005E64F1"/>
    <w:rsid w:val="005E732C"/>
    <w:rsid w:val="005F04BA"/>
    <w:rsid w:val="005F0846"/>
    <w:rsid w:val="005F147F"/>
    <w:rsid w:val="005F1C82"/>
    <w:rsid w:val="005F1FD3"/>
    <w:rsid w:val="005F1FFB"/>
    <w:rsid w:val="005F2596"/>
    <w:rsid w:val="005F30EB"/>
    <w:rsid w:val="005F3531"/>
    <w:rsid w:val="005F3864"/>
    <w:rsid w:val="005F437E"/>
    <w:rsid w:val="005F4CC2"/>
    <w:rsid w:val="005F4CCD"/>
    <w:rsid w:val="005F6139"/>
    <w:rsid w:val="005F63A5"/>
    <w:rsid w:val="005F63BA"/>
    <w:rsid w:val="005F6455"/>
    <w:rsid w:val="005F659F"/>
    <w:rsid w:val="005F688F"/>
    <w:rsid w:val="005F694B"/>
    <w:rsid w:val="005F738B"/>
    <w:rsid w:val="005F76BA"/>
    <w:rsid w:val="00600422"/>
    <w:rsid w:val="006005A3"/>
    <w:rsid w:val="00600A15"/>
    <w:rsid w:val="00601FA8"/>
    <w:rsid w:val="006020C7"/>
    <w:rsid w:val="006029B2"/>
    <w:rsid w:val="00602B29"/>
    <w:rsid w:val="00602D37"/>
    <w:rsid w:val="00602FE8"/>
    <w:rsid w:val="006032C8"/>
    <w:rsid w:val="00603423"/>
    <w:rsid w:val="006034B5"/>
    <w:rsid w:val="006038CE"/>
    <w:rsid w:val="0060437D"/>
    <w:rsid w:val="00604576"/>
    <w:rsid w:val="0060494C"/>
    <w:rsid w:val="00604B9A"/>
    <w:rsid w:val="00604D93"/>
    <w:rsid w:val="00604E0E"/>
    <w:rsid w:val="006062C1"/>
    <w:rsid w:val="006067D0"/>
    <w:rsid w:val="006067ED"/>
    <w:rsid w:val="00606E93"/>
    <w:rsid w:val="00607029"/>
    <w:rsid w:val="00607420"/>
    <w:rsid w:val="00607DC6"/>
    <w:rsid w:val="00610098"/>
    <w:rsid w:val="00610F2F"/>
    <w:rsid w:val="00611257"/>
    <w:rsid w:val="00611533"/>
    <w:rsid w:val="0061157E"/>
    <w:rsid w:val="0061203E"/>
    <w:rsid w:val="00612721"/>
    <w:rsid w:val="00612E51"/>
    <w:rsid w:val="00613D43"/>
    <w:rsid w:val="00613ED0"/>
    <w:rsid w:val="00615034"/>
    <w:rsid w:val="00615943"/>
    <w:rsid w:val="00615A30"/>
    <w:rsid w:val="0061630C"/>
    <w:rsid w:val="00616483"/>
    <w:rsid w:val="00616530"/>
    <w:rsid w:val="0061682F"/>
    <w:rsid w:val="0062066B"/>
    <w:rsid w:val="0062066D"/>
    <w:rsid w:val="00620677"/>
    <w:rsid w:val="006207AE"/>
    <w:rsid w:val="00620BD6"/>
    <w:rsid w:val="00621373"/>
    <w:rsid w:val="006213F4"/>
    <w:rsid w:val="006215E0"/>
    <w:rsid w:val="00621F46"/>
    <w:rsid w:val="00622A8E"/>
    <w:rsid w:val="00622F3F"/>
    <w:rsid w:val="00622FDA"/>
    <w:rsid w:val="006236E6"/>
    <w:rsid w:val="00623A00"/>
    <w:rsid w:val="00623E7A"/>
    <w:rsid w:val="00624323"/>
    <w:rsid w:val="00624431"/>
    <w:rsid w:val="006245CA"/>
    <w:rsid w:val="0062479D"/>
    <w:rsid w:val="00624B52"/>
    <w:rsid w:val="00624E3B"/>
    <w:rsid w:val="006254B1"/>
    <w:rsid w:val="006255DB"/>
    <w:rsid w:val="0062580A"/>
    <w:rsid w:val="006259A8"/>
    <w:rsid w:val="00625B14"/>
    <w:rsid w:val="00626CE1"/>
    <w:rsid w:val="00626D37"/>
    <w:rsid w:val="00627B7A"/>
    <w:rsid w:val="00627E4D"/>
    <w:rsid w:val="0063029B"/>
    <w:rsid w:val="0063070F"/>
    <w:rsid w:val="00631700"/>
    <w:rsid w:val="00632157"/>
    <w:rsid w:val="00632432"/>
    <w:rsid w:val="006325DA"/>
    <w:rsid w:val="00632C56"/>
    <w:rsid w:val="0063352D"/>
    <w:rsid w:val="0063373B"/>
    <w:rsid w:val="006337BE"/>
    <w:rsid w:val="006339FC"/>
    <w:rsid w:val="00634155"/>
    <w:rsid w:val="0063428A"/>
    <w:rsid w:val="00634A27"/>
    <w:rsid w:val="00634A36"/>
    <w:rsid w:val="00634BE5"/>
    <w:rsid w:val="00634E3F"/>
    <w:rsid w:val="00635294"/>
    <w:rsid w:val="006358B6"/>
    <w:rsid w:val="006364F4"/>
    <w:rsid w:val="00636E3A"/>
    <w:rsid w:val="0063762B"/>
    <w:rsid w:val="0063799C"/>
    <w:rsid w:val="0064032F"/>
    <w:rsid w:val="00640CE8"/>
    <w:rsid w:val="00640D1F"/>
    <w:rsid w:val="00641AFD"/>
    <w:rsid w:val="00642129"/>
    <w:rsid w:val="00643910"/>
    <w:rsid w:val="0064406A"/>
    <w:rsid w:val="006448EE"/>
    <w:rsid w:val="006453C8"/>
    <w:rsid w:val="006455BC"/>
    <w:rsid w:val="0064569A"/>
    <w:rsid w:val="00645893"/>
    <w:rsid w:val="00645B62"/>
    <w:rsid w:val="00646393"/>
    <w:rsid w:val="00646478"/>
    <w:rsid w:val="00646ADB"/>
    <w:rsid w:val="00647526"/>
    <w:rsid w:val="0064779B"/>
    <w:rsid w:val="00647C7D"/>
    <w:rsid w:val="00647F57"/>
    <w:rsid w:val="0065043C"/>
    <w:rsid w:val="00650667"/>
    <w:rsid w:val="00650A98"/>
    <w:rsid w:val="00650FCE"/>
    <w:rsid w:val="00651556"/>
    <w:rsid w:val="006520A9"/>
    <w:rsid w:val="00652ACB"/>
    <w:rsid w:val="00652C88"/>
    <w:rsid w:val="006531FA"/>
    <w:rsid w:val="006541AD"/>
    <w:rsid w:val="006567ED"/>
    <w:rsid w:val="00656A52"/>
    <w:rsid w:val="006576A9"/>
    <w:rsid w:val="00657AF8"/>
    <w:rsid w:val="006602F6"/>
    <w:rsid w:val="00660499"/>
    <w:rsid w:val="00660A10"/>
    <w:rsid w:val="00660B34"/>
    <w:rsid w:val="00660E69"/>
    <w:rsid w:val="00660F61"/>
    <w:rsid w:val="0066167F"/>
    <w:rsid w:val="00661B2E"/>
    <w:rsid w:val="00661B4C"/>
    <w:rsid w:val="00661BE8"/>
    <w:rsid w:val="006624EC"/>
    <w:rsid w:val="00662B64"/>
    <w:rsid w:val="00662E29"/>
    <w:rsid w:val="00662F6C"/>
    <w:rsid w:val="00663F5F"/>
    <w:rsid w:val="006667B3"/>
    <w:rsid w:val="00666F53"/>
    <w:rsid w:val="0066701D"/>
    <w:rsid w:val="00667249"/>
    <w:rsid w:val="0066754D"/>
    <w:rsid w:val="006675A5"/>
    <w:rsid w:val="00670115"/>
    <w:rsid w:val="006705D6"/>
    <w:rsid w:val="00670AD9"/>
    <w:rsid w:val="0067112F"/>
    <w:rsid w:val="0067129F"/>
    <w:rsid w:val="00671714"/>
    <w:rsid w:val="00671B9A"/>
    <w:rsid w:val="00672177"/>
    <w:rsid w:val="006725CA"/>
    <w:rsid w:val="006726A8"/>
    <w:rsid w:val="006729A6"/>
    <w:rsid w:val="00672C5F"/>
    <w:rsid w:val="00672FA4"/>
    <w:rsid w:val="00673588"/>
    <w:rsid w:val="0067359B"/>
    <w:rsid w:val="00673792"/>
    <w:rsid w:val="006743CC"/>
    <w:rsid w:val="00674908"/>
    <w:rsid w:val="006750BD"/>
    <w:rsid w:val="006755D8"/>
    <w:rsid w:val="006762C9"/>
    <w:rsid w:val="0067688B"/>
    <w:rsid w:val="00676A23"/>
    <w:rsid w:val="006771D1"/>
    <w:rsid w:val="0068031C"/>
    <w:rsid w:val="0068069A"/>
    <w:rsid w:val="006810BD"/>
    <w:rsid w:val="00681F33"/>
    <w:rsid w:val="00682743"/>
    <w:rsid w:val="00682B4C"/>
    <w:rsid w:val="00684258"/>
    <w:rsid w:val="00684591"/>
    <w:rsid w:val="00685965"/>
    <w:rsid w:val="006859AC"/>
    <w:rsid w:val="006859F8"/>
    <w:rsid w:val="00685A45"/>
    <w:rsid w:val="00686716"/>
    <w:rsid w:val="00687A87"/>
    <w:rsid w:val="006909B2"/>
    <w:rsid w:val="00691162"/>
    <w:rsid w:val="006912A5"/>
    <w:rsid w:val="006924D1"/>
    <w:rsid w:val="00693BD0"/>
    <w:rsid w:val="00695E12"/>
    <w:rsid w:val="00695F19"/>
    <w:rsid w:val="006962D2"/>
    <w:rsid w:val="0069644E"/>
    <w:rsid w:val="006A007D"/>
    <w:rsid w:val="006A0107"/>
    <w:rsid w:val="006A1302"/>
    <w:rsid w:val="006A1704"/>
    <w:rsid w:val="006A1B2F"/>
    <w:rsid w:val="006A2786"/>
    <w:rsid w:val="006A280A"/>
    <w:rsid w:val="006A2892"/>
    <w:rsid w:val="006A2A9D"/>
    <w:rsid w:val="006A2F2C"/>
    <w:rsid w:val="006A3796"/>
    <w:rsid w:val="006A3FF4"/>
    <w:rsid w:val="006A40CF"/>
    <w:rsid w:val="006A51DA"/>
    <w:rsid w:val="006A5802"/>
    <w:rsid w:val="006A5DA5"/>
    <w:rsid w:val="006A6155"/>
    <w:rsid w:val="006A62AB"/>
    <w:rsid w:val="006A676B"/>
    <w:rsid w:val="006A69FB"/>
    <w:rsid w:val="006A6DAE"/>
    <w:rsid w:val="006A6EB0"/>
    <w:rsid w:val="006A761E"/>
    <w:rsid w:val="006A7807"/>
    <w:rsid w:val="006A78D5"/>
    <w:rsid w:val="006B0252"/>
    <w:rsid w:val="006B04DA"/>
    <w:rsid w:val="006B077E"/>
    <w:rsid w:val="006B099E"/>
    <w:rsid w:val="006B1721"/>
    <w:rsid w:val="006B1BA5"/>
    <w:rsid w:val="006B2457"/>
    <w:rsid w:val="006B2D3B"/>
    <w:rsid w:val="006B35FE"/>
    <w:rsid w:val="006B3DEA"/>
    <w:rsid w:val="006B3EBD"/>
    <w:rsid w:val="006B4328"/>
    <w:rsid w:val="006B4FCC"/>
    <w:rsid w:val="006B55E3"/>
    <w:rsid w:val="006B5E3F"/>
    <w:rsid w:val="006B5E91"/>
    <w:rsid w:val="006B6003"/>
    <w:rsid w:val="006B617A"/>
    <w:rsid w:val="006B6714"/>
    <w:rsid w:val="006B6B90"/>
    <w:rsid w:val="006B79E0"/>
    <w:rsid w:val="006C00C6"/>
    <w:rsid w:val="006C01F9"/>
    <w:rsid w:val="006C023F"/>
    <w:rsid w:val="006C02FA"/>
    <w:rsid w:val="006C0C85"/>
    <w:rsid w:val="006C121D"/>
    <w:rsid w:val="006C1707"/>
    <w:rsid w:val="006C1B06"/>
    <w:rsid w:val="006C1D9C"/>
    <w:rsid w:val="006C1FCB"/>
    <w:rsid w:val="006C2888"/>
    <w:rsid w:val="006C4279"/>
    <w:rsid w:val="006C4325"/>
    <w:rsid w:val="006C438B"/>
    <w:rsid w:val="006C4ACE"/>
    <w:rsid w:val="006C5E86"/>
    <w:rsid w:val="006C636B"/>
    <w:rsid w:val="006C69BE"/>
    <w:rsid w:val="006C7695"/>
    <w:rsid w:val="006C77ED"/>
    <w:rsid w:val="006C7B4D"/>
    <w:rsid w:val="006C7CCA"/>
    <w:rsid w:val="006C7CE5"/>
    <w:rsid w:val="006C7F85"/>
    <w:rsid w:val="006D03A0"/>
    <w:rsid w:val="006D052A"/>
    <w:rsid w:val="006D0A24"/>
    <w:rsid w:val="006D105D"/>
    <w:rsid w:val="006D1DEF"/>
    <w:rsid w:val="006D23F0"/>
    <w:rsid w:val="006D292E"/>
    <w:rsid w:val="006D2C6E"/>
    <w:rsid w:val="006D38A4"/>
    <w:rsid w:val="006D3DA7"/>
    <w:rsid w:val="006D4B7E"/>
    <w:rsid w:val="006D4E2E"/>
    <w:rsid w:val="006D51A5"/>
    <w:rsid w:val="006D5CE6"/>
    <w:rsid w:val="006D67FE"/>
    <w:rsid w:val="006D69A8"/>
    <w:rsid w:val="006D70EF"/>
    <w:rsid w:val="006D7B10"/>
    <w:rsid w:val="006E03B3"/>
    <w:rsid w:val="006E0E33"/>
    <w:rsid w:val="006E1211"/>
    <w:rsid w:val="006E124B"/>
    <w:rsid w:val="006E12F5"/>
    <w:rsid w:val="006E1674"/>
    <w:rsid w:val="006E1D17"/>
    <w:rsid w:val="006E20DC"/>
    <w:rsid w:val="006E255E"/>
    <w:rsid w:val="006E258F"/>
    <w:rsid w:val="006E2AD8"/>
    <w:rsid w:val="006E2CA2"/>
    <w:rsid w:val="006E2F53"/>
    <w:rsid w:val="006E34D9"/>
    <w:rsid w:val="006E3607"/>
    <w:rsid w:val="006E363C"/>
    <w:rsid w:val="006E3FD1"/>
    <w:rsid w:val="006E44A1"/>
    <w:rsid w:val="006E5D04"/>
    <w:rsid w:val="006E5DBE"/>
    <w:rsid w:val="006E65BD"/>
    <w:rsid w:val="006E690F"/>
    <w:rsid w:val="006E6B5D"/>
    <w:rsid w:val="006E71F0"/>
    <w:rsid w:val="006E7211"/>
    <w:rsid w:val="006E7531"/>
    <w:rsid w:val="006F0B26"/>
    <w:rsid w:val="006F2149"/>
    <w:rsid w:val="006F258D"/>
    <w:rsid w:val="006F2946"/>
    <w:rsid w:val="006F32C7"/>
    <w:rsid w:val="006F3ECC"/>
    <w:rsid w:val="006F4763"/>
    <w:rsid w:val="006F47CB"/>
    <w:rsid w:val="006F490F"/>
    <w:rsid w:val="006F4EE8"/>
    <w:rsid w:val="006F532F"/>
    <w:rsid w:val="006F56AA"/>
    <w:rsid w:val="006F573B"/>
    <w:rsid w:val="006F574B"/>
    <w:rsid w:val="006F6C3F"/>
    <w:rsid w:val="006F6F0B"/>
    <w:rsid w:val="006F6FAD"/>
    <w:rsid w:val="006F7903"/>
    <w:rsid w:val="006F7BC2"/>
    <w:rsid w:val="006F7E64"/>
    <w:rsid w:val="006F7F9A"/>
    <w:rsid w:val="00700313"/>
    <w:rsid w:val="007003C5"/>
    <w:rsid w:val="00700BBD"/>
    <w:rsid w:val="00700E72"/>
    <w:rsid w:val="00701678"/>
    <w:rsid w:val="007017F5"/>
    <w:rsid w:val="00703330"/>
    <w:rsid w:val="00703420"/>
    <w:rsid w:val="00703E55"/>
    <w:rsid w:val="00704437"/>
    <w:rsid w:val="0070463D"/>
    <w:rsid w:val="00704F24"/>
    <w:rsid w:val="00705D9C"/>
    <w:rsid w:val="007077C3"/>
    <w:rsid w:val="00707B10"/>
    <w:rsid w:val="00707BA5"/>
    <w:rsid w:val="00710D76"/>
    <w:rsid w:val="00710DBD"/>
    <w:rsid w:val="00710DD0"/>
    <w:rsid w:val="007112C5"/>
    <w:rsid w:val="00711A0F"/>
    <w:rsid w:val="00711E8C"/>
    <w:rsid w:val="007120CE"/>
    <w:rsid w:val="00712316"/>
    <w:rsid w:val="0071299D"/>
    <w:rsid w:val="00712ACB"/>
    <w:rsid w:val="00712C2B"/>
    <w:rsid w:val="00713AC4"/>
    <w:rsid w:val="00713D2B"/>
    <w:rsid w:val="0071459B"/>
    <w:rsid w:val="007152D4"/>
    <w:rsid w:val="007153A8"/>
    <w:rsid w:val="00715BF4"/>
    <w:rsid w:val="007171F9"/>
    <w:rsid w:val="00717350"/>
    <w:rsid w:val="00720791"/>
    <w:rsid w:val="00720EF5"/>
    <w:rsid w:val="00721824"/>
    <w:rsid w:val="00721CD2"/>
    <w:rsid w:val="00721EBB"/>
    <w:rsid w:val="00722194"/>
    <w:rsid w:val="007223FE"/>
    <w:rsid w:val="0072269F"/>
    <w:rsid w:val="007227D2"/>
    <w:rsid w:val="0072282A"/>
    <w:rsid w:val="00722968"/>
    <w:rsid w:val="0072350E"/>
    <w:rsid w:val="00723C69"/>
    <w:rsid w:val="00724167"/>
    <w:rsid w:val="00724217"/>
    <w:rsid w:val="00724279"/>
    <w:rsid w:val="00724771"/>
    <w:rsid w:val="00724D8A"/>
    <w:rsid w:val="00724DE4"/>
    <w:rsid w:val="007251B5"/>
    <w:rsid w:val="007253C5"/>
    <w:rsid w:val="00725608"/>
    <w:rsid w:val="0072585A"/>
    <w:rsid w:val="00725E3C"/>
    <w:rsid w:val="007262FC"/>
    <w:rsid w:val="007272BC"/>
    <w:rsid w:val="00727A35"/>
    <w:rsid w:val="00727E44"/>
    <w:rsid w:val="00727EA5"/>
    <w:rsid w:val="00730FDE"/>
    <w:rsid w:val="007314BC"/>
    <w:rsid w:val="00731C64"/>
    <w:rsid w:val="00732282"/>
    <w:rsid w:val="00732B76"/>
    <w:rsid w:val="0073385A"/>
    <w:rsid w:val="00734460"/>
    <w:rsid w:val="007344BA"/>
    <w:rsid w:val="00734795"/>
    <w:rsid w:val="00734CEC"/>
    <w:rsid w:val="00735C52"/>
    <w:rsid w:val="00736106"/>
    <w:rsid w:val="00736463"/>
    <w:rsid w:val="00736625"/>
    <w:rsid w:val="00737CA6"/>
    <w:rsid w:val="00740582"/>
    <w:rsid w:val="00740DAA"/>
    <w:rsid w:val="007415B3"/>
    <w:rsid w:val="007419D2"/>
    <w:rsid w:val="00741D39"/>
    <w:rsid w:val="00744547"/>
    <w:rsid w:val="00746267"/>
    <w:rsid w:val="007463BA"/>
    <w:rsid w:val="0074696B"/>
    <w:rsid w:val="00746D28"/>
    <w:rsid w:val="00747327"/>
    <w:rsid w:val="00747C53"/>
    <w:rsid w:val="00747D4C"/>
    <w:rsid w:val="007501BD"/>
    <w:rsid w:val="00750785"/>
    <w:rsid w:val="00750C29"/>
    <w:rsid w:val="00750D16"/>
    <w:rsid w:val="00750DB4"/>
    <w:rsid w:val="007516DE"/>
    <w:rsid w:val="00751EAC"/>
    <w:rsid w:val="007525C2"/>
    <w:rsid w:val="00752BE4"/>
    <w:rsid w:val="00752F6A"/>
    <w:rsid w:val="00753C9A"/>
    <w:rsid w:val="00753CB4"/>
    <w:rsid w:val="00753D59"/>
    <w:rsid w:val="00753E18"/>
    <w:rsid w:val="00754A56"/>
    <w:rsid w:val="007553DB"/>
    <w:rsid w:val="0075572F"/>
    <w:rsid w:val="00756694"/>
    <w:rsid w:val="00756950"/>
    <w:rsid w:val="00756CF0"/>
    <w:rsid w:val="00757880"/>
    <w:rsid w:val="007579D2"/>
    <w:rsid w:val="00757FE4"/>
    <w:rsid w:val="007600C6"/>
    <w:rsid w:val="0076029B"/>
    <w:rsid w:val="007603FA"/>
    <w:rsid w:val="00760D0A"/>
    <w:rsid w:val="00761B6C"/>
    <w:rsid w:val="00761BF7"/>
    <w:rsid w:val="00761DDC"/>
    <w:rsid w:val="00762551"/>
    <w:rsid w:val="007625E9"/>
    <w:rsid w:val="007629A3"/>
    <w:rsid w:val="00762C0D"/>
    <w:rsid w:val="00763291"/>
    <w:rsid w:val="007634D5"/>
    <w:rsid w:val="007642AC"/>
    <w:rsid w:val="007643F4"/>
    <w:rsid w:val="007648C6"/>
    <w:rsid w:val="00764B0A"/>
    <w:rsid w:val="00764FBC"/>
    <w:rsid w:val="00765594"/>
    <w:rsid w:val="00765642"/>
    <w:rsid w:val="00765753"/>
    <w:rsid w:val="00765F18"/>
    <w:rsid w:val="007663D4"/>
    <w:rsid w:val="007667AB"/>
    <w:rsid w:val="007675E1"/>
    <w:rsid w:val="00767A8D"/>
    <w:rsid w:val="0077022B"/>
    <w:rsid w:val="007704FE"/>
    <w:rsid w:val="00770546"/>
    <w:rsid w:val="00770BB1"/>
    <w:rsid w:val="00770BB8"/>
    <w:rsid w:val="007719ED"/>
    <w:rsid w:val="00772490"/>
    <w:rsid w:val="007727E8"/>
    <w:rsid w:val="00772ED4"/>
    <w:rsid w:val="00773281"/>
    <w:rsid w:val="00773FFC"/>
    <w:rsid w:val="00774E23"/>
    <w:rsid w:val="00775F13"/>
    <w:rsid w:val="00775FA7"/>
    <w:rsid w:val="0077693C"/>
    <w:rsid w:val="00776948"/>
    <w:rsid w:val="00776ED3"/>
    <w:rsid w:val="00780081"/>
    <w:rsid w:val="0078012F"/>
    <w:rsid w:val="0078114F"/>
    <w:rsid w:val="0078159F"/>
    <w:rsid w:val="0078249A"/>
    <w:rsid w:val="0078254A"/>
    <w:rsid w:val="0078262B"/>
    <w:rsid w:val="007828BB"/>
    <w:rsid w:val="00783075"/>
    <w:rsid w:val="0078319D"/>
    <w:rsid w:val="007831E3"/>
    <w:rsid w:val="007833E4"/>
    <w:rsid w:val="00784C44"/>
    <w:rsid w:val="00784E17"/>
    <w:rsid w:val="00784F3E"/>
    <w:rsid w:val="00786138"/>
    <w:rsid w:val="00787AA2"/>
    <w:rsid w:val="0079007D"/>
    <w:rsid w:val="00790B83"/>
    <w:rsid w:val="00791008"/>
    <w:rsid w:val="00791F18"/>
    <w:rsid w:val="007920DB"/>
    <w:rsid w:val="007921DD"/>
    <w:rsid w:val="00792461"/>
    <w:rsid w:val="00792CD6"/>
    <w:rsid w:val="00793555"/>
    <w:rsid w:val="007938E9"/>
    <w:rsid w:val="00793E2D"/>
    <w:rsid w:val="0079417D"/>
    <w:rsid w:val="0079436A"/>
    <w:rsid w:val="00794BC9"/>
    <w:rsid w:val="00795106"/>
    <w:rsid w:val="0079646E"/>
    <w:rsid w:val="00796AC8"/>
    <w:rsid w:val="00796EE9"/>
    <w:rsid w:val="0079702C"/>
    <w:rsid w:val="007A03DA"/>
    <w:rsid w:val="007A0520"/>
    <w:rsid w:val="007A07A9"/>
    <w:rsid w:val="007A0B08"/>
    <w:rsid w:val="007A0F00"/>
    <w:rsid w:val="007A1F88"/>
    <w:rsid w:val="007A2210"/>
    <w:rsid w:val="007A322E"/>
    <w:rsid w:val="007A374D"/>
    <w:rsid w:val="007A47DB"/>
    <w:rsid w:val="007A4A16"/>
    <w:rsid w:val="007A4E59"/>
    <w:rsid w:val="007A6333"/>
    <w:rsid w:val="007A6334"/>
    <w:rsid w:val="007A6F68"/>
    <w:rsid w:val="007A74DF"/>
    <w:rsid w:val="007A7EDA"/>
    <w:rsid w:val="007B1375"/>
    <w:rsid w:val="007B1554"/>
    <w:rsid w:val="007B15B2"/>
    <w:rsid w:val="007B1EA1"/>
    <w:rsid w:val="007B2011"/>
    <w:rsid w:val="007B24A9"/>
    <w:rsid w:val="007B2E26"/>
    <w:rsid w:val="007B31B2"/>
    <w:rsid w:val="007B3C65"/>
    <w:rsid w:val="007B3D61"/>
    <w:rsid w:val="007B5510"/>
    <w:rsid w:val="007B5CA7"/>
    <w:rsid w:val="007B5D60"/>
    <w:rsid w:val="007B63B3"/>
    <w:rsid w:val="007B6504"/>
    <w:rsid w:val="007B6ABD"/>
    <w:rsid w:val="007B6EF5"/>
    <w:rsid w:val="007B7232"/>
    <w:rsid w:val="007B7460"/>
    <w:rsid w:val="007C00B4"/>
    <w:rsid w:val="007C0C0D"/>
    <w:rsid w:val="007C0EA7"/>
    <w:rsid w:val="007C190B"/>
    <w:rsid w:val="007C1AC9"/>
    <w:rsid w:val="007C1C02"/>
    <w:rsid w:val="007C266D"/>
    <w:rsid w:val="007C2A7B"/>
    <w:rsid w:val="007C406A"/>
    <w:rsid w:val="007C5A23"/>
    <w:rsid w:val="007C6335"/>
    <w:rsid w:val="007C656F"/>
    <w:rsid w:val="007C67CA"/>
    <w:rsid w:val="007C6BAF"/>
    <w:rsid w:val="007C6FF3"/>
    <w:rsid w:val="007C71F5"/>
    <w:rsid w:val="007C763F"/>
    <w:rsid w:val="007C7750"/>
    <w:rsid w:val="007D04C5"/>
    <w:rsid w:val="007D05B0"/>
    <w:rsid w:val="007D0C82"/>
    <w:rsid w:val="007D0F8C"/>
    <w:rsid w:val="007D114B"/>
    <w:rsid w:val="007D1F4C"/>
    <w:rsid w:val="007D2524"/>
    <w:rsid w:val="007D25B6"/>
    <w:rsid w:val="007D2BF5"/>
    <w:rsid w:val="007D450A"/>
    <w:rsid w:val="007D4E72"/>
    <w:rsid w:val="007D501F"/>
    <w:rsid w:val="007D612D"/>
    <w:rsid w:val="007D63DB"/>
    <w:rsid w:val="007D676D"/>
    <w:rsid w:val="007D6BFE"/>
    <w:rsid w:val="007D6DF3"/>
    <w:rsid w:val="007D7926"/>
    <w:rsid w:val="007E03A3"/>
    <w:rsid w:val="007E070A"/>
    <w:rsid w:val="007E0CD3"/>
    <w:rsid w:val="007E0FC4"/>
    <w:rsid w:val="007E14C5"/>
    <w:rsid w:val="007E1BD6"/>
    <w:rsid w:val="007E2539"/>
    <w:rsid w:val="007E517E"/>
    <w:rsid w:val="007E535D"/>
    <w:rsid w:val="007E539D"/>
    <w:rsid w:val="007E5905"/>
    <w:rsid w:val="007E5951"/>
    <w:rsid w:val="007E6052"/>
    <w:rsid w:val="007E6476"/>
    <w:rsid w:val="007E6E0B"/>
    <w:rsid w:val="007E706F"/>
    <w:rsid w:val="007E7654"/>
    <w:rsid w:val="007E7751"/>
    <w:rsid w:val="007E7895"/>
    <w:rsid w:val="007E7A10"/>
    <w:rsid w:val="007E7CE3"/>
    <w:rsid w:val="007E7F02"/>
    <w:rsid w:val="007F03B3"/>
    <w:rsid w:val="007F0CCD"/>
    <w:rsid w:val="007F0D75"/>
    <w:rsid w:val="007F170B"/>
    <w:rsid w:val="007F185B"/>
    <w:rsid w:val="007F1BCE"/>
    <w:rsid w:val="007F221A"/>
    <w:rsid w:val="007F2449"/>
    <w:rsid w:val="007F357C"/>
    <w:rsid w:val="007F3884"/>
    <w:rsid w:val="007F401E"/>
    <w:rsid w:val="007F50B5"/>
    <w:rsid w:val="007F55DB"/>
    <w:rsid w:val="007F5629"/>
    <w:rsid w:val="007F598F"/>
    <w:rsid w:val="007F5BD5"/>
    <w:rsid w:val="007F5BE5"/>
    <w:rsid w:val="007F6DE6"/>
    <w:rsid w:val="00800C21"/>
    <w:rsid w:val="00801573"/>
    <w:rsid w:val="008015F6"/>
    <w:rsid w:val="00801633"/>
    <w:rsid w:val="0080177B"/>
    <w:rsid w:val="0080224A"/>
    <w:rsid w:val="0080273B"/>
    <w:rsid w:val="00803046"/>
    <w:rsid w:val="0080374F"/>
    <w:rsid w:val="00803765"/>
    <w:rsid w:val="00803AA6"/>
    <w:rsid w:val="0080489C"/>
    <w:rsid w:val="00805634"/>
    <w:rsid w:val="00806244"/>
    <w:rsid w:val="008064F6"/>
    <w:rsid w:val="008068BA"/>
    <w:rsid w:val="00807A5C"/>
    <w:rsid w:val="00807ABD"/>
    <w:rsid w:val="00807F98"/>
    <w:rsid w:val="00810338"/>
    <w:rsid w:val="00810584"/>
    <w:rsid w:val="008106DA"/>
    <w:rsid w:val="00810DA6"/>
    <w:rsid w:val="00810DEE"/>
    <w:rsid w:val="00811078"/>
    <w:rsid w:val="00811248"/>
    <w:rsid w:val="008114AA"/>
    <w:rsid w:val="0081155F"/>
    <w:rsid w:val="0081157D"/>
    <w:rsid w:val="00811B5A"/>
    <w:rsid w:val="00811CB0"/>
    <w:rsid w:val="00811E79"/>
    <w:rsid w:val="00812262"/>
    <w:rsid w:val="008124ED"/>
    <w:rsid w:val="0081270E"/>
    <w:rsid w:val="00812BDA"/>
    <w:rsid w:val="00812D5A"/>
    <w:rsid w:val="008130D5"/>
    <w:rsid w:val="008134AA"/>
    <w:rsid w:val="0081353E"/>
    <w:rsid w:val="00813866"/>
    <w:rsid w:val="008138CA"/>
    <w:rsid w:val="00813A8A"/>
    <w:rsid w:val="00813D65"/>
    <w:rsid w:val="00814665"/>
    <w:rsid w:val="008157B1"/>
    <w:rsid w:val="008157CB"/>
    <w:rsid w:val="0081689B"/>
    <w:rsid w:val="0081700A"/>
    <w:rsid w:val="00817665"/>
    <w:rsid w:val="00817E7C"/>
    <w:rsid w:val="008212C3"/>
    <w:rsid w:val="00822132"/>
    <w:rsid w:val="00822FFB"/>
    <w:rsid w:val="00823175"/>
    <w:rsid w:val="008231B2"/>
    <w:rsid w:val="00824703"/>
    <w:rsid w:val="008248D3"/>
    <w:rsid w:val="00824D96"/>
    <w:rsid w:val="0082540E"/>
    <w:rsid w:val="00825EA0"/>
    <w:rsid w:val="00826996"/>
    <w:rsid w:val="008272DF"/>
    <w:rsid w:val="008279A4"/>
    <w:rsid w:val="00827A08"/>
    <w:rsid w:val="0083020E"/>
    <w:rsid w:val="008302BA"/>
    <w:rsid w:val="008307C2"/>
    <w:rsid w:val="00830949"/>
    <w:rsid w:val="00830A69"/>
    <w:rsid w:val="0083187B"/>
    <w:rsid w:val="0083188B"/>
    <w:rsid w:val="00831D42"/>
    <w:rsid w:val="008328E7"/>
    <w:rsid w:val="00832945"/>
    <w:rsid w:val="00833E4E"/>
    <w:rsid w:val="00834890"/>
    <w:rsid w:val="00834A55"/>
    <w:rsid w:val="00834E8D"/>
    <w:rsid w:val="00835399"/>
    <w:rsid w:val="0083540B"/>
    <w:rsid w:val="008359D9"/>
    <w:rsid w:val="00835D15"/>
    <w:rsid w:val="008362E3"/>
    <w:rsid w:val="00836337"/>
    <w:rsid w:val="00836573"/>
    <w:rsid w:val="00836958"/>
    <w:rsid w:val="008369BB"/>
    <w:rsid w:val="00836C40"/>
    <w:rsid w:val="00837236"/>
    <w:rsid w:val="0083770A"/>
    <w:rsid w:val="008378C3"/>
    <w:rsid w:val="00837AA3"/>
    <w:rsid w:val="00840848"/>
    <w:rsid w:val="00840B5B"/>
    <w:rsid w:val="00840EA7"/>
    <w:rsid w:val="0084104F"/>
    <w:rsid w:val="008411E4"/>
    <w:rsid w:val="00841D92"/>
    <w:rsid w:val="00841F10"/>
    <w:rsid w:val="00842C8E"/>
    <w:rsid w:val="00842D63"/>
    <w:rsid w:val="00843C0A"/>
    <w:rsid w:val="00843E0B"/>
    <w:rsid w:val="0084432D"/>
    <w:rsid w:val="00844C87"/>
    <w:rsid w:val="0084514F"/>
    <w:rsid w:val="00845A17"/>
    <w:rsid w:val="00845A88"/>
    <w:rsid w:val="00845D25"/>
    <w:rsid w:val="00845DA1"/>
    <w:rsid w:val="00846C72"/>
    <w:rsid w:val="00847261"/>
    <w:rsid w:val="0084744D"/>
    <w:rsid w:val="008501F9"/>
    <w:rsid w:val="00850BA5"/>
    <w:rsid w:val="00850F79"/>
    <w:rsid w:val="00851C5A"/>
    <w:rsid w:val="008523A5"/>
    <w:rsid w:val="00852B8A"/>
    <w:rsid w:val="00852DEF"/>
    <w:rsid w:val="00852EFF"/>
    <w:rsid w:val="00853F03"/>
    <w:rsid w:val="008543DA"/>
    <w:rsid w:val="00854650"/>
    <w:rsid w:val="0085465C"/>
    <w:rsid w:val="00855D95"/>
    <w:rsid w:val="00855E9B"/>
    <w:rsid w:val="00856012"/>
    <w:rsid w:val="00856267"/>
    <w:rsid w:val="0085628D"/>
    <w:rsid w:val="008566A8"/>
    <w:rsid w:val="00856FDF"/>
    <w:rsid w:val="00857158"/>
    <w:rsid w:val="008571FB"/>
    <w:rsid w:val="00857E8B"/>
    <w:rsid w:val="0086076F"/>
    <w:rsid w:val="008609A0"/>
    <w:rsid w:val="00861788"/>
    <w:rsid w:val="008629C5"/>
    <w:rsid w:val="00862BEE"/>
    <w:rsid w:val="00862DB8"/>
    <w:rsid w:val="008636F4"/>
    <w:rsid w:val="008638D5"/>
    <w:rsid w:val="0086435F"/>
    <w:rsid w:val="00864CCA"/>
    <w:rsid w:val="008652EF"/>
    <w:rsid w:val="008655A3"/>
    <w:rsid w:val="0086566C"/>
    <w:rsid w:val="00865B51"/>
    <w:rsid w:val="00865CBD"/>
    <w:rsid w:val="0086636B"/>
    <w:rsid w:val="0086645F"/>
    <w:rsid w:val="00867753"/>
    <w:rsid w:val="0087045E"/>
    <w:rsid w:val="008709B8"/>
    <w:rsid w:val="00870ACD"/>
    <w:rsid w:val="00870C61"/>
    <w:rsid w:val="00871538"/>
    <w:rsid w:val="00871913"/>
    <w:rsid w:val="00871933"/>
    <w:rsid w:val="00871E32"/>
    <w:rsid w:val="008724FA"/>
    <w:rsid w:val="008729D8"/>
    <w:rsid w:val="00872BEA"/>
    <w:rsid w:val="00872D11"/>
    <w:rsid w:val="00872D17"/>
    <w:rsid w:val="0087343A"/>
    <w:rsid w:val="0087363A"/>
    <w:rsid w:val="00873BBA"/>
    <w:rsid w:val="00873BCF"/>
    <w:rsid w:val="00873BE1"/>
    <w:rsid w:val="00873CE3"/>
    <w:rsid w:val="0087401B"/>
    <w:rsid w:val="00874EE3"/>
    <w:rsid w:val="008753F9"/>
    <w:rsid w:val="00875A63"/>
    <w:rsid w:val="0087600A"/>
    <w:rsid w:val="00876259"/>
    <w:rsid w:val="00876A93"/>
    <w:rsid w:val="00876AF2"/>
    <w:rsid w:val="00876CD5"/>
    <w:rsid w:val="00876D3B"/>
    <w:rsid w:val="008770B9"/>
    <w:rsid w:val="00877409"/>
    <w:rsid w:val="0088083C"/>
    <w:rsid w:val="00880E99"/>
    <w:rsid w:val="008810BE"/>
    <w:rsid w:val="008825D9"/>
    <w:rsid w:val="008836B0"/>
    <w:rsid w:val="008839CE"/>
    <w:rsid w:val="00883D63"/>
    <w:rsid w:val="0088407B"/>
    <w:rsid w:val="00885F94"/>
    <w:rsid w:val="0088641E"/>
    <w:rsid w:val="00887EE5"/>
    <w:rsid w:val="00887F78"/>
    <w:rsid w:val="00891560"/>
    <w:rsid w:val="00891E45"/>
    <w:rsid w:val="0089224B"/>
    <w:rsid w:val="00892A47"/>
    <w:rsid w:val="00893F54"/>
    <w:rsid w:val="00894051"/>
    <w:rsid w:val="008947F1"/>
    <w:rsid w:val="00894F3A"/>
    <w:rsid w:val="0089594A"/>
    <w:rsid w:val="00895A0D"/>
    <w:rsid w:val="00895C69"/>
    <w:rsid w:val="00895C8C"/>
    <w:rsid w:val="008968AA"/>
    <w:rsid w:val="00896B4D"/>
    <w:rsid w:val="008974E7"/>
    <w:rsid w:val="008A068F"/>
    <w:rsid w:val="008A06B6"/>
    <w:rsid w:val="008A1064"/>
    <w:rsid w:val="008A42A9"/>
    <w:rsid w:val="008A64B5"/>
    <w:rsid w:val="008A6716"/>
    <w:rsid w:val="008A7781"/>
    <w:rsid w:val="008A7B0C"/>
    <w:rsid w:val="008A7D9E"/>
    <w:rsid w:val="008B05A8"/>
    <w:rsid w:val="008B135D"/>
    <w:rsid w:val="008B14D1"/>
    <w:rsid w:val="008B1955"/>
    <w:rsid w:val="008B335E"/>
    <w:rsid w:val="008B3F93"/>
    <w:rsid w:val="008B3FC3"/>
    <w:rsid w:val="008B4E6F"/>
    <w:rsid w:val="008B5B51"/>
    <w:rsid w:val="008B5C2D"/>
    <w:rsid w:val="008B5C87"/>
    <w:rsid w:val="008B5D6C"/>
    <w:rsid w:val="008B629F"/>
    <w:rsid w:val="008B688B"/>
    <w:rsid w:val="008B6D81"/>
    <w:rsid w:val="008B70E7"/>
    <w:rsid w:val="008B756C"/>
    <w:rsid w:val="008B7976"/>
    <w:rsid w:val="008B7B4F"/>
    <w:rsid w:val="008C1CAA"/>
    <w:rsid w:val="008C1CAF"/>
    <w:rsid w:val="008C1F35"/>
    <w:rsid w:val="008C21C1"/>
    <w:rsid w:val="008C222D"/>
    <w:rsid w:val="008C2271"/>
    <w:rsid w:val="008C2AE9"/>
    <w:rsid w:val="008C4BED"/>
    <w:rsid w:val="008C4C02"/>
    <w:rsid w:val="008C6540"/>
    <w:rsid w:val="008C747A"/>
    <w:rsid w:val="008C7CE0"/>
    <w:rsid w:val="008C7D1F"/>
    <w:rsid w:val="008C7E71"/>
    <w:rsid w:val="008D000B"/>
    <w:rsid w:val="008D066A"/>
    <w:rsid w:val="008D1761"/>
    <w:rsid w:val="008D183C"/>
    <w:rsid w:val="008D1864"/>
    <w:rsid w:val="008D1D88"/>
    <w:rsid w:val="008D1FF5"/>
    <w:rsid w:val="008D2340"/>
    <w:rsid w:val="008D262D"/>
    <w:rsid w:val="008D2BEB"/>
    <w:rsid w:val="008D3EC0"/>
    <w:rsid w:val="008D3F71"/>
    <w:rsid w:val="008D48F7"/>
    <w:rsid w:val="008D4CCF"/>
    <w:rsid w:val="008D52B9"/>
    <w:rsid w:val="008D5AE6"/>
    <w:rsid w:val="008D716F"/>
    <w:rsid w:val="008D7E15"/>
    <w:rsid w:val="008E0205"/>
    <w:rsid w:val="008E10CC"/>
    <w:rsid w:val="008E12AB"/>
    <w:rsid w:val="008E130E"/>
    <w:rsid w:val="008E1666"/>
    <w:rsid w:val="008E19B0"/>
    <w:rsid w:val="008E19E9"/>
    <w:rsid w:val="008E1EA7"/>
    <w:rsid w:val="008E258C"/>
    <w:rsid w:val="008E35F4"/>
    <w:rsid w:val="008E378B"/>
    <w:rsid w:val="008E386F"/>
    <w:rsid w:val="008E41FD"/>
    <w:rsid w:val="008E4AD7"/>
    <w:rsid w:val="008E4D53"/>
    <w:rsid w:val="008E5092"/>
    <w:rsid w:val="008E522F"/>
    <w:rsid w:val="008E574C"/>
    <w:rsid w:val="008E57B8"/>
    <w:rsid w:val="008E6CF9"/>
    <w:rsid w:val="008E78C1"/>
    <w:rsid w:val="008F05BD"/>
    <w:rsid w:val="008F0797"/>
    <w:rsid w:val="008F092E"/>
    <w:rsid w:val="008F0C78"/>
    <w:rsid w:val="008F1415"/>
    <w:rsid w:val="008F165A"/>
    <w:rsid w:val="008F179B"/>
    <w:rsid w:val="008F17C8"/>
    <w:rsid w:val="008F1C0C"/>
    <w:rsid w:val="008F1D3E"/>
    <w:rsid w:val="008F379B"/>
    <w:rsid w:val="008F4445"/>
    <w:rsid w:val="008F6298"/>
    <w:rsid w:val="008F6C33"/>
    <w:rsid w:val="008F71BD"/>
    <w:rsid w:val="008F7DD6"/>
    <w:rsid w:val="008F7EA5"/>
    <w:rsid w:val="009000CC"/>
    <w:rsid w:val="009005BF"/>
    <w:rsid w:val="00900741"/>
    <w:rsid w:val="009018AC"/>
    <w:rsid w:val="009018DE"/>
    <w:rsid w:val="00901CBE"/>
    <w:rsid w:val="009033BA"/>
    <w:rsid w:val="00903F49"/>
    <w:rsid w:val="009049A3"/>
    <w:rsid w:val="00904B44"/>
    <w:rsid w:val="00904C62"/>
    <w:rsid w:val="00904DBC"/>
    <w:rsid w:val="00905467"/>
    <w:rsid w:val="009059BB"/>
    <w:rsid w:val="00905B83"/>
    <w:rsid w:val="00905D91"/>
    <w:rsid w:val="00905DCE"/>
    <w:rsid w:val="00905EA4"/>
    <w:rsid w:val="00906093"/>
    <w:rsid w:val="00906278"/>
    <w:rsid w:val="00906E1F"/>
    <w:rsid w:val="00907F09"/>
    <w:rsid w:val="00907F1D"/>
    <w:rsid w:val="009102A3"/>
    <w:rsid w:val="00910908"/>
    <w:rsid w:val="0091284D"/>
    <w:rsid w:val="00912C58"/>
    <w:rsid w:val="00912E3A"/>
    <w:rsid w:val="0091368A"/>
    <w:rsid w:val="009138E5"/>
    <w:rsid w:val="00913941"/>
    <w:rsid w:val="0091439B"/>
    <w:rsid w:val="00914487"/>
    <w:rsid w:val="00914AA0"/>
    <w:rsid w:val="00914C53"/>
    <w:rsid w:val="00914F41"/>
    <w:rsid w:val="00915173"/>
    <w:rsid w:val="00915FFB"/>
    <w:rsid w:val="009160FF"/>
    <w:rsid w:val="00916125"/>
    <w:rsid w:val="0091667A"/>
    <w:rsid w:val="009168FC"/>
    <w:rsid w:val="0091707D"/>
    <w:rsid w:val="009176A8"/>
    <w:rsid w:val="00917C4A"/>
    <w:rsid w:val="00920B44"/>
    <w:rsid w:val="00920D34"/>
    <w:rsid w:val="00920D3E"/>
    <w:rsid w:val="00921A8F"/>
    <w:rsid w:val="00921F3D"/>
    <w:rsid w:val="009220DF"/>
    <w:rsid w:val="00922267"/>
    <w:rsid w:val="00922353"/>
    <w:rsid w:val="00922367"/>
    <w:rsid w:val="009225EA"/>
    <w:rsid w:val="009229DB"/>
    <w:rsid w:val="00922C36"/>
    <w:rsid w:val="00922DF3"/>
    <w:rsid w:val="00922ED6"/>
    <w:rsid w:val="00923D10"/>
    <w:rsid w:val="00923E00"/>
    <w:rsid w:val="0092426D"/>
    <w:rsid w:val="0092489F"/>
    <w:rsid w:val="00924CC5"/>
    <w:rsid w:val="00924E22"/>
    <w:rsid w:val="00925598"/>
    <w:rsid w:val="0092594A"/>
    <w:rsid w:val="009259EE"/>
    <w:rsid w:val="00925C3A"/>
    <w:rsid w:val="00925CB8"/>
    <w:rsid w:val="00926832"/>
    <w:rsid w:val="00926DD5"/>
    <w:rsid w:val="009274A8"/>
    <w:rsid w:val="009275EC"/>
    <w:rsid w:val="0092782C"/>
    <w:rsid w:val="0093020A"/>
    <w:rsid w:val="00930343"/>
    <w:rsid w:val="00930CB1"/>
    <w:rsid w:val="0093182A"/>
    <w:rsid w:val="0093189B"/>
    <w:rsid w:val="00931D88"/>
    <w:rsid w:val="0093219A"/>
    <w:rsid w:val="009329C1"/>
    <w:rsid w:val="00933012"/>
    <w:rsid w:val="00933853"/>
    <w:rsid w:val="0093492C"/>
    <w:rsid w:val="00935AE0"/>
    <w:rsid w:val="00936102"/>
    <w:rsid w:val="0093638C"/>
    <w:rsid w:val="00936DD1"/>
    <w:rsid w:val="00937361"/>
    <w:rsid w:val="009377BB"/>
    <w:rsid w:val="009377EF"/>
    <w:rsid w:val="00937D50"/>
    <w:rsid w:val="00937F27"/>
    <w:rsid w:val="009412D3"/>
    <w:rsid w:val="00941424"/>
    <w:rsid w:val="00941B87"/>
    <w:rsid w:val="00941D37"/>
    <w:rsid w:val="00941D91"/>
    <w:rsid w:val="00941DE6"/>
    <w:rsid w:val="00941F68"/>
    <w:rsid w:val="009425A1"/>
    <w:rsid w:val="009425FF"/>
    <w:rsid w:val="00942A43"/>
    <w:rsid w:val="00942D3D"/>
    <w:rsid w:val="00943487"/>
    <w:rsid w:val="00944548"/>
    <w:rsid w:val="00944E96"/>
    <w:rsid w:val="0094510A"/>
    <w:rsid w:val="009453DB"/>
    <w:rsid w:val="0094668D"/>
    <w:rsid w:val="00946AC0"/>
    <w:rsid w:val="0094713B"/>
    <w:rsid w:val="009475A3"/>
    <w:rsid w:val="00947CB6"/>
    <w:rsid w:val="009507DF"/>
    <w:rsid w:val="00950E5E"/>
    <w:rsid w:val="00951152"/>
    <w:rsid w:val="0095215A"/>
    <w:rsid w:val="00952210"/>
    <w:rsid w:val="009523AF"/>
    <w:rsid w:val="00952871"/>
    <w:rsid w:val="00952E99"/>
    <w:rsid w:val="00953634"/>
    <w:rsid w:val="0095489A"/>
    <w:rsid w:val="00954D8A"/>
    <w:rsid w:val="0095506D"/>
    <w:rsid w:val="00955C20"/>
    <w:rsid w:val="009568E6"/>
    <w:rsid w:val="00956AF0"/>
    <w:rsid w:val="00956EE1"/>
    <w:rsid w:val="009572D5"/>
    <w:rsid w:val="00957BD6"/>
    <w:rsid w:val="00960950"/>
    <w:rsid w:val="00960ACE"/>
    <w:rsid w:val="00960B3E"/>
    <w:rsid w:val="00960BCD"/>
    <w:rsid w:val="0096159B"/>
    <w:rsid w:val="009615B0"/>
    <w:rsid w:val="0096173B"/>
    <w:rsid w:val="0096185D"/>
    <w:rsid w:val="009621B5"/>
    <w:rsid w:val="009624E1"/>
    <w:rsid w:val="00962BF0"/>
    <w:rsid w:val="00962F8E"/>
    <w:rsid w:val="009636B0"/>
    <w:rsid w:val="0096482A"/>
    <w:rsid w:val="00964C96"/>
    <w:rsid w:val="00964D77"/>
    <w:rsid w:val="00965A84"/>
    <w:rsid w:val="00965DB9"/>
    <w:rsid w:val="0096605C"/>
    <w:rsid w:val="00966997"/>
    <w:rsid w:val="00966A66"/>
    <w:rsid w:val="009671C0"/>
    <w:rsid w:val="009674E6"/>
    <w:rsid w:val="00970363"/>
    <w:rsid w:val="00970906"/>
    <w:rsid w:val="0097096F"/>
    <w:rsid w:val="009718EE"/>
    <w:rsid w:val="0097196F"/>
    <w:rsid w:val="009737B7"/>
    <w:rsid w:val="009737EE"/>
    <w:rsid w:val="00973ACA"/>
    <w:rsid w:val="0097448F"/>
    <w:rsid w:val="009745EA"/>
    <w:rsid w:val="00975C0B"/>
    <w:rsid w:val="00975D84"/>
    <w:rsid w:val="0097677D"/>
    <w:rsid w:val="00977240"/>
    <w:rsid w:val="00977388"/>
    <w:rsid w:val="009773CB"/>
    <w:rsid w:val="009778CF"/>
    <w:rsid w:val="00977C3B"/>
    <w:rsid w:val="00977D5B"/>
    <w:rsid w:val="00980EBF"/>
    <w:rsid w:val="009814D8"/>
    <w:rsid w:val="00981C17"/>
    <w:rsid w:val="0098344C"/>
    <w:rsid w:val="0098382B"/>
    <w:rsid w:val="009839F5"/>
    <w:rsid w:val="00983AAF"/>
    <w:rsid w:val="00983AEC"/>
    <w:rsid w:val="00984DAF"/>
    <w:rsid w:val="00984EE3"/>
    <w:rsid w:val="00985825"/>
    <w:rsid w:val="00985977"/>
    <w:rsid w:val="00985A05"/>
    <w:rsid w:val="00985BAD"/>
    <w:rsid w:val="009865C6"/>
    <w:rsid w:val="00986FB0"/>
    <w:rsid w:val="009875D7"/>
    <w:rsid w:val="009879FC"/>
    <w:rsid w:val="00987CF8"/>
    <w:rsid w:val="00987EE9"/>
    <w:rsid w:val="00990137"/>
    <w:rsid w:val="009902C9"/>
    <w:rsid w:val="009905FC"/>
    <w:rsid w:val="00991289"/>
    <w:rsid w:val="009917E5"/>
    <w:rsid w:val="00991F86"/>
    <w:rsid w:val="0099229C"/>
    <w:rsid w:val="00992F0B"/>
    <w:rsid w:val="00992F95"/>
    <w:rsid w:val="00994664"/>
    <w:rsid w:val="009948D8"/>
    <w:rsid w:val="00994B37"/>
    <w:rsid w:val="009951FD"/>
    <w:rsid w:val="00995296"/>
    <w:rsid w:val="009952C5"/>
    <w:rsid w:val="00995C17"/>
    <w:rsid w:val="00995CF9"/>
    <w:rsid w:val="00996D39"/>
    <w:rsid w:val="00997491"/>
    <w:rsid w:val="0099775E"/>
    <w:rsid w:val="009979DA"/>
    <w:rsid w:val="00997F74"/>
    <w:rsid w:val="009A002C"/>
    <w:rsid w:val="009A03FB"/>
    <w:rsid w:val="009A04D5"/>
    <w:rsid w:val="009A0A23"/>
    <w:rsid w:val="009A0ADE"/>
    <w:rsid w:val="009A0E26"/>
    <w:rsid w:val="009A121B"/>
    <w:rsid w:val="009A144E"/>
    <w:rsid w:val="009A185A"/>
    <w:rsid w:val="009A1B25"/>
    <w:rsid w:val="009A22F5"/>
    <w:rsid w:val="009A26EF"/>
    <w:rsid w:val="009A2C67"/>
    <w:rsid w:val="009A4DAD"/>
    <w:rsid w:val="009A5585"/>
    <w:rsid w:val="009A5D6D"/>
    <w:rsid w:val="009A5FF3"/>
    <w:rsid w:val="009A6362"/>
    <w:rsid w:val="009A6EDD"/>
    <w:rsid w:val="009A71E1"/>
    <w:rsid w:val="009A7320"/>
    <w:rsid w:val="009A7635"/>
    <w:rsid w:val="009A794B"/>
    <w:rsid w:val="009B041C"/>
    <w:rsid w:val="009B0815"/>
    <w:rsid w:val="009B08C3"/>
    <w:rsid w:val="009B0AE2"/>
    <w:rsid w:val="009B0E41"/>
    <w:rsid w:val="009B1362"/>
    <w:rsid w:val="009B1CA9"/>
    <w:rsid w:val="009B23DA"/>
    <w:rsid w:val="009B29BF"/>
    <w:rsid w:val="009B3201"/>
    <w:rsid w:val="009B323A"/>
    <w:rsid w:val="009B3269"/>
    <w:rsid w:val="009B362D"/>
    <w:rsid w:val="009B47E0"/>
    <w:rsid w:val="009B51BF"/>
    <w:rsid w:val="009B553A"/>
    <w:rsid w:val="009B68C9"/>
    <w:rsid w:val="009B6FA9"/>
    <w:rsid w:val="009C08CB"/>
    <w:rsid w:val="009C09D9"/>
    <w:rsid w:val="009C16FA"/>
    <w:rsid w:val="009C300A"/>
    <w:rsid w:val="009C396D"/>
    <w:rsid w:val="009C3AD3"/>
    <w:rsid w:val="009C3E56"/>
    <w:rsid w:val="009C44A8"/>
    <w:rsid w:val="009C5BB1"/>
    <w:rsid w:val="009C5D81"/>
    <w:rsid w:val="009C607F"/>
    <w:rsid w:val="009C66A4"/>
    <w:rsid w:val="009C70FB"/>
    <w:rsid w:val="009C72DE"/>
    <w:rsid w:val="009C786F"/>
    <w:rsid w:val="009C7BD0"/>
    <w:rsid w:val="009D00FB"/>
    <w:rsid w:val="009D034E"/>
    <w:rsid w:val="009D0DFC"/>
    <w:rsid w:val="009D1443"/>
    <w:rsid w:val="009D1797"/>
    <w:rsid w:val="009D2B9F"/>
    <w:rsid w:val="009D2E01"/>
    <w:rsid w:val="009D35D6"/>
    <w:rsid w:val="009D38C9"/>
    <w:rsid w:val="009D3D52"/>
    <w:rsid w:val="009D420C"/>
    <w:rsid w:val="009D4991"/>
    <w:rsid w:val="009D4AFC"/>
    <w:rsid w:val="009D4D04"/>
    <w:rsid w:val="009D4D3E"/>
    <w:rsid w:val="009D54C7"/>
    <w:rsid w:val="009D5AF6"/>
    <w:rsid w:val="009D639A"/>
    <w:rsid w:val="009D69C9"/>
    <w:rsid w:val="009D777D"/>
    <w:rsid w:val="009E1340"/>
    <w:rsid w:val="009E2085"/>
    <w:rsid w:val="009E20DE"/>
    <w:rsid w:val="009E2B09"/>
    <w:rsid w:val="009E2F47"/>
    <w:rsid w:val="009E3F9C"/>
    <w:rsid w:val="009E475C"/>
    <w:rsid w:val="009E511C"/>
    <w:rsid w:val="009E5727"/>
    <w:rsid w:val="009E5CF9"/>
    <w:rsid w:val="009E728A"/>
    <w:rsid w:val="009E7385"/>
    <w:rsid w:val="009E7718"/>
    <w:rsid w:val="009E7E33"/>
    <w:rsid w:val="009F013C"/>
    <w:rsid w:val="009F06A0"/>
    <w:rsid w:val="009F08BC"/>
    <w:rsid w:val="009F13AB"/>
    <w:rsid w:val="009F16BE"/>
    <w:rsid w:val="009F1C6B"/>
    <w:rsid w:val="009F276A"/>
    <w:rsid w:val="009F45A4"/>
    <w:rsid w:val="009F48E6"/>
    <w:rsid w:val="009F48F3"/>
    <w:rsid w:val="009F5052"/>
    <w:rsid w:val="009F5534"/>
    <w:rsid w:val="009F5A49"/>
    <w:rsid w:val="009F5AF1"/>
    <w:rsid w:val="009F7FD1"/>
    <w:rsid w:val="00A00EA9"/>
    <w:rsid w:val="00A01456"/>
    <w:rsid w:val="00A01908"/>
    <w:rsid w:val="00A020DF"/>
    <w:rsid w:val="00A02364"/>
    <w:rsid w:val="00A0292B"/>
    <w:rsid w:val="00A03190"/>
    <w:rsid w:val="00A03E2F"/>
    <w:rsid w:val="00A04D90"/>
    <w:rsid w:val="00A068C2"/>
    <w:rsid w:val="00A10353"/>
    <w:rsid w:val="00A105F8"/>
    <w:rsid w:val="00A10AAA"/>
    <w:rsid w:val="00A10DA3"/>
    <w:rsid w:val="00A11368"/>
    <w:rsid w:val="00A1154D"/>
    <w:rsid w:val="00A11A7E"/>
    <w:rsid w:val="00A11B8E"/>
    <w:rsid w:val="00A11E11"/>
    <w:rsid w:val="00A1230A"/>
    <w:rsid w:val="00A1272B"/>
    <w:rsid w:val="00A1274E"/>
    <w:rsid w:val="00A12EF6"/>
    <w:rsid w:val="00A1316C"/>
    <w:rsid w:val="00A131DB"/>
    <w:rsid w:val="00A13875"/>
    <w:rsid w:val="00A13ECA"/>
    <w:rsid w:val="00A1413A"/>
    <w:rsid w:val="00A143E4"/>
    <w:rsid w:val="00A14658"/>
    <w:rsid w:val="00A153E7"/>
    <w:rsid w:val="00A16284"/>
    <w:rsid w:val="00A16588"/>
    <w:rsid w:val="00A1677A"/>
    <w:rsid w:val="00A172B8"/>
    <w:rsid w:val="00A1737E"/>
    <w:rsid w:val="00A17AB6"/>
    <w:rsid w:val="00A21217"/>
    <w:rsid w:val="00A21931"/>
    <w:rsid w:val="00A21D17"/>
    <w:rsid w:val="00A22050"/>
    <w:rsid w:val="00A22110"/>
    <w:rsid w:val="00A22193"/>
    <w:rsid w:val="00A22239"/>
    <w:rsid w:val="00A222A3"/>
    <w:rsid w:val="00A226C7"/>
    <w:rsid w:val="00A236D4"/>
    <w:rsid w:val="00A240AE"/>
    <w:rsid w:val="00A2423C"/>
    <w:rsid w:val="00A24DB5"/>
    <w:rsid w:val="00A26418"/>
    <w:rsid w:val="00A26610"/>
    <w:rsid w:val="00A26C87"/>
    <w:rsid w:val="00A271FB"/>
    <w:rsid w:val="00A27525"/>
    <w:rsid w:val="00A27ED1"/>
    <w:rsid w:val="00A30F25"/>
    <w:rsid w:val="00A31113"/>
    <w:rsid w:val="00A31206"/>
    <w:rsid w:val="00A31696"/>
    <w:rsid w:val="00A31836"/>
    <w:rsid w:val="00A318D6"/>
    <w:rsid w:val="00A319DB"/>
    <w:rsid w:val="00A31CA5"/>
    <w:rsid w:val="00A32384"/>
    <w:rsid w:val="00A329FD"/>
    <w:rsid w:val="00A33158"/>
    <w:rsid w:val="00A33E12"/>
    <w:rsid w:val="00A34AA9"/>
    <w:rsid w:val="00A34CE6"/>
    <w:rsid w:val="00A352E2"/>
    <w:rsid w:val="00A35B81"/>
    <w:rsid w:val="00A3601D"/>
    <w:rsid w:val="00A36D63"/>
    <w:rsid w:val="00A36E62"/>
    <w:rsid w:val="00A370F9"/>
    <w:rsid w:val="00A37117"/>
    <w:rsid w:val="00A37589"/>
    <w:rsid w:val="00A37F0C"/>
    <w:rsid w:val="00A37FC1"/>
    <w:rsid w:val="00A40842"/>
    <w:rsid w:val="00A40B4D"/>
    <w:rsid w:val="00A40C0A"/>
    <w:rsid w:val="00A40FB5"/>
    <w:rsid w:val="00A4101E"/>
    <w:rsid w:val="00A413DB"/>
    <w:rsid w:val="00A41D77"/>
    <w:rsid w:val="00A41E08"/>
    <w:rsid w:val="00A42984"/>
    <w:rsid w:val="00A42C0E"/>
    <w:rsid w:val="00A434E0"/>
    <w:rsid w:val="00A43FD6"/>
    <w:rsid w:val="00A4525E"/>
    <w:rsid w:val="00A45600"/>
    <w:rsid w:val="00A45BC5"/>
    <w:rsid w:val="00A460EA"/>
    <w:rsid w:val="00A46362"/>
    <w:rsid w:val="00A46418"/>
    <w:rsid w:val="00A46BE2"/>
    <w:rsid w:val="00A46EB4"/>
    <w:rsid w:val="00A47446"/>
    <w:rsid w:val="00A47515"/>
    <w:rsid w:val="00A47A70"/>
    <w:rsid w:val="00A47B9F"/>
    <w:rsid w:val="00A47EBF"/>
    <w:rsid w:val="00A47F56"/>
    <w:rsid w:val="00A5006E"/>
    <w:rsid w:val="00A50639"/>
    <w:rsid w:val="00A50CC1"/>
    <w:rsid w:val="00A51867"/>
    <w:rsid w:val="00A520FB"/>
    <w:rsid w:val="00A52621"/>
    <w:rsid w:val="00A527A0"/>
    <w:rsid w:val="00A532ED"/>
    <w:rsid w:val="00A53B9B"/>
    <w:rsid w:val="00A53E63"/>
    <w:rsid w:val="00A53FB2"/>
    <w:rsid w:val="00A53FCD"/>
    <w:rsid w:val="00A54538"/>
    <w:rsid w:val="00A54D15"/>
    <w:rsid w:val="00A5599A"/>
    <w:rsid w:val="00A55E6C"/>
    <w:rsid w:val="00A56A49"/>
    <w:rsid w:val="00A57108"/>
    <w:rsid w:val="00A5731F"/>
    <w:rsid w:val="00A5764C"/>
    <w:rsid w:val="00A578B9"/>
    <w:rsid w:val="00A57A1B"/>
    <w:rsid w:val="00A57EAA"/>
    <w:rsid w:val="00A60518"/>
    <w:rsid w:val="00A60AB6"/>
    <w:rsid w:val="00A60E71"/>
    <w:rsid w:val="00A611D5"/>
    <w:rsid w:val="00A615CD"/>
    <w:rsid w:val="00A62B1F"/>
    <w:rsid w:val="00A63E9D"/>
    <w:rsid w:val="00A64AA1"/>
    <w:rsid w:val="00A64F28"/>
    <w:rsid w:val="00A653D9"/>
    <w:rsid w:val="00A661F1"/>
    <w:rsid w:val="00A664AD"/>
    <w:rsid w:val="00A664F0"/>
    <w:rsid w:val="00A66782"/>
    <w:rsid w:val="00A67B58"/>
    <w:rsid w:val="00A70243"/>
    <w:rsid w:val="00A7039E"/>
    <w:rsid w:val="00A70998"/>
    <w:rsid w:val="00A70AC2"/>
    <w:rsid w:val="00A712E5"/>
    <w:rsid w:val="00A71312"/>
    <w:rsid w:val="00A71FA6"/>
    <w:rsid w:val="00A73047"/>
    <w:rsid w:val="00A74E24"/>
    <w:rsid w:val="00A756CE"/>
    <w:rsid w:val="00A75845"/>
    <w:rsid w:val="00A75F78"/>
    <w:rsid w:val="00A76215"/>
    <w:rsid w:val="00A76764"/>
    <w:rsid w:val="00A76E9A"/>
    <w:rsid w:val="00A77AFC"/>
    <w:rsid w:val="00A77CC5"/>
    <w:rsid w:val="00A80584"/>
    <w:rsid w:val="00A80B86"/>
    <w:rsid w:val="00A80F6D"/>
    <w:rsid w:val="00A8143D"/>
    <w:rsid w:val="00A82071"/>
    <w:rsid w:val="00A82A5F"/>
    <w:rsid w:val="00A830B7"/>
    <w:rsid w:val="00A830C9"/>
    <w:rsid w:val="00A84536"/>
    <w:rsid w:val="00A8460E"/>
    <w:rsid w:val="00A848B9"/>
    <w:rsid w:val="00A84945"/>
    <w:rsid w:val="00A84C19"/>
    <w:rsid w:val="00A84D65"/>
    <w:rsid w:val="00A851DE"/>
    <w:rsid w:val="00A8537B"/>
    <w:rsid w:val="00A8552B"/>
    <w:rsid w:val="00A85A3D"/>
    <w:rsid w:val="00A85B0F"/>
    <w:rsid w:val="00A85E4A"/>
    <w:rsid w:val="00A868D1"/>
    <w:rsid w:val="00A86AB7"/>
    <w:rsid w:val="00A86CB6"/>
    <w:rsid w:val="00A87886"/>
    <w:rsid w:val="00A90188"/>
    <w:rsid w:val="00A902C3"/>
    <w:rsid w:val="00A902C9"/>
    <w:rsid w:val="00A90344"/>
    <w:rsid w:val="00A90532"/>
    <w:rsid w:val="00A90ACB"/>
    <w:rsid w:val="00A90C79"/>
    <w:rsid w:val="00A90D7B"/>
    <w:rsid w:val="00A90E20"/>
    <w:rsid w:val="00A90E4A"/>
    <w:rsid w:val="00A9118B"/>
    <w:rsid w:val="00A91B59"/>
    <w:rsid w:val="00A92818"/>
    <w:rsid w:val="00A92A03"/>
    <w:rsid w:val="00A92FD5"/>
    <w:rsid w:val="00A930FC"/>
    <w:rsid w:val="00A94193"/>
    <w:rsid w:val="00A94723"/>
    <w:rsid w:val="00A95228"/>
    <w:rsid w:val="00A960C1"/>
    <w:rsid w:val="00A96C0D"/>
    <w:rsid w:val="00A97A2E"/>
    <w:rsid w:val="00AA0074"/>
    <w:rsid w:val="00AA13B2"/>
    <w:rsid w:val="00AA158F"/>
    <w:rsid w:val="00AA199D"/>
    <w:rsid w:val="00AA1D12"/>
    <w:rsid w:val="00AA25C1"/>
    <w:rsid w:val="00AA2F90"/>
    <w:rsid w:val="00AA31B7"/>
    <w:rsid w:val="00AA338F"/>
    <w:rsid w:val="00AA4E37"/>
    <w:rsid w:val="00AA4F41"/>
    <w:rsid w:val="00AA5118"/>
    <w:rsid w:val="00AA56AD"/>
    <w:rsid w:val="00AA5941"/>
    <w:rsid w:val="00AA5E0A"/>
    <w:rsid w:val="00AA67F0"/>
    <w:rsid w:val="00AA6C5A"/>
    <w:rsid w:val="00AA7748"/>
    <w:rsid w:val="00AA78DF"/>
    <w:rsid w:val="00AB05D2"/>
    <w:rsid w:val="00AB0F14"/>
    <w:rsid w:val="00AB1472"/>
    <w:rsid w:val="00AB15C0"/>
    <w:rsid w:val="00AB1DFC"/>
    <w:rsid w:val="00AB230D"/>
    <w:rsid w:val="00AB2BFD"/>
    <w:rsid w:val="00AB2C33"/>
    <w:rsid w:val="00AB306F"/>
    <w:rsid w:val="00AB35BB"/>
    <w:rsid w:val="00AB3677"/>
    <w:rsid w:val="00AB38ED"/>
    <w:rsid w:val="00AB3F20"/>
    <w:rsid w:val="00AB4160"/>
    <w:rsid w:val="00AB4322"/>
    <w:rsid w:val="00AB4A31"/>
    <w:rsid w:val="00AB54FC"/>
    <w:rsid w:val="00AB6121"/>
    <w:rsid w:val="00AB6217"/>
    <w:rsid w:val="00AB6DD9"/>
    <w:rsid w:val="00AB714F"/>
    <w:rsid w:val="00AC0107"/>
    <w:rsid w:val="00AC03B1"/>
    <w:rsid w:val="00AC05E1"/>
    <w:rsid w:val="00AC0B8B"/>
    <w:rsid w:val="00AC15B1"/>
    <w:rsid w:val="00AC1DD4"/>
    <w:rsid w:val="00AC2480"/>
    <w:rsid w:val="00AC2DB7"/>
    <w:rsid w:val="00AC3729"/>
    <w:rsid w:val="00AC3EE7"/>
    <w:rsid w:val="00AC4CB3"/>
    <w:rsid w:val="00AC5506"/>
    <w:rsid w:val="00AC62F0"/>
    <w:rsid w:val="00AC692C"/>
    <w:rsid w:val="00AC6FE2"/>
    <w:rsid w:val="00AC7254"/>
    <w:rsid w:val="00AC7271"/>
    <w:rsid w:val="00AC72E4"/>
    <w:rsid w:val="00AC75F4"/>
    <w:rsid w:val="00AD0310"/>
    <w:rsid w:val="00AD067A"/>
    <w:rsid w:val="00AD0BFA"/>
    <w:rsid w:val="00AD0D87"/>
    <w:rsid w:val="00AD11A2"/>
    <w:rsid w:val="00AD14A1"/>
    <w:rsid w:val="00AD1872"/>
    <w:rsid w:val="00AD19B6"/>
    <w:rsid w:val="00AD26E2"/>
    <w:rsid w:val="00AD2842"/>
    <w:rsid w:val="00AD2CF9"/>
    <w:rsid w:val="00AD3048"/>
    <w:rsid w:val="00AD3676"/>
    <w:rsid w:val="00AD3C8E"/>
    <w:rsid w:val="00AD4871"/>
    <w:rsid w:val="00AD4F01"/>
    <w:rsid w:val="00AD50E3"/>
    <w:rsid w:val="00AD5F31"/>
    <w:rsid w:val="00AD6039"/>
    <w:rsid w:val="00AD66ED"/>
    <w:rsid w:val="00AD77AB"/>
    <w:rsid w:val="00AD7B0D"/>
    <w:rsid w:val="00AE0B18"/>
    <w:rsid w:val="00AE1349"/>
    <w:rsid w:val="00AE2FCB"/>
    <w:rsid w:val="00AE321B"/>
    <w:rsid w:val="00AE40F1"/>
    <w:rsid w:val="00AE43D5"/>
    <w:rsid w:val="00AE487E"/>
    <w:rsid w:val="00AE5501"/>
    <w:rsid w:val="00AE56FA"/>
    <w:rsid w:val="00AE579B"/>
    <w:rsid w:val="00AE6526"/>
    <w:rsid w:val="00AE66A7"/>
    <w:rsid w:val="00AE6893"/>
    <w:rsid w:val="00AE6DDC"/>
    <w:rsid w:val="00AE6DE7"/>
    <w:rsid w:val="00AE7121"/>
    <w:rsid w:val="00AE769A"/>
    <w:rsid w:val="00AE7938"/>
    <w:rsid w:val="00AE7D20"/>
    <w:rsid w:val="00AF06DC"/>
    <w:rsid w:val="00AF0A3E"/>
    <w:rsid w:val="00AF0ACB"/>
    <w:rsid w:val="00AF1507"/>
    <w:rsid w:val="00AF324F"/>
    <w:rsid w:val="00AF330C"/>
    <w:rsid w:val="00AF33E0"/>
    <w:rsid w:val="00AF445E"/>
    <w:rsid w:val="00AF4806"/>
    <w:rsid w:val="00AF4DFF"/>
    <w:rsid w:val="00AF547A"/>
    <w:rsid w:val="00AF58B6"/>
    <w:rsid w:val="00AF611E"/>
    <w:rsid w:val="00AF68A1"/>
    <w:rsid w:val="00AF6C5F"/>
    <w:rsid w:val="00AF76FC"/>
    <w:rsid w:val="00B000F7"/>
    <w:rsid w:val="00B010A4"/>
    <w:rsid w:val="00B01222"/>
    <w:rsid w:val="00B0144E"/>
    <w:rsid w:val="00B01B3D"/>
    <w:rsid w:val="00B01D95"/>
    <w:rsid w:val="00B029C4"/>
    <w:rsid w:val="00B02DFE"/>
    <w:rsid w:val="00B02E03"/>
    <w:rsid w:val="00B0316B"/>
    <w:rsid w:val="00B03809"/>
    <w:rsid w:val="00B038E7"/>
    <w:rsid w:val="00B040CF"/>
    <w:rsid w:val="00B040D8"/>
    <w:rsid w:val="00B04B0F"/>
    <w:rsid w:val="00B04F66"/>
    <w:rsid w:val="00B05E17"/>
    <w:rsid w:val="00B06196"/>
    <w:rsid w:val="00B0650F"/>
    <w:rsid w:val="00B06A4D"/>
    <w:rsid w:val="00B105FF"/>
    <w:rsid w:val="00B10F43"/>
    <w:rsid w:val="00B1114D"/>
    <w:rsid w:val="00B112B5"/>
    <w:rsid w:val="00B1187F"/>
    <w:rsid w:val="00B11943"/>
    <w:rsid w:val="00B12302"/>
    <w:rsid w:val="00B12632"/>
    <w:rsid w:val="00B12E80"/>
    <w:rsid w:val="00B13268"/>
    <w:rsid w:val="00B13578"/>
    <w:rsid w:val="00B138C7"/>
    <w:rsid w:val="00B13A8C"/>
    <w:rsid w:val="00B14EB3"/>
    <w:rsid w:val="00B151E6"/>
    <w:rsid w:val="00B15BA7"/>
    <w:rsid w:val="00B16263"/>
    <w:rsid w:val="00B1652C"/>
    <w:rsid w:val="00B16DAC"/>
    <w:rsid w:val="00B16DC1"/>
    <w:rsid w:val="00B1782E"/>
    <w:rsid w:val="00B17883"/>
    <w:rsid w:val="00B17DB1"/>
    <w:rsid w:val="00B20169"/>
    <w:rsid w:val="00B2048A"/>
    <w:rsid w:val="00B208F6"/>
    <w:rsid w:val="00B20A9F"/>
    <w:rsid w:val="00B20D3F"/>
    <w:rsid w:val="00B2182A"/>
    <w:rsid w:val="00B2208C"/>
    <w:rsid w:val="00B221CC"/>
    <w:rsid w:val="00B23068"/>
    <w:rsid w:val="00B23484"/>
    <w:rsid w:val="00B23780"/>
    <w:rsid w:val="00B248B4"/>
    <w:rsid w:val="00B250E3"/>
    <w:rsid w:val="00B25C0E"/>
    <w:rsid w:val="00B25FCC"/>
    <w:rsid w:val="00B30108"/>
    <w:rsid w:val="00B3031D"/>
    <w:rsid w:val="00B30D70"/>
    <w:rsid w:val="00B31F46"/>
    <w:rsid w:val="00B3297F"/>
    <w:rsid w:val="00B33334"/>
    <w:rsid w:val="00B33636"/>
    <w:rsid w:val="00B33F30"/>
    <w:rsid w:val="00B3412A"/>
    <w:rsid w:val="00B34753"/>
    <w:rsid w:val="00B349E3"/>
    <w:rsid w:val="00B34C32"/>
    <w:rsid w:val="00B35E15"/>
    <w:rsid w:val="00B362A5"/>
    <w:rsid w:val="00B365EC"/>
    <w:rsid w:val="00B36643"/>
    <w:rsid w:val="00B36F04"/>
    <w:rsid w:val="00B37300"/>
    <w:rsid w:val="00B37EC9"/>
    <w:rsid w:val="00B40060"/>
    <w:rsid w:val="00B408E0"/>
    <w:rsid w:val="00B40C1B"/>
    <w:rsid w:val="00B40D44"/>
    <w:rsid w:val="00B40FB2"/>
    <w:rsid w:val="00B414BA"/>
    <w:rsid w:val="00B417B0"/>
    <w:rsid w:val="00B41DBC"/>
    <w:rsid w:val="00B429C9"/>
    <w:rsid w:val="00B43163"/>
    <w:rsid w:val="00B4345B"/>
    <w:rsid w:val="00B436A3"/>
    <w:rsid w:val="00B43EF6"/>
    <w:rsid w:val="00B44A26"/>
    <w:rsid w:val="00B45664"/>
    <w:rsid w:val="00B45731"/>
    <w:rsid w:val="00B45D30"/>
    <w:rsid w:val="00B460A3"/>
    <w:rsid w:val="00B4612E"/>
    <w:rsid w:val="00B46B75"/>
    <w:rsid w:val="00B47938"/>
    <w:rsid w:val="00B50917"/>
    <w:rsid w:val="00B50B9D"/>
    <w:rsid w:val="00B50FA8"/>
    <w:rsid w:val="00B51933"/>
    <w:rsid w:val="00B51F06"/>
    <w:rsid w:val="00B51FF6"/>
    <w:rsid w:val="00B528E1"/>
    <w:rsid w:val="00B53CA2"/>
    <w:rsid w:val="00B54055"/>
    <w:rsid w:val="00B549E9"/>
    <w:rsid w:val="00B54A45"/>
    <w:rsid w:val="00B54E85"/>
    <w:rsid w:val="00B55A27"/>
    <w:rsid w:val="00B55ACA"/>
    <w:rsid w:val="00B56653"/>
    <w:rsid w:val="00B57CA2"/>
    <w:rsid w:val="00B57D31"/>
    <w:rsid w:val="00B60547"/>
    <w:rsid w:val="00B6072E"/>
    <w:rsid w:val="00B60CE9"/>
    <w:rsid w:val="00B62349"/>
    <w:rsid w:val="00B62C0F"/>
    <w:rsid w:val="00B63DDC"/>
    <w:rsid w:val="00B63E4C"/>
    <w:rsid w:val="00B63F57"/>
    <w:rsid w:val="00B64DD2"/>
    <w:rsid w:val="00B64E56"/>
    <w:rsid w:val="00B656CB"/>
    <w:rsid w:val="00B66029"/>
    <w:rsid w:val="00B66225"/>
    <w:rsid w:val="00B6635A"/>
    <w:rsid w:val="00B66E98"/>
    <w:rsid w:val="00B66EFD"/>
    <w:rsid w:val="00B67032"/>
    <w:rsid w:val="00B67152"/>
    <w:rsid w:val="00B67841"/>
    <w:rsid w:val="00B678C3"/>
    <w:rsid w:val="00B7056C"/>
    <w:rsid w:val="00B7089D"/>
    <w:rsid w:val="00B70BDA"/>
    <w:rsid w:val="00B7162D"/>
    <w:rsid w:val="00B718A7"/>
    <w:rsid w:val="00B72674"/>
    <w:rsid w:val="00B72B48"/>
    <w:rsid w:val="00B73189"/>
    <w:rsid w:val="00B73295"/>
    <w:rsid w:val="00B732C1"/>
    <w:rsid w:val="00B737DD"/>
    <w:rsid w:val="00B73A77"/>
    <w:rsid w:val="00B7402C"/>
    <w:rsid w:val="00B75CF6"/>
    <w:rsid w:val="00B76122"/>
    <w:rsid w:val="00B77150"/>
    <w:rsid w:val="00B77171"/>
    <w:rsid w:val="00B77197"/>
    <w:rsid w:val="00B77457"/>
    <w:rsid w:val="00B80EEA"/>
    <w:rsid w:val="00B815A4"/>
    <w:rsid w:val="00B81890"/>
    <w:rsid w:val="00B81D7B"/>
    <w:rsid w:val="00B827F1"/>
    <w:rsid w:val="00B82CC6"/>
    <w:rsid w:val="00B83318"/>
    <w:rsid w:val="00B83889"/>
    <w:rsid w:val="00B83C87"/>
    <w:rsid w:val="00B83D51"/>
    <w:rsid w:val="00B83E17"/>
    <w:rsid w:val="00B83FDF"/>
    <w:rsid w:val="00B842FE"/>
    <w:rsid w:val="00B84CF6"/>
    <w:rsid w:val="00B857DE"/>
    <w:rsid w:val="00B85B28"/>
    <w:rsid w:val="00B85CA8"/>
    <w:rsid w:val="00B864CF"/>
    <w:rsid w:val="00B86E93"/>
    <w:rsid w:val="00B8700E"/>
    <w:rsid w:val="00B87E46"/>
    <w:rsid w:val="00B904A7"/>
    <w:rsid w:val="00B905FA"/>
    <w:rsid w:val="00B906C1"/>
    <w:rsid w:val="00B90B82"/>
    <w:rsid w:val="00B90D5E"/>
    <w:rsid w:val="00B9164B"/>
    <w:rsid w:val="00B91DF1"/>
    <w:rsid w:val="00B92B7D"/>
    <w:rsid w:val="00B94151"/>
    <w:rsid w:val="00B942EE"/>
    <w:rsid w:val="00B947F0"/>
    <w:rsid w:val="00B95097"/>
    <w:rsid w:val="00B95CEC"/>
    <w:rsid w:val="00B962BC"/>
    <w:rsid w:val="00B96D33"/>
    <w:rsid w:val="00B97021"/>
    <w:rsid w:val="00B97661"/>
    <w:rsid w:val="00B97AAF"/>
    <w:rsid w:val="00BA0CB3"/>
    <w:rsid w:val="00BA1CAB"/>
    <w:rsid w:val="00BA2884"/>
    <w:rsid w:val="00BA29A0"/>
    <w:rsid w:val="00BA2B90"/>
    <w:rsid w:val="00BA308A"/>
    <w:rsid w:val="00BA3134"/>
    <w:rsid w:val="00BA344E"/>
    <w:rsid w:val="00BA434C"/>
    <w:rsid w:val="00BA4447"/>
    <w:rsid w:val="00BA4606"/>
    <w:rsid w:val="00BA4CE9"/>
    <w:rsid w:val="00BA4E28"/>
    <w:rsid w:val="00BA579D"/>
    <w:rsid w:val="00BA5C01"/>
    <w:rsid w:val="00BA5C3F"/>
    <w:rsid w:val="00BA65B9"/>
    <w:rsid w:val="00BA663D"/>
    <w:rsid w:val="00BA6B01"/>
    <w:rsid w:val="00BA6B69"/>
    <w:rsid w:val="00BA75AC"/>
    <w:rsid w:val="00BA7D95"/>
    <w:rsid w:val="00BA7E17"/>
    <w:rsid w:val="00BA7E55"/>
    <w:rsid w:val="00BB02EA"/>
    <w:rsid w:val="00BB047A"/>
    <w:rsid w:val="00BB05B5"/>
    <w:rsid w:val="00BB0B25"/>
    <w:rsid w:val="00BB0C29"/>
    <w:rsid w:val="00BB11CA"/>
    <w:rsid w:val="00BB1C28"/>
    <w:rsid w:val="00BB2A3F"/>
    <w:rsid w:val="00BB2A58"/>
    <w:rsid w:val="00BB3195"/>
    <w:rsid w:val="00BB34C5"/>
    <w:rsid w:val="00BB3E70"/>
    <w:rsid w:val="00BB50AA"/>
    <w:rsid w:val="00BB5665"/>
    <w:rsid w:val="00BB5950"/>
    <w:rsid w:val="00BB5A64"/>
    <w:rsid w:val="00BB5AF0"/>
    <w:rsid w:val="00BB72B6"/>
    <w:rsid w:val="00BB7A1E"/>
    <w:rsid w:val="00BB7CFE"/>
    <w:rsid w:val="00BB7D91"/>
    <w:rsid w:val="00BC020C"/>
    <w:rsid w:val="00BC0E29"/>
    <w:rsid w:val="00BC1F36"/>
    <w:rsid w:val="00BC2907"/>
    <w:rsid w:val="00BC3016"/>
    <w:rsid w:val="00BC493D"/>
    <w:rsid w:val="00BC5330"/>
    <w:rsid w:val="00BC5369"/>
    <w:rsid w:val="00BC55B3"/>
    <w:rsid w:val="00BC5A04"/>
    <w:rsid w:val="00BC6218"/>
    <w:rsid w:val="00BC636B"/>
    <w:rsid w:val="00BC6627"/>
    <w:rsid w:val="00BC6C15"/>
    <w:rsid w:val="00BC72AA"/>
    <w:rsid w:val="00BD028F"/>
    <w:rsid w:val="00BD085F"/>
    <w:rsid w:val="00BD0BC7"/>
    <w:rsid w:val="00BD0E4B"/>
    <w:rsid w:val="00BD1649"/>
    <w:rsid w:val="00BD192A"/>
    <w:rsid w:val="00BD1BC1"/>
    <w:rsid w:val="00BD2926"/>
    <w:rsid w:val="00BD2B59"/>
    <w:rsid w:val="00BD332A"/>
    <w:rsid w:val="00BD35F4"/>
    <w:rsid w:val="00BD3A2C"/>
    <w:rsid w:val="00BD3F3D"/>
    <w:rsid w:val="00BD4046"/>
    <w:rsid w:val="00BD4066"/>
    <w:rsid w:val="00BD470A"/>
    <w:rsid w:val="00BD4751"/>
    <w:rsid w:val="00BD58C7"/>
    <w:rsid w:val="00BD5D79"/>
    <w:rsid w:val="00BD62BA"/>
    <w:rsid w:val="00BD6A9E"/>
    <w:rsid w:val="00BD6ABA"/>
    <w:rsid w:val="00BD6CE9"/>
    <w:rsid w:val="00BD6E18"/>
    <w:rsid w:val="00BD7BA8"/>
    <w:rsid w:val="00BE060C"/>
    <w:rsid w:val="00BE0BE8"/>
    <w:rsid w:val="00BE0DBD"/>
    <w:rsid w:val="00BE0FC6"/>
    <w:rsid w:val="00BE141E"/>
    <w:rsid w:val="00BE1AF0"/>
    <w:rsid w:val="00BE1DC0"/>
    <w:rsid w:val="00BE22A3"/>
    <w:rsid w:val="00BE2E9B"/>
    <w:rsid w:val="00BE39B3"/>
    <w:rsid w:val="00BE3F68"/>
    <w:rsid w:val="00BE444F"/>
    <w:rsid w:val="00BE474A"/>
    <w:rsid w:val="00BE4845"/>
    <w:rsid w:val="00BE4EE5"/>
    <w:rsid w:val="00BE5A45"/>
    <w:rsid w:val="00BE5D10"/>
    <w:rsid w:val="00BE5D4F"/>
    <w:rsid w:val="00BE6170"/>
    <w:rsid w:val="00BE6221"/>
    <w:rsid w:val="00BE6AA9"/>
    <w:rsid w:val="00BE6CD3"/>
    <w:rsid w:val="00BE70D5"/>
    <w:rsid w:val="00BE7768"/>
    <w:rsid w:val="00BE7E61"/>
    <w:rsid w:val="00BF0299"/>
    <w:rsid w:val="00BF113E"/>
    <w:rsid w:val="00BF2ECF"/>
    <w:rsid w:val="00BF3764"/>
    <w:rsid w:val="00BF3817"/>
    <w:rsid w:val="00BF3B6C"/>
    <w:rsid w:val="00BF42C0"/>
    <w:rsid w:val="00BF4BF1"/>
    <w:rsid w:val="00BF4C3D"/>
    <w:rsid w:val="00BF509C"/>
    <w:rsid w:val="00BF526E"/>
    <w:rsid w:val="00BF62CC"/>
    <w:rsid w:val="00BF6A37"/>
    <w:rsid w:val="00BF7D80"/>
    <w:rsid w:val="00C003B8"/>
    <w:rsid w:val="00C003CE"/>
    <w:rsid w:val="00C0052D"/>
    <w:rsid w:val="00C009C5"/>
    <w:rsid w:val="00C01B6E"/>
    <w:rsid w:val="00C01D7B"/>
    <w:rsid w:val="00C0236E"/>
    <w:rsid w:val="00C027C7"/>
    <w:rsid w:val="00C02C5B"/>
    <w:rsid w:val="00C02F87"/>
    <w:rsid w:val="00C0354C"/>
    <w:rsid w:val="00C03635"/>
    <w:rsid w:val="00C03B00"/>
    <w:rsid w:val="00C03CD7"/>
    <w:rsid w:val="00C0457A"/>
    <w:rsid w:val="00C046D5"/>
    <w:rsid w:val="00C046E3"/>
    <w:rsid w:val="00C05009"/>
    <w:rsid w:val="00C053CF"/>
    <w:rsid w:val="00C058A2"/>
    <w:rsid w:val="00C05F68"/>
    <w:rsid w:val="00C05FB8"/>
    <w:rsid w:val="00C061A0"/>
    <w:rsid w:val="00C0626D"/>
    <w:rsid w:val="00C0647F"/>
    <w:rsid w:val="00C066AB"/>
    <w:rsid w:val="00C0781F"/>
    <w:rsid w:val="00C07A26"/>
    <w:rsid w:val="00C07E1E"/>
    <w:rsid w:val="00C1052B"/>
    <w:rsid w:val="00C111CB"/>
    <w:rsid w:val="00C11EC4"/>
    <w:rsid w:val="00C12987"/>
    <w:rsid w:val="00C13EE0"/>
    <w:rsid w:val="00C140DC"/>
    <w:rsid w:val="00C14292"/>
    <w:rsid w:val="00C15C98"/>
    <w:rsid w:val="00C15D03"/>
    <w:rsid w:val="00C16D27"/>
    <w:rsid w:val="00C16E0A"/>
    <w:rsid w:val="00C17FC9"/>
    <w:rsid w:val="00C20D9C"/>
    <w:rsid w:val="00C21BB6"/>
    <w:rsid w:val="00C22955"/>
    <w:rsid w:val="00C22C17"/>
    <w:rsid w:val="00C22F3E"/>
    <w:rsid w:val="00C23112"/>
    <w:rsid w:val="00C23632"/>
    <w:rsid w:val="00C23693"/>
    <w:rsid w:val="00C2487C"/>
    <w:rsid w:val="00C24B3C"/>
    <w:rsid w:val="00C24B97"/>
    <w:rsid w:val="00C24FB6"/>
    <w:rsid w:val="00C25319"/>
    <w:rsid w:val="00C25907"/>
    <w:rsid w:val="00C26780"/>
    <w:rsid w:val="00C26DC6"/>
    <w:rsid w:val="00C27166"/>
    <w:rsid w:val="00C271EE"/>
    <w:rsid w:val="00C27C9D"/>
    <w:rsid w:val="00C27D73"/>
    <w:rsid w:val="00C27FDA"/>
    <w:rsid w:val="00C30523"/>
    <w:rsid w:val="00C3112A"/>
    <w:rsid w:val="00C312C5"/>
    <w:rsid w:val="00C31E9D"/>
    <w:rsid w:val="00C320B9"/>
    <w:rsid w:val="00C3215C"/>
    <w:rsid w:val="00C32DFA"/>
    <w:rsid w:val="00C343FF"/>
    <w:rsid w:val="00C34522"/>
    <w:rsid w:val="00C36486"/>
    <w:rsid w:val="00C36B1A"/>
    <w:rsid w:val="00C36D4A"/>
    <w:rsid w:val="00C37C31"/>
    <w:rsid w:val="00C40D38"/>
    <w:rsid w:val="00C415E1"/>
    <w:rsid w:val="00C4220D"/>
    <w:rsid w:val="00C44888"/>
    <w:rsid w:val="00C44F88"/>
    <w:rsid w:val="00C44F9A"/>
    <w:rsid w:val="00C4502D"/>
    <w:rsid w:val="00C4702E"/>
    <w:rsid w:val="00C47272"/>
    <w:rsid w:val="00C4746D"/>
    <w:rsid w:val="00C50D16"/>
    <w:rsid w:val="00C51027"/>
    <w:rsid w:val="00C514CE"/>
    <w:rsid w:val="00C51BB4"/>
    <w:rsid w:val="00C5363B"/>
    <w:rsid w:val="00C549CA"/>
    <w:rsid w:val="00C54B7B"/>
    <w:rsid w:val="00C5548A"/>
    <w:rsid w:val="00C55DA3"/>
    <w:rsid w:val="00C55F30"/>
    <w:rsid w:val="00C5616A"/>
    <w:rsid w:val="00C5636A"/>
    <w:rsid w:val="00C56EA8"/>
    <w:rsid w:val="00C579C3"/>
    <w:rsid w:val="00C6001C"/>
    <w:rsid w:val="00C604A7"/>
    <w:rsid w:val="00C60542"/>
    <w:rsid w:val="00C606C7"/>
    <w:rsid w:val="00C612E5"/>
    <w:rsid w:val="00C613D6"/>
    <w:rsid w:val="00C61E64"/>
    <w:rsid w:val="00C62BB0"/>
    <w:rsid w:val="00C62E65"/>
    <w:rsid w:val="00C63C1B"/>
    <w:rsid w:val="00C63FFA"/>
    <w:rsid w:val="00C650C6"/>
    <w:rsid w:val="00C65DC4"/>
    <w:rsid w:val="00C65F06"/>
    <w:rsid w:val="00C65F8A"/>
    <w:rsid w:val="00C673C1"/>
    <w:rsid w:val="00C67442"/>
    <w:rsid w:val="00C675A2"/>
    <w:rsid w:val="00C70F23"/>
    <w:rsid w:val="00C710CC"/>
    <w:rsid w:val="00C71449"/>
    <w:rsid w:val="00C71AA9"/>
    <w:rsid w:val="00C726E3"/>
    <w:rsid w:val="00C7281C"/>
    <w:rsid w:val="00C7292D"/>
    <w:rsid w:val="00C72C7B"/>
    <w:rsid w:val="00C72EB0"/>
    <w:rsid w:val="00C73080"/>
    <w:rsid w:val="00C73096"/>
    <w:rsid w:val="00C73253"/>
    <w:rsid w:val="00C73E75"/>
    <w:rsid w:val="00C7477A"/>
    <w:rsid w:val="00C74795"/>
    <w:rsid w:val="00C74A89"/>
    <w:rsid w:val="00C75312"/>
    <w:rsid w:val="00C7559D"/>
    <w:rsid w:val="00C75C74"/>
    <w:rsid w:val="00C75FE7"/>
    <w:rsid w:val="00C771DA"/>
    <w:rsid w:val="00C77D87"/>
    <w:rsid w:val="00C80273"/>
    <w:rsid w:val="00C80751"/>
    <w:rsid w:val="00C809C0"/>
    <w:rsid w:val="00C80A4A"/>
    <w:rsid w:val="00C815E9"/>
    <w:rsid w:val="00C81B24"/>
    <w:rsid w:val="00C81BB2"/>
    <w:rsid w:val="00C820EC"/>
    <w:rsid w:val="00C822BB"/>
    <w:rsid w:val="00C826B6"/>
    <w:rsid w:val="00C82B2B"/>
    <w:rsid w:val="00C83004"/>
    <w:rsid w:val="00C83247"/>
    <w:rsid w:val="00C83654"/>
    <w:rsid w:val="00C83C75"/>
    <w:rsid w:val="00C83EF3"/>
    <w:rsid w:val="00C848EB"/>
    <w:rsid w:val="00C8561A"/>
    <w:rsid w:val="00C8567E"/>
    <w:rsid w:val="00C857C4"/>
    <w:rsid w:val="00C85B4F"/>
    <w:rsid w:val="00C85DAC"/>
    <w:rsid w:val="00C86536"/>
    <w:rsid w:val="00C86D7C"/>
    <w:rsid w:val="00C872AC"/>
    <w:rsid w:val="00C87546"/>
    <w:rsid w:val="00C87C0B"/>
    <w:rsid w:val="00C90BDF"/>
    <w:rsid w:val="00C90D5C"/>
    <w:rsid w:val="00C914AE"/>
    <w:rsid w:val="00C916AB"/>
    <w:rsid w:val="00C91E39"/>
    <w:rsid w:val="00C9217E"/>
    <w:rsid w:val="00C924B4"/>
    <w:rsid w:val="00C92719"/>
    <w:rsid w:val="00C92B6F"/>
    <w:rsid w:val="00C93324"/>
    <w:rsid w:val="00C93D09"/>
    <w:rsid w:val="00C945AD"/>
    <w:rsid w:val="00C946AE"/>
    <w:rsid w:val="00C9480F"/>
    <w:rsid w:val="00C94A20"/>
    <w:rsid w:val="00C94BD6"/>
    <w:rsid w:val="00C94BDD"/>
    <w:rsid w:val="00C94D38"/>
    <w:rsid w:val="00C951B3"/>
    <w:rsid w:val="00C952B8"/>
    <w:rsid w:val="00C95301"/>
    <w:rsid w:val="00C95EBC"/>
    <w:rsid w:val="00C9618A"/>
    <w:rsid w:val="00C96D73"/>
    <w:rsid w:val="00C9787F"/>
    <w:rsid w:val="00C97F94"/>
    <w:rsid w:val="00CA0013"/>
    <w:rsid w:val="00CA0522"/>
    <w:rsid w:val="00CA08CB"/>
    <w:rsid w:val="00CA10C7"/>
    <w:rsid w:val="00CA1236"/>
    <w:rsid w:val="00CA12F1"/>
    <w:rsid w:val="00CA202A"/>
    <w:rsid w:val="00CA213C"/>
    <w:rsid w:val="00CA255A"/>
    <w:rsid w:val="00CA2908"/>
    <w:rsid w:val="00CA2A5A"/>
    <w:rsid w:val="00CA3530"/>
    <w:rsid w:val="00CA3CDA"/>
    <w:rsid w:val="00CA4271"/>
    <w:rsid w:val="00CA469C"/>
    <w:rsid w:val="00CA47E5"/>
    <w:rsid w:val="00CA4CF9"/>
    <w:rsid w:val="00CA566D"/>
    <w:rsid w:val="00CA59D9"/>
    <w:rsid w:val="00CA5CDC"/>
    <w:rsid w:val="00CA60AA"/>
    <w:rsid w:val="00CA69AA"/>
    <w:rsid w:val="00CA6EB0"/>
    <w:rsid w:val="00CA76CA"/>
    <w:rsid w:val="00CB00F3"/>
    <w:rsid w:val="00CB0166"/>
    <w:rsid w:val="00CB01E2"/>
    <w:rsid w:val="00CB0331"/>
    <w:rsid w:val="00CB0651"/>
    <w:rsid w:val="00CB0A08"/>
    <w:rsid w:val="00CB27EC"/>
    <w:rsid w:val="00CB2908"/>
    <w:rsid w:val="00CB2F93"/>
    <w:rsid w:val="00CB4293"/>
    <w:rsid w:val="00CB45A7"/>
    <w:rsid w:val="00CB471D"/>
    <w:rsid w:val="00CB4990"/>
    <w:rsid w:val="00CB517B"/>
    <w:rsid w:val="00CB5204"/>
    <w:rsid w:val="00CB52E5"/>
    <w:rsid w:val="00CB5FF3"/>
    <w:rsid w:val="00CB60FE"/>
    <w:rsid w:val="00CB6221"/>
    <w:rsid w:val="00CB65FE"/>
    <w:rsid w:val="00CB6C7D"/>
    <w:rsid w:val="00CB6F0F"/>
    <w:rsid w:val="00CB70E1"/>
    <w:rsid w:val="00CB7323"/>
    <w:rsid w:val="00CB7557"/>
    <w:rsid w:val="00CC087E"/>
    <w:rsid w:val="00CC0E1F"/>
    <w:rsid w:val="00CC17DF"/>
    <w:rsid w:val="00CC18FB"/>
    <w:rsid w:val="00CC211B"/>
    <w:rsid w:val="00CC21B1"/>
    <w:rsid w:val="00CC239F"/>
    <w:rsid w:val="00CC2606"/>
    <w:rsid w:val="00CC2D15"/>
    <w:rsid w:val="00CC2EE4"/>
    <w:rsid w:val="00CC3120"/>
    <w:rsid w:val="00CC3732"/>
    <w:rsid w:val="00CC4487"/>
    <w:rsid w:val="00CC4595"/>
    <w:rsid w:val="00CC4A8E"/>
    <w:rsid w:val="00CC5111"/>
    <w:rsid w:val="00CC51F0"/>
    <w:rsid w:val="00CC55F7"/>
    <w:rsid w:val="00CC5730"/>
    <w:rsid w:val="00CC61E5"/>
    <w:rsid w:val="00CC6358"/>
    <w:rsid w:val="00CC6793"/>
    <w:rsid w:val="00CC6F9F"/>
    <w:rsid w:val="00CC75FE"/>
    <w:rsid w:val="00CC7620"/>
    <w:rsid w:val="00CC794E"/>
    <w:rsid w:val="00CD027F"/>
    <w:rsid w:val="00CD0583"/>
    <w:rsid w:val="00CD06AF"/>
    <w:rsid w:val="00CD105B"/>
    <w:rsid w:val="00CD17BE"/>
    <w:rsid w:val="00CD1EDB"/>
    <w:rsid w:val="00CD2033"/>
    <w:rsid w:val="00CD2720"/>
    <w:rsid w:val="00CD2F56"/>
    <w:rsid w:val="00CD3050"/>
    <w:rsid w:val="00CD3799"/>
    <w:rsid w:val="00CD38B4"/>
    <w:rsid w:val="00CD3EF8"/>
    <w:rsid w:val="00CD4599"/>
    <w:rsid w:val="00CD530A"/>
    <w:rsid w:val="00CD5479"/>
    <w:rsid w:val="00CD578D"/>
    <w:rsid w:val="00CD58CF"/>
    <w:rsid w:val="00CD5B00"/>
    <w:rsid w:val="00CD5D43"/>
    <w:rsid w:val="00CD62A8"/>
    <w:rsid w:val="00CD70A8"/>
    <w:rsid w:val="00CD7AFE"/>
    <w:rsid w:val="00CD7E55"/>
    <w:rsid w:val="00CE05B3"/>
    <w:rsid w:val="00CE0BDF"/>
    <w:rsid w:val="00CE0D8E"/>
    <w:rsid w:val="00CE18C8"/>
    <w:rsid w:val="00CE31AC"/>
    <w:rsid w:val="00CE3F69"/>
    <w:rsid w:val="00CE450F"/>
    <w:rsid w:val="00CE60B4"/>
    <w:rsid w:val="00CE6F2A"/>
    <w:rsid w:val="00CE72CB"/>
    <w:rsid w:val="00CF0030"/>
    <w:rsid w:val="00CF16D1"/>
    <w:rsid w:val="00CF2C29"/>
    <w:rsid w:val="00CF3898"/>
    <w:rsid w:val="00CF3F53"/>
    <w:rsid w:val="00CF3F6B"/>
    <w:rsid w:val="00CF4B98"/>
    <w:rsid w:val="00CF4F93"/>
    <w:rsid w:val="00CF5109"/>
    <w:rsid w:val="00CF55F1"/>
    <w:rsid w:val="00CF590D"/>
    <w:rsid w:val="00CF64CB"/>
    <w:rsid w:val="00CF6547"/>
    <w:rsid w:val="00CF67CE"/>
    <w:rsid w:val="00CF6A19"/>
    <w:rsid w:val="00CF6A40"/>
    <w:rsid w:val="00CF76BF"/>
    <w:rsid w:val="00CF79BE"/>
    <w:rsid w:val="00CF7DC4"/>
    <w:rsid w:val="00D00C1B"/>
    <w:rsid w:val="00D01B8C"/>
    <w:rsid w:val="00D022A4"/>
    <w:rsid w:val="00D02D93"/>
    <w:rsid w:val="00D031B1"/>
    <w:rsid w:val="00D033C0"/>
    <w:rsid w:val="00D03622"/>
    <w:rsid w:val="00D03BF0"/>
    <w:rsid w:val="00D045AA"/>
    <w:rsid w:val="00D04C1A"/>
    <w:rsid w:val="00D056C4"/>
    <w:rsid w:val="00D05B16"/>
    <w:rsid w:val="00D06925"/>
    <w:rsid w:val="00D0777C"/>
    <w:rsid w:val="00D07C2C"/>
    <w:rsid w:val="00D10563"/>
    <w:rsid w:val="00D10CCD"/>
    <w:rsid w:val="00D11024"/>
    <w:rsid w:val="00D11309"/>
    <w:rsid w:val="00D1156E"/>
    <w:rsid w:val="00D11ADD"/>
    <w:rsid w:val="00D12A10"/>
    <w:rsid w:val="00D12FEB"/>
    <w:rsid w:val="00D13A08"/>
    <w:rsid w:val="00D13C42"/>
    <w:rsid w:val="00D14355"/>
    <w:rsid w:val="00D143E5"/>
    <w:rsid w:val="00D146A5"/>
    <w:rsid w:val="00D14737"/>
    <w:rsid w:val="00D1489A"/>
    <w:rsid w:val="00D14B93"/>
    <w:rsid w:val="00D14BFE"/>
    <w:rsid w:val="00D14D39"/>
    <w:rsid w:val="00D14DF8"/>
    <w:rsid w:val="00D15720"/>
    <w:rsid w:val="00D15821"/>
    <w:rsid w:val="00D159EE"/>
    <w:rsid w:val="00D15BE3"/>
    <w:rsid w:val="00D17C73"/>
    <w:rsid w:val="00D17F8F"/>
    <w:rsid w:val="00D20306"/>
    <w:rsid w:val="00D20559"/>
    <w:rsid w:val="00D210C4"/>
    <w:rsid w:val="00D21E42"/>
    <w:rsid w:val="00D21FD2"/>
    <w:rsid w:val="00D2317C"/>
    <w:rsid w:val="00D235A0"/>
    <w:rsid w:val="00D23AC9"/>
    <w:rsid w:val="00D26043"/>
    <w:rsid w:val="00D26E6D"/>
    <w:rsid w:val="00D27383"/>
    <w:rsid w:val="00D27C2B"/>
    <w:rsid w:val="00D27D7F"/>
    <w:rsid w:val="00D30A45"/>
    <w:rsid w:val="00D31620"/>
    <w:rsid w:val="00D31DA1"/>
    <w:rsid w:val="00D31E7C"/>
    <w:rsid w:val="00D32A99"/>
    <w:rsid w:val="00D32B64"/>
    <w:rsid w:val="00D333E8"/>
    <w:rsid w:val="00D336E4"/>
    <w:rsid w:val="00D33857"/>
    <w:rsid w:val="00D3396A"/>
    <w:rsid w:val="00D34693"/>
    <w:rsid w:val="00D35122"/>
    <w:rsid w:val="00D354FE"/>
    <w:rsid w:val="00D364D8"/>
    <w:rsid w:val="00D36BCB"/>
    <w:rsid w:val="00D37098"/>
    <w:rsid w:val="00D37AB3"/>
    <w:rsid w:val="00D37C08"/>
    <w:rsid w:val="00D40128"/>
    <w:rsid w:val="00D41076"/>
    <w:rsid w:val="00D4157F"/>
    <w:rsid w:val="00D41586"/>
    <w:rsid w:val="00D41C77"/>
    <w:rsid w:val="00D41CE1"/>
    <w:rsid w:val="00D42AA3"/>
    <w:rsid w:val="00D42E37"/>
    <w:rsid w:val="00D43F77"/>
    <w:rsid w:val="00D4570A"/>
    <w:rsid w:val="00D458C2"/>
    <w:rsid w:val="00D45A4D"/>
    <w:rsid w:val="00D46920"/>
    <w:rsid w:val="00D46B6F"/>
    <w:rsid w:val="00D4700F"/>
    <w:rsid w:val="00D473DC"/>
    <w:rsid w:val="00D4758D"/>
    <w:rsid w:val="00D50122"/>
    <w:rsid w:val="00D50AF9"/>
    <w:rsid w:val="00D5183D"/>
    <w:rsid w:val="00D52280"/>
    <w:rsid w:val="00D5351A"/>
    <w:rsid w:val="00D5380A"/>
    <w:rsid w:val="00D53FA9"/>
    <w:rsid w:val="00D54954"/>
    <w:rsid w:val="00D54A16"/>
    <w:rsid w:val="00D54A7F"/>
    <w:rsid w:val="00D54DE2"/>
    <w:rsid w:val="00D551D8"/>
    <w:rsid w:val="00D5554B"/>
    <w:rsid w:val="00D55A64"/>
    <w:rsid w:val="00D55A93"/>
    <w:rsid w:val="00D57921"/>
    <w:rsid w:val="00D60067"/>
    <w:rsid w:val="00D601C6"/>
    <w:rsid w:val="00D604B5"/>
    <w:rsid w:val="00D606A5"/>
    <w:rsid w:val="00D6074A"/>
    <w:rsid w:val="00D60B01"/>
    <w:rsid w:val="00D60EED"/>
    <w:rsid w:val="00D61C47"/>
    <w:rsid w:val="00D621C0"/>
    <w:rsid w:val="00D62B03"/>
    <w:rsid w:val="00D6323F"/>
    <w:rsid w:val="00D63446"/>
    <w:rsid w:val="00D634D9"/>
    <w:rsid w:val="00D6384E"/>
    <w:rsid w:val="00D63896"/>
    <w:rsid w:val="00D64A10"/>
    <w:rsid w:val="00D65B17"/>
    <w:rsid w:val="00D65F0C"/>
    <w:rsid w:val="00D661AE"/>
    <w:rsid w:val="00D66236"/>
    <w:rsid w:val="00D665D8"/>
    <w:rsid w:val="00D669F5"/>
    <w:rsid w:val="00D66FEF"/>
    <w:rsid w:val="00D70411"/>
    <w:rsid w:val="00D708EB"/>
    <w:rsid w:val="00D7103E"/>
    <w:rsid w:val="00D7131B"/>
    <w:rsid w:val="00D71945"/>
    <w:rsid w:val="00D71AB8"/>
    <w:rsid w:val="00D71CFC"/>
    <w:rsid w:val="00D7206D"/>
    <w:rsid w:val="00D7246B"/>
    <w:rsid w:val="00D726D4"/>
    <w:rsid w:val="00D732BA"/>
    <w:rsid w:val="00D7398A"/>
    <w:rsid w:val="00D73B00"/>
    <w:rsid w:val="00D74051"/>
    <w:rsid w:val="00D748E3"/>
    <w:rsid w:val="00D74AB3"/>
    <w:rsid w:val="00D74B18"/>
    <w:rsid w:val="00D754CB"/>
    <w:rsid w:val="00D754D1"/>
    <w:rsid w:val="00D75646"/>
    <w:rsid w:val="00D75659"/>
    <w:rsid w:val="00D75A0E"/>
    <w:rsid w:val="00D760C3"/>
    <w:rsid w:val="00D763F1"/>
    <w:rsid w:val="00D76479"/>
    <w:rsid w:val="00D768EE"/>
    <w:rsid w:val="00D76CDB"/>
    <w:rsid w:val="00D76E99"/>
    <w:rsid w:val="00D7784F"/>
    <w:rsid w:val="00D77E4D"/>
    <w:rsid w:val="00D80A27"/>
    <w:rsid w:val="00D81156"/>
    <w:rsid w:val="00D8174D"/>
    <w:rsid w:val="00D8174E"/>
    <w:rsid w:val="00D81DBB"/>
    <w:rsid w:val="00D82325"/>
    <w:rsid w:val="00D83BFD"/>
    <w:rsid w:val="00D83CED"/>
    <w:rsid w:val="00D83EAC"/>
    <w:rsid w:val="00D840C6"/>
    <w:rsid w:val="00D84887"/>
    <w:rsid w:val="00D855EC"/>
    <w:rsid w:val="00D86183"/>
    <w:rsid w:val="00D86A9F"/>
    <w:rsid w:val="00D904A3"/>
    <w:rsid w:val="00D90C53"/>
    <w:rsid w:val="00D90DA0"/>
    <w:rsid w:val="00D91235"/>
    <w:rsid w:val="00D91F42"/>
    <w:rsid w:val="00D92859"/>
    <w:rsid w:val="00D92F2E"/>
    <w:rsid w:val="00D92FBE"/>
    <w:rsid w:val="00D93040"/>
    <w:rsid w:val="00D93608"/>
    <w:rsid w:val="00D93E78"/>
    <w:rsid w:val="00D9457D"/>
    <w:rsid w:val="00D94B91"/>
    <w:rsid w:val="00D95557"/>
    <w:rsid w:val="00D95AE1"/>
    <w:rsid w:val="00D95FD9"/>
    <w:rsid w:val="00D965C6"/>
    <w:rsid w:val="00D96B4D"/>
    <w:rsid w:val="00D97034"/>
    <w:rsid w:val="00D977FA"/>
    <w:rsid w:val="00DA0ED9"/>
    <w:rsid w:val="00DA1196"/>
    <w:rsid w:val="00DA1394"/>
    <w:rsid w:val="00DA13FB"/>
    <w:rsid w:val="00DA18BB"/>
    <w:rsid w:val="00DA1B08"/>
    <w:rsid w:val="00DA2408"/>
    <w:rsid w:val="00DA25E1"/>
    <w:rsid w:val="00DA27E4"/>
    <w:rsid w:val="00DA2876"/>
    <w:rsid w:val="00DA29ED"/>
    <w:rsid w:val="00DA2BAD"/>
    <w:rsid w:val="00DA31FA"/>
    <w:rsid w:val="00DA3226"/>
    <w:rsid w:val="00DA37F9"/>
    <w:rsid w:val="00DA3AA5"/>
    <w:rsid w:val="00DA4CB6"/>
    <w:rsid w:val="00DA503D"/>
    <w:rsid w:val="00DA5323"/>
    <w:rsid w:val="00DA5326"/>
    <w:rsid w:val="00DA5509"/>
    <w:rsid w:val="00DA5D97"/>
    <w:rsid w:val="00DA650D"/>
    <w:rsid w:val="00DA6BC0"/>
    <w:rsid w:val="00DA6F97"/>
    <w:rsid w:val="00DA727E"/>
    <w:rsid w:val="00DA74BB"/>
    <w:rsid w:val="00DB005D"/>
    <w:rsid w:val="00DB0229"/>
    <w:rsid w:val="00DB0387"/>
    <w:rsid w:val="00DB0582"/>
    <w:rsid w:val="00DB097A"/>
    <w:rsid w:val="00DB0F7F"/>
    <w:rsid w:val="00DB13A2"/>
    <w:rsid w:val="00DB1D69"/>
    <w:rsid w:val="00DB2862"/>
    <w:rsid w:val="00DB4A6A"/>
    <w:rsid w:val="00DB5789"/>
    <w:rsid w:val="00DB57A1"/>
    <w:rsid w:val="00DB5B7B"/>
    <w:rsid w:val="00DB61F5"/>
    <w:rsid w:val="00DB637B"/>
    <w:rsid w:val="00DB64C4"/>
    <w:rsid w:val="00DB6C30"/>
    <w:rsid w:val="00DB7443"/>
    <w:rsid w:val="00DB7B26"/>
    <w:rsid w:val="00DC03B2"/>
    <w:rsid w:val="00DC07AE"/>
    <w:rsid w:val="00DC0BC2"/>
    <w:rsid w:val="00DC2259"/>
    <w:rsid w:val="00DC2D4A"/>
    <w:rsid w:val="00DC2DA2"/>
    <w:rsid w:val="00DC2DDB"/>
    <w:rsid w:val="00DC3142"/>
    <w:rsid w:val="00DC36F7"/>
    <w:rsid w:val="00DC3B32"/>
    <w:rsid w:val="00DC4447"/>
    <w:rsid w:val="00DC526F"/>
    <w:rsid w:val="00DC607D"/>
    <w:rsid w:val="00DC615E"/>
    <w:rsid w:val="00DC66F5"/>
    <w:rsid w:val="00DC683C"/>
    <w:rsid w:val="00DC7B13"/>
    <w:rsid w:val="00DC7BA1"/>
    <w:rsid w:val="00DD0A47"/>
    <w:rsid w:val="00DD11B8"/>
    <w:rsid w:val="00DD18A7"/>
    <w:rsid w:val="00DD1953"/>
    <w:rsid w:val="00DD1ACB"/>
    <w:rsid w:val="00DD1CB3"/>
    <w:rsid w:val="00DD1EFC"/>
    <w:rsid w:val="00DD20FA"/>
    <w:rsid w:val="00DD28D3"/>
    <w:rsid w:val="00DD2BEE"/>
    <w:rsid w:val="00DD3677"/>
    <w:rsid w:val="00DD40DA"/>
    <w:rsid w:val="00DD457F"/>
    <w:rsid w:val="00DD526A"/>
    <w:rsid w:val="00DD53FC"/>
    <w:rsid w:val="00DD5799"/>
    <w:rsid w:val="00DD6DAA"/>
    <w:rsid w:val="00DD6EBE"/>
    <w:rsid w:val="00DD76C6"/>
    <w:rsid w:val="00DD774A"/>
    <w:rsid w:val="00DE01D7"/>
    <w:rsid w:val="00DE02FE"/>
    <w:rsid w:val="00DE032E"/>
    <w:rsid w:val="00DE03D8"/>
    <w:rsid w:val="00DE11EC"/>
    <w:rsid w:val="00DE122C"/>
    <w:rsid w:val="00DE14FB"/>
    <w:rsid w:val="00DE1E61"/>
    <w:rsid w:val="00DE3A0E"/>
    <w:rsid w:val="00DE4182"/>
    <w:rsid w:val="00DE422E"/>
    <w:rsid w:val="00DE5385"/>
    <w:rsid w:val="00DE5473"/>
    <w:rsid w:val="00DE75D2"/>
    <w:rsid w:val="00DE78C1"/>
    <w:rsid w:val="00DF00D3"/>
    <w:rsid w:val="00DF07F8"/>
    <w:rsid w:val="00DF1B0E"/>
    <w:rsid w:val="00DF1D98"/>
    <w:rsid w:val="00DF255F"/>
    <w:rsid w:val="00DF2BAE"/>
    <w:rsid w:val="00DF2DEA"/>
    <w:rsid w:val="00DF2F23"/>
    <w:rsid w:val="00DF2FFA"/>
    <w:rsid w:val="00DF307E"/>
    <w:rsid w:val="00DF3269"/>
    <w:rsid w:val="00DF3315"/>
    <w:rsid w:val="00DF36D0"/>
    <w:rsid w:val="00DF389F"/>
    <w:rsid w:val="00DF3A7A"/>
    <w:rsid w:val="00DF3F1F"/>
    <w:rsid w:val="00DF4263"/>
    <w:rsid w:val="00DF42F5"/>
    <w:rsid w:val="00DF443A"/>
    <w:rsid w:val="00DF5297"/>
    <w:rsid w:val="00DF5440"/>
    <w:rsid w:val="00DF5898"/>
    <w:rsid w:val="00DF5C6B"/>
    <w:rsid w:val="00DF5E83"/>
    <w:rsid w:val="00DF77B3"/>
    <w:rsid w:val="00DF786F"/>
    <w:rsid w:val="00E000C8"/>
    <w:rsid w:val="00E0020A"/>
    <w:rsid w:val="00E00C3F"/>
    <w:rsid w:val="00E012D1"/>
    <w:rsid w:val="00E012DE"/>
    <w:rsid w:val="00E0147D"/>
    <w:rsid w:val="00E01EAE"/>
    <w:rsid w:val="00E02512"/>
    <w:rsid w:val="00E03032"/>
    <w:rsid w:val="00E030E5"/>
    <w:rsid w:val="00E0328E"/>
    <w:rsid w:val="00E036E0"/>
    <w:rsid w:val="00E036EE"/>
    <w:rsid w:val="00E03891"/>
    <w:rsid w:val="00E03AC4"/>
    <w:rsid w:val="00E04834"/>
    <w:rsid w:val="00E05227"/>
    <w:rsid w:val="00E05CDE"/>
    <w:rsid w:val="00E06643"/>
    <w:rsid w:val="00E069B1"/>
    <w:rsid w:val="00E06E11"/>
    <w:rsid w:val="00E06FB8"/>
    <w:rsid w:val="00E07872"/>
    <w:rsid w:val="00E07B92"/>
    <w:rsid w:val="00E110F9"/>
    <w:rsid w:val="00E11AC2"/>
    <w:rsid w:val="00E125C3"/>
    <w:rsid w:val="00E1290A"/>
    <w:rsid w:val="00E12B40"/>
    <w:rsid w:val="00E1322E"/>
    <w:rsid w:val="00E13C69"/>
    <w:rsid w:val="00E13DA9"/>
    <w:rsid w:val="00E13FE0"/>
    <w:rsid w:val="00E14D6A"/>
    <w:rsid w:val="00E153F1"/>
    <w:rsid w:val="00E15EC9"/>
    <w:rsid w:val="00E15F9D"/>
    <w:rsid w:val="00E1640F"/>
    <w:rsid w:val="00E164AF"/>
    <w:rsid w:val="00E1683B"/>
    <w:rsid w:val="00E17508"/>
    <w:rsid w:val="00E17775"/>
    <w:rsid w:val="00E1781C"/>
    <w:rsid w:val="00E178D4"/>
    <w:rsid w:val="00E17BCA"/>
    <w:rsid w:val="00E2092B"/>
    <w:rsid w:val="00E20B86"/>
    <w:rsid w:val="00E20BBE"/>
    <w:rsid w:val="00E20BC4"/>
    <w:rsid w:val="00E20E55"/>
    <w:rsid w:val="00E214B0"/>
    <w:rsid w:val="00E21B17"/>
    <w:rsid w:val="00E223A9"/>
    <w:rsid w:val="00E226EE"/>
    <w:rsid w:val="00E23CEB"/>
    <w:rsid w:val="00E241C7"/>
    <w:rsid w:val="00E24C02"/>
    <w:rsid w:val="00E24FA2"/>
    <w:rsid w:val="00E25B57"/>
    <w:rsid w:val="00E25DB9"/>
    <w:rsid w:val="00E26A79"/>
    <w:rsid w:val="00E26AAD"/>
    <w:rsid w:val="00E26F14"/>
    <w:rsid w:val="00E2704E"/>
    <w:rsid w:val="00E271EA"/>
    <w:rsid w:val="00E273A3"/>
    <w:rsid w:val="00E27876"/>
    <w:rsid w:val="00E27B8B"/>
    <w:rsid w:val="00E30153"/>
    <w:rsid w:val="00E30C0E"/>
    <w:rsid w:val="00E310F3"/>
    <w:rsid w:val="00E317D5"/>
    <w:rsid w:val="00E31802"/>
    <w:rsid w:val="00E318B3"/>
    <w:rsid w:val="00E32426"/>
    <w:rsid w:val="00E32C2B"/>
    <w:rsid w:val="00E3324A"/>
    <w:rsid w:val="00E333ED"/>
    <w:rsid w:val="00E344AF"/>
    <w:rsid w:val="00E3494C"/>
    <w:rsid w:val="00E34B1B"/>
    <w:rsid w:val="00E35715"/>
    <w:rsid w:val="00E36511"/>
    <w:rsid w:val="00E36EBE"/>
    <w:rsid w:val="00E37434"/>
    <w:rsid w:val="00E37AB8"/>
    <w:rsid w:val="00E40592"/>
    <w:rsid w:val="00E4127E"/>
    <w:rsid w:val="00E41894"/>
    <w:rsid w:val="00E41D30"/>
    <w:rsid w:val="00E41FFA"/>
    <w:rsid w:val="00E43EEC"/>
    <w:rsid w:val="00E446A0"/>
    <w:rsid w:val="00E45440"/>
    <w:rsid w:val="00E45914"/>
    <w:rsid w:val="00E4592F"/>
    <w:rsid w:val="00E45B31"/>
    <w:rsid w:val="00E45BC7"/>
    <w:rsid w:val="00E46092"/>
    <w:rsid w:val="00E46D5D"/>
    <w:rsid w:val="00E46E3D"/>
    <w:rsid w:val="00E502A7"/>
    <w:rsid w:val="00E502D8"/>
    <w:rsid w:val="00E510C9"/>
    <w:rsid w:val="00E515C1"/>
    <w:rsid w:val="00E5274C"/>
    <w:rsid w:val="00E52997"/>
    <w:rsid w:val="00E529CA"/>
    <w:rsid w:val="00E52B47"/>
    <w:rsid w:val="00E52EAE"/>
    <w:rsid w:val="00E53087"/>
    <w:rsid w:val="00E533BE"/>
    <w:rsid w:val="00E533F0"/>
    <w:rsid w:val="00E536A0"/>
    <w:rsid w:val="00E53A99"/>
    <w:rsid w:val="00E53AE4"/>
    <w:rsid w:val="00E53E31"/>
    <w:rsid w:val="00E5408D"/>
    <w:rsid w:val="00E54395"/>
    <w:rsid w:val="00E546F7"/>
    <w:rsid w:val="00E54C79"/>
    <w:rsid w:val="00E5569D"/>
    <w:rsid w:val="00E566B2"/>
    <w:rsid w:val="00E56D90"/>
    <w:rsid w:val="00E57D64"/>
    <w:rsid w:val="00E604F4"/>
    <w:rsid w:val="00E605BB"/>
    <w:rsid w:val="00E61688"/>
    <w:rsid w:val="00E61807"/>
    <w:rsid w:val="00E61DF7"/>
    <w:rsid w:val="00E62951"/>
    <w:rsid w:val="00E62AA9"/>
    <w:rsid w:val="00E63293"/>
    <w:rsid w:val="00E63315"/>
    <w:rsid w:val="00E63602"/>
    <w:rsid w:val="00E63D33"/>
    <w:rsid w:val="00E64E21"/>
    <w:rsid w:val="00E66203"/>
    <w:rsid w:val="00E662B2"/>
    <w:rsid w:val="00E666E2"/>
    <w:rsid w:val="00E66A27"/>
    <w:rsid w:val="00E66A7A"/>
    <w:rsid w:val="00E66AEC"/>
    <w:rsid w:val="00E67ABA"/>
    <w:rsid w:val="00E67F74"/>
    <w:rsid w:val="00E701E8"/>
    <w:rsid w:val="00E70427"/>
    <w:rsid w:val="00E70C65"/>
    <w:rsid w:val="00E718AC"/>
    <w:rsid w:val="00E71CD7"/>
    <w:rsid w:val="00E71F03"/>
    <w:rsid w:val="00E7247D"/>
    <w:rsid w:val="00E72722"/>
    <w:rsid w:val="00E72ADF"/>
    <w:rsid w:val="00E72EEA"/>
    <w:rsid w:val="00E7327C"/>
    <w:rsid w:val="00E7369B"/>
    <w:rsid w:val="00E73A4B"/>
    <w:rsid w:val="00E742AD"/>
    <w:rsid w:val="00E754C6"/>
    <w:rsid w:val="00E75E79"/>
    <w:rsid w:val="00E76670"/>
    <w:rsid w:val="00E766D7"/>
    <w:rsid w:val="00E76BEE"/>
    <w:rsid w:val="00E76C00"/>
    <w:rsid w:val="00E77538"/>
    <w:rsid w:val="00E77697"/>
    <w:rsid w:val="00E7787E"/>
    <w:rsid w:val="00E77D55"/>
    <w:rsid w:val="00E80333"/>
    <w:rsid w:val="00E80DF2"/>
    <w:rsid w:val="00E8138C"/>
    <w:rsid w:val="00E81806"/>
    <w:rsid w:val="00E82C97"/>
    <w:rsid w:val="00E82DDA"/>
    <w:rsid w:val="00E8579E"/>
    <w:rsid w:val="00E85B78"/>
    <w:rsid w:val="00E86777"/>
    <w:rsid w:val="00E871DA"/>
    <w:rsid w:val="00E87207"/>
    <w:rsid w:val="00E901C7"/>
    <w:rsid w:val="00E90ABE"/>
    <w:rsid w:val="00E9126A"/>
    <w:rsid w:val="00E9142F"/>
    <w:rsid w:val="00E91480"/>
    <w:rsid w:val="00E91A30"/>
    <w:rsid w:val="00E91BC5"/>
    <w:rsid w:val="00E9241F"/>
    <w:rsid w:val="00E930A7"/>
    <w:rsid w:val="00E94233"/>
    <w:rsid w:val="00E957A5"/>
    <w:rsid w:val="00E957A7"/>
    <w:rsid w:val="00E957CF"/>
    <w:rsid w:val="00E95FC2"/>
    <w:rsid w:val="00E967F9"/>
    <w:rsid w:val="00E96B50"/>
    <w:rsid w:val="00E97D69"/>
    <w:rsid w:val="00EA0081"/>
    <w:rsid w:val="00EA1B8F"/>
    <w:rsid w:val="00EA1EB6"/>
    <w:rsid w:val="00EA230C"/>
    <w:rsid w:val="00EA2E64"/>
    <w:rsid w:val="00EA3520"/>
    <w:rsid w:val="00EA3EAD"/>
    <w:rsid w:val="00EA4371"/>
    <w:rsid w:val="00EA47A2"/>
    <w:rsid w:val="00EA4BC7"/>
    <w:rsid w:val="00EA5364"/>
    <w:rsid w:val="00EA592F"/>
    <w:rsid w:val="00EA5A22"/>
    <w:rsid w:val="00EA5AFC"/>
    <w:rsid w:val="00EA69D9"/>
    <w:rsid w:val="00EA6CB5"/>
    <w:rsid w:val="00EA6CF7"/>
    <w:rsid w:val="00EA7098"/>
    <w:rsid w:val="00EA70AC"/>
    <w:rsid w:val="00EB0C4C"/>
    <w:rsid w:val="00EB0CA3"/>
    <w:rsid w:val="00EB0EE7"/>
    <w:rsid w:val="00EB0F3C"/>
    <w:rsid w:val="00EB1640"/>
    <w:rsid w:val="00EB24B2"/>
    <w:rsid w:val="00EB2910"/>
    <w:rsid w:val="00EB2934"/>
    <w:rsid w:val="00EB2D13"/>
    <w:rsid w:val="00EB2FEC"/>
    <w:rsid w:val="00EB3CD1"/>
    <w:rsid w:val="00EB4322"/>
    <w:rsid w:val="00EB46B3"/>
    <w:rsid w:val="00EB4A19"/>
    <w:rsid w:val="00EB4F50"/>
    <w:rsid w:val="00EB53AD"/>
    <w:rsid w:val="00EB53DE"/>
    <w:rsid w:val="00EB5559"/>
    <w:rsid w:val="00EB572B"/>
    <w:rsid w:val="00EB5A71"/>
    <w:rsid w:val="00EB5A8A"/>
    <w:rsid w:val="00EB5A9D"/>
    <w:rsid w:val="00EB5E6B"/>
    <w:rsid w:val="00EB66D9"/>
    <w:rsid w:val="00EB6F76"/>
    <w:rsid w:val="00EB728A"/>
    <w:rsid w:val="00EB7716"/>
    <w:rsid w:val="00EB7840"/>
    <w:rsid w:val="00EB79E5"/>
    <w:rsid w:val="00EC1637"/>
    <w:rsid w:val="00EC2336"/>
    <w:rsid w:val="00EC2654"/>
    <w:rsid w:val="00EC3654"/>
    <w:rsid w:val="00EC3813"/>
    <w:rsid w:val="00EC3CAB"/>
    <w:rsid w:val="00EC4164"/>
    <w:rsid w:val="00EC451C"/>
    <w:rsid w:val="00EC4B77"/>
    <w:rsid w:val="00EC5294"/>
    <w:rsid w:val="00EC53DF"/>
    <w:rsid w:val="00EC59D1"/>
    <w:rsid w:val="00EC5EA2"/>
    <w:rsid w:val="00EC69A9"/>
    <w:rsid w:val="00EC6E9E"/>
    <w:rsid w:val="00EC7D98"/>
    <w:rsid w:val="00EC7E90"/>
    <w:rsid w:val="00ED0CE8"/>
    <w:rsid w:val="00ED10A6"/>
    <w:rsid w:val="00ED1410"/>
    <w:rsid w:val="00ED1C62"/>
    <w:rsid w:val="00ED1CD2"/>
    <w:rsid w:val="00ED1FA6"/>
    <w:rsid w:val="00ED252A"/>
    <w:rsid w:val="00ED2780"/>
    <w:rsid w:val="00ED2E6C"/>
    <w:rsid w:val="00ED33A9"/>
    <w:rsid w:val="00ED3443"/>
    <w:rsid w:val="00ED42AD"/>
    <w:rsid w:val="00ED42DA"/>
    <w:rsid w:val="00ED431A"/>
    <w:rsid w:val="00ED5D2C"/>
    <w:rsid w:val="00ED6109"/>
    <w:rsid w:val="00ED654F"/>
    <w:rsid w:val="00ED6B5F"/>
    <w:rsid w:val="00ED71A7"/>
    <w:rsid w:val="00ED7498"/>
    <w:rsid w:val="00ED77A2"/>
    <w:rsid w:val="00ED7CE2"/>
    <w:rsid w:val="00ED7E94"/>
    <w:rsid w:val="00EE0E1D"/>
    <w:rsid w:val="00EE0FFB"/>
    <w:rsid w:val="00EE15A8"/>
    <w:rsid w:val="00EE1643"/>
    <w:rsid w:val="00EE1BEE"/>
    <w:rsid w:val="00EE1E6F"/>
    <w:rsid w:val="00EE24E1"/>
    <w:rsid w:val="00EE271E"/>
    <w:rsid w:val="00EE38AE"/>
    <w:rsid w:val="00EE3FAC"/>
    <w:rsid w:val="00EE41E4"/>
    <w:rsid w:val="00EE49A0"/>
    <w:rsid w:val="00EE4FAC"/>
    <w:rsid w:val="00EE5236"/>
    <w:rsid w:val="00EE562F"/>
    <w:rsid w:val="00EE57FD"/>
    <w:rsid w:val="00EE5A8A"/>
    <w:rsid w:val="00EE64D2"/>
    <w:rsid w:val="00EE68DD"/>
    <w:rsid w:val="00EE6F50"/>
    <w:rsid w:val="00EE7249"/>
    <w:rsid w:val="00EE7E61"/>
    <w:rsid w:val="00EF06AD"/>
    <w:rsid w:val="00EF11EA"/>
    <w:rsid w:val="00EF134F"/>
    <w:rsid w:val="00EF1627"/>
    <w:rsid w:val="00EF1802"/>
    <w:rsid w:val="00EF19D1"/>
    <w:rsid w:val="00EF1EB7"/>
    <w:rsid w:val="00EF20E7"/>
    <w:rsid w:val="00EF23BB"/>
    <w:rsid w:val="00EF2685"/>
    <w:rsid w:val="00EF2751"/>
    <w:rsid w:val="00EF2B21"/>
    <w:rsid w:val="00EF2B97"/>
    <w:rsid w:val="00EF31C1"/>
    <w:rsid w:val="00EF36EB"/>
    <w:rsid w:val="00EF3E6F"/>
    <w:rsid w:val="00EF3F37"/>
    <w:rsid w:val="00EF40B6"/>
    <w:rsid w:val="00EF41C2"/>
    <w:rsid w:val="00EF42BD"/>
    <w:rsid w:val="00EF46AE"/>
    <w:rsid w:val="00EF4717"/>
    <w:rsid w:val="00EF4908"/>
    <w:rsid w:val="00EF526C"/>
    <w:rsid w:val="00EF5537"/>
    <w:rsid w:val="00EF57B2"/>
    <w:rsid w:val="00EF5E50"/>
    <w:rsid w:val="00EF647B"/>
    <w:rsid w:val="00EF65DB"/>
    <w:rsid w:val="00EF6F56"/>
    <w:rsid w:val="00F00005"/>
    <w:rsid w:val="00F00050"/>
    <w:rsid w:val="00F00E14"/>
    <w:rsid w:val="00F00EEC"/>
    <w:rsid w:val="00F016F7"/>
    <w:rsid w:val="00F01805"/>
    <w:rsid w:val="00F01820"/>
    <w:rsid w:val="00F01A5E"/>
    <w:rsid w:val="00F01C87"/>
    <w:rsid w:val="00F02A72"/>
    <w:rsid w:val="00F031BE"/>
    <w:rsid w:val="00F0374C"/>
    <w:rsid w:val="00F04A75"/>
    <w:rsid w:val="00F04D3E"/>
    <w:rsid w:val="00F0533F"/>
    <w:rsid w:val="00F05734"/>
    <w:rsid w:val="00F064CE"/>
    <w:rsid w:val="00F065DE"/>
    <w:rsid w:val="00F07728"/>
    <w:rsid w:val="00F07DC4"/>
    <w:rsid w:val="00F10190"/>
    <w:rsid w:val="00F11627"/>
    <w:rsid w:val="00F11687"/>
    <w:rsid w:val="00F118EA"/>
    <w:rsid w:val="00F1192E"/>
    <w:rsid w:val="00F1205A"/>
    <w:rsid w:val="00F123C3"/>
    <w:rsid w:val="00F124F2"/>
    <w:rsid w:val="00F1258F"/>
    <w:rsid w:val="00F12C8D"/>
    <w:rsid w:val="00F131C6"/>
    <w:rsid w:val="00F13513"/>
    <w:rsid w:val="00F13521"/>
    <w:rsid w:val="00F1361B"/>
    <w:rsid w:val="00F139D3"/>
    <w:rsid w:val="00F13E55"/>
    <w:rsid w:val="00F15008"/>
    <w:rsid w:val="00F1540D"/>
    <w:rsid w:val="00F15DE4"/>
    <w:rsid w:val="00F16BEB"/>
    <w:rsid w:val="00F16E80"/>
    <w:rsid w:val="00F17B99"/>
    <w:rsid w:val="00F17D17"/>
    <w:rsid w:val="00F17D21"/>
    <w:rsid w:val="00F200C0"/>
    <w:rsid w:val="00F20670"/>
    <w:rsid w:val="00F20FBB"/>
    <w:rsid w:val="00F20FE6"/>
    <w:rsid w:val="00F22C37"/>
    <w:rsid w:val="00F22DDA"/>
    <w:rsid w:val="00F23BFC"/>
    <w:rsid w:val="00F23E17"/>
    <w:rsid w:val="00F23ED7"/>
    <w:rsid w:val="00F23FC5"/>
    <w:rsid w:val="00F24121"/>
    <w:rsid w:val="00F2428D"/>
    <w:rsid w:val="00F24317"/>
    <w:rsid w:val="00F24E0B"/>
    <w:rsid w:val="00F24F47"/>
    <w:rsid w:val="00F24F4B"/>
    <w:rsid w:val="00F24F65"/>
    <w:rsid w:val="00F265A5"/>
    <w:rsid w:val="00F270A9"/>
    <w:rsid w:val="00F27165"/>
    <w:rsid w:val="00F27217"/>
    <w:rsid w:val="00F272B0"/>
    <w:rsid w:val="00F275B2"/>
    <w:rsid w:val="00F27643"/>
    <w:rsid w:val="00F30159"/>
    <w:rsid w:val="00F304B0"/>
    <w:rsid w:val="00F30643"/>
    <w:rsid w:val="00F30936"/>
    <w:rsid w:val="00F30E79"/>
    <w:rsid w:val="00F311A2"/>
    <w:rsid w:val="00F31A21"/>
    <w:rsid w:val="00F31BC2"/>
    <w:rsid w:val="00F31CD0"/>
    <w:rsid w:val="00F320F4"/>
    <w:rsid w:val="00F321BF"/>
    <w:rsid w:val="00F3287E"/>
    <w:rsid w:val="00F3288D"/>
    <w:rsid w:val="00F329D3"/>
    <w:rsid w:val="00F332E5"/>
    <w:rsid w:val="00F33734"/>
    <w:rsid w:val="00F33C93"/>
    <w:rsid w:val="00F340C8"/>
    <w:rsid w:val="00F34706"/>
    <w:rsid w:val="00F3495A"/>
    <w:rsid w:val="00F34B9F"/>
    <w:rsid w:val="00F35278"/>
    <w:rsid w:val="00F35383"/>
    <w:rsid w:val="00F365CA"/>
    <w:rsid w:val="00F372C6"/>
    <w:rsid w:val="00F40291"/>
    <w:rsid w:val="00F406CC"/>
    <w:rsid w:val="00F40BAC"/>
    <w:rsid w:val="00F4184F"/>
    <w:rsid w:val="00F41D38"/>
    <w:rsid w:val="00F41FDA"/>
    <w:rsid w:val="00F42BAF"/>
    <w:rsid w:val="00F43105"/>
    <w:rsid w:val="00F43399"/>
    <w:rsid w:val="00F43875"/>
    <w:rsid w:val="00F44021"/>
    <w:rsid w:val="00F4432A"/>
    <w:rsid w:val="00F451C7"/>
    <w:rsid w:val="00F452F1"/>
    <w:rsid w:val="00F45C93"/>
    <w:rsid w:val="00F45D95"/>
    <w:rsid w:val="00F45E04"/>
    <w:rsid w:val="00F45F06"/>
    <w:rsid w:val="00F4639E"/>
    <w:rsid w:val="00F46864"/>
    <w:rsid w:val="00F46C6C"/>
    <w:rsid w:val="00F5095F"/>
    <w:rsid w:val="00F50EE3"/>
    <w:rsid w:val="00F5155A"/>
    <w:rsid w:val="00F51E0A"/>
    <w:rsid w:val="00F51F6B"/>
    <w:rsid w:val="00F5243A"/>
    <w:rsid w:val="00F52839"/>
    <w:rsid w:val="00F52D6F"/>
    <w:rsid w:val="00F53021"/>
    <w:rsid w:val="00F530AC"/>
    <w:rsid w:val="00F533B8"/>
    <w:rsid w:val="00F540C5"/>
    <w:rsid w:val="00F54155"/>
    <w:rsid w:val="00F54322"/>
    <w:rsid w:val="00F549A0"/>
    <w:rsid w:val="00F54F14"/>
    <w:rsid w:val="00F5523A"/>
    <w:rsid w:val="00F55645"/>
    <w:rsid w:val="00F55E23"/>
    <w:rsid w:val="00F56208"/>
    <w:rsid w:val="00F56246"/>
    <w:rsid w:val="00F56C65"/>
    <w:rsid w:val="00F56D56"/>
    <w:rsid w:val="00F56E6F"/>
    <w:rsid w:val="00F57245"/>
    <w:rsid w:val="00F5752C"/>
    <w:rsid w:val="00F57E58"/>
    <w:rsid w:val="00F6021C"/>
    <w:rsid w:val="00F60812"/>
    <w:rsid w:val="00F60EC7"/>
    <w:rsid w:val="00F61615"/>
    <w:rsid w:val="00F61A7E"/>
    <w:rsid w:val="00F62583"/>
    <w:rsid w:val="00F63122"/>
    <w:rsid w:val="00F632AB"/>
    <w:rsid w:val="00F635BB"/>
    <w:rsid w:val="00F63DB4"/>
    <w:rsid w:val="00F643BE"/>
    <w:rsid w:val="00F64BE6"/>
    <w:rsid w:val="00F64F2F"/>
    <w:rsid w:val="00F64FAA"/>
    <w:rsid w:val="00F652A0"/>
    <w:rsid w:val="00F6553F"/>
    <w:rsid w:val="00F65CB1"/>
    <w:rsid w:val="00F65E8A"/>
    <w:rsid w:val="00F663A4"/>
    <w:rsid w:val="00F66586"/>
    <w:rsid w:val="00F673AD"/>
    <w:rsid w:val="00F67848"/>
    <w:rsid w:val="00F67D69"/>
    <w:rsid w:val="00F67FF7"/>
    <w:rsid w:val="00F70A6A"/>
    <w:rsid w:val="00F718AA"/>
    <w:rsid w:val="00F72AA9"/>
    <w:rsid w:val="00F73399"/>
    <w:rsid w:val="00F73C75"/>
    <w:rsid w:val="00F73E51"/>
    <w:rsid w:val="00F74AFA"/>
    <w:rsid w:val="00F7508F"/>
    <w:rsid w:val="00F75862"/>
    <w:rsid w:val="00F75DD8"/>
    <w:rsid w:val="00F75EDD"/>
    <w:rsid w:val="00F76657"/>
    <w:rsid w:val="00F767E8"/>
    <w:rsid w:val="00F773E1"/>
    <w:rsid w:val="00F77B41"/>
    <w:rsid w:val="00F80683"/>
    <w:rsid w:val="00F81117"/>
    <w:rsid w:val="00F81AD4"/>
    <w:rsid w:val="00F81D33"/>
    <w:rsid w:val="00F82E38"/>
    <w:rsid w:val="00F82F4C"/>
    <w:rsid w:val="00F83470"/>
    <w:rsid w:val="00F83660"/>
    <w:rsid w:val="00F83D97"/>
    <w:rsid w:val="00F83E04"/>
    <w:rsid w:val="00F85131"/>
    <w:rsid w:val="00F8548D"/>
    <w:rsid w:val="00F8581B"/>
    <w:rsid w:val="00F85F85"/>
    <w:rsid w:val="00F863DF"/>
    <w:rsid w:val="00F86E88"/>
    <w:rsid w:val="00F873EE"/>
    <w:rsid w:val="00F873F4"/>
    <w:rsid w:val="00F87C6D"/>
    <w:rsid w:val="00F902C2"/>
    <w:rsid w:val="00F91432"/>
    <w:rsid w:val="00F93027"/>
    <w:rsid w:val="00F93B91"/>
    <w:rsid w:val="00F9424A"/>
    <w:rsid w:val="00F945F6"/>
    <w:rsid w:val="00F9497B"/>
    <w:rsid w:val="00F9505E"/>
    <w:rsid w:val="00F953EB"/>
    <w:rsid w:val="00F957A6"/>
    <w:rsid w:val="00F95950"/>
    <w:rsid w:val="00F95B1B"/>
    <w:rsid w:val="00F9630E"/>
    <w:rsid w:val="00F96499"/>
    <w:rsid w:val="00F97074"/>
    <w:rsid w:val="00F970C8"/>
    <w:rsid w:val="00F97666"/>
    <w:rsid w:val="00F97FD5"/>
    <w:rsid w:val="00FA09FA"/>
    <w:rsid w:val="00FA0E29"/>
    <w:rsid w:val="00FA1178"/>
    <w:rsid w:val="00FA2048"/>
    <w:rsid w:val="00FA33C5"/>
    <w:rsid w:val="00FA4C95"/>
    <w:rsid w:val="00FA4CF5"/>
    <w:rsid w:val="00FA5804"/>
    <w:rsid w:val="00FA59BB"/>
    <w:rsid w:val="00FA5E59"/>
    <w:rsid w:val="00FA6300"/>
    <w:rsid w:val="00FA686E"/>
    <w:rsid w:val="00FA79EE"/>
    <w:rsid w:val="00FB030D"/>
    <w:rsid w:val="00FB0EF4"/>
    <w:rsid w:val="00FB19DC"/>
    <w:rsid w:val="00FB1DF1"/>
    <w:rsid w:val="00FB1E2F"/>
    <w:rsid w:val="00FB2176"/>
    <w:rsid w:val="00FB2C1C"/>
    <w:rsid w:val="00FB400F"/>
    <w:rsid w:val="00FB47AD"/>
    <w:rsid w:val="00FB531C"/>
    <w:rsid w:val="00FB56B5"/>
    <w:rsid w:val="00FB5869"/>
    <w:rsid w:val="00FB5877"/>
    <w:rsid w:val="00FB6F51"/>
    <w:rsid w:val="00FC0F4C"/>
    <w:rsid w:val="00FC0F5B"/>
    <w:rsid w:val="00FC110B"/>
    <w:rsid w:val="00FC11C8"/>
    <w:rsid w:val="00FC1CCA"/>
    <w:rsid w:val="00FC1E0F"/>
    <w:rsid w:val="00FC284B"/>
    <w:rsid w:val="00FC2D0B"/>
    <w:rsid w:val="00FC39D8"/>
    <w:rsid w:val="00FC3AEF"/>
    <w:rsid w:val="00FC3C3D"/>
    <w:rsid w:val="00FC4736"/>
    <w:rsid w:val="00FC4D5F"/>
    <w:rsid w:val="00FC5B69"/>
    <w:rsid w:val="00FC6FF7"/>
    <w:rsid w:val="00FC7957"/>
    <w:rsid w:val="00FC7B52"/>
    <w:rsid w:val="00FC7F8D"/>
    <w:rsid w:val="00FD0048"/>
    <w:rsid w:val="00FD0102"/>
    <w:rsid w:val="00FD0C61"/>
    <w:rsid w:val="00FD13C1"/>
    <w:rsid w:val="00FD13DA"/>
    <w:rsid w:val="00FD16FE"/>
    <w:rsid w:val="00FD1703"/>
    <w:rsid w:val="00FD20D0"/>
    <w:rsid w:val="00FD21BC"/>
    <w:rsid w:val="00FD2DCD"/>
    <w:rsid w:val="00FD3737"/>
    <w:rsid w:val="00FD3AF0"/>
    <w:rsid w:val="00FD41EC"/>
    <w:rsid w:val="00FD4934"/>
    <w:rsid w:val="00FD4B50"/>
    <w:rsid w:val="00FD5664"/>
    <w:rsid w:val="00FD5BF9"/>
    <w:rsid w:val="00FD643A"/>
    <w:rsid w:val="00FD7155"/>
    <w:rsid w:val="00FD7328"/>
    <w:rsid w:val="00FD7812"/>
    <w:rsid w:val="00FE00FE"/>
    <w:rsid w:val="00FE06C8"/>
    <w:rsid w:val="00FE0AD7"/>
    <w:rsid w:val="00FE0C62"/>
    <w:rsid w:val="00FE0CE1"/>
    <w:rsid w:val="00FE0D49"/>
    <w:rsid w:val="00FE0D9F"/>
    <w:rsid w:val="00FE0E53"/>
    <w:rsid w:val="00FE1C88"/>
    <w:rsid w:val="00FE2DA5"/>
    <w:rsid w:val="00FE31AD"/>
    <w:rsid w:val="00FE3C71"/>
    <w:rsid w:val="00FE47B2"/>
    <w:rsid w:val="00FE4CDF"/>
    <w:rsid w:val="00FE4CEA"/>
    <w:rsid w:val="00FE557D"/>
    <w:rsid w:val="00FE599B"/>
    <w:rsid w:val="00FE6020"/>
    <w:rsid w:val="00FE63AF"/>
    <w:rsid w:val="00FE68A7"/>
    <w:rsid w:val="00FF0598"/>
    <w:rsid w:val="00FF05D3"/>
    <w:rsid w:val="00FF1160"/>
    <w:rsid w:val="00FF1251"/>
    <w:rsid w:val="00FF1FEC"/>
    <w:rsid w:val="00FF289A"/>
    <w:rsid w:val="00FF290F"/>
    <w:rsid w:val="00FF329B"/>
    <w:rsid w:val="00FF4181"/>
    <w:rsid w:val="00FF53F4"/>
    <w:rsid w:val="00FF57C5"/>
    <w:rsid w:val="00FF5899"/>
    <w:rsid w:val="00FF5CC1"/>
    <w:rsid w:val="00FF5D2C"/>
    <w:rsid w:val="00FF62BD"/>
    <w:rsid w:val="00FF68F5"/>
    <w:rsid w:val="00FF6A54"/>
    <w:rsid w:val="00FF76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A74384"/>
  <w15:docId w15:val="{C6D35F1E-1544-432E-B681-CA06907A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C67"/>
    <w:pPr>
      <w:spacing w:after="120"/>
      <w:ind w:left="851"/>
    </w:pPr>
    <w:rPr>
      <w:rFonts w:asciiTheme="minorHAnsi" w:hAnsiTheme="minorHAnsi"/>
      <w:sz w:val="22"/>
      <w:szCs w:val="21"/>
    </w:rPr>
  </w:style>
  <w:style w:type="paragraph" w:styleId="Heading1">
    <w:name w:val="heading 1"/>
    <w:basedOn w:val="Title"/>
    <w:next w:val="Normal"/>
    <w:link w:val="Heading1Char"/>
    <w:uiPriority w:val="9"/>
    <w:qFormat/>
    <w:rsid w:val="00443F10"/>
    <w:pPr>
      <w:spacing w:after="840"/>
    </w:pPr>
    <w:rPr>
      <w:caps/>
      <w:smallCaps w:val="0"/>
      <w:sz w:val="40"/>
    </w:rPr>
  </w:style>
  <w:style w:type="paragraph" w:styleId="Heading2">
    <w:name w:val="heading 2"/>
    <w:next w:val="Normal"/>
    <w:link w:val="Heading2Char"/>
    <w:uiPriority w:val="9"/>
    <w:unhideWhenUsed/>
    <w:qFormat/>
    <w:rsid w:val="00BA1CAB"/>
    <w:pPr>
      <w:keepNext/>
      <w:pageBreakBefore/>
      <w:numPr>
        <w:numId w:val="44"/>
      </w:numPr>
      <w:spacing w:before="320"/>
      <w:outlineLvl w:val="1"/>
    </w:pPr>
    <w:rPr>
      <w:rFonts w:asciiTheme="minorHAnsi" w:eastAsia="Times New Roman" w:hAnsiTheme="minorHAnsi"/>
      <w:b/>
      <w:bCs/>
      <w:color w:val="595959"/>
      <w:sz w:val="44"/>
      <w:szCs w:val="28"/>
    </w:rPr>
  </w:style>
  <w:style w:type="paragraph" w:styleId="Heading3">
    <w:name w:val="heading 3"/>
    <w:next w:val="Normal"/>
    <w:link w:val="Heading3Char"/>
    <w:autoRedefine/>
    <w:uiPriority w:val="9"/>
    <w:unhideWhenUsed/>
    <w:qFormat/>
    <w:rsid w:val="000F0253"/>
    <w:pPr>
      <w:keepNext/>
      <w:numPr>
        <w:ilvl w:val="1"/>
        <w:numId w:val="44"/>
      </w:numPr>
      <w:spacing w:before="120"/>
      <w:outlineLvl w:val="2"/>
    </w:pPr>
    <w:rPr>
      <w:rFonts w:asciiTheme="minorHAnsi" w:eastAsia="Times New Roman" w:hAnsiTheme="minorHAnsi"/>
      <w:b/>
      <w:bCs/>
      <w:color w:val="595959"/>
      <w:sz w:val="32"/>
      <w:szCs w:val="28"/>
    </w:rPr>
  </w:style>
  <w:style w:type="paragraph" w:styleId="Heading4">
    <w:name w:val="heading 4"/>
    <w:next w:val="Normal"/>
    <w:link w:val="Heading4Char"/>
    <w:uiPriority w:val="9"/>
    <w:unhideWhenUsed/>
    <w:qFormat/>
    <w:rsid w:val="000F0253"/>
    <w:pPr>
      <w:keepNext/>
      <w:numPr>
        <w:ilvl w:val="2"/>
        <w:numId w:val="44"/>
      </w:numPr>
      <w:spacing w:before="240"/>
      <w:outlineLvl w:val="3"/>
    </w:pPr>
    <w:rPr>
      <w:rFonts w:asciiTheme="minorHAnsi" w:eastAsia="Times New Roman" w:hAnsiTheme="minorHAnsi"/>
      <w:bCs/>
      <w:color w:val="595959"/>
      <w:sz w:val="28"/>
      <w:szCs w:val="28"/>
    </w:rPr>
  </w:style>
  <w:style w:type="paragraph" w:styleId="Heading5">
    <w:name w:val="heading 5"/>
    <w:basedOn w:val="Normal"/>
    <w:next w:val="Normal"/>
    <w:link w:val="Heading5Char"/>
    <w:uiPriority w:val="9"/>
    <w:unhideWhenUsed/>
    <w:qFormat/>
    <w:rsid w:val="001717D9"/>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1717D9"/>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1717D9"/>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1717D9"/>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1717D9"/>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43F10"/>
    <w:rPr>
      <w:rFonts w:asciiTheme="minorHAnsi" w:eastAsia="Times New Roman" w:hAnsiTheme="minorHAnsi"/>
      <w:b/>
      <w:bCs/>
      <w:caps/>
      <w:color w:val="0092CF"/>
      <w:kern w:val="28"/>
      <w:sz w:val="40"/>
      <w:szCs w:val="48"/>
    </w:rPr>
  </w:style>
  <w:style w:type="character" w:customStyle="1" w:styleId="Heading2Char">
    <w:name w:val="Heading 2 Char"/>
    <w:link w:val="Heading2"/>
    <w:uiPriority w:val="9"/>
    <w:rsid w:val="00BA1CAB"/>
    <w:rPr>
      <w:rFonts w:asciiTheme="minorHAnsi" w:eastAsia="Times New Roman" w:hAnsiTheme="minorHAnsi"/>
      <w:b/>
      <w:bCs/>
      <w:color w:val="595959"/>
      <w:sz w:val="44"/>
      <w:szCs w:val="28"/>
    </w:rPr>
  </w:style>
  <w:style w:type="character" w:customStyle="1" w:styleId="Heading3Char">
    <w:name w:val="Heading 3 Char"/>
    <w:link w:val="Heading3"/>
    <w:uiPriority w:val="9"/>
    <w:rsid w:val="000F0253"/>
    <w:rPr>
      <w:rFonts w:asciiTheme="minorHAnsi" w:eastAsia="Times New Roman" w:hAnsiTheme="minorHAnsi"/>
      <w:b/>
      <w:bCs/>
      <w:color w:val="595959"/>
      <w:sz w:val="32"/>
      <w:szCs w:val="28"/>
    </w:rPr>
  </w:style>
  <w:style w:type="character" w:customStyle="1" w:styleId="Heading4Char">
    <w:name w:val="Heading 4 Char"/>
    <w:link w:val="Heading4"/>
    <w:uiPriority w:val="9"/>
    <w:rsid w:val="000F0253"/>
    <w:rPr>
      <w:rFonts w:asciiTheme="minorHAnsi" w:eastAsia="Times New Roman" w:hAnsiTheme="minorHAnsi"/>
      <w:bCs/>
      <w:color w:val="595959"/>
      <w:sz w:val="28"/>
      <w:szCs w:val="28"/>
    </w:rPr>
  </w:style>
  <w:style w:type="character" w:customStyle="1" w:styleId="Heading5Char">
    <w:name w:val="Heading 5 Char"/>
    <w:link w:val="Heading5"/>
    <w:uiPriority w:val="9"/>
    <w:rsid w:val="001717D9"/>
    <w:rPr>
      <w:rFonts w:ascii="Cambria" w:eastAsia="Times New Roman" w:hAnsi="Cambria"/>
      <w:color w:val="243F60"/>
      <w:sz w:val="22"/>
      <w:szCs w:val="21"/>
    </w:rPr>
  </w:style>
  <w:style w:type="character" w:customStyle="1" w:styleId="Heading6Char">
    <w:name w:val="Heading 6 Char"/>
    <w:link w:val="Heading6"/>
    <w:uiPriority w:val="9"/>
    <w:rsid w:val="001717D9"/>
    <w:rPr>
      <w:rFonts w:ascii="Cambria" w:eastAsia="Times New Roman" w:hAnsi="Cambria"/>
      <w:i/>
      <w:iCs/>
      <w:color w:val="243F60"/>
      <w:sz w:val="22"/>
      <w:szCs w:val="21"/>
    </w:rPr>
  </w:style>
  <w:style w:type="character" w:customStyle="1" w:styleId="Heading7Char">
    <w:name w:val="Heading 7 Char"/>
    <w:link w:val="Heading7"/>
    <w:uiPriority w:val="9"/>
    <w:semiHidden/>
    <w:rsid w:val="001717D9"/>
    <w:rPr>
      <w:rFonts w:ascii="Cambria" w:eastAsia="Times New Roman" w:hAnsi="Cambria"/>
      <w:i/>
      <w:iCs/>
      <w:color w:val="404040"/>
      <w:sz w:val="22"/>
      <w:szCs w:val="21"/>
    </w:rPr>
  </w:style>
  <w:style w:type="character" w:customStyle="1" w:styleId="Heading8Char">
    <w:name w:val="Heading 8 Char"/>
    <w:link w:val="Heading8"/>
    <w:uiPriority w:val="9"/>
    <w:semiHidden/>
    <w:rsid w:val="001717D9"/>
    <w:rPr>
      <w:rFonts w:ascii="Cambria" w:eastAsia="Times New Roman" w:hAnsi="Cambria"/>
      <w:color w:val="404040"/>
      <w:sz w:val="22"/>
    </w:rPr>
  </w:style>
  <w:style w:type="character" w:customStyle="1" w:styleId="Heading9Char">
    <w:name w:val="Heading 9 Char"/>
    <w:link w:val="Heading9"/>
    <w:uiPriority w:val="9"/>
    <w:semiHidden/>
    <w:rsid w:val="001717D9"/>
    <w:rPr>
      <w:rFonts w:ascii="Cambria" w:eastAsia="Times New Roman" w:hAnsi="Cambria"/>
      <w:i/>
      <w:iCs/>
      <w:color w:val="404040"/>
      <w:sz w:val="22"/>
    </w:rPr>
  </w:style>
  <w:style w:type="paragraph" w:styleId="NoSpacing">
    <w:name w:val="No Spacing"/>
    <w:uiPriority w:val="1"/>
    <w:qFormat/>
    <w:rsid w:val="00A53FB2"/>
    <w:pPr>
      <w:spacing w:before="240"/>
    </w:pPr>
    <w:rPr>
      <w:rFonts w:ascii="Lato" w:hAnsi="Lato"/>
      <w:sz w:val="21"/>
      <w:szCs w:val="21"/>
      <w:lang w:eastAsia="en-US"/>
    </w:rPr>
  </w:style>
  <w:style w:type="paragraph" w:styleId="ListBullet">
    <w:name w:val="List Bullet"/>
    <w:basedOn w:val="Normal"/>
    <w:link w:val="ListBulletChar"/>
    <w:uiPriority w:val="99"/>
    <w:unhideWhenUsed/>
    <w:rsid w:val="005A0433"/>
    <w:pPr>
      <w:numPr>
        <w:numId w:val="2"/>
      </w:numPr>
      <w:ind w:left="1248" w:hanging="397"/>
    </w:pPr>
  </w:style>
  <w:style w:type="paragraph" w:styleId="ListBullet2">
    <w:name w:val="List Bullet 2"/>
    <w:basedOn w:val="ListParagraph"/>
    <w:link w:val="ListBullet2Char"/>
    <w:uiPriority w:val="99"/>
    <w:unhideWhenUsed/>
    <w:rsid w:val="00AD1872"/>
    <w:pPr>
      <w:numPr>
        <w:ilvl w:val="1"/>
        <w:numId w:val="3"/>
      </w:numPr>
      <w:tabs>
        <w:tab w:val="left" w:pos="1560"/>
      </w:tabs>
      <w:ind w:left="1560" w:hanging="284"/>
      <w:contextualSpacing w:val="0"/>
    </w:pPr>
  </w:style>
  <w:style w:type="paragraph" w:styleId="Header">
    <w:name w:val="header"/>
    <w:basedOn w:val="Normal"/>
    <w:link w:val="HeaderChar"/>
    <w:uiPriority w:val="99"/>
    <w:unhideWhenUsed/>
    <w:rsid w:val="00596482"/>
    <w:pPr>
      <w:tabs>
        <w:tab w:val="center" w:pos="4513"/>
        <w:tab w:val="right" w:pos="9026"/>
      </w:tabs>
    </w:pPr>
  </w:style>
  <w:style w:type="character" w:customStyle="1" w:styleId="HeaderChar">
    <w:name w:val="Header Char"/>
    <w:link w:val="Header"/>
    <w:uiPriority w:val="99"/>
    <w:rsid w:val="00596482"/>
    <w:rPr>
      <w:rFonts w:ascii="Verdana" w:hAnsi="Verdana"/>
      <w:szCs w:val="22"/>
      <w:lang w:eastAsia="en-US"/>
    </w:rPr>
  </w:style>
  <w:style w:type="paragraph" w:styleId="Footer">
    <w:name w:val="footer"/>
    <w:basedOn w:val="Normal"/>
    <w:link w:val="FooterChar"/>
    <w:uiPriority w:val="99"/>
    <w:unhideWhenUsed/>
    <w:rsid w:val="00AD1872"/>
    <w:pPr>
      <w:tabs>
        <w:tab w:val="center" w:pos="4513"/>
        <w:tab w:val="right" w:pos="9026"/>
      </w:tabs>
      <w:spacing w:before="40" w:after="40"/>
      <w:ind w:left="0"/>
    </w:pPr>
    <w:rPr>
      <w:b/>
      <w:color w:val="115E95"/>
      <w:sz w:val="18"/>
      <w:szCs w:val="18"/>
    </w:rPr>
  </w:style>
  <w:style w:type="character" w:customStyle="1" w:styleId="FooterChar">
    <w:name w:val="Footer Char"/>
    <w:link w:val="Footer"/>
    <w:uiPriority w:val="99"/>
    <w:rsid w:val="00AD1872"/>
    <w:rPr>
      <w:rFonts w:ascii="Lato" w:hAnsi="Lato"/>
      <w:b/>
      <w:color w:val="115E95"/>
      <w:sz w:val="18"/>
      <w:szCs w:val="18"/>
      <w:lang w:eastAsia="en-US"/>
    </w:rPr>
  </w:style>
  <w:style w:type="paragraph" w:styleId="Title">
    <w:name w:val="Title"/>
    <w:basedOn w:val="Normal"/>
    <w:next w:val="Normal"/>
    <w:link w:val="TitleChar"/>
    <w:uiPriority w:val="10"/>
    <w:qFormat/>
    <w:rsid w:val="00746267"/>
    <w:pPr>
      <w:spacing w:after="60"/>
      <w:ind w:left="0"/>
      <w:jc w:val="center"/>
      <w:outlineLvl w:val="0"/>
    </w:pPr>
    <w:rPr>
      <w:rFonts w:eastAsia="Times New Roman"/>
      <w:b/>
      <w:bCs/>
      <w:smallCaps/>
      <w:color w:val="0092CF"/>
      <w:kern w:val="28"/>
      <w:sz w:val="48"/>
      <w:szCs w:val="48"/>
    </w:rPr>
  </w:style>
  <w:style w:type="character" w:customStyle="1" w:styleId="TitleChar">
    <w:name w:val="Title Char"/>
    <w:link w:val="Title"/>
    <w:uiPriority w:val="10"/>
    <w:rsid w:val="00746267"/>
    <w:rPr>
      <w:rFonts w:asciiTheme="minorHAnsi" w:eastAsia="Times New Roman" w:hAnsiTheme="minorHAnsi"/>
      <w:b/>
      <w:bCs/>
      <w:smallCaps/>
      <w:color w:val="0092CF"/>
      <w:kern w:val="28"/>
      <w:sz w:val="48"/>
      <w:szCs w:val="48"/>
      <w:lang w:eastAsia="en-US"/>
    </w:rPr>
  </w:style>
  <w:style w:type="paragraph" w:styleId="Subtitle">
    <w:name w:val="Subtitle"/>
    <w:basedOn w:val="Normal"/>
    <w:next w:val="Normal"/>
    <w:link w:val="SubtitleChar"/>
    <w:uiPriority w:val="11"/>
    <w:qFormat/>
    <w:rsid w:val="00746267"/>
    <w:pPr>
      <w:spacing w:after="60"/>
      <w:ind w:left="0"/>
      <w:jc w:val="center"/>
      <w:outlineLvl w:val="1"/>
    </w:pPr>
    <w:rPr>
      <w:rFonts w:eastAsia="Times New Roman"/>
      <w:color w:val="595959"/>
      <w:sz w:val="32"/>
      <w:szCs w:val="24"/>
    </w:rPr>
  </w:style>
  <w:style w:type="character" w:customStyle="1" w:styleId="SubtitleChar">
    <w:name w:val="Subtitle Char"/>
    <w:link w:val="Subtitle"/>
    <w:uiPriority w:val="11"/>
    <w:rsid w:val="00746267"/>
    <w:rPr>
      <w:rFonts w:asciiTheme="minorHAnsi" w:eastAsia="Times New Roman" w:hAnsiTheme="minorHAnsi"/>
      <w:color w:val="595959"/>
      <w:sz w:val="32"/>
      <w:szCs w:val="24"/>
      <w:lang w:eastAsia="en-US"/>
    </w:rPr>
  </w:style>
  <w:style w:type="paragraph" w:styleId="TOC2">
    <w:name w:val="toc 2"/>
    <w:basedOn w:val="Normal"/>
    <w:next w:val="Normal"/>
    <w:autoRedefine/>
    <w:uiPriority w:val="39"/>
    <w:unhideWhenUsed/>
    <w:rsid w:val="004B1443"/>
    <w:pPr>
      <w:tabs>
        <w:tab w:val="left" w:pos="1320"/>
        <w:tab w:val="right" w:leader="dot" w:pos="8494"/>
      </w:tabs>
      <w:ind w:left="0" w:firstLine="709"/>
    </w:pPr>
    <w:rPr>
      <w:color w:val="595959"/>
      <w:sz w:val="24"/>
    </w:rPr>
  </w:style>
  <w:style w:type="paragraph" w:styleId="TOC1">
    <w:name w:val="toc 1"/>
    <w:basedOn w:val="Normal"/>
    <w:next w:val="Normal"/>
    <w:autoRedefine/>
    <w:uiPriority w:val="39"/>
    <w:unhideWhenUsed/>
    <w:rsid w:val="003C1A71"/>
    <w:pPr>
      <w:ind w:left="0"/>
    </w:pPr>
    <w:rPr>
      <w:color w:val="595959"/>
      <w:sz w:val="24"/>
    </w:rPr>
  </w:style>
  <w:style w:type="paragraph" w:styleId="TOC3">
    <w:name w:val="toc 3"/>
    <w:basedOn w:val="Normal"/>
    <w:next w:val="Normal"/>
    <w:autoRedefine/>
    <w:uiPriority w:val="39"/>
    <w:unhideWhenUsed/>
    <w:rsid w:val="0041561C"/>
    <w:pPr>
      <w:ind w:left="0" w:firstLine="709"/>
    </w:pPr>
    <w:rPr>
      <w:rFonts w:ascii="Book Antiqua" w:hAnsi="Book Antiqua"/>
      <w:color w:val="595959"/>
      <w:sz w:val="24"/>
    </w:rPr>
  </w:style>
  <w:style w:type="character" w:styleId="Hyperlink">
    <w:name w:val="Hyperlink"/>
    <w:uiPriority w:val="99"/>
    <w:unhideWhenUsed/>
    <w:rsid w:val="00A03190"/>
    <w:rPr>
      <w:color w:val="0000FF"/>
      <w:u w:val="single"/>
    </w:rPr>
  </w:style>
  <w:style w:type="paragraph" w:styleId="ListParagraph">
    <w:name w:val="List Paragraph"/>
    <w:aliases w:val="Recommendation"/>
    <w:basedOn w:val="Normal"/>
    <w:link w:val="ListParagraphChar"/>
    <w:uiPriority w:val="34"/>
    <w:qFormat/>
    <w:rsid w:val="000F559F"/>
    <w:pPr>
      <w:numPr>
        <w:numId w:val="4"/>
      </w:numPr>
      <w:ind w:left="1276" w:hanging="284"/>
      <w:contextualSpacing/>
    </w:pPr>
  </w:style>
  <w:style w:type="paragraph" w:styleId="BalloonText">
    <w:name w:val="Balloon Text"/>
    <w:basedOn w:val="Normal"/>
    <w:link w:val="BalloonTextChar"/>
    <w:uiPriority w:val="99"/>
    <w:semiHidden/>
    <w:unhideWhenUsed/>
    <w:rsid w:val="003C1A71"/>
    <w:rPr>
      <w:rFonts w:ascii="Tahoma" w:hAnsi="Tahoma" w:cs="Tahoma"/>
      <w:sz w:val="16"/>
      <w:szCs w:val="16"/>
    </w:rPr>
  </w:style>
  <w:style w:type="character" w:customStyle="1" w:styleId="BalloonTextChar">
    <w:name w:val="Balloon Text Char"/>
    <w:link w:val="BalloonText"/>
    <w:uiPriority w:val="99"/>
    <w:semiHidden/>
    <w:rsid w:val="003C1A71"/>
    <w:rPr>
      <w:rFonts w:ascii="Tahoma" w:hAnsi="Tahoma" w:cs="Tahoma"/>
      <w:sz w:val="16"/>
      <w:szCs w:val="16"/>
      <w:lang w:eastAsia="en-US"/>
    </w:rPr>
  </w:style>
  <w:style w:type="paragraph" w:customStyle="1" w:styleId="Subheadingtext">
    <w:name w:val="Subheading text"/>
    <w:basedOn w:val="Normal"/>
    <w:next w:val="Normal"/>
    <w:link w:val="SubheadingtextChar"/>
    <w:qFormat/>
    <w:rsid w:val="007262FC"/>
    <w:rPr>
      <w:color w:val="115E95"/>
    </w:rPr>
  </w:style>
  <w:style w:type="paragraph" w:customStyle="1" w:styleId="Highlight">
    <w:name w:val="Highlight"/>
    <w:basedOn w:val="Normal"/>
    <w:link w:val="HighlightChar"/>
    <w:qFormat/>
    <w:rsid w:val="007262FC"/>
    <w:pPr>
      <w:spacing w:after="240"/>
    </w:pPr>
    <w:rPr>
      <w:rFonts w:asciiTheme="majorHAnsi" w:hAnsiTheme="majorHAnsi"/>
      <w:i/>
      <w:color w:val="0092CF"/>
    </w:rPr>
  </w:style>
  <w:style w:type="character" w:customStyle="1" w:styleId="SubheadingtextChar">
    <w:name w:val="Subheading text Char"/>
    <w:link w:val="Subheadingtext"/>
    <w:rsid w:val="007262FC"/>
    <w:rPr>
      <w:rFonts w:asciiTheme="minorHAnsi" w:hAnsiTheme="minorHAnsi"/>
      <w:color w:val="115E95"/>
      <w:sz w:val="22"/>
      <w:szCs w:val="21"/>
    </w:rPr>
  </w:style>
  <w:style w:type="paragraph" w:customStyle="1" w:styleId="TableHeading">
    <w:name w:val="Table Heading"/>
    <w:basedOn w:val="Normal"/>
    <w:link w:val="TableHeadingChar"/>
    <w:qFormat/>
    <w:rsid w:val="009A2C67"/>
    <w:pPr>
      <w:spacing w:before="60" w:after="60"/>
      <w:ind w:left="0"/>
    </w:pPr>
    <w:rPr>
      <w:b/>
      <w:caps/>
      <w:sz w:val="19"/>
      <w:szCs w:val="19"/>
    </w:rPr>
  </w:style>
  <w:style w:type="character" w:customStyle="1" w:styleId="HighlightChar">
    <w:name w:val="Highlight Char"/>
    <w:link w:val="Highlight"/>
    <w:rsid w:val="007262FC"/>
    <w:rPr>
      <w:rFonts w:asciiTheme="majorHAnsi" w:hAnsiTheme="majorHAnsi"/>
      <w:i/>
      <w:color w:val="0092CF"/>
      <w:sz w:val="22"/>
      <w:szCs w:val="21"/>
    </w:rPr>
  </w:style>
  <w:style w:type="paragraph" w:customStyle="1" w:styleId="Tablebullet">
    <w:name w:val="Table bullet"/>
    <w:basedOn w:val="Normal"/>
    <w:link w:val="TablebulletChar"/>
    <w:autoRedefine/>
    <w:qFormat/>
    <w:rsid w:val="00443F10"/>
    <w:pPr>
      <w:numPr>
        <w:numId w:val="19"/>
      </w:numPr>
      <w:tabs>
        <w:tab w:val="clear" w:pos="720"/>
      </w:tabs>
      <w:spacing w:before="100" w:beforeAutospacing="1" w:after="100" w:afterAutospacing="1"/>
      <w:ind w:left="289" w:hanging="284"/>
    </w:pPr>
    <w:rPr>
      <w:rFonts w:ascii="Calibri" w:eastAsia="Times New Roman" w:hAnsi="Calibri" w:cs="Calibri"/>
      <w:color w:val="444444"/>
      <w:sz w:val="20"/>
      <w:szCs w:val="20"/>
    </w:rPr>
  </w:style>
  <w:style w:type="table" w:styleId="TableGrid">
    <w:name w:val="Table Grid"/>
    <w:basedOn w:val="TableNormal"/>
    <w:uiPriority w:val="59"/>
    <w:locked/>
    <w:rsid w:val="00620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ingRow">
    <w:name w:val="Table Heading Row"/>
    <w:basedOn w:val="TableNormal"/>
    <w:uiPriority w:val="99"/>
    <w:rsid w:val="00620677"/>
    <w:tblPr/>
    <w:tblStylePr w:type="firstRow">
      <w:pPr>
        <w:jc w:val="left"/>
      </w:pPr>
      <w:rPr>
        <w:rFonts w:ascii="Cambria" w:hAnsi="Cambria"/>
        <w:b/>
        <w:color w:val="595959"/>
        <w:sz w:val="20"/>
      </w:rPr>
      <w:tblPr/>
      <w:tcPr>
        <w:vAlign w:val="center"/>
      </w:tcPr>
    </w:tblStylePr>
  </w:style>
  <w:style w:type="table" w:customStyle="1" w:styleId="Tabletext">
    <w:name w:val="Table text"/>
    <w:basedOn w:val="TableNormal"/>
    <w:uiPriority w:val="99"/>
    <w:rsid w:val="00620677"/>
    <w:rPr>
      <w:rFonts w:ascii="Lato" w:hAnsi="Lato"/>
    </w:rPr>
    <w:tblPr/>
    <w:tcPr>
      <w:vAlign w:val="center"/>
    </w:tcPr>
  </w:style>
  <w:style w:type="paragraph" w:styleId="Caption">
    <w:name w:val="caption"/>
    <w:basedOn w:val="Normal"/>
    <w:next w:val="Normal"/>
    <w:uiPriority w:val="35"/>
    <w:unhideWhenUsed/>
    <w:qFormat/>
    <w:rsid w:val="002B194A"/>
    <w:pPr>
      <w:spacing w:after="200"/>
    </w:pPr>
    <w:rPr>
      <w:rFonts w:asciiTheme="majorHAnsi" w:hAnsiTheme="majorHAnsi"/>
      <w:bCs/>
      <w:i/>
      <w:sz w:val="19"/>
      <w:szCs w:val="18"/>
    </w:rPr>
  </w:style>
  <w:style w:type="paragraph" w:styleId="Quote">
    <w:name w:val="Quote"/>
    <w:next w:val="Normal"/>
    <w:link w:val="QuoteChar"/>
    <w:uiPriority w:val="29"/>
    <w:qFormat/>
    <w:rsid w:val="0067112F"/>
    <w:pPr>
      <w:spacing w:before="120" w:after="120"/>
      <w:ind w:left="1350"/>
    </w:pPr>
    <w:rPr>
      <w:rFonts w:asciiTheme="majorHAnsi" w:hAnsiTheme="majorHAnsi"/>
      <w:i/>
      <w:color w:val="0092CF"/>
    </w:rPr>
  </w:style>
  <w:style w:type="character" w:customStyle="1" w:styleId="QuoteChar">
    <w:name w:val="Quote Char"/>
    <w:link w:val="Quote"/>
    <w:uiPriority w:val="29"/>
    <w:rsid w:val="0067112F"/>
    <w:rPr>
      <w:rFonts w:asciiTheme="majorHAnsi" w:hAnsiTheme="majorHAnsi"/>
      <w:i/>
      <w:color w:val="0092CF"/>
    </w:rPr>
  </w:style>
  <w:style w:type="paragraph" w:customStyle="1" w:styleId="TextboxHighlightOption1">
    <w:name w:val="Textbox Highlight Option 1"/>
    <w:link w:val="TextboxHighlightOption1Char"/>
    <w:qFormat/>
    <w:rsid w:val="007262FC"/>
    <w:pPr>
      <w:spacing w:before="60" w:after="60"/>
    </w:pPr>
    <w:rPr>
      <w:rFonts w:asciiTheme="majorHAnsi" w:hAnsiTheme="majorHAnsi"/>
      <w:i/>
      <w:color w:val="0092CF"/>
      <w:sz w:val="22"/>
      <w:szCs w:val="22"/>
      <w:lang w:eastAsia="en-US"/>
    </w:rPr>
  </w:style>
  <w:style w:type="character" w:customStyle="1" w:styleId="TextboxHighlightOption1Char">
    <w:name w:val="Textbox Highlight Option 1 Char"/>
    <w:link w:val="TextboxHighlightOption1"/>
    <w:rsid w:val="007262FC"/>
    <w:rPr>
      <w:rFonts w:asciiTheme="majorHAnsi" w:hAnsiTheme="majorHAnsi"/>
      <w:i/>
      <w:color w:val="0092CF"/>
      <w:sz w:val="22"/>
      <w:szCs w:val="22"/>
      <w:lang w:eastAsia="en-US"/>
    </w:rPr>
  </w:style>
  <w:style w:type="character" w:styleId="CommentReference">
    <w:name w:val="annotation reference"/>
    <w:uiPriority w:val="99"/>
    <w:semiHidden/>
    <w:unhideWhenUsed/>
    <w:rsid w:val="00A712E5"/>
    <w:rPr>
      <w:sz w:val="16"/>
      <w:szCs w:val="16"/>
    </w:rPr>
  </w:style>
  <w:style w:type="paragraph" w:styleId="CommentText">
    <w:name w:val="annotation text"/>
    <w:basedOn w:val="Normal"/>
    <w:link w:val="CommentTextChar"/>
    <w:uiPriority w:val="99"/>
    <w:unhideWhenUsed/>
    <w:rsid w:val="00A712E5"/>
    <w:rPr>
      <w:szCs w:val="20"/>
    </w:rPr>
  </w:style>
  <w:style w:type="character" w:customStyle="1" w:styleId="CommentTextChar">
    <w:name w:val="Comment Text Char"/>
    <w:link w:val="CommentText"/>
    <w:uiPriority w:val="99"/>
    <w:rsid w:val="00A712E5"/>
    <w:rPr>
      <w:rFonts w:ascii="Lato" w:hAnsi="Lato"/>
      <w:lang w:eastAsia="en-US"/>
    </w:rPr>
  </w:style>
  <w:style w:type="paragraph" w:styleId="CommentSubject">
    <w:name w:val="annotation subject"/>
    <w:basedOn w:val="CommentText"/>
    <w:next w:val="CommentText"/>
    <w:link w:val="CommentSubjectChar"/>
    <w:uiPriority w:val="99"/>
    <w:semiHidden/>
    <w:unhideWhenUsed/>
    <w:rsid w:val="00A712E5"/>
    <w:rPr>
      <w:b/>
      <w:bCs/>
    </w:rPr>
  </w:style>
  <w:style w:type="character" w:customStyle="1" w:styleId="CommentSubjectChar">
    <w:name w:val="Comment Subject Char"/>
    <w:link w:val="CommentSubject"/>
    <w:uiPriority w:val="99"/>
    <w:semiHidden/>
    <w:rsid w:val="00A712E5"/>
    <w:rPr>
      <w:rFonts w:ascii="Lato" w:hAnsi="Lato"/>
      <w:b/>
      <w:bCs/>
      <w:lang w:eastAsia="en-US"/>
    </w:rPr>
  </w:style>
  <w:style w:type="paragraph" w:customStyle="1" w:styleId="Footer-TitlePage">
    <w:name w:val="Footer - Title Page"/>
    <w:basedOn w:val="Footer"/>
    <w:link w:val="Footer-TitlePageChar"/>
    <w:qFormat/>
    <w:rsid w:val="00EA6CF7"/>
    <w:pPr>
      <w:jc w:val="center"/>
    </w:pPr>
    <w:rPr>
      <w:b w:val="0"/>
      <w:noProof/>
      <w:color w:val="595959"/>
      <w:lang w:val="en-US"/>
    </w:rPr>
  </w:style>
  <w:style w:type="character" w:customStyle="1" w:styleId="Footer-TitlePageChar">
    <w:name w:val="Footer - Title Page Char"/>
    <w:link w:val="Footer-TitlePage"/>
    <w:rsid w:val="00EA6CF7"/>
    <w:rPr>
      <w:rFonts w:ascii="Lato" w:hAnsi="Lato"/>
      <w:b w:val="0"/>
      <w:noProof/>
      <w:color w:val="595959"/>
      <w:sz w:val="18"/>
      <w:szCs w:val="18"/>
      <w:lang w:val="en-US" w:eastAsia="en-US"/>
    </w:rPr>
  </w:style>
  <w:style w:type="paragraph" w:styleId="NormalWeb">
    <w:name w:val="Normal (Web)"/>
    <w:basedOn w:val="Normal"/>
    <w:uiPriority w:val="99"/>
    <w:unhideWhenUsed/>
    <w:rsid w:val="00811078"/>
    <w:pPr>
      <w:spacing w:before="100" w:beforeAutospacing="1" w:after="100" w:afterAutospacing="1"/>
      <w:ind w:left="0"/>
    </w:pPr>
    <w:rPr>
      <w:rFonts w:ascii="Times New Roman" w:eastAsia="Times New Roman" w:hAnsi="Times New Roman"/>
      <w:sz w:val="24"/>
      <w:szCs w:val="24"/>
    </w:rPr>
  </w:style>
  <w:style w:type="paragraph" w:customStyle="1" w:styleId="Tablebodytextintent">
    <w:name w:val="Table body text intent"/>
    <w:basedOn w:val="Tablebodytext"/>
    <w:qFormat/>
    <w:rsid w:val="00862BEE"/>
    <w:pPr>
      <w:ind w:left="743"/>
    </w:pPr>
  </w:style>
  <w:style w:type="character" w:customStyle="1" w:styleId="ListBulletChar">
    <w:name w:val="List Bullet Char"/>
    <w:link w:val="ListBullet"/>
    <w:uiPriority w:val="99"/>
    <w:rsid w:val="005A0433"/>
    <w:rPr>
      <w:rFonts w:asciiTheme="minorHAnsi" w:hAnsiTheme="minorHAnsi"/>
      <w:sz w:val="22"/>
      <w:szCs w:val="21"/>
    </w:rPr>
  </w:style>
  <w:style w:type="paragraph" w:styleId="IntenseQuote">
    <w:name w:val="Intense Quote"/>
    <w:aliases w:val="Textbox Highlight Option 2"/>
    <w:basedOn w:val="Normal"/>
    <w:next w:val="Normal"/>
    <w:link w:val="IntenseQuoteChar"/>
    <w:uiPriority w:val="30"/>
    <w:qFormat/>
    <w:rsid w:val="007262FC"/>
    <w:pPr>
      <w:pBdr>
        <w:top w:val="single" w:sz="4" w:space="10" w:color="0092CF"/>
        <w:bottom w:val="single" w:sz="4" w:space="10" w:color="0092CF"/>
      </w:pBdr>
      <w:spacing w:before="360" w:after="360"/>
      <w:ind w:left="864" w:right="864"/>
      <w:jc w:val="center"/>
    </w:pPr>
    <w:rPr>
      <w:rFonts w:asciiTheme="majorHAnsi" w:hAnsiTheme="majorHAnsi"/>
      <w:i/>
      <w:iCs/>
      <w:color w:val="0092CF"/>
    </w:rPr>
  </w:style>
  <w:style w:type="character" w:customStyle="1" w:styleId="ListParagraphChar">
    <w:name w:val="List Paragraph Char"/>
    <w:aliases w:val="Recommendation Char"/>
    <w:link w:val="ListParagraph"/>
    <w:uiPriority w:val="34"/>
    <w:rsid w:val="000F559F"/>
    <w:rPr>
      <w:rFonts w:asciiTheme="minorHAnsi" w:hAnsiTheme="minorHAnsi"/>
      <w:sz w:val="22"/>
      <w:szCs w:val="21"/>
    </w:rPr>
  </w:style>
  <w:style w:type="character" w:customStyle="1" w:styleId="ListBullet2Char">
    <w:name w:val="List Bullet 2 Char"/>
    <w:link w:val="ListBullet2"/>
    <w:uiPriority w:val="99"/>
    <w:rsid w:val="00EF65DB"/>
    <w:rPr>
      <w:rFonts w:asciiTheme="minorHAnsi" w:hAnsiTheme="minorHAnsi"/>
      <w:sz w:val="22"/>
      <w:szCs w:val="21"/>
    </w:rPr>
  </w:style>
  <w:style w:type="character" w:customStyle="1" w:styleId="IntenseQuoteChar">
    <w:name w:val="Intense Quote Char"/>
    <w:aliases w:val="Textbox Highlight Option 2 Char"/>
    <w:link w:val="IntenseQuote"/>
    <w:uiPriority w:val="30"/>
    <w:rsid w:val="007262FC"/>
    <w:rPr>
      <w:rFonts w:asciiTheme="majorHAnsi" w:hAnsiTheme="majorHAnsi"/>
      <w:i/>
      <w:iCs/>
      <w:color w:val="0092CF"/>
      <w:sz w:val="22"/>
      <w:szCs w:val="21"/>
    </w:rPr>
  </w:style>
  <w:style w:type="character" w:styleId="Strong">
    <w:name w:val="Strong"/>
    <w:uiPriority w:val="22"/>
    <w:qFormat/>
    <w:rsid w:val="00765642"/>
    <w:rPr>
      <w:b/>
      <w:bCs/>
    </w:rPr>
  </w:style>
  <w:style w:type="paragraph" w:customStyle="1" w:styleId="Subtableheading">
    <w:name w:val="Sub table heading"/>
    <w:basedOn w:val="TableHeading"/>
    <w:link w:val="SubtableheadingChar"/>
    <w:uiPriority w:val="3"/>
    <w:qFormat/>
    <w:rsid w:val="00732B76"/>
    <w:rPr>
      <w:color w:val="115E95"/>
      <w:szCs w:val="22"/>
    </w:rPr>
  </w:style>
  <w:style w:type="character" w:customStyle="1" w:styleId="TableHeadingChar">
    <w:name w:val="Table Heading Char"/>
    <w:basedOn w:val="DefaultParagraphFont"/>
    <w:link w:val="TableHeading"/>
    <w:rsid w:val="009A2C67"/>
    <w:rPr>
      <w:rFonts w:asciiTheme="minorHAnsi" w:hAnsiTheme="minorHAnsi"/>
      <w:b/>
      <w:caps/>
      <w:sz w:val="19"/>
      <w:szCs w:val="19"/>
    </w:rPr>
  </w:style>
  <w:style w:type="character" w:customStyle="1" w:styleId="SubtableheadingChar">
    <w:name w:val="Sub table heading Char"/>
    <w:basedOn w:val="TableHeadingChar"/>
    <w:link w:val="Subtableheading"/>
    <w:uiPriority w:val="3"/>
    <w:rsid w:val="00732B76"/>
    <w:rPr>
      <w:rFonts w:asciiTheme="minorHAnsi" w:hAnsiTheme="minorHAnsi"/>
      <w:b/>
      <w:caps/>
      <w:color w:val="115E95"/>
      <w:sz w:val="19"/>
      <w:szCs w:val="22"/>
    </w:rPr>
  </w:style>
  <w:style w:type="paragraph" w:styleId="FootnoteText">
    <w:name w:val="footnote text"/>
    <w:basedOn w:val="Normal"/>
    <w:link w:val="FootnoteTextChar"/>
    <w:uiPriority w:val="99"/>
    <w:unhideWhenUsed/>
    <w:rsid w:val="00F00050"/>
    <w:rPr>
      <w:sz w:val="18"/>
      <w:szCs w:val="20"/>
    </w:rPr>
  </w:style>
  <w:style w:type="character" w:customStyle="1" w:styleId="FootnoteTextChar">
    <w:name w:val="Footnote Text Char"/>
    <w:basedOn w:val="DefaultParagraphFont"/>
    <w:link w:val="FootnoteText"/>
    <w:uiPriority w:val="99"/>
    <w:rsid w:val="00F00050"/>
    <w:rPr>
      <w:rFonts w:asciiTheme="minorHAnsi" w:hAnsiTheme="minorHAnsi"/>
      <w:sz w:val="18"/>
    </w:rPr>
  </w:style>
  <w:style w:type="character" w:styleId="FootnoteReference">
    <w:name w:val="footnote reference"/>
    <w:basedOn w:val="DefaultParagraphFont"/>
    <w:uiPriority w:val="99"/>
    <w:unhideWhenUsed/>
    <w:rsid w:val="007D7926"/>
    <w:rPr>
      <w:vertAlign w:val="superscript"/>
    </w:rPr>
  </w:style>
  <w:style w:type="paragraph" w:styleId="Revision">
    <w:name w:val="Revision"/>
    <w:hidden/>
    <w:uiPriority w:val="99"/>
    <w:semiHidden/>
    <w:rsid w:val="007501BD"/>
    <w:rPr>
      <w:rFonts w:asciiTheme="minorHAnsi" w:hAnsiTheme="minorHAnsi"/>
      <w:sz w:val="22"/>
      <w:szCs w:val="21"/>
    </w:rPr>
  </w:style>
  <w:style w:type="paragraph" w:customStyle="1" w:styleId="Default">
    <w:name w:val="Default"/>
    <w:rsid w:val="0096185D"/>
    <w:pPr>
      <w:autoSpaceDE w:val="0"/>
      <w:autoSpaceDN w:val="0"/>
      <w:adjustRightInd w:val="0"/>
    </w:pPr>
    <w:rPr>
      <w:rFonts w:eastAsiaTheme="minorHAnsi" w:cs="Calibri"/>
      <w:color w:val="000000"/>
      <w:sz w:val="24"/>
      <w:szCs w:val="24"/>
      <w:lang w:eastAsia="en-US"/>
    </w:rPr>
  </w:style>
  <w:style w:type="character" w:styleId="Emphasis">
    <w:name w:val="Emphasis"/>
    <w:basedOn w:val="DefaultParagraphFont"/>
    <w:uiPriority w:val="20"/>
    <w:qFormat/>
    <w:rsid w:val="00F304B0"/>
    <w:rPr>
      <w:i/>
      <w:iCs/>
    </w:rPr>
  </w:style>
  <w:style w:type="character" w:styleId="FollowedHyperlink">
    <w:name w:val="FollowedHyperlink"/>
    <w:basedOn w:val="DefaultParagraphFont"/>
    <w:uiPriority w:val="99"/>
    <w:semiHidden/>
    <w:unhideWhenUsed/>
    <w:rsid w:val="00BE7E61"/>
    <w:rPr>
      <w:color w:val="2B2171" w:themeColor="followedHyperlink"/>
      <w:u w:val="single"/>
    </w:rPr>
  </w:style>
  <w:style w:type="paragraph" w:styleId="PlainText">
    <w:name w:val="Plain Text"/>
    <w:basedOn w:val="Normal"/>
    <w:link w:val="PlainTextChar"/>
    <w:uiPriority w:val="99"/>
    <w:semiHidden/>
    <w:unhideWhenUsed/>
    <w:rsid w:val="00BE7E61"/>
    <w:pPr>
      <w:spacing w:after="160" w:line="252" w:lineRule="auto"/>
      <w:ind w:left="0"/>
      <w:jc w:val="both"/>
    </w:pPr>
    <w:rPr>
      <w:rFonts w:ascii="Calibri" w:eastAsiaTheme="minorHAnsi" w:hAnsi="Calibri" w:cstheme="minorBidi"/>
      <w:szCs w:val="22"/>
      <w:lang w:eastAsia="en-US"/>
    </w:rPr>
  </w:style>
  <w:style w:type="character" w:customStyle="1" w:styleId="PlainTextChar">
    <w:name w:val="Plain Text Char"/>
    <w:basedOn w:val="DefaultParagraphFont"/>
    <w:link w:val="PlainText"/>
    <w:uiPriority w:val="99"/>
    <w:semiHidden/>
    <w:rsid w:val="00BE7E61"/>
    <w:rPr>
      <w:rFonts w:eastAsiaTheme="minorHAnsi" w:cstheme="minorBidi"/>
      <w:sz w:val="22"/>
      <w:szCs w:val="22"/>
      <w:lang w:eastAsia="en-US"/>
    </w:rPr>
  </w:style>
  <w:style w:type="character" w:customStyle="1" w:styleId="IntenseQuoteChar1">
    <w:name w:val="Intense Quote Char1"/>
    <w:aliases w:val="Textbox Highlight Option 2 Char1"/>
    <w:basedOn w:val="DefaultParagraphFont"/>
    <w:uiPriority w:val="30"/>
    <w:rsid w:val="00BE7E61"/>
    <w:rPr>
      <w:rFonts w:asciiTheme="minorHAnsi" w:hAnsiTheme="minorHAnsi"/>
      <w:b/>
      <w:bCs/>
      <w:i/>
      <w:iCs/>
      <w:color w:val="115E95" w:themeColor="accent1"/>
      <w:sz w:val="22"/>
      <w:szCs w:val="21"/>
    </w:rPr>
  </w:style>
  <w:style w:type="character" w:customStyle="1" w:styleId="Mention1">
    <w:name w:val="Mention1"/>
    <w:basedOn w:val="DefaultParagraphFont"/>
    <w:uiPriority w:val="99"/>
    <w:semiHidden/>
    <w:rsid w:val="00BE7E61"/>
    <w:rPr>
      <w:color w:val="2B579A"/>
      <w:shd w:val="clear" w:color="auto" w:fill="E6E6E6"/>
    </w:rPr>
  </w:style>
  <w:style w:type="character" w:customStyle="1" w:styleId="Mention2">
    <w:name w:val="Mention2"/>
    <w:basedOn w:val="DefaultParagraphFont"/>
    <w:uiPriority w:val="99"/>
    <w:semiHidden/>
    <w:unhideWhenUsed/>
    <w:rsid w:val="000C4CAF"/>
    <w:rPr>
      <w:color w:val="2B579A"/>
      <w:shd w:val="clear" w:color="auto" w:fill="E6E6E6"/>
    </w:rPr>
  </w:style>
  <w:style w:type="character" w:customStyle="1" w:styleId="Mention3">
    <w:name w:val="Mention3"/>
    <w:basedOn w:val="DefaultParagraphFont"/>
    <w:uiPriority w:val="99"/>
    <w:semiHidden/>
    <w:unhideWhenUsed/>
    <w:rsid w:val="00DF4263"/>
    <w:rPr>
      <w:color w:val="2B579A"/>
      <w:shd w:val="clear" w:color="auto" w:fill="E6E6E6"/>
    </w:rPr>
  </w:style>
  <w:style w:type="paragraph" w:customStyle="1" w:styleId="Tablebullet2">
    <w:name w:val="Table bullet 2"/>
    <w:basedOn w:val="Tablebullet"/>
    <w:link w:val="Tablebullet2Char"/>
    <w:qFormat/>
    <w:rsid w:val="00CC5111"/>
    <w:pPr>
      <w:numPr>
        <w:numId w:val="6"/>
      </w:numPr>
      <w:ind w:left="568" w:hanging="284"/>
    </w:pPr>
  </w:style>
  <w:style w:type="character" w:customStyle="1" w:styleId="TablebulletChar">
    <w:name w:val="Table bullet Char"/>
    <w:basedOn w:val="DefaultParagraphFont"/>
    <w:link w:val="Tablebullet"/>
    <w:rsid w:val="00443F10"/>
    <w:rPr>
      <w:rFonts w:eastAsia="Times New Roman" w:cs="Calibri"/>
      <w:color w:val="444444"/>
    </w:rPr>
  </w:style>
  <w:style w:type="character" w:customStyle="1" w:styleId="Tablebullet2Char">
    <w:name w:val="Table bullet 2 Char"/>
    <w:basedOn w:val="TablebulletChar"/>
    <w:link w:val="Tablebullet2"/>
    <w:rsid w:val="00CC5111"/>
    <w:rPr>
      <w:rFonts w:asciiTheme="minorHAnsi" w:eastAsia="Times New Roman" w:hAnsiTheme="minorHAnsi" w:cs="Calibri"/>
      <w:color w:val="444444"/>
      <w:sz w:val="19"/>
      <w:szCs w:val="21"/>
      <w:lang w:eastAsia="en-US"/>
    </w:rPr>
  </w:style>
  <w:style w:type="paragraph" w:customStyle="1" w:styleId="TableBody2">
    <w:name w:val="Table Body 2"/>
    <w:basedOn w:val="Tablebullet"/>
    <w:link w:val="TableBody2Char"/>
    <w:qFormat/>
    <w:rsid w:val="00E310F3"/>
    <w:pPr>
      <w:ind w:left="0"/>
    </w:pPr>
  </w:style>
  <w:style w:type="character" w:customStyle="1" w:styleId="TableBody2Char">
    <w:name w:val="Table Body 2 Char"/>
    <w:basedOn w:val="TablebulletChar"/>
    <w:link w:val="TableBody2"/>
    <w:rsid w:val="00E310F3"/>
    <w:rPr>
      <w:rFonts w:asciiTheme="minorHAnsi" w:eastAsia="Times New Roman" w:hAnsiTheme="minorHAnsi" w:cs="Calibri"/>
      <w:color w:val="444444"/>
      <w:sz w:val="19"/>
      <w:szCs w:val="21"/>
      <w:lang w:eastAsia="en-US"/>
    </w:rPr>
  </w:style>
  <w:style w:type="paragraph" w:customStyle="1" w:styleId="Tablebodytext">
    <w:name w:val="Table body text"/>
    <w:qFormat/>
    <w:rsid w:val="007419D2"/>
    <w:pPr>
      <w:spacing w:before="60" w:after="60"/>
    </w:pPr>
    <w:rPr>
      <w:rFonts w:asciiTheme="minorHAnsi" w:hAnsiTheme="minorHAnsi"/>
      <w:sz w:val="19"/>
      <w:szCs w:val="21"/>
      <w:lang w:eastAsia="en-US"/>
    </w:rPr>
  </w:style>
  <w:style w:type="character" w:customStyle="1" w:styleId="UnresolvedMention1">
    <w:name w:val="Unresolved Mention1"/>
    <w:basedOn w:val="DefaultParagraphFont"/>
    <w:uiPriority w:val="99"/>
    <w:semiHidden/>
    <w:unhideWhenUsed/>
    <w:rsid w:val="00CA3530"/>
    <w:rPr>
      <w:color w:val="808080"/>
      <w:shd w:val="clear" w:color="auto" w:fill="E6E6E6"/>
    </w:rPr>
  </w:style>
  <w:style w:type="paragraph" w:styleId="BodyText">
    <w:name w:val="Body Text"/>
    <w:basedOn w:val="Normal"/>
    <w:link w:val="BodyTextChar"/>
    <w:unhideWhenUsed/>
    <w:rsid w:val="00054282"/>
    <w:pPr>
      <w:spacing w:line="276" w:lineRule="auto"/>
      <w:ind w:left="0"/>
    </w:pPr>
    <w:rPr>
      <w:rFonts w:ascii="Cambria" w:eastAsiaTheme="minorHAnsi" w:hAnsi="Cambria" w:cstheme="minorBidi"/>
      <w:szCs w:val="22"/>
      <w:lang w:eastAsia="en-US"/>
    </w:rPr>
  </w:style>
  <w:style w:type="character" w:customStyle="1" w:styleId="BodyTextChar">
    <w:name w:val="Body Text Char"/>
    <w:basedOn w:val="DefaultParagraphFont"/>
    <w:link w:val="BodyText"/>
    <w:rsid w:val="00054282"/>
    <w:rPr>
      <w:rFonts w:ascii="Cambria" w:eastAsiaTheme="minorHAnsi" w:hAnsi="Cambria" w:cstheme="minorBidi"/>
      <w:sz w:val="22"/>
      <w:szCs w:val="22"/>
      <w:lang w:eastAsia="en-US"/>
    </w:rPr>
  </w:style>
  <w:style w:type="character" w:styleId="IntenseReference">
    <w:name w:val="Intense Reference"/>
    <w:basedOn w:val="DefaultParagraphFont"/>
    <w:uiPriority w:val="32"/>
    <w:qFormat/>
    <w:rsid w:val="002A2A4D"/>
    <w:rPr>
      <w:b/>
      <w:bCs/>
      <w:smallCaps/>
      <w:color w:val="115E95" w:themeColor="accent1"/>
      <w:spacing w:val="5"/>
    </w:rPr>
  </w:style>
  <w:style w:type="character" w:styleId="IntenseEmphasis">
    <w:name w:val="Intense Emphasis"/>
    <w:basedOn w:val="DefaultParagraphFont"/>
    <w:uiPriority w:val="21"/>
    <w:qFormat/>
    <w:rsid w:val="002A2A4D"/>
    <w:rPr>
      <w:i/>
      <w:iCs/>
      <w:color w:val="115E95" w:themeColor="accent1"/>
    </w:rPr>
  </w:style>
  <w:style w:type="numbering" w:customStyle="1" w:styleId="headings">
    <w:name w:val="headings"/>
    <w:uiPriority w:val="99"/>
    <w:rsid w:val="00BA1CAB"/>
    <w:pPr>
      <w:numPr>
        <w:numId w:val="28"/>
      </w:numPr>
    </w:pPr>
  </w:style>
  <w:style w:type="paragraph" w:styleId="ListNumber">
    <w:name w:val="List Number"/>
    <w:basedOn w:val="ListParagraph"/>
    <w:uiPriority w:val="99"/>
    <w:unhideWhenUsed/>
    <w:rsid w:val="001E6549"/>
    <w:pPr>
      <w:numPr>
        <w:numId w:val="21"/>
      </w:numPr>
      <w:ind w:left="1135" w:hanging="284"/>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8974">
      <w:bodyDiv w:val="1"/>
      <w:marLeft w:val="0"/>
      <w:marRight w:val="0"/>
      <w:marTop w:val="0"/>
      <w:marBottom w:val="0"/>
      <w:divBdr>
        <w:top w:val="none" w:sz="0" w:space="0" w:color="auto"/>
        <w:left w:val="none" w:sz="0" w:space="0" w:color="auto"/>
        <w:bottom w:val="none" w:sz="0" w:space="0" w:color="auto"/>
        <w:right w:val="none" w:sz="0" w:space="0" w:color="auto"/>
      </w:divBdr>
    </w:div>
    <w:div w:id="23990851">
      <w:bodyDiv w:val="1"/>
      <w:marLeft w:val="0"/>
      <w:marRight w:val="0"/>
      <w:marTop w:val="0"/>
      <w:marBottom w:val="0"/>
      <w:divBdr>
        <w:top w:val="none" w:sz="0" w:space="0" w:color="auto"/>
        <w:left w:val="none" w:sz="0" w:space="0" w:color="auto"/>
        <w:bottom w:val="none" w:sz="0" w:space="0" w:color="auto"/>
        <w:right w:val="none" w:sz="0" w:space="0" w:color="auto"/>
      </w:divBdr>
    </w:div>
    <w:div w:id="57751863">
      <w:bodyDiv w:val="1"/>
      <w:marLeft w:val="0"/>
      <w:marRight w:val="0"/>
      <w:marTop w:val="0"/>
      <w:marBottom w:val="0"/>
      <w:divBdr>
        <w:top w:val="none" w:sz="0" w:space="0" w:color="auto"/>
        <w:left w:val="none" w:sz="0" w:space="0" w:color="auto"/>
        <w:bottom w:val="none" w:sz="0" w:space="0" w:color="auto"/>
        <w:right w:val="none" w:sz="0" w:space="0" w:color="auto"/>
      </w:divBdr>
      <w:divsChild>
        <w:div w:id="70740514">
          <w:marLeft w:val="446"/>
          <w:marRight w:val="0"/>
          <w:marTop w:val="120"/>
          <w:marBottom w:val="0"/>
          <w:divBdr>
            <w:top w:val="none" w:sz="0" w:space="0" w:color="auto"/>
            <w:left w:val="none" w:sz="0" w:space="0" w:color="auto"/>
            <w:bottom w:val="none" w:sz="0" w:space="0" w:color="auto"/>
            <w:right w:val="none" w:sz="0" w:space="0" w:color="auto"/>
          </w:divBdr>
        </w:div>
        <w:div w:id="283971827">
          <w:marLeft w:val="1627"/>
          <w:marRight w:val="0"/>
          <w:marTop w:val="192"/>
          <w:marBottom w:val="0"/>
          <w:divBdr>
            <w:top w:val="none" w:sz="0" w:space="0" w:color="auto"/>
            <w:left w:val="none" w:sz="0" w:space="0" w:color="auto"/>
            <w:bottom w:val="none" w:sz="0" w:space="0" w:color="auto"/>
            <w:right w:val="none" w:sz="0" w:space="0" w:color="auto"/>
          </w:divBdr>
        </w:div>
        <w:div w:id="563638042">
          <w:marLeft w:val="1627"/>
          <w:marRight w:val="0"/>
          <w:marTop w:val="192"/>
          <w:marBottom w:val="0"/>
          <w:divBdr>
            <w:top w:val="none" w:sz="0" w:space="0" w:color="auto"/>
            <w:left w:val="none" w:sz="0" w:space="0" w:color="auto"/>
            <w:bottom w:val="none" w:sz="0" w:space="0" w:color="auto"/>
            <w:right w:val="none" w:sz="0" w:space="0" w:color="auto"/>
          </w:divBdr>
        </w:div>
        <w:div w:id="1085614278">
          <w:marLeft w:val="1627"/>
          <w:marRight w:val="0"/>
          <w:marTop w:val="192"/>
          <w:marBottom w:val="0"/>
          <w:divBdr>
            <w:top w:val="none" w:sz="0" w:space="0" w:color="auto"/>
            <w:left w:val="none" w:sz="0" w:space="0" w:color="auto"/>
            <w:bottom w:val="none" w:sz="0" w:space="0" w:color="auto"/>
            <w:right w:val="none" w:sz="0" w:space="0" w:color="auto"/>
          </w:divBdr>
        </w:div>
        <w:div w:id="388386280">
          <w:marLeft w:val="1627"/>
          <w:marRight w:val="0"/>
          <w:marTop w:val="192"/>
          <w:marBottom w:val="0"/>
          <w:divBdr>
            <w:top w:val="none" w:sz="0" w:space="0" w:color="auto"/>
            <w:left w:val="none" w:sz="0" w:space="0" w:color="auto"/>
            <w:bottom w:val="none" w:sz="0" w:space="0" w:color="auto"/>
            <w:right w:val="none" w:sz="0" w:space="0" w:color="auto"/>
          </w:divBdr>
        </w:div>
        <w:div w:id="970132135">
          <w:marLeft w:val="446"/>
          <w:marRight w:val="0"/>
          <w:marTop w:val="120"/>
          <w:marBottom w:val="0"/>
          <w:divBdr>
            <w:top w:val="none" w:sz="0" w:space="0" w:color="auto"/>
            <w:left w:val="none" w:sz="0" w:space="0" w:color="auto"/>
            <w:bottom w:val="none" w:sz="0" w:space="0" w:color="auto"/>
            <w:right w:val="none" w:sz="0" w:space="0" w:color="auto"/>
          </w:divBdr>
        </w:div>
        <w:div w:id="139468661">
          <w:marLeft w:val="1627"/>
          <w:marRight w:val="0"/>
          <w:marTop w:val="192"/>
          <w:marBottom w:val="0"/>
          <w:divBdr>
            <w:top w:val="none" w:sz="0" w:space="0" w:color="auto"/>
            <w:left w:val="none" w:sz="0" w:space="0" w:color="auto"/>
            <w:bottom w:val="none" w:sz="0" w:space="0" w:color="auto"/>
            <w:right w:val="none" w:sz="0" w:space="0" w:color="auto"/>
          </w:divBdr>
        </w:div>
        <w:div w:id="59983896">
          <w:marLeft w:val="1627"/>
          <w:marRight w:val="0"/>
          <w:marTop w:val="192"/>
          <w:marBottom w:val="0"/>
          <w:divBdr>
            <w:top w:val="none" w:sz="0" w:space="0" w:color="auto"/>
            <w:left w:val="none" w:sz="0" w:space="0" w:color="auto"/>
            <w:bottom w:val="none" w:sz="0" w:space="0" w:color="auto"/>
            <w:right w:val="none" w:sz="0" w:space="0" w:color="auto"/>
          </w:divBdr>
        </w:div>
        <w:div w:id="1996951616">
          <w:marLeft w:val="446"/>
          <w:marRight w:val="0"/>
          <w:marTop w:val="120"/>
          <w:marBottom w:val="0"/>
          <w:divBdr>
            <w:top w:val="none" w:sz="0" w:space="0" w:color="auto"/>
            <w:left w:val="none" w:sz="0" w:space="0" w:color="auto"/>
            <w:bottom w:val="none" w:sz="0" w:space="0" w:color="auto"/>
            <w:right w:val="none" w:sz="0" w:space="0" w:color="auto"/>
          </w:divBdr>
        </w:div>
      </w:divsChild>
    </w:div>
    <w:div w:id="81147114">
      <w:bodyDiv w:val="1"/>
      <w:marLeft w:val="0"/>
      <w:marRight w:val="0"/>
      <w:marTop w:val="0"/>
      <w:marBottom w:val="0"/>
      <w:divBdr>
        <w:top w:val="none" w:sz="0" w:space="0" w:color="auto"/>
        <w:left w:val="none" w:sz="0" w:space="0" w:color="auto"/>
        <w:bottom w:val="none" w:sz="0" w:space="0" w:color="auto"/>
        <w:right w:val="none" w:sz="0" w:space="0" w:color="auto"/>
      </w:divBdr>
    </w:div>
    <w:div w:id="115178365">
      <w:bodyDiv w:val="1"/>
      <w:marLeft w:val="0"/>
      <w:marRight w:val="0"/>
      <w:marTop w:val="0"/>
      <w:marBottom w:val="0"/>
      <w:divBdr>
        <w:top w:val="none" w:sz="0" w:space="0" w:color="auto"/>
        <w:left w:val="none" w:sz="0" w:space="0" w:color="auto"/>
        <w:bottom w:val="none" w:sz="0" w:space="0" w:color="auto"/>
        <w:right w:val="none" w:sz="0" w:space="0" w:color="auto"/>
      </w:divBdr>
    </w:div>
    <w:div w:id="123234270">
      <w:bodyDiv w:val="1"/>
      <w:marLeft w:val="0"/>
      <w:marRight w:val="0"/>
      <w:marTop w:val="0"/>
      <w:marBottom w:val="0"/>
      <w:divBdr>
        <w:top w:val="none" w:sz="0" w:space="0" w:color="auto"/>
        <w:left w:val="none" w:sz="0" w:space="0" w:color="auto"/>
        <w:bottom w:val="none" w:sz="0" w:space="0" w:color="auto"/>
        <w:right w:val="none" w:sz="0" w:space="0" w:color="auto"/>
      </w:divBdr>
      <w:divsChild>
        <w:div w:id="495922319">
          <w:marLeft w:val="0"/>
          <w:marRight w:val="0"/>
          <w:marTop w:val="0"/>
          <w:marBottom w:val="0"/>
          <w:divBdr>
            <w:top w:val="none" w:sz="0" w:space="0" w:color="auto"/>
            <w:left w:val="none" w:sz="0" w:space="0" w:color="auto"/>
            <w:bottom w:val="none" w:sz="0" w:space="0" w:color="auto"/>
            <w:right w:val="none" w:sz="0" w:space="0" w:color="auto"/>
          </w:divBdr>
          <w:divsChild>
            <w:div w:id="968125675">
              <w:marLeft w:val="0"/>
              <w:marRight w:val="0"/>
              <w:marTop w:val="0"/>
              <w:marBottom w:val="0"/>
              <w:divBdr>
                <w:top w:val="none" w:sz="0" w:space="0" w:color="auto"/>
                <w:left w:val="none" w:sz="0" w:space="0" w:color="auto"/>
                <w:bottom w:val="none" w:sz="0" w:space="0" w:color="auto"/>
                <w:right w:val="none" w:sz="0" w:space="0" w:color="auto"/>
              </w:divBdr>
              <w:divsChild>
                <w:div w:id="796221558">
                  <w:marLeft w:val="0"/>
                  <w:marRight w:val="0"/>
                  <w:marTop w:val="0"/>
                  <w:marBottom w:val="0"/>
                  <w:divBdr>
                    <w:top w:val="none" w:sz="0" w:space="0" w:color="auto"/>
                    <w:left w:val="none" w:sz="0" w:space="0" w:color="auto"/>
                    <w:bottom w:val="none" w:sz="0" w:space="0" w:color="auto"/>
                    <w:right w:val="none" w:sz="0" w:space="0" w:color="auto"/>
                  </w:divBdr>
                  <w:divsChild>
                    <w:div w:id="616837124">
                      <w:marLeft w:val="0"/>
                      <w:marRight w:val="0"/>
                      <w:marTop w:val="0"/>
                      <w:marBottom w:val="0"/>
                      <w:divBdr>
                        <w:top w:val="none" w:sz="0" w:space="0" w:color="auto"/>
                        <w:left w:val="none" w:sz="0" w:space="0" w:color="auto"/>
                        <w:bottom w:val="none" w:sz="0" w:space="0" w:color="auto"/>
                        <w:right w:val="none" w:sz="0" w:space="0" w:color="auto"/>
                      </w:divBdr>
                      <w:divsChild>
                        <w:div w:id="821779270">
                          <w:marLeft w:val="0"/>
                          <w:marRight w:val="0"/>
                          <w:marTop w:val="0"/>
                          <w:marBottom w:val="0"/>
                          <w:divBdr>
                            <w:top w:val="none" w:sz="0" w:space="0" w:color="auto"/>
                            <w:left w:val="none" w:sz="0" w:space="0" w:color="auto"/>
                            <w:bottom w:val="none" w:sz="0" w:space="0" w:color="auto"/>
                            <w:right w:val="none" w:sz="0" w:space="0" w:color="auto"/>
                          </w:divBdr>
                          <w:divsChild>
                            <w:div w:id="950669841">
                              <w:marLeft w:val="0"/>
                              <w:marRight w:val="0"/>
                              <w:marTop w:val="0"/>
                              <w:marBottom w:val="0"/>
                              <w:divBdr>
                                <w:top w:val="none" w:sz="0" w:space="0" w:color="auto"/>
                                <w:left w:val="none" w:sz="0" w:space="0" w:color="auto"/>
                                <w:bottom w:val="none" w:sz="0" w:space="0" w:color="auto"/>
                                <w:right w:val="none" w:sz="0" w:space="0" w:color="auto"/>
                              </w:divBdr>
                              <w:divsChild>
                                <w:div w:id="1209882041">
                                  <w:marLeft w:val="0"/>
                                  <w:marRight w:val="0"/>
                                  <w:marTop w:val="0"/>
                                  <w:marBottom w:val="0"/>
                                  <w:divBdr>
                                    <w:top w:val="none" w:sz="0" w:space="0" w:color="auto"/>
                                    <w:left w:val="none" w:sz="0" w:space="0" w:color="auto"/>
                                    <w:bottom w:val="none" w:sz="0" w:space="0" w:color="auto"/>
                                    <w:right w:val="none" w:sz="0" w:space="0" w:color="auto"/>
                                  </w:divBdr>
                                  <w:divsChild>
                                    <w:div w:id="729499555">
                                      <w:marLeft w:val="0"/>
                                      <w:marRight w:val="0"/>
                                      <w:marTop w:val="0"/>
                                      <w:marBottom w:val="0"/>
                                      <w:divBdr>
                                        <w:top w:val="none" w:sz="0" w:space="0" w:color="auto"/>
                                        <w:left w:val="none" w:sz="0" w:space="0" w:color="auto"/>
                                        <w:bottom w:val="none" w:sz="0" w:space="0" w:color="auto"/>
                                        <w:right w:val="none" w:sz="0" w:space="0" w:color="auto"/>
                                      </w:divBdr>
                                      <w:divsChild>
                                        <w:div w:id="1086152578">
                                          <w:marLeft w:val="0"/>
                                          <w:marRight w:val="0"/>
                                          <w:marTop w:val="0"/>
                                          <w:marBottom w:val="0"/>
                                          <w:divBdr>
                                            <w:top w:val="none" w:sz="0" w:space="0" w:color="auto"/>
                                            <w:left w:val="none" w:sz="0" w:space="0" w:color="auto"/>
                                            <w:bottom w:val="none" w:sz="0" w:space="0" w:color="auto"/>
                                            <w:right w:val="none" w:sz="0" w:space="0" w:color="auto"/>
                                          </w:divBdr>
                                          <w:divsChild>
                                            <w:div w:id="752167237">
                                              <w:marLeft w:val="0"/>
                                              <w:marRight w:val="0"/>
                                              <w:marTop w:val="0"/>
                                              <w:marBottom w:val="0"/>
                                              <w:divBdr>
                                                <w:top w:val="none" w:sz="0" w:space="0" w:color="auto"/>
                                                <w:left w:val="none" w:sz="0" w:space="0" w:color="auto"/>
                                                <w:bottom w:val="none" w:sz="0" w:space="0" w:color="auto"/>
                                                <w:right w:val="none" w:sz="0" w:space="0" w:color="auto"/>
                                              </w:divBdr>
                                              <w:divsChild>
                                                <w:div w:id="141119975">
                                                  <w:marLeft w:val="0"/>
                                                  <w:marRight w:val="0"/>
                                                  <w:marTop w:val="0"/>
                                                  <w:marBottom w:val="0"/>
                                                  <w:divBdr>
                                                    <w:top w:val="none" w:sz="0" w:space="0" w:color="auto"/>
                                                    <w:left w:val="none" w:sz="0" w:space="0" w:color="auto"/>
                                                    <w:bottom w:val="none" w:sz="0" w:space="0" w:color="auto"/>
                                                    <w:right w:val="none" w:sz="0" w:space="0" w:color="auto"/>
                                                  </w:divBdr>
                                                  <w:divsChild>
                                                    <w:div w:id="208305398">
                                                      <w:marLeft w:val="0"/>
                                                      <w:marRight w:val="0"/>
                                                      <w:marTop w:val="0"/>
                                                      <w:marBottom w:val="0"/>
                                                      <w:divBdr>
                                                        <w:top w:val="none" w:sz="0" w:space="0" w:color="auto"/>
                                                        <w:left w:val="none" w:sz="0" w:space="0" w:color="auto"/>
                                                        <w:bottom w:val="none" w:sz="0" w:space="0" w:color="auto"/>
                                                        <w:right w:val="none" w:sz="0" w:space="0" w:color="auto"/>
                                                      </w:divBdr>
                                                      <w:divsChild>
                                                        <w:div w:id="291249348">
                                                          <w:marLeft w:val="0"/>
                                                          <w:marRight w:val="0"/>
                                                          <w:marTop w:val="0"/>
                                                          <w:marBottom w:val="0"/>
                                                          <w:divBdr>
                                                            <w:top w:val="none" w:sz="0" w:space="0" w:color="auto"/>
                                                            <w:left w:val="none" w:sz="0" w:space="0" w:color="auto"/>
                                                            <w:bottom w:val="none" w:sz="0" w:space="0" w:color="auto"/>
                                                            <w:right w:val="none" w:sz="0" w:space="0" w:color="auto"/>
                                                          </w:divBdr>
                                                          <w:divsChild>
                                                            <w:div w:id="16644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289505">
      <w:bodyDiv w:val="1"/>
      <w:marLeft w:val="0"/>
      <w:marRight w:val="0"/>
      <w:marTop w:val="0"/>
      <w:marBottom w:val="0"/>
      <w:divBdr>
        <w:top w:val="none" w:sz="0" w:space="0" w:color="auto"/>
        <w:left w:val="none" w:sz="0" w:space="0" w:color="auto"/>
        <w:bottom w:val="none" w:sz="0" w:space="0" w:color="auto"/>
        <w:right w:val="none" w:sz="0" w:space="0" w:color="auto"/>
      </w:divBdr>
      <w:divsChild>
        <w:div w:id="1859394285">
          <w:marLeft w:val="0"/>
          <w:marRight w:val="0"/>
          <w:marTop w:val="0"/>
          <w:marBottom w:val="0"/>
          <w:divBdr>
            <w:top w:val="none" w:sz="0" w:space="0" w:color="auto"/>
            <w:left w:val="none" w:sz="0" w:space="0" w:color="auto"/>
            <w:bottom w:val="none" w:sz="0" w:space="0" w:color="auto"/>
            <w:right w:val="none" w:sz="0" w:space="0" w:color="auto"/>
          </w:divBdr>
          <w:divsChild>
            <w:div w:id="1401057341">
              <w:marLeft w:val="0"/>
              <w:marRight w:val="0"/>
              <w:marTop w:val="0"/>
              <w:marBottom w:val="0"/>
              <w:divBdr>
                <w:top w:val="none" w:sz="0" w:space="0" w:color="auto"/>
                <w:left w:val="none" w:sz="0" w:space="0" w:color="auto"/>
                <w:bottom w:val="none" w:sz="0" w:space="0" w:color="auto"/>
                <w:right w:val="none" w:sz="0" w:space="0" w:color="auto"/>
              </w:divBdr>
              <w:divsChild>
                <w:div w:id="835876097">
                  <w:marLeft w:val="0"/>
                  <w:marRight w:val="0"/>
                  <w:marTop w:val="0"/>
                  <w:marBottom w:val="0"/>
                  <w:divBdr>
                    <w:top w:val="none" w:sz="0" w:space="0" w:color="auto"/>
                    <w:left w:val="none" w:sz="0" w:space="0" w:color="auto"/>
                    <w:bottom w:val="none" w:sz="0" w:space="0" w:color="auto"/>
                    <w:right w:val="none" w:sz="0" w:space="0" w:color="auto"/>
                  </w:divBdr>
                  <w:divsChild>
                    <w:div w:id="1563174849">
                      <w:marLeft w:val="0"/>
                      <w:marRight w:val="0"/>
                      <w:marTop w:val="0"/>
                      <w:marBottom w:val="0"/>
                      <w:divBdr>
                        <w:top w:val="none" w:sz="0" w:space="0" w:color="auto"/>
                        <w:left w:val="none" w:sz="0" w:space="0" w:color="auto"/>
                        <w:bottom w:val="none" w:sz="0" w:space="0" w:color="auto"/>
                        <w:right w:val="none" w:sz="0" w:space="0" w:color="auto"/>
                      </w:divBdr>
                      <w:divsChild>
                        <w:div w:id="1573272075">
                          <w:marLeft w:val="0"/>
                          <w:marRight w:val="0"/>
                          <w:marTop w:val="0"/>
                          <w:marBottom w:val="0"/>
                          <w:divBdr>
                            <w:top w:val="none" w:sz="0" w:space="0" w:color="auto"/>
                            <w:left w:val="none" w:sz="0" w:space="0" w:color="auto"/>
                            <w:bottom w:val="none" w:sz="0" w:space="0" w:color="auto"/>
                            <w:right w:val="none" w:sz="0" w:space="0" w:color="auto"/>
                          </w:divBdr>
                          <w:divsChild>
                            <w:div w:id="1775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65247">
      <w:bodyDiv w:val="1"/>
      <w:marLeft w:val="0"/>
      <w:marRight w:val="0"/>
      <w:marTop w:val="0"/>
      <w:marBottom w:val="0"/>
      <w:divBdr>
        <w:top w:val="none" w:sz="0" w:space="0" w:color="auto"/>
        <w:left w:val="none" w:sz="0" w:space="0" w:color="auto"/>
        <w:bottom w:val="none" w:sz="0" w:space="0" w:color="auto"/>
        <w:right w:val="none" w:sz="0" w:space="0" w:color="auto"/>
      </w:divBdr>
    </w:div>
    <w:div w:id="233469573">
      <w:bodyDiv w:val="1"/>
      <w:marLeft w:val="0"/>
      <w:marRight w:val="0"/>
      <w:marTop w:val="0"/>
      <w:marBottom w:val="0"/>
      <w:divBdr>
        <w:top w:val="none" w:sz="0" w:space="0" w:color="auto"/>
        <w:left w:val="none" w:sz="0" w:space="0" w:color="auto"/>
        <w:bottom w:val="none" w:sz="0" w:space="0" w:color="auto"/>
        <w:right w:val="none" w:sz="0" w:space="0" w:color="auto"/>
      </w:divBdr>
    </w:div>
    <w:div w:id="253559740">
      <w:bodyDiv w:val="1"/>
      <w:marLeft w:val="0"/>
      <w:marRight w:val="0"/>
      <w:marTop w:val="0"/>
      <w:marBottom w:val="0"/>
      <w:divBdr>
        <w:top w:val="none" w:sz="0" w:space="0" w:color="auto"/>
        <w:left w:val="none" w:sz="0" w:space="0" w:color="auto"/>
        <w:bottom w:val="none" w:sz="0" w:space="0" w:color="auto"/>
        <w:right w:val="none" w:sz="0" w:space="0" w:color="auto"/>
      </w:divBdr>
      <w:divsChild>
        <w:div w:id="867598228">
          <w:marLeft w:val="0"/>
          <w:marRight w:val="0"/>
          <w:marTop w:val="0"/>
          <w:marBottom w:val="0"/>
          <w:divBdr>
            <w:top w:val="none" w:sz="0" w:space="0" w:color="auto"/>
            <w:left w:val="none" w:sz="0" w:space="0" w:color="auto"/>
            <w:bottom w:val="none" w:sz="0" w:space="0" w:color="auto"/>
            <w:right w:val="none" w:sz="0" w:space="0" w:color="auto"/>
          </w:divBdr>
          <w:divsChild>
            <w:div w:id="1090469413">
              <w:marLeft w:val="0"/>
              <w:marRight w:val="0"/>
              <w:marTop w:val="0"/>
              <w:marBottom w:val="0"/>
              <w:divBdr>
                <w:top w:val="none" w:sz="0" w:space="0" w:color="auto"/>
                <w:left w:val="none" w:sz="0" w:space="0" w:color="auto"/>
                <w:bottom w:val="none" w:sz="0" w:space="0" w:color="auto"/>
                <w:right w:val="none" w:sz="0" w:space="0" w:color="auto"/>
              </w:divBdr>
              <w:divsChild>
                <w:div w:id="118495789">
                  <w:marLeft w:val="0"/>
                  <w:marRight w:val="0"/>
                  <w:marTop w:val="0"/>
                  <w:marBottom w:val="0"/>
                  <w:divBdr>
                    <w:top w:val="none" w:sz="0" w:space="0" w:color="auto"/>
                    <w:left w:val="none" w:sz="0" w:space="0" w:color="auto"/>
                    <w:bottom w:val="none" w:sz="0" w:space="0" w:color="auto"/>
                    <w:right w:val="none" w:sz="0" w:space="0" w:color="auto"/>
                  </w:divBdr>
                  <w:divsChild>
                    <w:div w:id="291132295">
                      <w:marLeft w:val="0"/>
                      <w:marRight w:val="0"/>
                      <w:marTop w:val="0"/>
                      <w:marBottom w:val="0"/>
                      <w:divBdr>
                        <w:top w:val="none" w:sz="0" w:space="0" w:color="auto"/>
                        <w:left w:val="none" w:sz="0" w:space="0" w:color="auto"/>
                        <w:bottom w:val="none" w:sz="0" w:space="0" w:color="auto"/>
                        <w:right w:val="none" w:sz="0" w:space="0" w:color="auto"/>
                      </w:divBdr>
                      <w:divsChild>
                        <w:div w:id="72627097">
                          <w:marLeft w:val="0"/>
                          <w:marRight w:val="0"/>
                          <w:marTop w:val="0"/>
                          <w:marBottom w:val="0"/>
                          <w:divBdr>
                            <w:top w:val="none" w:sz="0" w:space="0" w:color="auto"/>
                            <w:left w:val="none" w:sz="0" w:space="0" w:color="auto"/>
                            <w:bottom w:val="none" w:sz="0" w:space="0" w:color="auto"/>
                            <w:right w:val="none" w:sz="0" w:space="0" w:color="auto"/>
                          </w:divBdr>
                          <w:divsChild>
                            <w:div w:id="2050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90193">
      <w:bodyDiv w:val="1"/>
      <w:marLeft w:val="0"/>
      <w:marRight w:val="0"/>
      <w:marTop w:val="0"/>
      <w:marBottom w:val="0"/>
      <w:divBdr>
        <w:top w:val="none" w:sz="0" w:space="0" w:color="auto"/>
        <w:left w:val="none" w:sz="0" w:space="0" w:color="auto"/>
        <w:bottom w:val="none" w:sz="0" w:space="0" w:color="auto"/>
        <w:right w:val="none" w:sz="0" w:space="0" w:color="auto"/>
      </w:divBdr>
      <w:divsChild>
        <w:div w:id="1392920690">
          <w:marLeft w:val="446"/>
          <w:marRight w:val="0"/>
          <w:marTop w:val="120"/>
          <w:marBottom w:val="0"/>
          <w:divBdr>
            <w:top w:val="none" w:sz="0" w:space="0" w:color="auto"/>
            <w:left w:val="none" w:sz="0" w:space="0" w:color="auto"/>
            <w:bottom w:val="none" w:sz="0" w:space="0" w:color="auto"/>
            <w:right w:val="none" w:sz="0" w:space="0" w:color="auto"/>
          </w:divBdr>
        </w:div>
        <w:div w:id="169880403">
          <w:marLeft w:val="446"/>
          <w:marRight w:val="0"/>
          <w:marTop w:val="120"/>
          <w:marBottom w:val="0"/>
          <w:divBdr>
            <w:top w:val="none" w:sz="0" w:space="0" w:color="auto"/>
            <w:left w:val="none" w:sz="0" w:space="0" w:color="auto"/>
            <w:bottom w:val="none" w:sz="0" w:space="0" w:color="auto"/>
            <w:right w:val="none" w:sz="0" w:space="0" w:color="auto"/>
          </w:divBdr>
        </w:div>
        <w:div w:id="733620053">
          <w:marLeft w:val="446"/>
          <w:marRight w:val="0"/>
          <w:marTop w:val="120"/>
          <w:marBottom w:val="0"/>
          <w:divBdr>
            <w:top w:val="none" w:sz="0" w:space="0" w:color="auto"/>
            <w:left w:val="none" w:sz="0" w:space="0" w:color="auto"/>
            <w:bottom w:val="none" w:sz="0" w:space="0" w:color="auto"/>
            <w:right w:val="none" w:sz="0" w:space="0" w:color="auto"/>
          </w:divBdr>
        </w:div>
        <w:div w:id="769739004">
          <w:marLeft w:val="446"/>
          <w:marRight w:val="0"/>
          <w:marTop w:val="120"/>
          <w:marBottom w:val="0"/>
          <w:divBdr>
            <w:top w:val="none" w:sz="0" w:space="0" w:color="auto"/>
            <w:left w:val="none" w:sz="0" w:space="0" w:color="auto"/>
            <w:bottom w:val="none" w:sz="0" w:space="0" w:color="auto"/>
            <w:right w:val="none" w:sz="0" w:space="0" w:color="auto"/>
          </w:divBdr>
        </w:div>
      </w:divsChild>
    </w:div>
    <w:div w:id="301274335">
      <w:bodyDiv w:val="1"/>
      <w:marLeft w:val="0"/>
      <w:marRight w:val="0"/>
      <w:marTop w:val="0"/>
      <w:marBottom w:val="0"/>
      <w:divBdr>
        <w:top w:val="none" w:sz="0" w:space="0" w:color="auto"/>
        <w:left w:val="none" w:sz="0" w:space="0" w:color="auto"/>
        <w:bottom w:val="none" w:sz="0" w:space="0" w:color="auto"/>
        <w:right w:val="none" w:sz="0" w:space="0" w:color="auto"/>
      </w:divBdr>
      <w:divsChild>
        <w:div w:id="364209847">
          <w:marLeft w:val="0"/>
          <w:marRight w:val="0"/>
          <w:marTop w:val="0"/>
          <w:marBottom w:val="0"/>
          <w:divBdr>
            <w:top w:val="none" w:sz="0" w:space="0" w:color="auto"/>
            <w:left w:val="none" w:sz="0" w:space="0" w:color="auto"/>
            <w:bottom w:val="none" w:sz="0" w:space="0" w:color="auto"/>
            <w:right w:val="none" w:sz="0" w:space="0" w:color="auto"/>
          </w:divBdr>
          <w:divsChild>
            <w:div w:id="6948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2516">
      <w:bodyDiv w:val="1"/>
      <w:marLeft w:val="0"/>
      <w:marRight w:val="0"/>
      <w:marTop w:val="0"/>
      <w:marBottom w:val="0"/>
      <w:divBdr>
        <w:top w:val="none" w:sz="0" w:space="0" w:color="auto"/>
        <w:left w:val="none" w:sz="0" w:space="0" w:color="auto"/>
        <w:bottom w:val="none" w:sz="0" w:space="0" w:color="auto"/>
        <w:right w:val="none" w:sz="0" w:space="0" w:color="auto"/>
      </w:divBdr>
      <w:divsChild>
        <w:div w:id="1214855216">
          <w:marLeft w:val="0"/>
          <w:marRight w:val="0"/>
          <w:marTop w:val="0"/>
          <w:marBottom w:val="0"/>
          <w:divBdr>
            <w:top w:val="none" w:sz="0" w:space="0" w:color="auto"/>
            <w:left w:val="none" w:sz="0" w:space="0" w:color="auto"/>
            <w:bottom w:val="none" w:sz="0" w:space="0" w:color="auto"/>
            <w:right w:val="none" w:sz="0" w:space="0" w:color="auto"/>
          </w:divBdr>
          <w:divsChild>
            <w:div w:id="371685409">
              <w:marLeft w:val="0"/>
              <w:marRight w:val="0"/>
              <w:marTop w:val="0"/>
              <w:marBottom w:val="0"/>
              <w:divBdr>
                <w:top w:val="none" w:sz="0" w:space="0" w:color="auto"/>
                <w:left w:val="none" w:sz="0" w:space="0" w:color="auto"/>
                <w:bottom w:val="none" w:sz="0" w:space="0" w:color="auto"/>
                <w:right w:val="none" w:sz="0" w:space="0" w:color="auto"/>
              </w:divBdr>
              <w:divsChild>
                <w:div w:id="1459838252">
                  <w:marLeft w:val="0"/>
                  <w:marRight w:val="0"/>
                  <w:marTop w:val="0"/>
                  <w:marBottom w:val="0"/>
                  <w:divBdr>
                    <w:top w:val="none" w:sz="0" w:space="0" w:color="auto"/>
                    <w:left w:val="none" w:sz="0" w:space="0" w:color="auto"/>
                    <w:bottom w:val="none" w:sz="0" w:space="0" w:color="auto"/>
                    <w:right w:val="none" w:sz="0" w:space="0" w:color="auto"/>
                  </w:divBdr>
                  <w:divsChild>
                    <w:div w:id="171798188">
                      <w:marLeft w:val="0"/>
                      <w:marRight w:val="0"/>
                      <w:marTop w:val="0"/>
                      <w:marBottom w:val="0"/>
                      <w:divBdr>
                        <w:top w:val="none" w:sz="0" w:space="0" w:color="auto"/>
                        <w:left w:val="none" w:sz="0" w:space="0" w:color="auto"/>
                        <w:bottom w:val="none" w:sz="0" w:space="0" w:color="auto"/>
                        <w:right w:val="none" w:sz="0" w:space="0" w:color="auto"/>
                      </w:divBdr>
                      <w:divsChild>
                        <w:div w:id="816067618">
                          <w:marLeft w:val="0"/>
                          <w:marRight w:val="0"/>
                          <w:marTop w:val="0"/>
                          <w:marBottom w:val="0"/>
                          <w:divBdr>
                            <w:top w:val="none" w:sz="0" w:space="0" w:color="auto"/>
                            <w:left w:val="none" w:sz="0" w:space="0" w:color="auto"/>
                            <w:bottom w:val="none" w:sz="0" w:space="0" w:color="auto"/>
                            <w:right w:val="none" w:sz="0" w:space="0" w:color="auto"/>
                          </w:divBdr>
                          <w:divsChild>
                            <w:div w:id="14697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098575">
      <w:bodyDiv w:val="1"/>
      <w:marLeft w:val="0"/>
      <w:marRight w:val="0"/>
      <w:marTop w:val="0"/>
      <w:marBottom w:val="0"/>
      <w:divBdr>
        <w:top w:val="none" w:sz="0" w:space="0" w:color="auto"/>
        <w:left w:val="none" w:sz="0" w:space="0" w:color="auto"/>
        <w:bottom w:val="none" w:sz="0" w:space="0" w:color="auto"/>
        <w:right w:val="none" w:sz="0" w:space="0" w:color="auto"/>
      </w:divBdr>
    </w:div>
    <w:div w:id="465200764">
      <w:bodyDiv w:val="1"/>
      <w:marLeft w:val="0"/>
      <w:marRight w:val="0"/>
      <w:marTop w:val="0"/>
      <w:marBottom w:val="0"/>
      <w:divBdr>
        <w:top w:val="none" w:sz="0" w:space="0" w:color="auto"/>
        <w:left w:val="none" w:sz="0" w:space="0" w:color="auto"/>
        <w:bottom w:val="none" w:sz="0" w:space="0" w:color="auto"/>
        <w:right w:val="none" w:sz="0" w:space="0" w:color="auto"/>
      </w:divBdr>
    </w:div>
    <w:div w:id="479152952">
      <w:bodyDiv w:val="1"/>
      <w:marLeft w:val="0"/>
      <w:marRight w:val="0"/>
      <w:marTop w:val="0"/>
      <w:marBottom w:val="0"/>
      <w:divBdr>
        <w:top w:val="none" w:sz="0" w:space="0" w:color="auto"/>
        <w:left w:val="none" w:sz="0" w:space="0" w:color="auto"/>
        <w:bottom w:val="none" w:sz="0" w:space="0" w:color="auto"/>
        <w:right w:val="none" w:sz="0" w:space="0" w:color="auto"/>
      </w:divBdr>
      <w:divsChild>
        <w:div w:id="1290042140">
          <w:marLeft w:val="0"/>
          <w:marRight w:val="0"/>
          <w:marTop w:val="0"/>
          <w:marBottom w:val="0"/>
          <w:divBdr>
            <w:top w:val="none" w:sz="0" w:space="0" w:color="auto"/>
            <w:left w:val="none" w:sz="0" w:space="0" w:color="auto"/>
            <w:bottom w:val="none" w:sz="0" w:space="0" w:color="auto"/>
            <w:right w:val="none" w:sz="0" w:space="0" w:color="auto"/>
          </w:divBdr>
          <w:divsChild>
            <w:div w:id="848956852">
              <w:marLeft w:val="0"/>
              <w:marRight w:val="0"/>
              <w:marTop w:val="0"/>
              <w:marBottom w:val="0"/>
              <w:divBdr>
                <w:top w:val="none" w:sz="0" w:space="0" w:color="auto"/>
                <w:left w:val="none" w:sz="0" w:space="0" w:color="auto"/>
                <w:bottom w:val="none" w:sz="0" w:space="0" w:color="auto"/>
                <w:right w:val="none" w:sz="0" w:space="0" w:color="auto"/>
              </w:divBdr>
              <w:divsChild>
                <w:div w:id="1413964358">
                  <w:marLeft w:val="0"/>
                  <w:marRight w:val="0"/>
                  <w:marTop w:val="0"/>
                  <w:marBottom w:val="0"/>
                  <w:divBdr>
                    <w:top w:val="none" w:sz="0" w:space="0" w:color="auto"/>
                    <w:left w:val="none" w:sz="0" w:space="0" w:color="auto"/>
                    <w:bottom w:val="none" w:sz="0" w:space="0" w:color="auto"/>
                    <w:right w:val="none" w:sz="0" w:space="0" w:color="auto"/>
                  </w:divBdr>
                  <w:divsChild>
                    <w:div w:id="1035888779">
                      <w:marLeft w:val="0"/>
                      <w:marRight w:val="0"/>
                      <w:marTop w:val="0"/>
                      <w:marBottom w:val="0"/>
                      <w:divBdr>
                        <w:top w:val="none" w:sz="0" w:space="0" w:color="auto"/>
                        <w:left w:val="none" w:sz="0" w:space="0" w:color="auto"/>
                        <w:bottom w:val="none" w:sz="0" w:space="0" w:color="auto"/>
                        <w:right w:val="none" w:sz="0" w:space="0" w:color="auto"/>
                      </w:divBdr>
                      <w:divsChild>
                        <w:div w:id="149368056">
                          <w:marLeft w:val="0"/>
                          <w:marRight w:val="0"/>
                          <w:marTop w:val="0"/>
                          <w:marBottom w:val="0"/>
                          <w:divBdr>
                            <w:top w:val="none" w:sz="0" w:space="0" w:color="auto"/>
                            <w:left w:val="none" w:sz="0" w:space="0" w:color="auto"/>
                            <w:bottom w:val="none" w:sz="0" w:space="0" w:color="auto"/>
                            <w:right w:val="none" w:sz="0" w:space="0" w:color="auto"/>
                          </w:divBdr>
                          <w:divsChild>
                            <w:div w:id="1015762716">
                              <w:marLeft w:val="0"/>
                              <w:marRight w:val="0"/>
                              <w:marTop w:val="0"/>
                              <w:marBottom w:val="225"/>
                              <w:divBdr>
                                <w:top w:val="none" w:sz="0" w:space="0" w:color="auto"/>
                                <w:left w:val="none" w:sz="0" w:space="0" w:color="auto"/>
                                <w:bottom w:val="none" w:sz="0" w:space="0" w:color="auto"/>
                                <w:right w:val="none" w:sz="0" w:space="0" w:color="auto"/>
                              </w:divBdr>
                              <w:divsChild>
                                <w:div w:id="2011829845">
                                  <w:marLeft w:val="0"/>
                                  <w:marRight w:val="0"/>
                                  <w:marTop w:val="0"/>
                                  <w:marBottom w:val="0"/>
                                  <w:divBdr>
                                    <w:top w:val="none" w:sz="0" w:space="0" w:color="auto"/>
                                    <w:left w:val="none" w:sz="0" w:space="0" w:color="auto"/>
                                    <w:bottom w:val="none" w:sz="0" w:space="0" w:color="auto"/>
                                    <w:right w:val="none" w:sz="0" w:space="0" w:color="auto"/>
                                  </w:divBdr>
                                  <w:divsChild>
                                    <w:div w:id="1259756407">
                                      <w:marLeft w:val="0"/>
                                      <w:marRight w:val="0"/>
                                      <w:marTop w:val="0"/>
                                      <w:marBottom w:val="0"/>
                                      <w:divBdr>
                                        <w:top w:val="none" w:sz="0" w:space="0" w:color="auto"/>
                                        <w:left w:val="none" w:sz="0" w:space="0" w:color="auto"/>
                                        <w:bottom w:val="none" w:sz="0" w:space="0" w:color="auto"/>
                                        <w:right w:val="none" w:sz="0" w:space="0" w:color="auto"/>
                                      </w:divBdr>
                                      <w:divsChild>
                                        <w:div w:id="9344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133993">
      <w:bodyDiv w:val="1"/>
      <w:marLeft w:val="0"/>
      <w:marRight w:val="0"/>
      <w:marTop w:val="0"/>
      <w:marBottom w:val="0"/>
      <w:divBdr>
        <w:top w:val="none" w:sz="0" w:space="0" w:color="auto"/>
        <w:left w:val="none" w:sz="0" w:space="0" w:color="auto"/>
        <w:bottom w:val="none" w:sz="0" w:space="0" w:color="auto"/>
        <w:right w:val="none" w:sz="0" w:space="0" w:color="auto"/>
      </w:divBdr>
      <w:divsChild>
        <w:div w:id="990257685">
          <w:marLeft w:val="446"/>
          <w:marRight w:val="0"/>
          <w:marTop w:val="120"/>
          <w:marBottom w:val="0"/>
          <w:divBdr>
            <w:top w:val="none" w:sz="0" w:space="0" w:color="auto"/>
            <w:left w:val="none" w:sz="0" w:space="0" w:color="auto"/>
            <w:bottom w:val="none" w:sz="0" w:space="0" w:color="auto"/>
            <w:right w:val="none" w:sz="0" w:space="0" w:color="auto"/>
          </w:divBdr>
        </w:div>
        <w:div w:id="1638687041">
          <w:marLeft w:val="446"/>
          <w:marRight w:val="0"/>
          <w:marTop w:val="120"/>
          <w:marBottom w:val="0"/>
          <w:divBdr>
            <w:top w:val="none" w:sz="0" w:space="0" w:color="auto"/>
            <w:left w:val="none" w:sz="0" w:space="0" w:color="auto"/>
            <w:bottom w:val="none" w:sz="0" w:space="0" w:color="auto"/>
            <w:right w:val="none" w:sz="0" w:space="0" w:color="auto"/>
          </w:divBdr>
        </w:div>
        <w:div w:id="1111973647">
          <w:marLeft w:val="446"/>
          <w:marRight w:val="0"/>
          <w:marTop w:val="120"/>
          <w:marBottom w:val="0"/>
          <w:divBdr>
            <w:top w:val="none" w:sz="0" w:space="0" w:color="auto"/>
            <w:left w:val="none" w:sz="0" w:space="0" w:color="auto"/>
            <w:bottom w:val="none" w:sz="0" w:space="0" w:color="auto"/>
            <w:right w:val="none" w:sz="0" w:space="0" w:color="auto"/>
          </w:divBdr>
        </w:div>
        <w:div w:id="2063020599">
          <w:marLeft w:val="446"/>
          <w:marRight w:val="0"/>
          <w:marTop w:val="120"/>
          <w:marBottom w:val="0"/>
          <w:divBdr>
            <w:top w:val="none" w:sz="0" w:space="0" w:color="auto"/>
            <w:left w:val="none" w:sz="0" w:space="0" w:color="auto"/>
            <w:bottom w:val="none" w:sz="0" w:space="0" w:color="auto"/>
            <w:right w:val="none" w:sz="0" w:space="0" w:color="auto"/>
          </w:divBdr>
        </w:div>
        <w:div w:id="1816491146">
          <w:marLeft w:val="446"/>
          <w:marRight w:val="0"/>
          <w:marTop w:val="120"/>
          <w:marBottom w:val="0"/>
          <w:divBdr>
            <w:top w:val="none" w:sz="0" w:space="0" w:color="auto"/>
            <w:left w:val="none" w:sz="0" w:space="0" w:color="auto"/>
            <w:bottom w:val="none" w:sz="0" w:space="0" w:color="auto"/>
            <w:right w:val="none" w:sz="0" w:space="0" w:color="auto"/>
          </w:divBdr>
        </w:div>
        <w:div w:id="779300703">
          <w:marLeft w:val="446"/>
          <w:marRight w:val="0"/>
          <w:marTop w:val="120"/>
          <w:marBottom w:val="0"/>
          <w:divBdr>
            <w:top w:val="none" w:sz="0" w:space="0" w:color="auto"/>
            <w:left w:val="none" w:sz="0" w:space="0" w:color="auto"/>
            <w:bottom w:val="none" w:sz="0" w:space="0" w:color="auto"/>
            <w:right w:val="none" w:sz="0" w:space="0" w:color="auto"/>
          </w:divBdr>
        </w:div>
        <w:div w:id="2100443087">
          <w:marLeft w:val="446"/>
          <w:marRight w:val="0"/>
          <w:marTop w:val="120"/>
          <w:marBottom w:val="0"/>
          <w:divBdr>
            <w:top w:val="none" w:sz="0" w:space="0" w:color="auto"/>
            <w:left w:val="none" w:sz="0" w:space="0" w:color="auto"/>
            <w:bottom w:val="none" w:sz="0" w:space="0" w:color="auto"/>
            <w:right w:val="none" w:sz="0" w:space="0" w:color="auto"/>
          </w:divBdr>
        </w:div>
        <w:div w:id="1509248704">
          <w:marLeft w:val="1627"/>
          <w:marRight w:val="0"/>
          <w:marTop w:val="192"/>
          <w:marBottom w:val="0"/>
          <w:divBdr>
            <w:top w:val="none" w:sz="0" w:space="0" w:color="auto"/>
            <w:left w:val="none" w:sz="0" w:space="0" w:color="auto"/>
            <w:bottom w:val="none" w:sz="0" w:space="0" w:color="auto"/>
            <w:right w:val="none" w:sz="0" w:space="0" w:color="auto"/>
          </w:divBdr>
        </w:div>
        <w:div w:id="52506644">
          <w:marLeft w:val="1627"/>
          <w:marRight w:val="0"/>
          <w:marTop w:val="192"/>
          <w:marBottom w:val="0"/>
          <w:divBdr>
            <w:top w:val="none" w:sz="0" w:space="0" w:color="auto"/>
            <w:left w:val="none" w:sz="0" w:space="0" w:color="auto"/>
            <w:bottom w:val="none" w:sz="0" w:space="0" w:color="auto"/>
            <w:right w:val="none" w:sz="0" w:space="0" w:color="auto"/>
          </w:divBdr>
        </w:div>
        <w:div w:id="776751723">
          <w:marLeft w:val="1627"/>
          <w:marRight w:val="0"/>
          <w:marTop w:val="192"/>
          <w:marBottom w:val="0"/>
          <w:divBdr>
            <w:top w:val="none" w:sz="0" w:space="0" w:color="auto"/>
            <w:left w:val="none" w:sz="0" w:space="0" w:color="auto"/>
            <w:bottom w:val="none" w:sz="0" w:space="0" w:color="auto"/>
            <w:right w:val="none" w:sz="0" w:space="0" w:color="auto"/>
          </w:divBdr>
        </w:div>
        <w:div w:id="839346841">
          <w:marLeft w:val="446"/>
          <w:marRight w:val="0"/>
          <w:marTop w:val="120"/>
          <w:marBottom w:val="0"/>
          <w:divBdr>
            <w:top w:val="none" w:sz="0" w:space="0" w:color="auto"/>
            <w:left w:val="none" w:sz="0" w:space="0" w:color="auto"/>
            <w:bottom w:val="none" w:sz="0" w:space="0" w:color="auto"/>
            <w:right w:val="none" w:sz="0" w:space="0" w:color="auto"/>
          </w:divBdr>
        </w:div>
      </w:divsChild>
    </w:div>
    <w:div w:id="592476763">
      <w:bodyDiv w:val="1"/>
      <w:marLeft w:val="0"/>
      <w:marRight w:val="0"/>
      <w:marTop w:val="0"/>
      <w:marBottom w:val="0"/>
      <w:divBdr>
        <w:top w:val="none" w:sz="0" w:space="0" w:color="auto"/>
        <w:left w:val="none" w:sz="0" w:space="0" w:color="auto"/>
        <w:bottom w:val="none" w:sz="0" w:space="0" w:color="auto"/>
        <w:right w:val="none" w:sz="0" w:space="0" w:color="auto"/>
      </w:divBdr>
      <w:divsChild>
        <w:div w:id="1616786230">
          <w:marLeft w:val="0"/>
          <w:marRight w:val="0"/>
          <w:marTop w:val="0"/>
          <w:marBottom w:val="0"/>
          <w:divBdr>
            <w:top w:val="none" w:sz="0" w:space="0" w:color="auto"/>
            <w:left w:val="none" w:sz="0" w:space="0" w:color="auto"/>
            <w:bottom w:val="none" w:sz="0" w:space="0" w:color="auto"/>
            <w:right w:val="none" w:sz="0" w:space="0" w:color="auto"/>
          </w:divBdr>
          <w:divsChild>
            <w:div w:id="1671982727">
              <w:marLeft w:val="0"/>
              <w:marRight w:val="0"/>
              <w:marTop w:val="0"/>
              <w:marBottom w:val="0"/>
              <w:divBdr>
                <w:top w:val="none" w:sz="0" w:space="0" w:color="auto"/>
                <w:left w:val="none" w:sz="0" w:space="0" w:color="auto"/>
                <w:bottom w:val="none" w:sz="0" w:space="0" w:color="auto"/>
                <w:right w:val="none" w:sz="0" w:space="0" w:color="auto"/>
              </w:divBdr>
              <w:divsChild>
                <w:div w:id="2117485712">
                  <w:marLeft w:val="0"/>
                  <w:marRight w:val="0"/>
                  <w:marTop w:val="0"/>
                  <w:marBottom w:val="0"/>
                  <w:divBdr>
                    <w:top w:val="none" w:sz="0" w:space="0" w:color="auto"/>
                    <w:left w:val="none" w:sz="0" w:space="0" w:color="auto"/>
                    <w:bottom w:val="none" w:sz="0" w:space="0" w:color="auto"/>
                    <w:right w:val="none" w:sz="0" w:space="0" w:color="auto"/>
                  </w:divBdr>
                  <w:divsChild>
                    <w:div w:id="1112632508">
                      <w:marLeft w:val="0"/>
                      <w:marRight w:val="0"/>
                      <w:marTop w:val="0"/>
                      <w:marBottom w:val="0"/>
                      <w:divBdr>
                        <w:top w:val="none" w:sz="0" w:space="0" w:color="auto"/>
                        <w:left w:val="none" w:sz="0" w:space="0" w:color="auto"/>
                        <w:bottom w:val="none" w:sz="0" w:space="0" w:color="auto"/>
                        <w:right w:val="none" w:sz="0" w:space="0" w:color="auto"/>
                      </w:divBdr>
                      <w:divsChild>
                        <w:div w:id="96100931">
                          <w:marLeft w:val="0"/>
                          <w:marRight w:val="0"/>
                          <w:marTop w:val="0"/>
                          <w:marBottom w:val="0"/>
                          <w:divBdr>
                            <w:top w:val="none" w:sz="0" w:space="0" w:color="auto"/>
                            <w:left w:val="none" w:sz="0" w:space="0" w:color="auto"/>
                            <w:bottom w:val="none" w:sz="0" w:space="0" w:color="auto"/>
                            <w:right w:val="none" w:sz="0" w:space="0" w:color="auto"/>
                          </w:divBdr>
                          <w:divsChild>
                            <w:div w:id="1310598614">
                              <w:marLeft w:val="0"/>
                              <w:marRight w:val="0"/>
                              <w:marTop w:val="0"/>
                              <w:marBottom w:val="225"/>
                              <w:divBdr>
                                <w:top w:val="none" w:sz="0" w:space="0" w:color="auto"/>
                                <w:left w:val="none" w:sz="0" w:space="0" w:color="auto"/>
                                <w:bottom w:val="none" w:sz="0" w:space="0" w:color="auto"/>
                                <w:right w:val="none" w:sz="0" w:space="0" w:color="auto"/>
                              </w:divBdr>
                              <w:divsChild>
                                <w:div w:id="1610550822">
                                  <w:marLeft w:val="0"/>
                                  <w:marRight w:val="0"/>
                                  <w:marTop w:val="0"/>
                                  <w:marBottom w:val="0"/>
                                  <w:divBdr>
                                    <w:top w:val="none" w:sz="0" w:space="0" w:color="auto"/>
                                    <w:left w:val="none" w:sz="0" w:space="0" w:color="auto"/>
                                    <w:bottom w:val="none" w:sz="0" w:space="0" w:color="auto"/>
                                    <w:right w:val="none" w:sz="0" w:space="0" w:color="auto"/>
                                  </w:divBdr>
                                  <w:divsChild>
                                    <w:div w:id="448595410">
                                      <w:marLeft w:val="0"/>
                                      <w:marRight w:val="0"/>
                                      <w:marTop w:val="0"/>
                                      <w:marBottom w:val="0"/>
                                      <w:divBdr>
                                        <w:top w:val="none" w:sz="0" w:space="0" w:color="auto"/>
                                        <w:left w:val="none" w:sz="0" w:space="0" w:color="auto"/>
                                        <w:bottom w:val="none" w:sz="0" w:space="0" w:color="auto"/>
                                        <w:right w:val="none" w:sz="0" w:space="0" w:color="auto"/>
                                      </w:divBdr>
                                      <w:divsChild>
                                        <w:div w:id="3413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164739">
      <w:bodyDiv w:val="1"/>
      <w:marLeft w:val="0"/>
      <w:marRight w:val="0"/>
      <w:marTop w:val="0"/>
      <w:marBottom w:val="0"/>
      <w:divBdr>
        <w:top w:val="none" w:sz="0" w:space="0" w:color="auto"/>
        <w:left w:val="none" w:sz="0" w:space="0" w:color="auto"/>
        <w:bottom w:val="none" w:sz="0" w:space="0" w:color="auto"/>
        <w:right w:val="none" w:sz="0" w:space="0" w:color="auto"/>
      </w:divBdr>
    </w:div>
    <w:div w:id="665785944">
      <w:bodyDiv w:val="1"/>
      <w:marLeft w:val="0"/>
      <w:marRight w:val="0"/>
      <w:marTop w:val="0"/>
      <w:marBottom w:val="0"/>
      <w:divBdr>
        <w:top w:val="none" w:sz="0" w:space="0" w:color="auto"/>
        <w:left w:val="none" w:sz="0" w:space="0" w:color="auto"/>
        <w:bottom w:val="none" w:sz="0" w:space="0" w:color="auto"/>
        <w:right w:val="none" w:sz="0" w:space="0" w:color="auto"/>
      </w:divBdr>
      <w:divsChild>
        <w:div w:id="1009403733">
          <w:marLeft w:val="0"/>
          <w:marRight w:val="0"/>
          <w:marTop w:val="0"/>
          <w:marBottom w:val="0"/>
          <w:divBdr>
            <w:top w:val="none" w:sz="0" w:space="0" w:color="auto"/>
            <w:left w:val="none" w:sz="0" w:space="0" w:color="auto"/>
            <w:bottom w:val="none" w:sz="0" w:space="0" w:color="auto"/>
            <w:right w:val="none" w:sz="0" w:space="0" w:color="auto"/>
          </w:divBdr>
          <w:divsChild>
            <w:div w:id="933395396">
              <w:marLeft w:val="0"/>
              <w:marRight w:val="0"/>
              <w:marTop w:val="0"/>
              <w:marBottom w:val="0"/>
              <w:divBdr>
                <w:top w:val="none" w:sz="0" w:space="0" w:color="auto"/>
                <w:left w:val="none" w:sz="0" w:space="0" w:color="auto"/>
                <w:bottom w:val="none" w:sz="0" w:space="0" w:color="auto"/>
                <w:right w:val="none" w:sz="0" w:space="0" w:color="auto"/>
              </w:divBdr>
              <w:divsChild>
                <w:div w:id="97608168">
                  <w:marLeft w:val="0"/>
                  <w:marRight w:val="0"/>
                  <w:marTop w:val="0"/>
                  <w:marBottom w:val="0"/>
                  <w:divBdr>
                    <w:top w:val="none" w:sz="0" w:space="0" w:color="auto"/>
                    <w:left w:val="none" w:sz="0" w:space="0" w:color="auto"/>
                    <w:bottom w:val="none" w:sz="0" w:space="0" w:color="auto"/>
                    <w:right w:val="none" w:sz="0" w:space="0" w:color="auto"/>
                  </w:divBdr>
                  <w:divsChild>
                    <w:div w:id="746608836">
                      <w:marLeft w:val="0"/>
                      <w:marRight w:val="0"/>
                      <w:marTop w:val="0"/>
                      <w:marBottom w:val="0"/>
                      <w:divBdr>
                        <w:top w:val="none" w:sz="0" w:space="0" w:color="auto"/>
                        <w:left w:val="none" w:sz="0" w:space="0" w:color="auto"/>
                        <w:bottom w:val="none" w:sz="0" w:space="0" w:color="auto"/>
                        <w:right w:val="none" w:sz="0" w:space="0" w:color="auto"/>
                      </w:divBdr>
                      <w:divsChild>
                        <w:div w:id="1860580820">
                          <w:marLeft w:val="0"/>
                          <w:marRight w:val="0"/>
                          <w:marTop w:val="0"/>
                          <w:marBottom w:val="0"/>
                          <w:divBdr>
                            <w:top w:val="none" w:sz="0" w:space="0" w:color="auto"/>
                            <w:left w:val="none" w:sz="0" w:space="0" w:color="auto"/>
                            <w:bottom w:val="none" w:sz="0" w:space="0" w:color="auto"/>
                            <w:right w:val="none" w:sz="0" w:space="0" w:color="auto"/>
                          </w:divBdr>
                          <w:divsChild>
                            <w:div w:id="8775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567790">
      <w:bodyDiv w:val="1"/>
      <w:marLeft w:val="0"/>
      <w:marRight w:val="0"/>
      <w:marTop w:val="0"/>
      <w:marBottom w:val="0"/>
      <w:divBdr>
        <w:top w:val="none" w:sz="0" w:space="0" w:color="auto"/>
        <w:left w:val="none" w:sz="0" w:space="0" w:color="auto"/>
        <w:bottom w:val="none" w:sz="0" w:space="0" w:color="auto"/>
        <w:right w:val="none" w:sz="0" w:space="0" w:color="auto"/>
      </w:divBdr>
    </w:div>
    <w:div w:id="740180365">
      <w:bodyDiv w:val="1"/>
      <w:marLeft w:val="0"/>
      <w:marRight w:val="0"/>
      <w:marTop w:val="0"/>
      <w:marBottom w:val="0"/>
      <w:divBdr>
        <w:top w:val="none" w:sz="0" w:space="0" w:color="auto"/>
        <w:left w:val="none" w:sz="0" w:space="0" w:color="auto"/>
        <w:bottom w:val="none" w:sz="0" w:space="0" w:color="auto"/>
        <w:right w:val="none" w:sz="0" w:space="0" w:color="auto"/>
      </w:divBdr>
      <w:divsChild>
        <w:div w:id="444157377">
          <w:marLeft w:val="446"/>
          <w:marRight w:val="0"/>
          <w:marTop w:val="120"/>
          <w:marBottom w:val="0"/>
          <w:divBdr>
            <w:top w:val="none" w:sz="0" w:space="0" w:color="auto"/>
            <w:left w:val="none" w:sz="0" w:space="0" w:color="auto"/>
            <w:bottom w:val="none" w:sz="0" w:space="0" w:color="auto"/>
            <w:right w:val="none" w:sz="0" w:space="0" w:color="auto"/>
          </w:divBdr>
        </w:div>
        <w:div w:id="2144500718">
          <w:marLeft w:val="1627"/>
          <w:marRight w:val="0"/>
          <w:marTop w:val="192"/>
          <w:marBottom w:val="0"/>
          <w:divBdr>
            <w:top w:val="none" w:sz="0" w:space="0" w:color="auto"/>
            <w:left w:val="none" w:sz="0" w:space="0" w:color="auto"/>
            <w:bottom w:val="none" w:sz="0" w:space="0" w:color="auto"/>
            <w:right w:val="none" w:sz="0" w:space="0" w:color="auto"/>
          </w:divBdr>
        </w:div>
        <w:div w:id="1302542322">
          <w:marLeft w:val="1627"/>
          <w:marRight w:val="0"/>
          <w:marTop w:val="192"/>
          <w:marBottom w:val="0"/>
          <w:divBdr>
            <w:top w:val="none" w:sz="0" w:space="0" w:color="auto"/>
            <w:left w:val="none" w:sz="0" w:space="0" w:color="auto"/>
            <w:bottom w:val="none" w:sz="0" w:space="0" w:color="auto"/>
            <w:right w:val="none" w:sz="0" w:space="0" w:color="auto"/>
          </w:divBdr>
        </w:div>
        <w:div w:id="79916213">
          <w:marLeft w:val="446"/>
          <w:marRight w:val="0"/>
          <w:marTop w:val="120"/>
          <w:marBottom w:val="0"/>
          <w:divBdr>
            <w:top w:val="none" w:sz="0" w:space="0" w:color="auto"/>
            <w:left w:val="none" w:sz="0" w:space="0" w:color="auto"/>
            <w:bottom w:val="none" w:sz="0" w:space="0" w:color="auto"/>
            <w:right w:val="none" w:sz="0" w:space="0" w:color="auto"/>
          </w:divBdr>
        </w:div>
        <w:div w:id="985278021">
          <w:marLeft w:val="446"/>
          <w:marRight w:val="0"/>
          <w:marTop w:val="120"/>
          <w:marBottom w:val="0"/>
          <w:divBdr>
            <w:top w:val="none" w:sz="0" w:space="0" w:color="auto"/>
            <w:left w:val="none" w:sz="0" w:space="0" w:color="auto"/>
            <w:bottom w:val="none" w:sz="0" w:space="0" w:color="auto"/>
            <w:right w:val="none" w:sz="0" w:space="0" w:color="auto"/>
          </w:divBdr>
        </w:div>
        <w:div w:id="1215696958">
          <w:marLeft w:val="446"/>
          <w:marRight w:val="0"/>
          <w:marTop w:val="120"/>
          <w:marBottom w:val="0"/>
          <w:divBdr>
            <w:top w:val="none" w:sz="0" w:space="0" w:color="auto"/>
            <w:left w:val="none" w:sz="0" w:space="0" w:color="auto"/>
            <w:bottom w:val="none" w:sz="0" w:space="0" w:color="auto"/>
            <w:right w:val="none" w:sz="0" w:space="0" w:color="auto"/>
          </w:divBdr>
        </w:div>
      </w:divsChild>
    </w:div>
    <w:div w:id="746222840">
      <w:bodyDiv w:val="1"/>
      <w:marLeft w:val="0"/>
      <w:marRight w:val="0"/>
      <w:marTop w:val="0"/>
      <w:marBottom w:val="0"/>
      <w:divBdr>
        <w:top w:val="none" w:sz="0" w:space="0" w:color="auto"/>
        <w:left w:val="none" w:sz="0" w:space="0" w:color="auto"/>
        <w:bottom w:val="none" w:sz="0" w:space="0" w:color="auto"/>
        <w:right w:val="none" w:sz="0" w:space="0" w:color="auto"/>
      </w:divBdr>
      <w:divsChild>
        <w:div w:id="2120299465">
          <w:marLeft w:val="0"/>
          <w:marRight w:val="0"/>
          <w:marTop w:val="0"/>
          <w:marBottom w:val="0"/>
          <w:divBdr>
            <w:top w:val="none" w:sz="0" w:space="0" w:color="auto"/>
            <w:left w:val="none" w:sz="0" w:space="0" w:color="auto"/>
            <w:bottom w:val="none" w:sz="0" w:space="0" w:color="auto"/>
            <w:right w:val="none" w:sz="0" w:space="0" w:color="auto"/>
          </w:divBdr>
          <w:divsChild>
            <w:div w:id="1908102296">
              <w:marLeft w:val="0"/>
              <w:marRight w:val="0"/>
              <w:marTop w:val="0"/>
              <w:marBottom w:val="0"/>
              <w:divBdr>
                <w:top w:val="none" w:sz="0" w:space="0" w:color="auto"/>
                <w:left w:val="none" w:sz="0" w:space="0" w:color="auto"/>
                <w:bottom w:val="none" w:sz="0" w:space="0" w:color="auto"/>
                <w:right w:val="none" w:sz="0" w:space="0" w:color="auto"/>
              </w:divBdr>
              <w:divsChild>
                <w:div w:id="3774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01095">
      <w:bodyDiv w:val="1"/>
      <w:marLeft w:val="0"/>
      <w:marRight w:val="0"/>
      <w:marTop w:val="0"/>
      <w:marBottom w:val="0"/>
      <w:divBdr>
        <w:top w:val="none" w:sz="0" w:space="0" w:color="auto"/>
        <w:left w:val="none" w:sz="0" w:space="0" w:color="auto"/>
        <w:bottom w:val="none" w:sz="0" w:space="0" w:color="auto"/>
        <w:right w:val="none" w:sz="0" w:space="0" w:color="auto"/>
      </w:divBdr>
    </w:div>
    <w:div w:id="785197944">
      <w:bodyDiv w:val="1"/>
      <w:marLeft w:val="0"/>
      <w:marRight w:val="0"/>
      <w:marTop w:val="0"/>
      <w:marBottom w:val="0"/>
      <w:divBdr>
        <w:top w:val="none" w:sz="0" w:space="0" w:color="auto"/>
        <w:left w:val="none" w:sz="0" w:space="0" w:color="auto"/>
        <w:bottom w:val="none" w:sz="0" w:space="0" w:color="auto"/>
        <w:right w:val="none" w:sz="0" w:space="0" w:color="auto"/>
      </w:divBdr>
      <w:divsChild>
        <w:div w:id="1642616883">
          <w:marLeft w:val="446"/>
          <w:marRight w:val="0"/>
          <w:marTop w:val="120"/>
          <w:marBottom w:val="0"/>
          <w:divBdr>
            <w:top w:val="none" w:sz="0" w:space="0" w:color="auto"/>
            <w:left w:val="none" w:sz="0" w:space="0" w:color="auto"/>
            <w:bottom w:val="none" w:sz="0" w:space="0" w:color="auto"/>
            <w:right w:val="none" w:sz="0" w:space="0" w:color="auto"/>
          </w:divBdr>
        </w:div>
        <w:div w:id="1292201229">
          <w:marLeft w:val="446"/>
          <w:marRight w:val="0"/>
          <w:marTop w:val="120"/>
          <w:marBottom w:val="0"/>
          <w:divBdr>
            <w:top w:val="none" w:sz="0" w:space="0" w:color="auto"/>
            <w:left w:val="none" w:sz="0" w:space="0" w:color="auto"/>
            <w:bottom w:val="none" w:sz="0" w:space="0" w:color="auto"/>
            <w:right w:val="none" w:sz="0" w:space="0" w:color="auto"/>
          </w:divBdr>
        </w:div>
      </w:divsChild>
    </w:div>
    <w:div w:id="797912374">
      <w:bodyDiv w:val="1"/>
      <w:marLeft w:val="0"/>
      <w:marRight w:val="0"/>
      <w:marTop w:val="0"/>
      <w:marBottom w:val="0"/>
      <w:divBdr>
        <w:top w:val="none" w:sz="0" w:space="0" w:color="auto"/>
        <w:left w:val="none" w:sz="0" w:space="0" w:color="auto"/>
        <w:bottom w:val="none" w:sz="0" w:space="0" w:color="auto"/>
        <w:right w:val="none" w:sz="0" w:space="0" w:color="auto"/>
      </w:divBdr>
    </w:div>
    <w:div w:id="817115351">
      <w:bodyDiv w:val="1"/>
      <w:marLeft w:val="0"/>
      <w:marRight w:val="0"/>
      <w:marTop w:val="0"/>
      <w:marBottom w:val="0"/>
      <w:divBdr>
        <w:top w:val="none" w:sz="0" w:space="0" w:color="auto"/>
        <w:left w:val="none" w:sz="0" w:space="0" w:color="auto"/>
        <w:bottom w:val="none" w:sz="0" w:space="0" w:color="auto"/>
        <w:right w:val="none" w:sz="0" w:space="0" w:color="auto"/>
      </w:divBdr>
    </w:div>
    <w:div w:id="826288721">
      <w:bodyDiv w:val="1"/>
      <w:marLeft w:val="0"/>
      <w:marRight w:val="0"/>
      <w:marTop w:val="0"/>
      <w:marBottom w:val="0"/>
      <w:divBdr>
        <w:top w:val="none" w:sz="0" w:space="0" w:color="auto"/>
        <w:left w:val="none" w:sz="0" w:space="0" w:color="auto"/>
        <w:bottom w:val="none" w:sz="0" w:space="0" w:color="auto"/>
        <w:right w:val="none" w:sz="0" w:space="0" w:color="auto"/>
      </w:divBdr>
    </w:div>
    <w:div w:id="922883547">
      <w:bodyDiv w:val="1"/>
      <w:marLeft w:val="0"/>
      <w:marRight w:val="0"/>
      <w:marTop w:val="0"/>
      <w:marBottom w:val="0"/>
      <w:divBdr>
        <w:top w:val="none" w:sz="0" w:space="0" w:color="auto"/>
        <w:left w:val="none" w:sz="0" w:space="0" w:color="auto"/>
        <w:bottom w:val="none" w:sz="0" w:space="0" w:color="auto"/>
        <w:right w:val="none" w:sz="0" w:space="0" w:color="auto"/>
      </w:divBdr>
      <w:divsChild>
        <w:div w:id="1574268515">
          <w:marLeft w:val="274"/>
          <w:marRight w:val="0"/>
          <w:marTop w:val="0"/>
          <w:marBottom w:val="0"/>
          <w:divBdr>
            <w:top w:val="none" w:sz="0" w:space="0" w:color="auto"/>
            <w:left w:val="none" w:sz="0" w:space="0" w:color="auto"/>
            <w:bottom w:val="none" w:sz="0" w:space="0" w:color="auto"/>
            <w:right w:val="none" w:sz="0" w:space="0" w:color="auto"/>
          </w:divBdr>
        </w:div>
        <w:div w:id="1324163332">
          <w:marLeft w:val="274"/>
          <w:marRight w:val="0"/>
          <w:marTop w:val="0"/>
          <w:marBottom w:val="0"/>
          <w:divBdr>
            <w:top w:val="none" w:sz="0" w:space="0" w:color="auto"/>
            <w:left w:val="none" w:sz="0" w:space="0" w:color="auto"/>
            <w:bottom w:val="none" w:sz="0" w:space="0" w:color="auto"/>
            <w:right w:val="none" w:sz="0" w:space="0" w:color="auto"/>
          </w:divBdr>
        </w:div>
        <w:div w:id="1002466106">
          <w:marLeft w:val="274"/>
          <w:marRight w:val="0"/>
          <w:marTop w:val="0"/>
          <w:marBottom w:val="0"/>
          <w:divBdr>
            <w:top w:val="none" w:sz="0" w:space="0" w:color="auto"/>
            <w:left w:val="none" w:sz="0" w:space="0" w:color="auto"/>
            <w:bottom w:val="none" w:sz="0" w:space="0" w:color="auto"/>
            <w:right w:val="none" w:sz="0" w:space="0" w:color="auto"/>
          </w:divBdr>
        </w:div>
        <w:div w:id="1379939054">
          <w:marLeft w:val="274"/>
          <w:marRight w:val="0"/>
          <w:marTop w:val="0"/>
          <w:marBottom w:val="0"/>
          <w:divBdr>
            <w:top w:val="none" w:sz="0" w:space="0" w:color="auto"/>
            <w:left w:val="none" w:sz="0" w:space="0" w:color="auto"/>
            <w:bottom w:val="none" w:sz="0" w:space="0" w:color="auto"/>
            <w:right w:val="none" w:sz="0" w:space="0" w:color="auto"/>
          </w:divBdr>
        </w:div>
        <w:div w:id="325717159">
          <w:marLeft w:val="274"/>
          <w:marRight w:val="0"/>
          <w:marTop w:val="0"/>
          <w:marBottom w:val="0"/>
          <w:divBdr>
            <w:top w:val="none" w:sz="0" w:space="0" w:color="auto"/>
            <w:left w:val="none" w:sz="0" w:space="0" w:color="auto"/>
            <w:bottom w:val="none" w:sz="0" w:space="0" w:color="auto"/>
            <w:right w:val="none" w:sz="0" w:space="0" w:color="auto"/>
          </w:divBdr>
        </w:div>
        <w:div w:id="461848601">
          <w:marLeft w:val="274"/>
          <w:marRight w:val="0"/>
          <w:marTop w:val="0"/>
          <w:marBottom w:val="0"/>
          <w:divBdr>
            <w:top w:val="none" w:sz="0" w:space="0" w:color="auto"/>
            <w:left w:val="none" w:sz="0" w:space="0" w:color="auto"/>
            <w:bottom w:val="none" w:sz="0" w:space="0" w:color="auto"/>
            <w:right w:val="none" w:sz="0" w:space="0" w:color="auto"/>
          </w:divBdr>
        </w:div>
      </w:divsChild>
    </w:div>
    <w:div w:id="923145929">
      <w:bodyDiv w:val="1"/>
      <w:marLeft w:val="0"/>
      <w:marRight w:val="0"/>
      <w:marTop w:val="0"/>
      <w:marBottom w:val="0"/>
      <w:divBdr>
        <w:top w:val="none" w:sz="0" w:space="0" w:color="auto"/>
        <w:left w:val="none" w:sz="0" w:space="0" w:color="auto"/>
        <w:bottom w:val="none" w:sz="0" w:space="0" w:color="auto"/>
        <w:right w:val="none" w:sz="0" w:space="0" w:color="auto"/>
      </w:divBdr>
    </w:div>
    <w:div w:id="930507916">
      <w:bodyDiv w:val="1"/>
      <w:marLeft w:val="0"/>
      <w:marRight w:val="0"/>
      <w:marTop w:val="0"/>
      <w:marBottom w:val="0"/>
      <w:divBdr>
        <w:top w:val="none" w:sz="0" w:space="0" w:color="auto"/>
        <w:left w:val="none" w:sz="0" w:space="0" w:color="auto"/>
        <w:bottom w:val="none" w:sz="0" w:space="0" w:color="auto"/>
        <w:right w:val="none" w:sz="0" w:space="0" w:color="auto"/>
      </w:divBdr>
      <w:divsChild>
        <w:div w:id="1604805182">
          <w:marLeft w:val="446"/>
          <w:marRight w:val="0"/>
          <w:marTop w:val="120"/>
          <w:marBottom w:val="0"/>
          <w:divBdr>
            <w:top w:val="none" w:sz="0" w:space="0" w:color="auto"/>
            <w:left w:val="none" w:sz="0" w:space="0" w:color="auto"/>
            <w:bottom w:val="none" w:sz="0" w:space="0" w:color="auto"/>
            <w:right w:val="none" w:sz="0" w:space="0" w:color="auto"/>
          </w:divBdr>
        </w:div>
        <w:div w:id="1031957911">
          <w:marLeft w:val="1627"/>
          <w:marRight w:val="0"/>
          <w:marTop w:val="192"/>
          <w:marBottom w:val="0"/>
          <w:divBdr>
            <w:top w:val="none" w:sz="0" w:space="0" w:color="auto"/>
            <w:left w:val="none" w:sz="0" w:space="0" w:color="auto"/>
            <w:bottom w:val="none" w:sz="0" w:space="0" w:color="auto"/>
            <w:right w:val="none" w:sz="0" w:space="0" w:color="auto"/>
          </w:divBdr>
        </w:div>
        <w:div w:id="1844931496">
          <w:marLeft w:val="1627"/>
          <w:marRight w:val="0"/>
          <w:marTop w:val="192"/>
          <w:marBottom w:val="0"/>
          <w:divBdr>
            <w:top w:val="none" w:sz="0" w:space="0" w:color="auto"/>
            <w:left w:val="none" w:sz="0" w:space="0" w:color="auto"/>
            <w:bottom w:val="none" w:sz="0" w:space="0" w:color="auto"/>
            <w:right w:val="none" w:sz="0" w:space="0" w:color="auto"/>
          </w:divBdr>
        </w:div>
      </w:divsChild>
    </w:div>
    <w:div w:id="944733400">
      <w:bodyDiv w:val="1"/>
      <w:marLeft w:val="0"/>
      <w:marRight w:val="0"/>
      <w:marTop w:val="0"/>
      <w:marBottom w:val="0"/>
      <w:divBdr>
        <w:top w:val="none" w:sz="0" w:space="0" w:color="auto"/>
        <w:left w:val="none" w:sz="0" w:space="0" w:color="auto"/>
        <w:bottom w:val="none" w:sz="0" w:space="0" w:color="auto"/>
        <w:right w:val="none" w:sz="0" w:space="0" w:color="auto"/>
      </w:divBdr>
    </w:div>
    <w:div w:id="1001586974">
      <w:bodyDiv w:val="1"/>
      <w:marLeft w:val="0"/>
      <w:marRight w:val="0"/>
      <w:marTop w:val="0"/>
      <w:marBottom w:val="0"/>
      <w:divBdr>
        <w:top w:val="none" w:sz="0" w:space="0" w:color="auto"/>
        <w:left w:val="none" w:sz="0" w:space="0" w:color="auto"/>
        <w:bottom w:val="none" w:sz="0" w:space="0" w:color="auto"/>
        <w:right w:val="none" w:sz="0" w:space="0" w:color="auto"/>
      </w:divBdr>
    </w:div>
    <w:div w:id="1014529844">
      <w:bodyDiv w:val="1"/>
      <w:marLeft w:val="0"/>
      <w:marRight w:val="0"/>
      <w:marTop w:val="0"/>
      <w:marBottom w:val="0"/>
      <w:divBdr>
        <w:top w:val="none" w:sz="0" w:space="0" w:color="auto"/>
        <w:left w:val="none" w:sz="0" w:space="0" w:color="auto"/>
        <w:bottom w:val="none" w:sz="0" w:space="0" w:color="auto"/>
        <w:right w:val="none" w:sz="0" w:space="0" w:color="auto"/>
      </w:divBdr>
    </w:div>
    <w:div w:id="1105925715">
      <w:bodyDiv w:val="1"/>
      <w:marLeft w:val="0"/>
      <w:marRight w:val="0"/>
      <w:marTop w:val="0"/>
      <w:marBottom w:val="0"/>
      <w:divBdr>
        <w:top w:val="none" w:sz="0" w:space="0" w:color="auto"/>
        <w:left w:val="none" w:sz="0" w:space="0" w:color="auto"/>
        <w:bottom w:val="none" w:sz="0" w:space="0" w:color="auto"/>
        <w:right w:val="none" w:sz="0" w:space="0" w:color="auto"/>
      </w:divBdr>
    </w:div>
    <w:div w:id="1125076287">
      <w:bodyDiv w:val="1"/>
      <w:marLeft w:val="0"/>
      <w:marRight w:val="0"/>
      <w:marTop w:val="0"/>
      <w:marBottom w:val="0"/>
      <w:divBdr>
        <w:top w:val="none" w:sz="0" w:space="0" w:color="auto"/>
        <w:left w:val="none" w:sz="0" w:space="0" w:color="auto"/>
        <w:bottom w:val="none" w:sz="0" w:space="0" w:color="auto"/>
        <w:right w:val="none" w:sz="0" w:space="0" w:color="auto"/>
      </w:divBdr>
      <w:divsChild>
        <w:div w:id="401413597">
          <w:marLeft w:val="0"/>
          <w:marRight w:val="0"/>
          <w:marTop w:val="0"/>
          <w:marBottom w:val="0"/>
          <w:divBdr>
            <w:top w:val="none" w:sz="0" w:space="0" w:color="auto"/>
            <w:left w:val="none" w:sz="0" w:space="0" w:color="auto"/>
            <w:bottom w:val="none" w:sz="0" w:space="0" w:color="auto"/>
            <w:right w:val="none" w:sz="0" w:space="0" w:color="auto"/>
          </w:divBdr>
          <w:divsChild>
            <w:div w:id="1036126009">
              <w:marLeft w:val="0"/>
              <w:marRight w:val="0"/>
              <w:marTop w:val="0"/>
              <w:marBottom w:val="0"/>
              <w:divBdr>
                <w:top w:val="none" w:sz="0" w:space="0" w:color="auto"/>
                <w:left w:val="none" w:sz="0" w:space="0" w:color="auto"/>
                <w:bottom w:val="none" w:sz="0" w:space="0" w:color="auto"/>
                <w:right w:val="none" w:sz="0" w:space="0" w:color="auto"/>
              </w:divBdr>
              <w:divsChild>
                <w:div w:id="1237326971">
                  <w:marLeft w:val="0"/>
                  <w:marRight w:val="0"/>
                  <w:marTop w:val="0"/>
                  <w:marBottom w:val="0"/>
                  <w:divBdr>
                    <w:top w:val="none" w:sz="0" w:space="0" w:color="auto"/>
                    <w:left w:val="none" w:sz="0" w:space="0" w:color="auto"/>
                    <w:bottom w:val="none" w:sz="0" w:space="0" w:color="auto"/>
                    <w:right w:val="none" w:sz="0" w:space="0" w:color="auto"/>
                  </w:divBdr>
                  <w:divsChild>
                    <w:div w:id="815411148">
                      <w:marLeft w:val="0"/>
                      <w:marRight w:val="0"/>
                      <w:marTop w:val="0"/>
                      <w:marBottom w:val="0"/>
                      <w:divBdr>
                        <w:top w:val="none" w:sz="0" w:space="0" w:color="auto"/>
                        <w:left w:val="none" w:sz="0" w:space="0" w:color="auto"/>
                        <w:bottom w:val="none" w:sz="0" w:space="0" w:color="auto"/>
                        <w:right w:val="none" w:sz="0" w:space="0" w:color="auto"/>
                      </w:divBdr>
                      <w:divsChild>
                        <w:div w:id="781536359">
                          <w:marLeft w:val="0"/>
                          <w:marRight w:val="0"/>
                          <w:marTop w:val="0"/>
                          <w:marBottom w:val="0"/>
                          <w:divBdr>
                            <w:top w:val="none" w:sz="0" w:space="0" w:color="auto"/>
                            <w:left w:val="none" w:sz="0" w:space="0" w:color="auto"/>
                            <w:bottom w:val="none" w:sz="0" w:space="0" w:color="auto"/>
                            <w:right w:val="none" w:sz="0" w:space="0" w:color="auto"/>
                          </w:divBdr>
                          <w:divsChild>
                            <w:div w:id="13518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078966">
      <w:bodyDiv w:val="1"/>
      <w:marLeft w:val="0"/>
      <w:marRight w:val="0"/>
      <w:marTop w:val="0"/>
      <w:marBottom w:val="0"/>
      <w:divBdr>
        <w:top w:val="none" w:sz="0" w:space="0" w:color="auto"/>
        <w:left w:val="none" w:sz="0" w:space="0" w:color="auto"/>
        <w:bottom w:val="none" w:sz="0" w:space="0" w:color="auto"/>
        <w:right w:val="none" w:sz="0" w:space="0" w:color="auto"/>
      </w:divBdr>
    </w:div>
    <w:div w:id="1144274210">
      <w:bodyDiv w:val="1"/>
      <w:marLeft w:val="0"/>
      <w:marRight w:val="0"/>
      <w:marTop w:val="0"/>
      <w:marBottom w:val="0"/>
      <w:divBdr>
        <w:top w:val="none" w:sz="0" w:space="0" w:color="auto"/>
        <w:left w:val="none" w:sz="0" w:space="0" w:color="auto"/>
        <w:bottom w:val="none" w:sz="0" w:space="0" w:color="auto"/>
        <w:right w:val="none" w:sz="0" w:space="0" w:color="auto"/>
      </w:divBdr>
    </w:div>
    <w:div w:id="1155534962">
      <w:bodyDiv w:val="1"/>
      <w:marLeft w:val="0"/>
      <w:marRight w:val="0"/>
      <w:marTop w:val="0"/>
      <w:marBottom w:val="0"/>
      <w:divBdr>
        <w:top w:val="none" w:sz="0" w:space="0" w:color="auto"/>
        <w:left w:val="none" w:sz="0" w:space="0" w:color="auto"/>
        <w:bottom w:val="none" w:sz="0" w:space="0" w:color="auto"/>
        <w:right w:val="none" w:sz="0" w:space="0" w:color="auto"/>
      </w:divBdr>
    </w:div>
    <w:div w:id="1185097770">
      <w:bodyDiv w:val="1"/>
      <w:marLeft w:val="0"/>
      <w:marRight w:val="0"/>
      <w:marTop w:val="0"/>
      <w:marBottom w:val="0"/>
      <w:divBdr>
        <w:top w:val="none" w:sz="0" w:space="0" w:color="auto"/>
        <w:left w:val="none" w:sz="0" w:space="0" w:color="auto"/>
        <w:bottom w:val="none" w:sz="0" w:space="0" w:color="auto"/>
        <w:right w:val="none" w:sz="0" w:space="0" w:color="auto"/>
      </w:divBdr>
      <w:divsChild>
        <w:div w:id="1225800513">
          <w:marLeft w:val="446"/>
          <w:marRight w:val="0"/>
          <w:marTop w:val="86"/>
          <w:marBottom w:val="0"/>
          <w:divBdr>
            <w:top w:val="none" w:sz="0" w:space="0" w:color="auto"/>
            <w:left w:val="none" w:sz="0" w:space="0" w:color="auto"/>
            <w:bottom w:val="none" w:sz="0" w:space="0" w:color="auto"/>
            <w:right w:val="none" w:sz="0" w:space="0" w:color="auto"/>
          </w:divBdr>
        </w:div>
        <w:div w:id="982154262">
          <w:marLeft w:val="446"/>
          <w:marRight w:val="0"/>
          <w:marTop w:val="86"/>
          <w:marBottom w:val="0"/>
          <w:divBdr>
            <w:top w:val="none" w:sz="0" w:space="0" w:color="auto"/>
            <w:left w:val="none" w:sz="0" w:space="0" w:color="auto"/>
            <w:bottom w:val="none" w:sz="0" w:space="0" w:color="auto"/>
            <w:right w:val="none" w:sz="0" w:space="0" w:color="auto"/>
          </w:divBdr>
        </w:div>
        <w:div w:id="2104914452">
          <w:marLeft w:val="446"/>
          <w:marRight w:val="0"/>
          <w:marTop w:val="86"/>
          <w:marBottom w:val="0"/>
          <w:divBdr>
            <w:top w:val="none" w:sz="0" w:space="0" w:color="auto"/>
            <w:left w:val="none" w:sz="0" w:space="0" w:color="auto"/>
            <w:bottom w:val="none" w:sz="0" w:space="0" w:color="auto"/>
            <w:right w:val="none" w:sz="0" w:space="0" w:color="auto"/>
          </w:divBdr>
        </w:div>
        <w:div w:id="1081678625">
          <w:marLeft w:val="446"/>
          <w:marRight w:val="0"/>
          <w:marTop w:val="86"/>
          <w:marBottom w:val="0"/>
          <w:divBdr>
            <w:top w:val="none" w:sz="0" w:space="0" w:color="auto"/>
            <w:left w:val="none" w:sz="0" w:space="0" w:color="auto"/>
            <w:bottom w:val="none" w:sz="0" w:space="0" w:color="auto"/>
            <w:right w:val="none" w:sz="0" w:space="0" w:color="auto"/>
          </w:divBdr>
        </w:div>
      </w:divsChild>
    </w:div>
    <w:div w:id="1205949194">
      <w:bodyDiv w:val="1"/>
      <w:marLeft w:val="0"/>
      <w:marRight w:val="0"/>
      <w:marTop w:val="0"/>
      <w:marBottom w:val="0"/>
      <w:divBdr>
        <w:top w:val="none" w:sz="0" w:space="0" w:color="auto"/>
        <w:left w:val="none" w:sz="0" w:space="0" w:color="auto"/>
        <w:bottom w:val="none" w:sz="0" w:space="0" w:color="auto"/>
        <w:right w:val="none" w:sz="0" w:space="0" w:color="auto"/>
      </w:divBdr>
    </w:div>
    <w:div w:id="1210606300">
      <w:bodyDiv w:val="1"/>
      <w:marLeft w:val="0"/>
      <w:marRight w:val="0"/>
      <w:marTop w:val="0"/>
      <w:marBottom w:val="0"/>
      <w:divBdr>
        <w:top w:val="none" w:sz="0" w:space="0" w:color="auto"/>
        <w:left w:val="none" w:sz="0" w:space="0" w:color="auto"/>
        <w:bottom w:val="none" w:sz="0" w:space="0" w:color="auto"/>
        <w:right w:val="none" w:sz="0" w:space="0" w:color="auto"/>
      </w:divBdr>
    </w:div>
    <w:div w:id="1215314727">
      <w:bodyDiv w:val="1"/>
      <w:marLeft w:val="0"/>
      <w:marRight w:val="0"/>
      <w:marTop w:val="0"/>
      <w:marBottom w:val="0"/>
      <w:divBdr>
        <w:top w:val="none" w:sz="0" w:space="0" w:color="auto"/>
        <w:left w:val="none" w:sz="0" w:space="0" w:color="auto"/>
        <w:bottom w:val="none" w:sz="0" w:space="0" w:color="auto"/>
        <w:right w:val="none" w:sz="0" w:space="0" w:color="auto"/>
      </w:divBdr>
    </w:div>
    <w:div w:id="1219050545">
      <w:bodyDiv w:val="1"/>
      <w:marLeft w:val="0"/>
      <w:marRight w:val="0"/>
      <w:marTop w:val="0"/>
      <w:marBottom w:val="0"/>
      <w:divBdr>
        <w:top w:val="none" w:sz="0" w:space="0" w:color="auto"/>
        <w:left w:val="none" w:sz="0" w:space="0" w:color="auto"/>
        <w:bottom w:val="none" w:sz="0" w:space="0" w:color="auto"/>
        <w:right w:val="none" w:sz="0" w:space="0" w:color="auto"/>
      </w:divBdr>
    </w:div>
    <w:div w:id="1234315156">
      <w:bodyDiv w:val="1"/>
      <w:marLeft w:val="0"/>
      <w:marRight w:val="0"/>
      <w:marTop w:val="0"/>
      <w:marBottom w:val="0"/>
      <w:divBdr>
        <w:top w:val="none" w:sz="0" w:space="0" w:color="auto"/>
        <w:left w:val="none" w:sz="0" w:space="0" w:color="auto"/>
        <w:bottom w:val="none" w:sz="0" w:space="0" w:color="auto"/>
        <w:right w:val="none" w:sz="0" w:space="0" w:color="auto"/>
      </w:divBdr>
    </w:div>
    <w:div w:id="1244299079">
      <w:bodyDiv w:val="1"/>
      <w:marLeft w:val="0"/>
      <w:marRight w:val="0"/>
      <w:marTop w:val="0"/>
      <w:marBottom w:val="0"/>
      <w:divBdr>
        <w:top w:val="none" w:sz="0" w:space="0" w:color="auto"/>
        <w:left w:val="none" w:sz="0" w:space="0" w:color="auto"/>
        <w:bottom w:val="none" w:sz="0" w:space="0" w:color="auto"/>
        <w:right w:val="none" w:sz="0" w:space="0" w:color="auto"/>
      </w:divBdr>
    </w:div>
    <w:div w:id="1262638763">
      <w:bodyDiv w:val="1"/>
      <w:marLeft w:val="0"/>
      <w:marRight w:val="0"/>
      <w:marTop w:val="0"/>
      <w:marBottom w:val="0"/>
      <w:divBdr>
        <w:top w:val="none" w:sz="0" w:space="0" w:color="auto"/>
        <w:left w:val="none" w:sz="0" w:space="0" w:color="auto"/>
        <w:bottom w:val="none" w:sz="0" w:space="0" w:color="auto"/>
        <w:right w:val="none" w:sz="0" w:space="0" w:color="auto"/>
      </w:divBdr>
    </w:div>
    <w:div w:id="1346640336">
      <w:bodyDiv w:val="1"/>
      <w:marLeft w:val="0"/>
      <w:marRight w:val="0"/>
      <w:marTop w:val="0"/>
      <w:marBottom w:val="0"/>
      <w:divBdr>
        <w:top w:val="none" w:sz="0" w:space="0" w:color="auto"/>
        <w:left w:val="none" w:sz="0" w:space="0" w:color="auto"/>
        <w:bottom w:val="none" w:sz="0" w:space="0" w:color="auto"/>
        <w:right w:val="none" w:sz="0" w:space="0" w:color="auto"/>
      </w:divBdr>
    </w:div>
    <w:div w:id="1359812625">
      <w:bodyDiv w:val="1"/>
      <w:marLeft w:val="0"/>
      <w:marRight w:val="0"/>
      <w:marTop w:val="0"/>
      <w:marBottom w:val="0"/>
      <w:divBdr>
        <w:top w:val="none" w:sz="0" w:space="0" w:color="auto"/>
        <w:left w:val="none" w:sz="0" w:space="0" w:color="auto"/>
        <w:bottom w:val="none" w:sz="0" w:space="0" w:color="auto"/>
        <w:right w:val="none" w:sz="0" w:space="0" w:color="auto"/>
      </w:divBdr>
      <w:divsChild>
        <w:div w:id="2054848431">
          <w:marLeft w:val="446"/>
          <w:marRight w:val="0"/>
          <w:marTop w:val="0"/>
          <w:marBottom w:val="0"/>
          <w:divBdr>
            <w:top w:val="none" w:sz="0" w:space="0" w:color="auto"/>
            <w:left w:val="none" w:sz="0" w:space="0" w:color="auto"/>
            <w:bottom w:val="none" w:sz="0" w:space="0" w:color="auto"/>
            <w:right w:val="none" w:sz="0" w:space="0" w:color="auto"/>
          </w:divBdr>
        </w:div>
        <w:div w:id="1180200290">
          <w:marLeft w:val="446"/>
          <w:marRight w:val="0"/>
          <w:marTop w:val="0"/>
          <w:marBottom w:val="0"/>
          <w:divBdr>
            <w:top w:val="none" w:sz="0" w:space="0" w:color="auto"/>
            <w:left w:val="none" w:sz="0" w:space="0" w:color="auto"/>
            <w:bottom w:val="none" w:sz="0" w:space="0" w:color="auto"/>
            <w:right w:val="none" w:sz="0" w:space="0" w:color="auto"/>
          </w:divBdr>
        </w:div>
        <w:div w:id="346060203">
          <w:marLeft w:val="446"/>
          <w:marRight w:val="0"/>
          <w:marTop w:val="0"/>
          <w:marBottom w:val="0"/>
          <w:divBdr>
            <w:top w:val="none" w:sz="0" w:space="0" w:color="auto"/>
            <w:left w:val="none" w:sz="0" w:space="0" w:color="auto"/>
            <w:bottom w:val="none" w:sz="0" w:space="0" w:color="auto"/>
            <w:right w:val="none" w:sz="0" w:space="0" w:color="auto"/>
          </w:divBdr>
        </w:div>
      </w:divsChild>
    </w:div>
    <w:div w:id="1383942974">
      <w:bodyDiv w:val="1"/>
      <w:marLeft w:val="0"/>
      <w:marRight w:val="0"/>
      <w:marTop w:val="0"/>
      <w:marBottom w:val="0"/>
      <w:divBdr>
        <w:top w:val="none" w:sz="0" w:space="0" w:color="auto"/>
        <w:left w:val="none" w:sz="0" w:space="0" w:color="auto"/>
        <w:bottom w:val="none" w:sz="0" w:space="0" w:color="auto"/>
        <w:right w:val="none" w:sz="0" w:space="0" w:color="auto"/>
      </w:divBdr>
    </w:div>
    <w:div w:id="1386443048">
      <w:bodyDiv w:val="1"/>
      <w:marLeft w:val="0"/>
      <w:marRight w:val="0"/>
      <w:marTop w:val="0"/>
      <w:marBottom w:val="0"/>
      <w:divBdr>
        <w:top w:val="none" w:sz="0" w:space="0" w:color="auto"/>
        <w:left w:val="none" w:sz="0" w:space="0" w:color="auto"/>
        <w:bottom w:val="none" w:sz="0" w:space="0" w:color="auto"/>
        <w:right w:val="none" w:sz="0" w:space="0" w:color="auto"/>
      </w:divBdr>
      <w:divsChild>
        <w:div w:id="1333099722">
          <w:marLeft w:val="446"/>
          <w:marRight w:val="0"/>
          <w:marTop w:val="120"/>
          <w:marBottom w:val="0"/>
          <w:divBdr>
            <w:top w:val="none" w:sz="0" w:space="0" w:color="auto"/>
            <w:left w:val="none" w:sz="0" w:space="0" w:color="auto"/>
            <w:bottom w:val="none" w:sz="0" w:space="0" w:color="auto"/>
            <w:right w:val="none" w:sz="0" w:space="0" w:color="auto"/>
          </w:divBdr>
        </w:div>
        <w:div w:id="907418761">
          <w:marLeft w:val="446"/>
          <w:marRight w:val="0"/>
          <w:marTop w:val="120"/>
          <w:marBottom w:val="0"/>
          <w:divBdr>
            <w:top w:val="none" w:sz="0" w:space="0" w:color="auto"/>
            <w:left w:val="none" w:sz="0" w:space="0" w:color="auto"/>
            <w:bottom w:val="none" w:sz="0" w:space="0" w:color="auto"/>
            <w:right w:val="none" w:sz="0" w:space="0" w:color="auto"/>
          </w:divBdr>
        </w:div>
      </w:divsChild>
    </w:div>
    <w:div w:id="1429698026">
      <w:bodyDiv w:val="1"/>
      <w:marLeft w:val="0"/>
      <w:marRight w:val="0"/>
      <w:marTop w:val="0"/>
      <w:marBottom w:val="0"/>
      <w:divBdr>
        <w:top w:val="none" w:sz="0" w:space="0" w:color="auto"/>
        <w:left w:val="none" w:sz="0" w:space="0" w:color="auto"/>
        <w:bottom w:val="none" w:sz="0" w:space="0" w:color="auto"/>
        <w:right w:val="none" w:sz="0" w:space="0" w:color="auto"/>
      </w:divBdr>
    </w:div>
    <w:div w:id="1505509564">
      <w:bodyDiv w:val="1"/>
      <w:marLeft w:val="0"/>
      <w:marRight w:val="0"/>
      <w:marTop w:val="0"/>
      <w:marBottom w:val="0"/>
      <w:divBdr>
        <w:top w:val="none" w:sz="0" w:space="0" w:color="auto"/>
        <w:left w:val="none" w:sz="0" w:space="0" w:color="auto"/>
        <w:bottom w:val="none" w:sz="0" w:space="0" w:color="auto"/>
        <w:right w:val="none" w:sz="0" w:space="0" w:color="auto"/>
      </w:divBdr>
      <w:divsChild>
        <w:div w:id="837574318">
          <w:marLeft w:val="446"/>
          <w:marRight w:val="0"/>
          <w:marTop w:val="120"/>
          <w:marBottom w:val="0"/>
          <w:divBdr>
            <w:top w:val="none" w:sz="0" w:space="0" w:color="auto"/>
            <w:left w:val="none" w:sz="0" w:space="0" w:color="auto"/>
            <w:bottom w:val="none" w:sz="0" w:space="0" w:color="auto"/>
            <w:right w:val="none" w:sz="0" w:space="0" w:color="auto"/>
          </w:divBdr>
        </w:div>
        <w:div w:id="296305945">
          <w:marLeft w:val="1627"/>
          <w:marRight w:val="0"/>
          <w:marTop w:val="192"/>
          <w:marBottom w:val="0"/>
          <w:divBdr>
            <w:top w:val="none" w:sz="0" w:space="0" w:color="auto"/>
            <w:left w:val="none" w:sz="0" w:space="0" w:color="auto"/>
            <w:bottom w:val="none" w:sz="0" w:space="0" w:color="auto"/>
            <w:right w:val="none" w:sz="0" w:space="0" w:color="auto"/>
          </w:divBdr>
        </w:div>
        <w:div w:id="1007632121">
          <w:marLeft w:val="1627"/>
          <w:marRight w:val="0"/>
          <w:marTop w:val="192"/>
          <w:marBottom w:val="0"/>
          <w:divBdr>
            <w:top w:val="none" w:sz="0" w:space="0" w:color="auto"/>
            <w:left w:val="none" w:sz="0" w:space="0" w:color="auto"/>
            <w:bottom w:val="none" w:sz="0" w:space="0" w:color="auto"/>
            <w:right w:val="none" w:sz="0" w:space="0" w:color="auto"/>
          </w:divBdr>
        </w:div>
        <w:div w:id="1001814844">
          <w:marLeft w:val="1627"/>
          <w:marRight w:val="0"/>
          <w:marTop w:val="192"/>
          <w:marBottom w:val="0"/>
          <w:divBdr>
            <w:top w:val="none" w:sz="0" w:space="0" w:color="auto"/>
            <w:left w:val="none" w:sz="0" w:space="0" w:color="auto"/>
            <w:bottom w:val="none" w:sz="0" w:space="0" w:color="auto"/>
            <w:right w:val="none" w:sz="0" w:space="0" w:color="auto"/>
          </w:divBdr>
        </w:div>
        <w:div w:id="543250696">
          <w:marLeft w:val="446"/>
          <w:marRight w:val="0"/>
          <w:marTop w:val="120"/>
          <w:marBottom w:val="0"/>
          <w:divBdr>
            <w:top w:val="none" w:sz="0" w:space="0" w:color="auto"/>
            <w:left w:val="none" w:sz="0" w:space="0" w:color="auto"/>
            <w:bottom w:val="none" w:sz="0" w:space="0" w:color="auto"/>
            <w:right w:val="none" w:sz="0" w:space="0" w:color="auto"/>
          </w:divBdr>
        </w:div>
        <w:div w:id="1285429470">
          <w:marLeft w:val="1627"/>
          <w:marRight w:val="0"/>
          <w:marTop w:val="192"/>
          <w:marBottom w:val="0"/>
          <w:divBdr>
            <w:top w:val="none" w:sz="0" w:space="0" w:color="auto"/>
            <w:left w:val="none" w:sz="0" w:space="0" w:color="auto"/>
            <w:bottom w:val="none" w:sz="0" w:space="0" w:color="auto"/>
            <w:right w:val="none" w:sz="0" w:space="0" w:color="auto"/>
          </w:divBdr>
        </w:div>
        <w:div w:id="2074351500">
          <w:marLeft w:val="1627"/>
          <w:marRight w:val="0"/>
          <w:marTop w:val="192"/>
          <w:marBottom w:val="0"/>
          <w:divBdr>
            <w:top w:val="none" w:sz="0" w:space="0" w:color="auto"/>
            <w:left w:val="none" w:sz="0" w:space="0" w:color="auto"/>
            <w:bottom w:val="none" w:sz="0" w:space="0" w:color="auto"/>
            <w:right w:val="none" w:sz="0" w:space="0" w:color="auto"/>
          </w:divBdr>
        </w:div>
      </w:divsChild>
    </w:div>
    <w:div w:id="1511289404">
      <w:bodyDiv w:val="1"/>
      <w:marLeft w:val="0"/>
      <w:marRight w:val="0"/>
      <w:marTop w:val="0"/>
      <w:marBottom w:val="0"/>
      <w:divBdr>
        <w:top w:val="none" w:sz="0" w:space="0" w:color="auto"/>
        <w:left w:val="none" w:sz="0" w:space="0" w:color="auto"/>
        <w:bottom w:val="none" w:sz="0" w:space="0" w:color="auto"/>
        <w:right w:val="none" w:sz="0" w:space="0" w:color="auto"/>
      </w:divBdr>
    </w:div>
    <w:div w:id="1511985092">
      <w:bodyDiv w:val="1"/>
      <w:marLeft w:val="0"/>
      <w:marRight w:val="0"/>
      <w:marTop w:val="0"/>
      <w:marBottom w:val="0"/>
      <w:divBdr>
        <w:top w:val="none" w:sz="0" w:space="0" w:color="auto"/>
        <w:left w:val="none" w:sz="0" w:space="0" w:color="auto"/>
        <w:bottom w:val="none" w:sz="0" w:space="0" w:color="auto"/>
        <w:right w:val="none" w:sz="0" w:space="0" w:color="auto"/>
      </w:divBdr>
      <w:divsChild>
        <w:div w:id="1530727318">
          <w:marLeft w:val="446"/>
          <w:marRight w:val="0"/>
          <w:marTop w:val="120"/>
          <w:marBottom w:val="0"/>
          <w:divBdr>
            <w:top w:val="none" w:sz="0" w:space="0" w:color="auto"/>
            <w:left w:val="none" w:sz="0" w:space="0" w:color="auto"/>
            <w:bottom w:val="none" w:sz="0" w:space="0" w:color="auto"/>
            <w:right w:val="none" w:sz="0" w:space="0" w:color="auto"/>
          </w:divBdr>
        </w:div>
        <w:div w:id="1721124988">
          <w:marLeft w:val="446"/>
          <w:marRight w:val="0"/>
          <w:marTop w:val="120"/>
          <w:marBottom w:val="0"/>
          <w:divBdr>
            <w:top w:val="none" w:sz="0" w:space="0" w:color="auto"/>
            <w:left w:val="none" w:sz="0" w:space="0" w:color="auto"/>
            <w:bottom w:val="none" w:sz="0" w:space="0" w:color="auto"/>
            <w:right w:val="none" w:sz="0" w:space="0" w:color="auto"/>
          </w:divBdr>
        </w:div>
        <w:div w:id="1634479022">
          <w:marLeft w:val="446"/>
          <w:marRight w:val="0"/>
          <w:marTop w:val="120"/>
          <w:marBottom w:val="0"/>
          <w:divBdr>
            <w:top w:val="none" w:sz="0" w:space="0" w:color="auto"/>
            <w:left w:val="none" w:sz="0" w:space="0" w:color="auto"/>
            <w:bottom w:val="none" w:sz="0" w:space="0" w:color="auto"/>
            <w:right w:val="none" w:sz="0" w:space="0" w:color="auto"/>
          </w:divBdr>
        </w:div>
        <w:div w:id="1428502461">
          <w:marLeft w:val="446"/>
          <w:marRight w:val="0"/>
          <w:marTop w:val="120"/>
          <w:marBottom w:val="0"/>
          <w:divBdr>
            <w:top w:val="none" w:sz="0" w:space="0" w:color="auto"/>
            <w:left w:val="none" w:sz="0" w:space="0" w:color="auto"/>
            <w:bottom w:val="none" w:sz="0" w:space="0" w:color="auto"/>
            <w:right w:val="none" w:sz="0" w:space="0" w:color="auto"/>
          </w:divBdr>
        </w:div>
        <w:div w:id="352612744">
          <w:marLeft w:val="1627"/>
          <w:marRight w:val="0"/>
          <w:marTop w:val="192"/>
          <w:marBottom w:val="0"/>
          <w:divBdr>
            <w:top w:val="none" w:sz="0" w:space="0" w:color="auto"/>
            <w:left w:val="none" w:sz="0" w:space="0" w:color="auto"/>
            <w:bottom w:val="none" w:sz="0" w:space="0" w:color="auto"/>
            <w:right w:val="none" w:sz="0" w:space="0" w:color="auto"/>
          </w:divBdr>
        </w:div>
        <w:div w:id="200940952">
          <w:marLeft w:val="1627"/>
          <w:marRight w:val="0"/>
          <w:marTop w:val="192"/>
          <w:marBottom w:val="0"/>
          <w:divBdr>
            <w:top w:val="none" w:sz="0" w:space="0" w:color="auto"/>
            <w:left w:val="none" w:sz="0" w:space="0" w:color="auto"/>
            <w:bottom w:val="none" w:sz="0" w:space="0" w:color="auto"/>
            <w:right w:val="none" w:sz="0" w:space="0" w:color="auto"/>
          </w:divBdr>
        </w:div>
        <w:div w:id="1989892232">
          <w:marLeft w:val="446"/>
          <w:marRight w:val="0"/>
          <w:marTop w:val="120"/>
          <w:marBottom w:val="0"/>
          <w:divBdr>
            <w:top w:val="none" w:sz="0" w:space="0" w:color="auto"/>
            <w:left w:val="none" w:sz="0" w:space="0" w:color="auto"/>
            <w:bottom w:val="none" w:sz="0" w:space="0" w:color="auto"/>
            <w:right w:val="none" w:sz="0" w:space="0" w:color="auto"/>
          </w:divBdr>
        </w:div>
        <w:div w:id="1336612654">
          <w:marLeft w:val="446"/>
          <w:marRight w:val="0"/>
          <w:marTop w:val="120"/>
          <w:marBottom w:val="0"/>
          <w:divBdr>
            <w:top w:val="none" w:sz="0" w:space="0" w:color="auto"/>
            <w:left w:val="none" w:sz="0" w:space="0" w:color="auto"/>
            <w:bottom w:val="none" w:sz="0" w:space="0" w:color="auto"/>
            <w:right w:val="none" w:sz="0" w:space="0" w:color="auto"/>
          </w:divBdr>
        </w:div>
      </w:divsChild>
    </w:div>
    <w:div w:id="1535464113">
      <w:bodyDiv w:val="1"/>
      <w:marLeft w:val="0"/>
      <w:marRight w:val="0"/>
      <w:marTop w:val="0"/>
      <w:marBottom w:val="0"/>
      <w:divBdr>
        <w:top w:val="none" w:sz="0" w:space="0" w:color="auto"/>
        <w:left w:val="none" w:sz="0" w:space="0" w:color="auto"/>
        <w:bottom w:val="none" w:sz="0" w:space="0" w:color="auto"/>
        <w:right w:val="none" w:sz="0" w:space="0" w:color="auto"/>
      </w:divBdr>
    </w:div>
    <w:div w:id="1551696230">
      <w:bodyDiv w:val="1"/>
      <w:marLeft w:val="0"/>
      <w:marRight w:val="0"/>
      <w:marTop w:val="0"/>
      <w:marBottom w:val="0"/>
      <w:divBdr>
        <w:top w:val="none" w:sz="0" w:space="0" w:color="auto"/>
        <w:left w:val="none" w:sz="0" w:space="0" w:color="auto"/>
        <w:bottom w:val="none" w:sz="0" w:space="0" w:color="auto"/>
        <w:right w:val="none" w:sz="0" w:space="0" w:color="auto"/>
      </w:divBdr>
      <w:divsChild>
        <w:div w:id="209924941">
          <w:marLeft w:val="446"/>
          <w:marRight w:val="0"/>
          <w:marTop w:val="120"/>
          <w:marBottom w:val="0"/>
          <w:divBdr>
            <w:top w:val="none" w:sz="0" w:space="0" w:color="auto"/>
            <w:left w:val="none" w:sz="0" w:space="0" w:color="auto"/>
            <w:bottom w:val="none" w:sz="0" w:space="0" w:color="auto"/>
            <w:right w:val="none" w:sz="0" w:space="0" w:color="auto"/>
          </w:divBdr>
        </w:div>
        <w:div w:id="2040273026">
          <w:marLeft w:val="1627"/>
          <w:marRight w:val="0"/>
          <w:marTop w:val="192"/>
          <w:marBottom w:val="0"/>
          <w:divBdr>
            <w:top w:val="none" w:sz="0" w:space="0" w:color="auto"/>
            <w:left w:val="none" w:sz="0" w:space="0" w:color="auto"/>
            <w:bottom w:val="none" w:sz="0" w:space="0" w:color="auto"/>
            <w:right w:val="none" w:sz="0" w:space="0" w:color="auto"/>
          </w:divBdr>
        </w:div>
        <w:div w:id="1591625789">
          <w:marLeft w:val="1627"/>
          <w:marRight w:val="0"/>
          <w:marTop w:val="192"/>
          <w:marBottom w:val="0"/>
          <w:divBdr>
            <w:top w:val="none" w:sz="0" w:space="0" w:color="auto"/>
            <w:left w:val="none" w:sz="0" w:space="0" w:color="auto"/>
            <w:bottom w:val="none" w:sz="0" w:space="0" w:color="auto"/>
            <w:right w:val="none" w:sz="0" w:space="0" w:color="auto"/>
          </w:divBdr>
        </w:div>
        <w:div w:id="1813713900">
          <w:marLeft w:val="1627"/>
          <w:marRight w:val="0"/>
          <w:marTop w:val="192"/>
          <w:marBottom w:val="0"/>
          <w:divBdr>
            <w:top w:val="none" w:sz="0" w:space="0" w:color="auto"/>
            <w:left w:val="none" w:sz="0" w:space="0" w:color="auto"/>
            <w:bottom w:val="none" w:sz="0" w:space="0" w:color="auto"/>
            <w:right w:val="none" w:sz="0" w:space="0" w:color="auto"/>
          </w:divBdr>
        </w:div>
        <w:div w:id="194343434">
          <w:marLeft w:val="446"/>
          <w:marRight w:val="0"/>
          <w:marTop w:val="120"/>
          <w:marBottom w:val="0"/>
          <w:divBdr>
            <w:top w:val="none" w:sz="0" w:space="0" w:color="auto"/>
            <w:left w:val="none" w:sz="0" w:space="0" w:color="auto"/>
            <w:bottom w:val="none" w:sz="0" w:space="0" w:color="auto"/>
            <w:right w:val="none" w:sz="0" w:space="0" w:color="auto"/>
          </w:divBdr>
        </w:div>
        <w:div w:id="1234194984">
          <w:marLeft w:val="446"/>
          <w:marRight w:val="0"/>
          <w:marTop w:val="120"/>
          <w:marBottom w:val="0"/>
          <w:divBdr>
            <w:top w:val="none" w:sz="0" w:space="0" w:color="auto"/>
            <w:left w:val="none" w:sz="0" w:space="0" w:color="auto"/>
            <w:bottom w:val="none" w:sz="0" w:space="0" w:color="auto"/>
            <w:right w:val="none" w:sz="0" w:space="0" w:color="auto"/>
          </w:divBdr>
        </w:div>
      </w:divsChild>
    </w:div>
    <w:div w:id="1553804213">
      <w:bodyDiv w:val="1"/>
      <w:marLeft w:val="0"/>
      <w:marRight w:val="0"/>
      <w:marTop w:val="0"/>
      <w:marBottom w:val="0"/>
      <w:divBdr>
        <w:top w:val="none" w:sz="0" w:space="0" w:color="auto"/>
        <w:left w:val="none" w:sz="0" w:space="0" w:color="auto"/>
        <w:bottom w:val="none" w:sz="0" w:space="0" w:color="auto"/>
        <w:right w:val="none" w:sz="0" w:space="0" w:color="auto"/>
      </w:divBdr>
      <w:divsChild>
        <w:div w:id="1051809977">
          <w:marLeft w:val="1800"/>
          <w:marRight w:val="1800"/>
          <w:marTop w:val="0"/>
          <w:marBottom w:val="0"/>
          <w:divBdr>
            <w:top w:val="none" w:sz="0" w:space="0" w:color="auto"/>
            <w:left w:val="none" w:sz="0" w:space="0" w:color="auto"/>
            <w:bottom w:val="none" w:sz="0" w:space="0" w:color="auto"/>
            <w:right w:val="none" w:sz="0" w:space="0" w:color="auto"/>
          </w:divBdr>
          <w:divsChild>
            <w:div w:id="16038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7429">
      <w:bodyDiv w:val="1"/>
      <w:marLeft w:val="0"/>
      <w:marRight w:val="0"/>
      <w:marTop w:val="0"/>
      <w:marBottom w:val="0"/>
      <w:divBdr>
        <w:top w:val="none" w:sz="0" w:space="0" w:color="auto"/>
        <w:left w:val="none" w:sz="0" w:space="0" w:color="auto"/>
        <w:bottom w:val="none" w:sz="0" w:space="0" w:color="auto"/>
        <w:right w:val="none" w:sz="0" w:space="0" w:color="auto"/>
      </w:divBdr>
    </w:div>
    <w:div w:id="1629508188">
      <w:bodyDiv w:val="1"/>
      <w:marLeft w:val="0"/>
      <w:marRight w:val="0"/>
      <w:marTop w:val="0"/>
      <w:marBottom w:val="0"/>
      <w:divBdr>
        <w:top w:val="none" w:sz="0" w:space="0" w:color="auto"/>
        <w:left w:val="none" w:sz="0" w:space="0" w:color="auto"/>
        <w:bottom w:val="none" w:sz="0" w:space="0" w:color="auto"/>
        <w:right w:val="none" w:sz="0" w:space="0" w:color="auto"/>
      </w:divBdr>
      <w:divsChild>
        <w:div w:id="477259743">
          <w:marLeft w:val="446"/>
          <w:marRight w:val="0"/>
          <w:marTop w:val="120"/>
          <w:marBottom w:val="0"/>
          <w:divBdr>
            <w:top w:val="none" w:sz="0" w:space="0" w:color="auto"/>
            <w:left w:val="none" w:sz="0" w:space="0" w:color="auto"/>
            <w:bottom w:val="none" w:sz="0" w:space="0" w:color="auto"/>
            <w:right w:val="none" w:sz="0" w:space="0" w:color="auto"/>
          </w:divBdr>
        </w:div>
        <w:div w:id="1534229083">
          <w:marLeft w:val="1627"/>
          <w:marRight w:val="0"/>
          <w:marTop w:val="192"/>
          <w:marBottom w:val="0"/>
          <w:divBdr>
            <w:top w:val="none" w:sz="0" w:space="0" w:color="auto"/>
            <w:left w:val="none" w:sz="0" w:space="0" w:color="auto"/>
            <w:bottom w:val="none" w:sz="0" w:space="0" w:color="auto"/>
            <w:right w:val="none" w:sz="0" w:space="0" w:color="auto"/>
          </w:divBdr>
        </w:div>
        <w:div w:id="835000203">
          <w:marLeft w:val="1627"/>
          <w:marRight w:val="0"/>
          <w:marTop w:val="192"/>
          <w:marBottom w:val="0"/>
          <w:divBdr>
            <w:top w:val="none" w:sz="0" w:space="0" w:color="auto"/>
            <w:left w:val="none" w:sz="0" w:space="0" w:color="auto"/>
            <w:bottom w:val="none" w:sz="0" w:space="0" w:color="auto"/>
            <w:right w:val="none" w:sz="0" w:space="0" w:color="auto"/>
          </w:divBdr>
        </w:div>
        <w:div w:id="1775712634">
          <w:marLeft w:val="1627"/>
          <w:marRight w:val="0"/>
          <w:marTop w:val="192"/>
          <w:marBottom w:val="0"/>
          <w:divBdr>
            <w:top w:val="none" w:sz="0" w:space="0" w:color="auto"/>
            <w:left w:val="none" w:sz="0" w:space="0" w:color="auto"/>
            <w:bottom w:val="none" w:sz="0" w:space="0" w:color="auto"/>
            <w:right w:val="none" w:sz="0" w:space="0" w:color="auto"/>
          </w:divBdr>
        </w:div>
        <w:div w:id="1427849733">
          <w:marLeft w:val="446"/>
          <w:marRight w:val="0"/>
          <w:marTop w:val="120"/>
          <w:marBottom w:val="0"/>
          <w:divBdr>
            <w:top w:val="none" w:sz="0" w:space="0" w:color="auto"/>
            <w:left w:val="none" w:sz="0" w:space="0" w:color="auto"/>
            <w:bottom w:val="none" w:sz="0" w:space="0" w:color="auto"/>
            <w:right w:val="none" w:sz="0" w:space="0" w:color="auto"/>
          </w:divBdr>
        </w:div>
      </w:divsChild>
    </w:div>
    <w:div w:id="1706953194">
      <w:bodyDiv w:val="1"/>
      <w:marLeft w:val="0"/>
      <w:marRight w:val="0"/>
      <w:marTop w:val="0"/>
      <w:marBottom w:val="0"/>
      <w:divBdr>
        <w:top w:val="none" w:sz="0" w:space="0" w:color="auto"/>
        <w:left w:val="none" w:sz="0" w:space="0" w:color="auto"/>
        <w:bottom w:val="none" w:sz="0" w:space="0" w:color="auto"/>
        <w:right w:val="none" w:sz="0" w:space="0" w:color="auto"/>
      </w:divBdr>
      <w:divsChild>
        <w:div w:id="2062248636">
          <w:marLeft w:val="1800"/>
          <w:marRight w:val="1800"/>
          <w:marTop w:val="0"/>
          <w:marBottom w:val="0"/>
          <w:divBdr>
            <w:top w:val="none" w:sz="0" w:space="0" w:color="auto"/>
            <w:left w:val="none" w:sz="0" w:space="0" w:color="auto"/>
            <w:bottom w:val="none" w:sz="0" w:space="0" w:color="auto"/>
            <w:right w:val="none" w:sz="0" w:space="0" w:color="auto"/>
          </w:divBdr>
          <w:divsChild>
            <w:div w:id="985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3728">
      <w:bodyDiv w:val="1"/>
      <w:marLeft w:val="0"/>
      <w:marRight w:val="0"/>
      <w:marTop w:val="0"/>
      <w:marBottom w:val="0"/>
      <w:divBdr>
        <w:top w:val="none" w:sz="0" w:space="0" w:color="auto"/>
        <w:left w:val="none" w:sz="0" w:space="0" w:color="auto"/>
        <w:bottom w:val="none" w:sz="0" w:space="0" w:color="auto"/>
        <w:right w:val="none" w:sz="0" w:space="0" w:color="auto"/>
      </w:divBdr>
    </w:div>
    <w:div w:id="1745684272">
      <w:bodyDiv w:val="1"/>
      <w:marLeft w:val="0"/>
      <w:marRight w:val="0"/>
      <w:marTop w:val="0"/>
      <w:marBottom w:val="0"/>
      <w:divBdr>
        <w:top w:val="none" w:sz="0" w:space="0" w:color="auto"/>
        <w:left w:val="none" w:sz="0" w:space="0" w:color="auto"/>
        <w:bottom w:val="none" w:sz="0" w:space="0" w:color="auto"/>
        <w:right w:val="none" w:sz="0" w:space="0" w:color="auto"/>
      </w:divBdr>
    </w:div>
    <w:div w:id="1760364285">
      <w:bodyDiv w:val="1"/>
      <w:marLeft w:val="0"/>
      <w:marRight w:val="0"/>
      <w:marTop w:val="0"/>
      <w:marBottom w:val="0"/>
      <w:divBdr>
        <w:top w:val="none" w:sz="0" w:space="0" w:color="auto"/>
        <w:left w:val="none" w:sz="0" w:space="0" w:color="auto"/>
        <w:bottom w:val="none" w:sz="0" w:space="0" w:color="auto"/>
        <w:right w:val="none" w:sz="0" w:space="0" w:color="auto"/>
      </w:divBdr>
    </w:div>
    <w:div w:id="1874074027">
      <w:bodyDiv w:val="1"/>
      <w:marLeft w:val="0"/>
      <w:marRight w:val="0"/>
      <w:marTop w:val="0"/>
      <w:marBottom w:val="0"/>
      <w:divBdr>
        <w:top w:val="none" w:sz="0" w:space="0" w:color="auto"/>
        <w:left w:val="none" w:sz="0" w:space="0" w:color="auto"/>
        <w:bottom w:val="none" w:sz="0" w:space="0" w:color="auto"/>
        <w:right w:val="none" w:sz="0" w:space="0" w:color="auto"/>
      </w:divBdr>
    </w:div>
    <w:div w:id="1889492769">
      <w:bodyDiv w:val="1"/>
      <w:marLeft w:val="0"/>
      <w:marRight w:val="0"/>
      <w:marTop w:val="0"/>
      <w:marBottom w:val="0"/>
      <w:divBdr>
        <w:top w:val="none" w:sz="0" w:space="0" w:color="auto"/>
        <w:left w:val="none" w:sz="0" w:space="0" w:color="auto"/>
        <w:bottom w:val="none" w:sz="0" w:space="0" w:color="auto"/>
        <w:right w:val="none" w:sz="0" w:space="0" w:color="auto"/>
      </w:divBdr>
      <w:divsChild>
        <w:div w:id="815335794">
          <w:marLeft w:val="446"/>
          <w:marRight w:val="0"/>
          <w:marTop w:val="120"/>
          <w:marBottom w:val="0"/>
          <w:divBdr>
            <w:top w:val="none" w:sz="0" w:space="0" w:color="auto"/>
            <w:left w:val="none" w:sz="0" w:space="0" w:color="auto"/>
            <w:bottom w:val="none" w:sz="0" w:space="0" w:color="auto"/>
            <w:right w:val="none" w:sz="0" w:space="0" w:color="auto"/>
          </w:divBdr>
        </w:div>
        <w:div w:id="430205849">
          <w:marLeft w:val="1627"/>
          <w:marRight w:val="0"/>
          <w:marTop w:val="192"/>
          <w:marBottom w:val="0"/>
          <w:divBdr>
            <w:top w:val="none" w:sz="0" w:space="0" w:color="auto"/>
            <w:left w:val="none" w:sz="0" w:space="0" w:color="auto"/>
            <w:bottom w:val="none" w:sz="0" w:space="0" w:color="auto"/>
            <w:right w:val="none" w:sz="0" w:space="0" w:color="auto"/>
          </w:divBdr>
        </w:div>
        <w:div w:id="834607248">
          <w:marLeft w:val="1627"/>
          <w:marRight w:val="0"/>
          <w:marTop w:val="192"/>
          <w:marBottom w:val="0"/>
          <w:divBdr>
            <w:top w:val="none" w:sz="0" w:space="0" w:color="auto"/>
            <w:left w:val="none" w:sz="0" w:space="0" w:color="auto"/>
            <w:bottom w:val="none" w:sz="0" w:space="0" w:color="auto"/>
            <w:right w:val="none" w:sz="0" w:space="0" w:color="auto"/>
          </w:divBdr>
        </w:div>
        <w:div w:id="175123679">
          <w:marLeft w:val="446"/>
          <w:marRight w:val="0"/>
          <w:marTop w:val="120"/>
          <w:marBottom w:val="0"/>
          <w:divBdr>
            <w:top w:val="none" w:sz="0" w:space="0" w:color="auto"/>
            <w:left w:val="none" w:sz="0" w:space="0" w:color="auto"/>
            <w:bottom w:val="none" w:sz="0" w:space="0" w:color="auto"/>
            <w:right w:val="none" w:sz="0" w:space="0" w:color="auto"/>
          </w:divBdr>
        </w:div>
        <w:div w:id="643437854">
          <w:marLeft w:val="1627"/>
          <w:marRight w:val="0"/>
          <w:marTop w:val="192"/>
          <w:marBottom w:val="0"/>
          <w:divBdr>
            <w:top w:val="none" w:sz="0" w:space="0" w:color="auto"/>
            <w:left w:val="none" w:sz="0" w:space="0" w:color="auto"/>
            <w:bottom w:val="none" w:sz="0" w:space="0" w:color="auto"/>
            <w:right w:val="none" w:sz="0" w:space="0" w:color="auto"/>
          </w:divBdr>
        </w:div>
        <w:div w:id="1376125111">
          <w:marLeft w:val="1627"/>
          <w:marRight w:val="0"/>
          <w:marTop w:val="192"/>
          <w:marBottom w:val="0"/>
          <w:divBdr>
            <w:top w:val="none" w:sz="0" w:space="0" w:color="auto"/>
            <w:left w:val="none" w:sz="0" w:space="0" w:color="auto"/>
            <w:bottom w:val="none" w:sz="0" w:space="0" w:color="auto"/>
            <w:right w:val="none" w:sz="0" w:space="0" w:color="auto"/>
          </w:divBdr>
        </w:div>
        <w:div w:id="1481267047">
          <w:marLeft w:val="446"/>
          <w:marRight w:val="0"/>
          <w:marTop w:val="120"/>
          <w:marBottom w:val="0"/>
          <w:divBdr>
            <w:top w:val="none" w:sz="0" w:space="0" w:color="auto"/>
            <w:left w:val="none" w:sz="0" w:space="0" w:color="auto"/>
            <w:bottom w:val="none" w:sz="0" w:space="0" w:color="auto"/>
            <w:right w:val="none" w:sz="0" w:space="0" w:color="auto"/>
          </w:divBdr>
        </w:div>
        <w:div w:id="2050034101">
          <w:marLeft w:val="446"/>
          <w:marRight w:val="0"/>
          <w:marTop w:val="120"/>
          <w:marBottom w:val="0"/>
          <w:divBdr>
            <w:top w:val="none" w:sz="0" w:space="0" w:color="auto"/>
            <w:left w:val="none" w:sz="0" w:space="0" w:color="auto"/>
            <w:bottom w:val="none" w:sz="0" w:space="0" w:color="auto"/>
            <w:right w:val="none" w:sz="0" w:space="0" w:color="auto"/>
          </w:divBdr>
        </w:div>
      </w:divsChild>
    </w:div>
    <w:div w:id="1927375412">
      <w:bodyDiv w:val="1"/>
      <w:marLeft w:val="0"/>
      <w:marRight w:val="0"/>
      <w:marTop w:val="0"/>
      <w:marBottom w:val="0"/>
      <w:divBdr>
        <w:top w:val="none" w:sz="0" w:space="0" w:color="auto"/>
        <w:left w:val="none" w:sz="0" w:space="0" w:color="auto"/>
        <w:bottom w:val="none" w:sz="0" w:space="0" w:color="auto"/>
        <w:right w:val="none" w:sz="0" w:space="0" w:color="auto"/>
      </w:divBdr>
    </w:div>
    <w:div w:id="1998606739">
      <w:bodyDiv w:val="1"/>
      <w:marLeft w:val="0"/>
      <w:marRight w:val="0"/>
      <w:marTop w:val="0"/>
      <w:marBottom w:val="0"/>
      <w:divBdr>
        <w:top w:val="none" w:sz="0" w:space="0" w:color="auto"/>
        <w:left w:val="none" w:sz="0" w:space="0" w:color="auto"/>
        <w:bottom w:val="none" w:sz="0" w:space="0" w:color="auto"/>
        <w:right w:val="none" w:sz="0" w:space="0" w:color="auto"/>
      </w:divBdr>
    </w:div>
    <w:div w:id="2005206775">
      <w:bodyDiv w:val="1"/>
      <w:marLeft w:val="0"/>
      <w:marRight w:val="0"/>
      <w:marTop w:val="0"/>
      <w:marBottom w:val="0"/>
      <w:divBdr>
        <w:top w:val="none" w:sz="0" w:space="0" w:color="auto"/>
        <w:left w:val="none" w:sz="0" w:space="0" w:color="auto"/>
        <w:bottom w:val="none" w:sz="0" w:space="0" w:color="auto"/>
        <w:right w:val="none" w:sz="0" w:space="0" w:color="auto"/>
      </w:divBdr>
    </w:div>
    <w:div w:id="2052143003">
      <w:bodyDiv w:val="1"/>
      <w:marLeft w:val="0"/>
      <w:marRight w:val="0"/>
      <w:marTop w:val="0"/>
      <w:marBottom w:val="0"/>
      <w:divBdr>
        <w:top w:val="none" w:sz="0" w:space="0" w:color="auto"/>
        <w:left w:val="none" w:sz="0" w:space="0" w:color="auto"/>
        <w:bottom w:val="none" w:sz="0" w:space="0" w:color="auto"/>
        <w:right w:val="none" w:sz="0" w:space="0" w:color="auto"/>
      </w:divBdr>
    </w:div>
    <w:div w:id="2060741274">
      <w:bodyDiv w:val="1"/>
      <w:marLeft w:val="0"/>
      <w:marRight w:val="0"/>
      <w:marTop w:val="0"/>
      <w:marBottom w:val="0"/>
      <w:divBdr>
        <w:top w:val="none" w:sz="0" w:space="0" w:color="auto"/>
        <w:left w:val="none" w:sz="0" w:space="0" w:color="auto"/>
        <w:bottom w:val="none" w:sz="0" w:space="0" w:color="auto"/>
        <w:right w:val="none" w:sz="0" w:space="0" w:color="auto"/>
      </w:divBdr>
    </w:div>
    <w:div w:id="2083209678">
      <w:bodyDiv w:val="1"/>
      <w:marLeft w:val="0"/>
      <w:marRight w:val="0"/>
      <w:marTop w:val="0"/>
      <w:marBottom w:val="0"/>
      <w:divBdr>
        <w:top w:val="none" w:sz="0" w:space="0" w:color="auto"/>
        <w:left w:val="none" w:sz="0" w:space="0" w:color="auto"/>
        <w:bottom w:val="none" w:sz="0" w:space="0" w:color="auto"/>
        <w:right w:val="none" w:sz="0" w:space="0" w:color="auto"/>
      </w:divBdr>
    </w:div>
    <w:div w:id="2086024810">
      <w:bodyDiv w:val="1"/>
      <w:marLeft w:val="0"/>
      <w:marRight w:val="0"/>
      <w:marTop w:val="0"/>
      <w:marBottom w:val="0"/>
      <w:divBdr>
        <w:top w:val="none" w:sz="0" w:space="0" w:color="auto"/>
        <w:left w:val="none" w:sz="0" w:space="0" w:color="auto"/>
        <w:bottom w:val="none" w:sz="0" w:space="0" w:color="auto"/>
        <w:right w:val="none" w:sz="0" w:space="0" w:color="auto"/>
      </w:divBdr>
    </w:div>
    <w:div w:id="2110001513">
      <w:bodyDiv w:val="1"/>
      <w:marLeft w:val="0"/>
      <w:marRight w:val="0"/>
      <w:marTop w:val="0"/>
      <w:marBottom w:val="0"/>
      <w:divBdr>
        <w:top w:val="none" w:sz="0" w:space="0" w:color="auto"/>
        <w:left w:val="none" w:sz="0" w:space="0" w:color="auto"/>
        <w:bottom w:val="none" w:sz="0" w:space="0" w:color="auto"/>
        <w:right w:val="none" w:sz="0" w:space="0" w:color="auto"/>
      </w:divBdr>
    </w:div>
    <w:div w:id="2124574898">
      <w:bodyDiv w:val="1"/>
      <w:marLeft w:val="0"/>
      <w:marRight w:val="0"/>
      <w:marTop w:val="0"/>
      <w:marBottom w:val="0"/>
      <w:divBdr>
        <w:top w:val="none" w:sz="0" w:space="0" w:color="auto"/>
        <w:left w:val="none" w:sz="0" w:space="0" w:color="auto"/>
        <w:bottom w:val="none" w:sz="0" w:space="0" w:color="auto"/>
        <w:right w:val="none" w:sz="0" w:space="0" w:color="auto"/>
      </w:divBdr>
    </w:div>
    <w:div w:id="213197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ac01.safelinks.protection.outlook.com/?url=http%3A%2F%2Fcreativecommons.org%2Flicenses%2Fby%2F3.0%2Fau%2Flegalcode&amp;data=01%7C01%7Ceviecuthbertson%40grosvenor.com.au%7Cd38c0dcbb03245f8c97108d5429b9ce3%7C0fba2b257dff46b6ace5479aec3f2647%7C0&amp;sdata=zfdzroEJneAnJOYShKFCZUhNMiqONOl07r3su4YxgeE%3D&amp;reserved=0" TargetMode="External"/><Relationship Id="rId18" Type="http://schemas.openxmlformats.org/officeDocument/2006/relationships/image" Target="media/image3.emf"/><Relationship Id="rId26" Type="http://schemas.openxmlformats.org/officeDocument/2006/relationships/image" Target="media/image10.emf"/><Relationship Id="rId39" Type="http://schemas.openxmlformats.org/officeDocument/2006/relationships/image" Target="media/image14.png"/><Relationship Id="rId21" Type="http://schemas.openxmlformats.org/officeDocument/2006/relationships/image" Target="media/image5.emf"/><Relationship Id="rId34" Type="http://schemas.openxmlformats.org/officeDocument/2006/relationships/hyperlink" Target="http://www.agriculture.gov.au/ag-farm-food/innovation/rural-research-development-for-profit/approved-projects/final-reports" TargetMode="External"/><Relationship Id="rId42" Type="http://schemas.openxmlformats.org/officeDocument/2006/relationships/hyperlink" Target="http://www.linkedin.com/company/grosvenor-management-consulting" TargetMode="Externa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extensionhub.com.au/web/extension-practice" TargetMode="External"/><Relationship Id="rId11" Type="http://schemas.openxmlformats.org/officeDocument/2006/relationships/image" Target="cid:image006.png@01D374DC.49111600" TargetMode="External"/><Relationship Id="rId24" Type="http://schemas.openxmlformats.org/officeDocument/2006/relationships/image" Target="media/image8.emf"/><Relationship Id="rId32" Type="http://schemas.openxmlformats.org/officeDocument/2006/relationships/footer" Target="footer4.xml"/><Relationship Id="rId37" Type="http://schemas.openxmlformats.org/officeDocument/2006/relationships/footer" Target="footer8.xml"/><Relationship Id="rId40" Type="http://schemas.openxmlformats.org/officeDocument/2006/relationships/hyperlink" Target="https://twitter.com/GrosvenorMC"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ac01.safelinks.protection.outlook.com/?url=http%3A%2F%2Fagriculture.gov.au%2F&amp;data=01%7C01%7Ceviecuthbertson%40grosvenor.com.au%7Cd38c0dcbb03245f8c97108d5429b9ce3%7C0fba2b257dff46b6ace5479aec3f2647%7C0&amp;sdata=LpUO2jCW3k9Ty7TiT2lUWjAjH7UIKEXgA3BsN3fOBng%3D&amp;reserved=0" TargetMode="External"/><Relationship Id="rId23" Type="http://schemas.openxmlformats.org/officeDocument/2006/relationships/image" Target="media/image7.emf"/><Relationship Id="rId28" Type="http://schemas.openxmlformats.org/officeDocument/2006/relationships/hyperlink" Target="http://rirg.fvas.unimelb.edu.au/ag-extension" TargetMode="External"/><Relationship Id="rId36" Type="http://schemas.openxmlformats.org/officeDocument/2006/relationships/footer" Target="footer7.xml"/><Relationship Id="rId49"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image" Target="media/image13.emf"/><Relationship Id="rId4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pac01.safelinks.protection.outlook.com/?url=http%3A%2F%2Fagriculture.gov.au%2Fpublications&amp;data=01%7C01%7Ceviecuthbertson%40grosvenor.com.au%7Cd38c0dcbb03245f8c97108d5429b9ce3%7C0fba2b257dff46b6ace5479aec3f2647%7C0&amp;sdata=kxzld9xDOK1InvVWTCMr9ynIyOjtZpvK6x7aNl4W88A%3D&amp;reserved=0"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2.emf"/><Relationship Id="rId35" Type="http://schemas.openxmlformats.org/officeDocument/2006/relationships/footer" Target="footer6.xml"/><Relationship Id="rId43" Type="http://schemas.openxmlformats.org/officeDocument/2006/relationships/image" Target="media/image16.png"/><Relationship Id="rId48" Type="http://schemas.openxmlformats.org/officeDocument/2006/relationships/customXml" Target="../customXml/item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apac01.safelinks.protection.outlook.com/?url=http%3A%2F%2Fcreativecommons.org%2Flicenses%2Fby%2F3.0%2Fau%2Fdeed.en&amp;data=01%7C01%7Ceviecuthbertson%40grosvenor.com.au%7Cd38c0dcbb03245f8c97108d5429b9ce3%7C0fba2b257dff46b6ace5479aec3f2647%7C0&amp;sdata=yBwB70AfXHzWi9I5bCArEWawZJ712lW5AYH2y45vjlQ%3D&amp;reserved=0" TargetMode="External"/><Relationship Id="rId17" Type="http://schemas.openxmlformats.org/officeDocument/2006/relationships/footer" Target="footer2.xml"/><Relationship Id="rId25" Type="http://schemas.openxmlformats.org/officeDocument/2006/relationships/image" Target="media/image9.emf"/><Relationship Id="rId33" Type="http://schemas.openxmlformats.org/officeDocument/2006/relationships/footer" Target="footer5.xml"/><Relationship Id="rId38" Type="http://schemas.openxmlformats.org/officeDocument/2006/relationships/hyperlink" Target="http://www.grosvenor.com.au/subscribe/" TargetMode="External"/><Relationship Id="rId46" Type="http://schemas.openxmlformats.org/officeDocument/2006/relationships/theme" Target="theme/theme1.xml"/><Relationship Id="rId20" Type="http://schemas.openxmlformats.org/officeDocument/2006/relationships/image" Target="media/image4.emf"/><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4D5960"/>
      </a:dk2>
      <a:lt2>
        <a:srgbClr val="7A8F99"/>
      </a:lt2>
      <a:accent1>
        <a:srgbClr val="115E95"/>
      </a:accent1>
      <a:accent2>
        <a:srgbClr val="0092CF"/>
      </a:accent2>
      <a:accent3>
        <a:srgbClr val="008F60"/>
      </a:accent3>
      <a:accent4>
        <a:srgbClr val="66BF80"/>
      </a:accent4>
      <a:accent5>
        <a:srgbClr val="D94D00"/>
      </a:accent5>
      <a:accent6>
        <a:srgbClr val="E6804D"/>
      </a:accent6>
      <a:hlink>
        <a:srgbClr val="0045CC"/>
      </a:hlink>
      <a:folHlink>
        <a:srgbClr val="2B217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69440BD-8666-48A0-B7B3-FC1522D8E42B}"/>
</file>

<file path=customXml/itemProps2.xml><?xml version="1.0" encoding="utf-8"?>
<ds:datastoreItem xmlns:ds="http://schemas.openxmlformats.org/officeDocument/2006/customXml" ds:itemID="{691FAD63-E4A2-451A-8DA6-5A2A7C823B56}"/>
</file>

<file path=customXml/itemProps3.xml><?xml version="1.0" encoding="utf-8"?>
<ds:datastoreItem xmlns:ds="http://schemas.openxmlformats.org/officeDocument/2006/customXml" ds:itemID="{A27961CA-6CC8-462F-880E-8BE985A4EDFF}"/>
</file>

<file path=customXml/itemProps4.xml><?xml version="1.0" encoding="utf-8"?>
<ds:datastoreItem xmlns:ds="http://schemas.openxmlformats.org/officeDocument/2006/customXml" ds:itemID="{D1B98067-4E74-490C-A0FB-BD9F5CCF7141}"/>
</file>

<file path=docProps/app.xml><?xml version="1.0" encoding="utf-8"?>
<Properties xmlns="http://schemas.openxmlformats.org/officeDocument/2006/extended-properties" xmlns:vt="http://schemas.openxmlformats.org/officeDocument/2006/docPropsVTypes">
  <Template>Normal</Template>
  <TotalTime>1</TotalTime>
  <Pages>146</Pages>
  <Words>22234</Words>
  <Characters>126739</Characters>
  <Application>Microsoft Office Word</Application>
  <DocSecurity>4</DocSecurity>
  <Lines>1056</Lines>
  <Paragraphs>297</Paragraphs>
  <ScaleCrop>false</ScaleCrop>
  <HeadingPairs>
    <vt:vector size="2" baseType="variant">
      <vt:variant>
        <vt:lpstr>Title</vt:lpstr>
      </vt:variant>
      <vt:variant>
        <vt:i4>1</vt:i4>
      </vt:variant>
    </vt:vector>
  </HeadingPairs>
  <TitlesOfParts>
    <vt:vector size="1" baseType="lpstr">
      <vt:lpstr>Evaluation of the Rural Research and Development (R&amp;D) for Profit program</vt:lpstr>
    </vt:vector>
  </TitlesOfParts>
  <Company>Microsoft</Company>
  <LinksUpToDate>false</LinksUpToDate>
  <CharactersWithSpaces>148676</CharactersWithSpaces>
  <SharedDoc>false</SharedDoc>
  <HLinks>
    <vt:vector size="18" baseType="variant">
      <vt:variant>
        <vt:i4>2424945</vt:i4>
      </vt:variant>
      <vt:variant>
        <vt:i4>69</vt:i4>
      </vt:variant>
      <vt:variant>
        <vt:i4>0</vt:i4>
      </vt:variant>
      <vt:variant>
        <vt:i4>5</vt:i4>
      </vt:variant>
      <vt:variant>
        <vt:lpwstr>http://www.linkedin.com/company/grosvenor-management-consulting</vt:lpwstr>
      </vt:variant>
      <vt:variant>
        <vt:lpwstr/>
      </vt:variant>
      <vt:variant>
        <vt:i4>8323127</vt:i4>
      </vt:variant>
      <vt:variant>
        <vt:i4>63</vt:i4>
      </vt:variant>
      <vt:variant>
        <vt:i4>0</vt:i4>
      </vt:variant>
      <vt:variant>
        <vt:i4>5</vt:i4>
      </vt:variant>
      <vt:variant>
        <vt:lpwstr>https://twitter.com/GrosvenorMC</vt:lpwstr>
      </vt:variant>
      <vt:variant>
        <vt:lpwstr/>
      </vt:variant>
      <vt:variant>
        <vt:i4>3145791</vt:i4>
      </vt:variant>
      <vt:variant>
        <vt:i4>57</vt:i4>
      </vt:variant>
      <vt:variant>
        <vt:i4>0</vt:i4>
      </vt:variant>
      <vt:variant>
        <vt:i4>5</vt:i4>
      </vt:variant>
      <vt:variant>
        <vt:lpwstr>http://www.grosvenor.com.au/subscribe/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Rural Research and Development (R&amp;D) for Profit program</dc:title>
  <dc:creator>Grosvenor Management Consulting</dc:creator>
  <cp:lastModifiedBy>Watt, Stuart</cp:lastModifiedBy>
  <cp:revision>2</cp:revision>
  <cp:lastPrinted>2017-12-14T03:00:00Z</cp:lastPrinted>
  <dcterms:created xsi:type="dcterms:W3CDTF">2018-01-12T03:09:00Z</dcterms:created>
  <dcterms:modified xsi:type="dcterms:W3CDTF">2018-01-12T03:09:00Z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