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E394F61" w:rsidR="000C3428" w:rsidRDefault="004D6125" w:rsidP="006C181F">
      <w:pPr>
        <w:pStyle w:val="Heading1"/>
      </w:pPr>
      <w:r>
        <w:t xml:space="preserve">Wild Caught </w:t>
      </w:r>
      <w:r w:rsidR="008F4732">
        <w:t>Green</w:t>
      </w:r>
      <w:r w:rsidR="00CF70AA">
        <w:t xml:space="preserve"> Lip Abalone</w:t>
      </w:r>
      <w:r w:rsidR="000C3428" w:rsidRPr="00F811BA">
        <w:t xml:space="preserve"> residue testing </w:t>
      </w:r>
      <w:r w:rsidR="00D01139">
        <w:t xml:space="preserve">annual </w:t>
      </w:r>
      <w:r w:rsidR="008F4732">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w:t>
      </w:r>
      <w:bookmarkStart w:id="0" w:name="_GoBack"/>
      <w:bookmarkEnd w:id="0"/>
      <w:r w:rsidRPr="00DE4090">
        <w:t>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821B54" w:rsidRDefault="00C343FA" w:rsidP="00821B54">
      <w:pPr>
        <w:pStyle w:val="Caption"/>
      </w:pPr>
      <w:r w:rsidRPr="00821B54">
        <w:t>Table 1</w:t>
      </w:r>
      <w:r w:rsidR="00C460A1" w:rsidRPr="00821B54">
        <w:t xml:space="preserve"> Metals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51"/>
        <w:gridCol w:w="1276"/>
        <w:gridCol w:w="992"/>
        <w:gridCol w:w="992"/>
        <w:gridCol w:w="1276"/>
        <w:gridCol w:w="1134"/>
        <w:gridCol w:w="992"/>
      </w:tblGrid>
      <w:tr w:rsidR="00C460A1" w14:paraId="716F0C3E" w14:textId="77777777" w:rsidTr="00247324">
        <w:trPr>
          <w:cantSplit/>
          <w:tblHeader/>
        </w:trPr>
        <w:tc>
          <w:tcPr>
            <w:tcW w:w="1701" w:type="dxa"/>
            <w:shd w:val="clear" w:color="auto" w:fill="BED6DB"/>
          </w:tcPr>
          <w:p w14:paraId="53A01734" w14:textId="77777777" w:rsidR="00C460A1" w:rsidRDefault="00C460A1" w:rsidP="00F01C5A">
            <w:pPr>
              <w:pStyle w:val="TableHeading"/>
            </w:pPr>
            <w:r w:rsidRPr="00007FF2">
              <w:t>Chemical</w:t>
            </w:r>
          </w:p>
        </w:tc>
        <w:tc>
          <w:tcPr>
            <w:tcW w:w="851" w:type="dxa"/>
            <w:shd w:val="clear" w:color="auto" w:fill="BED6DB"/>
          </w:tcPr>
          <w:p w14:paraId="3FA6F95C" w14:textId="77777777" w:rsidR="00C460A1" w:rsidRDefault="00C460A1" w:rsidP="00F01C5A">
            <w:pPr>
              <w:pStyle w:val="TableHeading"/>
            </w:pPr>
            <w:r w:rsidRPr="00007FF2">
              <w:t>Matrix</w:t>
            </w:r>
          </w:p>
        </w:tc>
        <w:tc>
          <w:tcPr>
            <w:tcW w:w="1276" w:type="dxa"/>
            <w:shd w:val="clear" w:color="auto" w:fill="BED6DB"/>
          </w:tcPr>
          <w:p w14:paraId="03B9259A" w14:textId="77777777" w:rsidR="00C460A1" w:rsidRDefault="00C460A1" w:rsidP="00F01C5A">
            <w:pPr>
              <w:pStyle w:val="TableHeading"/>
            </w:pPr>
            <w:r w:rsidRPr="00007FF2">
              <w:t>LOR (mg/kg)</w:t>
            </w:r>
          </w:p>
        </w:tc>
        <w:tc>
          <w:tcPr>
            <w:tcW w:w="992"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276"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34"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2" w:type="dxa"/>
            <w:shd w:val="clear" w:color="auto" w:fill="BED6DB"/>
          </w:tcPr>
          <w:p w14:paraId="03766E38" w14:textId="77777777" w:rsidR="00C460A1" w:rsidRPr="00007FF2" w:rsidRDefault="00C460A1" w:rsidP="00F01C5A">
            <w:pPr>
              <w:pStyle w:val="TableHeading"/>
              <w:jc w:val="right"/>
            </w:pPr>
            <w:r>
              <w:t>&gt; MRL</w:t>
            </w:r>
          </w:p>
        </w:tc>
      </w:tr>
      <w:tr w:rsidR="00773AB3" w14:paraId="131AAB28" w14:textId="77777777" w:rsidTr="00247324">
        <w:tc>
          <w:tcPr>
            <w:tcW w:w="1701" w:type="dxa"/>
          </w:tcPr>
          <w:p w14:paraId="4C35A5AD" w14:textId="48D68F4A" w:rsidR="00773AB3" w:rsidRDefault="00773AB3" w:rsidP="00773AB3">
            <w:pPr>
              <w:pStyle w:val="TableText"/>
            </w:pPr>
            <w:r w:rsidRPr="000D4CF3">
              <w:t>antimony</w:t>
            </w:r>
          </w:p>
        </w:tc>
        <w:tc>
          <w:tcPr>
            <w:tcW w:w="851" w:type="dxa"/>
          </w:tcPr>
          <w:p w14:paraId="4121C121" w14:textId="616DC69F" w:rsidR="00773AB3" w:rsidRDefault="00773AB3" w:rsidP="00773AB3">
            <w:pPr>
              <w:pStyle w:val="TableText"/>
            </w:pPr>
            <w:r>
              <w:t>f</w:t>
            </w:r>
            <w:r w:rsidRPr="000D4CF3">
              <w:t>lesh</w:t>
            </w:r>
          </w:p>
        </w:tc>
        <w:tc>
          <w:tcPr>
            <w:tcW w:w="1276" w:type="dxa"/>
          </w:tcPr>
          <w:p w14:paraId="46FADC50" w14:textId="028821EC" w:rsidR="00773AB3" w:rsidRDefault="00773AB3" w:rsidP="00773AB3">
            <w:pPr>
              <w:pStyle w:val="TableText"/>
            </w:pPr>
            <w:r w:rsidRPr="000D4CF3">
              <w:t>0.01</w:t>
            </w:r>
          </w:p>
        </w:tc>
        <w:tc>
          <w:tcPr>
            <w:tcW w:w="992" w:type="dxa"/>
          </w:tcPr>
          <w:p w14:paraId="20E2D449" w14:textId="6D5A18F6" w:rsidR="00773AB3" w:rsidRDefault="00773AB3" w:rsidP="00773AB3">
            <w:pPr>
              <w:pStyle w:val="TableText"/>
            </w:pPr>
            <w:r>
              <w:t>n</w:t>
            </w:r>
            <w:r w:rsidRPr="000D4CF3">
              <w:t xml:space="preserve">o </w:t>
            </w:r>
            <w:r>
              <w:t>l</w:t>
            </w:r>
            <w:r w:rsidRPr="000D4CF3">
              <w:t>imit</w:t>
            </w:r>
          </w:p>
        </w:tc>
        <w:tc>
          <w:tcPr>
            <w:tcW w:w="992" w:type="dxa"/>
          </w:tcPr>
          <w:p w14:paraId="38F6CB96" w14:textId="09C481A6" w:rsidR="00773AB3" w:rsidRDefault="00773AB3" w:rsidP="00773AB3">
            <w:pPr>
              <w:pStyle w:val="TableText"/>
              <w:jc w:val="right"/>
            </w:pPr>
            <w:r w:rsidRPr="000D4CF3">
              <w:t>10</w:t>
            </w:r>
          </w:p>
        </w:tc>
        <w:tc>
          <w:tcPr>
            <w:tcW w:w="1276" w:type="dxa"/>
          </w:tcPr>
          <w:p w14:paraId="6EED15E0" w14:textId="0701932A" w:rsidR="00773AB3" w:rsidRDefault="00773AB3" w:rsidP="00773AB3">
            <w:pPr>
              <w:pStyle w:val="TableText"/>
              <w:jc w:val="right"/>
            </w:pPr>
            <w:r w:rsidRPr="000D4CF3">
              <w:t>0</w:t>
            </w:r>
          </w:p>
        </w:tc>
        <w:tc>
          <w:tcPr>
            <w:tcW w:w="1134" w:type="dxa"/>
          </w:tcPr>
          <w:p w14:paraId="186D3128" w14:textId="174D8894" w:rsidR="00773AB3" w:rsidRPr="00263A13" w:rsidRDefault="00773AB3" w:rsidP="00773AB3">
            <w:pPr>
              <w:pStyle w:val="TableText"/>
              <w:jc w:val="right"/>
            </w:pPr>
            <w:r w:rsidRPr="000D4CF3">
              <w:t>0</w:t>
            </w:r>
          </w:p>
        </w:tc>
        <w:tc>
          <w:tcPr>
            <w:tcW w:w="992" w:type="dxa"/>
          </w:tcPr>
          <w:p w14:paraId="30038BE5" w14:textId="26EB1020" w:rsidR="00773AB3" w:rsidRPr="00263A13" w:rsidRDefault="00773AB3" w:rsidP="00773AB3">
            <w:pPr>
              <w:pStyle w:val="TableText"/>
              <w:jc w:val="right"/>
            </w:pPr>
            <w:r w:rsidRPr="000D4CF3">
              <w:t>0</w:t>
            </w:r>
          </w:p>
        </w:tc>
      </w:tr>
      <w:tr w:rsidR="00773AB3" w14:paraId="5182021A" w14:textId="77777777" w:rsidTr="00247324">
        <w:tc>
          <w:tcPr>
            <w:tcW w:w="1701" w:type="dxa"/>
          </w:tcPr>
          <w:p w14:paraId="0124E4A4" w14:textId="174B7494" w:rsidR="00773AB3" w:rsidRDefault="00773AB3" w:rsidP="00773AB3">
            <w:pPr>
              <w:pStyle w:val="TableText"/>
            </w:pPr>
            <w:r w:rsidRPr="000D4CF3">
              <w:t>arsenic (inorganic)</w:t>
            </w:r>
          </w:p>
        </w:tc>
        <w:tc>
          <w:tcPr>
            <w:tcW w:w="851" w:type="dxa"/>
          </w:tcPr>
          <w:p w14:paraId="7F642983" w14:textId="31E7220D" w:rsidR="00773AB3" w:rsidRDefault="00773AB3" w:rsidP="00773AB3">
            <w:pPr>
              <w:pStyle w:val="TableText"/>
            </w:pPr>
            <w:r>
              <w:t>f</w:t>
            </w:r>
            <w:r w:rsidRPr="000D4CF3">
              <w:t>lesh</w:t>
            </w:r>
          </w:p>
        </w:tc>
        <w:tc>
          <w:tcPr>
            <w:tcW w:w="1276" w:type="dxa"/>
          </w:tcPr>
          <w:p w14:paraId="409980CD" w14:textId="72E67B57" w:rsidR="00773AB3" w:rsidRDefault="00773AB3" w:rsidP="00773AB3">
            <w:pPr>
              <w:pStyle w:val="TableText"/>
            </w:pPr>
            <w:r w:rsidRPr="000D4CF3">
              <w:t>0.05</w:t>
            </w:r>
          </w:p>
        </w:tc>
        <w:tc>
          <w:tcPr>
            <w:tcW w:w="992" w:type="dxa"/>
          </w:tcPr>
          <w:p w14:paraId="5BEF0160" w14:textId="724756C7" w:rsidR="00773AB3" w:rsidRDefault="00773AB3" w:rsidP="00773AB3">
            <w:pPr>
              <w:pStyle w:val="TableText"/>
            </w:pPr>
            <w:r w:rsidRPr="000D4CF3">
              <w:t>1</w:t>
            </w:r>
          </w:p>
        </w:tc>
        <w:tc>
          <w:tcPr>
            <w:tcW w:w="992" w:type="dxa"/>
          </w:tcPr>
          <w:p w14:paraId="7B14B5F5" w14:textId="5F137B3B" w:rsidR="00773AB3" w:rsidRDefault="00773AB3" w:rsidP="00773AB3">
            <w:pPr>
              <w:pStyle w:val="TableText"/>
              <w:jc w:val="right"/>
            </w:pPr>
            <w:r w:rsidRPr="000D4CF3">
              <w:t>1</w:t>
            </w:r>
          </w:p>
        </w:tc>
        <w:tc>
          <w:tcPr>
            <w:tcW w:w="1276" w:type="dxa"/>
          </w:tcPr>
          <w:p w14:paraId="64958265" w14:textId="78F43C9B" w:rsidR="00773AB3" w:rsidRDefault="00773AB3" w:rsidP="00773AB3">
            <w:pPr>
              <w:pStyle w:val="TableText"/>
              <w:jc w:val="right"/>
            </w:pPr>
            <w:r w:rsidRPr="000D4CF3">
              <w:t>0</w:t>
            </w:r>
          </w:p>
        </w:tc>
        <w:tc>
          <w:tcPr>
            <w:tcW w:w="1134" w:type="dxa"/>
          </w:tcPr>
          <w:p w14:paraId="56B84969" w14:textId="61CF99F6" w:rsidR="00773AB3" w:rsidRPr="00263A13" w:rsidRDefault="00773AB3" w:rsidP="00773AB3">
            <w:pPr>
              <w:pStyle w:val="TableText"/>
              <w:jc w:val="right"/>
            </w:pPr>
            <w:r w:rsidRPr="000D4CF3">
              <w:t>0</w:t>
            </w:r>
          </w:p>
        </w:tc>
        <w:tc>
          <w:tcPr>
            <w:tcW w:w="992" w:type="dxa"/>
          </w:tcPr>
          <w:p w14:paraId="76E5307C" w14:textId="172ADD6F" w:rsidR="00773AB3" w:rsidRPr="00263A13" w:rsidRDefault="00773AB3" w:rsidP="00773AB3">
            <w:pPr>
              <w:pStyle w:val="TableText"/>
              <w:jc w:val="right"/>
            </w:pPr>
            <w:r w:rsidRPr="000D4CF3">
              <w:t>0</w:t>
            </w:r>
          </w:p>
        </w:tc>
      </w:tr>
      <w:tr w:rsidR="00773AB3" w14:paraId="2A6925F8" w14:textId="77777777" w:rsidTr="00247324">
        <w:tc>
          <w:tcPr>
            <w:tcW w:w="1701" w:type="dxa"/>
          </w:tcPr>
          <w:p w14:paraId="34D22B4A" w14:textId="09392507" w:rsidR="00773AB3" w:rsidRPr="00930A01" w:rsidRDefault="00773AB3" w:rsidP="00773AB3">
            <w:pPr>
              <w:pStyle w:val="TableText"/>
            </w:pPr>
            <w:r w:rsidRPr="000D4CF3">
              <w:t>arsenic (total)</w:t>
            </w:r>
          </w:p>
        </w:tc>
        <w:tc>
          <w:tcPr>
            <w:tcW w:w="851" w:type="dxa"/>
          </w:tcPr>
          <w:p w14:paraId="7DD3962A" w14:textId="524A14E4" w:rsidR="00773AB3" w:rsidRPr="00930A01" w:rsidRDefault="00773AB3" w:rsidP="00773AB3">
            <w:pPr>
              <w:pStyle w:val="TableText"/>
            </w:pPr>
            <w:r>
              <w:t>f</w:t>
            </w:r>
            <w:r w:rsidRPr="000D4CF3">
              <w:t>lesh</w:t>
            </w:r>
          </w:p>
        </w:tc>
        <w:tc>
          <w:tcPr>
            <w:tcW w:w="1276" w:type="dxa"/>
          </w:tcPr>
          <w:p w14:paraId="3934B2C2" w14:textId="1AFCBE7D" w:rsidR="00773AB3" w:rsidRPr="00930A01" w:rsidRDefault="00773AB3" w:rsidP="00773AB3">
            <w:pPr>
              <w:pStyle w:val="TableText"/>
            </w:pPr>
            <w:r w:rsidRPr="000D4CF3">
              <w:t>0.05</w:t>
            </w:r>
          </w:p>
        </w:tc>
        <w:tc>
          <w:tcPr>
            <w:tcW w:w="992" w:type="dxa"/>
          </w:tcPr>
          <w:p w14:paraId="35BA8CBA" w14:textId="2A4C362B" w:rsidR="00773AB3" w:rsidRPr="00930A01" w:rsidRDefault="00773AB3" w:rsidP="00773AB3">
            <w:pPr>
              <w:pStyle w:val="TableText"/>
            </w:pPr>
            <w:r>
              <w:t>no l</w:t>
            </w:r>
            <w:r w:rsidRPr="000D4CF3">
              <w:t>imit</w:t>
            </w:r>
          </w:p>
        </w:tc>
        <w:tc>
          <w:tcPr>
            <w:tcW w:w="992" w:type="dxa"/>
          </w:tcPr>
          <w:p w14:paraId="50B583A7" w14:textId="028F9C5F" w:rsidR="00773AB3" w:rsidRPr="00930A01" w:rsidRDefault="00773AB3" w:rsidP="00773AB3">
            <w:pPr>
              <w:pStyle w:val="TableText"/>
              <w:jc w:val="right"/>
            </w:pPr>
            <w:r w:rsidRPr="000D4CF3">
              <w:t>10</w:t>
            </w:r>
          </w:p>
        </w:tc>
        <w:tc>
          <w:tcPr>
            <w:tcW w:w="1276" w:type="dxa"/>
          </w:tcPr>
          <w:p w14:paraId="5E886D77" w14:textId="5E01A600" w:rsidR="00773AB3" w:rsidRPr="00930A01" w:rsidRDefault="00773AB3" w:rsidP="00773AB3">
            <w:pPr>
              <w:pStyle w:val="TableText"/>
              <w:jc w:val="right"/>
            </w:pPr>
            <w:r w:rsidRPr="000D4CF3">
              <w:t>10</w:t>
            </w:r>
          </w:p>
        </w:tc>
        <w:tc>
          <w:tcPr>
            <w:tcW w:w="1134" w:type="dxa"/>
          </w:tcPr>
          <w:p w14:paraId="32DC593B" w14:textId="39FAFCDA" w:rsidR="00773AB3" w:rsidRPr="00930A01" w:rsidRDefault="00773AB3" w:rsidP="00773AB3">
            <w:pPr>
              <w:pStyle w:val="TableText"/>
              <w:jc w:val="right"/>
            </w:pPr>
            <w:r w:rsidRPr="000D4CF3">
              <w:t>0</w:t>
            </w:r>
          </w:p>
        </w:tc>
        <w:tc>
          <w:tcPr>
            <w:tcW w:w="992" w:type="dxa"/>
          </w:tcPr>
          <w:p w14:paraId="4A57EE98" w14:textId="131AFEB3" w:rsidR="00773AB3" w:rsidRPr="00930A01" w:rsidRDefault="00773AB3" w:rsidP="00773AB3">
            <w:pPr>
              <w:pStyle w:val="TableText"/>
              <w:jc w:val="right"/>
            </w:pPr>
            <w:r w:rsidRPr="000D4CF3">
              <w:t>0</w:t>
            </w:r>
          </w:p>
        </w:tc>
      </w:tr>
      <w:tr w:rsidR="00773AB3" w14:paraId="307DC2CC" w14:textId="77777777" w:rsidTr="00247324">
        <w:tc>
          <w:tcPr>
            <w:tcW w:w="1701" w:type="dxa"/>
          </w:tcPr>
          <w:p w14:paraId="1EE27263" w14:textId="491F5F9E" w:rsidR="00773AB3" w:rsidRPr="00930A01" w:rsidRDefault="00773AB3" w:rsidP="00773AB3">
            <w:pPr>
              <w:pStyle w:val="TableText"/>
            </w:pPr>
            <w:r w:rsidRPr="000D4CF3">
              <w:t>cadmium</w:t>
            </w:r>
          </w:p>
        </w:tc>
        <w:tc>
          <w:tcPr>
            <w:tcW w:w="851" w:type="dxa"/>
          </w:tcPr>
          <w:p w14:paraId="704B0AE4" w14:textId="2D424AFF" w:rsidR="00773AB3" w:rsidRPr="00930A01" w:rsidRDefault="00773AB3" w:rsidP="00773AB3">
            <w:pPr>
              <w:pStyle w:val="TableText"/>
            </w:pPr>
            <w:r>
              <w:t>f</w:t>
            </w:r>
            <w:r w:rsidRPr="000D4CF3">
              <w:t>lesh</w:t>
            </w:r>
          </w:p>
        </w:tc>
        <w:tc>
          <w:tcPr>
            <w:tcW w:w="1276" w:type="dxa"/>
          </w:tcPr>
          <w:p w14:paraId="09EDBF3F" w14:textId="5245952B" w:rsidR="00773AB3" w:rsidRPr="00930A01" w:rsidRDefault="00773AB3" w:rsidP="00773AB3">
            <w:pPr>
              <w:pStyle w:val="TableText"/>
            </w:pPr>
            <w:r w:rsidRPr="000D4CF3">
              <w:t>0.01</w:t>
            </w:r>
          </w:p>
        </w:tc>
        <w:tc>
          <w:tcPr>
            <w:tcW w:w="992" w:type="dxa"/>
          </w:tcPr>
          <w:p w14:paraId="00CE9574" w14:textId="73022439" w:rsidR="00773AB3" w:rsidRPr="00930A01" w:rsidRDefault="00773AB3" w:rsidP="00773AB3">
            <w:pPr>
              <w:pStyle w:val="TableText"/>
            </w:pPr>
            <w:r w:rsidRPr="000D4CF3">
              <w:t>2</w:t>
            </w:r>
          </w:p>
        </w:tc>
        <w:tc>
          <w:tcPr>
            <w:tcW w:w="992" w:type="dxa"/>
          </w:tcPr>
          <w:p w14:paraId="10483426" w14:textId="60907019" w:rsidR="00773AB3" w:rsidRPr="00930A01" w:rsidRDefault="00773AB3" w:rsidP="00773AB3">
            <w:pPr>
              <w:pStyle w:val="TableText"/>
              <w:jc w:val="right"/>
            </w:pPr>
            <w:r w:rsidRPr="000D4CF3">
              <w:t>10</w:t>
            </w:r>
          </w:p>
        </w:tc>
        <w:tc>
          <w:tcPr>
            <w:tcW w:w="1276" w:type="dxa"/>
          </w:tcPr>
          <w:p w14:paraId="3D054157" w14:textId="6E12928C" w:rsidR="00773AB3" w:rsidRPr="00930A01" w:rsidRDefault="00773AB3" w:rsidP="00773AB3">
            <w:pPr>
              <w:pStyle w:val="TableText"/>
              <w:jc w:val="right"/>
            </w:pPr>
            <w:r w:rsidRPr="000D4CF3">
              <w:t>10</w:t>
            </w:r>
          </w:p>
        </w:tc>
        <w:tc>
          <w:tcPr>
            <w:tcW w:w="1134" w:type="dxa"/>
          </w:tcPr>
          <w:p w14:paraId="0DA87A0B" w14:textId="0E6D5227" w:rsidR="00773AB3" w:rsidRPr="00930A01" w:rsidRDefault="00773AB3" w:rsidP="00773AB3">
            <w:pPr>
              <w:pStyle w:val="TableText"/>
              <w:jc w:val="right"/>
            </w:pPr>
            <w:r w:rsidRPr="000D4CF3">
              <w:t>0</w:t>
            </w:r>
          </w:p>
        </w:tc>
        <w:tc>
          <w:tcPr>
            <w:tcW w:w="992" w:type="dxa"/>
          </w:tcPr>
          <w:p w14:paraId="135EA21C" w14:textId="67EF179B" w:rsidR="00773AB3" w:rsidRPr="00930A01" w:rsidRDefault="00773AB3" w:rsidP="00773AB3">
            <w:pPr>
              <w:pStyle w:val="TableText"/>
              <w:jc w:val="right"/>
            </w:pPr>
            <w:r w:rsidRPr="000D4CF3">
              <w:t>0</w:t>
            </w:r>
          </w:p>
        </w:tc>
      </w:tr>
      <w:tr w:rsidR="00773AB3" w14:paraId="560104B2" w14:textId="77777777" w:rsidTr="00247324">
        <w:tc>
          <w:tcPr>
            <w:tcW w:w="1701" w:type="dxa"/>
          </w:tcPr>
          <w:p w14:paraId="63A6CF8B" w14:textId="1A892E97" w:rsidR="00773AB3" w:rsidRPr="00930A01" w:rsidRDefault="00773AB3" w:rsidP="00773AB3">
            <w:pPr>
              <w:pStyle w:val="TableText"/>
            </w:pPr>
            <w:r w:rsidRPr="000D4CF3">
              <w:t>chromium</w:t>
            </w:r>
          </w:p>
        </w:tc>
        <w:tc>
          <w:tcPr>
            <w:tcW w:w="851" w:type="dxa"/>
          </w:tcPr>
          <w:p w14:paraId="1174F39F" w14:textId="3C9273D8" w:rsidR="00773AB3" w:rsidRPr="00930A01" w:rsidRDefault="00773AB3" w:rsidP="00773AB3">
            <w:pPr>
              <w:pStyle w:val="TableText"/>
            </w:pPr>
            <w:r>
              <w:t>f</w:t>
            </w:r>
            <w:r w:rsidRPr="000D4CF3">
              <w:t>lesh</w:t>
            </w:r>
          </w:p>
        </w:tc>
        <w:tc>
          <w:tcPr>
            <w:tcW w:w="1276" w:type="dxa"/>
          </w:tcPr>
          <w:p w14:paraId="4EB2D25C" w14:textId="70C9B479" w:rsidR="00773AB3" w:rsidRPr="00930A01" w:rsidRDefault="00773AB3" w:rsidP="00773AB3">
            <w:pPr>
              <w:pStyle w:val="TableText"/>
            </w:pPr>
            <w:r w:rsidRPr="000D4CF3">
              <w:t>0.05</w:t>
            </w:r>
          </w:p>
        </w:tc>
        <w:tc>
          <w:tcPr>
            <w:tcW w:w="992" w:type="dxa"/>
          </w:tcPr>
          <w:p w14:paraId="3D3CE4B8" w14:textId="4E2EADF2" w:rsidR="00773AB3" w:rsidRPr="00930A01" w:rsidRDefault="00773AB3" w:rsidP="00773AB3">
            <w:pPr>
              <w:pStyle w:val="TableText"/>
            </w:pPr>
            <w:r>
              <w:t>no l</w:t>
            </w:r>
            <w:r w:rsidRPr="000D4CF3">
              <w:t>imit</w:t>
            </w:r>
          </w:p>
        </w:tc>
        <w:tc>
          <w:tcPr>
            <w:tcW w:w="992" w:type="dxa"/>
          </w:tcPr>
          <w:p w14:paraId="641F43C1" w14:textId="03AC9D54" w:rsidR="00773AB3" w:rsidRPr="00930A01" w:rsidRDefault="00773AB3" w:rsidP="00773AB3">
            <w:pPr>
              <w:pStyle w:val="TableText"/>
              <w:jc w:val="right"/>
            </w:pPr>
            <w:r w:rsidRPr="000D4CF3">
              <w:t>10</w:t>
            </w:r>
          </w:p>
        </w:tc>
        <w:tc>
          <w:tcPr>
            <w:tcW w:w="1276" w:type="dxa"/>
          </w:tcPr>
          <w:p w14:paraId="1E7725F2" w14:textId="29441079" w:rsidR="00773AB3" w:rsidRPr="00930A01" w:rsidRDefault="00773AB3" w:rsidP="00773AB3">
            <w:pPr>
              <w:pStyle w:val="TableText"/>
              <w:jc w:val="right"/>
            </w:pPr>
            <w:r w:rsidRPr="000D4CF3">
              <w:t>10</w:t>
            </w:r>
          </w:p>
        </w:tc>
        <w:tc>
          <w:tcPr>
            <w:tcW w:w="1134" w:type="dxa"/>
          </w:tcPr>
          <w:p w14:paraId="5BF77ECB" w14:textId="237C5377" w:rsidR="00773AB3" w:rsidRPr="00930A01" w:rsidRDefault="00773AB3" w:rsidP="00773AB3">
            <w:pPr>
              <w:pStyle w:val="TableText"/>
              <w:jc w:val="right"/>
            </w:pPr>
            <w:r w:rsidRPr="000D4CF3">
              <w:t>0</w:t>
            </w:r>
          </w:p>
        </w:tc>
        <w:tc>
          <w:tcPr>
            <w:tcW w:w="992" w:type="dxa"/>
          </w:tcPr>
          <w:p w14:paraId="40C80F55" w14:textId="15302C6E" w:rsidR="00773AB3" w:rsidRPr="00930A01" w:rsidRDefault="00773AB3" w:rsidP="00773AB3">
            <w:pPr>
              <w:pStyle w:val="TableText"/>
              <w:jc w:val="right"/>
            </w:pPr>
            <w:r w:rsidRPr="000D4CF3">
              <w:t>0</w:t>
            </w:r>
          </w:p>
        </w:tc>
      </w:tr>
      <w:tr w:rsidR="00773AB3" w14:paraId="6178FDB4" w14:textId="77777777" w:rsidTr="00247324">
        <w:tc>
          <w:tcPr>
            <w:tcW w:w="1701" w:type="dxa"/>
          </w:tcPr>
          <w:p w14:paraId="001E122F" w14:textId="53BD99CE" w:rsidR="00773AB3" w:rsidRPr="00930A01" w:rsidRDefault="00773AB3" w:rsidP="00773AB3">
            <w:pPr>
              <w:pStyle w:val="TableText"/>
            </w:pPr>
            <w:r w:rsidRPr="000D4CF3">
              <w:t>lead</w:t>
            </w:r>
          </w:p>
        </w:tc>
        <w:tc>
          <w:tcPr>
            <w:tcW w:w="851" w:type="dxa"/>
          </w:tcPr>
          <w:p w14:paraId="1CAC4FAC" w14:textId="2A325CF6" w:rsidR="00773AB3" w:rsidRPr="00930A01" w:rsidRDefault="00773AB3" w:rsidP="00773AB3">
            <w:pPr>
              <w:pStyle w:val="TableText"/>
            </w:pPr>
            <w:r>
              <w:t>f</w:t>
            </w:r>
            <w:r w:rsidRPr="000D4CF3">
              <w:t>lesh</w:t>
            </w:r>
          </w:p>
        </w:tc>
        <w:tc>
          <w:tcPr>
            <w:tcW w:w="1276" w:type="dxa"/>
          </w:tcPr>
          <w:p w14:paraId="19792E9D" w14:textId="2DDBD145" w:rsidR="00773AB3" w:rsidRPr="00930A01" w:rsidRDefault="00773AB3" w:rsidP="00773AB3">
            <w:pPr>
              <w:pStyle w:val="TableText"/>
            </w:pPr>
            <w:r w:rsidRPr="000D4CF3">
              <w:t>0.01</w:t>
            </w:r>
          </w:p>
        </w:tc>
        <w:tc>
          <w:tcPr>
            <w:tcW w:w="992" w:type="dxa"/>
          </w:tcPr>
          <w:p w14:paraId="58FDF694" w14:textId="1D21A4A5" w:rsidR="00773AB3" w:rsidRPr="00930A01" w:rsidRDefault="00773AB3" w:rsidP="00773AB3">
            <w:pPr>
              <w:pStyle w:val="TableText"/>
            </w:pPr>
            <w:r w:rsidRPr="000D4CF3">
              <w:t>2</w:t>
            </w:r>
          </w:p>
        </w:tc>
        <w:tc>
          <w:tcPr>
            <w:tcW w:w="992" w:type="dxa"/>
          </w:tcPr>
          <w:p w14:paraId="21E978CA" w14:textId="1B7D4836" w:rsidR="00773AB3" w:rsidRPr="00930A01" w:rsidRDefault="00773AB3" w:rsidP="00773AB3">
            <w:pPr>
              <w:pStyle w:val="TableText"/>
              <w:jc w:val="right"/>
            </w:pPr>
            <w:r w:rsidRPr="000D4CF3">
              <w:t>10</w:t>
            </w:r>
          </w:p>
        </w:tc>
        <w:tc>
          <w:tcPr>
            <w:tcW w:w="1276" w:type="dxa"/>
          </w:tcPr>
          <w:p w14:paraId="14CB9BE0" w14:textId="572284E7" w:rsidR="00773AB3" w:rsidRPr="00930A01" w:rsidRDefault="00773AB3" w:rsidP="00773AB3">
            <w:pPr>
              <w:pStyle w:val="TableText"/>
              <w:jc w:val="right"/>
            </w:pPr>
            <w:r w:rsidRPr="000D4CF3">
              <w:t>1</w:t>
            </w:r>
          </w:p>
        </w:tc>
        <w:tc>
          <w:tcPr>
            <w:tcW w:w="1134" w:type="dxa"/>
          </w:tcPr>
          <w:p w14:paraId="6227A695" w14:textId="68D380D2" w:rsidR="00773AB3" w:rsidRPr="00930A01" w:rsidRDefault="00773AB3" w:rsidP="00773AB3">
            <w:pPr>
              <w:pStyle w:val="TableText"/>
              <w:jc w:val="right"/>
            </w:pPr>
            <w:r w:rsidRPr="000D4CF3">
              <w:t>0</w:t>
            </w:r>
          </w:p>
        </w:tc>
        <w:tc>
          <w:tcPr>
            <w:tcW w:w="992" w:type="dxa"/>
          </w:tcPr>
          <w:p w14:paraId="262E838A" w14:textId="02378A0B" w:rsidR="00773AB3" w:rsidRPr="00930A01" w:rsidRDefault="00773AB3" w:rsidP="00773AB3">
            <w:pPr>
              <w:pStyle w:val="TableText"/>
              <w:jc w:val="right"/>
            </w:pPr>
            <w:r w:rsidRPr="000D4CF3">
              <w:t>0</w:t>
            </w:r>
          </w:p>
        </w:tc>
      </w:tr>
      <w:tr w:rsidR="00773AB3" w14:paraId="711820C9" w14:textId="77777777" w:rsidTr="00247324">
        <w:tc>
          <w:tcPr>
            <w:tcW w:w="1701" w:type="dxa"/>
          </w:tcPr>
          <w:p w14:paraId="79A9C18C" w14:textId="44EBE3ED" w:rsidR="00773AB3" w:rsidRPr="00930A01" w:rsidRDefault="00773AB3" w:rsidP="00773AB3">
            <w:pPr>
              <w:pStyle w:val="TableText"/>
            </w:pPr>
            <w:r w:rsidRPr="000D4CF3">
              <w:t>mercury (total)</w:t>
            </w:r>
          </w:p>
        </w:tc>
        <w:tc>
          <w:tcPr>
            <w:tcW w:w="851" w:type="dxa"/>
          </w:tcPr>
          <w:p w14:paraId="00730BED" w14:textId="4E745491" w:rsidR="00773AB3" w:rsidRPr="00930A01" w:rsidRDefault="00773AB3" w:rsidP="00773AB3">
            <w:pPr>
              <w:pStyle w:val="TableText"/>
            </w:pPr>
            <w:r>
              <w:t>f</w:t>
            </w:r>
            <w:r w:rsidRPr="000D4CF3">
              <w:t>lesh</w:t>
            </w:r>
          </w:p>
        </w:tc>
        <w:tc>
          <w:tcPr>
            <w:tcW w:w="1276" w:type="dxa"/>
          </w:tcPr>
          <w:p w14:paraId="589D4482" w14:textId="26A9B136" w:rsidR="00773AB3" w:rsidRPr="00930A01" w:rsidRDefault="00773AB3" w:rsidP="00773AB3">
            <w:pPr>
              <w:pStyle w:val="TableText"/>
            </w:pPr>
            <w:r w:rsidRPr="000D4CF3">
              <w:t>0.01</w:t>
            </w:r>
          </w:p>
        </w:tc>
        <w:tc>
          <w:tcPr>
            <w:tcW w:w="992" w:type="dxa"/>
          </w:tcPr>
          <w:p w14:paraId="245A1F06" w14:textId="3C9D2061" w:rsidR="00773AB3" w:rsidRPr="00930A01" w:rsidRDefault="00773AB3" w:rsidP="00773AB3">
            <w:pPr>
              <w:pStyle w:val="TableText"/>
            </w:pPr>
            <w:r w:rsidRPr="000D4CF3">
              <w:t>0.5</w:t>
            </w:r>
          </w:p>
        </w:tc>
        <w:tc>
          <w:tcPr>
            <w:tcW w:w="992" w:type="dxa"/>
          </w:tcPr>
          <w:p w14:paraId="3064E86C" w14:textId="7B2ED965" w:rsidR="00773AB3" w:rsidRPr="00930A01" w:rsidRDefault="00773AB3" w:rsidP="00773AB3">
            <w:pPr>
              <w:pStyle w:val="TableText"/>
              <w:jc w:val="right"/>
            </w:pPr>
            <w:r w:rsidRPr="000D4CF3">
              <w:t>10</w:t>
            </w:r>
          </w:p>
        </w:tc>
        <w:tc>
          <w:tcPr>
            <w:tcW w:w="1276" w:type="dxa"/>
          </w:tcPr>
          <w:p w14:paraId="2A353667" w14:textId="53857F90" w:rsidR="00773AB3" w:rsidRPr="00930A01" w:rsidRDefault="00773AB3" w:rsidP="00773AB3">
            <w:pPr>
              <w:pStyle w:val="TableText"/>
              <w:jc w:val="right"/>
            </w:pPr>
            <w:r w:rsidRPr="000D4CF3">
              <w:t>0</w:t>
            </w:r>
          </w:p>
        </w:tc>
        <w:tc>
          <w:tcPr>
            <w:tcW w:w="1134" w:type="dxa"/>
          </w:tcPr>
          <w:p w14:paraId="5674C59D" w14:textId="770EF03E" w:rsidR="00773AB3" w:rsidRPr="00930A01" w:rsidRDefault="00773AB3" w:rsidP="00773AB3">
            <w:pPr>
              <w:pStyle w:val="TableText"/>
              <w:jc w:val="right"/>
            </w:pPr>
            <w:r w:rsidRPr="000D4CF3">
              <w:t>0</w:t>
            </w:r>
          </w:p>
        </w:tc>
        <w:tc>
          <w:tcPr>
            <w:tcW w:w="992" w:type="dxa"/>
          </w:tcPr>
          <w:p w14:paraId="58CDFAB7" w14:textId="505683B4" w:rsidR="00773AB3" w:rsidRPr="00930A01" w:rsidRDefault="00773AB3" w:rsidP="00773AB3">
            <w:pPr>
              <w:pStyle w:val="TableText"/>
              <w:jc w:val="right"/>
            </w:pPr>
            <w:r w:rsidRPr="000D4CF3">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24732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324"/>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125"/>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3AB3"/>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1B54"/>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4732"/>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0AA"/>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1B61"/>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7DA25A1-23F6-4E2D-9C5D-66875BAE4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581BF8-4480-4EE8-B433-94EC9D85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5</cp:revision>
  <cp:lastPrinted>2016-10-18T05:07:00Z</cp:lastPrinted>
  <dcterms:created xsi:type="dcterms:W3CDTF">2017-11-21T02:45:00Z</dcterms:created>
  <dcterms:modified xsi:type="dcterms:W3CDTF">2017-11-27T04:28:00Z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