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20" w:line="240" w:lineRule="auto"/>
        <w:jc w:val="center"/>
        <w:rPr>
          <w:b/>
        </w:rPr>
      </w:pPr>
      <w:r>
        <w:rPr>
          <w:b/>
        </w:rPr>
        <w:t>Biosecurity Queensland Comments</w:t>
      </w:r>
    </w:p>
    <w:p>
      <w:pPr>
        <w:spacing w:after="120" w:line="240" w:lineRule="auto"/>
        <w:jc w:val="center"/>
        <w:rPr>
          <w:b/>
        </w:rPr>
      </w:pPr>
      <w:r>
        <w:rPr>
          <w:b/>
        </w:rPr>
        <w:t>National Marine Pest Biosecurity Review - Issues Paper</w:t>
      </w:r>
    </w:p>
    <w:p>
      <w:pPr>
        <w:jc w:val="center"/>
      </w:pPr>
      <w:r>
        <w:t>17 December 2014</w:t>
      </w:r>
    </w:p>
    <w:p>
      <w:pPr>
        <w:pStyle w:val="ListParagraph"/>
        <w:numPr>
          <w:ilvl w:val="0"/>
          <w:numId w:val="2"/>
        </w:numPr>
        <w:spacing w:after="0"/>
      </w:pPr>
      <w:r>
        <w:t>Biosecurity Queensland (BQ), Department of Agriculture, Fisheries and Forestry (DAFF) has primary carriage for marine pest management in Queensland, however a number of other State agencies also have an interest in marine pests management.</w:t>
      </w:r>
    </w:p>
    <w:p>
      <w:pPr>
        <w:pStyle w:val="ListParagraph"/>
        <w:numPr>
          <w:ilvl w:val="0"/>
          <w:numId w:val="2"/>
        </w:numPr>
        <w:spacing w:after="0"/>
      </w:pPr>
      <w:r>
        <w:t>A State agency working group was convened to discuss marine pest management issues and includes representatives from BQ, Fisheries Queensland (DAFF), Department of Environment and Heritage Protection (DEHP), Department of National Parks, Recreation, Sport and Racing (DNPRSR), Great Barrier Reef Marine Park Authority (GBRMPA). The group met to provide input on this submission.</w:t>
      </w:r>
    </w:p>
    <w:p>
      <w:pPr>
        <w:pStyle w:val="ListParagraph"/>
        <w:numPr>
          <w:ilvl w:val="0"/>
          <w:numId w:val="2"/>
        </w:numPr>
        <w:spacing w:after="0"/>
      </w:pPr>
      <w:r>
        <w:t>The major issues constraining marine pest management in Queensland have been identified as:</w:t>
      </w:r>
    </w:p>
    <w:p>
      <w:pPr>
        <w:pStyle w:val="ListParagraph"/>
        <w:numPr>
          <w:ilvl w:val="1"/>
          <w:numId w:val="2"/>
        </w:numPr>
        <w:spacing w:after="0"/>
      </w:pPr>
      <w:r>
        <w:t>lack of sufficient resources</w:t>
      </w:r>
    </w:p>
    <w:p>
      <w:pPr>
        <w:pStyle w:val="ListParagraph"/>
        <w:numPr>
          <w:ilvl w:val="1"/>
          <w:numId w:val="2"/>
        </w:numPr>
        <w:spacing w:after="0"/>
      </w:pPr>
      <w:r>
        <w:t>lack of a simple legislative framework to manages marine pests</w:t>
      </w:r>
    </w:p>
    <w:p>
      <w:pPr>
        <w:pStyle w:val="ListParagraph"/>
        <w:numPr>
          <w:ilvl w:val="1"/>
          <w:numId w:val="2"/>
        </w:numPr>
        <w:spacing w:after="0"/>
      </w:pPr>
      <w:r>
        <w:t>ability to adequately monitor</w:t>
      </w:r>
    </w:p>
    <w:p>
      <w:pPr>
        <w:pStyle w:val="ListParagraph"/>
        <w:numPr>
          <w:ilvl w:val="1"/>
          <w:numId w:val="2"/>
        </w:numPr>
        <w:spacing w:after="0"/>
      </w:pPr>
      <w:r>
        <w:t>capacity to mount a response</w:t>
      </w:r>
    </w:p>
    <w:p>
      <w:pPr>
        <w:pStyle w:val="ListParagraph"/>
        <w:numPr>
          <w:ilvl w:val="1"/>
          <w:numId w:val="2"/>
        </w:numPr>
        <w:spacing w:after="0"/>
      </w:pPr>
      <w:r>
        <w:t>multiple major ports and a large coastline</w:t>
      </w:r>
    </w:p>
    <w:p>
      <w:pPr>
        <w:pStyle w:val="ListParagraph"/>
        <w:numPr>
          <w:ilvl w:val="1"/>
          <w:numId w:val="2"/>
        </w:numPr>
        <w:spacing w:after="0"/>
      </w:pPr>
      <w:r>
        <w:t>lack of awareness of marine pests and their potential impact</w:t>
      </w:r>
      <w:bookmarkStart w:id="0" w:name="_GoBack"/>
      <w:bookmarkEnd w:id="0"/>
    </w:p>
    <w:p>
      <w:pPr>
        <w:pStyle w:val="ListParagraph"/>
        <w:numPr>
          <w:ilvl w:val="0"/>
          <w:numId w:val="2"/>
        </w:numPr>
        <w:spacing w:after="0"/>
      </w:pPr>
      <w:r>
        <w:t xml:space="preserve">Queensland does not have good baseline monitoring information/data for which to detect marine pest incursions.  </w:t>
      </w:r>
    </w:p>
    <w:p>
      <w:pPr>
        <w:numPr>
          <w:ilvl w:val="0"/>
          <w:numId w:val="2"/>
        </w:numPr>
        <w:spacing w:after="0"/>
      </w:pPr>
      <w:r>
        <w:t>A large number of ports and a large coastline combined with limited resources means there is no capacity for co-ordinated, ongoing monitoring by government at a state level.</w:t>
      </w:r>
    </w:p>
    <w:p>
      <w:pPr>
        <w:pStyle w:val="ListParagraph"/>
        <w:numPr>
          <w:ilvl w:val="0"/>
          <w:numId w:val="2"/>
        </w:numPr>
        <w:spacing w:after="0"/>
      </w:pPr>
      <w:r>
        <w:t>Monitoring is considered an essential component of any effective marine pest management system as it not only enables the detection of introduced species; it also provides data valuable in determining its eradication potential.</w:t>
      </w:r>
    </w:p>
    <w:p>
      <w:pPr>
        <w:numPr>
          <w:ilvl w:val="0"/>
          <w:numId w:val="2"/>
        </w:numPr>
        <w:spacing w:after="0"/>
      </w:pPr>
      <w:r>
        <w:t xml:space="preserve">Monitoring across so many ports is not feasible for government. </w:t>
      </w:r>
    </w:p>
    <w:p>
      <w:pPr>
        <w:numPr>
          <w:ilvl w:val="0"/>
          <w:numId w:val="2"/>
        </w:numPr>
        <w:spacing w:after="0"/>
      </w:pPr>
      <w:r>
        <w:t>Some ports however see monitoring as the responsibility of Government.</w:t>
      </w:r>
    </w:p>
    <w:p>
      <w:pPr>
        <w:numPr>
          <w:ilvl w:val="0"/>
          <w:numId w:val="2"/>
        </w:numPr>
        <w:spacing w:after="0"/>
      </w:pPr>
      <w:r>
        <w:t xml:space="preserve">BQ believes that the risk creators and risk managers, for example the shipping industry and port authorities, should take on a greater responsibility in monitoring for marine pests.  </w:t>
      </w:r>
    </w:p>
    <w:p>
      <w:pPr>
        <w:pStyle w:val="ListParagraph"/>
        <w:numPr>
          <w:ilvl w:val="0"/>
          <w:numId w:val="2"/>
        </w:numPr>
        <w:spacing w:after="0"/>
      </w:pPr>
      <w:r>
        <w:t xml:space="preserve">Monitoring needs to be attractive to industry to facilitate buy-in </w:t>
      </w:r>
      <w:proofErr w:type="spellStart"/>
      <w:r>
        <w:t>eg</w:t>
      </w:r>
      <w:proofErr w:type="spellEnd"/>
      <w:r>
        <w:t>. low costs and incentives.</w:t>
      </w:r>
    </w:p>
    <w:p>
      <w:pPr>
        <w:pStyle w:val="ListParagraph"/>
        <w:numPr>
          <w:ilvl w:val="0"/>
          <w:numId w:val="2"/>
        </w:numPr>
        <w:spacing w:after="0"/>
      </w:pPr>
      <w:r>
        <w:t>Australian Government should have a role in development of improved industry partnerships and championing awareness raising and new monitoring approaches across the nation.</w:t>
      </w:r>
    </w:p>
    <w:p>
      <w:pPr>
        <w:pStyle w:val="ListParagraph"/>
        <w:numPr>
          <w:ilvl w:val="0"/>
          <w:numId w:val="2"/>
        </w:numPr>
      </w:pPr>
      <w:r>
        <w:t xml:space="preserve">Prior to BQ taking on the responsibility of marine pests, a number of agencies shared responsibilities for various components of marine pest management and as such regulations pertaining to marine pests were covered in a number of different pieces of legislation. </w:t>
      </w:r>
    </w:p>
    <w:p>
      <w:pPr>
        <w:pStyle w:val="ListParagraph"/>
        <w:numPr>
          <w:ilvl w:val="0"/>
          <w:numId w:val="2"/>
        </w:numPr>
      </w:pPr>
      <w:r>
        <w:t xml:space="preserve">A hangover of this is that BQ does not always have the powers to act on marine pest issues that arise, however this will change with the introduction of the </w:t>
      </w:r>
      <w:r>
        <w:rPr>
          <w:i/>
        </w:rPr>
        <w:t>Biosecurity Act 2014</w:t>
      </w:r>
      <w:r>
        <w:t xml:space="preserve"> in 2015/16. </w:t>
      </w:r>
    </w:p>
    <w:p>
      <w:pPr>
        <w:pStyle w:val="ListParagraph"/>
        <w:numPr>
          <w:ilvl w:val="0"/>
          <w:numId w:val="2"/>
        </w:numPr>
      </w:pPr>
      <w:r>
        <w:t>BQ has limited ability to respond as action is often dependent on others and BQ has to coordinate a coalition of interests to manage a response including a number of relevant agencies and industry.</w:t>
      </w:r>
    </w:p>
    <w:p>
      <w:pPr>
        <w:pStyle w:val="ListParagraph"/>
        <w:numPr>
          <w:ilvl w:val="0"/>
          <w:numId w:val="2"/>
        </w:numPr>
      </w:pPr>
      <w:r>
        <w:lastRenderedPageBreak/>
        <w:t xml:space="preserve">Queensland’s major ports are managed by a combination of Government owned corporations and private companies. The waters of some ports contain exclusion zones and access arrangements in these areas are complex. </w:t>
      </w:r>
    </w:p>
    <w:p>
      <w:pPr>
        <w:pStyle w:val="ListParagraph"/>
        <w:numPr>
          <w:ilvl w:val="0"/>
          <w:numId w:val="2"/>
        </w:numPr>
        <w:spacing w:after="0"/>
      </w:pPr>
      <w:r>
        <w:t xml:space="preserve">The introduction of the new Queensland </w:t>
      </w:r>
      <w:r>
        <w:rPr>
          <w:i/>
        </w:rPr>
        <w:t>Biosecurity Act 2014</w:t>
      </w:r>
      <w:r>
        <w:t xml:space="preserve"> due to commence in 2015/16 and the introduction of the General Biosecurity Obligation should improve the powers available to Biosecurity Officers to deal with marine pest issues. </w:t>
      </w:r>
    </w:p>
    <w:p>
      <w:pPr>
        <w:spacing w:after="0"/>
      </w:pPr>
    </w:p>
    <w:p>
      <w:pPr>
        <w:spacing w:after="0"/>
      </w:pPr>
      <w:r>
        <w:t xml:space="preserve">General comments </w:t>
      </w:r>
    </w:p>
    <w:p>
      <w:pPr>
        <w:spacing w:after="0"/>
      </w:pPr>
    </w:p>
    <w:p>
      <w:pPr>
        <w:pStyle w:val="ListParagraph"/>
        <w:numPr>
          <w:ilvl w:val="0"/>
          <w:numId w:val="2"/>
        </w:numPr>
        <w:spacing w:after="0"/>
      </w:pPr>
      <w:r>
        <w:t xml:space="preserve">Risks associated with ballast water releases from international shipping appear to be well managed under mandatory requirements of the national system managed by the Commonwealth government.  </w:t>
      </w:r>
    </w:p>
    <w:p>
      <w:pPr>
        <w:pStyle w:val="ListParagraph"/>
        <w:numPr>
          <w:ilvl w:val="0"/>
          <w:numId w:val="2"/>
        </w:numPr>
        <w:spacing w:after="0"/>
      </w:pPr>
      <w:r>
        <w:t xml:space="preserve">BQ notes that with the introduction of the national Biosecurity Act, the Commonwealth government will also take responsibility for the management of ballast water for domestic shipping and agrees there is merit in developing consistent domestic ballast water policy and implementation arrangements. </w:t>
      </w:r>
    </w:p>
    <w:p>
      <w:pPr>
        <w:pStyle w:val="ListParagraph"/>
        <w:numPr>
          <w:ilvl w:val="0"/>
          <w:numId w:val="2"/>
        </w:numPr>
        <w:spacing w:after="0"/>
      </w:pPr>
      <w:r>
        <w:t xml:space="preserve">In contrast, biofouling is subject only to national guidelines and is the responsibility of the individual States to manage.  </w:t>
      </w:r>
    </w:p>
    <w:p>
      <w:pPr>
        <w:pStyle w:val="ListParagraph"/>
        <w:numPr>
          <w:ilvl w:val="0"/>
          <w:numId w:val="2"/>
        </w:numPr>
        <w:spacing w:after="0"/>
      </w:pPr>
      <w:r>
        <w:t xml:space="preserve">Queensland has numerous ports receiving a large number of international ships and does not have the resources to adequately monitor biofouling at that scale. There is also intra- and inter-state vessel and equipment movement that is not subject to mandatory biofouling manage. The potential for introduction of marine pests into Queensland waters via this route is a concern.  </w:t>
      </w:r>
    </w:p>
    <w:p>
      <w:pPr>
        <w:pStyle w:val="ListParagraph"/>
        <w:numPr>
          <w:ilvl w:val="0"/>
          <w:numId w:val="2"/>
        </w:numPr>
        <w:spacing w:after="0"/>
      </w:pPr>
      <w:r>
        <w:t>BQ notes however that new biofouling management options for international vessels are currently being investigated.</w:t>
      </w:r>
    </w:p>
    <w:p>
      <w:pPr>
        <w:pStyle w:val="ListParagraph"/>
        <w:numPr>
          <w:ilvl w:val="0"/>
          <w:numId w:val="2"/>
        </w:numPr>
        <w:spacing w:after="0"/>
      </w:pPr>
      <w:r>
        <w:t>BQ also notes that industry have expressed a desire for harmonised regulations throughout Australia for domestic vessel movements and agrees this would have benefits.</w:t>
      </w:r>
    </w:p>
    <w:p>
      <w:pPr>
        <w:pStyle w:val="ListParagraph"/>
        <w:numPr>
          <w:ilvl w:val="0"/>
          <w:numId w:val="2"/>
        </w:numPr>
        <w:spacing w:after="0"/>
      </w:pPr>
      <w:r>
        <w:t>Responsibility for marine pest issues is often vague and BQ feels the clarification of roles and responsibilities would be beneficial to all involved.</w:t>
      </w:r>
    </w:p>
    <w:p>
      <w:pPr>
        <w:pStyle w:val="ListParagraph"/>
        <w:numPr>
          <w:ilvl w:val="0"/>
          <w:numId w:val="2"/>
        </w:numPr>
        <w:spacing w:after="0"/>
      </w:pPr>
      <w:r>
        <w:t>Priorities for managing marine pests should be:</w:t>
      </w:r>
    </w:p>
    <w:p>
      <w:pPr>
        <w:pStyle w:val="ListParagraph"/>
        <w:numPr>
          <w:ilvl w:val="1"/>
          <w:numId w:val="2"/>
        </w:numPr>
        <w:spacing w:after="0"/>
      </w:pPr>
      <w:r>
        <w:t>Minimising biosecurity risks – risk based approaches and early detection</w:t>
      </w:r>
    </w:p>
    <w:p>
      <w:pPr>
        <w:pStyle w:val="ListParagraph"/>
        <w:numPr>
          <w:ilvl w:val="1"/>
          <w:numId w:val="2"/>
        </w:numPr>
        <w:spacing w:after="0"/>
      </w:pPr>
      <w:r>
        <w:t>Minimising impact on industry – detection tools and response approaches that do not impose undue burden to industry</w:t>
      </w:r>
    </w:p>
    <w:p>
      <w:pPr>
        <w:pStyle w:val="ListParagraph"/>
        <w:numPr>
          <w:ilvl w:val="1"/>
          <w:numId w:val="2"/>
        </w:numPr>
        <w:spacing w:after="0"/>
      </w:pPr>
      <w:r>
        <w:t>Shared responsibility and a general obligation by all risk creators to prevent biosecurity threats.</w:t>
      </w:r>
    </w:p>
    <w:p>
      <w:pPr>
        <w:spacing w:after="0"/>
      </w:pPr>
    </w:p>
    <w:sectPr>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404883"/>
      <w:docPartObj>
        <w:docPartGallery w:val="Page Numbers (Bottom of Page)"/>
        <w:docPartUnique/>
      </w:docPartObj>
    </w:sdtPr>
    <w:sdtEndPr>
      <w:rPr>
        <w:noProof/>
        <w:sz w:val="18"/>
      </w:rPr>
    </w:sdtEndPr>
    <w:sdtContent>
      <w:p>
        <w:pPr>
          <w:pStyle w:val="Footer"/>
          <w:jc w:val="right"/>
          <w:rPr>
            <w:sz w:val="18"/>
          </w:rPr>
        </w:pPr>
        <w:r>
          <w:rPr>
            <w:sz w:val="18"/>
          </w:rPr>
          <w:fldChar w:fldCharType="begin"/>
        </w:r>
        <w:r>
          <w:rPr>
            <w:sz w:val="18"/>
          </w:rPr>
          <w:instrText xml:space="preserve"> PAGE   \* MERGEFORMAT </w:instrText>
        </w:r>
        <w:r>
          <w:rPr>
            <w:sz w:val="18"/>
          </w:rPr>
          <w:fldChar w:fldCharType="separate"/>
        </w:r>
        <w:r>
          <w:rPr>
            <w:noProof/>
            <w:sz w:val="18"/>
          </w:rPr>
          <w:t>2</w:t>
        </w:r>
        <w:r>
          <w:rPr>
            <w:noProof/>
            <w:sz w:val="18"/>
          </w:rPr>
          <w:fldChar w:fldCharType="end"/>
        </w:r>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F6848"/>
    <w:multiLevelType w:val="hybridMultilevel"/>
    <w:tmpl w:val="85A0F4B8"/>
    <w:lvl w:ilvl="0" w:tplc="0C090005">
      <w:start w:val="1"/>
      <w:numFmt w:val="bullet"/>
      <w:lvlText w:val=""/>
      <w:lvlJc w:val="left"/>
      <w:pPr>
        <w:ind w:left="720" w:hanging="360"/>
      </w:pPr>
      <w:rPr>
        <w:rFonts w:ascii="Wingdings" w:hAnsi="Wingdings" w:hint="default"/>
      </w:rPr>
    </w:lvl>
    <w:lvl w:ilvl="1" w:tplc="823E103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017D06"/>
    <w:multiLevelType w:val="hybridMultilevel"/>
    <w:tmpl w:val="27F2C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E480AAD"/>
    <w:multiLevelType w:val="hybridMultilevel"/>
    <w:tmpl w:val="74102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595691"/>
    <w:multiLevelType w:val="hybridMultilevel"/>
    <w:tmpl w:val="CE343066"/>
    <w:lvl w:ilvl="0" w:tplc="FE720826">
      <w:start w:val="1"/>
      <w:numFmt w:val="bullet"/>
      <w:lvlText w:val=""/>
      <w:lvlJc w:val="left"/>
      <w:pPr>
        <w:tabs>
          <w:tab w:val="num" w:pos="360"/>
        </w:tabs>
        <w:ind w:left="360" w:hanging="360"/>
      </w:pPr>
      <w:rPr>
        <w:rFonts w:ascii="Symbol" w:hAnsi="Symbol" w:hint="default"/>
      </w:rPr>
    </w:lvl>
    <w:lvl w:ilvl="1" w:tplc="DF788CDE">
      <w:start w:val="1"/>
      <w:numFmt w:val="bullet"/>
      <w:lvlText w:val="o"/>
      <w:lvlJc w:val="left"/>
      <w:pPr>
        <w:tabs>
          <w:tab w:val="num" w:pos="1620"/>
        </w:tabs>
        <w:ind w:left="1620" w:hanging="360"/>
      </w:pPr>
      <w:rPr>
        <w:rFonts w:ascii="Courier New" w:hAnsi="Courier New" w:cs="Courier New" w:hint="default"/>
      </w:rPr>
    </w:lvl>
    <w:lvl w:ilvl="2" w:tplc="C5BAFF90" w:tentative="1">
      <w:start w:val="1"/>
      <w:numFmt w:val="bullet"/>
      <w:lvlText w:val=""/>
      <w:lvlJc w:val="left"/>
      <w:pPr>
        <w:tabs>
          <w:tab w:val="num" w:pos="2340"/>
        </w:tabs>
        <w:ind w:left="2340" w:hanging="360"/>
      </w:pPr>
      <w:rPr>
        <w:rFonts w:ascii="Wingdings" w:hAnsi="Wingdings" w:hint="default"/>
      </w:rPr>
    </w:lvl>
    <w:lvl w:ilvl="3" w:tplc="D4F41A10" w:tentative="1">
      <w:start w:val="1"/>
      <w:numFmt w:val="bullet"/>
      <w:lvlText w:val=""/>
      <w:lvlJc w:val="left"/>
      <w:pPr>
        <w:tabs>
          <w:tab w:val="num" w:pos="3060"/>
        </w:tabs>
        <w:ind w:left="3060" w:hanging="360"/>
      </w:pPr>
      <w:rPr>
        <w:rFonts w:ascii="Symbol" w:hAnsi="Symbol" w:hint="default"/>
      </w:rPr>
    </w:lvl>
    <w:lvl w:ilvl="4" w:tplc="316C5B46" w:tentative="1">
      <w:start w:val="1"/>
      <w:numFmt w:val="bullet"/>
      <w:lvlText w:val="o"/>
      <w:lvlJc w:val="left"/>
      <w:pPr>
        <w:tabs>
          <w:tab w:val="num" w:pos="3780"/>
        </w:tabs>
        <w:ind w:left="3780" w:hanging="360"/>
      </w:pPr>
      <w:rPr>
        <w:rFonts w:ascii="Courier New" w:hAnsi="Courier New" w:cs="Courier New" w:hint="default"/>
      </w:rPr>
    </w:lvl>
    <w:lvl w:ilvl="5" w:tplc="E29C0AF8" w:tentative="1">
      <w:start w:val="1"/>
      <w:numFmt w:val="bullet"/>
      <w:lvlText w:val=""/>
      <w:lvlJc w:val="left"/>
      <w:pPr>
        <w:tabs>
          <w:tab w:val="num" w:pos="4500"/>
        </w:tabs>
        <w:ind w:left="4500" w:hanging="360"/>
      </w:pPr>
      <w:rPr>
        <w:rFonts w:ascii="Wingdings" w:hAnsi="Wingdings" w:hint="default"/>
      </w:rPr>
    </w:lvl>
    <w:lvl w:ilvl="6" w:tplc="3D6CD484" w:tentative="1">
      <w:start w:val="1"/>
      <w:numFmt w:val="bullet"/>
      <w:lvlText w:val=""/>
      <w:lvlJc w:val="left"/>
      <w:pPr>
        <w:tabs>
          <w:tab w:val="num" w:pos="5220"/>
        </w:tabs>
        <w:ind w:left="5220" w:hanging="360"/>
      </w:pPr>
      <w:rPr>
        <w:rFonts w:ascii="Symbol" w:hAnsi="Symbol" w:hint="default"/>
      </w:rPr>
    </w:lvl>
    <w:lvl w:ilvl="7" w:tplc="4FD0446E" w:tentative="1">
      <w:start w:val="1"/>
      <w:numFmt w:val="bullet"/>
      <w:lvlText w:val="o"/>
      <w:lvlJc w:val="left"/>
      <w:pPr>
        <w:tabs>
          <w:tab w:val="num" w:pos="5940"/>
        </w:tabs>
        <w:ind w:left="5940" w:hanging="360"/>
      </w:pPr>
      <w:rPr>
        <w:rFonts w:ascii="Courier New" w:hAnsi="Courier New" w:cs="Courier New" w:hint="default"/>
      </w:rPr>
    </w:lvl>
    <w:lvl w:ilvl="8" w:tplc="C2A6D6F4"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C2A"/>
    <w:pPr>
      <w:ind w:left="720"/>
      <w:contextualSpacing/>
    </w:pPr>
  </w:style>
  <w:style w:type="character" w:styleId="CommentReference">
    <w:name w:val="annotation reference"/>
    <w:basedOn w:val="DefaultParagraphFont"/>
    <w:uiPriority w:val="99"/>
    <w:semiHidden/>
    <w:unhideWhenUsed/>
    <w:rsid w:val="008D51F0"/>
    <w:rPr>
      <w:sz w:val="16"/>
      <w:szCs w:val="16"/>
    </w:rPr>
  </w:style>
  <w:style w:type="paragraph" w:styleId="CommentText">
    <w:name w:val="annotation text"/>
    <w:basedOn w:val="Normal"/>
    <w:link w:val="CommentTextChar"/>
    <w:uiPriority w:val="99"/>
    <w:semiHidden/>
    <w:unhideWhenUsed/>
    <w:rsid w:val="008D51F0"/>
    <w:pPr>
      <w:spacing w:line="240" w:lineRule="auto"/>
    </w:pPr>
    <w:rPr>
      <w:sz w:val="20"/>
      <w:szCs w:val="20"/>
    </w:rPr>
  </w:style>
  <w:style w:type="character" w:customStyle="1" w:styleId="CommentTextChar">
    <w:name w:val="Comment Text Char"/>
    <w:basedOn w:val="DefaultParagraphFont"/>
    <w:link w:val="CommentText"/>
    <w:uiPriority w:val="99"/>
    <w:semiHidden/>
    <w:rsid w:val="008D51F0"/>
    <w:rPr>
      <w:sz w:val="20"/>
      <w:szCs w:val="20"/>
    </w:rPr>
  </w:style>
  <w:style w:type="paragraph" w:styleId="CommentSubject">
    <w:name w:val="annotation subject"/>
    <w:basedOn w:val="CommentText"/>
    <w:next w:val="CommentText"/>
    <w:link w:val="CommentSubjectChar"/>
    <w:uiPriority w:val="99"/>
    <w:semiHidden/>
    <w:unhideWhenUsed/>
    <w:rsid w:val="008D51F0"/>
    <w:rPr>
      <w:b/>
      <w:bCs/>
    </w:rPr>
  </w:style>
  <w:style w:type="character" w:customStyle="1" w:styleId="CommentSubjectChar">
    <w:name w:val="Comment Subject Char"/>
    <w:basedOn w:val="CommentTextChar"/>
    <w:link w:val="CommentSubject"/>
    <w:uiPriority w:val="99"/>
    <w:semiHidden/>
    <w:rsid w:val="008D51F0"/>
    <w:rPr>
      <w:b/>
      <w:bCs/>
      <w:sz w:val="20"/>
      <w:szCs w:val="20"/>
    </w:rPr>
  </w:style>
  <w:style w:type="paragraph" w:styleId="BalloonText">
    <w:name w:val="Balloon Text"/>
    <w:basedOn w:val="Normal"/>
    <w:link w:val="BalloonTextChar"/>
    <w:uiPriority w:val="99"/>
    <w:semiHidden/>
    <w:unhideWhenUsed/>
    <w:rsid w:val="008D5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1F0"/>
    <w:rPr>
      <w:rFonts w:ascii="Tahoma" w:hAnsi="Tahoma" w:cs="Tahoma"/>
      <w:sz w:val="16"/>
      <w:szCs w:val="16"/>
    </w:rPr>
  </w:style>
  <w:style w:type="paragraph" w:styleId="Header">
    <w:name w:val="header"/>
    <w:basedOn w:val="Normal"/>
    <w:link w:val="HeaderChar"/>
    <w:uiPriority w:val="99"/>
    <w:unhideWhenUsed/>
    <w:rsid w:val="00492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624"/>
  </w:style>
  <w:style w:type="paragraph" w:styleId="Footer">
    <w:name w:val="footer"/>
    <w:basedOn w:val="Normal"/>
    <w:link w:val="FooterChar"/>
    <w:uiPriority w:val="99"/>
    <w:unhideWhenUsed/>
    <w:rsid w:val="00492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62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4B58A994-6A6B-4299-92CA-9BB6B703AA25}"/>
</file>

<file path=customXml/itemProps2.xml><?xml version="1.0" encoding="utf-8"?>
<ds:datastoreItem xmlns:ds="http://schemas.openxmlformats.org/officeDocument/2006/customXml" ds:itemID="{CCC5123F-43C3-4D06-8F36-F01D79D8A0D7}"/>
</file>

<file path=customXml/itemProps3.xml><?xml version="1.0" encoding="utf-8"?>
<ds:datastoreItem xmlns:ds="http://schemas.openxmlformats.org/officeDocument/2006/customXml" ds:itemID="{6F9EA1C4-9DAE-4383-812D-AFA1EB9B310D}"/>
</file>

<file path=docProps/app.xml><?xml version="1.0" encoding="utf-8"?>
<Properties xmlns="http://schemas.openxmlformats.org/officeDocument/2006/extended-properties" xmlns:vt="http://schemas.openxmlformats.org/officeDocument/2006/docPropsVTypes">
  <Template>Normal.dotm</Template>
  <TotalTime>424</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DERM</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RAMAGE Anita</dc:creator>
  <cp:keywords/>
  <dc:description/>
  <cp:lastModifiedBy>Jenna Leonard</cp:lastModifiedBy>
  <cp:revision>16</cp:revision>
  <cp:lastPrinted>2014-12-17T00:33:00Z</cp:lastPrinted>
  <dcterms:created xsi:type="dcterms:W3CDTF">2014-12-05T04:16:00Z</dcterms:created>
  <dcterms:modified xsi:type="dcterms:W3CDTF">2015-01-16T03:48:00Z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